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color w:val="auto"/>
          <w:sz w:val="44"/>
          <w:szCs w:val="44"/>
          <w:highlight w:val="none"/>
        </w:rPr>
      </w:pPr>
    </w:p>
    <w:p>
      <w:pPr>
        <w:jc w:val="center"/>
        <w:rPr>
          <w:rFonts w:asciiTheme="minorEastAsia" w:hAnsiTheme="minorEastAsia" w:eastAsiaTheme="minorEastAsia"/>
          <w:bCs/>
          <w:color w:val="auto"/>
          <w:sz w:val="56"/>
          <w:highlight w:val="none"/>
        </w:rPr>
      </w:pPr>
      <w:r>
        <w:rPr>
          <w:rFonts w:hint="eastAsia" w:asciiTheme="minorEastAsia" w:hAnsiTheme="minorEastAsia" w:eastAsiaTheme="minorEastAsia"/>
          <w:bCs/>
          <w:color w:val="auto"/>
          <w:sz w:val="56"/>
          <w:highlight w:val="none"/>
        </w:rPr>
        <w:t>广西桂水工程咨询有限公司</w:t>
      </w:r>
    </w:p>
    <w:p>
      <w:pPr>
        <w:pStyle w:val="16"/>
        <w:rPr>
          <w:rFonts w:asciiTheme="minorEastAsia" w:hAnsiTheme="minorEastAsia" w:eastAsiaTheme="minorEastAsia"/>
          <w:b/>
          <w:bCs/>
          <w:color w:val="auto"/>
          <w:sz w:val="10"/>
          <w:highlight w:val="none"/>
        </w:rPr>
      </w:pPr>
    </w:p>
    <w:p>
      <w:pPr>
        <w:pStyle w:val="16"/>
        <w:rPr>
          <w:rFonts w:asciiTheme="minorEastAsia" w:hAnsiTheme="minorEastAsia" w:eastAsiaTheme="minorEastAsia"/>
          <w:color w:val="auto"/>
          <w:sz w:val="72"/>
          <w:highlight w:val="none"/>
          <w14:shadow w14:blurRad="50800" w14:dist="38100" w14:dir="2700000" w14:sx="100000" w14:sy="100000" w14:kx="0" w14:ky="0" w14:algn="tl">
            <w14:srgbClr w14:val="000000">
              <w14:alpha w14:val="60000"/>
            </w14:srgbClr>
          </w14:shadow>
        </w:rPr>
      </w:pPr>
      <w:r>
        <w:rPr>
          <w:rFonts w:asciiTheme="minorEastAsia" w:hAnsiTheme="minorEastAsia" w:eastAsiaTheme="minorEastAsia"/>
          <w:color w:val="auto"/>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652135" cy="0"/>
                <wp:effectExtent l="19685" t="15240" r="14605" b="2286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V="1">
                          <a:off x="0" y="0"/>
                          <a:ext cx="5652135" cy="0"/>
                        </a:xfrm>
                        <a:prstGeom prst="line">
                          <a:avLst/>
                        </a:prstGeom>
                        <a:noFill/>
                        <a:ln w="28575">
                          <a:solidFill>
                            <a:srgbClr val="000000"/>
                          </a:solidFill>
                          <a:round/>
                        </a:ln>
                      </wps:spPr>
                      <wps:bodyPr/>
                    </wps:wsp>
                  </a:graphicData>
                </a:graphic>
              </wp:anchor>
            </w:drawing>
          </mc:Choice>
          <mc:Fallback>
            <w:pict>
              <v:line id="直线 4" o:spid="_x0000_s1026" o:spt="20" style="position:absolute;left:0pt;flip:y;margin-top:0pt;height:0pt;width:445.05pt;mso-position-horizontal:center;z-index:251660288;mso-width-relative:page;mso-height-relative:page;" filled="f" stroked="t" coordsize="21600,21600" o:gfxdata="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wqxMPRAAAAAgEAAA8AAAAAAAAAAQAgAAAAIgAAAGRycy9kb3ducmV2LnhtbFBL&#10;AQIUABQAAAAIAIdO4kDsLKbOxAEAAF4DAAAOAAAAAAAAAAEAIAAAACABAABkcnMvZTJvRG9jLnht&#10;bFBLBQYAAAAABgAGAFkBAABWBQAAAAA=&#10;">
                <v:fill on="f" focussize="0,0"/>
                <v:stroke weight="2.25pt" color="#000000" joinstyle="round"/>
                <v:imagedata o:title=""/>
                <o:lock v:ext="edit" aspectratio="f"/>
              </v:line>
            </w:pict>
          </mc:Fallback>
        </mc:AlternateContent>
      </w:r>
    </w:p>
    <w:p>
      <w:pPr>
        <w:pStyle w:val="16"/>
        <w:rPr>
          <w:rFonts w:asciiTheme="minorEastAsia" w:hAnsiTheme="minorEastAsia" w:eastAsiaTheme="minorEastAsia"/>
          <w:color w:val="auto"/>
          <w:sz w:val="120"/>
          <w:szCs w:val="120"/>
          <w:highlight w:val="none"/>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olor w:val="auto"/>
          <w:sz w:val="120"/>
          <w:szCs w:val="120"/>
          <w:highlight w:val="none"/>
          <w14:shadow w14:blurRad="50800" w14:dist="38100" w14:dir="2700000" w14:sx="100000" w14:sy="100000" w14:kx="0" w14:ky="0" w14:algn="tl">
            <w14:srgbClr w14:val="000000">
              <w14:alpha w14:val="60000"/>
            </w14:srgbClr>
          </w14:shadow>
        </w:rPr>
        <w:t>竞争性谈判文件</w:t>
      </w: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pStyle w:val="16"/>
        <w:rPr>
          <w:rFonts w:asciiTheme="minorEastAsia" w:hAnsiTheme="minorEastAsia" w:eastAsiaTheme="minorEastAsia"/>
          <w:color w:val="auto"/>
          <w:sz w:val="21"/>
          <w:szCs w:val="21"/>
          <w:highlight w:val="none"/>
          <w14:shadow w14:blurRad="50800" w14:dist="38100" w14:dir="2700000" w14:sx="100000" w14:sy="100000" w14:kx="0" w14:ky="0" w14:algn="tl">
            <w14:srgbClr w14:val="000000">
              <w14:alpha w14:val="60000"/>
            </w14:srgbClr>
          </w14:shadow>
        </w:rPr>
      </w:pPr>
    </w:p>
    <w:p>
      <w:pPr>
        <w:ind w:left="2269" w:leftChars="304" w:hanging="1600" w:hangingChars="500"/>
        <w:rPr>
          <w:rFonts w:asciiTheme="minorEastAsia" w:hAnsiTheme="minorEastAsia" w:eastAsiaTheme="minorEastAsia"/>
          <w:color w:val="auto"/>
          <w:sz w:val="32"/>
          <w:highlight w:val="none"/>
        </w:rPr>
      </w:pPr>
      <w:r>
        <w:rPr>
          <w:rFonts w:hint="eastAsia" w:asciiTheme="minorEastAsia" w:hAnsiTheme="minorEastAsia" w:eastAsiaTheme="minorEastAsia"/>
          <w:color w:val="auto"/>
          <w:sz w:val="32"/>
          <w:highlight w:val="none"/>
        </w:rPr>
        <w:t>项目名称：</w:t>
      </w:r>
      <w:r>
        <w:rPr>
          <w:rFonts w:hint="eastAsia" w:asciiTheme="minorEastAsia" w:hAnsiTheme="minorEastAsia" w:eastAsiaTheme="minorEastAsia"/>
          <w:color w:val="auto"/>
          <w:sz w:val="32"/>
          <w:highlight w:val="none"/>
          <w:lang w:eastAsia="zh-CN"/>
        </w:rPr>
        <w:t>万秀区社区居家养老服务中心视频设备</w:t>
      </w:r>
      <w:r>
        <w:rPr>
          <w:rFonts w:hint="eastAsia" w:asciiTheme="minorEastAsia" w:hAnsiTheme="minorEastAsia" w:eastAsiaTheme="minorEastAsia"/>
          <w:color w:val="auto"/>
          <w:sz w:val="32"/>
          <w:highlight w:val="none"/>
        </w:rPr>
        <w:t>采购</w:t>
      </w:r>
    </w:p>
    <w:p>
      <w:pPr>
        <w:ind w:left="1769" w:leftChars="304" w:hanging="1100" w:hangingChars="500"/>
        <w:rPr>
          <w:rFonts w:asciiTheme="minorEastAsia" w:hAnsiTheme="minorEastAsia" w:eastAsiaTheme="minorEastAsia"/>
          <w:color w:val="auto"/>
          <w:highlight w:val="none"/>
        </w:rPr>
      </w:pPr>
    </w:p>
    <w:p>
      <w:pPr>
        <w:pStyle w:val="16"/>
        <w:ind w:firstLine="640" w:firstLineChars="200"/>
        <w:jc w:val="both"/>
        <w:rPr>
          <w:rFonts w:hint="default" w:asciiTheme="minorEastAsia" w:hAnsiTheme="minorEastAsia" w:eastAsiaTheme="minorEastAsia"/>
          <w:color w:val="auto"/>
          <w:sz w:val="32"/>
          <w:highlight w:val="none"/>
          <w:lang w:val="en-US" w:eastAsia="zh-CN"/>
        </w:rPr>
      </w:pPr>
      <w:r>
        <w:rPr>
          <w:rFonts w:hint="eastAsia" w:asciiTheme="minorEastAsia" w:hAnsiTheme="minorEastAsia" w:eastAsiaTheme="minorEastAsia"/>
          <w:color w:val="auto"/>
          <w:sz w:val="32"/>
          <w:highlight w:val="none"/>
        </w:rPr>
        <w:t>项目编号：</w:t>
      </w:r>
      <w:r>
        <w:rPr>
          <w:rFonts w:hint="eastAsia" w:asciiTheme="minorEastAsia" w:hAnsiTheme="minorEastAsia" w:eastAsiaTheme="minorEastAsia"/>
          <w:color w:val="auto"/>
          <w:sz w:val="32"/>
          <w:highlight w:val="none"/>
          <w:lang w:val="en-US" w:eastAsia="zh-CN"/>
        </w:rPr>
        <w:t>WZ</w:t>
      </w:r>
      <w:r>
        <w:rPr>
          <w:rFonts w:hint="eastAsia" w:asciiTheme="minorEastAsia" w:hAnsiTheme="minorEastAsia" w:eastAsiaTheme="minorEastAsia"/>
          <w:color w:val="auto"/>
          <w:sz w:val="32"/>
          <w:highlight w:val="none"/>
        </w:rPr>
        <w:t>ZC2019-J1-00</w:t>
      </w:r>
      <w:r>
        <w:rPr>
          <w:rFonts w:hint="eastAsia" w:asciiTheme="minorEastAsia" w:hAnsiTheme="minorEastAsia" w:eastAsiaTheme="minorEastAsia"/>
          <w:color w:val="auto"/>
          <w:sz w:val="32"/>
          <w:highlight w:val="none"/>
          <w:lang w:val="en-US" w:eastAsia="zh-CN"/>
        </w:rPr>
        <w:t>238</w:t>
      </w:r>
      <w:r>
        <w:rPr>
          <w:rFonts w:hint="eastAsia" w:asciiTheme="minorEastAsia" w:hAnsiTheme="minorEastAsia" w:eastAsiaTheme="minorEastAsia"/>
          <w:color w:val="auto"/>
          <w:sz w:val="32"/>
          <w:highlight w:val="none"/>
        </w:rPr>
        <w:t>-GS</w:t>
      </w:r>
      <w:r>
        <w:rPr>
          <w:rFonts w:hint="eastAsia" w:asciiTheme="minorEastAsia" w:hAnsiTheme="minorEastAsia" w:eastAsiaTheme="minorEastAsia"/>
          <w:color w:val="auto"/>
          <w:sz w:val="32"/>
          <w:highlight w:val="none"/>
          <w:lang w:val="en-US" w:eastAsia="zh-CN"/>
        </w:rPr>
        <w:t>ZX</w:t>
      </w:r>
    </w:p>
    <w:p>
      <w:pPr>
        <w:pStyle w:val="16"/>
        <w:rPr>
          <w:rFonts w:asciiTheme="minorEastAsia" w:hAnsiTheme="minorEastAsia" w:eastAsiaTheme="minorEastAsia"/>
          <w:color w:val="auto"/>
          <w:sz w:val="32"/>
          <w:highlight w:val="none"/>
        </w:rPr>
      </w:pPr>
      <w:r>
        <w:rPr>
          <w:rFonts w:asciiTheme="minorEastAsia" w:hAnsiTheme="minorEastAsia" w:eastAsiaTheme="minorEastAsia"/>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152400</wp:posOffset>
                </wp:positionV>
                <wp:extent cx="5652135" cy="0"/>
                <wp:effectExtent l="19685" t="16510" r="14605" b="2159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8575">
                          <a:solidFill>
                            <a:srgbClr val="000000"/>
                          </a:solidFill>
                          <a:round/>
                        </a:ln>
                      </wps:spPr>
                      <wps:bodyPr/>
                    </wps:wsp>
                  </a:graphicData>
                </a:graphic>
              </wp:anchor>
            </w:drawing>
          </mc:Choice>
          <mc:Fallback>
            <w:pict>
              <v:line id="直线 3" o:spid="_x0000_s1026" o:spt="20" style="position:absolute;left:0pt;margin-top:12pt;height:0pt;width:445.05pt;mso-position-horizontal:center;z-index:251659264;mso-width-relative:page;mso-height-relative:page;" filled="f" stroked="t" coordsize="21600,21600" o:gfxdata="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doRRZ1AAAAAYBAAAPAAAAAAAAAAEAIAAAACIAAABkcnMvZG93bnJldi54bWxQSwECFAAU&#10;AAAACACHTuJAVS9sALwBAABUAwAADgAAAAAAAAABACAAAAAjAQAAZHJzL2Uyb0RvYy54bWxQSwUG&#10;AAAAAAYABgBZAQAAUQUAAAAA&#10;">
                <v:fill on="f" focussize="0,0"/>
                <v:stroke weight="2.25pt" color="#000000" joinstyle="round"/>
                <v:imagedata o:title=""/>
                <o:lock v:ext="edit" aspectratio="f"/>
              </v:line>
            </w:pict>
          </mc:Fallback>
        </mc:AlternateContent>
      </w:r>
    </w:p>
    <w:p>
      <w:pPr>
        <w:ind w:firstLine="640" w:firstLineChars="200"/>
        <w:rPr>
          <w:rFonts w:hint="eastAsia" w:asciiTheme="minorEastAsia" w:hAnsiTheme="minorEastAsia" w:eastAsiaTheme="minorEastAsia"/>
          <w:color w:val="auto"/>
          <w:sz w:val="32"/>
          <w:highlight w:val="none"/>
          <w:lang w:eastAsia="zh-CN"/>
        </w:rPr>
      </w:pPr>
      <w:r>
        <w:rPr>
          <w:rFonts w:hint="eastAsia" w:asciiTheme="minorEastAsia" w:hAnsiTheme="minorEastAsia" w:eastAsiaTheme="minorEastAsia"/>
          <w:color w:val="auto"/>
          <w:sz w:val="32"/>
          <w:highlight w:val="none"/>
        </w:rPr>
        <w:t>采购人：</w:t>
      </w:r>
      <w:r>
        <w:rPr>
          <w:rFonts w:hint="eastAsia" w:asciiTheme="minorEastAsia" w:hAnsiTheme="minorEastAsia" w:eastAsiaTheme="minorEastAsia"/>
          <w:bCs/>
          <w:color w:val="auto"/>
          <w:sz w:val="32"/>
          <w:szCs w:val="32"/>
          <w:highlight w:val="none"/>
          <w:lang w:eastAsia="zh-CN"/>
        </w:rPr>
        <w:t>梧州市万秀区民政局</w:t>
      </w:r>
    </w:p>
    <w:p>
      <w:pPr>
        <w:pStyle w:val="16"/>
        <w:spacing w:line="600" w:lineRule="exact"/>
        <w:ind w:right="-273" w:rightChars="-124" w:firstLine="640" w:firstLineChars="200"/>
        <w:jc w:val="both"/>
        <w:rPr>
          <w:rFonts w:asciiTheme="minorEastAsia" w:hAnsiTheme="minorEastAsia" w:eastAsiaTheme="minorEastAsia"/>
          <w:color w:val="auto"/>
          <w:sz w:val="32"/>
          <w:highlight w:val="none"/>
        </w:rPr>
      </w:pPr>
      <w:r>
        <w:rPr>
          <w:rFonts w:hint="eastAsia" w:asciiTheme="minorEastAsia" w:hAnsiTheme="minorEastAsia" w:eastAsiaTheme="minorEastAsia"/>
          <w:color w:val="auto"/>
          <w:sz w:val="32"/>
          <w:highlight w:val="none"/>
        </w:rPr>
        <w:t>采购代理机构：广西桂水工程咨询有限公司</w:t>
      </w:r>
    </w:p>
    <w:p>
      <w:pPr>
        <w:spacing w:line="500" w:lineRule="exact"/>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highlight w:val="none"/>
        </w:rPr>
        <w:t>二O二O年</w:t>
      </w:r>
      <w:r>
        <w:rPr>
          <w:rFonts w:hint="eastAsia" w:asciiTheme="minorEastAsia" w:hAnsiTheme="minorEastAsia" w:eastAsiaTheme="minorEastAsia"/>
          <w:color w:val="auto"/>
          <w:sz w:val="32"/>
          <w:highlight w:val="none"/>
          <w:lang w:eastAsia="zh-CN"/>
        </w:rPr>
        <w:t>七</w:t>
      </w:r>
      <w:r>
        <w:rPr>
          <w:rFonts w:hint="eastAsia" w:asciiTheme="minorEastAsia" w:hAnsiTheme="minorEastAsia" w:eastAsiaTheme="minorEastAsia"/>
          <w:color w:val="auto"/>
          <w:sz w:val="32"/>
          <w:highlight w:val="none"/>
        </w:rPr>
        <w:t>月</w:t>
      </w:r>
    </w:p>
    <w:p>
      <w:pPr>
        <w:rPr>
          <w:rFonts w:asciiTheme="minorEastAsia" w:hAnsiTheme="minorEastAsia" w:eastAsiaTheme="minorEastAsia"/>
          <w:color w:val="auto"/>
          <w:sz w:val="32"/>
          <w:szCs w:val="32"/>
          <w:highlight w:val="none"/>
        </w:rPr>
        <w:sectPr>
          <w:headerReference r:id="rId4" w:type="first"/>
          <w:headerReference r:id="rId3" w:type="default"/>
          <w:footerReference r:id="rId5" w:type="default"/>
          <w:footerReference r:id="rId6" w:type="even"/>
          <w:pgSz w:w="11907" w:h="16840"/>
          <w:pgMar w:top="1077" w:right="1418" w:bottom="1418" w:left="1077" w:header="624" w:footer="737" w:gutter="0"/>
          <w:pgNumType w:start="1"/>
          <w:cols w:space="720" w:num="1"/>
          <w:titlePg/>
          <w:docGrid w:linePitch="312" w:charSpace="0"/>
        </w:sectPr>
      </w:pPr>
      <w:bookmarkStart w:id="0" w:name="_Toc246094907"/>
      <w:bookmarkStart w:id="1" w:name="_Toc246095451"/>
      <w:bookmarkStart w:id="2" w:name="_Toc246095513"/>
    </w:p>
    <w:p>
      <w:pPr>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目  录</w:t>
      </w:r>
    </w:p>
    <w:p>
      <w:pPr>
        <w:spacing w:line="400" w:lineRule="exact"/>
        <w:rPr>
          <w:rFonts w:asciiTheme="minorEastAsia" w:hAnsiTheme="minorEastAsia" w:eastAsiaTheme="minorEastAsia"/>
          <w:color w:val="auto"/>
          <w:sz w:val="28"/>
          <w:szCs w:val="28"/>
          <w:highlight w:val="none"/>
        </w:rPr>
      </w:pPr>
    </w:p>
    <w:p>
      <w:pPr>
        <w:pStyle w:val="27"/>
        <w:tabs>
          <w:tab w:val="right" w:leader="dot" w:pos="9402"/>
        </w:tabs>
        <w:rPr>
          <w:rFonts w:asciiTheme="minorEastAsia" w:hAnsiTheme="minorEastAsia" w:eastAsiaTheme="minorEastAsia" w:cstheme="minorBidi"/>
          <w:b w:val="0"/>
          <w:bCs w:val="0"/>
          <w:caps w:val="0"/>
          <w:color w:val="auto"/>
          <w:sz w:val="28"/>
          <w:szCs w:val="28"/>
          <w:highlight w:val="none"/>
        </w:rPr>
      </w:pPr>
      <w:r>
        <w:rPr>
          <w:rFonts w:hint="eastAsia" w:cs="仿宋" w:asciiTheme="minorEastAsia" w:hAnsiTheme="minorEastAsia" w:eastAsiaTheme="minorEastAsia"/>
          <w:b w:val="0"/>
          <w:color w:val="auto"/>
          <w:sz w:val="28"/>
          <w:szCs w:val="28"/>
          <w:highlight w:val="none"/>
        </w:rPr>
        <w:fldChar w:fldCharType="begin"/>
      </w:r>
      <w:r>
        <w:rPr>
          <w:rFonts w:hint="eastAsia" w:cs="仿宋" w:asciiTheme="minorEastAsia" w:hAnsiTheme="minorEastAsia" w:eastAsiaTheme="minorEastAsia"/>
          <w:b w:val="0"/>
          <w:color w:val="auto"/>
          <w:sz w:val="28"/>
          <w:szCs w:val="28"/>
          <w:highlight w:val="none"/>
        </w:rPr>
        <w:instrText xml:space="preserve"> TOC \o "1-3" \h \z \u </w:instrText>
      </w:r>
      <w:r>
        <w:rPr>
          <w:rFonts w:hint="eastAsia" w:cs="仿宋" w:asciiTheme="minorEastAsia" w:hAnsiTheme="minorEastAsia" w:eastAsiaTheme="minorEastAsia"/>
          <w:b w:val="0"/>
          <w:color w:val="auto"/>
          <w:sz w:val="28"/>
          <w:szCs w:val="28"/>
          <w:highlight w:val="none"/>
        </w:rPr>
        <w:fldChar w:fldCharType="separate"/>
      </w:r>
      <w:r>
        <w:rPr>
          <w:color w:val="auto"/>
          <w:highlight w:val="none"/>
        </w:rPr>
        <w:fldChar w:fldCharType="begin"/>
      </w:r>
      <w:r>
        <w:rPr>
          <w:color w:val="auto"/>
          <w:highlight w:val="none"/>
        </w:rPr>
        <w:instrText xml:space="preserve"> HYPERLINK \l "_Toc7192541" </w:instrText>
      </w:r>
      <w:r>
        <w:rPr>
          <w:color w:val="auto"/>
          <w:highlight w:val="none"/>
        </w:rPr>
        <w:fldChar w:fldCharType="separate"/>
      </w:r>
      <w:r>
        <w:rPr>
          <w:rStyle w:val="43"/>
          <w:rFonts w:asciiTheme="minorEastAsia" w:hAnsiTheme="minorEastAsia" w:eastAsiaTheme="minorEastAsia"/>
          <w:b w:val="0"/>
          <w:color w:val="auto"/>
          <w:sz w:val="28"/>
          <w:szCs w:val="28"/>
          <w:highlight w:val="none"/>
        </w:rPr>
        <w:t>第一章  竞争性谈判公告</w:t>
      </w:r>
      <w:r>
        <w:rPr>
          <w:rFonts w:asciiTheme="minorEastAsia" w:hAnsiTheme="minorEastAsia" w:eastAsiaTheme="minorEastAsia"/>
          <w:b w:val="0"/>
          <w:color w:val="auto"/>
          <w:sz w:val="28"/>
          <w:szCs w:val="28"/>
          <w:highlight w:val="none"/>
        </w:rPr>
        <w:tab/>
      </w:r>
      <w:r>
        <w:rPr>
          <w:rFonts w:asciiTheme="minorEastAsia" w:hAnsiTheme="minorEastAsia" w:eastAsiaTheme="minorEastAsia"/>
          <w:b w:val="0"/>
          <w:color w:val="auto"/>
          <w:sz w:val="28"/>
          <w:szCs w:val="28"/>
          <w:highlight w:val="none"/>
        </w:rPr>
        <w:fldChar w:fldCharType="begin"/>
      </w:r>
      <w:r>
        <w:rPr>
          <w:rFonts w:asciiTheme="minorEastAsia" w:hAnsiTheme="minorEastAsia" w:eastAsiaTheme="minorEastAsia"/>
          <w:b w:val="0"/>
          <w:color w:val="auto"/>
          <w:sz w:val="28"/>
          <w:szCs w:val="28"/>
          <w:highlight w:val="none"/>
        </w:rPr>
        <w:instrText xml:space="preserve"> PAGEREF _Toc7192541 \h </w:instrText>
      </w:r>
      <w:r>
        <w:rPr>
          <w:rFonts w:asciiTheme="minorEastAsia" w:hAnsiTheme="minorEastAsia" w:eastAsiaTheme="minorEastAsia"/>
          <w:b w:val="0"/>
          <w:color w:val="auto"/>
          <w:sz w:val="28"/>
          <w:szCs w:val="28"/>
          <w:highlight w:val="none"/>
        </w:rPr>
        <w:fldChar w:fldCharType="separate"/>
      </w:r>
      <w:r>
        <w:rPr>
          <w:rFonts w:asciiTheme="minorEastAsia" w:hAnsiTheme="minorEastAsia" w:eastAsiaTheme="minorEastAsia"/>
          <w:b w:val="0"/>
          <w:color w:val="auto"/>
          <w:sz w:val="28"/>
          <w:szCs w:val="28"/>
          <w:highlight w:val="none"/>
        </w:rPr>
        <w:t>1</w:t>
      </w:r>
      <w:r>
        <w:rPr>
          <w:rFonts w:asciiTheme="minorEastAsia" w:hAnsiTheme="minorEastAsia" w:eastAsiaTheme="minorEastAsia"/>
          <w:b w:val="0"/>
          <w:color w:val="auto"/>
          <w:sz w:val="28"/>
          <w:szCs w:val="28"/>
          <w:highlight w:val="none"/>
        </w:rPr>
        <w:fldChar w:fldCharType="end"/>
      </w:r>
      <w:r>
        <w:rPr>
          <w:rFonts w:asciiTheme="minorEastAsia" w:hAnsiTheme="minorEastAsia" w:eastAsiaTheme="minorEastAsia"/>
          <w:b w:val="0"/>
          <w:color w:val="auto"/>
          <w:sz w:val="28"/>
          <w:szCs w:val="28"/>
          <w:highlight w:val="none"/>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"_Toc7192542" </w:instrText>
      </w:r>
      <w:r>
        <w:rPr>
          <w:color w:val="auto"/>
          <w:highlight w:val="none"/>
        </w:rPr>
        <w:fldChar w:fldCharType="separate"/>
      </w:r>
      <w:r>
        <w:rPr>
          <w:rStyle w:val="43"/>
          <w:rFonts w:asciiTheme="minorEastAsia" w:hAnsiTheme="minorEastAsia" w:eastAsiaTheme="minorEastAsia"/>
          <w:b w:val="0"/>
          <w:color w:val="auto"/>
          <w:sz w:val="28"/>
          <w:szCs w:val="28"/>
          <w:highlight w:val="none"/>
        </w:rPr>
        <w:t>第二章  供应商须知</w:t>
      </w:r>
      <w:r>
        <w:rPr>
          <w:rFonts w:asciiTheme="minorEastAsia" w:hAnsiTheme="minorEastAsia" w:eastAsiaTheme="minorEastAsia"/>
          <w:b w:val="0"/>
          <w:color w:val="auto"/>
          <w:sz w:val="28"/>
          <w:szCs w:val="28"/>
          <w:highlight w:val="none"/>
        </w:rPr>
        <w:tab/>
      </w:r>
      <w:r>
        <w:rPr>
          <w:rFonts w:asciiTheme="minorEastAsia" w:hAnsiTheme="minorEastAsia" w:eastAsiaTheme="minorEastAsia"/>
          <w:b w:val="0"/>
          <w:color w:val="auto"/>
          <w:sz w:val="28"/>
          <w:szCs w:val="28"/>
          <w:highlight w:val="none"/>
        </w:rPr>
        <w:fldChar w:fldCharType="begin"/>
      </w:r>
      <w:r>
        <w:rPr>
          <w:rFonts w:asciiTheme="minorEastAsia" w:hAnsiTheme="minorEastAsia" w:eastAsiaTheme="minorEastAsia"/>
          <w:b w:val="0"/>
          <w:color w:val="auto"/>
          <w:sz w:val="28"/>
          <w:szCs w:val="28"/>
          <w:highlight w:val="none"/>
        </w:rPr>
        <w:instrText xml:space="preserve"> PAGEREF _Toc7192542 \h </w:instrText>
      </w:r>
      <w:r>
        <w:rPr>
          <w:rFonts w:asciiTheme="minorEastAsia" w:hAnsiTheme="minorEastAsia" w:eastAsiaTheme="minorEastAsia"/>
          <w:b w:val="0"/>
          <w:color w:val="auto"/>
          <w:sz w:val="28"/>
          <w:szCs w:val="28"/>
          <w:highlight w:val="none"/>
        </w:rPr>
        <w:fldChar w:fldCharType="separate"/>
      </w:r>
      <w:r>
        <w:rPr>
          <w:rFonts w:asciiTheme="minorEastAsia" w:hAnsiTheme="minorEastAsia" w:eastAsiaTheme="minorEastAsia"/>
          <w:b w:val="0"/>
          <w:color w:val="auto"/>
          <w:sz w:val="28"/>
          <w:szCs w:val="28"/>
          <w:highlight w:val="none"/>
        </w:rPr>
        <w:t>4</w:t>
      </w:r>
      <w:r>
        <w:rPr>
          <w:rFonts w:asciiTheme="minorEastAsia" w:hAnsiTheme="minorEastAsia" w:eastAsiaTheme="minorEastAsia"/>
          <w:b w:val="0"/>
          <w:color w:val="auto"/>
          <w:sz w:val="28"/>
          <w:szCs w:val="28"/>
          <w:highlight w:val="none"/>
        </w:rPr>
        <w:fldChar w:fldCharType="end"/>
      </w:r>
      <w:r>
        <w:rPr>
          <w:rFonts w:asciiTheme="minorEastAsia" w:hAnsiTheme="minorEastAsia" w:eastAsiaTheme="minorEastAsia"/>
          <w:b w:val="0"/>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"_Toc7192543" </w:instrText>
      </w:r>
      <w:r>
        <w:rPr>
          <w:color w:val="auto"/>
          <w:highlight w:val="none"/>
        </w:rPr>
        <w:fldChar w:fldCharType="separate"/>
      </w:r>
      <w:r>
        <w:rPr>
          <w:rStyle w:val="43"/>
          <w:rFonts w:asciiTheme="minorEastAsia" w:hAnsiTheme="minorEastAsia" w:eastAsiaTheme="minorEastAsia"/>
          <w:color w:val="auto"/>
          <w:sz w:val="28"/>
          <w:szCs w:val="28"/>
          <w:highlight w:val="none"/>
        </w:rPr>
        <w:t>供应商须知前附表</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_Toc7192543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4</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"_Toc7192544" </w:instrText>
      </w:r>
      <w:r>
        <w:rPr>
          <w:color w:val="auto"/>
          <w:highlight w:val="none"/>
        </w:rPr>
        <w:fldChar w:fldCharType="separate"/>
      </w:r>
      <w:r>
        <w:rPr>
          <w:rStyle w:val="43"/>
          <w:rFonts w:asciiTheme="minorEastAsia" w:hAnsiTheme="minorEastAsia" w:eastAsiaTheme="minorEastAsia"/>
          <w:color w:val="auto"/>
          <w:sz w:val="28"/>
          <w:szCs w:val="28"/>
          <w:highlight w:val="none"/>
        </w:rPr>
        <w:t>一、总则</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_Toc7192544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11</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"_Toc7192545" </w:instrText>
      </w:r>
      <w:r>
        <w:rPr>
          <w:color w:val="auto"/>
          <w:highlight w:val="none"/>
        </w:rPr>
        <w:fldChar w:fldCharType="separate"/>
      </w:r>
      <w:r>
        <w:rPr>
          <w:rStyle w:val="43"/>
          <w:rFonts w:asciiTheme="minorEastAsia" w:hAnsiTheme="minorEastAsia" w:eastAsiaTheme="minorEastAsia"/>
          <w:color w:val="auto"/>
          <w:sz w:val="28"/>
          <w:szCs w:val="28"/>
          <w:highlight w:val="none"/>
        </w:rPr>
        <w:t>二、竞争性谈判文件</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_Toc7192545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12</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"_Toc7192546" </w:instrText>
      </w:r>
      <w:r>
        <w:rPr>
          <w:color w:val="auto"/>
          <w:highlight w:val="none"/>
        </w:rPr>
        <w:fldChar w:fldCharType="separate"/>
      </w:r>
      <w:r>
        <w:rPr>
          <w:rStyle w:val="43"/>
          <w:rFonts w:asciiTheme="minorEastAsia" w:hAnsiTheme="minorEastAsia" w:eastAsiaTheme="minorEastAsia"/>
          <w:color w:val="auto"/>
          <w:sz w:val="28"/>
          <w:szCs w:val="28"/>
          <w:highlight w:val="none"/>
        </w:rPr>
        <w:t>三、响应文件</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_Toc7192546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13</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"_Toc7192547" </w:instrText>
      </w:r>
      <w:r>
        <w:rPr>
          <w:color w:val="auto"/>
          <w:highlight w:val="none"/>
        </w:rPr>
        <w:fldChar w:fldCharType="separate"/>
      </w:r>
      <w:r>
        <w:rPr>
          <w:rStyle w:val="43"/>
          <w:rFonts w:asciiTheme="minorEastAsia" w:hAnsiTheme="minorEastAsia" w:eastAsiaTheme="minorEastAsia"/>
          <w:color w:val="auto"/>
          <w:sz w:val="28"/>
          <w:szCs w:val="28"/>
          <w:highlight w:val="none"/>
        </w:rPr>
        <w:t>四、谈判与评审</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_Toc7192547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16</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"_Toc7192548" </w:instrText>
      </w:r>
      <w:r>
        <w:rPr>
          <w:color w:val="auto"/>
          <w:highlight w:val="none"/>
        </w:rPr>
        <w:fldChar w:fldCharType="separate"/>
      </w:r>
      <w:r>
        <w:rPr>
          <w:rStyle w:val="43"/>
          <w:rFonts w:asciiTheme="minorEastAsia" w:hAnsiTheme="minorEastAsia" w:eastAsiaTheme="minorEastAsia"/>
          <w:color w:val="auto"/>
          <w:sz w:val="28"/>
          <w:szCs w:val="28"/>
          <w:highlight w:val="none"/>
        </w:rPr>
        <w:t>五、评审结果</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_Toc7192548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21</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"_Toc7192549" </w:instrText>
      </w:r>
      <w:r>
        <w:rPr>
          <w:color w:val="auto"/>
          <w:highlight w:val="none"/>
        </w:rPr>
        <w:fldChar w:fldCharType="separate"/>
      </w:r>
      <w:r>
        <w:rPr>
          <w:rStyle w:val="43"/>
          <w:rFonts w:asciiTheme="minorEastAsia" w:hAnsiTheme="minorEastAsia" w:eastAsiaTheme="minorEastAsia"/>
          <w:color w:val="auto"/>
          <w:sz w:val="28"/>
          <w:szCs w:val="28"/>
          <w:highlight w:val="none"/>
        </w:rPr>
        <w:t>六、合同授予</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_Toc7192549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21</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"_Toc7192550" </w:instrText>
      </w:r>
      <w:r>
        <w:rPr>
          <w:color w:val="auto"/>
          <w:highlight w:val="none"/>
        </w:rPr>
        <w:fldChar w:fldCharType="separate"/>
      </w:r>
      <w:r>
        <w:rPr>
          <w:rStyle w:val="43"/>
          <w:rFonts w:asciiTheme="minorEastAsia" w:hAnsiTheme="minorEastAsia" w:eastAsiaTheme="minorEastAsia"/>
          <w:color w:val="auto"/>
          <w:sz w:val="28"/>
          <w:szCs w:val="28"/>
          <w:highlight w:val="none"/>
        </w:rPr>
        <w:t>七、其他</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_Toc7192550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22</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"_Toc7192551" </w:instrText>
      </w:r>
      <w:r>
        <w:rPr>
          <w:color w:val="auto"/>
          <w:highlight w:val="none"/>
        </w:rPr>
        <w:fldChar w:fldCharType="separate"/>
      </w:r>
      <w:r>
        <w:rPr>
          <w:rStyle w:val="43"/>
          <w:rFonts w:asciiTheme="minorEastAsia" w:hAnsiTheme="minorEastAsia" w:eastAsiaTheme="minorEastAsia"/>
          <w:b w:val="0"/>
          <w:color w:val="auto"/>
          <w:sz w:val="28"/>
          <w:szCs w:val="28"/>
          <w:highlight w:val="none"/>
        </w:rPr>
        <w:t>第三章  项目采购需求和说明</w:t>
      </w:r>
      <w:r>
        <w:rPr>
          <w:rFonts w:asciiTheme="minorEastAsia" w:hAnsiTheme="minorEastAsia" w:eastAsiaTheme="minorEastAsia"/>
          <w:b w:val="0"/>
          <w:color w:val="auto"/>
          <w:sz w:val="28"/>
          <w:szCs w:val="28"/>
          <w:highlight w:val="none"/>
        </w:rPr>
        <w:tab/>
      </w:r>
      <w:r>
        <w:rPr>
          <w:rFonts w:asciiTheme="minorEastAsia" w:hAnsiTheme="minorEastAsia" w:eastAsiaTheme="minorEastAsia"/>
          <w:b w:val="0"/>
          <w:color w:val="auto"/>
          <w:sz w:val="28"/>
          <w:szCs w:val="28"/>
          <w:highlight w:val="none"/>
        </w:rPr>
        <w:fldChar w:fldCharType="begin"/>
      </w:r>
      <w:r>
        <w:rPr>
          <w:rFonts w:asciiTheme="minorEastAsia" w:hAnsiTheme="minorEastAsia" w:eastAsiaTheme="minorEastAsia"/>
          <w:b w:val="0"/>
          <w:color w:val="auto"/>
          <w:sz w:val="28"/>
          <w:szCs w:val="28"/>
          <w:highlight w:val="none"/>
        </w:rPr>
        <w:instrText xml:space="preserve"> PAGEREF _Toc7192551 \h </w:instrText>
      </w:r>
      <w:r>
        <w:rPr>
          <w:rFonts w:asciiTheme="minorEastAsia" w:hAnsiTheme="minorEastAsia" w:eastAsiaTheme="minorEastAsia"/>
          <w:b w:val="0"/>
          <w:color w:val="auto"/>
          <w:sz w:val="28"/>
          <w:szCs w:val="28"/>
          <w:highlight w:val="none"/>
        </w:rPr>
        <w:fldChar w:fldCharType="separate"/>
      </w:r>
      <w:r>
        <w:rPr>
          <w:rFonts w:asciiTheme="minorEastAsia" w:hAnsiTheme="minorEastAsia" w:eastAsiaTheme="minorEastAsia"/>
          <w:b w:val="0"/>
          <w:color w:val="auto"/>
          <w:sz w:val="28"/>
          <w:szCs w:val="28"/>
          <w:highlight w:val="none"/>
        </w:rPr>
        <w:t>24</w:t>
      </w:r>
      <w:r>
        <w:rPr>
          <w:rFonts w:asciiTheme="minorEastAsia" w:hAnsiTheme="minorEastAsia" w:eastAsiaTheme="minorEastAsia"/>
          <w:b w:val="0"/>
          <w:color w:val="auto"/>
          <w:sz w:val="28"/>
          <w:szCs w:val="28"/>
          <w:highlight w:val="none"/>
        </w:rPr>
        <w:fldChar w:fldCharType="end"/>
      </w:r>
      <w:r>
        <w:rPr>
          <w:rFonts w:asciiTheme="minorEastAsia" w:hAnsiTheme="minorEastAsia" w:eastAsiaTheme="minorEastAsia"/>
          <w:b w:val="0"/>
          <w:color w:val="auto"/>
          <w:sz w:val="28"/>
          <w:szCs w:val="28"/>
          <w:highlight w:val="none"/>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"_Toc7192552" </w:instrText>
      </w:r>
      <w:r>
        <w:rPr>
          <w:color w:val="auto"/>
          <w:highlight w:val="none"/>
        </w:rPr>
        <w:fldChar w:fldCharType="separate"/>
      </w:r>
      <w:r>
        <w:rPr>
          <w:rStyle w:val="43"/>
          <w:rFonts w:asciiTheme="minorEastAsia" w:hAnsiTheme="minorEastAsia" w:eastAsiaTheme="minorEastAsia"/>
          <w:b w:val="0"/>
          <w:color w:val="auto"/>
          <w:sz w:val="28"/>
          <w:szCs w:val="28"/>
          <w:highlight w:val="none"/>
        </w:rPr>
        <w:t>第四章  评审方法及评审标准</w:t>
      </w:r>
      <w:r>
        <w:rPr>
          <w:rFonts w:asciiTheme="minorEastAsia" w:hAnsiTheme="minorEastAsia" w:eastAsiaTheme="minorEastAsia"/>
          <w:b w:val="0"/>
          <w:color w:val="auto"/>
          <w:sz w:val="28"/>
          <w:szCs w:val="28"/>
          <w:highlight w:val="none"/>
        </w:rPr>
        <w:tab/>
      </w:r>
      <w:r>
        <w:rPr>
          <w:rFonts w:asciiTheme="minorEastAsia" w:hAnsiTheme="minorEastAsia" w:eastAsiaTheme="minorEastAsia"/>
          <w:b w:val="0"/>
          <w:color w:val="auto"/>
          <w:sz w:val="28"/>
          <w:szCs w:val="28"/>
          <w:highlight w:val="none"/>
        </w:rPr>
        <w:fldChar w:fldCharType="begin"/>
      </w:r>
      <w:r>
        <w:rPr>
          <w:rFonts w:asciiTheme="minorEastAsia" w:hAnsiTheme="minorEastAsia" w:eastAsiaTheme="minorEastAsia"/>
          <w:b w:val="0"/>
          <w:color w:val="auto"/>
          <w:sz w:val="28"/>
          <w:szCs w:val="28"/>
          <w:highlight w:val="none"/>
        </w:rPr>
        <w:instrText xml:space="preserve"> PAGEREF _Toc7192552 \h </w:instrText>
      </w:r>
      <w:r>
        <w:rPr>
          <w:rFonts w:asciiTheme="minorEastAsia" w:hAnsiTheme="minorEastAsia" w:eastAsiaTheme="minorEastAsia"/>
          <w:b w:val="0"/>
          <w:color w:val="auto"/>
          <w:sz w:val="28"/>
          <w:szCs w:val="28"/>
          <w:highlight w:val="none"/>
        </w:rPr>
        <w:fldChar w:fldCharType="separate"/>
      </w:r>
      <w:r>
        <w:rPr>
          <w:rFonts w:asciiTheme="minorEastAsia" w:hAnsiTheme="minorEastAsia" w:eastAsiaTheme="minorEastAsia"/>
          <w:b w:val="0"/>
          <w:color w:val="auto"/>
          <w:sz w:val="28"/>
          <w:szCs w:val="28"/>
          <w:highlight w:val="none"/>
        </w:rPr>
        <w:t>37</w:t>
      </w:r>
      <w:r>
        <w:rPr>
          <w:rFonts w:asciiTheme="minorEastAsia" w:hAnsiTheme="minorEastAsia" w:eastAsiaTheme="minorEastAsia"/>
          <w:b w:val="0"/>
          <w:color w:val="auto"/>
          <w:sz w:val="28"/>
          <w:szCs w:val="28"/>
          <w:highlight w:val="none"/>
        </w:rPr>
        <w:fldChar w:fldCharType="end"/>
      </w:r>
      <w:r>
        <w:rPr>
          <w:rFonts w:asciiTheme="minorEastAsia" w:hAnsiTheme="minorEastAsia" w:eastAsiaTheme="minorEastAsia"/>
          <w:b w:val="0"/>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"_Toc7192553" </w:instrText>
      </w:r>
      <w:r>
        <w:rPr>
          <w:color w:val="auto"/>
          <w:highlight w:val="none"/>
        </w:rPr>
        <w:fldChar w:fldCharType="separate"/>
      </w:r>
      <w:r>
        <w:rPr>
          <w:rStyle w:val="43"/>
          <w:rFonts w:cs="Arial" w:asciiTheme="minorEastAsia" w:hAnsiTheme="minorEastAsia" w:eastAsiaTheme="minorEastAsia"/>
          <w:bCs/>
          <w:color w:val="auto"/>
          <w:sz w:val="28"/>
          <w:szCs w:val="28"/>
          <w:highlight w:val="none"/>
        </w:rPr>
        <w:t>一、评审原则</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_Toc7192553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37</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"_Toc7192554" </w:instrText>
      </w:r>
      <w:r>
        <w:rPr>
          <w:color w:val="auto"/>
          <w:highlight w:val="none"/>
        </w:rPr>
        <w:fldChar w:fldCharType="separate"/>
      </w:r>
      <w:r>
        <w:rPr>
          <w:rStyle w:val="43"/>
          <w:rFonts w:cs="Arial" w:asciiTheme="minorEastAsia" w:hAnsiTheme="minorEastAsia" w:eastAsiaTheme="minorEastAsia"/>
          <w:bCs/>
          <w:color w:val="auto"/>
          <w:sz w:val="28"/>
          <w:szCs w:val="28"/>
          <w:highlight w:val="none"/>
        </w:rPr>
        <w:t>二、评审标准</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_Toc7192554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37</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32"/>
        <w:tabs>
          <w:tab w:val="right" w:leader="dot" w:pos="9402"/>
        </w:tabs>
        <w:rPr>
          <w:rFonts w:asciiTheme="minorEastAsia" w:hAnsiTheme="minorEastAsia" w:eastAsiaTheme="minorEastAsia" w:cstheme="minorBidi"/>
          <w:smallCaps w:val="0"/>
          <w:color w:val="auto"/>
          <w:sz w:val="28"/>
          <w:szCs w:val="28"/>
          <w:highlight w:val="none"/>
        </w:rPr>
      </w:pPr>
      <w:r>
        <w:rPr>
          <w:color w:val="auto"/>
          <w:highlight w:val="none"/>
        </w:rPr>
        <w:fldChar w:fldCharType="begin"/>
      </w:r>
      <w:r>
        <w:rPr>
          <w:color w:val="auto"/>
          <w:highlight w:val="none"/>
        </w:rPr>
        <w:instrText xml:space="preserve"> HYPERLINK \l "_Toc7192555" </w:instrText>
      </w:r>
      <w:r>
        <w:rPr>
          <w:color w:val="auto"/>
          <w:highlight w:val="none"/>
        </w:rPr>
        <w:fldChar w:fldCharType="separate"/>
      </w:r>
      <w:r>
        <w:rPr>
          <w:rStyle w:val="43"/>
          <w:rFonts w:cs="Arial" w:asciiTheme="minorEastAsia" w:hAnsiTheme="minorEastAsia" w:eastAsiaTheme="minorEastAsia"/>
          <w:bCs/>
          <w:color w:val="auto"/>
          <w:sz w:val="28"/>
          <w:szCs w:val="28"/>
          <w:highlight w:val="none"/>
        </w:rPr>
        <w:t>三、确定成交供应商</w:t>
      </w:r>
      <w:r>
        <w:rPr>
          <w:rFonts w:asciiTheme="minorEastAsia" w:hAnsiTheme="minorEastAsia" w:eastAsiaTheme="minorEastAsia"/>
          <w:color w:val="auto"/>
          <w:sz w:val="28"/>
          <w:szCs w:val="28"/>
          <w:highlight w:val="none"/>
        </w:rPr>
        <w:tab/>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PAGEREF _Toc7192555 \h </w:instrText>
      </w:r>
      <w:r>
        <w:rPr>
          <w:rFonts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40</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"_Toc7192556" </w:instrText>
      </w:r>
      <w:r>
        <w:rPr>
          <w:color w:val="auto"/>
          <w:highlight w:val="none"/>
        </w:rPr>
        <w:fldChar w:fldCharType="separate"/>
      </w:r>
      <w:r>
        <w:rPr>
          <w:rStyle w:val="43"/>
          <w:rFonts w:asciiTheme="minorEastAsia" w:hAnsiTheme="minorEastAsia" w:eastAsiaTheme="minorEastAsia"/>
          <w:b w:val="0"/>
          <w:color w:val="auto"/>
          <w:sz w:val="28"/>
          <w:szCs w:val="28"/>
          <w:highlight w:val="none"/>
        </w:rPr>
        <w:t>第五章  合同条款</w:t>
      </w:r>
      <w:r>
        <w:rPr>
          <w:rFonts w:asciiTheme="minorEastAsia" w:hAnsiTheme="minorEastAsia" w:eastAsiaTheme="minorEastAsia"/>
          <w:b w:val="0"/>
          <w:color w:val="auto"/>
          <w:sz w:val="28"/>
          <w:szCs w:val="28"/>
          <w:highlight w:val="none"/>
        </w:rPr>
        <w:tab/>
      </w:r>
      <w:r>
        <w:rPr>
          <w:rFonts w:asciiTheme="minorEastAsia" w:hAnsiTheme="minorEastAsia" w:eastAsiaTheme="minorEastAsia"/>
          <w:b w:val="0"/>
          <w:color w:val="auto"/>
          <w:sz w:val="28"/>
          <w:szCs w:val="28"/>
          <w:highlight w:val="none"/>
        </w:rPr>
        <w:fldChar w:fldCharType="begin"/>
      </w:r>
      <w:r>
        <w:rPr>
          <w:rFonts w:asciiTheme="minorEastAsia" w:hAnsiTheme="minorEastAsia" w:eastAsiaTheme="minorEastAsia"/>
          <w:b w:val="0"/>
          <w:color w:val="auto"/>
          <w:sz w:val="28"/>
          <w:szCs w:val="28"/>
          <w:highlight w:val="none"/>
        </w:rPr>
        <w:instrText xml:space="preserve"> PAGEREF _Toc7192556 \h </w:instrText>
      </w:r>
      <w:r>
        <w:rPr>
          <w:rFonts w:asciiTheme="minorEastAsia" w:hAnsiTheme="minorEastAsia" w:eastAsiaTheme="minorEastAsia"/>
          <w:b w:val="0"/>
          <w:color w:val="auto"/>
          <w:sz w:val="28"/>
          <w:szCs w:val="28"/>
          <w:highlight w:val="none"/>
        </w:rPr>
        <w:fldChar w:fldCharType="separate"/>
      </w:r>
      <w:r>
        <w:rPr>
          <w:rFonts w:asciiTheme="minorEastAsia" w:hAnsiTheme="minorEastAsia" w:eastAsiaTheme="minorEastAsia"/>
          <w:b w:val="0"/>
          <w:color w:val="auto"/>
          <w:sz w:val="28"/>
          <w:szCs w:val="28"/>
          <w:highlight w:val="none"/>
        </w:rPr>
        <w:t>41</w:t>
      </w:r>
      <w:r>
        <w:rPr>
          <w:rFonts w:asciiTheme="minorEastAsia" w:hAnsiTheme="minorEastAsia" w:eastAsiaTheme="minorEastAsia"/>
          <w:b w:val="0"/>
          <w:color w:val="auto"/>
          <w:sz w:val="28"/>
          <w:szCs w:val="28"/>
          <w:highlight w:val="none"/>
        </w:rPr>
        <w:fldChar w:fldCharType="end"/>
      </w:r>
      <w:r>
        <w:rPr>
          <w:rFonts w:asciiTheme="minorEastAsia" w:hAnsiTheme="minorEastAsia" w:eastAsiaTheme="minorEastAsia"/>
          <w:b w:val="0"/>
          <w:color w:val="auto"/>
          <w:sz w:val="28"/>
          <w:szCs w:val="28"/>
          <w:highlight w:val="none"/>
        </w:rPr>
        <w:fldChar w:fldCharType="end"/>
      </w:r>
    </w:p>
    <w:p>
      <w:pPr>
        <w:pStyle w:val="27"/>
        <w:tabs>
          <w:tab w:val="right" w:leader="dot" w:pos="9402"/>
        </w:tabs>
        <w:rPr>
          <w:rFonts w:asciiTheme="minorEastAsia" w:hAnsiTheme="minorEastAsia"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"_Toc7192557" </w:instrText>
      </w:r>
      <w:r>
        <w:rPr>
          <w:color w:val="auto"/>
          <w:highlight w:val="none"/>
        </w:rPr>
        <w:fldChar w:fldCharType="separate"/>
      </w:r>
      <w:r>
        <w:rPr>
          <w:rStyle w:val="43"/>
          <w:rFonts w:asciiTheme="minorEastAsia" w:hAnsiTheme="minorEastAsia" w:eastAsiaTheme="minorEastAsia"/>
          <w:b w:val="0"/>
          <w:color w:val="auto"/>
          <w:sz w:val="28"/>
          <w:szCs w:val="28"/>
          <w:highlight w:val="none"/>
        </w:rPr>
        <w:t>第六章  响应文件格式</w:t>
      </w:r>
      <w:r>
        <w:rPr>
          <w:rFonts w:asciiTheme="minorEastAsia" w:hAnsiTheme="minorEastAsia" w:eastAsiaTheme="minorEastAsia"/>
          <w:b w:val="0"/>
          <w:color w:val="auto"/>
          <w:sz w:val="28"/>
          <w:szCs w:val="28"/>
          <w:highlight w:val="none"/>
        </w:rPr>
        <w:tab/>
      </w:r>
      <w:r>
        <w:rPr>
          <w:rFonts w:asciiTheme="minorEastAsia" w:hAnsiTheme="minorEastAsia" w:eastAsiaTheme="minorEastAsia"/>
          <w:b w:val="0"/>
          <w:color w:val="auto"/>
          <w:sz w:val="28"/>
          <w:szCs w:val="28"/>
          <w:highlight w:val="none"/>
        </w:rPr>
        <w:fldChar w:fldCharType="begin"/>
      </w:r>
      <w:r>
        <w:rPr>
          <w:rFonts w:asciiTheme="minorEastAsia" w:hAnsiTheme="minorEastAsia" w:eastAsiaTheme="minorEastAsia"/>
          <w:b w:val="0"/>
          <w:color w:val="auto"/>
          <w:sz w:val="28"/>
          <w:szCs w:val="28"/>
          <w:highlight w:val="none"/>
        </w:rPr>
        <w:instrText xml:space="preserve"> PAGEREF _Toc7192557 \h </w:instrText>
      </w:r>
      <w:r>
        <w:rPr>
          <w:rFonts w:asciiTheme="minorEastAsia" w:hAnsiTheme="minorEastAsia" w:eastAsiaTheme="minorEastAsia"/>
          <w:b w:val="0"/>
          <w:color w:val="auto"/>
          <w:sz w:val="28"/>
          <w:szCs w:val="28"/>
          <w:highlight w:val="none"/>
        </w:rPr>
        <w:fldChar w:fldCharType="separate"/>
      </w:r>
      <w:r>
        <w:rPr>
          <w:rFonts w:asciiTheme="minorEastAsia" w:hAnsiTheme="minorEastAsia" w:eastAsiaTheme="minorEastAsia"/>
          <w:b w:val="0"/>
          <w:color w:val="auto"/>
          <w:sz w:val="28"/>
          <w:szCs w:val="28"/>
          <w:highlight w:val="none"/>
        </w:rPr>
        <w:t>52</w:t>
      </w:r>
      <w:r>
        <w:rPr>
          <w:rFonts w:asciiTheme="minorEastAsia" w:hAnsiTheme="minorEastAsia" w:eastAsiaTheme="minorEastAsia"/>
          <w:b w:val="0"/>
          <w:color w:val="auto"/>
          <w:sz w:val="28"/>
          <w:szCs w:val="28"/>
          <w:highlight w:val="none"/>
        </w:rPr>
        <w:fldChar w:fldCharType="end"/>
      </w:r>
      <w:r>
        <w:rPr>
          <w:rFonts w:asciiTheme="minorEastAsia" w:hAnsiTheme="minorEastAsia" w:eastAsiaTheme="minorEastAsia"/>
          <w:b w:val="0"/>
          <w:color w:val="auto"/>
          <w:sz w:val="28"/>
          <w:szCs w:val="28"/>
          <w:highlight w:val="none"/>
        </w:rPr>
        <w:fldChar w:fldCharType="end"/>
      </w:r>
    </w:p>
    <w:p>
      <w:pPr>
        <w:spacing w:line="400" w:lineRule="exact"/>
        <w:ind w:firstLine="280" w:firstLineChars="100"/>
        <w:rPr>
          <w:rFonts w:asciiTheme="minorEastAsia" w:hAnsiTheme="minorEastAsia" w:eastAsiaTheme="minorEastAsia"/>
          <w:color w:val="auto"/>
          <w:sz w:val="20"/>
          <w:szCs w:val="20"/>
          <w:highlight w:val="none"/>
        </w:rPr>
        <w:sectPr>
          <w:headerReference r:id="rId7" w:type="first"/>
          <w:footerReference r:id="rId8" w:type="first"/>
          <w:pgSz w:w="11907" w:h="16840"/>
          <w:pgMar w:top="1077" w:right="1418" w:bottom="1418" w:left="1077" w:header="624" w:footer="737" w:gutter="0"/>
          <w:pgNumType w:start="1"/>
          <w:cols w:space="720" w:num="1"/>
          <w:docGrid w:linePitch="312" w:charSpace="0"/>
        </w:sectPr>
      </w:pPr>
      <w:r>
        <w:rPr>
          <w:rFonts w:hint="eastAsia" w:cs="仿宋" w:asciiTheme="minorEastAsia" w:hAnsiTheme="minorEastAsia" w:eastAsiaTheme="minorEastAsia"/>
          <w:bCs/>
          <w:color w:val="auto"/>
          <w:sz w:val="28"/>
          <w:szCs w:val="28"/>
          <w:highlight w:val="none"/>
        </w:rPr>
        <w:fldChar w:fldCharType="end"/>
      </w:r>
    </w:p>
    <w:p>
      <w:pPr>
        <w:pStyle w:val="3"/>
        <w:numPr>
          <w:ilvl w:val="0"/>
          <w:numId w:val="1"/>
        </w:numPr>
        <w:rPr>
          <w:rFonts w:hint="eastAsia" w:asciiTheme="minorEastAsia" w:hAnsiTheme="minorEastAsia" w:eastAsiaTheme="minorEastAsia"/>
          <w:color w:val="auto"/>
          <w:highlight w:val="none"/>
        </w:rPr>
      </w:pPr>
      <w:bookmarkStart w:id="3" w:name="_Toc7192541"/>
      <w:r>
        <w:rPr>
          <w:rFonts w:hint="eastAsia" w:asciiTheme="minorEastAsia" w:hAnsiTheme="minorEastAsia" w:eastAsiaTheme="minorEastAsia"/>
          <w:color w:val="auto"/>
          <w:highlight w:val="none"/>
        </w:rPr>
        <w:t xml:space="preserve"> 竞争性谈判公告</w:t>
      </w:r>
      <w:bookmarkEnd w:id="0"/>
      <w:bookmarkEnd w:id="1"/>
      <w:bookmarkEnd w:id="2"/>
      <w:bookmarkEnd w:id="3"/>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240" w:lineRule="auto"/>
        <w:ind w:firstLine="560" w:firstLineChars="200"/>
        <w:jc w:val="center"/>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u w:val="single"/>
        </w:rPr>
        <w:t xml:space="preserve"> 万秀区社区居家养老服务中心视频设备采购</w:t>
      </w:r>
      <w:r>
        <w:rPr>
          <w:rFonts w:hint="eastAsia" w:asciiTheme="minorEastAsia" w:hAnsiTheme="minorEastAsia" w:eastAsiaTheme="minorEastAsia" w:cstheme="minorEastAsia"/>
          <w:i w:val="0"/>
          <w:color w:val="auto"/>
          <w:sz w:val="28"/>
          <w:szCs w:val="28"/>
          <w:highlight w:val="none"/>
        </w:rPr>
        <w:t xml:space="preserve"> 采购项目的潜在供应商应在</w:t>
      </w:r>
      <w:r>
        <w:rPr>
          <w:rFonts w:hint="eastAsia" w:asciiTheme="minorEastAsia" w:hAnsiTheme="minorEastAsia" w:eastAsiaTheme="minorEastAsia" w:cstheme="minorEastAsia"/>
          <w:i w:val="0"/>
          <w:color w:val="auto"/>
          <w:sz w:val="28"/>
          <w:szCs w:val="28"/>
          <w:highlight w:val="none"/>
          <w:u w:val="single"/>
        </w:rPr>
        <w:t>广西桂水工程咨询有限公司梧州分公司</w:t>
      </w:r>
      <w:r>
        <w:rPr>
          <w:rFonts w:hint="eastAsia" w:asciiTheme="minorEastAsia" w:hAnsiTheme="minorEastAsia" w:eastAsiaTheme="minorEastAsia" w:cstheme="minorEastAsia"/>
          <w:i w:val="0"/>
          <w:color w:val="auto"/>
          <w:sz w:val="28"/>
          <w:szCs w:val="28"/>
          <w:highlight w:val="none"/>
        </w:rPr>
        <w:t>获取采购文件，并于</w:t>
      </w:r>
      <w:r>
        <w:rPr>
          <w:rFonts w:hint="eastAsia" w:asciiTheme="minorEastAsia" w:hAnsiTheme="minorEastAsia" w:eastAsiaTheme="minorEastAsia" w:cstheme="minorEastAsia"/>
          <w:i w:val="0"/>
          <w:color w:val="auto"/>
          <w:sz w:val="28"/>
          <w:szCs w:val="28"/>
          <w:highlight w:val="none"/>
          <w:u w:val="single"/>
          <w:lang w:val="en-US" w:eastAsia="zh-CN"/>
        </w:rPr>
        <w:t>2020</w:t>
      </w:r>
      <w:r>
        <w:rPr>
          <w:rFonts w:hint="eastAsia" w:asciiTheme="minorEastAsia" w:hAnsiTheme="minorEastAsia" w:eastAsiaTheme="minorEastAsia" w:cstheme="minorEastAsia"/>
          <w:i w:val="0"/>
          <w:color w:val="auto"/>
          <w:sz w:val="28"/>
          <w:szCs w:val="28"/>
          <w:highlight w:val="none"/>
          <w:u w:val="single"/>
        </w:rPr>
        <w:t xml:space="preserve"> </w:t>
      </w:r>
      <w:r>
        <w:rPr>
          <w:rFonts w:hint="eastAsia" w:asciiTheme="minorEastAsia" w:hAnsiTheme="minorEastAsia" w:eastAsiaTheme="minorEastAsia" w:cstheme="minorEastAsia"/>
          <w:bCs/>
          <w:i w:val="0"/>
          <w:color w:val="auto"/>
          <w:sz w:val="28"/>
          <w:szCs w:val="28"/>
          <w:highlight w:val="none"/>
          <w:u w:val="single"/>
        </w:rPr>
        <w:t>年</w:t>
      </w:r>
      <w:r>
        <w:rPr>
          <w:rFonts w:hint="eastAsia" w:asciiTheme="minorEastAsia" w:hAnsiTheme="minorEastAsia" w:eastAsiaTheme="minorEastAsia" w:cstheme="minorEastAsia"/>
          <w:bCs/>
          <w:i w:val="0"/>
          <w:color w:val="auto"/>
          <w:sz w:val="28"/>
          <w:szCs w:val="28"/>
          <w:highlight w:val="none"/>
          <w:u w:val="single"/>
          <w:lang w:val="en-US" w:eastAsia="zh-CN"/>
        </w:rPr>
        <w:t>7</w:t>
      </w:r>
      <w:r>
        <w:rPr>
          <w:rFonts w:hint="eastAsia" w:asciiTheme="minorEastAsia" w:hAnsiTheme="minorEastAsia" w:eastAsiaTheme="minorEastAsia" w:cstheme="minorEastAsia"/>
          <w:bCs/>
          <w:i w:val="0"/>
          <w:color w:val="auto"/>
          <w:sz w:val="28"/>
          <w:szCs w:val="28"/>
          <w:highlight w:val="none"/>
          <w:u w:val="single"/>
        </w:rPr>
        <w:t>月</w:t>
      </w:r>
      <w:r>
        <w:rPr>
          <w:rFonts w:hint="eastAsia" w:asciiTheme="minorEastAsia" w:hAnsiTheme="minorEastAsia" w:eastAsiaTheme="minorEastAsia" w:cstheme="minorEastAsia"/>
          <w:bCs/>
          <w:i w:val="0"/>
          <w:color w:val="auto"/>
          <w:sz w:val="28"/>
          <w:szCs w:val="28"/>
          <w:highlight w:val="none"/>
          <w:u w:val="single"/>
          <w:lang w:val="en-US" w:eastAsia="zh-CN"/>
        </w:rPr>
        <w:t>28</w:t>
      </w:r>
      <w:r>
        <w:rPr>
          <w:rFonts w:hint="eastAsia" w:asciiTheme="minorEastAsia" w:hAnsiTheme="minorEastAsia" w:eastAsiaTheme="minorEastAsia" w:cstheme="minorEastAsia"/>
          <w:bCs/>
          <w:i w:val="0"/>
          <w:color w:val="auto"/>
          <w:sz w:val="28"/>
          <w:szCs w:val="28"/>
          <w:highlight w:val="none"/>
          <w:u w:val="single"/>
        </w:rPr>
        <w:t xml:space="preserve">日 </w:t>
      </w:r>
      <w:r>
        <w:rPr>
          <w:rFonts w:hint="eastAsia" w:asciiTheme="minorEastAsia" w:hAnsiTheme="minorEastAsia" w:eastAsiaTheme="minorEastAsia" w:cstheme="minorEastAsia"/>
          <w:bCs/>
          <w:i w:val="0"/>
          <w:color w:val="auto"/>
          <w:sz w:val="28"/>
          <w:szCs w:val="28"/>
          <w:highlight w:val="none"/>
          <w:u w:val="single"/>
          <w:lang w:val="en-US" w:eastAsia="zh-CN"/>
        </w:rPr>
        <w:t>9</w:t>
      </w:r>
      <w:r>
        <w:rPr>
          <w:rFonts w:hint="eastAsia" w:asciiTheme="minorEastAsia" w:hAnsiTheme="minorEastAsia" w:eastAsiaTheme="minorEastAsia" w:cstheme="minorEastAsia"/>
          <w:bCs/>
          <w:i w:val="0"/>
          <w:color w:val="auto"/>
          <w:sz w:val="28"/>
          <w:szCs w:val="28"/>
          <w:highlight w:val="none"/>
          <w:u w:val="single"/>
          <w:lang w:eastAsia="zh-CN"/>
        </w:rPr>
        <w:t>时</w:t>
      </w:r>
      <w:r>
        <w:rPr>
          <w:rFonts w:hint="eastAsia" w:asciiTheme="minorEastAsia" w:hAnsiTheme="minorEastAsia" w:eastAsiaTheme="minorEastAsia" w:cstheme="minorEastAsia"/>
          <w:bCs/>
          <w:i w:val="0"/>
          <w:color w:val="auto"/>
          <w:sz w:val="28"/>
          <w:szCs w:val="28"/>
          <w:highlight w:val="none"/>
          <w:u w:val="single"/>
          <w:lang w:val="en-US" w:eastAsia="zh-CN"/>
        </w:rPr>
        <w:t>30</w:t>
      </w:r>
      <w:r>
        <w:rPr>
          <w:rFonts w:hint="eastAsia" w:asciiTheme="minorEastAsia" w:hAnsiTheme="minorEastAsia" w:eastAsiaTheme="minorEastAsia" w:cstheme="minorEastAsia"/>
          <w:bCs/>
          <w:i w:val="0"/>
          <w:color w:val="auto"/>
          <w:sz w:val="28"/>
          <w:szCs w:val="28"/>
          <w:highlight w:val="none"/>
          <w:u w:val="single"/>
        </w:rPr>
        <w:t>分</w:t>
      </w:r>
      <w:r>
        <w:rPr>
          <w:rFonts w:hint="eastAsia" w:asciiTheme="minorEastAsia" w:hAnsiTheme="minorEastAsia" w:eastAsiaTheme="minorEastAsia" w:cstheme="minorEastAsia"/>
          <w:bCs/>
          <w:i w:val="0"/>
          <w:color w:val="auto"/>
          <w:sz w:val="28"/>
          <w:szCs w:val="28"/>
          <w:highlight w:val="none"/>
        </w:rPr>
        <w:t>（北京时间）前提交响应文件</w:t>
      </w:r>
      <w:r>
        <w:rPr>
          <w:rFonts w:hint="eastAsia" w:asciiTheme="minorEastAsia" w:hAnsiTheme="minorEastAsia" w:eastAsiaTheme="minorEastAsia" w:cstheme="minorEastAsia"/>
          <w:i w:val="0"/>
          <w:color w:val="auto"/>
          <w:sz w:val="28"/>
          <w:szCs w:val="28"/>
          <w:highlight w:val="none"/>
        </w:rPr>
        <w:t>。</w:t>
      </w:r>
    </w:p>
    <w:p>
      <w:pPr>
        <w:pageBreakBefore w:val="0"/>
        <w:kinsoku/>
        <w:wordWrap/>
        <w:overflowPunct/>
        <w:topLinePunct w:val="0"/>
        <w:bidi w:val="0"/>
        <w:spacing w:line="24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4" w:name="_Toc35393629"/>
      <w:bookmarkStart w:id="5" w:name="_Toc28359012"/>
      <w:bookmarkStart w:id="6" w:name="_Toc35393798"/>
      <w:bookmarkStart w:id="7" w:name="_Toc28359089"/>
      <w:r>
        <w:rPr>
          <w:rFonts w:hint="eastAsia" w:asciiTheme="minorEastAsia" w:hAnsiTheme="minorEastAsia" w:eastAsiaTheme="minorEastAsia" w:cstheme="minorEastAsia"/>
          <w:b w:val="0"/>
          <w:i w:val="0"/>
          <w:color w:val="auto"/>
          <w:sz w:val="28"/>
          <w:szCs w:val="28"/>
          <w:highlight w:val="none"/>
        </w:rPr>
        <w:t>一、项目基本情况</w:t>
      </w:r>
      <w:bookmarkEnd w:id="4"/>
      <w:bookmarkEnd w:id="5"/>
      <w:bookmarkEnd w:id="6"/>
      <w:bookmarkEnd w:id="7"/>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default"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rPr>
        <w:t>项目编号：</w:t>
      </w:r>
      <w:r>
        <w:rPr>
          <w:rFonts w:hint="eastAsia" w:asciiTheme="minorEastAsia" w:hAnsiTheme="minorEastAsia" w:eastAsiaTheme="minorEastAsia" w:cstheme="minorEastAsia"/>
          <w:i w:val="0"/>
          <w:color w:val="auto"/>
          <w:sz w:val="28"/>
          <w:szCs w:val="28"/>
          <w:highlight w:val="none"/>
          <w:lang w:val="en-US" w:eastAsia="zh-CN"/>
        </w:rPr>
        <w:t>WXZC2019-J1-00238-GSZX</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u w:val="single"/>
          <w:lang w:eastAsia="zh-CN"/>
        </w:rPr>
      </w:pPr>
      <w:r>
        <w:rPr>
          <w:rFonts w:hint="eastAsia" w:asciiTheme="minorEastAsia" w:hAnsiTheme="minorEastAsia" w:eastAsiaTheme="minorEastAsia" w:cstheme="minorEastAsia"/>
          <w:i w:val="0"/>
          <w:color w:val="auto"/>
          <w:sz w:val="28"/>
          <w:szCs w:val="28"/>
          <w:highlight w:val="none"/>
        </w:rPr>
        <w:t>项目名称：</w:t>
      </w:r>
      <w:r>
        <w:rPr>
          <w:rFonts w:hint="eastAsia" w:asciiTheme="minorEastAsia" w:hAnsiTheme="minorEastAsia" w:eastAsiaTheme="minorEastAsia" w:cstheme="minorEastAsia"/>
          <w:i w:val="0"/>
          <w:color w:val="auto"/>
          <w:sz w:val="28"/>
          <w:szCs w:val="28"/>
          <w:highlight w:val="none"/>
          <w:lang w:eastAsia="zh-CN"/>
        </w:rPr>
        <w:t>万秀区社区居家养老服务中心视频设备采购</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采购方式：</w:t>
      </w:r>
      <w:r>
        <w:rPr>
          <w:rFonts w:hint="eastAsia" w:asciiTheme="minorEastAsia" w:hAnsiTheme="minorEastAsia" w:eastAsiaTheme="minorEastAsia" w:cstheme="minorEastAsia"/>
          <w:i w:val="0"/>
          <w:color w:val="auto"/>
          <w:sz w:val="28"/>
          <w:szCs w:val="28"/>
          <w:highlight w:val="none"/>
        </w:rPr>
        <w:sym w:font="Wingdings 2" w:char="0052"/>
      </w:r>
      <w:r>
        <w:rPr>
          <w:rFonts w:hint="eastAsia" w:asciiTheme="minorEastAsia" w:hAnsiTheme="minorEastAsia" w:eastAsiaTheme="minorEastAsia" w:cstheme="minorEastAsia"/>
          <w:i w:val="0"/>
          <w:color w:val="auto"/>
          <w:sz w:val="28"/>
          <w:szCs w:val="28"/>
          <w:highlight w:val="none"/>
        </w:rPr>
        <w:t>竞争性谈判 □竞争性磋商 □询价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default"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rPr>
        <w:t>预算金额：</w:t>
      </w:r>
      <w:r>
        <w:rPr>
          <w:rFonts w:hint="eastAsia" w:asciiTheme="minorEastAsia" w:hAnsiTheme="minorEastAsia" w:eastAsiaTheme="minorEastAsia" w:cstheme="minorEastAsia"/>
          <w:i w:val="0"/>
          <w:color w:val="auto"/>
          <w:sz w:val="28"/>
          <w:szCs w:val="28"/>
          <w:highlight w:val="none"/>
          <w:lang w:val="en-US" w:eastAsia="zh-CN"/>
        </w:rPr>
        <w:t>38万元</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rPr>
        <w:t>最高限价（如有）：</w:t>
      </w:r>
      <w:r>
        <w:rPr>
          <w:rFonts w:hint="eastAsia" w:asciiTheme="minorEastAsia" w:hAnsiTheme="minorEastAsia" w:eastAsiaTheme="minorEastAsia" w:cstheme="minorEastAsia"/>
          <w:i w:val="0"/>
          <w:color w:val="auto"/>
          <w:sz w:val="28"/>
          <w:szCs w:val="28"/>
          <w:highlight w:val="none"/>
          <w:lang w:eastAsia="zh-CN"/>
        </w:rPr>
        <w:t>无</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default" w:asciiTheme="minorEastAsia" w:hAnsiTheme="minorEastAsia" w:eastAsiaTheme="minorEastAsia" w:cstheme="minorEastAsia"/>
          <w:i w:val="0"/>
          <w:color w:val="auto"/>
          <w:sz w:val="28"/>
          <w:szCs w:val="28"/>
          <w:highlight w:val="none"/>
          <w:u w:val="single"/>
          <w:lang w:val="en-US" w:eastAsia="zh-CN"/>
        </w:rPr>
      </w:pPr>
      <w:r>
        <w:rPr>
          <w:rFonts w:hint="eastAsia" w:asciiTheme="minorEastAsia" w:hAnsiTheme="minorEastAsia" w:eastAsiaTheme="minorEastAsia" w:cstheme="minorEastAsia"/>
          <w:i w:val="0"/>
          <w:color w:val="auto"/>
          <w:sz w:val="28"/>
          <w:szCs w:val="28"/>
          <w:highlight w:val="none"/>
        </w:rPr>
        <w:t>采购需求：液晶拼接屏幕</w:t>
      </w:r>
      <w:r>
        <w:rPr>
          <w:rFonts w:hint="eastAsia" w:asciiTheme="minorEastAsia" w:hAnsiTheme="minorEastAsia" w:eastAsiaTheme="minorEastAsia" w:cstheme="minorEastAsia"/>
          <w:i w:val="0"/>
          <w:color w:val="auto"/>
          <w:sz w:val="28"/>
          <w:szCs w:val="28"/>
          <w:highlight w:val="none"/>
          <w:lang w:eastAsia="zh-CN"/>
        </w:rPr>
        <w:t>、拼接屏矩阵控制服务器、无线管理中控、切换设备、监控屏幕上方电子横屏等</w:t>
      </w:r>
      <w:r>
        <w:rPr>
          <w:rFonts w:hint="eastAsia" w:asciiTheme="minorEastAsia" w:hAnsiTheme="minorEastAsia" w:eastAsiaTheme="minorEastAsia" w:cstheme="minorEastAsia"/>
          <w:i w:val="0"/>
          <w:color w:val="auto"/>
          <w:sz w:val="28"/>
          <w:szCs w:val="28"/>
          <w:highlight w:val="none"/>
          <w:lang w:val="en-US" w:eastAsia="zh-CN"/>
        </w:rPr>
        <w:t>1批。如需进一步了解详细内容，详见竞争性谈判文件。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u w:val="single"/>
        </w:rPr>
      </w:pPr>
      <w:r>
        <w:rPr>
          <w:rFonts w:hint="eastAsia" w:asciiTheme="minorEastAsia" w:hAnsiTheme="minorEastAsia" w:eastAsiaTheme="minorEastAsia" w:cstheme="minorEastAsia"/>
          <w:i w:val="0"/>
          <w:color w:val="auto"/>
          <w:sz w:val="28"/>
          <w:szCs w:val="28"/>
          <w:highlight w:val="none"/>
        </w:rPr>
        <w:t>合同履行期限：自签订合同之日起</w:t>
      </w:r>
      <w:r>
        <w:rPr>
          <w:rFonts w:hint="eastAsia" w:asciiTheme="minorEastAsia" w:hAnsiTheme="minorEastAsia" w:eastAsiaTheme="minorEastAsia" w:cstheme="minorEastAsia"/>
          <w:i w:val="0"/>
          <w:color w:val="auto"/>
          <w:sz w:val="28"/>
          <w:szCs w:val="28"/>
          <w:highlight w:val="none"/>
          <w:lang w:val="en-US" w:eastAsia="zh-CN"/>
        </w:rPr>
        <w:t>1</w:t>
      </w:r>
      <w:r>
        <w:rPr>
          <w:rFonts w:hint="eastAsia" w:asciiTheme="minorEastAsia" w:hAnsiTheme="minorEastAsia" w:eastAsiaTheme="minorEastAsia" w:cstheme="minorEastAsia"/>
          <w:i w:val="0"/>
          <w:color w:val="auto"/>
          <w:sz w:val="28"/>
          <w:szCs w:val="28"/>
          <w:highlight w:val="none"/>
        </w:rPr>
        <w:t>0日内(日历日)交付使用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本项目</w:t>
      </w:r>
      <w:r>
        <w:rPr>
          <w:rFonts w:hint="eastAsia" w:asciiTheme="minorEastAsia" w:hAnsiTheme="minorEastAsia" w:eastAsiaTheme="minorEastAsia" w:cstheme="minorEastAsia"/>
          <w:i w:val="0"/>
          <w:color w:val="auto"/>
          <w:sz w:val="28"/>
          <w:szCs w:val="28"/>
          <w:highlight w:val="none"/>
          <w:lang w:eastAsia="zh-CN"/>
        </w:rPr>
        <w:t>不</w:t>
      </w:r>
      <w:r>
        <w:rPr>
          <w:rFonts w:hint="eastAsia" w:asciiTheme="minorEastAsia" w:hAnsiTheme="minorEastAsia" w:eastAsiaTheme="minorEastAsia" w:cstheme="minorEastAsia"/>
          <w:i w:val="0"/>
          <w:color w:val="auto"/>
          <w:sz w:val="28"/>
          <w:szCs w:val="28"/>
          <w:highlight w:val="none"/>
        </w:rPr>
        <w:t>接受联合体。</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8" w:name="_Toc35393799"/>
      <w:bookmarkStart w:id="9" w:name="_Toc28359013"/>
      <w:bookmarkStart w:id="10" w:name="_Toc28359090"/>
      <w:bookmarkStart w:id="11" w:name="_Toc35393630"/>
      <w:r>
        <w:rPr>
          <w:rFonts w:hint="eastAsia" w:asciiTheme="minorEastAsia" w:hAnsiTheme="minorEastAsia" w:eastAsiaTheme="minorEastAsia" w:cstheme="minorEastAsia"/>
          <w:b w:val="0"/>
          <w:i w:val="0"/>
          <w:color w:val="auto"/>
          <w:sz w:val="28"/>
          <w:szCs w:val="28"/>
          <w:highlight w:val="none"/>
        </w:rPr>
        <w:t>二、申请人的资格要求：</w:t>
      </w:r>
      <w:bookmarkEnd w:id="8"/>
      <w:bookmarkEnd w:id="9"/>
      <w:bookmarkEnd w:id="10"/>
      <w:bookmarkEnd w:id="11"/>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1.满足《中华人民共和国政府采购法》第二十二条规定；</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eastAsia="zh-CN"/>
        </w:rPr>
      </w:pPr>
      <w:bookmarkStart w:id="12" w:name="_Toc28359091"/>
      <w:bookmarkStart w:id="13" w:name="_Toc28359014"/>
      <w:r>
        <w:rPr>
          <w:rFonts w:hint="eastAsia" w:asciiTheme="minorEastAsia" w:hAnsiTheme="minorEastAsia" w:eastAsiaTheme="minorEastAsia" w:cstheme="minorEastAsia"/>
          <w:i w:val="0"/>
          <w:color w:val="auto"/>
          <w:sz w:val="28"/>
          <w:szCs w:val="28"/>
          <w:highlight w:val="none"/>
        </w:rPr>
        <w:t>2.落实政府采购政策需满足的资格要求：本项目属于非专门面向中小企业采购的项目</w:t>
      </w:r>
      <w:r>
        <w:rPr>
          <w:rFonts w:hint="eastAsia" w:asciiTheme="minorEastAsia" w:hAnsiTheme="minorEastAsia" w:eastAsiaTheme="minorEastAsia" w:cstheme="minorEastAsia"/>
          <w:i w:val="0"/>
          <w:color w:val="auto"/>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iCs/>
          <w:color w:val="auto"/>
          <w:sz w:val="28"/>
          <w:szCs w:val="28"/>
          <w:highlight w:val="none"/>
          <w:u w:val="single"/>
          <w:lang w:eastAsia="zh-CN"/>
        </w:rPr>
      </w:pPr>
      <w:r>
        <w:rPr>
          <w:rFonts w:hint="eastAsia" w:asciiTheme="minorEastAsia" w:hAnsiTheme="minorEastAsia" w:eastAsiaTheme="minorEastAsia" w:cstheme="minorEastAsia"/>
          <w:i w:val="0"/>
          <w:color w:val="auto"/>
          <w:sz w:val="28"/>
          <w:szCs w:val="28"/>
          <w:highlight w:val="none"/>
        </w:rPr>
        <w:t>3.本项目的特定资格要求：</w:t>
      </w:r>
      <w:r>
        <w:rPr>
          <w:rFonts w:hint="eastAsia" w:asciiTheme="minorEastAsia" w:hAnsiTheme="minorEastAsia" w:eastAsiaTheme="minorEastAsia" w:cstheme="minorEastAsia"/>
          <w:i w:val="0"/>
          <w:color w:val="auto"/>
          <w:sz w:val="28"/>
          <w:szCs w:val="28"/>
          <w:highlight w:val="none"/>
          <w:u w:val="single"/>
          <w:lang w:eastAsia="zh-CN"/>
        </w:rPr>
        <w:t>无</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14" w:name="_Toc35393800"/>
      <w:bookmarkStart w:id="15" w:name="_Toc35393631"/>
      <w:r>
        <w:rPr>
          <w:rFonts w:hint="eastAsia" w:asciiTheme="minorEastAsia" w:hAnsiTheme="minorEastAsia" w:eastAsiaTheme="minorEastAsia" w:cstheme="minorEastAsia"/>
          <w:b w:val="0"/>
          <w:i w:val="0"/>
          <w:color w:val="auto"/>
          <w:sz w:val="28"/>
          <w:szCs w:val="28"/>
          <w:highlight w:val="none"/>
        </w:rPr>
        <w:t>三、获取采购文件</w:t>
      </w:r>
      <w:bookmarkEnd w:id="12"/>
      <w:bookmarkEnd w:id="13"/>
      <w:bookmarkEnd w:id="14"/>
      <w:bookmarkEnd w:id="15"/>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1.文件获取时间：2020年7月22日至2020年7月27日，上午8时00分到12时00分，下午3时00分到6时00分，双休日和法定节假日不办理业务。</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2.发售地点：获取竞争性谈判文件地点、方式：登录“政采云”平台系统（https://www.zcy.gov.cn/）进行项目报名、下载竞争性谈判文件。供应商在公告规定的竞争性谈判文件获取时间内报名及缴纳工本费的，方为报名成功。成功报名及下载竞争性谈判文件后，将竞争性谈判文件工本费300元（售后不退）以转账或电汇等非现金形式交到以下账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开户名称：广西桂水工程咨询有限公司梧州分公司</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开户行：中国建设银行梧州市新兴三路支行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账号：45001648655050701825</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3.供应商在索取发票时，请提供纳税人识别号或统一社会信用代码、地址、电话、开户行及帐号信息。</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16" w:name="_Toc28359015"/>
      <w:bookmarkStart w:id="17" w:name="_Toc28359092"/>
      <w:bookmarkStart w:id="18" w:name="_Toc35393632"/>
      <w:bookmarkStart w:id="19" w:name="_Toc35393801"/>
      <w:r>
        <w:rPr>
          <w:rFonts w:hint="eastAsia" w:asciiTheme="minorEastAsia" w:hAnsiTheme="minorEastAsia" w:eastAsiaTheme="minorEastAsia" w:cstheme="minorEastAsia"/>
          <w:b w:val="0"/>
          <w:i w:val="0"/>
          <w:color w:val="auto"/>
          <w:sz w:val="28"/>
          <w:szCs w:val="28"/>
          <w:highlight w:val="none"/>
        </w:rPr>
        <w:t>四、响应文件提交</w:t>
      </w:r>
      <w:bookmarkEnd w:id="16"/>
      <w:bookmarkEnd w:id="17"/>
      <w:bookmarkEnd w:id="18"/>
      <w:bookmarkEnd w:id="19"/>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Cs/>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截止时间：</w:t>
      </w:r>
      <w:r>
        <w:rPr>
          <w:rFonts w:hint="eastAsia" w:asciiTheme="minorEastAsia" w:hAnsiTheme="minorEastAsia" w:eastAsiaTheme="minorEastAsia" w:cstheme="minorEastAsia"/>
          <w:i w:val="0"/>
          <w:color w:val="auto"/>
          <w:sz w:val="28"/>
          <w:szCs w:val="28"/>
          <w:highlight w:val="none"/>
          <w:u w:val="single"/>
          <w:lang w:val="en-US" w:eastAsia="zh-CN"/>
        </w:rPr>
        <w:t>2020</w:t>
      </w:r>
      <w:r>
        <w:rPr>
          <w:rFonts w:hint="eastAsia" w:asciiTheme="minorEastAsia" w:hAnsiTheme="minorEastAsia" w:eastAsiaTheme="minorEastAsia" w:cstheme="minorEastAsia"/>
          <w:bCs/>
          <w:i w:val="0"/>
          <w:color w:val="auto"/>
          <w:sz w:val="28"/>
          <w:szCs w:val="28"/>
          <w:highlight w:val="none"/>
          <w:u w:val="single"/>
        </w:rPr>
        <w:t>年</w:t>
      </w:r>
      <w:r>
        <w:rPr>
          <w:rFonts w:hint="eastAsia" w:asciiTheme="minorEastAsia" w:hAnsiTheme="minorEastAsia" w:eastAsiaTheme="minorEastAsia" w:cstheme="minorEastAsia"/>
          <w:bCs/>
          <w:i w:val="0"/>
          <w:color w:val="auto"/>
          <w:sz w:val="28"/>
          <w:szCs w:val="28"/>
          <w:highlight w:val="none"/>
          <w:u w:val="single"/>
          <w:lang w:val="en-US" w:eastAsia="zh-CN"/>
        </w:rPr>
        <w:t>7</w:t>
      </w:r>
      <w:r>
        <w:rPr>
          <w:rFonts w:hint="eastAsia" w:asciiTheme="minorEastAsia" w:hAnsiTheme="minorEastAsia" w:eastAsiaTheme="minorEastAsia" w:cstheme="minorEastAsia"/>
          <w:bCs/>
          <w:i w:val="0"/>
          <w:color w:val="auto"/>
          <w:sz w:val="28"/>
          <w:szCs w:val="28"/>
          <w:highlight w:val="none"/>
          <w:u w:val="single"/>
        </w:rPr>
        <w:t>月</w:t>
      </w:r>
      <w:r>
        <w:rPr>
          <w:rFonts w:hint="eastAsia" w:asciiTheme="minorEastAsia" w:hAnsiTheme="minorEastAsia" w:eastAsiaTheme="minorEastAsia" w:cstheme="minorEastAsia"/>
          <w:bCs/>
          <w:i w:val="0"/>
          <w:color w:val="auto"/>
          <w:sz w:val="28"/>
          <w:szCs w:val="28"/>
          <w:highlight w:val="none"/>
          <w:u w:val="single"/>
          <w:lang w:val="en-US" w:eastAsia="zh-CN"/>
        </w:rPr>
        <w:t>28</w:t>
      </w:r>
      <w:r>
        <w:rPr>
          <w:rFonts w:hint="eastAsia" w:asciiTheme="minorEastAsia" w:hAnsiTheme="minorEastAsia" w:eastAsiaTheme="minorEastAsia" w:cstheme="minorEastAsia"/>
          <w:bCs/>
          <w:i w:val="0"/>
          <w:color w:val="auto"/>
          <w:sz w:val="28"/>
          <w:szCs w:val="28"/>
          <w:highlight w:val="none"/>
          <w:u w:val="single"/>
        </w:rPr>
        <w:t>日</w:t>
      </w:r>
      <w:r>
        <w:rPr>
          <w:rFonts w:hint="eastAsia" w:asciiTheme="minorEastAsia" w:hAnsiTheme="minorEastAsia" w:eastAsiaTheme="minorEastAsia" w:cstheme="minorEastAsia"/>
          <w:bCs/>
          <w:i w:val="0"/>
          <w:color w:val="auto"/>
          <w:sz w:val="28"/>
          <w:szCs w:val="28"/>
          <w:highlight w:val="none"/>
          <w:u w:val="single"/>
          <w:lang w:val="en-US" w:eastAsia="zh-CN"/>
        </w:rPr>
        <w:t>9</w:t>
      </w:r>
      <w:r>
        <w:rPr>
          <w:rFonts w:hint="eastAsia" w:asciiTheme="minorEastAsia" w:hAnsiTheme="minorEastAsia" w:eastAsiaTheme="minorEastAsia" w:cstheme="minorEastAsia"/>
          <w:bCs/>
          <w:i w:val="0"/>
          <w:color w:val="auto"/>
          <w:sz w:val="28"/>
          <w:szCs w:val="28"/>
          <w:highlight w:val="none"/>
          <w:u w:val="single"/>
          <w:lang w:eastAsia="zh-CN"/>
        </w:rPr>
        <w:t>时</w:t>
      </w:r>
      <w:r>
        <w:rPr>
          <w:rFonts w:hint="eastAsia" w:asciiTheme="minorEastAsia" w:hAnsiTheme="minorEastAsia" w:eastAsiaTheme="minorEastAsia" w:cstheme="minorEastAsia"/>
          <w:bCs/>
          <w:i w:val="0"/>
          <w:color w:val="auto"/>
          <w:sz w:val="28"/>
          <w:szCs w:val="28"/>
          <w:highlight w:val="none"/>
          <w:u w:val="single"/>
          <w:lang w:val="en-US" w:eastAsia="zh-CN"/>
        </w:rPr>
        <w:t>30</w:t>
      </w:r>
      <w:r>
        <w:rPr>
          <w:rFonts w:hint="eastAsia" w:asciiTheme="minorEastAsia" w:hAnsiTheme="minorEastAsia" w:eastAsiaTheme="minorEastAsia" w:cstheme="minorEastAsia"/>
          <w:bCs/>
          <w:i w:val="0"/>
          <w:color w:val="auto"/>
          <w:sz w:val="28"/>
          <w:szCs w:val="28"/>
          <w:highlight w:val="none"/>
          <w:u w:val="single"/>
        </w:rPr>
        <w:t>分</w:t>
      </w:r>
      <w:r>
        <w:rPr>
          <w:rFonts w:hint="eastAsia" w:asciiTheme="minorEastAsia" w:hAnsiTheme="minorEastAsia" w:eastAsiaTheme="minorEastAsia" w:cstheme="minorEastAsia"/>
          <w:bCs/>
          <w:i w:val="0"/>
          <w:color w:val="auto"/>
          <w:sz w:val="28"/>
          <w:szCs w:val="28"/>
          <w:highlight w:val="none"/>
        </w:rPr>
        <w:t>（北京时间）</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Cs/>
          <w:i w:val="0"/>
          <w:color w:val="auto"/>
          <w:sz w:val="28"/>
          <w:szCs w:val="28"/>
          <w:highlight w:val="none"/>
          <w:u w:val="single"/>
        </w:rPr>
      </w:pPr>
      <w:r>
        <w:rPr>
          <w:rFonts w:hint="eastAsia" w:asciiTheme="minorEastAsia" w:hAnsiTheme="minorEastAsia" w:eastAsiaTheme="minorEastAsia" w:cstheme="minorEastAsia"/>
          <w:i w:val="0"/>
          <w:color w:val="auto"/>
          <w:sz w:val="28"/>
          <w:szCs w:val="28"/>
          <w:highlight w:val="none"/>
        </w:rPr>
        <w:t>地点：广西桂水工程咨询有限公司梧州分公司开标厅（详细地址见下文）</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20" w:name="_Toc35393633"/>
      <w:bookmarkStart w:id="21" w:name="_Toc28359016"/>
      <w:bookmarkStart w:id="22" w:name="_Toc35393802"/>
      <w:bookmarkStart w:id="23" w:name="_Toc28359093"/>
      <w:r>
        <w:rPr>
          <w:rFonts w:hint="eastAsia" w:asciiTheme="minorEastAsia" w:hAnsiTheme="minorEastAsia" w:eastAsiaTheme="minorEastAsia" w:cstheme="minorEastAsia"/>
          <w:b w:val="0"/>
          <w:i w:val="0"/>
          <w:color w:val="auto"/>
          <w:sz w:val="28"/>
          <w:szCs w:val="28"/>
          <w:highlight w:val="none"/>
        </w:rPr>
        <w:t>五、开启</w:t>
      </w:r>
      <w:bookmarkEnd w:id="20"/>
      <w:bookmarkEnd w:id="21"/>
      <w:bookmarkEnd w:id="22"/>
      <w:bookmarkEnd w:id="23"/>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Cs/>
          <w:i w:val="0"/>
          <w:color w:val="auto"/>
          <w:sz w:val="28"/>
          <w:szCs w:val="28"/>
          <w:highlight w:val="none"/>
          <w:u w:val="single"/>
        </w:rPr>
      </w:pPr>
      <w:r>
        <w:rPr>
          <w:rFonts w:hint="eastAsia" w:asciiTheme="minorEastAsia" w:hAnsiTheme="minorEastAsia" w:eastAsiaTheme="minorEastAsia" w:cstheme="minorEastAsia"/>
          <w:i w:val="0"/>
          <w:color w:val="auto"/>
          <w:sz w:val="28"/>
          <w:szCs w:val="28"/>
          <w:highlight w:val="none"/>
        </w:rPr>
        <w:t>时间：</w:t>
      </w:r>
      <w:r>
        <w:rPr>
          <w:rFonts w:hint="eastAsia" w:asciiTheme="minorEastAsia" w:hAnsiTheme="minorEastAsia" w:eastAsiaTheme="minorEastAsia" w:cstheme="minorEastAsia"/>
          <w:i w:val="0"/>
          <w:color w:val="auto"/>
          <w:sz w:val="28"/>
          <w:szCs w:val="28"/>
          <w:highlight w:val="none"/>
          <w:u w:val="single"/>
          <w:lang w:val="en-US" w:eastAsia="zh-CN"/>
        </w:rPr>
        <w:t>2020</w:t>
      </w:r>
      <w:r>
        <w:rPr>
          <w:rFonts w:hint="eastAsia" w:asciiTheme="minorEastAsia" w:hAnsiTheme="minorEastAsia" w:eastAsiaTheme="minorEastAsia" w:cstheme="minorEastAsia"/>
          <w:bCs/>
          <w:i w:val="0"/>
          <w:color w:val="auto"/>
          <w:sz w:val="28"/>
          <w:szCs w:val="28"/>
          <w:highlight w:val="none"/>
          <w:u w:val="single"/>
        </w:rPr>
        <w:t>年</w:t>
      </w:r>
      <w:r>
        <w:rPr>
          <w:rFonts w:hint="eastAsia" w:asciiTheme="minorEastAsia" w:hAnsiTheme="minorEastAsia" w:eastAsiaTheme="minorEastAsia" w:cstheme="minorEastAsia"/>
          <w:bCs/>
          <w:i w:val="0"/>
          <w:color w:val="auto"/>
          <w:sz w:val="28"/>
          <w:szCs w:val="28"/>
          <w:highlight w:val="none"/>
          <w:u w:val="single"/>
          <w:lang w:val="en-US" w:eastAsia="zh-CN"/>
        </w:rPr>
        <w:t>7</w:t>
      </w:r>
      <w:r>
        <w:rPr>
          <w:rFonts w:hint="eastAsia" w:asciiTheme="minorEastAsia" w:hAnsiTheme="minorEastAsia" w:eastAsiaTheme="minorEastAsia" w:cstheme="minorEastAsia"/>
          <w:bCs/>
          <w:i w:val="0"/>
          <w:color w:val="auto"/>
          <w:sz w:val="28"/>
          <w:szCs w:val="28"/>
          <w:highlight w:val="none"/>
          <w:u w:val="single"/>
        </w:rPr>
        <w:t>月</w:t>
      </w:r>
      <w:r>
        <w:rPr>
          <w:rFonts w:hint="eastAsia" w:asciiTheme="minorEastAsia" w:hAnsiTheme="minorEastAsia" w:eastAsiaTheme="minorEastAsia" w:cstheme="minorEastAsia"/>
          <w:bCs/>
          <w:i w:val="0"/>
          <w:color w:val="auto"/>
          <w:sz w:val="28"/>
          <w:szCs w:val="28"/>
          <w:highlight w:val="none"/>
          <w:u w:val="single"/>
          <w:lang w:val="en-US" w:eastAsia="zh-CN"/>
        </w:rPr>
        <w:t>28</w:t>
      </w:r>
      <w:r>
        <w:rPr>
          <w:rFonts w:hint="eastAsia" w:asciiTheme="minorEastAsia" w:hAnsiTheme="minorEastAsia" w:eastAsiaTheme="minorEastAsia" w:cstheme="minorEastAsia"/>
          <w:bCs/>
          <w:i w:val="0"/>
          <w:color w:val="auto"/>
          <w:sz w:val="28"/>
          <w:szCs w:val="28"/>
          <w:highlight w:val="none"/>
          <w:u w:val="single"/>
        </w:rPr>
        <w:t>日</w:t>
      </w:r>
      <w:r>
        <w:rPr>
          <w:rFonts w:hint="eastAsia" w:asciiTheme="minorEastAsia" w:hAnsiTheme="minorEastAsia" w:eastAsiaTheme="minorEastAsia" w:cstheme="minorEastAsia"/>
          <w:bCs/>
          <w:i w:val="0"/>
          <w:color w:val="auto"/>
          <w:sz w:val="28"/>
          <w:szCs w:val="28"/>
          <w:highlight w:val="none"/>
          <w:u w:val="single"/>
          <w:lang w:val="en-US" w:eastAsia="zh-CN"/>
        </w:rPr>
        <w:t>9</w:t>
      </w:r>
      <w:r>
        <w:rPr>
          <w:rFonts w:hint="eastAsia" w:asciiTheme="minorEastAsia" w:hAnsiTheme="minorEastAsia" w:eastAsiaTheme="minorEastAsia" w:cstheme="minorEastAsia"/>
          <w:bCs/>
          <w:i w:val="0"/>
          <w:color w:val="auto"/>
          <w:sz w:val="28"/>
          <w:szCs w:val="28"/>
          <w:highlight w:val="none"/>
          <w:u w:val="single"/>
          <w:lang w:eastAsia="zh-CN"/>
        </w:rPr>
        <w:t>时</w:t>
      </w:r>
      <w:r>
        <w:rPr>
          <w:rFonts w:hint="eastAsia" w:asciiTheme="minorEastAsia" w:hAnsiTheme="minorEastAsia" w:eastAsiaTheme="minorEastAsia" w:cstheme="minorEastAsia"/>
          <w:bCs/>
          <w:i w:val="0"/>
          <w:color w:val="auto"/>
          <w:sz w:val="28"/>
          <w:szCs w:val="28"/>
          <w:highlight w:val="none"/>
          <w:u w:val="single"/>
          <w:lang w:val="en-US" w:eastAsia="zh-CN"/>
        </w:rPr>
        <w:t>30</w:t>
      </w:r>
      <w:r>
        <w:rPr>
          <w:rFonts w:hint="eastAsia" w:asciiTheme="minorEastAsia" w:hAnsiTheme="minorEastAsia" w:eastAsiaTheme="minorEastAsia" w:cstheme="minorEastAsia"/>
          <w:bCs/>
          <w:i w:val="0"/>
          <w:color w:val="auto"/>
          <w:sz w:val="28"/>
          <w:szCs w:val="28"/>
          <w:highlight w:val="none"/>
          <w:u w:val="single"/>
        </w:rPr>
        <w:t>分</w:t>
      </w:r>
      <w:r>
        <w:rPr>
          <w:rFonts w:hint="eastAsia" w:asciiTheme="minorEastAsia" w:hAnsiTheme="minorEastAsia" w:eastAsiaTheme="minorEastAsia" w:cstheme="minorEastAsia"/>
          <w:bCs/>
          <w:i w:val="0"/>
          <w:color w:val="auto"/>
          <w:sz w:val="28"/>
          <w:szCs w:val="28"/>
          <w:highlight w:val="none"/>
        </w:rPr>
        <w:t>（北京时间）</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Cs/>
          <w:i w:val="0"/>
          <w:color w:val="auto"/>
          <w:sz w:val="28"/>
          <w:szCs w:val="28"/>
          <w:highlight w:val="none"/>
          <w:u w:val="single"/>
          <w:lang w:eastAsia="zh-CN"/>
        </w:rPr>
      </w:pPr>
      <w:r>
        <w:rPr>
          <w:rFonts w:hint="eastAsia" w:asciiTheme="minorEastAsia" w:hAnsiTheme="minorEastAsia" w:eastAsiaTheme="minorEastAsia" w:cstheme="minorEastAsia"/>
          <w:i w:val="0"/>
          <w:color w:val="auto"/>
          <w:sz w:val="28"/>
          <w:szCs w:val="28"/>
          <w:highlight w:val="none"/>
        </w:rPr>
        <w:t>地点：广西桂水工程咨询有限公司梧州分公司开标厅（详细地址见下文），逾期送达的将予以拒收</w:t>
      </w:r>
      <w:r>
        <w:rPr>
          <w:rFonts w:hint="eastAsia" w:asciiTheme="minorEastAsia" w:hAnsiTheme="minorEastAsia" w:eastAsiaTheme="minorEastAsia" w:cstheme="minorEastAsia"/>
          <w:i w:val="0"/>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24" w:name="_Toc28359094"/>
      <w:bookmarkStart w:id="25" w:name="_Toc35393803"/>
      <w:bookmarkStart w:id="26" w:name="_Toc28359017"/>
      <w:bookmarkStart w:id="27" w:name="_Toc35393634"/>
      <w:r>
        <w:rPr>
          <w:rFonts w:hint="eastAsia" w:asciiTheme="minorEastAsia" w:hAnsiTheme="minorEastAsia" w:eastAsiaTheme="minorEastAsia" w:cstheme="minorEastAsia"/>
          <w:b w:val="0"/>
          <w:i w:val="0"/>
          <w:color w:val="auto"/>
          <w:sz w:val="28"/>
          <w:szCs w:val="28"/>
          <w:highlight w:val="none"/>
        </w:rPr>
        <w:t>六、公告期限</w:t>
      </w:r>
      <w:bookmarkEnd w:id="24"/>
      <w:bookmarkEnd w:id="25"/>
      <w:bookmarkEnd w:id="26"/>
      <w:bookmarkEnd w:id="27"/>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kern w:val="0"/>
          <w:sz w:val="28"/>
          <w:szCs w:val="28"/>
          <w:highlight w:val="none"/>
        </w:rPr>
      </w:pPr>
      <w:r>
        <w:rPr>
          <w:rFonts w:hint="eastAsia" w:asciiTheme="minorEastAsia" w:hAnsiTheme="minorEastAsia" w:eastAsiaTheme="minorEastAsia" w:cstheme="minorEastAsia"/>
          <w:i w:val="0"/>
          <w:color w:val="auto"/>
          <w:kern w:val="0"/>
          <w:sz w:val="28"/>
          <w:szCs w:val="28"/>
          <w:highlight w:val="none"/>
        </w:rPr>
        <w:t>自本公告发布之日起3个工作日。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28" w:name="_Toc35393804"/>
      <w:bookmarkStart w:id="29" w:name="_Toc35393635"/>
      <w:r>
        <w:rPr>
          <w:rFonts w:hint="eastAsia" w:asciiTheme="minorEastAsia" w:hAnsiTheme="minorEastAsia" w:eastAsiaTheme="minorEastAsia" w:cstheme="minorEastAsia"/>
          <w:b w:val="0"/>
          <w:i w:val="0"/>
          <w:color w:val="auto"/>
          <w:sz w:val="28"/>
          <w:szCs w:val="28"/>
          <w:highlight w:val="none"/>
        </w:rPr>
        <w:t>七、其他补充事宜</w:t>
      </w:r>
      <w:bookmarkEnd w:id="28"/>
      <w:bookmarkEnd w:id="29"/>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eastAsia="zh-CN"/>
        </w:rPr>
      </w:pPr>
      <w:r>
        <w:rPr>
          <w:rFonts w:hint="eastAsia" w:asciiTheme="minorEastAsia" w:hAnsiTheme="minorEastAsia" w:eastAsiaTheme="minorEastAsia" w:cstheme="minorEastAsia"/>
          <w:i w:val="0"/>
          <w:color w:val="auto"/>
          <w:sz w:val="28"/>
          <w:szCs w:val="28"/>
          <w:highlight w:val="none"/>
          <w:lang w:val="en-US" w:eastAsia="zh-CN"/>
        </w:rPr>
        <w:t>1.</w:t>
      </w:r>
      <w:r>
        <w:rPr>
          <w:rFonts w:hint="eastAsia" w:asciiTheme="minorEastAsia" w:hAnsiTheme="minorEastAsia" w:eastAsiaTheme="minorEastAsia" w:cstheme="minorEastAsia"/>
          <w:i w:val="0"/>
          <w:color w:val="auto"/>
          <w:sz w:val="28"/>
          <w:szCs w:val="28"/>
          <w:highlight w:val="none"/>
          <w:lang w:eastAsia="zh-CN"/>
        </w:rPr>
        <w:t>本项目需要落实的政府采购政策：</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eastAsia="zh-CN"/>
        </w:rPr>
      </w:pPr>
      <w:r>
        <w:rPr>
          <w:rFonts w:hint="eastAsia" w:asciiTheme="minorEastAsia" w:hAnsiTheme="minorEastAsia" w:eastAsiaTheme="minorEastAsia" w:cstheme="minorEastAsia"/>
          <w:i w:val="0"/>
          <w:color w:val="auto"/>
          <w:sz w:val="28"/>
          <w:szCs w:val="28"/>
          <w:highlight w:val="none"/>
          <w:lang w:eastAsia="zh-CN"/>
        </w:rPr>
        <w:t>（1）政府采购促进中小企业发展；（2）政府采购支持采用本国产品的政策；（3）最后报价相同时，优先采购环境标志产品、节能产品；（4）政府采购促进残疾人就业政策；（5）政府采购支持监狱企业发展；（6）扶持不发达地区和少数民族地区政策。</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2.发布公告的媒介：</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中国政府采购网、广西壮族自治区政府采购网、梧州市政府采购网。</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default"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val="en-US" w:eastAsia="zh-CN"/>
        </w:rPr>
        <w:t>3.本项目</w:t>
      </w:r>
      <w:bookmarkStart w:id="188" w:name="_GoBack"/>
      <w:bookmarkEnd w:id="188"/>
      <w:r>
        <w:rPr>
          <w:rFonts w:hint="eastAsia" w:asciiTheme="minorEastAsia" w:hAnsiTheme="minorEastAsia" w:eastAsiaTheme="minorEastAsia" w:cstheme="minorEastAsia"/>
          <w:i w:val="0"/>
          <w:color w:val="auto"/>
          <w:sz w:val="28"/>
          <w:szCs w:val="28"/>
          <w:highlight w:val="none"/>
          <w:lang w:val="en-US" w:eastAsia="zh-CN"/>
        </w:rPr>
        <w:t>不接受未购买本竞争性谈判采购文件的供应商竞标。</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30" w:name="_Toc35393805"/>
      <w:bookmarkStart w:id="31" w:name="_Toc35393636"/>
      <w:bookmarkStart w:id="32" w:name="_Toc28359018"/>
      <w:bookmarkStart w:id="33" w:name="_Toc28359095"/>
      <w:r>
        <w:rPr>
          <w:rFonts w:hint="eastAsia" w:asciiTheme="minorEastAsia" w:hAnsiTheme="minorEastAsia" w:eastAsiaTheme="minorEastAsia" w:cstheme="minorEastAsia"/>
          <w:b w:val="0"/>
          <w:i w:val="0"/>
          <w:color w:val="auto"/>
          <w:sz w:val="28"/>
          <w:szCs w:val="28"/>
          <w:highlight w:val="none"/>
        </w:rPr>
        <w:t>八、凡对本次采购提出询问，请按以下方式联系。</w:t>
      </w:r>
      <w:bookmarkEnd w:id="30"/>
      <w:bookmarkEnd w:id="31"/>
      <w:bookmarkEnd w:id="32"/>
      <w:bookmarkEnd w:id="33"/>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34" w:name="_Toc35393806"/>
      <w:bookmarkStart w:id="35" w:name="_Toc35393637"/>
      <w:bookmarkStart w:id="36" w:name="_Toc28359019"/>
      <w:bookmarkStart w:id="37" w:name="_Toc28359096"/>
      <w:r>
        <w:rPr>
          <w:rFonts w:hint="eastAsia" w:asciiTheme="minorEastAsia" w:hAnsiTheme="minorEastAsia" w:eastAsiaTheme="minorEastAsia" w:cstheme="minorEastAsia"/>
          <w:b w:val="0"/>
          <w:i w:val="0"/>
          <w:color w:val="auto"/>
          <w:sz w:val="28"/>
          <w:szCs w:val="28"/>
          <w:highlight w:val="none"/>
        </w:rPr>
        <w:t>1.采购人信息</w:t>
      </w:r>
      <w:bookmarkEnd w:id="34"/>
      <w:bookmarkEnd w:id="35"/>
      <w:bookmarkEnd w:id="36"/>
      <w:bookmarkEnd w:id="37"/>
    </w:p>
    <w:p>
      <w:pPr>
        <w:keepNext w:val="0"/>
        <w:keepLines w:val="0"/>
        <w:pageBreakBefore w:val="0"/>
        <w:widowControl/>
        <w:kinsoku/>
        <w:wordWrap/>
        <w:overflowPunct/>
        <w:topLinePunct w:val="0"/>
        <w:autoSpaceDE/>
        <w:autoSpaceDN/>
        <w:bidi w:val="0"/>
        <w:adjustRightInd w:val="0"/>
        <w:snapToGrid w:val="0"/>
        <w:spacing w:line="360" w:lineRule="auto"/>
        <w:ind w:firstLine="840" w:firstLineChars="300"/>
        <w:jc w:val="left"/>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名    称：</w:t>
      </w:r>
      <w:r>
        <w:rPr>
          <w:rFonts w:hint="eastAsia" w:asciiTheme="minorEastAsia" w:hAnsiTheme="minorEastAsia" w:eastAsiaTheme="minorEastAsia" w:cstheme="minorEastAsia"/>
          <w:i w:val="0"/>
          <w:color w:val="auto"/>
          <w:sz w:val="28"/>
          <w:szCs w:val="28"/>
          <w:highlight w:val="none"/>
          <w:u w:val="single"/>
        </w:rPr>
        <w:t>　</w:t>
      </w:r>
      <w:r>
        <w:rPr>
          <w:rFonts w:hint="eastAsia" w:asciiTheme="minorEastAsia" w:hAnsiTheme="minorEastAsia" w:eastAsiaTheme="minorEastAsia" w:cstheme="minorEastAsia"/>
          <w:i w:val="0"/>
          <w:color w:val="auto"/>
          <w:sz w:val="28"/>
          <w:szCs w:val="28"/>
          <w:highlight w:val="none"/>
          <w:u w:val="single"/>
          <w:lang w:eastAsia="zh-CN"/>
        </w:rPr>
        <w:t>梧州市万秀区民政局</w:t>
      </w:r>
      <w:r>
        <w:rPr>
          <w:rFonts w:hint="eastAsia" w:asciiTheme="minorEastAsia" w:hAnsiTheme="minorEastAsia" w:eastAsiaTheme="minorEastAsia" w:cstheme="minorEastAsia"/>
          <w:i w:val="0"/>
          <w:color w:val="auto"/>
          <w:sz w:val="28"/>
          <w:szCs w:val="28"/>
          <w:highlight w:val="none"/>
          <w:u w:val="single"/>
        </w:rPr>
        <w:t>　</w:t>
      </w:r>
    </w:p>
    <w:p>
      <w:pPr>
        <w:keepNext w:val="0"/>
        <w:keepLines w:val="0"/>
        <w:pageBreakBefore w:val="0"/>
        <w:widowControl/>
        <w:kinsoku/>
        <w:wordWrap/>
        <w:overflowPunct/>
        <w:topLinePunct w:val="0"/>
        <w:autoSpaceDE/>
        <w:autoSpaceDN/>
        <w:bidi w:val="0"/>
        <w:adjustRightInd w:val="0"/>
        <w:snapToGrid w:val="0"/>
        <w:spacing w:line="360" w:lineRule="auto"/>
        <w:ind w:firstLine="840" w:firstLineChars="300"/>
        <w:jc w:val="left"/>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地    址：</w:t>
      </w:r>
      <w:r>
        <w:rPr>
          <w:rFonts w:hint="eastAsia" w:asciiTheme="minorEastAsia" w:hAnsiTheme="minorEastAsia" w:eastAsiaTheme="minorEastAsia" w:cstheme="minorEastAsia"/>
          <w:i w:val="0"/>
          <w:color w:val="auto"/>
          <w:sz w:val="28"/>
          <w:szCs w:val="28"/>
          <w:highlight w:val="none"/>
          <w:u w:val="single"/>
        </w:rPr>
        <w:t>　梧州市万秀区居仁路57号5楼519室　</w:t>
      </w:r>
    </w:p>
    <w:p>
      <w:pPr>
        <w:keepNext w:val="0"/>
        <w:keepLines w:val="0"/>
        <w:pageBreakBefore w:val="0"/>
        <w:widowControl/>
        <w:kinsoku/>
        <w:wordWrap/>
        <w:overflowPunct/>
        <w:topLinePunct w:val="0"/>
        <w:autoSpaceDE/>
        <w:autoSpaceDN/>
        <w:bidi w:val="0"/>
        <w:adjustRightInd w:val="0"/>
        <w:snapToGrid w:val="0"/>
        <w:spacing w:line="360" w:lineRule="auto"/>
        <w:ind w:firstLine="840" w:firstLineChars="300"/>
        <w:jc w:val="left"/>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联系方式：</w:t>
      </w:r>
      <w:r>
        <w:rPr>
          <w:rFonts w:hint="eastAsia" w:asciiTheme="minorEastAsia" w:hAnsiTheme="minorEastAsia" w:eastAsiaTheme="minorEastAsia" w:cstheme="minorEastAsia"/>
          <w:i w:val="0"/>
          <w:color w:val="auto"/>
          <w:sz w:val="28"/>
          <w:szCs w:val="28"/>
          <w:highlight w:val="none"/>
          <w:u w:val="single"/>
        </w:rPr>
        <w:t>　</w:t>
      </w:r>
      <w:r>
        <w:rPr>
          <w:rFonts w:hint="eastAsia" w:asciiTheme="minorEastAsia" w:hAnsiTheme="minorEastAsia" w:eastAsiaTheme="minorEastAsia" w:cstheme="minorEastAsia"/>
          <w:i w:val="0"/>
          <w:color w:val="auto"/>
          <w:sz w:val="28"/>
          <w:szCs w:val="28"/>
          <w:highlight w:val="none"/>
          <w:u w:val="single"/>
          <w:lang w:eastAsia="zh-CN"/>
        </w:rPr>
        <w:t>叶先生</w:t>
      </w:r>
      <w:r>
        <w:rPr>
          <w:rFonts w:hint="eastAsia" w:asciiTheme="minorEastAsia" w:hAnsiTheme="minorEastAsia" w:eastAsiaTheme="minorEastAsia" w:cstheme="minorEastAsia"/>
          <w:i w:val="0"/>
          <w:color w:val="auto"/>
          <w:sz w:val="28"/>
          <w:szCs w:val="28"/>
          <w:highlight w:val="none"/>
          <w:u w:val="single"/>
          <w:lang w:val="en-US" w:eastAsia="zh-CN"/>
        </w:rPr>
        <w:t>/</w:t>
      </w:r>
      <w:r>
        <w:rPr>
          <w:rFonts w:hint="eastAsia" w:asciiTheme="minorEastAsia" w:hAnsiTheme="minorEastAsia" w:eastAsiaTheme="minorEastAsia" w:cstheme="minorEastAsia"/>
          <w:i w:val="0"/>
          <w:color w:val="auto"/>
          <w:sz w:val="28"/>
          <w:szCs w:val="28"/>
          <w:highlight w:val="none"/>
          <w:u w:val="single"/>
        </w:rPr>
        <w:t xml:space="preserve">0774-3823560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b w:val="0"/>
          <w:i w:val="0"/>
          <w:color w:val="auto"/>
          <w:sz w:val="28"/>
          <w:szCs w:val="28"/>
          <w:highlight w:val="none"/>
        </w:rPr>
      </w:pPr>
      <w:bookmarkStart w:id="38" w:name="_Toc35393807"/>
      <w:bookmarkStart w:id="39" w:name="_Toc28359020"/>
      <w:bookmarkStart w:id="40" w:name="_Toc28359097"/>
      <w:bookmarkStart w:id="41" w:name="_Toc35393638"/>
      <w:r>
        <w:rPr>
          <w:rFonts w:hint="eastAsia" w:asciiTheme="minorEastAsia" w:hAnsiTheme="minorEastAsia" w:eastAsiaTheme="minorEastAsia" w:cstheme="minorEastAsia"/>
          <w:b w:val="0"/>
          <w:i w:val="0"/>
          <w:color w:val="auto"/>
          <w:sz w:val="28"/>
          <w:szCs w:val="28"/>
          <w:highlight w:val="none"/>
        </w:rPr>
        <w:t>2.采购代理机构信息</w:t>
      </w:r>
      <w:bookmarkEnd w:id="38"/>
      <w:bookmarkEnd w:id="39"/>
      <w:bookmarkEnd w:id="40"/>
      <w:bookmarkEnd w:id="41"/>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名    称：</w:t>
      </w:r>
      <w:r>
        <w:rPr>
          <w:rFonts w:hint="eastAsia" w:asciiTheme="minorEastAsia" w:hAnsiTheme="minorEastAsia" w:eastAsiaTheme="minorEastAsia" w:cstheme="minorEastAsia"/>
          <w:i w:val="0"/>
          <w:color w:val="auto"/>
          <w:sz w:val="28"/>
          <w:szCs w:val="28"/>
          <w:highlight w:val="none"/>
          <w:u w:val="single"/>
        </w:rPr>
        <w:t>　广西桂水工程咨询有限公司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rPr>
      </w:pPr>
      <w:r>
        <w:rPr>
          <w:rFonts w:hint="eastAsia" w:asciiTheme="minorEastAsia" w:hAnsiTheme="minorEastAsia" w:eastAsiaTheme="minorEastAsia" w:cstheme="minorEastAsia"/>
          <w:i w:val="0"/>
          <w:color w:val="auto"/>
          <w:sz w:val="28"/>
          <w:szCs w:val="28"/>
          <w:highlight w:val="none"/>
        </w:rPr>
        <w:t>地　　址：</w:t>
      </w:r>
      <w:r>
        <w:rPr>
          <w:rFonts w:hint="eastAsia" w:asciiTheme="minorEastAsia" w:hAnsiTheme="minorEastAsia" w:eastAsiaTheme="minorEastAsia" w:cstheme="minorEastAsia"/>
          <w:i w:val="0"/>
          <w:color w:val="auto"/>
          <w:sz w:val="28"/>
          <w:szCs w:val="28"/>
          <w:highlight w:val="none"/>
          <w:u w:val="single"/>
        </w:rPr>
        <w:t>广西梧州市新湖一路52号（梅西生活广场西侧对面广宇花园小区内）2号楼B2单元102房（广宇花园东门进入小区后，直行经过小区鱼池拱桥后右边第二幢中间单元一楼）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i w:val="0"/>
          <w:color w:val="auto"/>
          <w:sz w:val="28"/>
          <w:szCs w:val="28"/>
          <w:highlight w:val="none"/>
          <w:u w:val="single"/>
        </w:rPr>
      </w:pPr>
      <w:r>
        <w:rPr>
          <w:rFonts w:hint="eastAsia" w:asciiTheme="minorEastAsia" w:hAnsiTheme="minorEastAsia" w:eastAsiaTheme="minorEastAsia" w:cstheme="minorEastAsia"/>
          <w:i w:val="0"/>
          <w:color w:val="auto"/>
          <w:sz w:val="28"/>
          <w:szCs w:val="28"/>
          <w:highlight w:val="none"/>
        </w:rPr>
        <w:t>联系方式：</w:t>
      </w:r>
      <w:r>
        <w:rPr>
          <w:rFonts w:hint="eastAsia" w:asciiTheme="minorEastAsia" w:hAnsiTheme="minorEastAsia" w:eastAsiaTheme="minorEastAsia" w:cstheme="minorEastAsia"/>
          <w:i w:val="0"/>
          <w:color w:val="auto"/>
          <w:sz w:val="28"/>
          <w:szCs w:val="28"/>
          <w:highlight w:val="none"/>
          <w:u w:val="single"/>
        </w:rPr>
        <w:t>　</w:t>
      </w:r>
      <w:r>
        <w:rPr>
          <w:rFonts w:hint="eastAsia" w:asciiTheme="minorEastAsia" w:hAnsiTheme="minorEastAsia" w:eastAsiaTheme="minorEastAsia" w:cstheme="minorEastAsia"/>
          <w:i w:val="0"/>
          <w:color w:val="auto"/>
          <w:sz w:val="28"/>
          <w:szCs w:val="28"/>
          <w:highlight w:val="none"/>
          <w:u w:val="single"/>
          <w:lang w:eastAsia="zh-CN"/>
        </w:rPr>
        <w:t>黎工</w:t>
      </w:r>
      <w:r>
        <w:rPr>
          <w:rFonts w:hint="eastAsia" w:asciiTheme="minorEastAsia" w:hAnsiTheme="minorEastAsia" w:eastAsiaTheme="minorEastAsia" w:cstheme="minorEastAsia"/>
          <w:i w:val="0"/>
          <w:color w:val="auto"/>
          <w:sz w:val="28"/>
          <w:szCs w:val="28"/>
          <w:highlight w:val="none"/>
          <w:u w:val="single"/>
          <w:lang w:val="en-US" w:eastAsia="zh-CN"/>
        </w:rPr>
        <w:t>/0774-3858333</w:t>
      </w:r>
      <w:r>
        <w:rPr>
          <w:rFonts w:hint="eastAsia" w:asciiTheme="minorEastAsia" w:hAnsiTheme="minorEastAsia" w:eastAsiaTheme="minorEastAsia" w:cstheme="minorEastAsia"/>
          <w:i w:val="0"/>
          <w:color w:val="auto"/>
          <w:sz w:val="28"/>
          <w:szCs w:val="28"/>
          <w:highlight w:val="none"/>
          <w:u w:val="single"/>
        </w:rPr>
        <w:t>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default" w:asciiTheme="minorEastAsia" w:hAnsiTheme="minorEastAsia" w:eastAsiaTheme="minorEastAsia" w:cstheme="minorEastAsia"/>
          <w:i w:val="0"/>
          <w:color w:val="auto"/>
          <w:sz w:val="28"/>
          <w:szCs w:val="28"/>
          <w:highlight w:val="none"/>
          <w:lang w:val="en-US" w:eastAsia="zh-CN"/>
        </w:rPr>
      </w:pPr>
      <w:r>
        <w:rPr>
          <w:rFonts w:hint="eastAsia" w:asciiTheme="minorEastAsia" w:hAnsiTheme="minorEastAsia" w:eastAsiaTheme="minorEastAsia" w:cstheme="minorEastAsia"/>
          <w:i w:val="0"/>
          <w:color w:val="auto"/>
          <w:sz w:val="28"/>
          <w:szCs w:val="28"/>
          <w:highlight w:val="none"/>
          <w:lang w:eastAsia="zh-CN"/>
        </w:rPr>
        <w:t>日期：</w:t>
      </w:r>
      <w:r>
        <w:rPr>
          <w:rFonts w:hint="eastAsia" w:asciiTheme="minorEastAsia" w:hAnsiTheme="minorEastAsia" w:eastAsiaTheme="minorEastAsia" w:cstheme="minorEastAsia"/>
          <w:i w:val="0"/>
          <w:color w:val="auto"/>
          <w:sz w:val="28"/>
          <w:szCs w:val="28"/>
          <w:highlight w:val="none"/>
          <w:lang w:val="en-US" w:eastAsia="zh-CN"/>
        </w:rPr>
        <w:t>2020年7月22日</w:t>
      </w:r>
    </w:p>
    <w:p>
      <w:pPr>
        <w:rPr>
          <w:color w:val="auto"/>
          <w:highlight w:val="none"/>
        </w:rPr>
      </w:pPr>
    </w:p>
    <w:p>
      <w:pPr>
        <w:pStyle w:val="3"/>
        <w:ind w:firstLine="200"/>
        <w:rPr>
          <w:rFonts w:hint="eastAsia" w:asciiTheme="minorEastAsia" w:hAnsiTheme="minorEastAsia" w:eastAsiaTheme="minorEastAsia"/>
          <w:color w:val="auto"/>
          <w:highlight w:val="none"/>
        </w:rPr>
        <w:sectPr>
          <w:footerReference r:id="rId9" w:type="default"/>
          <w:pgSz w:w="11907" w:h="16840"/>
          <w:pgMar w:top="1077" w:right="1275" w:bottom="1418" w:left="1077" w:header="624" w:footer="737" w:gutter="0"/>
          <w:pgNumType w:start="1"/>
          <w:cols w:space="720" w:num="1"/>
          <w:docGrid w:linePitch="312" w:charSpace="0"/>
        </w:sectPr>
      </w:pPr>
      <w:bookmarkStart w:id="42" w:name="_Toc246095514"/>
      <w:bookmarkStart w:id="43" w:name="_Toc7192542"/>
      <w:bookmarkStart w:id="44" w:name="_Toc246095452"/>
      <w:bookmarkStart w:id="45" w:name="_Toc246094908"/>
    </w:p>
    <w:p>
      <w:pPr>
        <w:pStyle w:val="3"/>
        <w:ind w:firstLine="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第二章  供应商须知</w:t>
      </w:r>
      <w:bookmarkEnd w:id="42"/>
      <w:bookmarkEnd w:id="43"/>
      <w:bookmarkEnd w:id="44"/>
      <w:bookmarkEnd w:id="45"/>
    </w:p>
    <w:p>
      <w:pPr>
        <w:spacing w:after="0" w:line="400" w:lineRule="exact"/>
        <w:ind w:firstLine="440" w:firstLineChars="200"/>
        <w:rPr>
          <w:rFonts w:asciiTheme="minorEastAsia" w:hAnsiTheme="minorEastAsia" w:eastAsiaTheme="minorEastAsia"/>
          <w:color w:val="auto"/>
          <w:highlight w:val="none"/>
        </w:rPr>
      </w:pPr>
    </w:p>
    <w:p>
      <w:pPr>
        <w:pStyle w:val="4"/>
        <w:spacing w:line="400" w:lineRule="exact"/>
        <w:ind w:firstLine="640" w:firstLineChars="200"/>
        <w:rPr>
          <w:rFonts w:asciiTheme="minorEastAsia" w:hAnsiTheme="minorEastAsia" w:eastAsiaTheme="minorEastAsia"/>
          <w:color w:val="auto"/>
          <w:highlight w:val="none"/>
        </w:rPr>
      </w:pPr>
      <w:bookmarkStart w:id="46" w:name="_Toc7192543"/>
      <w:bookmarkStart w:id="47" w:name="_Toc246095453"/>
      <w:bookmarkStart w:id="48" w:name="_Toc246095515"/>
      <w:bookmarkStart w:id="49" w:name="_Toc246094909"/>
      <w:r>
        <w:rPr>
          <w:rFonts w:hint="eastAsia" w:asciiTheme="minorEastAsia" w:hAnsiTheme="minorEastAsia" w:eastAsiaTheme="minorEastAsia"/>
          <w:color w:val="auto"/>
          <w:highlight w:val="none"/>
        </w:rPr>
        <w:t>供应商须知前附表</w:t>
      </w:r>
      <w:bookmarkEnd w:id="46"/>
      <w:bookmarkEnd w:id="47"/>
      <w:bookmarkEnd w:id="48"/>
      <w:bookmarkEnd w:id="49"/>
    </w:p>
    <w:tbl>
      <w:tblPr>
        <w:tblStyle w:val="37"/>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83"/>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条款号</w:t>
            </w:r>
          </w:p>
        </w:tc>
        <w:tc>
          <w:tcPr>
            <w:tcW w:w="1283" w:type="dxa"/>
            <w:vAlign w:val="center"/>
          </w:tcPr>
          <w:p>
            <w:pPr>
              <w:spacing w:after="0"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条款名称</w:t>
            </w:r>
          </w:p>
        </w:tc>
        <w:tc>
          <w:tcPr>
            <w:tcW w:w="7290" w:type="dxa"/>
            <w:vAlign w:val="center"/>
          </w:tcPr>
          <w:p>
            <w:pPr>
              <w:spacing w:after="0" w:line="400" w:lineRule="exact"/>
              <w:ind w:firstLine="482" w:firstLineChars="20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w:t>
            </w:r>
          </w:p>
        </w:tc>
        <w:tc>
          <w:tcPr>
            <w:tcW w:w="7290" w:type="dxa"/>
            <w:vAlign w:val="center"/>
          </w:tcPr>
          <w:p>
            <w:pPr>
              <w:spacing w:after="0" w:line="400" w:lineRule="exac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梧州市万秀区民政局</w:t>
            </w:r>
          </w:p>
          <w:p>
            <w:pPr>
              <w:spacing w:after="0"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联系地址：梧州市万秀区居仁路57号5楼519室</w:t>
            </w:r>
          </w:p>
          <w:p>
            <w:pPr>
              <w:pStyle w:val="20"/>
              <w:spacing w:line="40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联系人：</w:t>
            </w:r>
            <w:r>
              <w:rPr>
                <w:rFonts w:hint="eastAsia" w:asciiTheme="minorEastAsia" w:hAnsiTheme="minorEastAsia" w:eastAsiaTheme="minorEastAsia"/>
                <w:color w:val="auto"/>
                <w:sz w:val="24"/>
                <w:szCs w:val="24"/>
                <w:highlight w:val="none"/>
                <w:lang w:eastAsia="zh-CN"/>
              </w:rPr>
              <w:t>叶先生</w:t>
            </w:r>
          </w:p>
          <w:p>
            <w:pPr>
              <w:pStyle w:val="20"/>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联系电话：0774-3823560</w:t>
            </w:r>
          </w:p>
          <w:p>
            <w:pPr>
              <w:spacing w:after="0" w:line="400" w:lineRule="exac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邮 箱：wxqmzj@163.com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采购代理机构</w:t>
            </w:r>
          </w:p>
        </w:tc>
        <w:tc>
          <w:tcPr>
            <w:tcW w:w="7290" w:type="dxa"/>
            <w:vAlign w:val="center"/>
          </w:tcPr>
          <w:p>
            <w:pPr>
              <w:spacing w:after="0"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名称：广西桂水工程咨询有限公司</w:t>
            </w:r>
          </w:p>
          <w:p>
            <w:pPr>
              <w:spacing w:after="0"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联系地址：广西梧州市新湖一路52号（梅西生活广场西侧对面广宇花园小区内）2号楼B2单元102房（广宇花园东门进入小区后，直行经过小区鱼池拱桥后右边第二幢中间单元一楼）</w:t>
            </w:r>
          </w:p>
          <w:p>
            <w:pPr>
              <w:spacing w:after="0" w:line="400" w:lineRule="exac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eastAsia="zh-CN"/>
              </w:rPr>
              <w:t>黎工</w:t>
            </w:r>
          </w:p>
          <w:p>
            <w:pPr>
              <w:spacing w:after="0" w:line="400" w:lineRule="exac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lang w:val="en-US" w:eastAsia="zh-CN"/>
              </w:rPr>
              <w:t>0774-3858333</w:t>
            </w:r>
          </w:p>
          <w:p>
            <w:pPr>
              <w:spacing w:after="0"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邮箱：GGECCWZF@163.COM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7290" w:type="dxa"/>
            <w:vAlign w:val="center"/>
          </w:tcPr>
          <w:p>
            <w:pPr>
              <w:spacing w:after="0" w:line="400" w:lineRule="exac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万秀区社区居家养老服务中心视频设备采购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项目编号</w:t>
            </w:r>
          </w:p>
        </w:tc>
        <w:tc>
          <w:tcPr>
            <w:tcW w:w="7290" w:type="dxa"/>
            <w:vAlign w:val="center"/>
          </w:tcPr>
          <w:p>
            <w:pPr>
              <w:spacing w:after="0" w:line="400" w:lineRule="exac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WX</w:t>
            </w:r>
            <w:r>
              <w:rPr>
                <w:rFonts w:hint="eastAsia" w:cs="宋体" w:asciiTheme="minorEastAsia" w:hAnsiTheme="minorEastAsia" w:eastAsiaTheme="minorEastAsia"/>
                <w:color w:val="auto"/>
                <w:sz w:val="24"/>
                <w:highlight w:val="none"/>
              </w:rPr>
              <w:t>ZC2019-J1-00</w:t>
            </w:r>
            <w:r>
              <w:rPr>
                <w:rFonts w:hint="eastAsia" w:cs="宋体" w:asciiTheme="minorEastAsia" w:hAnsiTheme="minorEastAsia" w:eastAsiaTheme="minorEastAsia"/>
                <w:color w:val="auto"/>
                <w:sz w:val="24"/>
                <w:highlight w:val="none"/>
                <w:lang w:val="en-US" w:eastAsia="zh-CN"/>
              </w:rPr>
              <w:t>238</w:t>
            </w:r>
            <w:r>
              <w:rPr>
                <w:rFonts w:hint="eastAsia" w:cs="宋体" w:asciiTheme="minorEastAsia" w:hAnsiTheme="minorEastAsia" w:eastAsiaTheme="minorEastAsia"/>
                <w:color w:val="auto"/>
                <w:sz w:val="24"/>
                <w:highlight w:val="none"/>
              </w:rPr>
              <w:t>-GS</w:t>
            </w:r>
            <w:r>
              <w:rPr>
                <w:rFonts w:hint="eastAsia" w:cs="宋体" w:asciiTheme="minorEastAsia" w:hAnsiTheme="minorEastAsia" w:eastAsiaTheme="minorEastAsia"/>
                <w:color w:val="auto"/>
                <w:sz w:val="24"/>
                <w:highlight w:val="none"/>
                <w:lang w:val="en-US" w:eastAsia="zh-CN"/>
              </w:rPr>
              <w:t>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采购预算</w:t>
            </w:r>
          </w:p>
        </w:tc>
        <w:tc>
          <w:tcPr>
            <w:tcW w:w="7290" w:type="dxa"/>
            <w:vAlign w:val="center"/>
          </w:tcPr>
          <w:p>
            <w:pPr>
              <w:spacing w:after="0" w:line="400" w:lineRule="exact"/>
              <w:rPr>
                <w:rFonts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人民币</w:t>
            </w:r>
            <w:r>
              <w:rPr>
                <w:rFonts w:cs="Arial" w:asciiTheme="minorEastAsia" w:hAnsiTheme="minorEastAsia" w:eastAsiaTheme="minorEastAsia"/>
                <w:bCs/>
                <w:color w:val="auto"/>
                <w:sz w:val="24"/>
                <w:highlight w:val="none"/>
              </w:rPr>
              <w:t>38</w:t>
            </w:r>
            <w:r>
              <w:rPr>
                <w:rFonts w:hint="eastAsia" w:cs="Arial" w:asciiTheme="minorEastAsia" w:hAnsiTheme="minorEastAsia" w:eastAsiaTheme="minorEastAsia"/>
                <w:bCs/>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资金来源</w:t>
            </w:r>
          </w:p>
        </w:tc>
        <w:tc>
          <w:tcPr>
            <w:tcW w:w="7290" w:type="dxa"/>
            <w:vAlign w:val="center"/>
          </w:tcPr>
          <w:p>
            <w:pPr>
              <w:spacing w:after="0"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政府财政性资金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0"/>
              <w:spacing w:line="360" w:lineRule="exact"/>
              <w:jc w:val="center"/>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1.8</w:t>
            </w:r>
          </w:p>
        </w:tc>
        <w:tc>
          <w:tcPr>
            <w:tcW w:w="1283" w:type="dxa"/>
            <w:vAlign w:val="center"/>
          </w:tcPr>
          <w:p>
            <w:pPr>
              <w:pStyle w:val="20"/>
              <w:spacing w:line="360" w:lineRule="exact"/>
              <w:jc w:val="center"/>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预留采购份额</w:t>
            </w:r>
          </w:p>
        </w:tc>
        <w:tc>
          <w:tcPr>
            <w:tcW w:w="7290" w:type="dxa"/>
            <w:vAlign w:val="center"/>
          </w:tcPr>
          <w:p>
            <w:pPr>
              <w:pStyle w:val="20"/>
              <w:spacing w:line="360" w:lineRule="exact"/>
              <w:ind w:left="682" w:hanging="681" w:hangingChars="284"/>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供应商资格条件</w:t>
            </w:r>
          </w:p>
        </w:tc>
        <w:tc>
          <w:tcPr>
            <w:tcW w:w="7290" w:type="dxa"/>
            <w:vAlign w:val="center"/>
          </w:tcPr>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基本资格条件：符合《中华人民共和国政府采购法》第二十二条规定，且为境内注册（指按国家有关规定要求注册的），生产或经营本次采购货物的供应商。包括：</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（1）具有独立承担民事责任的能力；</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（2）具有良好的商业信誉和健全的财务会计制度；</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（3）具有履行合同所必需的设备和专业技术能力；</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（4）有依法缴纳税收和社会保障资金的良好记录；</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（5）参加政府采购活动前三年内，在经营活动中没有重大违法记录。</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（6）诚信要求：未</w:t>
            </w:r>
            <w:r>
              <w:rPr>
                <w:rFonts w:hint="eastAsia" w:cs="Arial" w:asciiTheme="minorEastAsia" w:hAnsiTheme="minorEastAsia" w:eastAsiaTheme="minorEastAsia"/>
                <w:color w:val="auto"/>
                <w:sz w:val="24"/>
                <w:highlight w:val="none"/>
              </w:rPr>
              <w:t>列入失信被执行人、重大税收违法案件当事人名单、政府采购严重违法失信行为记录名单。</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）法律、行政法规规定的其他条件：具体内容见第四章“评审方法及评审标准”。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以上具体内容见第四章“评审方法及评审标准”。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供应商的特定要求：</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（1）资质要求：无。</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）其他要求：无。</w:t>
            </w:r>
          </w:p>
          <w:p>
            <w:pPr>
              <w:spacing w:after="0" w:line="400" w:lineRule="exact"/>
              <w:ind w:firstLine="480" w:firstLineChars="200"/>
              <w:rPr>
                <w:rFonts w:cs="Arial"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cs="Arial" w:asciiTheme="minorEastAsia" w:hAnsiTheme="minorEastAsia" w:eastAsiaTheme="minorEastAsia"/>
                <w:color w:val="auto"/>
                <w:sz w:val="24"/>
                <w:highlight w:val="none"/>
              </w:rPr>
              <w:t>存在本章“供应商须知正文”3.3所述情形的供应商，不得参加同一合同项下的政府采购活动。</w:t>
            </w:r>
          </w:p>
          <w:p>
            <w:pPr>
              <w:spacing w:after="0" w:line="400" w:lineRule="exact"/>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按本项目采购公告规定方式获得竞争性谈判文件。</w:t>
            </w:r>
          </w:p>
          <w:p>
            <w:pPr>
              <w:spacing w:after="0" w:line="400" w:lineRule="exact"/>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5</w:t>
            </w:r>
            <w:r>
              <w:rPr>
                <w:rFonts w:hint="eastAsia" w:cs="Arial" w:asciiTheme="minorEastAsia" w:hAnsiTheme="minorEastAsia" w:eastAsiaTheme="minorEastAsia"/>
                <w:color w:val="auto"/>
                <w:sz w:val="24"/>
                <w:highlight w:val="none"/>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招标代理服务费</w:t>
            </w:r>
          </w:p>
        </w:tc>
        <w:tc>
          <w:tcPr>
            <w:tcW w:w="7290" w:type="dxa"/>
            <w:vAlign w:val="center"/>
          </w:tcPr>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本项目招标代理服务费按本章第33条规定的费率标准，按差额定率累进法计算。成交人领取成交通知书前，应向采购代理机构一次付清招标代理服务费。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现场勘察</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1"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Theme="minorEastAsia" w:hAnsiTheme="minorEastAsia" w:eastAsiaTheme="minorEastAsia"/>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10.1.1</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价格文件组成内容</w:t>
            </w:r>
          </w:p>
        </w:tc>
        <w:tc>
          <w:tcPr>
            <w:tcW w:w="7290" w:type="dxa"/>
            <w:vAlign w:val="center"/>
          </w:tcPr>
          <w:p>
            <w:pPr>
              <w:autoSpaceDE w:val="0"/>
              <w:autoSpaceDN w:val="0"/>
              <w:spacing w:after="0" w:line="400" w:lineRule="exact"/>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价格文件（下列文件列明“必须提供”的，须加盖公章按要求提供，否则作竞标无效处理）</w:t>
            </w:r>
            <w:r>
              <w:rPr>
                <w:rFonts w:hint="eastAsia" w:cs="宋体" w:asciiTheme="minorEastAsia" w:hAnsiTheme="minorEastAsia" w:eastAsiaTheme="minorEastAsia"/>
                <w:color w:val="auto"/>
                <w:sz w:val="24"/>
                <w:highlight w:val="none"/>
              </w:rPr>
              <w:t>：</w:t>
            </w:r>
          </w:p>
          <w:p>
            <w:pPr>
              <w:pStyle w:val="94"/>
              <w:numPr>
                <w:ilvl w:val="0"/>
                <w:numId w:val="2"/>
              </w:numPr>
              <w:autoSpaceDE w:val="0"/>
              <w:autoSpaceDN w:val="0"/>
              <w:spacing w:after="0" w:line="400" w:lineRule="exact"/>
              <w:ind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谈判报价表；（格式见附件，</w:t>
            </w:r>
            <w:r>
              <w:rPr>
                <w:rFonts w:hint="eastAsia" w:cs="宋体" w:asciiTheme="minorEastAsia" w:hAnsiTheme="minorEastAsia" w:eastAsiaTheme="minorEastAsia"/>
                <w:b/>
                <w:color w:val="auto"/>
                <w:sz w:val="24"/>
                <w:highlight w:val="none"/>
              </w:rPr>
              <w:t>必须提供)</w:t>
            </w:r>
          </w:p>
          <w:p>
            <w:pPr>
              <w:autoSpaceDE w:val="0"/>
              <w:autoSpaceDN w:val="0"/>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10.1.2</w:t>
            </w:r>
          </w:p>
        </w:tc>
        <w:tc>
          <w:tcPr>
            <w:tcW w:w="1283" w:type="dxa"/>
            <w:vAlign w:val="center"/>
          </w:tcPr>
          <w:p>
            <w:pPr>
              <w:spacing w:after="0"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商务技术文件组成内容</w:t>
            </w:r>
          </w:p>
        </w:tc>
        <w:tc>
          <w:tcPr>
            <w:tcW w:w="7290" w:type="dxa"/>
            <w:vAlign w:val="center"/>
          </w:tcPr>
          <w:p>
            <w:pPr>
              <w:wordWrap w:val="0"/>
              <w:topLinePunct/>
              <w:adjustRightInd/>
              <w:spacing w:after="0"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商务技术文件（下列文件列明“必须提供”的，须加盖公章按要求提供，否则作竞标无效处理；其余项结合第三章“项目采购需求和说明”要求提供，要求“必须提供”的，如未提供，谈判小组有权拒绝其响应文件。</w:t>
            </w:r>
            <w:r>
              <w:rPr>
                <w:rFonts w:hint="eastAsia" w:cs="宋体" w:asciiTheme="minorEastAsia" w:hAnsiTheme="minorEastAsia" w:eastAsiaTheme="minorEastAsia"/>
                <w:b/>
                <w:color w:val="auto"/>
                <w:sz w:val="24"/>
                <w:highlight w:val="none"/>
                <w:u w:val="single"/>
              </w:rPr>
              <w:t>供应商所提供的材料不完整，或模糊不清以致关键信息无法辨认的，谈判小组有权认定该材料无效</w:t>
            </w:r>
            <w:r>
              <w:rPr>
                <w:rFonts w:hint="eastAsia" w:cs="宋体" w:asciiTheme="minorEastAsia" w:hAnsiTheme="minorEastAsia" w:eastAsiaTheme="minorEastAsia"/>
                <w:b/>
                <w:color w:val="auto"/>
                <w:sz w:val="24"/>
                <w:highlight w:val="none"/>
              </w:rPr>
              <w:t>。其他如有请提供）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谈判书；（格式见附件，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竞标声明书；（格式见附件，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谈判保证金交纳证明材料；</w:t>
            </w:r>
            <w:r>
              <w:rPr>
                <w:rFonts w:hint="eastAsia" w:cs="宋体" w:asciiTheme="minorEastAsia" w:hAnsiTheme="minorEastAsia" w:eastAsiaTheme="minorEastAsia"/>
                <w:b/>
                <w:color w:val="auto"/>
                <w:sz w:val="24"/>
                <w:highlight w:val="none"/>
              </w:rPr>
              <w:t>(</w:t>
            </w:r>
            <w:r>
              <w:rPr>
                <w:rFonts w:hint="eastAsia" w:cs="宋体" w:asciiTheme="minorEastAsia" w:hAnsiTheme="minorEastAsia" w:eastAsiaTheme="minorEastAsia"/>
                <w:b/>
                <w:color w:val="auto"/>
                <w:sz w:val="24"/>
                <w:highlight w:val="none"/>
                <w:lang w:eastAsia="zh-CN"/>
              </w:rPr>
              <w:t>如有，请</w:t>
            </w:r>
            <w:r>
              <w:rPr>
                <w:rFonts w:hint="eastAsia" w:cs="宋体" w:asciiTheme="minorEastAsia" w:hAnsiTheme="minorEastAsia" w:eastAsiaTheme="minorEastAsia"/>
                <w:b/>
                <w:color w:val="auto"/>
                <w:sz w:val="24"/>
                <w:highlight w:val="none"/>
              </w:rPr>
              <w:t>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技术响应、偏离情况说明表；（格式见附件，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商务响应表；（格式见附件，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售后服务承诺（由供应商按本项目竞争性谈判文件第三章“项目采购需求和说明”要求自行编制）；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有效的“营业执照”正本或副本复印件</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事业单位提供事业单位法人证书）；</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有效证明（复印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交响应文件截止之日前三个月内任意一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供应商201</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年度的财务报表（账务报表至少包含资产负债表、利润表、现金流量表及其附注）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具备履行合同所必需的设备和专业技术服务能力的承诺书（格式见附件）；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参加本次政府采购活动前三年内在经营活动中无重大违法记录</w:t>
            </w:r>
            <w:r>
              <w:rPr>
                <w:rFonts w:hint="eastAsia" w:cs="宋体" w:asciiTheme="minorEastAsia" w:hAnsiTheme="minorEastAsia" w:eastAsiaTheme="minorEastAsia"/>
                <w:color w:val="auto"/>
                <w:sz w:val="24"/>
                <w:highlight w:val="none"/>
              </w:rPr>
              <w:t>的书面声明原件；（格式见附件，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本须知3.1款对</w:t>
            </w:r>
            <w:r>
              <w:rPr>
                <w:rFonts w:hint="eastAsia" w:asciiTheme="minorEastAsia" w:hAnsiTheme="minorEastAsia" w:eastAsiaTheme="minorEastAsia"/>
                <w:color w:val="auto"/>
                <w:sz w:val="24"/>
                <w:highlight w:val="none"/>
              </w:rPr>
              <w:t>供应商特定要求的证明材料</w:t>
            </w:r>
            <w:r>
              <w:rPr>
                <w:rFonts w:hint="eastAsia" w:cs="宋体" w:asciiTheme="minorEastAsia" w:hAnsiTheme="minorEastAsia" w:eastAsiaTheme="minorEastAsia"/>
                <w:b/>
                <w:color w:val="auto"/>
                <w:sz w:val="24"/>
                <w:highlight w:val="none"/>
              </w:rPr>
              <w:t>（如有要求的，必须提供）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法定代表人身份证明书原件及法定代表人有效身份证正反面复印件；（格式见附件）</w:t>
            </w:r>
            <w:r>
              <w:rPr>
                <w:rFonts w:hint="eastAsia" w:cs="宋体" w:asciiTheme="minorEastAsia" w:hAnsiTheme="minorEastAsia" w:eastAsiaTheme="minorEastAsia"/>
                <w:b/>
                <w:color w:val="auto"/>
                <w:sz w:val="24"/>
                <w:highlight w:val="none"/>
              </w:rPr>
              <w:t>（必须提供）</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法定代表人授权委托书原件及被授权人有效身份证正反面复印件；（格式见附件，</w:t>
            </w:r>
            <w:r>
              <w:rPr>
                <w:rFonts w:hint="eastAsia" w:cs="宋体" w:asciiTheme="minorEastAsia" w:hAnsiTheme="minorEastAsia" w:eastAsiaTheme="minorEastAsia"/>
                <w:b/>
                <w:color w:val="auto"/>
                <w:sz w:val="24"/>
                <w:highlight w:val="none"/>
              </w:rPr>
              <w:t>委托时必须提供，否则竞标无效）</w:t>
            </w:r>
          </w:p>
          <w:p>
            <w:pPr>
              <w:pStyle w:val="94"/>
              <w:numPr>
                <w:ilvl w:val="0"/>
                <w:numId w:val="3"/>
              </w:numPr>
              <w:autoSpaceDE w:val="0"/>
              <w:autoSpaceDN w:val="0"/>
              <w:spacing w:after="0" w:line="400" w:lineRule="exact"/>
              <w:ind w:left="0"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认为需要提供的有关资料、文件、说明（如货物认证、检测报告、鉴定证书；产品获奖证书；产品样本、使用保养说明书、图纸等技术资料；竞标产品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10.1.3</w:t>
            </w:r>
          </w:p>
        </w:tc>
        <w:tc>
          <w:tcPr>
            <w:tcW w:w="1283" w:type="dxa"/>
            <w:vAlign w:val="center"/>
          </w:tcPr>
          <w:p>
            <w:pPr>
              <w:spacing w:after="0" w:line="400" w:lineRule="exact"/>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响应文件电子版</w:t>
            </w:r>
          </w:p>
        </w:tc>
        <w:tc>
          <w:tcPr>
            <w:tcW w:w="7290" w:type="dxa"/>
            <w:vAlign w:val="center"/>
          </w:tcPr>
          <w:p>
            <w:pPr>
              <w:autoSpaceDE w:val="0"/>
              <w:autoSpaceDN w:val="0"/>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w:char="F0FE"/>
            </w:r>
            <w:r>
              <w:rPr>
                <w:rFonts w:hint="eastAsia" w:cs="宋体" w:asciiTheme="minorEastAsia" w:hAnsiTheme="minorEastAsia" w:eastAsiaTheme="minorEastAsia"/>
                <w:color w:val="auto"/>
                <w:sz w:val="24"/>
                <w:highlight w:val="none"/>
              </w:rPr>
              <w:t>需要提供,供应商在递交响应文件时，需同时递交响应文件电子版。具体要求：</w:t>
            </w:r>
          </w:p>
          <w:p>
            <w:pPr>
              <w:autoSpaceDE w:val="0"/>
              <w:autoSpaceDN w:val="0"/>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（1）响应文件电子版内容：与全部响应文件正本内容一致；</w:t>
            </w:r>
          </w:p>
          <w:p>
            <w:pPr>
              <w:autoSpaceDE w:val="0"/>
              <w:autoSpaceDN w:val="0"/>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（2）响应文件电子版份数：1份；</w:t>
            </w:r>
          </w:p>
          <w:p>
            <w:pPr>
              <w:autoSpaceDE w:val="0"/>
              <w:autoSpaceDN w:val="0"/>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（3）响应文件电子版形式：已签字盖章且未加密的PDF格式响应文件电子版光盘（或U盘）。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响应有效期</w:t>
            </w:r>
          </w:p>
        </w:tc>
        <w:tc>
          <w:tcPr>
            <w:tcW w:w="7290" w:type="dxa"/>
            <w:vAlign w:val="center"/>
          </w:tcPr>
          <w:p>
            <w:pPr>
              <w:spacing w:after="0"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13.1</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谈判保证金</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w:char="F0FE"/>
            </w:r>
            <w:r>
              <w:rPr>
                <w:rFonts w:hint="eastAsia" w:cs="宋体" w:asciiTheme="minorEastAsia" w:hAnsiTheme="minorEastAsia" w:eastAsiaTheme="minorEastAsia"/>
                <w:color w:val="auto"/>
                <w:sz w:val="24"/>
                <w:highlight w:val="none"/>
              </w:rPr>
              <w:t>需要缴纳谈判保证金</w:t>
            </w:r>
          </w:p>
          <w:p>
            <w:pPr>
              <w:spacing w:after="0" w:line="400" w:lineRule="exact"/>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谈判保证金金额：</w:t>
            </w:r>
            <w:r>
              <w:rPr>
                <w:rFonts w:hint="eastAsia" w:cs="宋体" w:asciiTheme="minorEastAsia" w:hAnsiTheme="minorEastAsia" w:eastAsiaTheme="minorEastAsia"/>
                <w:color w:val="auto"/>
                <w:sz w:val="24"/>
                <w:highlight w:val="none"/>
                <w:lang w:eastAsia="zh-CN"/>
              </w:rPr>
              <w:t>柒仟陆佰元整（￥</w:t>
            </w:r>
            <w:r>
              <w:rPr>
                <w:rFonts w:hint="eastAsia" w:cs="宋体" w:asciiTheme="minorEastAsia" w:hAnsiTheme="minorEastAsia" w:eastAsiaTheme="minorEastAsia"/>
                <w:color w:val="auto"/>
                <w:sz w:val="24"/>
                <w:highlight w:val="none"/>
                <w:lang w:val="en-US" w:eastAsia="zh-CN"/>
              </w:rPr>
              <w:t>7,600.00</w:t>
            </w:r>
            <w:r>
              <w:rPr>
                <w:rFonts w:hint="eastAsia" w:cs="宋体" w:asciiTheme="minorEastAsia" w:hAnsiTheme="minorEastAsia" w:eastAsiaTheme="minorEastAsia"/>
                <w:color w:val="auto"/>
                <w:sz w:val="24"/>
                <w:highlight w:val="none"/>
                <w:lang w:eastAsia="zh-CN"/>
              </w:rPr>
              <w:t>）</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谈判保证金交纳方式：以支票、汇票、本票、网上银行支付、保函等非现金形式。</w:t>
            </w:r>
          </w:p>
          <w:p>
            <w:pPr>
              <w:spacing w:after="0" w:line="40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谈判保证金通过银行支付的，必须从供应商银行账户转出并于响应文件递交截止时间前到达指定银行账户</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color w:val="auto"/>
                <w:sz w:val="24"/>
                <w:highlight w:val="none"/>
              </w:rPr>
              <w:t>否则视为无效谈判保证金。</w:t>
            </w:r>
          </w:p>
          <w:p>
            <w:pPr>
              <w:numPr>
                <w:ilvl w:val="0"/>
                <w:numId w:val="0"/>
              </w:numPr>
              <w:spacing w:after="0" w:line="400" w:lineRule="exact"/>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开户名称：广西桂水工程咨询有限公司梧州分公司</w:t>
            </w:r>
          </w:p>
          <w:p>
            <w:pPr>
              <w:spacing w:after="0" w:line="400" w:lineRule="exact"/>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开户银行：中国建设银行梧州市文澜支行</w:t>
            </w:r>
          </w:p>
          <w:p>
            <w:pPr>
              <w:spacing w:after="0" w:line="400" w:lineRule="exact"/>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银行账号：45050164865800000023</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办理谈判保证金缴纳手续时，请务必在银行进帐单或电汇单的用途或空白栏上注明项目名称</w:t>
            </w:r>
            <w:r>
              <w:rPr>
                <w:rFonts w:hint="eastAsia" w:asciiTheme="minorEastAsia" w:hAnsiTheme="minorEastAsia" w:eastAsiaTheme="minorEastAsia"/>
                <w:bCs/>
                <w:color w:val="auto"/>
                <w:sz w:val="24"/>
                <w:highlight w:val="none"/>
              </w:rPr>
              <w:t>（简称即可）</w:t>
            </w:r>
            <w:r>
              <w:rPr>
                <w:rFonts w:hint="eastAsia" w:asciiTheme="minorEastAsia" w:hAnsiTheme="minorEastAsia" w:eastAsiaTheme="minorEastAsia"/>
                <w:color w:val="auto"/>
                <w:sz w:val="24"/>
                <w:highlight w:val="none"/>
              </w:rPr>
              <w:t>或项目编号，以免耽误竞标。谈判保证金退还（不计息）均以转账形式退回到供应商银行账户。</w:t>
            </w:r>
          </w:p>
          <w:p>
            <w:pPr>
              <w:spacing w:after="0" w:line="400" w:lineRule="exact"/>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以保函形式提交谈判保证金的，在竞标截止时间前，供应商在递交响应文件时递交保函原件，由采购人核验保函信息，确认保函是否有效后交由采购人管理，保函原件无效的或未能在竞标截止时间前现场提交的，其竞标无效。</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（3）谈判保证金不足额缴纳的，或银行保函额度不足的，其竞标无效。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14.4</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响应文件份数</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正本一份、副本二份。即：“价格文件”正本一份，副本</w:t>
            </w:r>
            <w:r>
              <w:rPr>
                <w:rFonts w:hint="eastAsia" w:cs="宋体" w:asciiTheme="minorEastAsia" w:hAnsiTheme="minorEastAsia" w:eastAsiaTheme="minorEastAsia"/>
                <w:color w:val="auto"/>
                <w:sz w:val="24"/>
                <w:highlight w:val="none"/>
                <w:u w:val="single"/>
              </w:rPr>
              <w:t xml:space="preserve"> 二</w:t>
            </w:r>
            <w:r>
              <w:rPr>
                <w:rFonts w:hint="eastAsia" w:cs="宋体" w:asciiTheme="minorEastAsia" w:hAnsiTheme="minorEastAsia" w:eastAsiaTheme="minorEastAsia"/>
                <w:color w:val="auto"/>
                <w:sz w:val="24"/>
                <w:highlight w:val="none"/>
              </w:rPr>
              <w:t>份；“商务技术文件”正本一份，副本</w:t>
            </w:r>
            <w:r>
              <w:rPr>
                <w:rFonts w:hint="eastAsia" w:cs="宋体" w:asciiTheme="minorEastAsia" w:hAnsiTheme="minorEastAsia" w:eastAsiaTheme="minorEastAsia"/>
                <w:color w:val="auto"/>
                <w:sz w:val="24"/>
                <w:highlight w:val="none"/>
                <w:u w:val="single"/>
              </w:rPr>
              <w:t>二</w:t>
            </w:r>
            <w:r>
              <w:rPr>
                <w:rFonts w:hint="eastAsia" w:cs="宋体" w:asciiTheme="minorEastAsia" w:hAnsiTheme="minorEastAsia" w:eastAsiaTheme="minor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16.1</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2020</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28</w:t>
            </w:r>
            <w:r>
              <w:rPr>
                <w:rFonts w:hint="eastAsia" w:cs="宋体" w:asciiTheme="minorEastAsia" w:hAnsiTheme="minorEastAsia" w:eastAsiaTheme="minorEastAsia"/>
                <w:color w:val="auto"/>
                <w:sz w:val="24"/>
                <w:highlight w:val="none"/>
              </w:rPr>
              <w:t>日9时</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16.2</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响应文件递交地点</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广西桂水工程咨询有限公司梧州分公司开标室（广西梧州市新湖一路52号（梅西生活广场西侧对面广宇花园小区内）2号楼B2单元102房（广宇花园东门进入小区后，直行经过小区鱼池拱桥后右边第二幢中间单元一楼））。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rPr>
              <w:t>.1</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谈判时间和地点</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谈判时间：</w:t>
            </w:r>
            <w:r>
              <w:rPr>
                <w:rFonts w:hint="eastAsia" w:cs="宋体" w:asciiTheme="minorEastAsia" w:hAnsiTheme="minorEastAsia" w:eastAsiaTheme="minorEastAsia"/>
                <w:color w:val="auto"/>
                <w:sz w:val="24"/>
                <w:highlight w:val="none"/>
                <w:lang w:val="en-US" w:eastAsia="zh-CN"/>
              </w:rPr>
              <w:t>2020</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28</w:t>
            </w:r>
            <w:r>
              <w:rPr>
                <w:rFonts w:hint="eastAsia" w:cs="宋体" w:asciiTheme="minorEastAsia" w:hAnsiTheme="minorEastAsia" w:eastAsiaTheme="minorEastAsia"/>
                <w:color w:val="auto"/>
                <w:sz w:val="24"/>
                <w:highlight w:val="none"/>
              </w:rPr>
              <w:t>日9时</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0分截标后（具体时间由采购代理机构另行通知）；</w:t>
            </w:r>
          </w:p>
          <w:p>
            <w:pPr>
              <w:spacing w:after="0" w:line="400" w:lineRule="exact"/>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谈判地点：广西桂水工程咨询有限公司梧州分公司开标室</w:t>
            </w:r>
            <w:r>
              <w:rPr>
                <w:rFonts w:hint="eastAsia" w:cs="宋体" w:asciiTheme="minorEastAsia" w:hAnsiTheme="minorEastAsia" w:eastAsiaTheme="minorEastAsia"/>
                <w:b/>
                <w:color w:val="auto"/>
                <w:sz w:val="24"/>
                <w:highlight w:val="none"/>
              </w:rPr>
              <w:t>；</w:t>
            </w:r>
          </w:p>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供应商法定代表人或其授权代表必须携带以下有效证件按时参加谈判会议，否则视为自动放弃谈判。</w:t>
            </w:r>
            <w:r>
              <w:rPr>
                <w:rFonts w:hint="eastAsia" w:cs="宋体" w:asciiTheme="minorEastAsia" w:hAnsiTheme="minorEastAsia" w:eastAsiaTheme="minorEastAsia"/>
                <w:b/>
                <w:color w:val="auto"/>
                <w:sz w:val="24"/>
                <w:highlight w:val="none"/>
              </w:rPr>
              <w:t>有效证件为：①授权委托书（法定代表人参加的不需提供授权委托书，但需提供法定代表人身份证明）和本人身份证原件。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评标办法</w:t>
            </w:r>
          </w:p>
        </w:tc>
        <w:tc>
          <w:tcPr>
            <w:tcW w:w="7290" w:type="dxa"/>
            <w:vAlign w:val="center"/>
          </w:tcPr>
          <w:p>
            <w:pPr>
              <w:spacing w:after="0"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30.1</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履约保证金</w:t>
            </w:r>
          </w:p>
        </w:tc>
        <w:tc>
          <w:tcPr>
            <w:tcW w:w="7290" w:type="dxa"/>
            <w:vAlign w:val="center"/>
          </w:tcPr>
          <w:p>
            <w:pPr>
              <w:spacing w:after="0" w:line="400" w:lineRule="exac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sym w:font="Wingdings" w:char="F0FE"/>
            </w:r>
            <w:r>
              <w:rPr>
                <w:rFonts w:hint="eastAsia" w:cs="宋体" w:asciiTheme="minorEastAsia" w:hAnsiTheme="minorEastAsia" w:eastAsiaTheme="minorEastAsia"/>
                <w:bCs/>
                <w:color w:val="auto"/>
                <w:sz w:val="24"/>
                <w:highlight w:val="none"/>
              </w:rPr>
              <w:t>需要缴纳履约保证金</w:t>
            </w:r>
          </w:p>
          <w:p>
            <w:pPr>
              <w:spacing w:after="0" w:line="400" w:lineRule="exact"/>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履约保证金金额：按中标金额的5%。</w:t>
            </w:r>
          </w:p>
          <w:p>
            <w:pPr>
              <w:spacing w:after="0" w:line="400" w:lineRule="exact"/>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履约保证金递交方式：</w:t>
            </w:r>
            <w:r>
              <w:rPr>
                <w:rFonts w:hint="eastAsia" w:cs="宋体" w:asciiTheme="minorEastAsia" w:hAnsiTheme="minorEastAsia" w:eastAsiaTheme="minorEastAsia"/>
                <w:b/>
                <w:bCs/>
                <w:color w:val="auto"/>
                <w:sz w:val="24"/>
                <w:highlight w:val="none"/>
              </w:rPr>
              <w:t>支票、汇票、本票、网上银行支付、保函等</w:t>
            </w:r>
            <w:r>
              <w:rPr>
                <w:rFonts w:hint="eastAsia" w:cs="宋体" w:asciiTheme="minorEastAsia" w:hAnsiTheme="minorEastAsia" w:eastAsiaTheme="minorEastAsia"/>
                <w:bCs/>
                <w:color w:val="auto"/>
                <w:sz w:val="24"/>
                <w:highlight w:val="none"/>
              </w:rPr>
              <w:t>非现金形式。</w:t>
            </w:r>
          </w:p>
          <w:p>
            <w:pPr>
              <w:spacing w:after="0" w:line="400" w:lineRule="exact"/>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履约保证金指定账户： </w:t>
            </w:r>
          </w:p>
          <w:p>
            <w:pPr>
              <w:spacing w:after="0" w:line="4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开户名称：梧州市万秀区民政局</w:t>
            </w:r>
          </w:p>
          <w:p>
            <w:pPr>
              <w:spacing w:after="0" w:line="4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开户银行：市区农信社国泰农信社</w:t>
            </w:r>
          </w:p>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银行账号：455212010108179428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w:t>
            </w: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招标代理服务费</w:t>
            </w:r>
          </w:p>
        </w:tc>
        <w:tc>
          <w:tcPr>
            <w:tcW w:w="7290" w:type="dxa"/>
            <w:vAlign w:val="center"/>
          </w:tcPr>
          <w:p>
            <w:pPr>
              <w:autoSpaceDE w:val="0"/>
              <w:autoSpaceDN w:val="0"/>
              <w:spacing w:after="0" w:line="400" w:lineRule="exact"/>
              <w:ind w:firstLine="480" w:firstLineChars="200"/>
              <w:textAlignment w:val="bottom"/>
              <w:rPr>
                <w:rFonts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sym w:font="Wingdings" w:char="F0FE"/>
            </w:r>
            <w:r>
              <w:rPr>
                <w:rFonts w:hint="eastAsia" w:asciiTheme="minorEastAsia" w:hAnsiTheme="minorEastAsia" w:eastAsiaTheme="minorEastAsia"/>
                <w:color w:val="auto"/>
                <w:sz w:val="24"/>
                <w:highlight w:val="none"/>
              </w:rPr>
              <w:t>招标代理服务费由成交人支付。</w:t>
            </w:r>
          </w:p>
          <w:p>
            <w:pPr>
              <w:autoSpaceDE w:val="0"/>
              <w:autoSpaceDN w:val="0"/>
              <w:spacing w:after="0" w:line="400" w:lineRule="exact"/>
              <w:ind w:firstLine="480" w:firstLineChars="20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（1）成交人领取成交通知书前，应向采购代理机构一次付清招标代理服务费，代理服务收费按下述标准（货物招标）以差额定率累进法计算收取，具体标准如下（不足3000元，按3000元收费）：</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1441"/>
              <w:gridCol w:w="121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tcBorders>
                    <w:tl2br w:val="single" w:color="auto" w:sz="4" w:space="0"/>
                  </w:tcBorders>
                  <w:noWrap w:val="0"/>
                  <w:vAlign w:val="top"/>
                </w:tcPr>
                <w:p>
                  <w:pPr>
                    <w:spacing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费率</w:t>
                  </w:r>
                </w:p>
                <w:p>
                  <w:pPr>
                    <w:spacing w:after="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成交金额</w:t>
                  </w:r>
                </w:p>
              </w:tc>
              <w:tc>
                <w:tcPr>
                  <w:tcW w:w="1441" w:type="dxa"/>
                  <w:noWrap w:val="0"/>
                  <w:vAlign w:val="center"/>
                </w:tcPr>
                <w:p>
                  <w:pPr>
                    <w:spacing w:after="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210" w:type="dxa"/>
                  <w:noWrap w:val="0"/>
                  <w:vAlign w:val="center"/>
                </w:tcPr>
                <w:p>
                  <w:pPr>
                    <w:spacing w:after="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318" w:type="dxa"/>
                  <w:noWrap w:val="0"/>
                  <w:vAlign w:val="center"/>
                </w:tcPr>
                <w:p>
                  <w:pPr>
                    <w:spacing w:after="0"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100万元以下</w:t>
                  </w:r>
                </w:p>
              </w:tc>
              <w:tc>
                <w:tcPr>
                  <w:tcW w:w="1441"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210"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318"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100～500万元</w:t>
                  </w:r>
                </w:p>
              </w:tc>
              <w:tc>
                <w:tcPr>
                  <w:tcW w:w="1441"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10"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w:t>
                  </w:r>
                </w:p>
              </w:tc>
              <w:tc>
                <w:tcPr>
                  <w:tcW w:w="1318"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500～1000万元</w:t>
                  </w:r>
                </w:p>
              </w:tc>
              <w:tc>
                <w:tcPr>
                  <w:tcW w:w="1441"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w:t>
                  </w:r>
                </w:p>
              </w:tc>
              <w:tc>
                <w:tcPr>
                  <w:tcW w:w="1210"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318"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1000～5000万元</w:t>
                  </w:r>
                </w:p>
              </w:tc>
              <w:tc>
                <w:tcPr>
                  <w:tcW w:w="1441"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w:t>
                  </w:r>
                </w:p>
              </w:tc>
              <w:tc>
                <w:tcPr>
                  <w:tcW w:w="1210"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318" w:type="dxa"/>
                  <w:noWrap w:val="0"/>
                  <w:vAlign w:val="top"/>
                </w:tcPr>
                <w:p>
                  <w:pPr>
                    <w:spacing w:after="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bl>
          <w:p>
            <w:pPr>
              <w:spacing w:after="0" w:line="400" w:lineRule="exact"/>
              <w:ind w:firstLine="480" w:firstLineChars="200"/>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p>
        </w:tc>
        <w:tc>
          <w:tcPr>
            <w:tcW w:w="1283" w:type="dxa"/>
            <w:vAlign w:val="center"/>
          </w:tcPr>
          <w:p>
            <w:pPr>
              <w:spacing w:after="0"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质疑函接收及联系方式</w:t>
            </w:r>
          </w:p>
        </w:tc>
        <w:tc>
          <w:tcPr>
            <w:tcW w:w="7290" w:type="dxa"/>
            <w:vAlign w:val="center"/>
          </w:tcPr>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接收质疑函的方式</w:t>
            </w:r>
            <w:r>
              <w:rPr>
                <w:rFonts w:hint="eastAsia" w:asciiTheme="minorEastAsia" w:hAnsiTheme="minorEastAsia" w:eastAsiaTheme="minorEastAsia"/>
                <w:color w:val="auto"/>
                <w:sz w:val="24"/>
                <w:highlight w:val="none"/>
              </w:rPr>
              <w:t>：接收供应商或其委托代理人以书面形式递交的质疑函原件，委托</w:t>
            </w:r>
            <w:r>
              <w:rPr>
                <w:rFonts w:asciiTheme="minorEastAsia" w:hAnsiTheme="minorEastAsia" w:eastAsiaTheme="minorEastAsia"/>
                <w:color w:val="auto"/>
                <w:sz w:val="24"/>
                <w:highlight w:val="none"/>
              </w:rPr>
              <w:t>代理人提出质疑</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还</w:t>
            </w:r>
            <w:r>
              <w:rPr>
                <w:rFonts w:asciiTheme="minorEastAsia" w:hAnsiTheme="minorEastAsia" w:eastAsiaTheme="minorEastAsia"/>
                <w:color w:val="auto"/>
                <w:sz w:val="24"/>
                <w:highlight w:val="none"/>
              </w:rPr>
              <w:t>应当提交供应商签署的授权委托书</w:t>
            </w:r>
            <w:r>
              <w:rPr>
                <w:rFonts w:hint="eastAsia" w:asciiTheme="minorEastAsia" w:hAnsiTheme="minorEastAsia" w:eastAsiaTheme="minorEastAsia"/>
                <w:color w:val="auto"/>
                <w:sz w:val="24"/>
                <w:highlight w:val="none"/>
              </w:rPr>
              <w:t>。</w:t>
            </w:r>
          </w:p>
          <w:p>
            <w:pPr>
              <w:spacing w:after="0"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联系部门：广西桂水工程咨询有限公司梧州分公司招标采购部</w:t>
            </w:r>
          </w:p>
          <w:p>
            <w:pPr>
              <w:spacing w:after="0"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联系电话：0774-3858333</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通讯地址：广西梧州市新湖一路52号（广宇花园）2号楼B2单元102房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highlight w:val="none"/>
              </w:rPr>
            </w:pPr>
          </w:p>
        </w:tc>
        <w:tc>
          <w:tcPr>
            <w:tcW w:w="1283" w:type="dxa"/>
            <w:vAlign w:val="center"/>
          </w:tcPr>
          <w:p>
            <w:pPr>
              <w:spacing w:after="0" w:line="400" w:lineRule="exact"/>
              <w:jc w:val="center"/>
              <w:rPr>
                <w:rFonts w:cs="宋体" w:asciiTheme="minorEastAsia" w:hAnsiTheme="minorEastAsia" w:eastAsiaTheme="minorEastAsia"/>
                <w:color w:val="auto"/>
                <w:sz w:val="24"/>
                <w:highlight w:val="none"/>
              </w:rPr>
            </w:pP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本文件中描述</w:t>
            </w:r>
            <w:r>
              <w:rPr>
                <w:rFonts w:hint="eastAsia" w:cs="宋体" w:asciiTheme="minorEastAsia" w:hAnsiTheme="minorEastAsia" w:eastAsiaTheme="minorEastAsia"/>
                <w:color w:val="auto"/>
                <w:sz w:val="24"/>
                <w:highlight w:val="none"/>
              </w:rPr>
              <w:t>供应商</w:t>
            </w:r>
            <w:r>
              <w:rPr>
                <w:rFonts w:cs="宋体" w:asciiTheme="minorEastAsia" w:hAnsiTheme="minorEastAsia" w:eastAsiaTheme="minorEastAsia"/>
                <w:color w:val="auto"/>
                <w:sz w:val="24"/>
                <w:highlight w:val="none"/>
              </w:rPr>
              <w:t>的“公章”是指根据我国对公章的管理规定，用</w:t>
            </w:r>
            <w:r>
              <w:rPr>
                <w:rFonts w:hint="eastAsia" w:cs="宋体" w:asciiTheme="minorEastAsia" w:hAnsiTheme="minorEastAsia" w:eastAsiaTheme="minorEastAsia"/>
                <w:color w:val="auto"/>
                <w:sz w:val="24"/>
                <w:highlight w:val="none"/>
              </w:rPr>
              <w:t>供应商</w:t>
            </w:r>
            <w:r>
              <w:rPr>
                <w:rFonts w:cs="宋体" w:asciiTheme="minorEastAsia" w:hAnsiTheme="minorEastAsia" w:eastAsiaTheme="minorEastAsia"/>
                <w:color w:val="auto"/>
                <w:sz w:val="24"/>
                <w:highlight w:val="none"/>
              </w:rPr>
              <w:t>法定主体行为名称制作的印章，除本文件有特殊规定外，</w:t>
            </w:r>
            <w:r>
              <w:rPr>
                <w:rFonts w:hint="eastAsia" w:cs="宋体" w:asciiTheme="minorEastAsia" w:hAnsiTheme="minorEastAsia" w:eastAsiaTheme="minorEastAsia"/>
                <w:color w:val="auto"/>
                <w:sz w:val="24"/>
                <w:highlight w:val="none"/>
              </w:rPr>
              <w:t>供应商</w:t>
            </w:r>
            <w:r>
              <w:rPr>
                <w:rFonts w:cs="宋体" w:asciiTheme="minorEastAsia" w:hAnsiTheme="minorEastAsia" w:eastAsiaTheme="minorEastAsia"/>
                <w:color w:val="auto"/>
                <w:sz w:val="24"/>
                <w:highlight w:val="none"/>
              </w:rPr>
              <w:t>的财务章、部门章、分公司章、工会章、合同章、</w:t>
            </w:r>
            <w:r>
              <w:rPr>
                <w:rFonts w:hint="eastAsia" w:cs="宋体" w:asciiTheme="minorEastAsia" w:hAnsiTheme="minorEastAsia" w:eastAsiaTheme="minorEastAsia"/>
                <w:color w:val="auto"/>
                <w:sz w:val="24"/>
                <w:highlight w:val="none"/>
              </w:rPr>
              <w:t>竞标</w:t>
            </w:r>
            <w:r>
              <w:rPr>
                <w:rFonts w:cs="宋体" w:asciiTheme="minorEastAsia" w:hAnsiTheme="minorEastAsia" w:eastAsiaTheme="minorEastAsia"/>
                <w:color w:val="auto"/>
                <w:sz w:val="24"/>
                <w:highlight w:val="none"/>
              </w:rPr>
              <w:t>专用章、业务专用章及银行的转账章、现金收讫章、现金付讫章等其它形式印章均不能代替公章。</w:t>
            </w:r>
            <w:r>
              <w:rPr>
                <w:rFonts w:hint="eastAsia" w:cs="宋体" w:asciiTheme="minorEastAsia" w:hAnsiTheme="minorEastAsia" w:eastAsiaTheme="minorEastAsia"/>
                <w:b/>
                <w:color w:val="auto"/>
                <w:sz w:val="24"/>
                <w:highlight w:val="none"/>
              </w:rPr>
              <w:t>不符合要求的作竞标无效处理。</w:t>
            </w:r>
          </w:p>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本文件中描述</w:t>
            </w:r>
            <w:r>
              <w:rPr>
                <w:rFonts w:hint="eastAsia" w:cs="宋体" w:asciiTheme="minorEastAsia" w:hAnsiTheme="minorEastAsia" w:eastAsiaTheme="minorEastAsia"/>
                <w:color w:val="auto"/>
                <w:sz w:val="24"/>
                <w:highlight w:val="none"/>
              </w:rPr>
              <w:t>供应商</w:t>
            </w:r>
            <w:r>
              <w:rPr>
                <w:rFonts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rPr>
              <w:t>签字</w:t>
            </w:r>
            <w:r>
              <w:rPr>
                <w:rFonts w:cs="宋体" w:asciiTheme="minorEastAsia" w:hAnsiTheme="minorEastAsia" w:eastAsiaTheme="minorEastAsia"/>
                <w:color w:val="auto"/>
                <w:sz w:val="24"/>
                <w:highlight w:val="none"/>
              </w:rPr>
              <w:t>”是指</w:t>
            </w:r>
            <w:r>
              <w:rPr>
                <w:rFonts w:hint="eastAsia" w:cs="宋体" w:asciiTheme="minorEastAsia" w:hAnsiTheme="minorEastAsia" w:eastAsiaTheme="minorEastAsia"/>
                <w:color w:val="auto"/>
                <w:sz w:val="24"/>
                <w:highlight w:val="none"/>
              </w:rPr>
              <w:t>供应商的法定代表人或被授权人亲自在文件规定签署处亲笔写上个人的名字的行为，私章、签字章、印鉴、影印等其它形式</w:t>
            </w:r>
            <w:r>
              <w:rPr>
                <w:rFonts w:cs="宋体" w:asciiTheme="minorEastAsia" w:hAnsiTheme="minorEastAsia" w:eastAsiaTheme="minorEastAsia"/>
                <w:color w:val="auto"/>
                <w:sz w:val="24"/>
                <w:highlight w:val="none"/>
              </w:rPr>
              <w:t>均不能代替</w:t>
            </w:r>
            <w:r>
              <w:rPr>
                <w:rFonts w:hint="eastAsia" w:cs="宋体" w:asciiTheme="minorEastAsia" w:hAnsiTheme="minorEastAsia" w:eastAsiaTheme="minorEastAsia"/>
                <w:color w:val="auto"/>
                <w:sz w:val="24"/>
                <w:highlight w:val="none"/>
              </w:rPr>
              <w:t>亲笔签字</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不符合要求的或漏签的作竞标无效处理。</w:t>
            </w:r>
          </w:p>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2"/>
                <w:sz w:val="24"/>
                <w:szCs w:val="24"/>
                <w:highlight w:val="none"/>
              </w:rPr>
              <w:t xml:space="preserve"> 供应商</w:t>
            </w:r>
            <w:r>
              <w:rPr>
                <w:rFonts w:hint="eastAsia" w:cs="宋体" w:asciiTheme="minorEastAsia" w:hAnsiTheme="minorEastAsia" w:eastAsiaTheme="minorEastAsia"/>
                <w:color w:val="auto"/>
                <w:sz w:val="24"/>
                <w:highlight w:val="none"/>
              </w:rPr>
              <w:t>须知前附表是对供应商须知的具体补充和修改，如有矛盾，应以本前附表为准。</w:t>
            </w:r>
          </w:p>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4.本采购文件是根据国家有关法律及有关政策、法规编制，解释权属采购代理机构。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ind w:firstLine="480" w:firstLineChars="200"/>
              <w:jc w:val="center"/>
              <w:rPr>
                <w:rFonts w:cs="宋体" w:asciiTheme="minorEastAsia" w:hAnsiTheme="minorEastAsia" w:eastAsiaTheme="minorEastAsia"/>
                <w:color w:val="auto"/>
                <w:sz w:val="24"/>
                <w:highlight w:val="none"/>
              </w:rPr>
            </w:pPr>
          </w:p>
        </w:tc>
        <w:tc>
          <w:tcPr>
            <w:tcW w:w="1283" w:type="dxa"/>
            <w:vAlign w:val="center"/>
          </w:tcPr>
          <w:p>
            <w:pPr>
              <w:spacing w:after="0" w:line="400" w:lineRule="exact"/>
              <w:ind w:firstLine="480" w:firstLineChars="200"/>
              <w:jc w:val="center"/>
              <w:rPr>
                <w:rFonts w:cs="宋体" w:asciiTheme="minorEastAsia" w:hAnsiTheme="minorEastAsia" w:eastAsiaTheme="minorEastAsia"/>
                <w:color w:val="auto"/>
                <w:sz w:val="24"/>
                <w:highlight w:val="none"/>
              </w:rPr>
            </w:pPr>
          </w:p>
        </w:tc>
        <w:tc>
          <w:tcPr>
            <w:tcW w:w="7290" w:type="dxa"/>
            <w:vAlign w:val="center"/>
          </w:tcPr>
          <w:p>
            <w:pPr>
              <w:spacing w:after="0" w:line="40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递交响应文件截止时间后，由采购人或采购代理机构对供应商进行信用信息查询，具体规定如下：</w:t>
            </w:r>
          </w:p>
          <w:p>
            <w:pPr>
              <w:spacing w:after="0" w:line="40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查询渠道：“</w:t>
            </w:r>
            <w:r>
              <w:rPr>
                <w:rFonts w:cs="仿宋" w:asciiTheme="minorEastAsia" w:hAnsiTheme="minorEastAsia" w:eastAsiaTheme="minorEastAsia"/>
                <w:color w:val="auto"/>
                <w:sz w:val="24"/>
                <w:highlight w:val="none"/>
              </w:rPr>
              <w:t>信用中国</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cs="仿宋" w:asciiTheme="minorEastAsia" w:hAnsiTheme="minorEastAsia" w:eastAsiaTheme="minorEastAsia"/>
                <w:color w:val="auto"/>
                <w:sz w:val="24"/>
                <w:highlight w:val="none"/>
              </w:rPr>
              <w:t>www.ccgp.gov.cn</w:t>
            </w:r>
            <w:r>
              <w:rPr>
                <w:rFonts w:cs="仿宋" w:asciiTheme="minorEastAsia" w:hAnsiTheme="minorEastAsia" w:eastAsiaTheme="minorEastAsia"/>
                <w:color w:val="auto"/>
                <w:sz w:val="24"/>
                <w:highlight w:val="none"/>
              </w:rPr>
              <w:fldChar w:fldCharType="end"/>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等。</w:t>
            </w:r>
          </w:p>
          <w:p>
            <w:pPr>
              <w:spacing w:after="0" w:line="40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信用中国</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网站</w:t>
            </w:r>
            <w:r>
              <w:rPr>
                <w:rFonts w:hint="eastAsia" w:cs="仿宋" w:asciiTheme="minorEastAsia" w:hAnsiTheme="minorEastAsia" w:eastAsiaTheme="minorEastAsia"/>
                <w:color w:val="auto"/>
                <w:sz w:val="24"/>
                <w:highlight w:val="none"/>
              </w:rPr>
              <w:t>查询内容：失信被执行人、重大税收违法案件当事人名单、政府采购严重违法失信行为记录名单</w:t>
            </w:r>
            <w:r>
              <w:rPr>
                <w:rFonts w:cs="仿宋" w:asciiTheme="minorEastAsia" w:hAnsiTheme="minorEastAsia" w:eastAsiaTheme="minorEastAsia"/>
                <w:color w:val="auto"/>
                <w:sz w:val="24"/>
                <w:highlight w:val="none"/>
              </w:rPr>
              <w:t>查询结果或界面截图</w:t>
            </w:r>
            <w:r>
              <w:rPr>
                <w:rFonts w:hint="eastAsia" w:cs="仿宋" w:asciiTheme="minorEastAsia" w:hAnsiTheme="minorEastAsia" w:eastAsiaTheme="minorEastAsia"/>
                <w:color w:val="auto"/>
                <w:sz w:val="24"/>
                <w:highlight w:val="none"/>
              </w:rPr>
              <w:t>；查询或打印截止时点：递交响应文件截止时间。</w:t>
            </w:r>
          </w:p>
          <w:p>
            <w:pPr>
              <w:spacing w:after="0" w:line="40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中国政府采购网</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的查询内容：政府采购严重违法失信行为信息记录；查询时间：</w:t>
            </w:r>
            <w:r>
              <w:rPr>
                <w:rFonts w:hint="eastAsia" w:cs="仿宋" w:asciiTheme="minorEastAsia" w:hAnsiTheme="minorEastAsia" w:eastAsiaTheme="minorEastAsia"/>
                <w:color w:val="auto"/>
                <w:sz w:val="24"/>
                <w:highlight w:val="none"/>
              </w:rPr>
              <w:t>递交响应文件截止时间前</w:t>
            </w:r>
            <w:r>
              <w:rPr>
                <w:rFonts w:cs="仿宋" w:asciiTheme="minorEastAsia" w:hAnsiTheme="minorEastAsia" w:eastAsiaTheme="minorEastAsia"/>
                <w:color w:val="auto"/>
                <w:sz w:val="24"/>
                <w:highlight w:val="none"/>
              </w:rPr>
              <w:t>三年</w:t>
            </w:r>
            <w:r>
              <w:rPr>
                <w:rFonts w:hint="eastAsia" w:cs="仿宋" w:asciiTheme="minorEastAsia" w:hAnsiTheme="minorEastAsia" w:eastAsiaTheme="minorEastAsia"/>
                <w:color w:val="auto"/>
                <w:sz w:val="24"/>
                <w:highlight w:val="none"/>
              </w:rPr>
              <w:t>内</w:t>
            </w:r>
            <w:r>
              <w:rPr>
                <w:rFonts w:cs="仿宋" w:asciiTheme="minorEastAsia" w:hAnsiTheme="minorEastAsia" w:eastAsiaTheme="minorEastAsia"/>
                <w:color w:val="auto"/>
                <w:sz w:val="24"/>
                <w:highlight w:val="none"/>
              </w:rPr>
              <w:t>。</w:t>
            </w:r>
          </w:p>
          <w:p>
            <w:pPr>
              <w:spacing w:after="0" w:line="40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查询记录和证据留存方式：在查询网站中直接打印查询记录，打印材料作为评审资料保存。</w:t>
            </w:r>
          </w:p>
          <w:p>
            <w:pPr>
              <w:spacing w:after="0" w:line="360" w:lineRule="exact"/>
              <w:ind w:firstLine="480" w:firstLineChars="200"/>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信用信息使用规则：对在“</w:t>
            </w:r>
            <w:r>
              <w:rPr>
                <w:rFonts w:cs="仿宋" w:asciiTheme="minorEastAsia" w:hAnsiTheme="minorEastAsia" w:eastAsiaTheme="minorEastAsia"/>
                <w:color w:val="auto"/>
                <w:sz w:val="24"/>
                <w:highlight w:val="none"/>
              </w:rPr>
              <w:t>信用中国</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网站(www.creditchina.gov.cn)、中国政府采购网(www.ccgp.gov.cn)等渠道</w:t>
            </w:r>
            <w:r>
              <w:rPr>
                <w:rFonts w:hint="eastAsia" w:cs="仿宋" w:asciiTheme="minorEastAsia" w:hAnsiTheme="minorEastAsia" w:eastAsiaTheme="minorEastAsia"/>
                <w:color w:val="auto"/>
                <w:sz w:val="24"/>
                <w:highlight w:val="none"/>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4"/>
        <w:spacing w:before="240" w:beforeLines="100" w:line="400" w:lineRule="exact"/>
        <w:rPr>
          <w:rFonts w:asciiTheme="minorEastAsia" w:hAnsiTheme="minorEastAsia" w:eastAsiaTheme="minorEastAsia"/>
          <w:color w:val="auto"/>
          <w:highlight w:val="none"/>
        </w:rPr>
      </w:pPr>
      <w:bookmarkStart w:id="50" w:name="_Toc246094910"/>
      <w:bookmarkStart w:id="51" w:name="_Toc246095516"/>
      <w:bookmarkStart w:id="52" w:name="_Toc246095454"/>
      <w:r>
        <w:rPr>
          <w:rFonts w:hint="eastAsia" w:asciiTheme="minorEastAsia" w:hAnsiTheme="minorEastAsia" w:eastAsiaTheme="minorEastAsia"/>
          <w:color w:val="auto"/>
          <w:highlight w:val="none"/>
        </w:rPr>
        <w:br w:type="page"/>
      </w:r>
      <w:bookmarkStart w:id="53" w:name="_Toc7192544"/>
      <w:r>
        <w:rPr>
          <w:rFonts w:hint="eastAsia" w:asciiTheme="minorEastAsia" w:hAnsiTheme="minorEastAsia" w:eastAsiaTheme="minorEastAsia"/>
          <w:color w:val="auto"/>
          <w:highlight w:val="none"/>
        </w:rPr>
        <w:t>一、总则</w:t>
      </w:r>
      <w:bookmarkEnd w:id="50"/>
      <w:bookmarkEnd w:id="51"/>
      <w:bookmarkEnd w:id="52"/>
      <w:bookmarkEnd w:id="53"/>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l. 项目概况</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1.1适用范围：本文件仅适用于本文件中所叙述的货物类政府采购项目。</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1.2  采购人：见供应商须知前附表。</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1.3  采购代理机构：见供应商须知前附表。</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1.4  项目名称：</w:t>
      </w:r>
      <w:r>
        <w:rPr>
          <w:rFonts w:hint="eastAsia" w:asciiTheme="minorEastAsia" w:hAnsiTheme="minorEastAsia" w:eastAsiaTheme="minorEastAsia"/>
          <w:bCs/>
          <w:color w:val="auto"/>
          <w:sz w:val="24"/>
          <w:highlight w:val="none"/>
        </w:rPr>
        <w:t>见供应商须知前附表。</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1.5  项目编号：</w:t>
      </w:r>
      <w:r>
        <w:rPr>
          <w:rFonts w:hint="eastAsia" w:asciiTheme="minorEastAsia" w:hAnsiTheme="minorEastAsia" w:eastAsiaTheme="minorEastAsia"/>
          <w:bCs/>
          <w:color w:val="auto"/>
          <w:sz w:val="24"/>
          <w:highlight w:val="none"/>
        </w:rPr>
        <w:t>见供应商须知前附表。</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1.6  采购预算：见供应商须知前附表。</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1.7  资金来源：见供应商须知前附表。</w:t>
      </w:r>
    </w:p>
    <w:p>
      <w:pPr>
        <w:spacing w:after="0" w:line="400" w:lineRule="exact"/>
        <w:ind w:firstLine="480" w:firstLineChars="200"/>
        <w:rPr>
          <w:rFonts w:cs="宋体" w:asciiTheme="minorEastAsia" w:hAnsiTheme="minorEastAsia" w:eastAsiaTheme="minorEastAsia"/>
          <w:bCs/>
          <w:color w:val="auto"/>
          <w:highlight w:val="none"/>
        </w:rPr>
      </w:pPr>
      <w:r>
        <w:rPr>
          <w:rFonts w:hint="eastAsia" w:asciiTheme="minorEastAsia" w:hAnsiTheme="minorEastAsia" w:eastAsiaTheme="minorEastAsia"/>
          <w:bCs/>
          <w:color w:val="auto"/>
          <w:sz w:val="24"/>
          <w:highlight w:val="none"/>
        </w:rPr>
        <w:t>1.8  预留采购份额：见供应商须知前附表。</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2.定义</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2.1 “采购人"是指依法进行政府采购的国家机关、事业单位、团体组织。</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2.2 “采购代理机构”是指依法设立、从事采购代理业务并提供相关服务的社会中介机构。</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2.4“货物”是指各种形态和种类的物品，包括原材料、燃料、设备、产品等。</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r>
        <w:rPr>
          <w:rFonts w:cs="Arial" w:asciiTheme="minorEastAsia" w:hAnsiTheme="minorEastAsia" w:eastAsiaTheme="minorEastAsia"/>
          <w:color w:val="auto"/>
          <w:sz w:val="24"/>
          <w:highlight w:val="none"/>
        </w:rPr>
        <w:t>5</w:t>
      </w:r>
      <w:r>
        <w:rPr>
          <w:rFonts w:hint="eastAsia" w:cs="Arial" w:asciiTheme="minorEastAsia" w:hAnsiTheme="minorEastAsia" w:eastAsiaTheme="minorEastAsia"/>
          <w:color w:val="auto"/>
          <w:sz w:val="24"/>
          <w:highlight w:val="none"/>
        </w:rPr>
        <w:t>“服务”系指除货物和工程以外的其他政府采购对象。</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r>
        <w:rPr>
          <w:rFonts w:cs="Arial" w:asciiTheme="minorEastAsia" w:hAnsiTheme="minorEastAsia" w:eastAsiaTheme="minorEastAsia"/>
          <w:color w:val="auto"/>
          <w:sz w:val="24"/>
          <w:highlight w:val="none"/>
        </w:rPr>
        <w:t>6</w:t>
      </w:r>
      <w:r>
        <w:rPr>
          <w:rFonts w:hint="eastAsia" w:cs="Arial" w:asciiTheme="minorEastAsia" w:hAnsiTheme="minorEastAsia" w:eastAsiaTheme="minorEastAsia"/>
          <w:color w:val="auto"/>
          <w:sz w:val="24"/>
          <w:highlight w:val="none"/>
        </w:rPr>
        <w:t>“响应文件”是指供应商根据本文件要求，编制包含报价、技术和服务等所有内容的文件。</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2.8</w:t>
      </w:r>
      <w:r>
        <w:rPr>
          <w:rFonts w:hint="eastAsia" w:cs="Arial" w:asciiTheme="minorEastAsia" w:hAnsiTheme="minorEastAsia" w:eastAsiaTheme="minorEastAsia"/>
          <w:color w:val="auto"/>
          <w:sz w:val="24"/>
          <w:highlight w:val="none"/>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r>
        <w:rPr>
          <w:rFonts w:cs="Arial" w:asciiTheme="minorEastAsia" w:hAnsiTheme="minorEastAsia" w:eastAsiaTheme="minorEastAsia"/>
          <w:color w:val="auto"/>
          <w:sz w:val="24"/>
          <w:highlight w:val="none"/>
        </w:rPr>
        <w:t>9</w:t>
      </w:r>
      <w:r>
        <w:rPr>
          <w:rFonts w:hint="eastAsia" w:cs="Arial" w:asciiTheme="minorEastAsia" w:hAnsiTheme="minorEastAsia" w:eastAsiaTheme="minorEastAsia"/>
          <w:color w:val="auto"/>
          <w:sz w:val="24"/>
          <w:highlight w:val="none"/>
        </w:rPr>
        <w:t>标注“▲”号的条款或要求系指实质性条款或实质性要求。</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供应商资格条件</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 基本资格条件：见“供应商须知前附表”规定。</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 供应商的特定要求：见“供应商须知前附表”规定。</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3.3 存在下列情形之一的供应商不得参加资格性审查： </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（2）在财政部门禁止参加政府采购活动期限以内的。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3.4 按本项目采购公告规定方式获得竞争性谈判文件。 </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 本项目是否接受联合体竞标，见“供应商须知前附表”规定。</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 语言文字及计量单位</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 竞标费用</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5.2本项目的招标代理服务费按须知</w:t>
      </w:r>
      <w:r>
        <w:rPr>
          <w:rFonts w:hint="eastAsia" w:asciiTheme="minorEastAsia" w:hAnsiTheme="minorEastAsia" w:eastAsiaTheme="minorEastAsia"/>
          <w:b/>
          <w:bCs/>
          <w:color w:val="auto"/>
          <w:sz w:val="24"/>
          <w:highlight w:val="none"/>
        </w:rPr>
        <w:t>前附表</w:t>
      </w:r>
      <w:r>
        <w:rPr>
          <w:rFonts w:hint="eastAsia" w:asciiTheme="minorEastAsia" w:hAnsiTheme="minorEastAsia" w:eastAsiaTheme="minorEastAsia"/>
          <w:color w:val="auto"/>
          <w:sz w:val="24"/>
          <w:highlight w:val="none"/>
        </w:rPr>
        <w:t>的规定执行，由成交供应商在领取成交通知书前，一次性向采购代理机构支付。</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 现场勘察</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w:t>
      </w:r>
      <w:r>
        <w:rPr>
          <w:rFonts w:hint="eastAsia" w:cs="Arial" w:asciiTheme="minorEastAsia" w:hAnsiTheme="minorEastAsia" w:eastAsiaTheme="minorEastAsia"/>
          <w:color w:val="auto"/>
          <w:sz w:val="24"/>
          <w:highlight w:val="none"/>
        </w:rPr>
        <w:t>前附表如规定现场踏勘的，供应商应按规定时间地点参加踏勘。</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6.2 供应商应承担现场勘察的责任和风险。勘查现场的费用由供应商自己承担。采购人</w:t>
      </w:r>
      <w:r>
        <w:rPr>
          <w:rFonts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由此而做出的推论、理解和结论概不负责。</w:t>
      </w:r>
    </w:p>
    <w:p>
      <w:pPr>
        <w:pStyle w:val="4"/>
        <w:spacing w:before="240" w:beforeLines="100" w:line="400" w:lineRule="exact"/>
        <w:rPr>
          <w:rFonts w:asciiTheme="minorEastAsia" w:hAnsiTheme="minorEastAsia" w:eastAsiaTheme="minorEastAsia"/>
          <w:color w:val="auto"/>
          <w:highlight w:val="none"/>
        </w:rPr>
      </w:pPr>
      <w:bookmarkStart w:id="54" w:name="_Toc7192545"/>
      <w:bookmarkStart w:id="55" w:name="_Toc246095455"/>
      <w:bookmarkStart w:id="56" w:name="_Toc246095517"/>
      <w:bookmarkStart w:id="57" w:name="_Toc246094911"/>
      <w:r>
        <w:rPr>
          <w:rFonts w:hint="eastAsia" w:asciiTheme="minorEastAsia" w:hAnsiTheme="minorEastAsia" w:eastAsiaTheme="minorEastAsia"/>
          <w:color w:val="auto"/>
          <w:highlight w:val="none"/>
        </w:rPr>
        <w:t>二、竞争性谈判文件</w:t>
      </w:r>
      <w:bookmarkEnd w:id="54"/>
      <w:bookmarkEnd w:id="55"/>
      <w:bookmarkEnd w:id="56"/>
      <w:bookmarkEnd w:id="57"/>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 竞争性谈判文件的组成</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 竞争性谈判文件包括下列内容：</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 竞争性谈判公告</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 供应商须知</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 项目采购需求和说明</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 评标办法</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 合同条款</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 响应文件格式</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 竞争性谈判文件的澄清</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 供应商应仔细阅读和检查竞争性谈判文件的全部内容。如发现缺页、</w:t>
      </w:r>
      <w:r>
        <w:rPr>
          <w:rFonts w:hint="eastAsia" w:cs="Arial" w:asciiTheme="minorEastAsia" w:hAnsiTheme="minorEastAsia" w:eastAsiaTheme="minorEastAsia"/>
          <w:color w:val="auto"/>
          <w:sz w:val="24"/>
          <w:highlight w:val="none"/>
        </w:rPr>
        <w:t>有误或有不合理要求的</w:t>
      </w:r>
      <w:r>
        <w:rPr>
          <w:rFonts w:hint="eastAsia" w:asciiTheme="minorEastAsia" w:hAnsiTheme="minorEastAsia" w:eastAsiaTheme="minorEastAsia"/>
          <w:color w:val="auto"/>
          <w:sz w:val="24"/>
          <w:highlight w:val="none"/>
        </w:rPr>
        <w:t>，供应商必须在</w:t>
      </w:r>
      <w:r>
        <w:rPr>
          <w:rFonts w:asciiTheme="minorEastAsia" w:hAnsiTheme="minorEastAsia" w:eastAsiaTheme="minorEastAsia"/>
          <w:color w:val="auto"/>
          <w:sz w:val="24"/>
          <w:highlight w:val="none"/>
        </w:rPr>
        <w:t>提交首次响应文件截止之日前</w:t>
      </w:r>
      <w:r>
        <w:rPr>
          <w:rFonts w:hint="eastAsia" w:asciiTheme="minorEastAsia" w:hAnsiTheme="minorEastAsia" w:eastAsiaTheme="minorEastAsia"/>
          <w:color w:val="auto"/>
          <w:sz w:val="24"/>
          <w:highlight w:val="none"/>
        </w:rPr>
        <w:t>，以书面形式要求</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采购代理机构</w:t>
      </w:r>
      <w:r>
        <w:rPr>
          <w:rFonts w:hint="eastAsia" w:asciiTheme="minorEastAsia" w:hAnsiTheme="minorEastAsia" w:eastAsiaTheme="minorEastAsia"/>
          <w:color w:val="auto"/>
          <w:sz w:val="24"/>
          <w:highlight w:val="none"/>
        </w:rPr>
        <w:t>澄清。逾期不提出澄清要求视为对竞争性谈判文件无异议。</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asciiTheme="minorEastAsia" w:hAnsiTheme="minorEastAsia" w:eastAsiaTheme="minorEastAsia"/>
          <w:color w:val="auto"/>
          <w:sz w:val="24"/>
          <w:highlight w:val="none"/>
        </w:rPr>
        <w:t>采购人、采购代理机构可以对已发出的谈判文件进行必要的澄清，澄清的内容作为谈判文件的组成部分。澄清的内容可能影响响应文件编制的，</w:t>
      </w:r>
      <w:r>
        <w:rPr>
          <w:rFonts w:hint="eastAsia" w:asciiTheme="minorEastAsia" w:hAnsiTheme="minorEastAsia" w:eastAsiaTheme="minorEastAsia"/>
          <w:color w:val="auto"/>
          <w:sz w:val="24"/>
          <w:highlight w:val="none"/>
        </w:rPr>
        <w:t>谈判文件的澄清将在</w:t>
      </w:r>
      <w:r>
        <w:rPr>
          <w:rFonts w:hint="eastAsia" w:cs="Arial" w:asciiTheme="minorEastAsia" w:hAnsiTheme="minorEastAsia" w:eastAsiaTheme="minorEastAsia"/>
          <w:color w:val="auto"/>
          <w:sz w:val="24"/>
          <w:highlight w:val="none"/>
        </w:rPr>
        <w:t>提交首次响应文件截止之日3</w:t>
      </w:r>
      <w:r>
        <w:rPr>
          <w:rFonts w:hint="eastAsia" w:asciiTheme="minorEastAsia" w:hAnsiTheme="minorEastAsia" w:eastAsiaTheme="minorEastAsia"/>
          <w:color w:val="auto"/>
          <w:sz w:val="24"/>
          <w:highlight w:val="none"/>
        </w:rPr>
        <w:t>个工作日前以书面形式（</w:t>
      </w:r>
      <w:r>
        <w:rPr>
          <w:rFonts w:hint="eastAsia" w:cs="Arial" w:asciiTheme="minorEastAsia" w:hAnsiTheme="minorEastAsia" w:eastAsiaTheme="minorEastAsia"/>
          <w:color w:val="auto"/>
          <w:sz w:val="24"/>
          <w:highlight w:val="none"/>
        </w:rPr>
        <w:t>在发布竞争性谈判公告的政府采购信息发布媒体上发布</w:t>
      </w:r>
      <w:r>
        <w:rPr>
          <w:rFonts w:hint="eastAsia" w:asciiTheme="minorEastAsia" w:hAnsiTheme="minorEastAsia" w:eastAsiaTheme="minorEastAsia"/>
          <w:color w:val="auto"/>
          <w:sz w:val="24"/>
          <w:highlight w:val="none"/>
        </w:rPr>
        <w:t>）发给所有购买竞争性谈判文件的供应商，但不指明澄清问题的来源，供应商未及时关注采购代理机构在公告发布媒介上发布的澄清文件造成的损失，由供应商自行负责。</w:t>
      </w:r>
      <w:r>
        <w:rPr>
          <w:rFonts w:asciiTheme="minorEastAsia" w:hAnsiTheme="minorEastAsia" w:eastAsiaTheme="minorEastAsia"/>
          <w:color w:val="auto"/>
          <w:sz w:val="24"/>
          <w:highlight w:val="none"/>
        </w:rPr>
        <w:t>不足3个工作日的，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顺延提交首次响应文件截止之日</w:t>
      </w:r>
      <w:r>
        <w:rPr>
          <w:rFonts w:hint="eastAsia"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rPr>
        <w:t>该澄清的内容为谈判文件的组成部分。</w:t>
      </w:r>
    </w:p>
    <w:p>
      <w:pPr>
        <w:spacing w:after="0" w:line="400" w:lineRule="exact"/>
        <w:ind w:firstLine="480" w:firstLineChars="200"/>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8.3当谈判文件与谈判文件的澄清就同一内容的表述不一致时，以最后发出的公告或书面文件为准。</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 竞争性谈判文件的修改</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w:t>
      </w:r>
      <w:r>
        <w:rPr>
          <w:rFonts w:asciiTheme="minorEastAsia" w:hAnsiTheme="minorEastAsia" w:eastAsiaTheme="minorEastAsia"/>
          <w:color w:val="auto"/>
          <w:sz w:val="24"/>
          <w:highlight w:val="none"/>
        </w:rPr>
        <w:t>采购人、采购代理机构可以对已发出的谈判文件进行必要的</w:t>
      </w:r>
      <w:r>
        <w:rPr>
          <w:rFonts w:hint="eastAsia" w:asciiTheme="minorEastAsia" w:hAnsiTheme="minorEastAsia" w:eastAsiaTheme="minorEastAsia"/>
          <w:color w:val="auto"/>
          <w:sz w:val="24"/>
          <w:highlight w:val="none"/>
        </w:rPr>
        <w:t>修改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修改</w:t>
      </w:r>
      <w:r>
        <w:rPr>
          <w:rFonts w:asciiTheme="minorEastAsia" w:hAnsiTheme="minorEastAsia" w:eastAsiaTheme="minorEastAsia"/>
          <w:color w:val="auto"/>
          <w:sz w:val="24"/>
          <w:highlight w:val="none"/>
        </w:rPr>
        <w:t>的内容作为谈判文件的组成部分。</w:t>
      </w:r>
      <w:r>
        <w:rPr>
          <w:rFonts w:hint="eastAsia" w:asciiTheme="minorEastAsia" w:hAnsiTheme="minorEastAsia" w:eastAsiaTheme="minorEastAsia"/>
          <w:color w:val="auto"/>
          <w:sz w:val="24"/>
          <w:highlight w:val="none"/>
        </w:rPr>
        <w:t>修改</w:t>
      </w:r>
      <w:r>
        <w:rPr>
          <w:rFonts w:asciiTheme="minorEastAsia" w:hAnsiTheme="minorEastAsia" w:eastAsiaTheme="minorEastAsia"/>
          <w:color w:val="auto"/>
          <w:sz w:val="24"/>
          <w:highlight w:val="none"/>
        </w:rPr>
        <w:t>的内容可能影响响应文件编制的，</w:t>
      </w:r>
      <w:r>
        <w:rPr>
          <w:rFonts w:hint="eastAsia" w:asciiTheme="minorEastAsia" w:hAnsiTheme="minorEastAsia" w:eastAsiaTheme="minorEastAsia"/>
          <w:color w:val="auto"/>
          <w:sz w:val="24"/>
          <w:highlight w:val="none"/>
        </w:rPr>
        <w:t>谈判文件的修改将在</w:t>
      </w:r>
      <w:r>
        <w:rPr>
          <w:rFonts w:hint="eastAsia" w:cs="Arial" w:asciiTheme="minorEastAsia" w:hAnsiTheme="minorEastAsia" w:eastAsiaTheme="minorEastAsia"/>
          <w:color w:val="auto"/>
          <w:sz w:val="24"/>
          <w:highlight w:val="none"/>
        </w:rPr>
        <w:t>提交首次响应文件截止之日3</w:t>
      </w:r>
      <w:r>
        <w:rPr>
          <w:rFonts w:hint="eastAsia" w:asciiTheme="minorEastAsia" w:hAnsiTheme="minorEastAsia" w:eastAsiaTheme="minorEastAsia"/>
          <w:color w:val="auto"/>
          <w:sz w:val="24"/>
          <w:highlight w:val="none"/>
        </w:rPr>
        <w:t>个工作日前以书面形式（</w:t>
      </w:r>
      <w:r>
        <w:rPr>
          <w:rFonts w:hint="eastAsia" w:cs="Arial" w:asciiTheme="minorEastAsia" w:hAnsiTheme="minorEastAsia" w:eastAsiaTheme="minorEastAsia"/>
          <w:color w:val="auto"/>
          <w:sz w:val="24"/>
          <w:highlight w:val="none"/>
        </w:rPr>
        <w:t>在发布竞争性谈判公告的政府采购信息发布媒体上发布</w:t>
      </w:r>
      <w:r>
        <w:rPr>
          <w:rFonts w:hint="eastAsia" w:asciiTheme="minorEastAsia" w:hAnsiTheme="minorEastAsia" w:eastAsiaTheme="minorEastAsia"/>
          <w:color w:val="auto"/>
          <w:sz w:val="24"/>
          <w:highlight w:val="none"/>
        </w:rPr>
        <w:t>）发给所有购买竞争性谈判文件的供应商，供应商未及时关注采购代理机构在公告发布媒介上发布的修改文件造成的损失，由供应商自行负责。</w:t>
      </w:r>
      <w:r>
        <w:rPr>
          <w:rFonts w:asciiTheme="minorEastAsia" w:hAnsiTheme="minorEastAsia" w:eastAsiaTheme="minorEastAsia"/>
          <w:color w:val="auto"/>
          <w:sz w:val="24"/>
          <w:highlight w:val="none"/>
        </w:rPr>
        <w:t>不足3个工作日的，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顺延提交首次响应文件截止之日</w:t>
      </w:r>
      <w:r>
        <w:rPr>
          <w:rFonts w:hint="eastAsia"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rPr>
        <w:t>该修改的内容为谈判文件的组成部分。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w:t>
      </w:r>
      <w:r>
        <w:rPr>
          <w:rFonts w:hint="eastAsia" w:cs="Arial" w:asciiTheme="minorEastAsia" w:hAnsiTheme="minorEastAsia" w:eastAsiaTheme="minorEastAsia"/>
          <w:color w:val="auto"/>
          <w:sz w:val="24"/>
          <w:highlight w:val="none"/>
        </w:rPr>
        <w:t>当谈判文件与谈判文件的修改就同一内容的表述不一致时，以最后发出的公告或书面文件为准。</w:t>
      </w:r>
    </w:p>
    <w:p>
      <w:pPr>
        <w:pStyle w:val="4"/>
        <w:spacing w:before="240" w:beforeLines="100" w:line="400" w:lineRule="exact"/>
        <w:rPr>
          <w:rFonts w:asciiTheme="minorEastAsia" w:hAnsiTheme="minorEastAsia" w:eastAsiaTheme="minorEastAsia"/>
          <w:color w:val="auto"/>
          <w:highlight w:val="none"/>
        </w:rPr>
      </w:pPr>
      <w:bookmarkStart w:id="58" w:name="_Toc246095518"/>
      <w:bookmarkStart w:id="59" w:name="_Toc7192546"/>
      <w:bookmarkStart w:id="60" w:name="_Toc246094912"/>
      <w:bookmarkStart w:id="61" w:name="_Toc246095456"/>
      <w:r>
        <w:rPr>
          <w:rFonts w:hint="eastAsia" w:asciiTheme="minorEastAsia" w:hAnsiTheme="minorEastAsia" w:eastAsiaTheme="minorEastAsia"/>
          <w:color w:val="auto"/>
          <w:highlight w:val="none"/>
        </w:rPr>
        <w:t>三、响应文件</w:t>
      </w:r>
      <w:bookmarkEnd w:id="58"/>
      <w:bookmarkEnd w:id="59"/>
      <w:bookmarkEnd w:id="60"/>
      <w:bookmarkEnd w:id="61"/>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 响应文件的组成</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10.1响应文件应分为价格文件和商务技术文件两个部分组成。</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10.1.1价格文件：</w:t>
      </w:r>
      <w:r>
        <w:rPr>
          <w:rFonts w:asciiTheme="minorEastAsia" w:hAnsiTheme="minorEastAsia" w:eastAsiaTheme="minorEastAsia"/>
          <w:color w:val="auto"/>
          <w:sz w:val="24"/>
          <w:highlight w:val="none"/>
        </w:rPr>
        <w:t>具体材料见“</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须知前附表”</w:t>
      </w:r>
      <w:r>
        <w:rPr>
          <w:rFonts w:hint="eastAsia" w:asciiTheme="minorEastAsia" w:hAnsiTheme="minorEastAsia" w:eastAsiaTheme="minorEastAsia"/>
          <w:color w:val="auto"/>
          <w:sz w:val="24"/>
          <w:highlight w:val="none"/>
        </w:rPr>
        <w:t>。</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10.1.2 商务技术文件：</w:t>
      </w:r>
      <w:r>
        <w:rPr>
          <w:rFonts w:asciiTheme="minorEastAsia" w:hAnsiTheme="minorEastAsia" w:eastAsiaTheme="minorEastAsia"/>
          <w:color w:val="auto"/>
          <w:sz w:val="24"/>
          <w:highlight w:val="none"/>
        </w:rPr>
        <w:t>具体材料见“</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须知前附表”</w:t>
      </w:r>
      <w:r>
        <w:rPr>
          <w:rFonts w:hint="eastAsia" w:asciiTheme="minorEastAsia" w:hAnsiTheme="minorEastAsia" w:eastAsiaTheme="minorEastAsia"/>
          <w:color w:val="auto"/>
          <w:sz w:val="24"/>
          <w:highlight w:val="none"/>
        </w:rPr>
        <w:t>。</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10.1.3 响应文件电子版：</w:t>
      </w:r>
      <w:r>
        <w:rPr>
          <w:rFonts w:asciiTheme="minorEastAsia" w:hAnsiTheme="minorEastAsia" w:eastAsiaTheme="minorEastAsia"/>
          <w:color w:val="auto"/>
          <w:sz w:val="24"/>
          <w:highlight w:val="none"/>
        </w:rPr>
        <w:t>具体材料见“</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须知前附表”</w:t>
      </w:r>
      <w:r>
        <w:rPr>
          <w:rFonts w:hint="eastAsia" w:asciiTheme="minorEastAsia" w:hAnsiTheme="minorEastAsia" w:eastAsiaTheme="minorEastAsia"/>
          <w:color w:val="auto"/>
          <w:sz w:val="24"/>
          <w:highlight w:val="none"/>
        </w:rPr>
        <w:t>。</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 供应商应按照采购人提供的响应文件格式和顺序，自行编制响应文件，响应文件应包含本须知第10.1条中规定的内容，但表格可以按同样格式扩展。</w:t>
      </w:r>
      <w:bookmarkStart w:id="62" w:name="_Toc219773118"/>
    </w:p>
    <w:bookmarkEnd w:id="62"/>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 谈判报价</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11.1响应文件中的报价均采用人民币表示。谈判报价应按谈判文件中相关附表格式填写。</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w:t>
      </w:r>
      <w:r>
        <w:rPr>
          <w:rFonts w:hint="eastAsia" w:cs="Arial" w:asciiTheme="minorEastAsia" w:hAnsiTheme="minorEastAsia" w:eastAsiaTheme="minorEastAsia"/>
          <w:color w:val="auto"/>
          <w:sz w:val="24"/>
          <w:highlight w:val="none"/>
        </w:rPr>
        <w:t>最后谈判报价是履行合同的最终价格。应包括第三章“</w:t>
      </w:r>
      <w:r>
        <w:rPr>
          <w:rFonts w:hint="eastAsia" w:asciiTheme="minorEastAsia" w:hAnsiTheme="minorEastAsia" w:eastAsiaTheme="minorEastAsia"/>
          <w:color w:val="auto"/>
          <w:sz w:val="24"/>
          <w:highlight w:val="none"/>
        </w:rPr>
        <w:t>项目采购需求和说明</w:t>
      </w:r>
      <w:r>
        <w:rPr>
          <w:rFonts w:hint="eastAsia" w:cs="Arial" w:asciiTheme="minorEastAsia" w:hAnsiTheme="minorEastAsia" w:eastAsiaTheme="minorEastAsia"/>
          <w:color w:val="auto"/>
          <w:sz w:val="24"/>
          <w:highlight w:val="none"/>
        </w:rPr>
        <w:t>”规定的各项价格</w:t>
      </w:r>
      <w:r>
        <w:rPr>
          <w:rFonts w:hint="eastAsia" w:asciiTheme="minorEastAsia" w:hAnsiTheme="minorEastAsia" w:eastAsiaTheme="minorEastAsia"/>
          <w:color w:val="auto"/>
          <w:sz w:val="24"/>
          <w:highlight w:val="none"/>
        </w:rPr>
        <w:t>。若无特殊规定，报价包含完成本项目所有内容所需的一</w:t>
      </w:r>
      <w:r>
        <w:rPr>
          <w:rFonts w:hint="eastAsia" w:cs="Arial" w:asciiTheme="minorEastAsia" w:hAnsiTheme="minorEastAsia" w:eastAsiaTheme="minorEastAsia"/>
          <w:color w:val="auto"/>
          <w:sz w:val="24"/>
          <w:highlight w:val="none"/>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Pr>
          <w:rFonts w:hint="eastAsia" w:asciiTheme="minorEastAsia" w:hAnsiTheme="minorEastAsia" w:eastAsiaTheme="minorEastAsia"/>
          <w:color w:val="auto"/>
          <w:sz w:val="24"/>
          <w:highlight w:val="none"/>
        </w:rPr>
        <w:t>、义务和一般风险等一切费用。</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11.4供应商必须就所竞项目（或分标）的全部内容作完整唯一报价，漏项报价的或有选择的或有条件的报价，其竞标将视为无效。</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11.5供应商的报价超出采购预算价或最高限价（如有）的，其竞标无效。</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 响应有效期</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12.1在供应商须知前附表规定的响应有效期内，供应商不得要求撤销或修改其响应文件。</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 谈判保证金</w:t>
      </w:r>
    </w:p>
    <w:p>
      <w:pPr>
        <w:spacing w:after="0" w:line="40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13.1 供应商应按供应商须知前附表规定的数额、方式要求交纳谈判保证金，</w:t>
      </w:r>
      <w:r>
        <w:rPr>
          <w:rFonts w:hint="eastAsia" w:asciiTheme="minorEastAsia" w:hAnsiTheme="minorEastAsia" w:eastAsiaTheme="minorEastAsia"/>
          <w:b/>
          <w:color w:val="auto"/>
          <w:sz w:val="24"/>
          <w:highlight w:val="none"/>
        </w:rPr>
        <w:t>否则其竞标无效。</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13.2办理谈判保证金手续时，请务必在银行进账单或电汇单的用途或空白栏上注明项目名称或项目编号，以免耽误谈判。对未按采购文件要求缴纳谈判保证金的响应文件，采购代理机构将视其为不响应谈判条件而予以拒绝。</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w:t>
      </w:r>
      <w:r>
        <w:rPr>
          <w:rFonts w:hint="eastAsia" w:cs="Arial" w:asciiTheme="minorEastAsia" w:hAnsiTheme="minorEastAsia" w:eastAsiaTheme="minorEastAsia"/>
          <w:color w:val="auto"/>
          <w:sz w:val="24"/>
          <w:highlight w:val="none"/>
        </w:rPr>
        <w:t>未成交供应商的谈判保证金在成交通知书发出后5个工作日内退还</w:t>
      </w:r>
      <w:r>
        <w:rPr>
          <w:rFonts w:hint="eastAsia" w:asciiTheme="minorEastAsia" w:hAnsiTheme="minorEastAsia" w:eastAsiaTheme="minorEastAsia"/>
          <w:color w:val="auto"/>
          <w:sz w:val="24"/>
          <w:highlight w:val="none"/>
        </w:rPr>
        <w:t>（不计利息）。成交人的谈判保证金，在成交人与采购人签订合同后 5个工作日内退还。谈判保证金一律以转账方式退还，不计利息。</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13.4 如供应商有下列情形之一的，其谈判保证金将不予退还：</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（一）供应商在提交响应文件截止时间后撤回响应文件的；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（二）供应商在响应文件中提供虚假材料的；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（三）除因不可抗力或谈判文件认可的情形以外，成交供应商不与采购人签订合同的；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（四）供应商与采购人、其他供应商或者采购代理机构恶意串通的；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（五）成交人在收到成交通知书后，未按竞争性谈判文件规定提交履约保证金；</w:t>
      </w:r>
    </w:p>
    <w:p>
      <w:pPr>
        <w:spacing w:after="0" w:line="400" w:lineRule="exact"/>
        <w:ind w:firstLine="480" w:firstLineChars="200"/>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（六）法律法规</w:t>
      </w:r>
      <w:r>
        <w:rPr>
          <w:rFonts w:cs="Arial" w:asciiTheme="minorEastAsia" w:hAnsiTheme="minorEastAsia" w:eastAsiaTheme="minorEastAsia"/>
          <w:color w:val="auto"/>
          <w:sz w:val="24"/>
          <w:highlight w:val="none"/>
        </w:rPr>
        <w:t>规定的其他情形</w:t>
      </w:r>
      <w:r>
        <w:rPr>
          <w:rFonts w:hint="eastAsia" w:cs="Arial" w:asciiTheme="minorEastAsia" w:hAnsiTheme="minorEastAsia" w:eastAsiaTheme="minorEastAsia"/>
          <w:color w:val="auto"/>
          <w:sz w:val="24"/>
          <w:highlight w:val="none"/>
        </w:rPr>
        <w:t>。</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 响应文件编制</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 响应文件应按第六章“响应文件格式”进行编写，如有必要，可以增加附页，作为响应文件的组成部分。</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 响应文件应使用不能擦去的墨水书写或打印并加盖单位公章，竞争性谈判文件中要求供应商的法定代表人或其委托代理人签字的相应位置须按要求签字确认。委托代理人签字的，响应文件应附法定代表人签字署名的授权委托书。</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 响应文件正本一份，副本份数见供应商须知前附表。正本和副本的封面上应清楚地标记“正本”或“副本”的字样。</w:t>
      </w:r>
      <w:r>
        <w:rPr>
          <w:rFonts w:hint="eastAsia" w:asciiTheme="minorEastAsia" w:hAnsiTheme="minorEastAsia" w:eastAsiaTheme="minorEastAsia"/>
          <w:b/>
          <w:color w:val="auto"/>
          <w:sz w:val="24"/>
          <w:highlight w:val="none"/>
        </w:rPr>
        <w:t>副本可为已按要求签字盖章的正本的复印件</w:t>
      </w:r>
      <w:r>
        <w:rPr>
          <w:rFonts w:hint="eastAsia" w:asciiTheme="minorEastAsia" w:hAnsiTheme="minorEastAsia" w:eastAsiaTheme="minorEastAsia"/>
          <w:color w:val="auto"/>
          <w:sz w:val="24"/>
          <w:highlight w:val="none"/>
        </w:rPr>
        <w:t>，当副本和正本不一致时，以正本为准。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14.5响应文件的正本与副本应分别装订成册，并编制目录和页码。</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 响应文件的密封和标识</w:t>
      </w:r>
    </w:p>
    <w:p>
      <w:pPr>
        <w:spacing w:after="0" w:line="400" w:lineRule="exact"/>
        <w:ind w:firstLine="488" w:firstLineChars="200"/>
        <w:rPr>
          <w:rFonts w:asciiTheme="minorEastAsia" w:hAnsiTheme="minorEastAsia" w:eastAsiaTheme="minorEastAsia"/>
          <w:color w:val="auto"/>
          <w:sz w:val="24"/>
          <w:highlight w:val="none"/>
        </w:rPr>
      </w:pPr>
      <w:r>
        <w:rPr>
          <w:rFonts w:hint="eastAsia" w:cs="Courier New" w:asciiTheme="minorEastAsia" w:hAnsiTheme="minorEastAsia" w:eastAsiaTheme="minorEastAsia"/>
          <w:color w:val="auto"/>
          <w:spacing w:val="2"/>
          <w:sz w:val="24"/>
          <w:highlight w:val="none"/>
        </w:rPr>
        <w:t>15.1 将响应文件</w:t>
      </w:r>
      <w:r>
        <w:rPr>
          <w:rFonts w:hint="eastAsia" w:cs="宋体" w:asciiTheme="minorEastAsia" w:hAnsiTheme="minorEastAsia" w:eastAsiaTheme="minorEastAsia"/>
          <w:color w:val="auto"/>
          <w:sz w:val="24"/>
          <w:highlight w:val="none"/>
        </w:rPr>
        <w:t>“价格文件”书面版本</w:t>
      </w:r>
      <w:r>
        <w:rPr>
          <w:rFonts w:hint="eastAsia" w:cs="Courier New" w:asciiTheme="minorEastAsia" w:hAnsiTheme="minorEastAsia" w:eastAsiaTheme="minorEastAsia"/>
          <w:color w:val="auto"/>
          <w:spacing w:val="2"/>
          <w:sz w:val="24"/>
          <w:highlight w:val="none"/>
        </w:rPr>
        <w:t>的正本和全部副本</w:t>
      </w:r>
      <w:r>
        <w:rPr>
          <w:rFonts w:hint="eastAsia" w:asciiTheme="minorEastAsia" w:hAnsiTheme="minorEastAsia" w:eastAsiaTheme="minorEastAsia"/>
          <w:color w:val="auto"/>
          <w:sz w:val="24"/>
          <w:highlight w:val="none"/>
        </w:rPr>
        <w:t>密封在一个包封内。</w:t>
      </w:r>
      <w:r>
        <w:rPr>
          <w:rFonts w:hint="eastAsia" w:cs="Courier New" w:asciiTheme="minorEastAsia" w:hAnsiTheme="minorEastAsia" w:eastAsiaTheme="minorEastAsia"/>
          <w:color w:val="auto"/>
          <w:spacing w:val="2"/>
          <w:sz w:val="24"/>
          <w:highlight w:val="none"/>
        </w:rPr>
        <w:t>内层包封上应写明“</w:t>
      </w:r>
      <w:r>
        <w:rPr>
          <w:rFonts w:hint="eastAsia" w:cs="宋体" w:asciiTheme="minorEastAsia" w:hAnsiTheme="minorEastAsia" w:eastAsiaTheme="minorEastAsia"/>
          <w:color w:val="auto"/>
          <w:sz w:val="24"/>
          <w:highlight w:val="none"/>
        </w:rPr>
        <w:t>价格文件、</w:t>
      </w:r>
      <w:r>
        <w:rPr>
          <w:rFonts w:hint="eastAsia" w:cs="Courier New" w:asciiTheme="minorEastAsia" w:hAnsiTheme="minorEastAsia" w:eastAsiaTheme="minorEastAsia"/>
          <w:color w:val="auto"/>
          <w:spacing w:val="2"/>
          <w:sz w:val="24"/>
          <w:highlight w:val="none"/>
        </w:rPr>
        <w:t>供应商名称和地址、项目名称、项目编号”</w:t>
      </w:r>
      <w:r>
        <w:rPr>
          <w:rFonts w:hint="eastAsia" w:asciiTheme="minorEastAsia" w:hAnsiTheme="minorEastAsia" w:eastAsiaTheme="minorEastAsia"/>
          <w:color w:val="auto"/>
          <w:sz w:val="24"/>
          <w:highlight w:val="none"/>
        </w:rPr>
        <w:t>字样；</w:t>
      </w:r>
    </w:p>
    <w:p>
      <w:pPr>
        <w:spacing w:after="0" w:line="400" w:lineRule="exact"/>
        <w:ind w:firstLine="488" w:firstLineChars="200"/>
        <w:rPr>
          <w:rFonts w:asciiTheme="minorEastAsia" w:hAnsiTheme="minorEastAsia" w:eastAsiaTheme="minorEastAsia"/>
          <w:color w:val="auto"/>
          <w:sz w:val="24"/>
          <w:highlight w:val="none"/>
        </w:rPr>
      </w:pPr>
      <w:r>
        <w:rPr>
          <w:rFonts w:hint="eastAsia" w:cs="Courier New" w:asciiTheme="minorEastAsia" w:hAnsiTheme="minorEastAsia" w:eastAsiaTheme="minorEastAsia"/>
          <w:color w:val="auto"/>
          <w:spacing w:val="2"/>
          <w:sz w:val="24"/>
          <w:highlight w:val="none"/>
        </w:rPr>
        <w:t>15.2 将响应文件</w:t>
      </w:r>
      <w:r>
        <w:rPr>
          <w:rFonts w:hint="eastAsia" w:cs="宋体" w:asciiTheme="minorEastAsia" w:hAnsiTheme="minorEastAsia" w:eastAsiaTheme="minorEastAsia"/>
          <w:color w:val="auto"/>
          <w:sz w:val="24"/>
          <w:highlight w:val="none"/>
        </w:rPr>
        <w:t>“商务技术文件”书面版本</w:t>
      </w:r>
      <w:r>
        <w:rPr>
          <w:rFonts w:hint="eastAsia" w:cs="Courier New" w:asciiTheme="minorEastAsia" w:hAnsiTheme="minorEastAsia" w:eastAsiaTheme="minorEastAsia"/>
          <w:color w:val="auto"/>
          <w:spacing w:val="2"/>
          <w:sz w:val="24"/>
          <w:highlight w:val="none"/>
        </w:rPr>
        <w:t>的正本和全部副本</w:t>
      </w:r>
      <w:r>
        <w:rPr>
          <w:rFonts w:hint="eastAsia" w:asciiTheme="minorEastAsia" w:hAnsiTheme="minorEastAsia" w:eastAsiaTheme="minorEastAsia"/>
          <w:color w:val="auto"/>
          <w:sz w:val="24"/>
          <w:highlight w:val="none"/>
        </w:rPr>
        <w:t>密封在一个包封内。</w:t>
      </w:r>
      <w:r>
        <w:rPr>
          <w:rFonts w:hint="eastAsia" w:cs="Courier New" w:asciiTheme="minorEastAsia" w:hAnsiTheme="minorEastAsia" w:eastAsiaTheme="minorEastAsia"/>
          <w:color w:val="auto"/>
          <w:spacing w:val="2"/>
          <w:sz w:val="24"/>
          <w:highlight w:val="none"/>
        </w:rPr>
        <w:t>内层包封上应写明“</w:t>
      </w:r>
      <w:r>
        <w:rPr>
          <w:rFonts w:hint="eastAsia" w:cs="宋体" w:asciiTheme="minorEastAsia" w:hAnsiTheme="minorEastAsia" w:eastAsiaTheme="minorEastAsia"/>
          <w:color w:val="auto"/>
          <w:sz w:val="24"/>
          <w:highlight w:val="none"/>
        </w:rPr>
        <w:t>商务技术文件、</w:t>
      </w:r>
      <w:r>
        <w:rPr>
          <w:rFonts w:hint="eastAsia" w:cs="Courier New" w:asciiTheme="minorEastAsia" w:hAnsiTheme="minorEastAsia" w:eastAsiaTheme="minorEastAsia"/>
          <w:color w:val="auto"/>
          <w:spacing w:val="2"/>
          <w:sz w:val="24"/>
          <w:highlight w:val="none"/>
        </w:rPr>
        <w:t>供应商名称和地址、项目名称、项目编号”</w:t>
      </w:r>
      <w:r>
        <w:rPr>
          <w:rFonts w:hint="eastAsia" w:asciiTheme="minorEastAsia" w:hAnsiTheme="minorEastAsia" w:eastAsiaTheme="minorEastAsia"/>
          <w:color w:val="auto"/>
          <w:sz w:val="24"/>
          <w:highlight w:val="none"/>
        </w:rPr>
        <w:t>字样；</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15.3 </w:t>
      </w:r>
      <w:r>
        <w:rPr>
          <w:rFonts w:hint="eastAsia" w:asciiTheme="minorEastAsia" w:hAnsiTheme="minorEastAsia" w:eastAsiaTheme="minorEastAsia"/>
          <w:bCs/>
          <w:color w:val="auto"/>
          <w:sz w:val="24"/>
          <w:highlight w:val="none"/>
        </w:rPr>
        <w:t>将</w:t>
      </w:r>
      <w:r>
        <w:rPr>
          <w:rFonts w:hint="eastAsia" w:asciiTheme="minorEastAsia" w:hAnsiTheme="minorEastAsia" w:eastAsiaTheme="minorEastAsia"/>
          <w:color w:val="auto"/>
          <w:sz w:val="24"/>
          <w:highlight w:val="none"/>
        </w:rPr>
        <w:t>响应文件电子版单独包封，包封上标明“响应文件电子版、</w:t>
      </w:r>
      <w:r>
        <w:rPr>
          <w:rFonts w:hint="eastAsia" w:cs="Courier New" w:asciiTheme="minorEastAsia" w:hAnsiTheme="minorEastAsia" w:eastAsiaTheme="minorEastAsia"/>
          <w:color w:val="auto"/>
          <w:spacing w:val="2"/>
          <w:sz w:val="24"/>
          <w:highlight w:val="none"/>
        </w:rPr>
        <w:t>供应商名称和地址、项目名称、项目编号</w:t>
      </w:r>
      <w:r>
        <w:rPr>
          <w:rFonts w:hint="eastAsia" w:asciiTheme="minorEastAsia" w:hAnsiTheme="minorEastAsia" w:eastAsiaTheme="minorEastAsia"/>
          <w:color w:val="auto"/>
          <w:sz w:val="24"/>
          <w:highlight w:val="none"/>
        </w:rPr>
        <w:t>”；</w:t>
      </w:r>
    </w:p>
    <w:p>
      <w:pPr>
        <w:spacing w:after="0" w:line="400" w:lineRule="exact"/>
        <w:ind w:firstLine="488" w:firstLineChars="200"/>
        <w:rPr>
          <w:rFonts w:asciiTheme="minorEastAsia" w:hAnsiTheme="minorEastAsia" w:eastAsiaTheme="minorEastAsia"/>
          <w:color w:val="auto"/>
          <w:sz w:val="24"/>
          <w:highlight w:val="none"/>
        </w:rPr>
      </w:pPr>
      <w:r>
        <w:rPr>
          <w:rFonts w:hint="eastAsia" w:cs="Courier New" w:asciiTheme="minorEastAsia" w:hAnsiTheme="minorEastAsia" w:eastAsiaTheme="minorEastAsia"/>
          <w:color w:val="auto"/>
          <w:spacing w:val="2"/>
          <w:sz w:val="24"/>
          <w:highlight w:val="none"/>
        </w:rPr>
        <w:t xml:space="preserve">15.4 </w:t>
      </w:r>
      <w:r>
        <w:rPr>
          <w:rFonts w:hint="eastAsia" w:asciiTheme="minorEastAsia" w:hAnsiTheme="minorEastAsia" w:eastAsiaTheme="minorEastAsia"/>
          <w:color w:val="auto"/>
          <w:sz w:val="24"/>
          <w:highlight w:val="none"/>
        </w:rPr>
        <w:t>将按上述第15.1项至第15.3项的规定包封好的“</w:t>
      </w:r>
      <w:r>
        <w:rPr>
          <w:rFonts w:hint="eastAsia" w:cs="宋体" w:asciiTheme="minorEastAsia" w:hAnsiTheme="minorEastAsia" w:eastAsiaTheme="minorEastAsia"/>
          <w:color w:val="auto"/>
          <w:sz w:val="24"/>
          <w:highlight w:val="none"/>
        </w:rPr>
        <w:t>价格文件</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商务技术文件</w:t>
      </w:r>
      <w:r>
        <w:rPr>
          <w:rFonts w:hint="eastAsia" w:asciiTheme="minorEastAsia" w:hAnsiTheme="minorEastAsia" w:eastAsiaTheme="minorEastAsia"/>
          <w:color w:val="auto"/>
          <w:sz w:val="24"/>
          <w:highlight w:val="none"/>
        </w:rPr>
        <w:t>”和“响应文件电子版”全部密封在一个外层包封内</w:t>
      </w:r>
      <w:r>
        <w:rPr>
          <w:rFonts w:hint="eastAsia" w:cs="Courier New" w:asciiTheme="minorEastAsia" w:hAnsiTheme="minorEastAsia" w:eastAsiaTheme="minorEastAsia"/>
          <w:color w:val="auto"/>
          <w:spacing w:val="2"/>
          <w:sz w:val="24"/>
          <w:highlight w:val="none"/>
        </w:rPr>
        <w:t>（即采用双层包封法密封）</w:t>
      </w:r>
      <w:r>
        <w:rPr>
          <w:rFonts w:hint="eastAsia" w:asciiTheme="minorEastAsia" w:hAnsiTheme="minorEastAsia" w:eastAsiaTheme="minorEastAsia"/>
          <w:color w:val="auto"/>
          <w:sz w:val="24"/>
          <w:highlight w:val="none"/>
        </w:rPr>
        <w:t>。在外层包封上写明</w:t>
      </w:r>
      <w:r>
        <w:rPr>
          <w:rFonts w:hint="eastAsia" w:cs="Arial" w:asciiTheme="minorEastAsia" w:hAnsiTheme="minorEastAsia" w:eastAsiaTheme="minorEastAsia"/>
          <w:color w:val="auto"/>
          <w:sz w:val="24"/>
          <w:highlight w:val="none"/>
        </w:rPr>
        <w:t>供应商名称、供应商地址、项目名称、项目编号、分包号或标段号（如有）等字样，并加盖供应商公章。</w:t>
      </w:r>
    </w:p>
    <w:p>
      <w:pPr>
        <w:spacing w:after="0" w:line="400" w:lineRule="exact"/>
        <w:ind w:firstLine="490" w:firstLineChars="200"/>
        <w:rPr>
          <w:rFonts w:cs="Courier New" w:asciiTheme="minorEastAsia" w:hAnsiTheme="minorEastAsia" w:eastAsiaTheme="minorEastAsia"/>
          <w:b/>
          <w:color w:val="auto"/>
          <w:spacing w:val="2"/>
          <w:sz w:val="24"/>
          <w:highlight w:val="none"/>
        </w:rPr>
      </w:pPr>
      <w:r>
        <w:rPr>
          <w:rFonts w:hint="eastAsia" w:cs="Courier New" w:asciiTheme="minorEastAsia" w:hAnsiTheme="minorEastAsia" w:eastAsiaTheme="minorEastAsia"/>
          <w:b/>
          <w:color w:val="auto"/>
          <w:spacing w:val="2"/>
          <w:sz w:val="24"/>
          <w:highlight w:val="none"/>
        </w:rPr>
        <w:t>外包封必须加盖供应商公章或由供应商法定代表人（或授权代表）签字以示密封。</w:t>
      </w:r>
    </w:p>
    <w:p>
      <w:pPr>
        <w:spacing w:after="0" w:line="400" w:lineRule="exact"/>
        <w:ind w:firstLine="488" w:firstLineChars="200"/>
        <w:rPr>
          <w:rFonts w:cs="Courier New" w:asciiTheme="minorEastAsia" w:hAnsiTheme="minorEastAsia" w:eastAsiaTheme="minorEastAsia"/>
          <w:color w:val="auto"/>
          <w:spacing w:val="2"/>
          <w:sz w:val="24"/>
          <w:highlight w:val="none"/>
        </w:rPr>
      </w:pPr>
      <w:r>
        <w:rPr>
          <w:rFonts w:hint="eastAsia" w:cs="Courier New" w:asciiTheme="minorEastAsia" w:hAnsiTheme="minorEastAsia" w:eastAsiaTheme="minorEastAsia"/>
          <w:color w:val="auto"/>
          <w:spacing w:val="2"/>
          <w:sz w:val="24"/>
          <w:highlight w:val="none"/>
        </w:rPr>
        <w:t>15.5 未按本章第15.1条或15.4条要求密封和加写标记，作无效响应文件处理。</w:t>
      </w:r>
    </w:p>
    <w:p>
      <w:pPr>
        <w:spacing w:after="0" w:line="400" w:lineRule="exact"/>
        <w:ind w:firstLine="490" w:firstLineChars="200"/>
        <w:rPr>
          <w:rFonts w:cs="Courier New" w:asciiTheme="minorEastAsia" w:hAnsiTheme="minorEastAsia" w:eastAsiaTheme="minorEastAsia"/>
          <w:b/>
          <w:bCs/>
          <w:color w:val="auto"/>
          <w:spacing w:val="2"/>
          <w:sz w:val="24"/>
          <w:highlight w:val="none"/>
        </w:rPr>
      </w:pPr>
      <w:r>
        <w:rPr>
          <w:rFonts w:hint="eastAsia" w:cs="Courier New" w:asciiTheme="minorEastAsia" w:hAnsiTheme="minorEastAsia" w:eastAsiaTheme="minorEastAsia"/>
          <w:b/>
          <w:bCs/>
          <w:color w:val="auto"/>
          <w:spacing w:val="2"/>
          <w:sz w:val="24"/>
          <w:highlight w:val="none"/>
        </w:rPr>
        <w:t>16. 响应文件的递交</w:t>
      </w:r>
    </w:p>
    <w:p>
      <w:pPr>
        <w:spacing w:after="0" w:line="400" w:lineRule="exact"/>
        <w:ind w:firstLine="488" w:firstLineChars="200"/>
        <w:rPr>
          <w:rFonts w:cs="Courier New" w:asciiTheme="minorEastAsia" w:hAnsiTheme="minorEastAsia" w:eastAsiaTheme="minorEastAsia"/>
          <w:color w:val="auto"/>
          <w:spacing w:val="2"/>
          <w:sz w:val="24"/>
          <w:highlight w:val="none"/>
        </w:rPr>
      </w:pPr>
      <w:r>
        <w:rPr>
          <w:rFonts w:hint="eastAsia" w:cs="Courier New" w:asciiTheme="minorEastAsia" w:hAnsiTheme="minorEastAsia" w:eastAsiaTheme="minorEastAsia"/>
          <w:bCs/>
          <w:color w:val="auto"/>
          <w:spacing w:val="2"/>
          <w:sz w:val="24"/>
          <w:highlight w:val="none"/>
        </w:rPr>
        <w:t xml:space="preserve">16.1 </w:t>
      </w:r>
      <w:r>
        <w:rPr>
          <w:rFonts w:hint="eastAsia" w:cs="Courier New" w:asciiTheme="minorEastAsia" w:hAnsiTheme="minorEastAsia" w:eastAsiaTheme="minorEastAsia"/>
          <w:color w:val="auto"/>
          <w:spacing w:val="2"/>
          <w:sz w:val="24"/>
          <w:highlight w:val="none"/>
        </w:rPr>
        <w:t>供应商应在</w:t>
      </w:r>
      <w:r>
        <w:rPr>
          <w:rFonts w:hint="eastAsia" w:asciiTheme="minorEastAsia" w:hAnsiTheme="minorEastAsia" w:eastAsiaTheme="minorEastAsia"/>
          <w:color w:val="auto"/>
          <w:sz w:val="24"/>
          <w:highlight w:val="none"/>
        </w:rPr>
        <w:t>供应商须知前附表</w:t>
      </w:r>
      <w:r>
        <w:rPr>
          <w:rFonts w:hint="eastAsia" w:cs="Courier New" w:asciiTheme="minorEastAsia" w:hAnsiTheme="minorEastAsia" w:eastAsiaTheme="minorEastAsia"/>
          <w:color w:val="auto"/>
          <w:spacing w:val="2"/>
          <w:sz w:val="24"/>
          <w:highlight w:val="none"/>
        </w:rPr>
        <w:t>规定的截止时间前递交响应文件。凡逾期送达的响应文件将视为无效响应文件处理。</w:t>
      </w:r>
    </w:p>
    <w:p>
      <w:pPr>
        <w:spacing w:after="0" w:line="400" w:lineRule="exact"/>
        <w:ind w:firstLine="488" w:firstLineChars="200"/>
        <w:rPr>
          <w:rFonts w:cs="Courier New" w:asciiTheme="minorEastAsia" w:hAnsiTheme="minorEastAsia" w:eastAsiaTheme="minorEastAsia"/>
          <w:bCs/>
          <w:color w:val="auto"/>
          <w:spacing w:val="2"/>
          <w:sz w:val="24"/>
          <w:highlight w:val="none"/>
        </w:rPr>
      </w:pPr>
      <w:r>
        <w:rPr>
          <w:rFonts w:hint="eastAsia" w:cs="Courier New" w:asciiTheme="minorEastAsia" w:hAnsiTheme="minorEastAsia" w:eastAsiaTheme="minorEastAsia"/>
          <w:bCs/>
          <w:color w:val="auto"/>
          <w:spacing w:val="2"/>
          <w:sz w:val="24"/>
          <w:highlight w:val="none"/>
        </w:rPr>
        <w:t>16.2 供应商按</w:t>
      </w:r>
      <w:r>
        <w:rPr>
          <w:rFonts w:hint="eastAsia" w:asciiTheme="minorEastAsia" w:hAnsiTheme="minorEastAsia" w:eastAsiaTheme="minorEastAsia"/>
          <w:color w:val="auto"/>
          <w:sz w:val="24"/>
          <w:highlight w:val="none"/>
        </w:rPr>
        <w:t>供应商须知前附表</w:t>
      </w:r>
      <w:r>
        <w:rPr>
          <w:rFonts w:hint="eastAsia" w:cs="Courier New" w:asciiTheme="minorEastAsia" w:hAnsiTheme="minorEastAsia" w:eastAsiaTheme="minorEastAsia"/>
          <w:color w:val="auto"/>
          <w:spacing w:val="2"/>
          <w:sz w:val="24"/>
          <w:highlight w:val="none"/>
        </w:rPr>
        <w:t>规定的地点</w:t>
      </w:r>
      <w:r>
        <w:rPr>
          <w:rFonts w:hint="eastAsia" w:cs="Courier New" w:asciiTheme="minorEastAsia" w:hAnsiTheme="minorEastAsia" w:eastAsiaTheme="minorEastAsia"/>
          <w:bCs/>
          <w:color w:val="auto"/>
          <w:spacing w:val="2"/>
          <w:sz w:val="24"/>
          <w:highlight w:val="none"/>
        </w:rPr>
        <w:t>递交响应文件，并由采购人或采购代理机构</w:t>
      </w:r>
      <w:r>
        <w:rPr>
          <w:rFonts w:hint="eastAsia" w:cs="Courier New" w:asciiTheme="minorEastAsia" w:hAnsiTheme="minorEastAsia" w:eastAsiaTheme="minorEastAsia"/>
          <w:color w:val="auto"/>
          <w:spacing w:val="2"/>
          <w:sz w:val="24"/>
          <w:highlight w:val="none"/>
        </w:rPr>
        <w:t>签收</w:t>
      </w:r>
      <w:r>
        <w:rPr>
          <w:rFonts w:hint="eastAsia" w:cs="Courier New" w:asciiTheme="minorEastAsia" w:hAnsiTheme="minorEastAsia" w:eastAsiaTheme="minorEastAsia"/>
          <w:b/>
          <w:color w:val="auto"/>
          <w:spacing w:val="2"/>
          <w:sz w:val="24"/>
          <w:highlight w:val="none"/>
        </w:rPr>
        <w:t>。</w:t>
      </w:r>
    </w:p>
    <w:p>
      <w:pPr>
        <w:spacing w:after="0" w:line="400" w:lineRule="exact"/>
        <w:ind w:firstLine="488" w:firstLineChars="200"/>
        <w:rPr>
          <w:rFonts w:cs="Courier New" w:asciiTheme="minorEastAsia" w:hAnsiTheme="minorEastAsia" w:eastAsiaTheme="minorEastAsia"/>
          <w:bCs/>
          <w:color w:val="auto"/>
          <w:spacing w:val="2"/>
          <w:sz w:val="24"/>
          <w:highlight w:val="none"/>
        </w:rPr>
      </w:pPr>
      <w:r>
        <w:rPr>
          <w:rFonts w:hint="eastAsia" w:cs="Courier New" w:asciiTheme="minorEastAsia" w:hAnsiTheme="minorEastAsia" w:eastAsiaTheme="minorEastAsia"/>
          <w:bCs/>
          <w:color w:val="auto"/>
          <w:spacing w:val="2"/>
          <w:sz w:val="24"/>
          <w:highlight w:val="none"/>
        </w:rPr>
        <w:t>16.3 除竞争性谈判文件另有规定外，供应商所递交的响应文件不予退还。</w:t>
      </w:r>
    </w:p>
    <w:p>
      <w:pPr>
        <w:spacing w:after="0" w:line="400" w:lineRule="exact"/>
        <w:ind w:firstLine="488" w:firstLineChars="200"/>
        <w:rPr>
          <w:rFonts w:cs="Courier New" w:asciiTheme="minorEastAsia" w:hAnsiTheme="minorEastAsia" w:eastAsiaTheme="minorEastAsia"/>
          <w:bCs/>
          <w:color w:val="auto"/>
          <w:spacing w:val="2"/>
          <w:sz w:val="24"/>
          <w:highlight w:val="none"/>
        </w:rPr>
      </w:pPr>
      <w:r>
        <w:rPr>
          <w:rFonts w:hint="eastAsia" w:cs="Courier New" w:asciiTheme="minorEastAsia" w:hAnsiTheme="minorEastAsia" w:eastAsiaTheme="minorEastAsia"/>
          <w:bCs/>
          <w:color w:val="auto"/>
          <w:spacing w:val="2"/>
          <w:sz w:val="24"/>
          <w:highlight w:val="none"/>
        </w:rPr>
        <w:t>16.4 逾期送达的或者未送达指定地点的响应文件，</w:t>
      </w:r>
      <w:r>
        <w:rPr>
          <w:rFonts w:hint="eastAsia" w:cs="Courier New" w:asciiTheme="minorEastAsia" w:hAnsiTheme="minorEastAsia" w:eastAsiaTheme="minorEastAsia"/>
          <w:color w:val="auto"/>
          <w:spacing w:val="2"/>
          <w:sz w:val="24"/>
          <w:highlight w:val="none"/>
        </w:rPr>
        <w:t>采购代理机构将拒绝接收</w:t>
      </w:r>
      <w:r>
        <w:rPr>
          <w:rFonts w:hint="eastAsia" w:cs="Courier New" w:asciiTheme="minorEastAsia" w:hAnsiTheme="minorEastAsia" w:eastAsiaTheme="minorEastAsia"/>
          <w:bCs/>
          <w:color w:val="auto"/>
          <w:spacing w:val="2"/>
          <w:sz w:val="24"/>
          <w:highlight w:val="none"/>
        </w:rPr>
        <w:t>。</w:t>
      </w:r>
    </w:p>
    <w:p>
      <w:pPr>
        <w:spacing w:after="0" w:line="400" w:lineRule="exact"/>
        <w:ind w:firstLine="490" w:firstLineChars="200"/>
        <w:rPr>
          <w:rFonts w:cs="Courier New" w:asciiTheme="minorEastAsia" w:hAnsiTheme="minorEastAsia" w:eastAsiaTheme="minorEastAsia"/>
          <w:b/>
          <w:bCs/>
          <w:color w:val="auto"/>
          <w:spacing w:val="2"/>
          <w:sz w:val="24"/>
          <w:highlight w:val="none"/>
        </w:rPr>
      </w:pPr>
      <w:r>
        <w:rPr>
          <w:rFonts w:hint="eastAsia" w:cs="Courier New" w:asciiTheme="minorEastAsia" w:hAnsiTheme="minorEastAsia" w:eastAsiaTheme="minorEastAsia"/>
          <w:b/>
          <w:bCs/>
          <w:color w:val="auto"/>
          <w:spacing w:val="2"/>
          <w:sz w:val="24"/>
          <w:highlight w:val="none"/>
        </w:rPr>
        <w:t>17. 响应文件的修改和撤回</w:t>
      </w:r>
    </w:p>
    <w:p>
      <w:pPr>
        <w:spacing w:after="0" w:line="400" w:lineRule="exact"/>
        <w:ind w:firstLine="488" w:firstLineChars="200"/>
        <w:rPr>
          <w:rFonts w:cs="Courier New" w:asciiTheme="minorEastAsia" w:hAnsiTheme="minorEastAsia" w:eastAsiaTheme="minorEastAsia"/>
          <w:color w:val="auto"/>
          <w:spacing w:val="2"/>
          <w:sz w:val="24"/>
          <w:highlight w:val="none"/>
        </w:rPr>
      </w:pPr>
      <w:r>
        <w:rPr>
          <w:rFonts w:hint="eastAsia" w:cs="Courier New" w:asciiTheme="minorEastAsia" w:hAnsiTheme="minorEastAsia" w:eastAsiaTheme="minorEastAsia"/>
          <w:color w:val="auto"/>
          <w:spacing w:val="2"/>
          <w:sz w:val="24"/>
          <w:highlight w:val="none"/>
        </w:rPr>
        <w:t>17.1 在</w:t>
      </w:r>
      <w:r>
        <w:rPr>
          <w:rFonts w:hint="eastAsia" w:asciiTheme="minorEastAsia" w:hAnsiTheme="minorEastAsia" w:eastAsiaTheme="minorEastAsia"/>
          <w:color w:val="auto"/>
          <w:sz w:val="24"/>
          <w:highlight w:val="none"/>
        </w:rPr>
        <w:t>供应商须知前附表</w:t>
      </w:r>
      <w:r>
        <w:rPr>
          <w:rFonts w:hint="eastAsia" w:cs="Courier New" w:asciiTheme="minorEastAsia" w:hAnsiTheme="minorEastAsia" w:eastAsiaTheme="minorEastAsia"/>
          <w:color w:val="auto"/>
          <w:spacing w:val="2"/>
          <w:sz w:val="24"/>
          <w:highlight w:val="none"/>
        </w:rPr>
        <w:t>规定的</w:t>
      </w:r>
      <w:r>
        <w:rPr>
          <w:rFonts w:hint="eastAsia" w:cs="宋体" w:asciiTheme="minorEastAsia" w:hAnsiTheme="minorEastAsia" w:eastAsiaTheme="minorEastAsia"/>
          <w:color w:val="auto"/>
          <w:sz w:val="24"/>
          <w:highlight w:val="none"/>
        </w:rPr>
        <w:t>递交响应文件</w:t>
      </w:r>
      <w:r>
        <w:rPr>
          <w:rFonts w:hint="eastAsia" w:cs="Courier New" w:asciiTheme="minorEastAsia" w:hAnsiTheme="minorEastAsia" w:eastAsiaTheme="minorEastAsia"/>
          <w:color w:val="auto"/>
          <w:spacing w:val="2"/>
          <w:sz w:val="24"/>
          <w:highlight w:val="none"/>
        </w:rPr>
        <w:t>截止时间前，供应商可以修改或撤回已递交的响应文件，但应以书面形式通知采购人或采购代理机构。</w:t>
      </w:r>
    </w:p>
    <w:p>
      <w:pPr>
        <w:spacing w:after="0" w:line="400" w:lineRule="exact"/>
        <w:ind w:firstLine="488" w:firstLineChars="200"/>
        <w:rPr>
          <w:rFonts w:cs="Courier New" w:asciiTheme="minorEastAsia" w:hAnsiTheme="minorEastAsia" w:eastAsiaTheme="minorEastAsia"/>
          <w:color w:val="auto"/>
          <w:spacing w:val="2"/>
          <w:sz w:val="24"/>
          <w:highlight w:val="none"/>
        </w:rPr>
      </w:pPr>
      <w:r>
        <w:rPr>
          <w:rFonts w:hint="eastAsia" w:cs="Courier New" w:asciiTheme="minorEastAsia" w:hAnsiTheme="minorEastAsia" w:eastAsiaTheme="minorEastAsia"/>
          <w:color w:val="auto"/>
          <w:spacing w:val="2"/>
          <w:sz w:val="24"/>
          <w:highlight w:val="none"/>
        </w:rPr>
        <w:t>17.2 供应商修改或撤回已递交响应文件的书面通知应按照本章第14.3项的要求签字或盖章。采购人或采购代理机构收到书面通知后，向供应商出具签收凭证。</w:t>
      </w:r>
    </w:p>
    <w:p>
      <w:pPr>
        <w:spacing w:after="0" w:line="400" w:lineRule="exact"/>
        <w:ind w:firstLine="488" w:firstLineChars="200"/>
        <w:rPr>
          <w:rFonts w:cs="Courier New" w:asciiTheme="minorEastAsia" w:hAnsiTheme="minorEastAsia" w:eastAsiaTheme="minorEastAsia"/>
          <w:color w:val="auto"/>
          <w:spacing w:val="2"/>
          <w:sz w:val="24"/>
          <w:highlight w:val="none"/>
        </w:rPr>
      </w:pPr>
      <w:r>
        <w:rPr>
          <w:rFonts w:hint="eastAsia" w:cs="Courier New" w:asciiTheme="minorEastAsia" w:hAnsiTheme="minorEastAsia" w:eastAsiaTheme="minorEastAsia"/>
          <w:color w:val="auto"/>
          <w:spacing w:val="2"/>
          <w:sz w:val="24"/>
          <w:highlight w:val="none"/>
        </w:rPr>
        <w:t>17.3 修改的内容为响应文件的组成部分。修改的响应文件应按照本章第15条、第16条规定进行编制、密封、标记和递交，并标明“修改”字样。</w:t>
      </w:r>
    </w:p>
    <w:p>
      <w:pPr>
        <w:pStyle w:val="4"/>
        <w:spacing w:before="240" w:beforeLines="100" w:line="400" w:lineRule="exact"/>
        <w:rPr>
          <w:rFonts w:asciiTheme="minorEastAsia" w:hAnsiTheme="minorEastAsia" w:eastAsiaTheme="minorEastAsia"/>
          <w:color w:val="auto"/>
          <w:highlight w:val="none"/>
        </w:rPr>
      </w:pPr>
      <w:bookmarkStart w:id="63" w:name="_Toc7192547"/>
      <w:r>
        <w:rPr>
          <w:rFonts w:hint="eastAsia" w:asciiTheme="minorEastAsia" w:hAnsiTheme="minorEastAsia" w:eastAsiaTheme="minorEastAsia"/>
          <w:color w:val="auto"/>
          <w:highlight w:val="none"/>
        </w:rPr>
        <w:t>四、谈判与评审</w:t>
      </w:r>
      <w:bookmarkEnd w:id="63"/>
    </w:p>
    <w:p>
      <w:pPr>
        <w:pStyle w:val="20"/>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8</w:t>
      </w:r>
      <w:r>
        <w:rPr>
          <w:rFonts w:hint="eastAsia" w:asciiTheme="minorEastAsia" w:hAnsiTheme="minorEastAsia" w:eastAsiaTheme="minorEastAsia"/>
          <w:b/>
          <w:color w:val="auto"/>
          <w:sz w:val="24"/>
          <w:highlight w:val="none"/>
        </w:rPr>
        <w:t>. 谈判时间和地点</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.1 采购代理机构将在供应商须知前附表规定的时间和地点组织谈判，供应商的法定代表人或其授权委托人必须持供应商须知前附表规定的证件依时到现场参加谈判，否则作无效响应处理。</w:t>
      </w:r>
    </w:p>
    <w:p>
      <w:pPr>
        <w:pStyle w:val="20"/>
        <w:spacing w:line="40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19</w:t>
      </w:r>
      <w:r>
        <w:rPr>
          <w:rFonts w:hint="eastAsia" w:asciiTheme="minorEastAsia" w:hAnsiTheme="minorEastAsia" w:eastAsiaTheme="minorEastAsia"/>
          <w:b/>
          <w:color w:val="auto"/>
          <w:sz w:val="24"/>
          <w:highlight w:val="none"/>
        </w:rPr>
        <w:t>. 谈判小组成立</w:t>
      </w:r>
    </w:p>
    <w:p>
      <w:pPr>
        <w:pStyle w:val="20"/>
        <w:spacing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.1竞争性谈判小组成立</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采购代理机构依据法律规定，在政府采购监督部门规定的专家库中上随机抽取政府采购评审专家与采购人组成竞争性谈判小组。</w:t>
      </w:r>
    </w:p>
    <w:p>
      <w:pPr>
        <w:pStyle w:val="20"/>
        <w:spacing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 竞争性谈判小组在采购活动过程中应当履行下列职责：</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（1）确认谈判文件； </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（2）从符合相应资格条件的供应商名单中确定不少于3家的供应商参加谈判；</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（3）审查供应商的响应文件并作出评价；</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（4）要求供应商解释或者澄清其响应文件；</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（5）编写评审报告； </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（6）告知采购人、采购代理机构在评审过程中发现的供应商的违法违规行为。</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.3竞争性谈判小组成员应当履行下列义务：</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（1）遵纪守法，客观、公正、廉洁地履行职责；</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（2）根据采购文件的规定独立进行评审，对个人的评审意见承担法律责任；</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（3）参与评审报告的起草；</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（4）配合采购人、采购代理机构答复供应商提出的质疑；</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（5）配合财政部门的投诉处理和监督检查工作。</w:t>
      </w:r>
    </w:p>
    <w:p>
      <w:pPr>
        <w:pStyle w:val="20"/>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0</w:t>
      </w:r>
      <w:r>
        <w:rPr>
          <w:rFonts w:hint="eastAsia" w:asciiTheme="minorEastAsia" w:hAnsiTheme="minorEastAsia" w:eastAsiaTheme="minorEastAsia"/>
          <w:b/>
          <w:color w:val="auto"/>
          <w:sz w:val="24"/>
          <w:highlight w:val="none"/>
        </w:rPr>
        <w:t>.评审原则及方法</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 评审原则：</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评审活动遵循公平、公正、科学和择优的原则。</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.2 评审方法：</w:t>
      </w:r>
    </w:p>
    <w:p>
      <w:pPr>
        <w:pStyle w:val="20"/>
        <w:spacing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20"/>
        <w:spacing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 评审程序</w:t>
      </w:r>
    </w:p>
    <w:p>
      <w:pPr>
        <w:spacing w:after="0" w:line="400" w:lineRule="exact"/>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谈判小组确认竞争性谈判文件。</w:t>
      </w:r>
    </w:p>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.2资格审查和符合性审查</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资格条件</w:t>
      </w:r>
      <w:r>
        <w:rPr>
          <w:rFonts w:hint="eastAsia" w:asciiTheme="minorEastAsia" w:hAnsiTheme="minorEastAsia" w:eastAsiaTheme="minorEastAsia"/>
          <w:color w:val="auto"/>
          <w:sz w:val="24"/>
          <w:highlight w:val="none"/>
        </w:rPr>
        <w:t>不符合</w:t>
      </w:r>
      <w:r>
        <w:rPr>
          <w:rFonts w:asciiTheme="minorEastAsia" w:hAnsiTheme="minorEastAsia" w:eastAsiaTheme="minorEastAsia"/>
          <w:color w:val="auto"/>
          <w:sz w:val="24"/>
          <w:highlight w:val="none"/>
        </w:rPr>
        <w:t>的供应商</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未实质性响应谈判文件的响应文件按无效</w:t>
      </w:r>
      <w:r>
        <w:rPr>
          <w:rFonts w:hint="eastAsia" w:asciiTheme="minorEastAsia" w:hAnsiTheme="minorEastAsia" w:eastAsiaTheme="minorEastAsia"/>
          <w:color w:val="auto"/>
          <w:sz w:val="24"/>
          <w:highlight w:val="none"/>
        </w:rPr>
        <w:t>竞标</w:t>
      </w:r>
      <w:r>
        <w:rPr>
          <w:rFonts w:asciiTheme="minorEastAsia" w:hAnsiTheme="minorEastAsia" w:eastAsiaTheme="minorEastAsia"/>
          <w:color w:val="auto"/>
          <w:sz w:val="24"/>
          <w:highlight w:val="none"/>
        </w:rPr>
        <w:t>处理，谈判小组告知有关供应商。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21.2.1资格审查</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供应商有下列情形之一的，资格审查不通过：</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（1）不符合《中华人民共和国政府采购法》第二十二条规定条件的。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（2）未按本项目采购公告规定方式获得竞争性谈判文件的。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（3）参加同一合同项下的政府采购活动的不同供应商，单位负责人为同一人或者存在直接控股、管理关系的。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（4）为本次采购项目提供整体设计、规范编制或者项目管理、监理、检测等服务的。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（5）在“信用中国”网站(www.creditchina.gov.cn)</w:t>
      </w:r>
      <w:r>
        <w:rPr>
          <w:rFonts w:hint="eastAsia" w:cs="宋体" w:asciiTheme="minorEastAsia" w:hAnsiTheme="minorEastAsia" w:eastAsiaTheme="minorEastAsia"/>
          <w:color w:val="auto"/>
          <w:sz w:val="24"/>
          <w:highlight w:val="none"/>
        </w:rPr>
        <w:t>、中国政府采购网（www.ccgp.gov.cn）等</w:t>
      </w:r>
      <w:r>
        <w:rPr>
          <w:rFonts w:hint="eastAsia" w:asciiTheme="minorEastAsia" w:hAnsiTheme="minorEastAsia" w:eastAsiaTheme="minorEastAsia"/>
          <w:color w:val="auto"/>
          <w:sz w:val="24"/>
          <w:highlight w:val="none"/>
        </w:rPr>
        <w:t>渠道被列入失信被执行人、重大税收违法案件当事人名单、政府采购严重违法失信行为记录名单的。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（6）不按照采购文件要求提供合格的资格证明材料的。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（7）违反国家法律法规规定的其他资格内容的。</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21.2.2符合性审查</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w:t>
      </w:r>
      <w:r>
        <w:rPr>
          <w:rFonts w:hint="eastAsia" w:asciiTheme="minorEastAsia" w:hAnsiTheme="minorEastAsia" w:eastAsiaTheme="minorEastAsia"/>
          <w:color w:val="auto"/>
          <w:sz w:val="24"/>
          <w:highlight w:val="none"/>
        </w:rPr>
        <w:t>澄清有关问题</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1.4</w:t>
      </w:r>
      <w:r>
        <w:rPr>
          <w:rFonts w:hint="eastAsia" w:cs="宋体" w:asciiTheme="minorEastAsia" w:hAnsiTheme="minorEastAsia" w:eastAsiaTheme="minorEastAsia"/>
          <w:color w:val="auto"/>
          <w:sz w:val="24"/>
          <w:highlight w:val="none"/>
        </w:rPr>
        <w:t>谈判</w:t>
      </w:r>
    </w:p>
    <w:p>
      <w:pPr>
        <w:spacing w:after="0"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谈判小组按已确定的</w:t>
      </w:r>
      <w:r>
        <w:rPr>
          <w:rFonts w:hint="eastAsia" w:asciiTheme="minorEastAsia" w:hAnsiTheme="minorEastAsia" w:eastAsiaTheme="minorEastAsia"/>
          <w:color w:val="auto"/>
          <w:sz w:val="24"/>
          <w:highlight w:val="none"/>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在谈判过程中，</w:t>
      </w:r>
      <w:r>
        <w:rPr>
          <w:rFonts w:hint="eastAsia" w:asciiTheme="minorEastAsia" w:hAnsiTheme="minorEastAsia" w:eastAsiaTheme="minorEastAsia"/>
          <w:color w:val="auto"/>
          <w:sz w:val="24"/>
          <w:highlight w:val="none"/>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对谈判文件作出的实质性变动是谈判文件的有效组成部分，谈判小组及时以书面形式同时通知所有参加谈判的供应商。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谈判中，谈判的任何一方不得透露与谈判有关的其他供应商的技术资料、价格和其他信息。</w:t>
      </w:r>
    </w:p>
    <w:p>
      <w:pPr>
        <w:tabs>
          <w:tab w:val="left" w:pos="540"/>
        </w:tabs>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采购代理机构对谈判过程和重要谈判内容进行记录，谈判双方在记录上签字确认。</w:t>
      </w:r>
    </w:p>
    <w:p>
      <w:pPr>
        <w:tabs>
          <w:tab w:val="left" w:pos="540"/>
        </w:tabs>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w:t>
      </w:r>
      <w:r>
        <w:rPr>
          <w:rFonts w:hint="eastAsia" w:asciiTheme="minorEastAsia" w:hAnsiTheme="minorEastAsia" w:eastAsiaTheme="minorEastAsia"/>
          <w:color w:val="auto"/>
          <w:sz w:val="24"/>
          <w:highlight w:val="none"/>
        </w:rPr>
        <w:t>最后报价</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w:t>
      </w:r>
      <w:r>
        <w:rPr>
          <w:rFonts w:hint="eastAsia" w:asciiTheme="minorEastAsia" w:hAnsiTheme="minorEastAsia" w:eastAsiaTheme="minorEastAsia"/>
          <w:color w:val="auto"/>
          <w:sz w:val="24"/>
          <w:highlight w:val="none"/>
        </w:rPr>
        <w:t>.1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w:t>
      </w:r>
      <w:r>
        <w:rPr>
          <w:rFonts w:hint="eastAsia" w:asciiTheme="minorEastAsia" w:hAnsiTheme="minorEastAsia" w:eastAsiaTheme="minorEastAsia"/>
          <w:color w:val="auto"/>
          <w:sz w:val="24"/>
          <w:highlight w:val="none"/>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w:t>
      </w:r>
      <w:r>
        <w:rPr>
          <w:rFonts w:hint="eastAsia" w:asciiTheme="minorEastAsia" w:hAnsiTheme="minorEastAsia" w:eastAsiaTheme="minorEastAsia"/>
          <w:color w:val="auto"/>
          <w:sz w:val="24"/>
          <w:highlight w:val="none"/>
        </w:rPr>
        <w:t>.3 最后报价是供应商响应文件的有效组成部分。</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w:t>
      </w:r>
      <w:r>
        <w:rPr>
          <w:rFonts w:hint="eastAsia" w:asciiTheme="minorEastAsia" w:hAnsiTheme="minorEastAsia" w:eastAsiaTheme="minorEastAsia"/>
          <w:color w:val="auto"/>
          <w:sz w:val="24"/>
          <w:highlight w:val="none"/>
        </w:rPr>
        <w:t>.4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21.6</w:t>
      </w:r>
      <w:r>
        <w:rPr>
          <w:rFonts w:hint="eastAsia" w:asciiTheme="minorEastAsia" w:hAnsiTheme="minorEastAsia" w:eastAsiaTheme="minorEastAsia"/>
          <w:b/>
          <w:bCs/>
          <w:color w:val="auto"/>
          <w:sz w:val="24"/>
          <w:highlight w:val="none"/>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2</w:t>
      </w:r>
      <w:r>
        <w:rPr>
          <w:rFonts w:hint="eastAsia" w:asciiTheme="minorEastAsia" w:hAnsiTheme="minorEastAsia" w:eastAsiaTheme="minorEastAsia"/>
          <w:b/>
          <w:bCs/>
          <w:color w:val="auto"/>
          <w:sz w:val="24"/>
          <w:highlight w:val="none"/>
        </w:rPr>
        <w:t>. 错误修正</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r>
        <w:rPr>
          <w:rFonts w:cs="Arial" w:asciiTheme="minorEastAsia" w:hAnsiTheme="minorEastAsia" w:eastAsiaTheme="minorEastAsia"/>
          <w:color w:val="auto"/>
          <w:sz w:val="24"/>
          <w:highlight w:val="none"/>
        </w:rPr>
        <w:t>2</w:t>
      </w:r>
      <w:r>
        <w:rPr>
          <w:rFonts w:hint="eastAsia" w:cs="Arial" w:asciiTheme="minorEastAsia" w:hAnsiTheme="minorEastAsia" w:eastAsiaTheme="minorEastAsia"/>
          <w:color w:val="auto"/>
          <w:sz w:val="24"/>
          <w:highlight w:val="none"/>
        </w:rPr>
        <w:t>.1响应文件如果出现计算或表达上的错误，修正错误的原则如下：</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（1）响应文件的大写金额和小写金额不一致的，以大写金额为准；</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（2）总价金额与按单价汇总金额不一致的，以单价金额计算结果为准；</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（3）单价金额小数点有明显错位的，应以总价为准，并修正单价；</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（4）对不同文字文本响应文件的解释发生异议的，以中文文本为准。</w:t>
      </w:r>
    </w:p>
    <w:p>
      <w:pPr>
        <w:pStyle w:val="20"/>
        <w:spacing w:line="400" w:lineRule="exact"/>
        <w:ind w:firstLine="480" w:firstLineChars="200"/>
        <w:rPr>
          <w:rFonts w:asciiTheme="minorEastAsia" w:hAnsiTheme="minorEastAsia" w:eastAsiaTheme="minorEastAsia"/>
          <w:b/>
          <w:color w:val="auto"/>
          <w:sz w:val="24"/>
          <w:highlight w:val="none"/>
        </w:rPr>
      </w:pPr>
      <w:r>
        <w:rPr>
          <w:rFonts w:hint="eastAsia" w:cs="Arial" w:asciiTheme="minorEastAsia" w:hAnsiTheme="minorEastAsia" w:eastAsiaTheme="minorEastAsia"/>
          <w:color w:val="auto"/>
          <w:sz w:val="24"/>
          <w:highlight w:val="none"/>
        </w:rPr>
        <w:t>2</w:t>
      </w:r>
      <w:r>
        <w:rPr>
          <w:rFonts w:cs="Arial" w:asciiTheme="minorEastAsia" w:hAnsiTheme="minorEastAsia" w:eastAsiaTheme="minorEastAsia"/>
          <w:color w:val="auto"/>
          <w:sz w:val="24"/>
          <w:highlight w:val="none"/>
        </w:rPr>
        <w:t>2</w:t>
      </w:r>
      <w:r>
        <w:rPr>
          <w:rFonts w:hint="eastAsia" w:cs="Arial" w:asciiTheme="minorEastAsia" w:hAnsiTheme="minorEastAsia" w:eastAsiaTheme="minorEastAsia"/>
          <w:color w:val="auto"/>
          <w:sz w:val="24"/>
          <w:highlight w:val="none"/>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3</w:t>
      </w:r>
      <w:r>
        <w:rPr>
          <w:rFonts w:hint="eastAsia" w:asciiTheme="minorEastAsia" w:hAnsiTheme="minorEastAsia" w:eastAsiaTheme="minorEastAsia"/>
          <w:b/>
          <w:bCs/>
          <w:color w:val="auto"/>
          <w:sz w:val="24"/>
          <w:highlight w:val="none"/>
        </w:rPr>
        <w:t>. 评审过程的保密</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r>
        <w:rPr>
          <w:rFonts w:asciiTheme="minorEastAsia" w:hAnsiTheme="minorEastAsia" w:eastAsiaTheme="minorEastAsia"/>
          <w:bCs/>
          <w:color w:val="auto"/>
          <w:sz w:val="24"/>
          <w:highlight w:val="none"/>
        </w:rPr>
        <w:t>3</w:t>
      </w:r>
      <w:r>
        <w:rPr>
          <w:rFonts w:hint="eastAsia" w:asciiTheme="minorEastAsia" w:hAnsiTheme="minorEastAsia" w:eastAsiaTheme="minorEastAsia"/>
          <w:bCs/>
          <w:color w:val="auto"/>
          <w:sz w:val="24"/>
          <w:highlight w:val="none"/>
        </w:rPr>
        <w:t>.1 在评审活动中，凡属于审查、澄清、评价和比较的有关资料及有关授予合同的信息，都不应向供应商或与评审无关的其他人泄露。</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2</w:t>
      </w:r>
      <w:r>
        <w:rPr>
          <w:rFonts w:asciiTheme="minorEastAsia" w:hAnsiTheme="minorEastAsia" w:eastAsiaTheme="minorEastAsia"/>
          <w:bCs/>
          <w:color w:val="auto"/>
          <w:sz w:val="24"/>
          <w:highlight w:val="none"/>
        </w:rPr>
        <w:t>3</w:t>
      </w:r>
      <w:r>
        <w:rPr>
          <w:rFonts w:hint="eastAsia" w:asciiTheme="minorEastAsia" w:hAnsiTheme="minorEastAsia" w:eastAsiaTheme="minorEastAsia"/>
          <w:bCs/>
          <w:color w:val="auto"/>
          <w:sz w:val="24"/>
          <w:highlight w:val="none"/>
        </w:rPr>
        <w:t>.2 在响应文件的审查、澄清、评价和比较以及授予合同的过程中，供应商对采购人和谈判小组成员施加影响的任何行为，都将导致被取消谈判资格。</w:t>
      </w:r>
    </w:p>
    <w:p>
      <w:pPr>
        <w:spacing w:after="0" w:line="400" w:lineRule="exact"/>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4</w:t>
      </w:r>
      <w:r>
        <w:rPr>
          <w:rFonts w:hint="eastAsia" w:asciiTheme="minorEastAsia" w:hAnsiTheme="minorEastAsia" w:eastAsiaTheme="minorEastAsia"/>
          <w:b/>
          <w:bCs/>
          <w:color w:val="auto"/>
          <w:sz w:val="24"/>
          <w:highlight w:val="none"/>
        </w:rPr>
        <w:t>.</w:t>
      </w:r>
      <w:bookmarkStart w:id="64" w:name="_Toc254970532"/>
      <w:bookmarkStart w:id="65" w:name="_Toc254970673"/>
      <w:r>
        <w:rPr>
          <w:rFonts w:hint="eastAsia" w:asciiTheme="minorEastAsia" w:hAnsiTheme="minorEastAsia" w:eastAsiaTheme="minorEastAsia"/>
          <w:b/>
          <w:bCs/>
          <w:color w:val="auto"/>
          <w:sz w:val="24"/>
          <w:highlight w:val="none"/>
        </w:rPr>
        <w:t xml:space="preserve"> 特别说明：</w:t>
      </w:r>
      <w:bookmarkEnd w:id="64"/>
      <w:bookmarkEnd w:id="65"/>
    </w:p>
    <w:p>
      <w:pPr>
        <w:spacing w:after="0" w:line="400" w:lineRule="exact"/>
        <w:ind w:firstLine="480" w:firstLineChars="200"/>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（本条款所述投标人等同于供应商，评标等同于评审，投标等同于谈判或响应）</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24.1单位负责人为同一人或者存在直接控股、管理关系的，不得参加同一合同项下投标或未划分分标的同一合同项下投标，否则投标文件将被视为无效。</w:t>
      </w:r>
      <w:r>
        <w:rPr>
          <w:rFonts w:hint="eastAsia" w:asciiTheme="minorEastAsia" w:hAnsiTheme="minorEastAsia" w:eastAsiaTheme="minorEastAsia"/>
          <w:b/>
          <w:color w:val="auto"/>
          <w:sz w:val="24"/>
          <w:highlight w:val="none"/>
        </w:rPr>
        <w:t>生产厂商授权给供应商后自己不得参加同一合同项下的政府采购活动；生产厂商对同一品牌同一型号的货物，仅能委托一个代理商参加竞标。</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（1）根据桂财采[2016]42号的规定，提供相同品牌产品的不同投标人参加同一合同项下投标的，评审时，按上述规定确定其中一家为有效供应商。</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（2）非单一产品采购项目中，多家投标人提供的核心产品相同的，视为提供相同品牌产品，应当按一个供应商认定，评审时，按上述规定确定其中一家为有效供应商。核心产品在谈判文件中写明。</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24.4 投标人投标所使用的资格、信誉、荣誉、业绩与企业认证必须为本法人所拥有。</w:t>
      </w:r>
      <w:r>
        <w:rPr>
          <w:rFonts w:hint="eastAsia" w:asciiTheme="minorEastAsia" w:hAnsiTheme="minorEastAsia" w:eastAsiaTheme="minorEastAsia"/>
          <w:b/>
          <w:color w:val="auto"/>
          <w:sz w:val="24"/>
          <w:highlight w:val="none"/>
        </w:rPr>
        <w:t>（本采购文件第三章“项目采购需求和说明”另有约定的从其约定）</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24.5 投标人应仔细阅读采购文件的所有内容，按照采购文件的要求提交投标文件，并对所提供的全部资料的真实性承担法律责任。</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24.6投标人在投标活动中提供任何虚假材料,其投标无效，并报监管部门查处；中标后发现的,中标人须依照《中华人民共和国消费者权益保护法》规定赔偿采购人，且民事赔偿并不免除违法投标人的行政与刑事责任。</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24.7在政府采购活动中，采购人员及相关人员与投标人有下列利害关系之一的，应当回避：</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（1）参加采购活动前3年内与投标人存在劳动关系；</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（2）参加采购活动前3年内担任投标人的董事、监事；</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（3）参加采购活动前3年内是投标人的控股股东或者实际控制人；</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（4）与投标人的法定代表人或者负责人有夫妻、直系血亲、三代以内旁系血亲或者近姻亲关系；</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（5）与投标人有其他可能影响政府采购活动公平、公正进行的关系。</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 供应商相互串通投标</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有下列情形之一的视为供应商相互串通投标，投标文件将被视为无效：</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（1）不同供应商的投标文件由同一单位或者个人编制；或不同供应商报名的IP地址一致的；</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（2）不同供应商委托同一单位或者个人办理投标事宜；</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（3）不同的供应商的投标文件载明的项目管理员为同一个人；</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（4）不同供应商的投标文件异常一致或投标报价呈规律性差异；</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（5）不同供应商的投标文件相互混装；</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（6）不同供应商的投标保证金从同一单位或者个人账户转出。</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 xml:space="preserve">6. </w:t>
      </w:r>
      <w:r>
        <w:rPr>
          <w:rFonts w:hint="eastAsia" w:asciiTheme="minorEastAsia" w:hAnsiTheme="minorEastAsia" w:eastAsiaTheme="minorEastAsia"/>
          <w:b/>
          <w:color w:val="auto"/>
          <w:sz w:val="24"/>
          <w:highlight w:val="none"/>
        </w:rPr>
        <w:t>供应商恶意串通投标</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供应商有下列情形之一的，属于恶意串通行为：</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（1）供应商直接或者间接从采购人或者采购代理机构处获得其他供应商的相关信息并修改其投标文件或者响应文件：</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（2）供应商按照采购人或者采购代理机构的授意撤换、修改投标文件或者响应文件；</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（3）供应商之间协商报价、技术方案等投标文件或者响应文件的实质性内容；</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（4）属于同一集团、协会、商会等组织成员的供应商按照该组织要求协同参加政府采购活动；</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（6）供应商之间商定部分供应商放弃参加政府采购活动或者放弃中标；</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（7）供应商与采购人或者采购代理机构之间、供应商相互之间，为谋求特定供应商中标或者排斥其他供应商的其他串通行为。</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7</w:t>
      </w:r>
      <w:r>
        <w:rPr>
          <w:rFonts w:hint="eastAsia" w:asciiTheme="minorEastAsia" w:hAnsiTheme="minorEastAsia" w:eastAsiaTheme="minorEastAsia"/>
          <w:b/>
          <w:color w:val="auto"/>
          <w:sz w:val="24"/>
          <w:highlight w:val="none"/>
        </w:rPr>
        <w:t>. 终止采购</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出现下列情形之一的，采购人或者采购代理机构终止竞争性谈判采购活动，发布项目终止公告并说明原因，重新开展采购活动：</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（一）因情况变化，不再符合规定的竞争性谈判采购方式适用情形的；</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（二）出现影响采购公正的违法、违规行为的；</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（三）在采购过程中符合竞争要求的供应商或者报价未超过采购预算的供应商不足3家的，但</w:t>
      </w:r>
      <w:r>
        <w:rPr>
          <w:rFonts w:hint="eastAsia" w:asciiTheme="minorEastAsia" w:hAnsiTheme="minorEastAsia" w:eastAsiaTheme="minorEastAsia"/>
          <w:color w:val="auto"/>
          <w:sz w:val="24"/>
          <w:highlight w:val="none"/>
        </w:rPr>
        <w:t>《政府采购非招标采购方式管理办法》</w:t>
      </w:r>
      <w:r>
        <w:rPr>
          <w:rFonts w:asciiTheme="minorEastAsia" w:hAnsiTheme="minorEastAsia" w:eastAsiaTheme="minorEastAsia"/>
          <w:color w:val="auto"/>
          <w:sz w:val="24"/>
          <w:highlight w:val="none"/>
        </w:rPr>
        <w:t>第二十七条第二款规定的情形除外。</w:t>
      </w:r>
    </w:p>
    <w:p>
      <w:pPr>
        <w:pStyle w:val="4"/>
        <w:spacing w:before="120" w:beforeLines="50" w:line="400" w:lineRule="exact"/>
        <w:rPr>
          <w:rFonts w:asciiTheme="minorEastAsia" w:hAnsiTheme="minorEastAsia" w:eastAsiaTheme="minorEastAsia"/>
          <w:color w:val="auto"/>
          <w:highlight w:val="none"/>
        </w:rPr>
      </w:pPr>
      <w:bookmarkStart w:id="66" w:name="_Toc246095460"/>
      <w:bookmarkStart w:id="67" w:name="_Toc246095522"/>
      <w:bookmarkStart w:id="68" w:name="_Toc246094916"/>
      <w:bookmarkStart w:id="69" w:name="_Toc7192548"/>
      <w:r>
        <w:rPr>
          <w:rFonts w:hint="eastAsia" w:asciiTheme="minorEastAsia" w:hAnsiTheme="minorEastAsia" w:eastAsiaTheme="minorEastAsia"/>
          <w:color w:val="auto"/>
          <w:highlight w:val="none"/>
        </w:rPr>
        <w:t>五、</w:t>
      </w:r>
      <w:bookmarkEnd w:id="66"/>
      <w:bookmarkEnd w:id="67"/>
      <w:bookmarkEnd w:id="68"/>
      <w:r>
        <w:rPr>
          <w:rFonts w:hint="eastAsia" w:asciiTheme="minorEastAsia" w:hAnsiTheme="minorEastAsia" w:eastAsiaTheme="minorEastAsia"/>
          <w:color w:val="auto"/>
          <w:highlight w:val="none"/>
        </w:rPr>
        <w:t>评审结果</w:t>
      </w:r>
      <w:bookmarkEnd w:id="69"/>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8</w:t>
      </w:r>
      <w:r>
        <w:rPr>
          <w:rFonts w:hint="eastAsia" w:asciiTheme="minorEastAsia" w:hAnsiTheme="minorEastAsia" w:eastAsiaTheme="minorEastAsia"/>
          <w:b/>
          <w:color w:val="auto"/>
          <w:sz w:val="24"/>
          <w:highlight w:val="none"/>
        </w:rPr>
        <w:t>. 评审结果确定</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9</w:t>
      </w:r>
      <w:r>
        <w:rPr>
          <w:rFonts w:hint="eastAsia" w:asciiTheme="minorEastAsia" w:hAnsiTheme="minorEastAsia" w:eastAsiaTheme="minorEastAsia"/>
          <w:b/>
          <w:color w:val="auto"/>
          <w:sz w:val="24"/>
          <w:highlight w:val="none"/>
        </w:rPr>
        <w:t>. 成交通知</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采购代理机构在成交供应商确定后2个工作日内，在省级以上财政部门指定的媒体上公告成交结果，同时向成交供应商发出成交通知书。</w:t>
      </w:r>
    </w:p>
    <w:p>
      <w:pPr>
        <w:pStyle w:val="4"/>
        <w:spacing w:before="240" w:beforeLines="100" w:line="400" w:lineRule="exact"/>
        <w:rPr>
          <w:rFonts w:asciiTheme="minorEastAsia" w:hAnsiTheme="minorEastAsia" w:eastAsiaTheme="minorEastAsia"/>
          <w:color w:val="auto"/>
          <w:highlight w:val="none"/>
        </w:rPr>
      </w:pPr>
      <w:bookmarkStart w:id="70" w:name="_Toc7192549"/>
      <w:r>
        <w:rPr>
          <w:rFonts w:hint="eastAsia" w:asciiTheme="minorEastAsia" w:hAnsiTheme="minorEastAsia" w:eastAsiaTheme="minorEastAsia"/>
          <w:color w:val="auto"/>
          <w:highlight w:val="none"/>
        </w:rPr>
        <w:t>六、合同授予</w:t>
      </w:r>
      <w:bookmarkEnd w:id="70"/>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30. 履约保证金</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30.1成交供应商应按供应商须知前附表规定的履约保证金的金额、方式，在签订合同前缴纳给采购人指定账户。否则,不予签订合同。</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个日历天内扣减成交供应商赔偿金和其他应从成交供应商扣回的款项后，将履约保证金的余额退还给成交供应商（无息）。</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30.4在履约保证金退还日期前，若成交供应商的开户名称、开户银行、帐号有变动的，请以书面形式通知采购人，否则由此产生的后果由成交供应商自负。</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 签订合同</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成交供应商应按成交通知书规定的时间、地点与采购人签订合同。</w:t>
      </w:r>
      <w:r>
        <w:rPr>
          <w:rFonts w:hint="eastAsia" w:cs="Arial" w:asciiTheme="minorEastAsia" w:hAnsiTheme="minorEastAsia" w:eastAsiaTheme="minorEastAsia"/>
          <w:color w:val="auto"/>
          <w:sz w:val="24"/>
          <w:highlight w:val="none"/>
        </w:rPr>
        <w:t>谈判文件、成交供应商的响应文件、应答文件等，均为签订政府采购合同的依据。</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如成交供应商不按成交通知书的规定签订合同，则按成交供应商违约处理，采购代理机构将不予退还成交供应商谈判保证金并上缴财政国库。</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asciiTheme="minorEastAsia" w:hAnsiTheme="minorEastAsia" w:eastAsiaTheme="minorEastAsia"/>
          <w:color w:val="auto"/>
          <w:sz w:val="24"/>
          <w:highlight w:val="none"/>
        </w:rPr>
        <w:t>.3成交供应商拒绝签订政府采购合同的，</w:t>
      </w:r>
      <w:r>
        <w:rPr>
          <w:rFonts w:hint="eastAsia" w:asciiTheme="minorEastAsia" w:hAnsiTheme="minorEastAsia" w:eastAsiaTheme="minorEastAsia"/>
          <w:color w:val="auto"/>
          <w:sz w:val="24"/>
          <w:highlight w:val="none"/>
        </w:rPr>
        <w:t>如</w:t>
      </w:r>
      <w:r>
        <w:rPr>
          <w:rFonts w:asciiTheme="minorEastAsia" w:hAnsiTheme="minorEastAsia" w:eastAsiaTheme="minorEastAsia"/>
          <w:color w:val="auto"/>
          <w:sz w:val="24"/>
          <w:highlight w:val="none"/>
        </w:rPr>
        <w:t>政府采购活动或</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32. 政府采购合同公告</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根据</w:t>
      </w:r>
      <w:r>
        <w:rPr>
          <w:rFonts w:cs="Arial" w:asciiTheme="minorEastAsia" w:hAnsiTheme="minorEastAsia" w:eastAsiaTheme="minorEastAsia"/>
          <w:color w:val="auto"/>
          <w:sz w:val="24"/>
          <w:highlight w:val="none"/>
        </w:rPr>
        <w:t>《中华人民共和国政府采购法实施条例》第五十条</w:t>
      </w:r>
      <w:r>
        <w:rPr>
          <w:rFonts w:hint="eastAsia" w:cs="Arial" w:asciiTheme="minorEastAsia" w:hAnsiTheme="minorEastAsia" w:eastAsiaTheme="minorEastAsia"/>
          <w:color w:val="auto"/>
          <w:sz w:val="24"/>
          <w:highlight w:val="none"/>
        </w:rPr>
        <w:t>规定，采购人应当自政府采购合同签订之日起2个工作日内，将政府采购合同在省级以上人民政府财政部门指定的媒体上公告，</w:t>
      </w:r>
      <w:r>
        <w:rPr>
          <w:rFonts w:cs="Arial" w:asciiTheme="minorEastAsia" w:hAnsiTheme="minorEastAsia" w:eastAsiaTheme="minorEastAsia"/>
          <w:color w:val="auto"/>
          <w:sz w:val="24"/>
          <w:highlight w:val="none"/>
        </w:rPr>
        <w:t>但政府采购合同中涉及国家秘密、商业秘密的内容除外。</w:t>
      </w:r>
    </w:p>
    <w:p>
      <w:pPr>
        <w:pStyle w:val="4"/>
        <w:spacing w:before="240" w:beforeLines="100" w:line="400" w:lineRule="exact"/>
        <w:rPr>
          <w:rFonts w:asciiTheme="minorEastAsia" w:hAnsiTheme="minorEastAsia" w:eastAsiaTheme="minorEastAsia"/>
          <w:color w:val="auto"/>
          <w:highlight w:val="none"/>
        </w:rPr>
      </w:pPr>
      <w:bookmarkStart w:id="71" w:name="_Toc246095523"/>
      <w:bookmarkStart w:id="72" w:name="_Toc246095461"/>
      <w:bookmarkStart w:id="73" w:name="_Toc246094917"/>
      <w:bookmarkStart w:id="74" w:name="_Toc7192550"/>
      <w:r>
        <w:rPr>
          <w:rFonts w:hint="eastAsia" w:asciiTheme="minorEastAsia" w:hAnsiTheme="minorEastAsia" w:eastAsiaTheme="minorEastAsia"/>
          <w:color w:val="auto"/>
          <w:highlight w:val="none"/>
        </w:rPr>
        <w:t>七、其他</w:t>
      </w:r>
      <w:bookmarkEnd w:id="71"/>
      <w:bookmarkEnd w:id="72"/>
      <w:bookmarkEnd w:id="73"/>
      <w:bookmarkEnd w:id="74"/>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 招标代理服务费</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33.1本项目招标代理服务费按本章33.2款规定的货物类费率标准，按差额定率累进法计算。成交人领取成交通知书前，应向采购代理机构一次付清招标代理服务费，否则，采购代理机构将视之为违约。</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33.2招标代理服务费标准：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费率</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中标金额</w:t>
            </w:r>
          </w:p>
        </w:tc>
        <w:tc>
          <w:tcPr>
            <w:tcW w:w="1920" w:type="dxa"/>
            <w:vAlign w:val="center"/>
          </w:tcPr>
          <w:p>
            <w:pPr>
              <w:spacing w:after="0"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货物招标</w:t>
            </w:r>
          </w:p>
        </w:tc>
        <w:tc>
          <w:tcPr>
            <w:tcW w:w="1907" w:type="dxa"/>
            <w:vAlign w:val="center"/>
          </w:tcPr>
          <w:p>
            <w:pPr>
              <w:spacing w:after="0"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服务招标</w:t>
            </w:r>
          </w:p>
        </w:tc>
        <w:tc>
          <w:tcPr>
            <w:tcW w:w="1683" w:type="dxa"/>
            <w:vAlign w:val="center"/>
          </w:tcPr>
          <w:p>
            <w:pPr>
              <w:spacing w:after="0"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100万元以下</w:t>
            </w:r>
          </w:p>
        </w:tc>
        <w:tc>
          <w:tcPr>
            <w:tcW w:w="1920"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1907"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1683"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3"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100～500万元</w:t>
            </w:r>
          </w:p>
        </w:tc>
        <w:tc>
          <w:tcPr>
            <w:tcW w:w="1920"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907"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0.8%</w:t>
            </w:r>
          </w:p>
        </w:tc>
        <w:tc>
          <w:tcPr>
            <w:tcW w:w="1683"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043"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500～1000万元</w:t>
            </w:r>
          </w:p>
        </w:tc>
        <w:tc>
          <w:tcPr>
            <w:tcW w:w="1920"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0.8%</w:t>
            </w:r>
          </w:p>
        </w:tc>
        <w:tc>
          <w:tcPr>
            <w:tcW w:w="1907"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0.45%</w:t>
            </w:r>
          </w:p>
        </w:tc>
        <w:tc>
          <w:tcPr>
            <w:tcW w:w="1683"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43" w:type="dxa"/>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1000～5000万元</w:t>
            </w:r>
          </w:p>
        </w:tc>
        <w:tc>
          <w:tcPr>
            <w:tcW w:w="1920" w:type="dxa"/>
          </w:tcPr>
          <w:p>
            <w:pPr>
              <w:spacing w:after="0" w:line="3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0.5%</w:t>
            </w:r>
          </w:p>
        </w:tc>
        <w:tc>
          <w:tcPr>
            <w:tcW w:w="1907" w:type="dxa"/>
          </w:tcPr>
          <w:p>
            <w:pPr>
              <w:spacing w:after="0" w:line="3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0.25%</w:t>
            </w:r>
          </w:p>
        </w:tc>
        <w:tc>
          <w:tcPr>
            <w:tcW w:w="1683" w:type="dxa"/>
          </w:tcPr>
          <w:p>
            <w:pPr>
              <w:spacing w:after="0" w:line="32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0.35%</w:t>
            </w:r>
          </w:p>
        </w:tc>
      </w:tr>
    </w:tbl>
    <w:p>
      <w:pPr>
        <w:spacing w:after="0" w:line="400" w:lineRule="exact"/>
        <w:ind w:firstLine="482" w:firstLineChars="200"/>
        <w:rPr>
          <w:rFonts w:asciiTheme="minorEastAsia" w:hAnsiTheme="minorEastAsia" w:eastAsiaTheme="minorEastAsia"/>
          <w:b/>
          <w:color w:val="auto"/>
          <w:sz w:val="24"/>
          <w:highlight w:val="none"/>
        </w:rPr>
      </w:pP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34. 询问、质疑和投诉</w:t>
      </w:r>
    </w:p>
    <w:p>
      <w:pPr>
        <w:spacing w:after="0" w:line="400" w:lineRule="exact"/>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34</w:t>
      </w:r>
      <w:r>
        <w:rPr>
          <w:rFonts w:hint="eastAsia" w:cs="Arial" w:asciiTheme="minorEastAsia" w:hAnsiTheme="minorEastAsia" w:eastAsiaTheme="minorEastAsia"/>
          <w:color w:val="auto"/>
          <w:sz w:val="24"/>
          <w:highlight w:val="none"/>
        </w:rPr>
        <w:t>.1供应商对政府采购活动事项有疑问的，可以向采购人、采购代理机构提出询问。</w:t>
      </w:r>
    </w:p>
    <w:p>
      <w:pPr>
        <w:spacing w:after="0" w:line="400" w:lineRule="exact"/>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34</w:t>
      </w:r>
      <w:r>
        <w:rPr>
          <w:rFonts w:hint="eastAsia" w:cs="Arial" w:asciiTheme="minorEastAsia" w:hAnsiTheme="minorEastAsia" w:eastAsiaTheme="minorEastAsia"/>
          <w:color w:val="auto"/>
          <w:sz w:val="24"/>
          <w:highlight w:val="none"/>
        </w:rPr>
        <w:t>.2供应商认为采购文件、采购过程或成交结果使自己的合法权益受到损害的，应当在知道或者应知其权益受到损害之日起七个工作日内，以书面形式向采购人、采购代理机构提出质疑。具体计算起算时间如下：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（一）对可以质疑的采购文件提出质疑的，为收到采购文件之日或者采购文件公告期限届满之日；</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（二）对采购过程提出质疑的，为各采购程序环节结束之日；</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（三）对成交结果提出质疑的，为成交结果公告期限届满之日。</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采购人或采购代理机构在收到供应商书面质疑后</w:t>
      </w:r>
      <w:r>
        <w:rPr>
          <w:rFonts w:cs="Arial" w:asciiTheme="minorEastAsia" w:hAnsiTheme="minorEastAsia" w:eastAsiaTheme="minorEastAsia"/>
          <w:color w:val="auto"/>
          <w:sz w:val="24"/>
          <w:highlight w:val="none"/>
        </w:rPr>
        <w:t>7</w:t>
      </w:r>
      <w:r>
        <w:rPr>
          <w:rFonts w:hint="eastAsia" w:cs="Arial" w:asciiTheme="minorEastAsia" w:hAnsiTheme="minorEastAsia" w:eastAsiaTheme="minorEastAsia"/>
          <w:color w:val="auto"/>
          <w:sz w:val="24"/>
          <w:highlight w:val="none"/>
        </w:rPr>
        <w:t>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34</w:t>
      </w:r>
      <w:r>
        <w:rPr>
          <w:rFonts w:hint="eastAsia" w:cs="Arial" w:asciiTheme="minorEastAsia" w:hAnsiTheme="minorEastAsia" w:eastAsiaTheme="minorEastAsia"/>
          <w:color w:val="auto"/>
          <w:sz w:val="24"/>
          <w:highlight w:val="none"/>
        </w:rPr>
        <w:t>.3供应商的</w:t>
      </w:r>
      <w:r>
        <w:rPr>
          <w:rFonts w:hint="eastAsia" w:cs="Arial" w:asciiTheme="minorEastAsia" w:hAnsiTheme="minorEastAsia" w:eastAsiaTheme="minorEastAsia"/>
          <w:bCs/>
          <w:color w:val="auto"/>
          <w:sz w:val="24"/>
          <w:highlight w:val="none"/>
        </w:rPr>
        <w:t>质疑和投诉行为应当符合《政府采购质疑和投诉办法》（中华人民共和国财政部令第94号）规定。</w:t>
      </w:r>
      <w:r>
        <w:rPr>
          <w:rFonts w:hint="eastAsia" w:cs="Arial" w:asciiTheme="minorEastAsia" w:hAnsiTheme="minorEastAsia" w:eastAsiaTheme="minorEastAsia"/>
          <w:color w:val="auto"/>
          <w:sz w:val="24"/>
          <w:highlight w:val="none"/>
        </w:rPr>
        <w:t>质疑、投诉应当采用书面形式，</w:t>
      </w:r>
      <w:r>
        <w:rPr>
          <w:rFonts w:hint="eastAsia" w:cs="Arial" w:asciiTheme="minorEastAsia" w:hAnsiTheme="minorEastAsia" w:eastAsiaTheme="minorEastAsia"/>
          <w:bCs/>
          <w:color w:val="auto"/>
          <w:sz w:val="24"/>
          <w:highlight w:val="none"/>
        </w:rPr>
        <w:t>质疑函、投诉书应按财政部发布《政府采购供应商质疑函范本》、《政府采购供应商投诉书范本》编制，</w:t>
      </w:r>
      <w:r>
        <w:rPr>
          <w:rFonts w:hint="eastAsia" w:cs="Arial" w:asciiTheme="minorEastAsia" w:hAnsiTheme="minorEastAsia" w:eastAsiaTheme="minorEastAsia"/>
          <w:color w:val="auto"/>
          <w:sz w:val="24"/>
          <w:highlight w:val="none"/>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供应商提出质疑应当提交质疑函和必要的证明材料，针对同一采购程序环节的质疑必须在法定质疑期内一次性提出。</w:t>
      </w:r>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35. 适用法律</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采购当事人的一切活动均适用于《中华人民共和国政府采购法》、《中华人民共和国政府采购法实施条例》、《</w:t>
      </w:r>
      <w:r>
        <w:rPr>
          <w:rFonts w:asciiTheme="minorEastAsia" w:hAnsiTheme="minorEastAsia" w:eastAsiaTheme="minorEastAsia"/>
          <w:color w:val="auto"/>
          <w:sz w:val="24"/>
          <w:highlight w:val="none"/>
        </w:rPr>
        <w:t>政府采购非招标采购方式管理办法</w:t>
      </w:r>
      <w:r>
        <w:rPr>
          <w:rFonts w:hint="eastAsia" w:asciiTheme="minorEastAsia" w:hAnsiTheme="minorEastAsia" w:eastAsiaTheme="minorEastAsia"/>
          <w:color w:val="auto"/>
          <w:sz w:val="24"/>
          <w:highlight w:val="none"/>
        </w:rPr>
        <w:t>》及相关规定。</w:t>
      </w:r>
    </w:p>
    <w:p>
      <w:pPr>
        <w:spacing w:after="0" w:line="400" w:lineRule="exact"/>
        <w:ind w:firstLine="480" w:firstLineChars="200"/>
        <w:rPr>
          <w:rFonts w:asciiTheme="minorEastAsia" w:hAnsiTheme="minorEastAsia" w:eastAsiaTheme="minorEastAsia"/>
          <w:color w:val="auto"/>
          <w:sz w:val="24"/>
          <w:highlight w:val="none"/>
        </w:rPr>
      </w:pPr>
    </w:p>
    <w:p>
      <w:pPr>
        <w:spacing w:after="0" w:line="400" w:lineRule="exact"/>
        <w:ind w:firstLine="440" w:firstLineChars="200"/>
        <w:rPr>
          <w:rFonts w:asciiTheme="minorEastAsia" w:hAnsiTheme="minorEastAsia" w:eastAsiaTheme="minorEastAsia"/>
          <w:color w:val="auto"/>
          <w:highlight w:val="none"/>
        </w:rPr>
        <w:sectPr>
          <w:pgSz w:w="11907" w:h="16840"/>
          <w:pgMar w:top="1077" w:right="1275" w:bottom="1418" w:left="1077" w:header="624" w:footer="737" w:gutter="0"/>
          <w:cols w:space="720" w:num="1"/>
          <w:docGrid w:linePitch="312" w:charSpace="0"/>
        </w:sectPr>
      </w:pPr>
    </w:p>
    <w:p>
      <w:pPr>
        <w:pStyle w:val="3"/>
        <w:ind w:firstLine="720" w:firstLineChars="200"/>
        <w:rPr>
          <w:rFonts w:asciiTheme="minorEastAsia" w:hAnsiTheme="minorEastAsia" w:eastAsiaTheme="minorEastAsia"/>
          <w:color w:val="auto"/>
          <w:highlight w:val="none"/>
        </w:rPr>
      </w:pPr>
      <w:bookmarkStart w:id="75" w:name="_Toc7192551"/>
      <w:r>
        <w:rPr>
          <w:rFonts w:hint="eastAsia" w:asciiTheme="minorEastAsia" w:hAnsiTheme="minorEastAsia" w:eastAsiaTheme="minorEastAsia"/>
          <w:color w:val="auto"/>
          <w:highlight w:val="none"/>
        </w:rPr>
        <w:t>第三章  项目采购需求和说明</w:t>
      </w:r>
      <w:bookmarkEnd w:id="75"/>
    </w:p>
    <w:p>
      <w:pPr>
        <w:spacing w:after="0" w:line="4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说明：</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1、本一览表中设备或货物的技术参数及其性能（配置）是本项目的基本要求，</w:t>
      </w:r>
      <w:r>
        <w:rPr>
          <w:rFonts w:hint="eastAsia" w:asciiTheme="minorEastAsia" w:hAnsiTheme="minorEastAsia" w:eastAsiaTheme="minorEastAsia"/>
          <w:color w:val="auto"/>
          <w:sz w:val="24"/>
          <w:highlight w:val="none"/>
        </w:rPr>
        <w:t>竞标</w:t>
      </w:r>
      <w:r>
        <w:rPr>
          <w:rFonts w:asciiTheme="minorEastAsia" w:hAnsiTheme="minorEastAsia" w:eastAsiaTheme="minorEastAsia"/>
          <w:color w:val="auto"/>
          <w:sz w:val="24"/>
          <w:highlight w:val="none"/>
        </w:rPr>
        <w:t>人可选</w:t>
      </w:r>
      <w:r>
        <w:rPr>
          <w:rFonts w:hint="eastAsia" w:asciiTheme="minorEastAsia" w:hAnsiTheme="minorEastAsia" w:eastAsiaTheme="minorEastAsia"/>
          <w:color w:val="auto"/>
          <w:sz w:val="24"/>
          <w:highlight w:val="none"/>
        </w:rPr>
        <w:t>满足或优于</w:t>
      </w:r>
      <w:r>
        <w:rPr>
          <w:rFonts w:asciiTheme="minorEastAsia" w:hAnsiTheme="minorEastAsia" w:eastAsiaTheme="minorEastAsia"/>
          <w:color w:val="auto"/>
          <w:sz w:val="24"/>
          <w:highlight w:val="none"/>
        </w:rPr>
        <w:t>本一览表的技术参数性能（配置）要求的设备或货物进行</w:t>
      </w:r>
      <w:r>
        <w:rPr>
          <w:rFonts w:hint="eastAsia" w:asciiTheme="minorEastAsia" w:hAnsiTheme="minorEastAsia" w:eastAsiaTheme="minorEastAsia"/>
          <w:color w:val="auto"/>
          <w:sz w:val="24"/>
          <w:highlight w:val="none"/>
        </w:rPr>
        <w:t>竞</w:t>
      </w:r>
      <w:r>
        <w:rPr>
          <w:rFonts w:asciiTheme="minorEastAsia" w:hAnsiTheme="minorEastAsia" w:eastAsiaTheme="minorEastAsia"/>
          <w:color w:val="auto"/>
          <w:sz w:val="24"/>
          <w:highlight w:val="none"/>
        </w:rPr>
        <w:t xml:space="preserve">标。 </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对于</w:t>
      </w:r>
      <w:r>
        <w:rPr>
          <w:rFonts w:asciiTheme="minorEastAsia" w:hAnsiTheme="minorEastAsia" w:eastAsiaTheme="minorEastAsia"/>
          <w:color w:val="auto"/>
          <w:sz w:val="24"/>
          <w:highlight w:val="none"/>
        </w:rPr>
        <w:t>本项目采购需求中项目要求及技术需求</w:t>
      </w:r>
      <w:r>
        <w:rPr>
          <w:rFonts w:hint="eastAsia" w:asciiTheme="minorEastAsia" w:hAnsiTheme="minorEastAsia" w:eastAsiaTheme="minorEastAsia"/>
          <w:color w:val="auto"/>
          <w:sz w:val="24"/>
          <w:highlight w:val="none"/>
        </w:rPr>
        <w:t>，供应商应</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rPr>
        <w:t>满足采购需求的产品和服务进行响应，</w:t>
      </w:r>
      <w:r>
        <w:rPr>
          <w:rFonts w:asciiTheme="minorEastAsia" w:hAnsiTheme="minorEastAsia" w:eastAsiaTheme="minorEastAsia"/>
          <w:color w:val="auto"/>
          <w:sz w:val="24"/>
          <w:highlight w:val="none"/>
        </w:rPr>
        <w:t>同时填写投标报价明细表，</w:t>
      </w:r>
      <w:r>
        <w:rPr>
          <w:rFonts w:hint="eastAsia" w:asciiTheme="minorEastAsia" w:hAnsiTheme="minorEastAsia" w:eastAsiaTheme="minorEastAsia"/>
          <w:color w:val="auto"/>
          <w:sz w:val="24"/>
          <w:highlight w:val="none"/>
        </w:rPr>
        <w:t>并以</w:t>
      </w:r>
      <w:r>
        <w:rPr>
          <w:rFonts w:asciiTheme="minorEastAsia" w:hAnsiTheme="minorEastAsia" w:eastAsiaTheme="minorEastAsia"/>
          <w:color w:val="auto"/>
          <w:sz w:val="24"/>
          <w:highlight w:val="none"/>
        </w:rPr>
        <w:t>详细、正确的品牌型号及技术参数、性能（配置）</w:t>
      </w:r>
      <w:r>
        <w:rPr>
          <w:rFonts w:hint="eastAsia" w:asciiTheme="minorEastAsia" w:hAnsiTheme="minorEastAsia" w:eastAsiaTheme="minorEastAsia"/>
          <w:color w:val="auto"/>
          <w:sz w:val="24"/>
          <w:highlight w:val="none"/>
        </w:rPr>
        <w:t>填写</w:t>
      </w:r>
      <w:r>
        <w:rPr>
          <w:rFonts w:asciiTheme="minorEastAsia" w:hAnsiTheme="minorEastAsia" w:eastAsiaTheme="minorEastAsia"/>
          <w:color w:val="auto"/>
          <w:sz w:val="24"/>
          <w:highlight w:val="none"/>
        </w:rPr>
        <w:t>技术响应表。</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r>
        <w:rPr>
          <w:rFonts w:asciiTheme="minorEastAsia" w:hAnsiTheme="minorEastAsia" w:eastAsiaTheme="minorEastAsia"/>
          <w:color w:val="auto"/>
          <w:sz w:val="24"/>
          <w:highlight w:val="none"/>
        </w:rPr>
        <w:t>。</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u w:val="single"/>
        </w:rPr>
        <w:t>本次采购将依据强制采购节能产品品目清单和节能产品认证证书实施政府强制采购。若采购货物含有此类产品时，供应商的竞标货物必须使用政府强制采购的节能产品，供应商在响应文件中必须提供所投产品获得国家确定的认证机构出具的、处于有效期之内的节能产品认证证书复印件（加盖供应商单位公章），否则相应竞标无效</w:t>
      </w:r>
      <w:r>
        <w:rPr>
          <w:rFonts w:hint="eastAsia" w:asciiTheme="minorEastAsia" w:hAnsiTheme="minorEastAsia" w:eastAsiaTheme="minorEastAsia"/>
          <w:color w:val="auto"/>
          <w:sz w:val="24"/>
          <w:highlight w:val="none"/>
        </w:rPr>
        <w:t>。</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u w:val="single"/>
        </w:rPr>
        <w:t>台式计算机、便携式计算机、平板式微型计算机、激光打印机、针式打印机、液晶显示器、制冷压缩机、空调机组、专用制冷、空调设备、镇流器、空调机、电热水器、普通照明用双端荧光灯、电视设备、视频设备以及便器、水嘴均为节能产品政府采购目清单内标注“★”的品目，属于政府强制采购节能产品。</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、竞争性谈判文件中所要求提供的证明材料，如为英文文本的请同时提供中文译本。</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u w:val="single"/>
        </w:rPr>
        <w:t>竞争性谈判文件中标注“▲”号的条款为实质性条款，必须满足或优于，否则竞标无效；非“▲”号要求或技术指标发生负偏离或不响应达</w:t>
      </w:r>
      <w:r>
        <w:rPr>
          <w:rFonts w:asciiTheme="minorEastAsia" w:hAnsiTheme="minorEastAsia" w:eastAsiaTheme="minorEastAsia"/>
          <w:b/>
          <w:color w:val="auto"/>
          <w:sz w:val="24"/>
          <w:highlight w:val="none"/>
          <w:u w:val="single"/>
        </w:rPr>
        <w:t>4项</w:t>
      </w:r>
      <w:r>
        <w:rPr>
          <w:rFonts w:hint="eastAsia" w:asciiTheme="minorEastAsia" w:hAnsiTheme="minorEastAsia" w:eastAsiaTheme="minorEastAsia"/>
          <w:b/>
          <w:color w:val="auto"/>
          <w:sz w:val="24"/>
          <w:highlight w:val="none"/>
          <w:u w:val="single"/>
        </w:rPr>
        <w:t>（不含）以上的竞标无效</w:t>
      </w:r>
      <w:r>
        <w:rPr>
          <w:rFonts w:hint="eastAsia" w:asciiTheme="minorEastAsia" w:hAnsiTheme="minorEastAsia" w:eastAsiaTheme="minorEastAsia"/>
          <w:b/>
          <w:color w:val="auto"/>
          <w:sz w:val="24"/>
          <w:highlight w:val="none"/>
        </w:rPr>
        <w:t>。</w:t>
      </w:r>
    </w:p>
    <w:tbl>
      <w:tblPr>
        <w:tblStyle w:val="37"/>
        <w:tblpPr w:leftFromText="180" w:rightFromText="180" w:vertAnchor="text" w:horzAnchor="page" w:tblpX="1194" w:tblpY="1978"/>
        <w:tblOverlap w:val="never"/>
        <w:tblW w:w="94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106"/>
        <w:gridCol w:w="727"/>
        <w:gridCol w:w="56"/>
        <w:gridCol w:w="737"/>
        <w:gridCol w:w="4888"/>
        <w:gridCol w:w="11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400" w:lineRule="exact"/>
              <w:jc w:val="both"/>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项号</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400" w:lineRule="exact"/>
              <w:jc w:val="both"/>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货物名称</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400" w:lineRule="exact"/>
              <w:jc w:val="both"/>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数量</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400" w:lineRule="exact"/>
              <w:jc w:val="both"/>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功能目标及技术指标</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400" w:lineRule="exact"/>
              <w:jc w:val="both"/>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一</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液晶拼接屏幕（其中包含7X3</w:t>
            </w:r>
            <w:r>
              <w:rPr>
                <w:rFonts w:hint="eastAsia" w:asciiTheme="minorEastAsia" w:hAnsiTheme="minorEastAsia" w:eastAsiaTheme="minorEastAsia" w:cstheme="minorEastAsia"/>
                <w:b w:val="0"/>
                <w:bCs/>
                <w:color w:val="auto"/>
                <w:sz w:val="21"/>
                <w:szCs w:val="21"/>
                <w:highlight w:val="none"/>
                <w:lang w:val="en-US" w:eastAsia="zh-CN"/>
              </w:rPr>
              <w:t>单元</w:t>
            </w:r>
            <w:r>
              <w:rPr>
                <w:rFonts w:hint="eastAsia" w:asciiTheme="minorEastAsia" w:hAnsiTheme="minorEastAsia" w:eastAsiaTheme="minorEastAsia" w:cstheme="minorEastAsia"/>
                <w:b w:val="0"/>
                <w:bCs/>
                <w:color w:val="auto"/>
                <w:sz w:val="21"/>
                <w:szCs w:val="21"/>
                <w:highlight w:val="none"/>
              </w:rPr>
              <w:t>大厅中间大屏幕及3x2</w:t>
            </w:r>
            <w:r>
              <w:rPr>
                <w:rFonts w:hint="eastAsia" w:asciiTheme="minorEastAsia" w:hAnsiTheme="minorEastAsia" w:eastAsiaTheme="minorEastAsia" w:cstheme="minorEastAsia"/>
                <w:b w:val="0"/>
                <w:bCs/>
                <w:color w:val="auto"/>
                <w:sz w:val="21"/>
                <w:szCs w:val="21"/>
                <w:highlight w:val="none"/>
                <w:lang w:val="en-US" w:eastAsia="zh-CN"/>
              </w:rPr>
              <w:t>单元</w:t>
            </w:r>
            <w:r>
              <w:rPr>
                <w:rFonts w:hint="eastAsia" w:asciiTheme="minorEastAsia" w:hAnsiTheme="minorEastAsia" w:eastAsiaTheme="minorEastAsia" w:cstheme="minorEastAsia"/>
                <w:b w:val="0"/>
                <w:bCs/>
                <w:color w:val="auto"/>
                <w:sz w:val="21"/>
                <w:szCs w:val="21"/>
                <w:highlight w:val="none"/>
              </w:rPr>
              <w:t>实时监控屏幕,总共27台单元拼接屏）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both"/>
              <w:textAlignment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46寸超窄边液晶拼接单元</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kern w:val="0"/>
                <w:sz w:val="22"/>
                <w:szCs w:val="22"/>
                <w:highlight w:val="none"/>
                <w:lang w:bidi="ar"/>
              </w:rPr>
              <w:t>1）4</w:t>
            </w:r>
            <w:r>
              <w:rPr>
                <w:rFonts w:hint="eastAsia" w:asciiTheme="minorEastAsia" w:hAnsiTheme="minorEastAsia" w:eastAsiaTheme="minorEastAsia" w:cstheme="minorEastAsia"/>
                <w:b w:val="0"/>
                <w:bCs/>
                <w:color w:val="auto"/>
                <w:kern w:val="0"/>
                <w:sz w:val="22"/>
                <w:szCs w:val="22"/>
                <w:highlight w:val="none"/>
                <w:lang w:val="en-US" w:eastAsia="zh-CN" w:bidi="ar"/>
              </w:rPr>
              <w:t>6</w:t>
            </w:r>
            <w:r>
              <w:rPr>
                <w:rFonts w:hint="eastAsia" w:asciiTheme="minorEastAsia" w:hAnsiTheme="minorEastAsia" w:eastAsiaTheme="minorEastAsia" w:cstheme="minorEastAsia"/>
                <w:b w:val="0"/>
                <w:bCs/>
                <w:color w:val="auto"/>
                <w:kern w:val="0"/>
                <w:sz w:val="22"/>
                <w:szCs w:val="22"/>
                <w:highlight w:val="none"/>
                <w:lang w:bidi="ar"/>
              </w:rPr>
              <w:t>寸，</w:t>
            </w:r>
            <w:r>
              <w:rPr>
                <w:rFonts w:hint="eastAsia" w:asciiTheme="minorEastAsia" w:hAnsiTheme="minorEastAsia" w:eastAsiaTheme="minorEastAsia" w:cstheme="minorEastAsia"/>
                <w:b w:val="0"/>
                <w:bCs/>
                <w:color w:val="auto"/>
                <w:sz w:val="21"/>
                <w:szCs w:val="21"/>
                <w:highlight w:val="none"/>
                <w:lang w:val="en-US" w:eastAsia="zh-CN"/>
              </w:rPr>
              <w:t>采用</w:t>
            </w:r>
            <w:r>
              <w:rPr>
                <w:rFonts w:hint="eastAsia" w:asciiTheme="minorEastAsia" w:hAnsiTheme="minorEastAsia" w:eastAsiaTheme="minorEastAsia" w:cstheme="minorEastAsia"/>
                <w:b w:val="0"/>
                <w:bCs/>
                <w:color w:val="auto"/>
                <w:sz w:val="21"/>
                <w:szCs w:val="21"/>
                <w:highlight w:val="none"/>
              </w:rPr>
              <w:t>三星</w:t>
            </w:r>
            <w:r>
              <w:rPr>
                <w:rFonts w:hint="eastAsia" w:asciiTheme="minorEastAsia" w:hAnsiTheme="minorEastAsia" w:eastAsiaTheme="minorEastAsia" w:cstheme="minorEastAsia"/>
                <w:b w:val="0"/>
                <w:bCs/>
                <w:color w:val="auto"/>
                <w:sz w:val="21"/>
                <w:szCs w:val="21"/>
                <w:highlight w:val="none"/>
                <w:lang w:val="en-US" w:eastAsia="zh-CN"/>
              </w:rPr>
              <w:t>或LG</w:t>
            </w:r>
            <w:r>
              <w:rPr>
                <w:rFonts w:hint="eastAsia" w:asciiTheme="minorEastAsia" w:hAnsiTheme="minorEastAsia" w:eastAsiaTheme="minorEastAsia" w:cstheme="minorEastAsia"/>
                <w:b w:val="0"/>
                <w:bCs/>
                <w:color w:val="auto"/>
                <w:sz w:val="21"/>
                <w:szCs w:val="21"/>
                <w:highlight w:val="none"/>
              </w:rPr>
              <w:t>原装进口DID工业级A+液晶面板，LED背光 ， 双边边框拼缝≤3.5mm 物理分辨率1920*1080，画面 比率16：9, 亮度≤500cd/m2</w:t>
            </w:r>
          </w:p>
          <w:p>
            <w:pPr>
              <w:pStyle w:val="2"/>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单屏外观尺寸：1021.98× 576.57 mm</w:t>
            </w:r>
            <w:r>
              <w:rPr>
                <w:rFonts w:hint="eastAsia" w:asciiTheme="minorEastAsia" w:hAnsiTheme="minorEastAsia" w:eastAsiaTheme="minorEastAsia" w:cstheme="minorEastAsia"/>
                <w:b w:val="0"/>
                <w:bCs/>
                <w:color w:val="auto"/>
                <w:kern w:val="0"/>
                <w:sz w:val="22"/>
                <w:szCs w:val="22"/>
                <w:highlight w:val="none"/>
                <w:lang w:bidi="ar"/>
              </w:rPr>
              <w:t>；</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2）色彩还原能力16.7M，亮度450cd/㎡；</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3）响应时间8ms；</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4）视频接口1个DVI、1个HDMI、1个VGA接口，</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5）</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kern w:val="0"/>
                <w:sz w:val="22"/>
                <w:szCs w:val="22"/>
                <w:highlight w:val="none"/>
                <w:lang w:bidi="ar"/>
              </w:rPr>
              <w:t>控制接口1个输入RS-232接口，1个输出RS-232接口,1个红外接口，1个USB接口，具备U盘内视频，文档等文件的直接播放功能；液晶单元软件程序支持通过USB口升级；</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6）</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kern w:val="0"/>
                <w:sz w:val="22"/>
                <w:szCs w:val="22"/>
                <w:highlight w:val="none"/>
                <w:lang w:bidi="ar"/>
              </w:rPr>
              <w:t>整机具备防炫光功能；</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7）显示单元采用3D高画质图像数字处理技术，可有效消除杂波干扰，边缘锯齿现象；</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8）具备三色指示灯显示工作状态：红色表示待机、绿色表示正常运行、橙色表示温度过高风扇开启；</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9）</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kern w:val="0"/>
                <w:sz w:val="22"/>
                <w:szCs w:val="22"/>
                <w:highlight w:val="none"/>
                <w:lang w:bidi="ar"/>
              </w:rPr>
              <w:t>显示单元具备色彩诊断能力，并能对色彩进行自动修正；</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10）显示单元连续运行3000小时，背光LED光衰0.3%；</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11）当输入VGA信号时，大屏会自动调整VGA图像的参数以适应屏幕；</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12）显示单元的图像重显率为100%；</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13）</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kern w:val="0"/>
                <w:sz w:val="22"/>
                <w:szCs w:val="22"/>
                <w:highlight w:val="none"/>
                <w:lang w:bidi="ar"/>
              </w:rPr>
              <w:t>液晶单元具备自动、16:9、4:3三种图像缩放显示模式；</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14）液晶单元具备图像镜像显示功能</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15）显示单元的色彩还原准确性指标ΔE0.9；</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16）液晶单元具备静电防滑功能，依据GB/T 17626.2-2006标准，产品符合静电防护A级要求；</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17）液晶单元具备防辐射干扰功能，符合GB9254-2008—30MHz～1000MHz 辐射骚扰场强限值要求；</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18）</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2K嵌入式液晶拼接控制器(内置于整机拼接单元)，</w:t>
            </w:r>
            <w:r>
              <w:rPr>
                <w:rFonts w:hint="eastAsia" w:asciiTheme="minorEastAsia" w:hAnsiTheme="minorEastAsia" w:eastAsiaTheme="minorEastAsia" w:cstheme="minorEastAsia"/>
                <w:b w:val="0"/>
                <w:bCs/>
                <w:color w:val="auto"/>
                <w:sz w:val="21"/>
                <w:szCs w:val="21"/>
                <w:highlight w:val="none"/>
              </w:rPr>
              <w:t>图像拼接控制，任意组合拼接，工业标准设计；支持HDMI输入、DVI输入、视频输入、VGA输入等输入，全数字处理单元，支持高清1920X1080分辨率， RS232或RJ45接口控制。</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2</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46寸超窄边液晶拼接单元  </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6台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kern w:val="0"/>
                <w:sz w:val="22"/>
                <w:szCs w:val="22"/>
                <w:highlight w:val="none"/>
                <w:lang w:bidi="ar"/>
              </w:rPr>
              <w:t>1）4</w:t>
            </w:r>
            <w:r>
              <w:rPr>
                <w:rFonts w:hint="eastAsia" w:asciiTheme="minorEastAsia" w:hAnsiTheme="minorEastAsia" w:eastAsiaTheme="minorEastAsia" w:cstheme="minorEastAsia"/>
                <w:b w:val="0"/>
                <w:bCs/>
                <w:color w:val="auto"/>
                <w:kern w:val="0"/>
                <w:sz w:val="22"/>
                <w:szCs w:val="22"/>
                <w:highlight w:val="none"/>
                <w:lang w:val="en-US" w:eastAsia="zh-CN" w:bidi="ar"/>
              </w:rPr>
              <w:t>6</w:t>
            </w:r>
            <w:r>
              <w:rPr>
                <w:rFonts w:hint="eastAsia" w:asciiTheme="minorEastAsia" w:hAnsiTheme="minorEastAsia" w:eastAsiaTheme="minorEastAsia" w:cstheme="minorEastAsia"/>
                <w:b w:val="0"/>
                <w:bCs/>
                <w:color w:val="auto"/>
                <w:kern w:val="0"/>
                <w:sz w:val="22"/>
                <w:szCs w:val="22"/>
                <w:highlight w:val="none"/>
                <w:lang w:bidi="ar"/>
              </w:rPr>
              <w:t>寸，</w:t>
            </w:r>
            <w:r>
              <w:rPr>
                <w:rFonts w:hint="eastAsia" w:asciiTheme="minorEastAsia" w:hAnsiTheme="minorEastAsia" w:eastAsiaTheme="minorEastAsia" w:cstheme="minorEastAsia"/>
                <w:b w:val="0"/>
                <w:bCs/>
                <w:color w:val="auto"/>
                <w:sz w:val="21"/>
                <w:szCs w:val="21"/>
                <w:highlight w:val="none"/>
                <w:lang w:val="en-US" w:eastAsia="zh-CN"/>
              </w:rPr>
              <w:t>采用</w:t>
            </w:r>
            <w:r>
              <w:rPr>
                <w:rFonts w:hint="eastAsia" w:asciiTheme="minorEastAsia" w:hAnsiTheme="minorEastAsia" w:eastAsiaTheme="minorEastAsia" w:cstheme="minorEastAsia"/>
                <w:b w:val="0"/>
                <w:bCs/>
                <w:color w:val="auto"/>
                <w:sz w:val="21"/>
                <w:szCs w:val="21"/>
                <w:highlight w:val="none"/>
              </w:rPr>
              <w:t>三星</w:t>
            </w:r>
            <w:r>
              <w:rPr>
                <w:rFonts w:hint="eastAsia" w:asciiTheme="minorEastAsia" w:hAnsiTheme="minorEastAsia" w:eastAsiaTheme="minorEastAsia" w:cstheme="minorEastAsia"/>
                <w:b w:val="0"/>
                <w:bCs/>
                <w:color w:val="auto"/>
                <w:sz w:val="21"/>
                <w:szCs w:val="21"/>
                <w:highlight w:val="none"/>
                <w:lang w:val="en-US" w:eastAsia="zh-CN"/>
              </w:rPr>
              <w:t>或LG</w:t>
            </w:r>
            <w:r>
              <w:rPr>
                <w:rFonts w:hint="eastAsia" w:asciiTheme="minorEastAsia" w:hAnsiTheme="minorEastAsia" w:eastAsiaTheme="minorEastAsia" w:cstheme="minorEastAsia"/>
                <w:b w:val="0"/>
                <w:bCs/>
                <w:color w:val="auto"/>
                <w:sz w:val="21"/>
                <w:szCs w:val="21"/>
                <w:highlight w:val="none"/>
              </w:rPr>
              <w:t>原装进口DID工业级A+液晶面板，LED背光 ， 双边边框拼缝≤3.5mm 物理分辨率1920*1080，画面 比率16：9, 亮度≤500cd/m2</w:t>
            </w:r>
          </w:p>
          <w:p>
            <w:pPr>
              <w:pStyle w:val="2"/>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单屏外观尺寸：1021.98× 576.57 mm</w:t>
            </w:r>
          </w:p>
          <w:p>
            <w:pPr>
              <w:pStyle w:val="2"/>
              <w:ind w:left="-57" w:leftChars="0" w:right="69" w:right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kern w:val="0"/>
                <w:sz w:val="22"/>
                <w:szCs w:val="22"/>
                <w:highlight w:val="none"/>
                <w:lang w:bidi="ar"/>
              </w:rPr>
              <w:t>2）色彩还原能力16.7M，亮度450cd/㎡；</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3）响应时间8ms；</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4）视频接口1个DVI、1个HDMI、1个VGA接口，</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5）</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kern w:val="0"/>
                <w:sz w:val="22"/>
                <w:szCs w:val="22"/>
                <w:highlight w:val="none"/>
                <w:lang w:bidi="ar"/>
              </w:rPr>
              <w:t>控制接口1个输入RS-232接口，1个输出RS-232接口,1个红外接口，1个USB接口，具备U盘内视频，文档等文件的直接播放功能；液晶单元软件程序支持通过USB口升级；</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6）</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kern w:val="0"/>
                <w:sz w:val="22"/>
                <w:szCs w:val="22"/>
                <w:highlight w:val="none"/>
                <w:lang w:bidi="ar"/>
              </w:rPr>
              <w:t>整机具备防炫光功能；</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7）显示单元采用3D高画质图像数字处理技术，可有效消除杂波干扰，边缘锯齿现象；</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8）具备三色指示灯显示工作状态：红色表示待机、绿色表示正常运行、橙色表示温度过高风扇开启；</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9）</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kern w:val="0"/>
                <w:sz w:val="22"/>
                <w:szCs w:val="22"/>
                <w:highlight w:val="none"/>
                <w:lang w:bidi="ar"/>
              </w:rPr>
              <w:t>显示单元具备色彩诊断能力，并能对色彩进行自动修正；</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10）显示单元连续运行3000小时，背光LED光衰0.3%；</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11）当输入VGA信号时，大屏会自动调整VGA图像的参数以适应屏幕；</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12）显示单元的图像重显率为100%；</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13）</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kern w:val="0"/>
                <w:sz w:val="22"/>
                <w:szCs w:val="22"/>
                <w:highlight w:val="none"/>
                <w:lang w:bidi="ar"/>
              </w:rPr>
              <w:t>液晶单元具备自动、16:9、4:3三种图像缩放显示模式；</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14）液晶单元具备图像镜像显示功能</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15）显示单元的色彩还原准确性指标ΔE0.9；</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16）液晶单元具备静电防滑功能，依据GB/T 17626.2-2006标准，产品符合静电防护A级要求；</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17）液晶单元具备防辐射干扰功能，符合GB9254-2008—30MHz～1000MHz 辐射骚扰场强限值要求；</w:t>
            </w:r>
            <w:r>
              <w:rPr>
                <w:rFonts w:hint="eastAsia" w:asciiTheme="minorEastAsia" w:hAnsiTheme="minorEastAsia" w:eastAsiaTheme="minorEastAsia" w:cstheme="minorEastAsia"/>
                <w:b w:val="0"/>
                <w:bCs/>
                <w:color w:val="auto"/>
                <w:kern w:val="0"/>
                <w:sz w:val="22"/>
                <w:szCs w:val="22"/>
                <w:highlight w:val="none"/>
                <w:lang w:bidi="ar"/>
              </w:rPr>
              <w:br w:type="textWrapping"/>
            </w:r>
            <w:r>
              <w:rPr>
                <w:rFonts w:hint="eastAsia" w:asciiTheme="minorEastAsia" w:hAnsiTheme="minorEastAsia" w:eastAsiaTheme="minorEastAsia" w:cstheme="minorEastAsia"/>
                <w:b w:val="0"/>
                <w:bCs/>
                <w:color w:val="auto"/>
                <w:kern w:val="0"/>
                <w:sz w:val="22"/>
                <w:szCs w:val="22"/>
                <w:highlight w:val="none"/>
                <w:lang w:bidi="ar"/>
              </w:rPr>
              <w:t>18）</w:t>
            </w: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2K嵌入式液晶拼接控制器(内置于整机拼接单元)，</w:t>
            </w:r>
            <w:r>
              <w:rPr>
                <w:rFonts w:hint="eastAsia" w:asciiTheme="minorEastAsia" w:hAnsiTheme="minorEastAsia" w:eastAsiaTheme="minorEastAsia" w:cstheme="minorEastAsia"/>
                <w:b w:val="0"/>
                <w:bCs/>
                <w:color w:val="auto"/>
                <w:sz w:val="21"/>
                <w:szCs w:val="21"/>
                <w:highlight w:val="none"/>
              </w:rPr>
              <w:t>图像拼接控制，任意组合拼接，工业标准设计；支持HDMI输入、DVI输入、视频输入、VGA输入等输入，全数字处理单元，支持高清1920X1080分辨率， RS232或RJ45接口控制。</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3</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拼接屏落地钢结构支架</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27单元</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根据现场情况定制，超薄前维护伸缩式框架系材质采用高硬度金属铝型材，支架采用全金属SECC板激光数控加工而成，材质采用优质钢材管和优质铝型材，具有上下，左右，前后调节功能，不含电视墙装饰包边。</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jc w:val="left"/>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二、拼接屏矩阵控制服务器、无线管理中控、切换设备</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left"/>
              <w:textAlignment w:val="auto"/>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拼接屏HDMI矩阵控制服务器</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bidi="ar"/>
              </w:rPr>
              <w:t>1、</w:t>
            </w:r>
            <w:r>
              <w:rPr>
                <w:rFonts w:hint="eastAsia" w:asciiTheme="minorEastAsia" w:hAnsiTheme="minorEastAsia" w:eastAsiaTheme="minorEastAsia" w:cstheme="minorEastAsia"/>
                <w:b w:val="0"/>
                <w:bCs w:val="0"/>
                <w:color w:val="auto"/>
                <w:highlight w:val="none"/>
                <w:lang w:val="en-US" w:eastAsia="zh-CN"/>
              </w:rPr>
              <w:t>支持8路HDMI信号输入，21路HDMI输出。所有信号都可不受限制的在拼接大屏的全屏范围内实现任意移动、复制、单屏、全屏等显示模式；</w:t>
            </w:r>
          </w:p>
          <w:p>
            <w:pPr>
              <w:pStyle w:val="2"/>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bidi="ar"/>
              </w:rPr>
              <w:t>FPGA硬件架构；</w:t>
            </w:r>
          </w:p>
          <w:p>
            <w:pPr>
              <w:pStyle w:val="2"/>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0"/>
                <w:sz w:val="22"/>
                <w:szCs w:val="22"/>
                <w:highlight w:val="none"/>
                <w:lang w:bidi="ar"/>
              </w:rPr>
              <w:t>2、输入采集卡、输出卡、切换卡、控制卡、风扇、电源等所有模块均为插卡式设计；槽位数2个输入槽位、2个输出槽位；</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sz w:val="24"/>
                <w:highlight w:val="none"/>
                <w:u w:val="none"/>
              </w:rPr>
              <w:t>▲</w:t>
            </w:r>
            <w:r>
              <w:rPr>
                <w:rFonts w:hint="eastAsia" w:asciiTheme="minorEastAsia" w:hAnsiTheme="minorEastAsia" w:eastAsiaTheme="minorEastAsia" w:cstheme="minorEastAsia"/>
                <w:b w:val="0"/>
                <w:bCs w:val="0"/>
                <w:color w:val="auto"/>
                <w:kern w:val="0"/>
                <w:sz w:val="22"/>
                <w:szCs w:val="22"/>
                <w:highlight w:val="none"/>
                <w:lang w:bidi="ar"/>
              </w:rPr>
              <w:t>3、最大输入分辨率：4096×2160，支持网络、数字、模拟信号输入；</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4、支持HDMI、DVI-D、VGA、SDI、BNC等接口；</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5、支持RRTA技术，支持报警联动，高清回显；</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6、支持开窗漫游，支持去黑边、局部放大；</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7、可扩展支持IPAD 可视化操作；</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8、每个窗口可在输出的画面中任意漫游，可显示在任意一块或多块大屏上，画面显示没有区域范围上的边界限制；</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sz w:val="24"/>
                <w:highlight w:val="none"/>
                <w:u w:val="none"/>
              </w:rPr>
              <w:t>▲</w:t>
            </w:r>
            <w:r>
              <w:rPr>
                <w:rFonts w:hint="eastAsia" w:asciiTheme="minorEastAsia" w:hAnsiTheme="minorEastAsia" w:eastAsiaTheme="minorEastAsia" w:cstheme="minorEastAsia"/>
                <w:b w:val="0"/>
                <w:bCs w:val="0"/>
                <w:color w:val="auto"/>
                <w:kern w:val="0"/>
                <w:sz w:val="22"/>
                <w:szCs w:val="22"/>
                <w:highlight w:val="none"/>
                <w:lang w:bidi="ar"/>
              </w:rPr>
              <w:t>9、每个窗口的画面大小可任意进行缩放，可单独或组合对高度、宽度进行放大或缩小，通过独有的视频处理算法保证画质不受损失；</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10、支持冗余风扇设计，自动温度控制，支持过热保护及过热报警；</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11、DVI/VGA输入延迟30ms；</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12、设备操作延时80ms；</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13、信号切换时间170ms；</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14、同输出口播放相同画面的同步性小于1帧；</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15、切换预案所需时间170ms</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2</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拼接屏HDMI矩阵控制服务器</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bidi="ar"/>
              </w:rPr>
              <w:t>1、</w:t>
            </w:r>
            <w:r>
              <w:rPr>
                <w:rFonts w:hint="eastAsia" w:asciiTheme="minorEastAsia" w:hAnsiTheme="minorEastAsia" w:eastAsiaTheme="minorEastAsia" w:cstheme="minorEastAsia"/>
                <w:b w:val="0"/>
                <w:bCs w:val="0"/>
                <w:color w:val="auto"/>
                <w:highlight w:val="none"/>
                <w:lang w:val="en-US" w:eastAsia="zh-CN"/>
              </w:rPr>
              <w:t>支持8路HDMI信号输入，8路HDMI输出。所有信号都可不受限制的在拼接大屏的全屏范围内实现任意移动、复制、单屏、全屏等显示模式；</w:t>
            </w:r>
          </w:p>
          <w:p>
            <w:pPr>
              <w:pStyle w:val="2"/>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bidi="ar"/>
              </w:rPr>
              <w:t>FPGA硬件架构；</w:t>
            </w:r>
          </w:p>
          <w:p>
            <w:pPr>
              <w:pStyle w:val="2"/>
              <w:ind w:left="-57" w:leftChars="0" w:right="69" w:right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val="0"/>
                <w:color w:val="auto"/>
                <w:kern w:val="0"/>
                <w:sz w:val="22"/>
                <w:szCs w:val="22"/>
                <w:highlight w:val="none"/>
                <w:lang w:bidi="ar"/>
              </w:rPr>
              <w:t>2、输入采集卡、输出卡、切换卡、控制卡、风扇、电源等所有模块均为插卡式设计；槽位数2个输入槽位、2个输出槽位；</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sz w:val="24"/>
                <w:highlight w:val="none"/>
                <w:u w:val="none"/>
              </w:rPr>
              <w:t>▲</w:t>
            </w:r>
            <w:r>
              <w:rPr>
                <w:rFonts w:hint="eastAsia" w:asciiTheme="minorEastAsia" w:hAnsiTheme="minorEastAsia" w:eastAsiaTheme="minorEastAsia" w:cstheme="minorEastAsia"/>
                <w:b w:val="0"/>
                <w:bCs w:val="0"/>
                <w:color w:val="auto"/>
                <w:kern w:val="0"/>
                <w:sz w:val="22"/>
                <w:szCs w:val="22"/>
                <w:highlight w:val="none"/>
                <w:lang w:bidi="ar"/>
              </w:rPr>
              <w:t>3、最大输入分辨率：4096×2160，支持网络、数字、模拟信号输入；</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4、支持HDMI、DVI-D、VGA、SDI、BNC等接口；</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5、支持RRTA技术，支持报警联动，高清回显；</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6、支持开窗漫游，支持去黑边、局部放大；</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7、可扩展支持IPAD 可视化操作；</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8、每个窗口可在输出的画面中任意漫游，可显示在任意一块或多块大屏上，画面显示没有区域范围上的边界限制；</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sz w:val="24"/>
                <w:highlight w:val="none"/>
                <w:u w:val="none"/>
              </w:rPr>
              <w:t>▲</w:t>
            </w:r>
            <w:r>
              <w:rPr>
                <w:rFonts w:hint="eastAsia" w:asciiTheme="minorEastAsia" w:hAnsiTheme="minorEastAsia" w:eastAsiaTheme="minorEastAsia" w:cstheme="minorEastAsia"/>
                <w:b w:val="0"/>
                <w:bCs w:val="0"/>
                <w:color w:val="auto"/>
                <w:kern w:val="0"/>
                <w:sz w:val="22"/>
                <w:szCs w:val="22"/>
                <w:highlight w:val="none"/>
                <w:lang w:bidi="ar"/>
              </w:rPr>
              <w:t>9、每个窗口的画面大小可任意进行缩放，可单独或组合对高度、宽度进行放大或缩小，通过独有的视频处理算法保证画质不受损失；</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10、支持冗余风扇设计，自动温度控制，支持过热保护及过热报警；</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11、DVI/VGA输入延迟30ms；</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12、设备操作延时80ms；</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13、信号切换时间170ms；</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14、同输出口播放相同画面的同步性小于1帧；</w:t>
            </w:r>
            <w:r>
              <w:rPr>
                <w:rFonts w:hint="eastAsia" w:asciiTheme="minorEastAsia" w:hAnsiTheme="minorEastAsia" w:eastAsiaTheme="minorEastAsia" w:cstheme="minorEastAsia"/>
                <w:b w:val="0"/>
                <w:bCs w:val="0"/>
                <w:color w:val="auto"/>
                <w:kern w:val="0"/>
                <w:sz w:val="22"/>
                <w:szCs w:val="22"/>
                <w:highlight w:val="none"/>
                <w:lang w:bidi="ar"/>
              </w:rPr>
              <w:br w:type="textWrapping"/>
            </w:r>
            <w:r>
              <w:rPr>
                <w:rFonts w:hint="eastAsia" w:asciiTheme="minorEastAsia" w:hAnsiTheme="minorEastAsia" w:eastAsiaTheme="minorEastAsia" w:cstheme="minorEastAsia"/>
                <w:b w:val="0"/>
                <w:bCs w:val="0"/>
                <w:color w:val="auto"/>
                <w:kern w:val="0"/>
                <w:sz w:val="22"/>
                <w:szCs w:val="22"/>
                <w:highlight w:val="none"/>
                <w:lang w:bidi="ar"/>
              </w:rPr>
              <w:t>15、切换预案所需时间170ms</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3</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控制主机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信号操作控制主机I5-9400/8g/256SSD</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4</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屏幕控制软件</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1套</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1．采用RZ图像像素动态逐点切割解析处理技术，对画面细节进行补偿，可使低像素图像在全高清显示屏中清晰再现；</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2．采用逐行扫描驱动技术，提升画面的流畅；</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 完美支持Windows Xp/Vista/7/8等各种版本电脑操作系统；</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4.采用画面边缘锐化技术，减少边缘“锯齿”； </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5．动态画面加帧补偿技术、3D动态数字降噪技术、自动色彩校正技术、3D运补偿技术、非线性缩放技术，等多种国际先进图像处理技术； </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6．图像边框校正技术，纠正图像错位，实现完整全高清信号实时处理。</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7．手动\定时\预设定、智能温控，多信号分屏显示，整屏显，任意组合显示。</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sz w:val="21"/>
                <w:szCs w:val="21"/>
                <w:highlight w:val="none"/>
                <w:lang w:val="en-US" w:eastAsia="zh-CN"/>
              </w:rPr>
              <w:t>8.支持可视化界面管理，所见即所得，让系统更易用、更可靠。对任意信号源视窗进行实时回显和预览，在控制客户端前即可看到整个幕墙上的显示效果。</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sz w:val="21"/>
                <w:szCs w:val="21"/>
                <w:highlight w:val="none"/>
                <w:lang w:val="en-US" w:eastAsia="zh-CN"/>
              </w:rPr>
              <w:t>9．支持自由操控，可实现所有视频信号源的视窗管理、拼接、任意缩放、整屏和画中画、漫游等功能，可实现对视窗参数的调整（叠加关系、位置、大小、比例等）；自动识别和适应的变化，方便的拖放操作。</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10．具备中控功能，可实现可编辑中控，多种控件选择，可随意配置中控界面。可控制高清矩阵，电源设备开关，摄像头的转动方向，设备音量，灯光空调开关等中控功能。</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11．支持KVM操作功能，可以实现对PC电脑播放的PPT的翻页（上一页、下一页）操作。</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12．支持软件界面自定义，支持多级管理模式。</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13．支持不少于20路实时动态图像预览。</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14．支持采用无线拖拽的方式将视频信号源推送到各个显示终端上。</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15．支持不同用户登陆管理，支持权限分配，实现不同用户呈现不同的控制界面。</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16．支持记住密码和自动登陆功能。</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sz w:val="21"/>
                <w:szCs w:val="21"/>
                <w:highlight w:val="none"/>
                <w:lang w:val="en-US" w:eastAsia="zh-CN"/>
              </w:rPr>
              <w:t>17．支持互动呈现功能，在PC端管理操作系统时，平板端会实时更新信息及画面显示，达到同步更新效果，并且实时在显示屏上显示，实现屏下与屏上的协同互动。</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18．场景切换响应时间短，超低延时，画面极致流畅，窗口操作即时响应，手指离开操作平台立马会显示在大屏上。</w:t>
            </w:r>
          </w:p>
          <w:p>
            <w:pPr>
              <w:pStyle w:val="2"/>
              <w:ind w:left="0"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19．支持显示预案设置、存储、调用，支持音频、视频、控制信号场景一键式快速调用，可定义不同场景切换效果及场景名称。</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4"/>
                <w:highlight w:val="none"/>
                <w:u w:val="none"/>
              </w:rPr>
              <w:t>▲</w:t>
            </w:r>
            <w:r>
              <w:rPr>
                <w:rFonts w:hint="eastAsia" w:asciiTheme="minorEastAsia" w:hAnsiTheme="minorEastAsia" w:eastAsiaTheme="minorEastAsia" w:cstheme="minorEastAsia"/>
                <w:b w:val="0"/>
                <w:bCs/>
                <w:color w:val="auto"/>
                <w:sz w:val="21"/>
                <w:szCs w:val="21"/>
                <w:highlight w:val="none"/>
                <w:lang w:val="en-US" w:eastAsia="zh-CN"/>
              </w:rPr>
              <w:t>20．支持分辨率自适应功能，可在安卓手机、平板上完美呈现，稳定运行；建议使用支持5G频段WiFi网络的安卓平板或手机，安卓系统5.1版本以上。支持80路应用投屏管理（以1080P终端为计算基准）或80路桌面投屏管理，支持HA；支持自定义或标准分辨率预先在后台打开应用程序，实现应用监控或管理，需要时实现一键投屏，画面墙功能开窗占用</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21.可实现视频信号、RGB信号等多种信号源的定义、管理、选择调用和切换显示；可以设定、存储和管理预案：可方便的实现预案编制、保存、修改、删除，支持预案自动执行功能，实现画面自动显示大屏幕管理软件为全中文界面，方便维护、备份等系统管理，可向用户提供源代码进行二次开发。</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三、监控屏幕上方电子横屏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LED电子显示屏</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1套</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室内单红P10LED显示单元,铝合框架，壁挂支架，393X41cm，1.61㎡</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四、VR体验终端、触控屏、控制主机及壁挂显示屏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智能一体液晶显示屏</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1.65寸LED背光液晶屏，分辨率3840*2160，A级屏幕。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2.显示比例：16:9；可视角度：≥178°；亮度：≥400cd/m2；静态对比度：≥4000:1；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3.采用DLED背光设计，整机平均无故障时间≥120000小时。</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4.单屏尺寸（长*宽*厚）mm：1480*897*127</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5.正面无接口及按键，整机简洁、美观。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6.内置双腔六驱大音响，六颗喇叭，高音低音全覆盖，功率为15W×2，支持立体声输出，支持DTS、杜比双解码，杜比音效处理。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7.安卓系统采用新一代机芯，高性能，2核A73+2核A53 主频1.7GHz，4核Mali-G51 GPU，系统内存3GB，存储容量32GB，保证系统性能稳定流畅。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8.采用Android8.0触控大屏操作系统，支持多任务分屏协作。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9.可选配Windows会议模块系统。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10.支持网络共享，通过一根网线连接到整机，可以实现Android系统和Windows系统都上网。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11.整机接口： USB输入 3；Touch USB 1；OPS接口 1；HDMI输入2；HDMI输出 1；VGA输入 1；VGA音频输入 1；SPDIF输出 1；耳机输出 1；以太网口 RJ45 1；串口（RS232） 1；</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2</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VR体验终端</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1套</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头戴式显示，分辨率2160*1200,90HZ刷新率，AMOLED，32颗光电传感器与定位器，内置3.5接口，操控手柄*2个，定位器*2个，瞳距调节，镜头距离调节，内置麦克风，前置摄像头</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无线控制手柄</w:t>
            </w:r>
          </w:p>
          <w:p>
            <w:pPr>
              <w:pStyle w:val="2"/>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内置可充电锂离子电池</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3</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VR触控同步监视器</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1.65寸LED背光液晶屏，分辨率3840*2160，A级屏幕。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2.显示比例：16:9；可视角度：≥178°；亮度：≥400cd/m2；静态对比度：≥4000:1；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3.采用DLED背光设计，整机平均无故障时间≥120000小时。</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4.单屏尺寸（长*宽*厚）mm：1480*897*127</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5.正面无接口及按键，整机简洁、美观。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6.内置双腔六驱大音响，六颗喇叭，高音低音全覆盖，功率为15W×2，支持立体声输出，支持DTS、杜比双解码，杜比音效处理。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7.安卓系统采用新一代机芯，高性能，2核A73+2核A53 主频1.7GHz，4核Mali-G51 GPU，系统内存3GB，存储容量32GB，保证系统性能稳定流畅。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8.采用Android8.0触控大屏操作系统，支持多任务分屏协作。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9.可选配Windows会议模块系统。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 xml:space="preserve">10.支持网络共享，通过一根网线连接到整机，可以实现Android系统和Windows系统都上网。 </w:t>
            </w:r>
          </w:p>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11.整机接口： USB输入 3；Touch USB 1；OPS接口 1；HDMI输入2；HDMI输出 1；VGA输入 1；VGA音频输入 1；SPDIF输出 1；耳机输出 1；以太网口 RJ45 1；串口（RS232） 1；</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4</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VR控制主机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VR触控同步控制主机R5-3600/16g/512SSD/RTX2060S/DP 1.2/USB3.0</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五、监控设备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摄像头</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15台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Style w:val="102"/>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1080P400万POE像素 1/4" CMOS传感器;彩色1.0Lux@F1.2,黑白0.1 Lux@F1.2;可调;超强夜视30米2粒进口灯高能红外灯，高亮度、低功耗、寿命长1080P 25帧</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2</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监控硬盘录像机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Style w:val="102"/>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16路视频通道：支持16路1080P输入：模式根据需求可任意选择；支持4回放通道数：支持多路录像播放.可以装4个硬盘</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3</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硬盘</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4块</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Style w:val="102"/>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西数监控专用高速紫盘，6TB</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4</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支架</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15套</w:t>
            </w:r>
          </w:p>
          <w:p>
            <w:pPr>
              <w:rPr>
                <w:rFonts w:hint="eastAsia" w:asciiTheme="minorEastAsia" w:hAnsiTheme="minorEastAsia" w:eastAsiaTheme="minorEastAsia" w:cstheme="minorEastAsia"/>
                <w:b w:val="0"/>
                <w:bCs/>
                <w:color w:val="auto"/>
                <w:sz w:val="21"/>
                <w:szCs w:val="21"/>
                <w:highlight w:val="none"/>
              </w:rPr>
            </w:pP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both"/>
              <w:rPr>
                <w:rStyle w:val="102"/>
                <w:rFonts w:hint="eastAsia" w:asciiTheme="minorEastAsia" w:hAnsiTheme="minorEastAsia" w:eastAsiaTheme="minorEastAsia" w:cstheme="minorEastAsia"/>
                <w:b w:val="0"/>
                <w:bCs/>
                <w:color w:val="auto"/>
                <w:sz w:val="21"/>
                <w:szCs w:val="21"/>
                <w:highlight w:val="none"/>
                <w:lang w:val="en-US" w:eastAsia="zh-CN" w:bidi="ar"/>
              </w:rPr>
            </w:pPr>
            <w:r>
              <w:rPr>
                <w:rStyle w:val="102"/>
                <w:rFonts w:hint="eastAsia" w:asciiTheme="minorEastAsia" w:hAnsiTheme="minorEastAsia" w:eastAsiaTheme="minorEastAsia" w:cstheme="minorEastAsia"/>
                <w:b w:val="0"/>
                <w:bCs/>
                <w:color w:val="auto"/>
                <w:sz w:val="21"/>
                <w:szCs w:val="21"/>
                <w:highlight w:val="none"/>
                <w:lang w:val="en-US" w:eastAsia="zh-CN" w:bidi="ar"/>
              </w:rPr>
              <w:t>摄像枪专用支架，防水铝合金材质，可调节水平俯仰角度</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5</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POE交换机</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Style w:val="102"/>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全千兆24口POE交换机</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6</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监视器</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1台</w:t>
            </w:r>
          </w:p>
        </w:tc>
        <w:tc>
          <w:tcPr>
            <w:tcW w:w="4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jc w:val="both"/>
              <w:textAlignment w:val="center"/>
              <w:rPr>
                <w:rStyle w:val="102"/>
                <w:rFonts w:hint="eastAsia" w:asciiTheme="minorEastAsia" w:hAnsiTheme="minorEastAsia" w:eastAsiaTheme="minorEastAsia" w:cstheme="minorEastAsia"/>
                <w:b w:val="0"/>
                <w:bCs/>
                <w:color w:val="auto"/>
                <w:sz w:val="21"/>
                <w:szCs w:val="21"/>
                <w:highlight w:val="none"/>
                <w:lang w:val="en-US" w:eastAsia="zh-CN" w:bidi="ar"/>
              </w:rPr>
            </w:pPr>
            <w:r>
              <w:rPr>
                <w:rFonts w:hint="eastAsia" w:asciiTheme="minorEastAsia" w:hAnsiTheme="minorEastAsia" w:eastAsiaTheme="minorEastAsia" w:cstheme="minorEastAsia"/>
                <w:b w:val="0"/>
                <w:bCs/>
                <w:i w:val="0"/>
                <w:color w:val="auto"/>
                <w:kern w:val="0"/>
                <w:sz w:val="21"/>
                <w:szCs w:val="21"/>
                <w:highlight w:val="none"/>
                <w:u w:val="none"/>
                <w:lang w:val="en-US" w:eastAsia="zh-CN" w:bidi="ar"/>
              </w:rPr>
              <w:t>32寸高清液晶监视器</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25"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二、涉及项目的其他要求</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4"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采购预算价</w:t>
            </w:r>
          </w:p>
        </w:tc>
        <w:tc>
          <w:tcPr>
            <w:tcW w:w="5681"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38万元</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4"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为落实政府采购政策需满足的要求</w:t>
            </w:r>
          </w:p>
        </w:tc>
        <w:tc>
          <w:tcPr>
            <w:tcW w:w="5681"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具体见第二章“供应商须知”以及第四章“评审方法及评审标准”。</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4"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规范标准</w:t>
            </w:r>
          </w:p>
        </w:tc>
        <w:tc>
          <w:tcPr>
            <w:tcW w:w="5681"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4"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采购标的需满足的质量、安全、技术规格、物理特性等</w:t>
            </w:r>
          </w:p>
        </w:tc>
        <w:tc>
          <w:tcPr>
            <w:tcW w:w="5681"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见本表“功能目标及技术指标”。</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4"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采购标的验收标准</w:t>
            </w:r>
          </w:p>
        </w:tc>
        <w:tc>
          <w:tcPr>
            <w:tcW w:w="5681"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货物到达现场后，成交人应在采购人单位人员在场情况下当面开箱，共同清点、检查外观，作出开箱记录，双方签字确认。成交人应保证货物到达采购人所在地完好无损，如有缺漏、损坏，由成交人负责调换、补齐或赔偿。验收过程中所产生的一切费用均由成交人承担，报价时应考虑相关费用。</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2、成交人提供的货物需全新、完好、无破损，应提供完备的技术或服务资料、装箱单和合格证等，并派遣专业人员进行现场安装调试。验收合格条件如下：</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（1）货物或服务技术参数与采购合同一致，性能或指标达到规定的标准。</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（2）技术或资料、装箱单、合格证等资料齐全。</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（3）在测试或试运行期间所出现的问题得到解决，并运行或工作正常。</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（4）在规定时间内完成交货及验收，并经采购人确认。</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3、项目验收应遵循国家及行业相关验收标准：成交人在安装调试完成后需提交全部图纸、配置资料、交验收报告、测试报告（如有）等。</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4、在安装调试并试运行符合要求后，才作最终验收。</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为保证《项目采购需求和说明》中带有“▲”号的技术指标和性能达到采购文件要求及与合同、响应文件相符，如采购人对成交人所竞标货物的技术指标有质疑，供货时须进行现场演示，以确认是否达到合同、采购文件、响应文件中所规定的技术功能要求；成交人未提供的或演示效果达不到合同、采购文件、响应文件中所规定的技术功能要求，则视为合同违约，所有损失由成交人承担。</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44"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其他技术及服务要求</w:t>
            </w:r>
          </w:p>
        </w:tc>
        <w:tc>
          <w:tcPr>
            <w:tcW w:w="5681"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无</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25"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▲三、商务条款（不满足商务要求的竞标无效）</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质保期</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按国家有关产品“三包”规定执行“三包”，自货物验收合格之日起计算，产品质保期最短不少于1年。若厂家免费质保期超过此年限的，合同履行过程中按厂家规定执行。</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交货时间及地点</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1.交货时间：自签订合同之日起</w:t>
            </w:r>
            <w:r>
              <w:rPr>
                <w:rFonts w:hint="eastAsia" w:asciiTheme="minorEastAsia" w:hAnsiTheme="minorEastAsia" w:eastAsiaTheme="minorEastAsia" w:cstheme="minorEastAsia"/>
                <w:b w:val="0"/>
                <w:bCs/>
                <w:color w:val="auto"/>
                <w:sz w:val="21"/>
                <w:szCs w:val="21"/>
                <w:highlight w:val="none"/>
                <w:lang w:val="en-US" w:eastAsia="zh-CN"/>
              </w:rPr>
              <w:t>10</w:t>
            </w:r>
            <w:r>
              <w:rPr>
                <w:rFonts w:hint="eastAsia" w:asciiTheme="minorEastAsia" w:hAnsiTheme="minorEastAsia" w:eastAsiaTheme="minorEastAsia" w:cstheme="minorEastAsia"/>
                <w:b w:val="0"/>
                <w:bCs/>
                <w:color w:val="auto"/>
                <w:sz w:val="21"/>
                <w:szCs w:val="21"/>
                <w:highlight w:val="none"/>
              </w:rPr>
              <w:t>日内(日历日)交付使用。</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2.交货地点：采购人指定地点。</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售后服务要求</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质保期内负责维修、更换零部件，除另行特别注明外，服务内容如下：</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（1）负责免费送货上门，负责免费安装调试合格。</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（2）免费提供现场技术培训，保证使用人员正常操作设备的各种功能，终身提供免费技术支持。</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（3）出现故障4小时内做出响应，24小时内到场维修。一般问题应在48小时内解决，重大问题或其它无法迅速解决的问题应在一周内解决。</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（4）定期回访。</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（5）设备自带软件的在免费保修期内免费升级；其余按供应商承诺进行。</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付款条件</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无预付款，成交人将所有设备安装调试完毕运转正常，并为采购人提供培训结束，经采购人最终验收合格，由成交供应商出具总金额发票，采购人自收到发票之日起15个工作日内支付给成交供应商总货款的97%。剩余合同总金额的3%为质保金，项目整体质保期满后5个工作日内采购人向成交人一次性付清（无息）。</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竞标报价</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竞标报价中应包含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义务和一般风险等一切费用。</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2、供应商负责工人人身、设备安全责任，验收前，设备丢失自行负责。</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25"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四、采购人对项目的特殊要求及说明</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进口产品</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是否接受进口产品：</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sym w:font="Wingdings" w:char="F0FE"/>
            </w:r>
            <w:r>
              <w:rPr>
                <w:rFonts w:hint="eastAsia" w:asciiTheme="minorEastAsia" w:hAnsiTheme="minorEastAsia" w:eastAsiaTheme="minorEastAsia" w:cstheme="minorEastAsia"/>
                <w:b w:val="0"/>
                <w:bCs/>
                <w:color w:val="auto"/>
                <w:sz w:val="21"/>
                <w:szCs w:val="21"/>
                <w:highlight w:val="none"/>
              </w:rPr>
              <w:t>否，本项目所有采购货物均不接受进口产品。</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样品要求</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left="0" w:leftChars="0" w:firstLine="0" w:firstLineChars="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是否要求递交样品：</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kern w:val="2"/>
                <w:sz w:val="21"/>
                <w:szCs w:val="21"/>
                <w:highlight w:val="none"/>
              </w:rPr>
              <w:sym w:font="Wingdings" w:char="F0FE"/>
            </w:r>
            <w:r>
              <w:rPr>
                <w:rFonts w:hint="eastAsia" w:asciiTheme="minorEastAsia" w:hAnsiTheme="minorEastAsia" w:eastAsiaTheme="minorEastAsia" w:cstheme="minorEastAsia"/>
                <w:b w:val="0"/>
                <w:bCs/>
                <w:color w:val="auto"/>
                <w:kern w:val="2"/>
                <w:sz w:val="21"/>
                <w:szCs w:val="21"/>
                <w:highlight w:val="none"/>
              </w:rPr>
              <w:t>否</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产品演示要求</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pStyle w:val="101"/>
              <w:spacing w:line="400" w:lineRule="exact"/>
              <w:jc w:val="both"/>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是否进行产品演示：</w:t>
            </w:r>
          </w:p>
          <w:p>
            <w:pPr>
              <w:pStyle w:val="101"/>
              <w:spacing w:line="400" w:lineRule="exact"/>
              <w:ind w:firstLine="420" w:firstLineChars="200"/>
              <w:jc w:val="both"/>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sym w:font="Wingdings" w:char="F0FE"/>
            </w:r>
            <w:r>
              <w:rPr>
                <w:rFonts w:hint="eastAsia" w:asciiTheme="minorEastAsia" w:hAnsiTheme="minorEastAsia" w:eastAsiaTheme="minorEastAsia" w:cstheme="minorEastAsia"/>
                <w:b w:val="0"/>
                <w:bCs/>
                <w:color w:val="auto"/>
                <w:sz w:val="21"/>
                <w:szCs w:val="21"/>
                <w:highlight w:val="none"/>
              </w:rPr>
              <w:t>否，本项目所有采购货物均不进行产品演示。</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核心产品</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yellow"/>
              </w:rPr>
            </w:pPr>
            <w:r>
              <w:rPr>
                <w:rFonts w:hint="eastAsia" w:asciiTheme="minorEastAsia" w:hAnsiTheme="minorEastAsia" w:eastAsiaTheme="minorEastAsia" w:cstheme="minorEastAsia"/>
                <w:b w:val="0"/>
                <w:bCs/>
                <w:color w:val="auto"/>
                <w:sz w:val="21"/>
                <w:szCs w:val="21"/>
                <w:highlight w:val="yellow"/>
              </w:rPr>
              <w:t>本表第1项</w:t>
            </w:r>
            <w:r>
              <w:rPr>
                <w:rFonts w:hint="eastAsia" w:asciiTheme="minorEastAsia" w:hAnsiTheme="minorEastAsia" w:eastAsiaTheme="minorEastAsia" w:cstheme="minorEastAsia"/>
                <w:b w:val="0"/>
                <w:bCs/>
                <w:color w:val="auto"/>
                <w:sz w:val="21"/>
                <w:szCs w:val="21"/>
                <w:highlight w:val="yellow"/>
                <w:lang w:eastAsia="zh-CN"/>
              </w:rPr>
              <w:t>“46寸超窄边液晶拼接单元”</w:t>
            </w:r>
            <w:r>
              <w:rPr>
                <w:rFonts w:hint="eastAsia" w:asciiTheme="minorEastAsia" w:hAnsiTheme="minorEastAsia" w:eastAsiaTheme="minorEastAsia" w:cstheme="minorEastAsia"/>
                <w:b w:val="0"/>
                <w:bCs/>
                <w:color w:val="auto"/>
                <w:sz w:val="21"/>
                <w:szCs w:val="21"/>
                <w:highlight w:val="yellow"/>
              </w:rPr>
              <w:t>产品为核心产品。</w:t>
            </w:r>
          </w:p>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本项目货物提供相同品牌产品的不同供应商参加单一产品的同一合同项下的政府采购活动的（或非单一产品采购项目中，多家供应商提供的核心产品品牌相同的），取其中质量和服务均能满足谈判文件实质性响应要求且最后竞标总报价最低的供应商参加评审；最后报价相同时，则由采购人自主选择确定一家供应商参加评审，其他竞标无效。</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备品备件及易损件</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成交</w:t>
            </w:r>
            <w:r>
              <w:rPr>
                <w:rFonts w:hint="eastAsia" w:asciiTheme="minorEastAsia" w:hAnsiTheme="minorEastAsia" w:eastAsiaTheme="minorEastAsia" w:cstheme="minorEastAsia"/>
                <w:b w:val="0"/>
                <w:bCs/>
                <w:color w:val="auto"/>
                <w:sz w:val="21"/>
                <w:szCs w:val="21"/>
                <w:highlight w:val="none"/>
              </w:rPr>
              <w:t>人售后服务中，维修使用的备品备件及易损件应为原厂配件，未经采购人同意不得使用非原厂配件，质保期内维修使用的备品备件及易损件的费用，由</w:t>
            </w:r>
            <w:r>
              <w:rPr>
                <w:rFonts w:hint="eastAsia" w:asciiTheme="minorEastAsia" w:hAnsiTheme="minorEastAsia" w:eastAsiaTheme="minorEastAsia" w:cstheme="minorEastAsia"/>
                <w:b w:val="0"/>
                <w:bCs/>
                <w:color w:val="auto"/>
                <w:sz w:val="21"/>
                <w:szCs w:val="21"/>
                <w:highlight w:val="none"/>
                <w:lang w:eastAsia="zh-CN"/>
              </w:rPr>
              <w:t>成交</w:t>
            </w:r>
            <w:r>
              <w:rPr>
                <w:rFonts w:hint="eastAsia" w:asciiTheme="minorEastAsia" w:hAnsiTheme="minorEastAsia" w:eastAsiaTheme="minorEastAsia" w:cstheme="minorEastAsia"/>
                <w:b w:val="0"/>
                <w:bCs/>
                <w:color w:val="auto"/>
                <w:sz w:val="21"/>
                <w:szCs w:val="21"/>
                <w:highlight w:val="none"/>
              </w:rPr>
              <w:t>人承担。质量保证期过后，采购人需要继续由原</w:t>
            </w:r>
            <w:r>
              <w:rPr>
                <w:rFonts w:hint="eastAsia" w:asciiTheme="minorEastAsia" w:hAnsiTheme="minorEastAsia" w:eastAsiaTheme="minorEastAsia" w:cstheme="minorEastAsia"/>
                <w:b w:val="0"/>
                <w:bCs/>
                <w:color w:val="auto"/>
                <w:sz w:val="21"/>
                <w:szCs w:val="21"/>
                <w:highlight w:val="none"/>
                <w:lang w:eastAsia="zh-CN"/>
              </w:rPr>
              <w:t>成交</w:t>
            </w:r>
            <w:r>
              <w:rPr>
                <w:rFonts w:hint="eastAsia" w:asciiTheme="minorEastAsia" w:hAnsiTheme="minorEastAsia" w:eastAsiaTheme="minorEastAsia" w:cstheme="minorEastAsia"/>
                <w:b w:val="0"/>
                <w:bCs/>
                <w:color w:val="auto"/>
                <w:sz w:val="21"/>
                <w:szCs w:val="21"/>
                <w:highlight w:val="none"/>
              </w:rPr>
              <w:t>人提供售后服务的，该</w:t>
            </w:r>
            <w:r>
              <w:rPr>
                <w:rFonts w:hint="eastAsia" w:asciiTheme="minorEastAsia" w:hAnsiTheme="minorEastAsia" w:eastAsiaTheme="minorEastAsia" w:cstheme="minorEastAsia"/>
                <w:b w:val="0"/>
                <w:bCs/>
                <w:color w:val="auto"/>
                <w:sz w:val="21"/>
                <w:szCs w:val="21"/>
                <w:highlight w:val="none"/>
                <w:lang w:eastAsia="zh-CN"/>
              </w:rPr>
              <w:t>成交</w:t>
            </w:r>
            <w:r>
              <w:rPr>
                <w:rFonts w:hint="eastAsia" w:asciiTheme="minorEastAsia" w:hAnsiTheme="minorEastAsia" w:eastAsiaTheme="minorEastAsia" w:cstheme="minorEastAsia"/>
                <w:b w:val="0"/>
                <w:bCs/>
                <w:color w:val="auto"/>
                <w:sz w:val="21"/>
                <w:szCs w:val="21"/>
                <w:highlight w:val="none"/>
              </w:rPr>
              <w:t>人应以优惠价格提供售后服务，常用的、容易损坏的备品备件及易损件的优惠价格清单须在响应文件中列出。</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▲其他</w:t>
            </w:r>
          </w:p>
        </w:tc>
        <w:tc>
          <w:tcPr>
            <w:tcW w:w="6408"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供应商响应文件中必须提供竞标产品的品牌和型号</w:t>
            </w:r>
          </w:p>
        </w:tc>
        <w:tc>
          <w:tcPr>
            <w:tcW w:w="115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420" w:firstLineChars="200"/>
              <w:rPr>
                <w:rFonts w:hint="eastAsia" w:asciiTheme="minorEastAsia" w:hAnsiTheme="minorEastAsia" w:eastAsiaTheme="minorEastAsia" w:cstheme="minorEastAsia"/>
                <w:b w:val="0"/>
                <w:bCs/>
                <w:color w:val="auto"/>
                <w:sz w:val="21"/>
                <w:szCs w:val="21"/>
                <w:highlight w:val="none"/>
              </w:rPr>
            </w:pPr>
          </w:p>
        </w:tc>
      </w:tr>
    </w:tbl>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、供应商所</w:t>
      </w:r>
      <w:r>
        <w:rPr>
          <w:rFonts w:hint="eastAsia" w:asciiTheme="minorEastAsia" w:hAnsiTheme="minorEastAsia" w:eastAsiaTheme="minorEastAsia"/>
          <w:color w:val="auto"/>
          <w:sz w:val="24"/>
          <w:highlight w:val="none"/>
          <w:lang w:eastAsia="zh-CN"/>
        </w:rPr>
        <w:t>竞标</w:t>
      </w:r>
      <w:r>
        <w:rPr>
          <w:rFonts w:hint="eastAsia" w:asciiTheme="minorEastAsia" w:hAnsiTheme="minorEastAsia" w:eastAsiaTheme="minorEastAsia"/>
          <w:color w:val="auto"/>
          <w:sz w:val="24"/>
          <w:highlight w:val="none"/>
        </w:rPr>
        <w:t>项目货物如国家有强制性要求的应按国家规定执行，并提供相关证明材料。</w:t>
      </w:r>
    </w:p>
    <w:p>
      <w:pPr>
        <w:spacing w:after="0" w:line="40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8、最终报价有时间限制，请各供应商事前做好准备，以免耽误报价。最终报价时，供应商只需报一个总价，结算时，各分项单价按最终报价与第一次报价的比例进行调整。</w:t>
      </w:r>
    </w:p>
    <w:p>
      <w:pPr>
        <w:spacing w:after="0" w:line="400" w:lineRule="exact"/>
        <w:ind w:firstLine="440" w:firstLineChars="200"/>
        <w:rPr>
          <w:rFonts w:asciiTheme="minorEastAsia" w:hAnsiTheme="minorEastAsia" w:eastAsiaTheme="minorEastAsia"/>
          <w:color w:val="auto"/>
          <w:highlight w:val="none"/>
        </w:rPr>
      </w:pPr>
    </w:p>
    <w:p>
      <w:pPr>
        <w:spacing w:after="0" w:line="400" w:lineRule="exact"/>
        <w:ind w:firstLine="440" w:firstLineChars="200"/>
        <w:rPr>
          <w:rFonts w:asciiTheme="minorEastAsia" w:hAnsiTheme="minorEastAsia" w:eastAsiaTheme="minorEastAsia"/>
          <w:color w:val="auto"/>
          <w:highlight w:val="none"/>
        </w:rPr>
      </w:pPr>
    </w:p>
    <w:p>
      <w:pPr>
        <w:pStyle w:val="3"/>
        <w:spacing w:line="380" w:lineRule="exact"/>
        <w:rPr>
          <w:rFonts w:asciiTheme="minorEastAsia" w:hAnsiTheme="minorEastAsia" w:eastAsiaTheme="minorEastAsia"/>
          <w:color w:val="auto"/>
          <w:highlight w:val="none"/>
        </w:rPr>
      </w:pPr>
      <w:bookmarkStart w:id="76" w:name="_Toc246095462"/>
      <w:bookmarkStart w:id="77" w:name="_Toc246094918"/>
      <w:bookmarkStart w:id="78" w:name="_Toc246095524"/>
      <w:r>
        <w:rPr>
          <w:rFonts w:hint="eastAsia" w:asciiTheme="minorEastAsia" w:hAnsiTheme="minorEastAsia" w:eastAsiaTheme="minorEastAsia"/>
          <w:color w:val="auto"/>
          <w:highlight w:val="none"/>
        </w:rPr>
        <w:br w:type="page"/>
      </w:r>
    </w:p>
    <w:p>
      <w:pPr>
        <w:pStyle w:val="3"/>
        <w:spacing w:line="380" w:lineRule="exact"/>
        <w:rPr>
          <w:rFonts w:asciiTheme="minorEastAsia" w:hAnsiTheme="minorEastAsia" w:eastAsiaTheme="minorEastAsia"/>
          <w:color w:val="auto"/>
          <w:highlight w:val="none"/>
        </w:rPr>
      </w:pPr>
      <w:bookmarkStart w:id="79" w:name="_Toc7192552"/>
      <w:r>
        <w:rPr>
          <w:rFonts w:hint="eastAsia" w:asciiTheme="minorEastAsia" w:hAnsiTheme="minorEastAsia" w:eastAsiaTheme="minorEastAsia"/>
          <w:color w:val="auto"/>
          <w:highlight w:val="none"/>
        </w:rPr>
        <w:t xml:space="preserve">第四章  </w:t>
      </w:r>
      <w:bookmarkEnd w:id="76"/>
      <w:bookmarkEnd w:id="77"/>
      <w:bookmarkEnd w:id="78"/>
      <w:r>
        <w:rPr>
          <w:rFonts w:hint="eastAsia" w:asciiTheme="minorEastAsia" w:hAnsiTheme="minorEastAsia" w:eastAsiaTheme="minorEastAsia"/>
          <w:color w:val="auto"/>
          <w:highlight w:val="none"/>
        </w:rPr>
        <w:t>评审方法及评审标准</w:t>
      </w:r>
      <w:bookmarkEnd w:id="79"/>
    </w:p>
    <w:p>
      <w:pPr>
        <w:spacing w:after="0" w:line="400" w:lineRule="exact"/>
        <w:ind w:firstLine="482" w:firstLineChars="200"/>
        <w:outlineLvl w:val="1"/>
        <w:rPr>
          <w:rFonts w:cs="Arial" w:asciiTheme="minorEastAsia" w:hAnsiTheme="minorEastAsia" w:eastAsiaTheme="minorEastAsia"/>
          <w:b/>
          <w:bCs/>
          <w:color w:val="auto"/>
          <w:sz w:val="24"/>
          <w:highlight w:val="none"/>
        </w:rPr>
      </w:pPr>
      <w:bookmarkStart w:id="80" w:name="_Toc7192553"/>
      <w:r>
        <w:rPr>
          <w:rFonts w:hint="eastAsia" w:cs="Arial" w:asciiTheme="minorEastAsia" w:hAnsiTheme="minorEastAsia" w:eastAsiaTheme="minorEastAsia"/>
          <w:b/>
          <w:bCs/>
          <w:color w:val="auto"/>
          <w:sz w:val="24"/>
          <w:highlight w:val="none"/>
        </w:rPr>
        <w:t>一、评审原则</w:t>
      </w:r>
      <w:bookmarkEnd w:id="80"/>
    </w:p>
    <w:p>
      <w:pPr>
        <w:spacing w:after="0" w:line="400" w:lineRule="exact"/>
        <w:ind w:firstLine="480" w:firstLineChars="200"/>
        <w:rPr>
          <w:rFonts w:cs="Arial" w:asciiTheme="minorEastAsia" w:hAnsiTheme="minorEastAsia" w:eastAsiaTheme="minorEastAsia"/>
          <w:bCs/>
          <w:color w:val="auto"/>
          <w:sz w:val="24"/>
          <w:highlight w:val="none"/>
        </w:rPr>
      </w:pPr>
      <w:r>
        <w:rPr>
          <w:rFonts w:hint="eastAsia" w:cs="Arial" w:asciiTheme="minorEastAsia" w:hAnsiTheme="minorEastAsia" w:eastAsiaTheme="minorEastAsia"/>
          <w:color w:val="auto"/>
          <w:sz w:val="24"/>
          <w:highlight w:val="none"/>
        </w:rPr>
        <w:t>1．</w:t>
      </w:r>
      <w:r>
        <w:rPr>
          <w:rFonts w:hint="eastAsia" w:cs="Arial" w:asciiTheme="minorEastAsia" w:hAnsiTheme="minorEastAsia" w:eastAsiaTheme="minorEastAsia"/>
          <w:bCs/>
          <w:color w:val="auto"/>
          <w:sz w:val="24"/>
          <w:highlight w:val="none"/>
        </w:rPr>
        <w:t>谈判小组成员构成：本采购项目的谈判小组成员分别由依法抽取的政府采购评审专家、采购人代表共三人及以上单数构成，其中政府采购评审专家人数不少于谈判小组成员总数的三分之二。</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r>
        <w:rPr>
          <w:rFonts w:hint="eastAsia" w:cs="Arial" w:asciiTheme="minorEastAsia" w:hAnsiTheme="minorEastAsia" w:eastAsiaTheme="minorEastAsia"/>
          <w:bCs/>
          <w:color w:val="auto"/>
          <w:sz w:val="24"/>
          <w:highlight w:val="none"/>
        </w:rPr>
        <w:t>评审依据：谈判小组将以竞争性谈判文件为评标依据，对供应商的响应文件进行资格性及符合性审查，以确定其是否符合资格条件及满足采购文件的实质性要求。</w:t>
      </w:r>
    </w:p>
    <w:p>
      <w:pPr>
        <w:spacing w:after="0" w:line="400" w:lineRule="exact"/>
        <w:ind w:firstLine="480" w:firstLineChars="200"/>
        <w:rPr>
          <w:rFonts w:cs="Arial" w:asciiTheme="minorEastAsia" w:hAnsiTheme="minorEastAsia" w:eastAsiaTheme="minorEastAsia"/>
          <w:bCs/>
          <w:color w:val="auto"/>
          <w:sz w:val="24"/>
          <w:highlight w:val="none"/>
        </w:rPr>
      </w:pPr>
      <w:r>
        <w:rPr>
          <w:rFonts w:hint="eastAsia" w:cs="Arial" w:asciiTheme="minorEastAsia" w:hAnsiTheme="minorEastAsia" w:eastAsiaTheme="minorEastAsia"/>
          <w:color w:val="auto"/>
          <w:sz w:val="24"/>
          <w:highlight w:val="none"/>
        </w:rPr>
        <w:t>3．</w:t>
      </w:r>
      <w:r>
        <w:rPr>
          <w:rFonts w:hint="eastAsia" w:cs="Arial" w:asciiTheme="minorEastAsia" w:hAnsiTheme="minorEastAsia" w:eastAsiaTheme="minorEastAsia"/>
          <w:bCs/>
          <w:color w:val="auto"/>
          <w:sz w:val="24"/>
          <w:highlight w:val="none"/>
        </w:rPr>
        <w:t>评审方法：最低评标价法。</w:t>
      </w:r>
    </w:p>
    <w:p>
      <w:pPr>
        <w:spacing w:after="0" w:line="400" w:lineRule="exact"/>
        <w:ind w:firstLine="480" w:firstLineChars="200"/>
        <w:rPr>
          <w:rFonts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4．评审程序</w:t>
      </w:r>
    </w:p>
    <w:p>
      <w:pPr>
        <w:widowControl w:val="0"/>
        <w:numPr>
          <w:ilvl w:val="0"/>
          <w:numId w:val="4"/>
        </w:numPr>
        <w:adjustRightInd/>
        <w:snapToGrid/>
        <w:spacing w:after="0" w:line="400" w:lineRule="exact"/>
        <w:ind w:left="0"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资格性检查；</w:t>
      </w:r>
    </w:p>
    <w:p>
      <w:pPr>
        <w:widowControl w:val="0"/>
        <w:numPr>
          <w:ilvl w:val="0"/>
          <w:numId w:val="4"/>
        </w:numPr>
        <w:adjustRightInd/>
        <w:snapToGrid/>
        <w:spacing w:after="0" w:line="400" w:lineRule="exact"/>
        <w:ind w:left="0"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符合性检查；</w:t>
      </w:r>
    </w:p>
    <w:p>
      <w:pPr>
        <w:widowControl w:val="0"/>
        <w:numPr>
          <w:ilvl w:val="0"/>
          <w:numId w:val="4"/>
        </w:numPr>
        <w:adjustRightInd/>
        <w:snapToGrid/>
        <w:spacing w:after="0" w:line="400" w:lineRule="exact"/>
        <w:ind w:left="0"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bCs/>
          <w:color w:val="auto"/>
          <w:sz w:val="24"/>
          <w:highlight w:val="none"/>
        </w:rPr>
        <w:t>谈判；</w:t>
      </w:r>
    </w:p>
    <w:p>
      <w:pPr>
        <w:widowControl w:val="0"/>
        <w:numPr>
          <w:ilvl w:val="0"/>
          <w:numId w:val="4"/>
        </w:numPr>
        <w:adjustRightInd/>
        <w:snapToGrid/>
        <w:spacing w:after="0" w:line="400" w:lineRule="exact"/>
        <w:ind w:left="0"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bCs/>
          <w:color w:val="auto"/>
          <w:sz w:val="24"/>
          <w:highlight w:val="none"/>
        </w:rPr>
        <w:t>重新提交响应文件（如谈判文件有实质性变动或谈判后确定最终设计解决方案）；</w:t>
      </w:r>
    </w:p>
    <w:p>
      <w:pPr>
        <w:widowControl w:val="0"/>
        <w:numPr>
          <w:ilvl w:val="0"/>
          <w:numId w:val="4"/>
        </w:numPr>
        <w:adjustRightInd/>
        <w:snapToGrid/>
        <w:spacing w:after="0" w:line="400" w:lineRule="exact"/>
        <w:ind w:left="0"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bCs/>
          <w:color w:val="auto"/>
          <w:sz w:val="24"/>
          <w:highlight w:val="none"/>
        </w:rPr>
        <w:t>最后报价；</w:t>
      </w:r>
    </w:p>
    <w:p>
      <w:pPr>
        <w:widowControl w:val="0"/>
        <w:numPr>
          <w:ilvl w:val="0"/>
          <w:numId w:val="4"/>
        </w:numPr>
        <w:adjustRightInd/>
        <w:snapToGrid/>
        <w:spacing w:after="0" w:line="400" w:lineRule="exact"/>
        <w:ind w:left="0"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bCs/>
          <w:color w:val="auto"/>
          <w:sz w:val="24"/>
          <w:highlight w:val="none"/>
        </w:rPr>
        <w:t>推荐成交候选供应商名单。</w:t>
      </w:r>
    </w:p>
    <w:p>
      <w:pPr>
        <w:spacing w:after="0" w:line="400" w:lineRule="exact"/>
        <w:ind w:firstLine="482" w:firstLineChars="200"/>
        <w:outlineLvl w:val="1"/>
        <w:rPr>
          <w:rFonts w:cs="Arial" w:asciiTheme="minorEastAsia" w:hAnsiTheme="minorEastAsia" w:eastAsiaTheme="minorEastAsia"/>
          <w:b/>
          <w:bCs/>
          <w:color w:val="auto"/>
          <w:sz w:val="24"/>
          <w:highlight w:val="none"/>
        </w:rPr>
      </w:pPr>
      <w:bookmarkStart w:id="81" w:name="_Toc7192554"/>
      <w:r>
        <w:rPr>
          <w:rFonts w:hint="eastAsia" w:cs="Arial" w:asciiTheme="minorEastAsia" w:hAnsiTheme="minorEastAsia" w:eastAsiaTheme="minorEastAsia"/>
          <w:b/>
          <w:bCs/>
          <w:color w:val="auto"/>
          <w:sz w:val="24"/>
          <w:highlight w:val="none"/>
        </w:rPr>
        <w:t>二、评审标准</w:t>
      </w:r>
      <w:bookmarkEnd w:id="81"/>
    </w:p>
    <w:p>
      <w:pPr>
        <w:spacing w:after="0" w:line="400" w:lineRule="exact"/>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1、资格性检查</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由谈判小组对所有供应商的响应文件进行资格审查。以确定供应商是否具备竞标资格。资格性检查表如下，缺少任何一项或有任何一项不合格者，其资格性审查视为不合格。</w:t>
      </w:r>
    </w:p>
    <w:tbl>
      <w:tblPr>
        <w:tblStyle w:val="37"/>
        <w:tblW w:w="9721" w:type="dxa"/>
        <w:jc w:val="center"/>
        <w:tblLayout w:type="autofit"/>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审查法人或者其他组织的营业执照等证明文件、自然人的身份证明。须按以下要求提供，材料须有效。</w:t>
            </w:r>
          </w:p>
          <w:p>
            <w:pPr>
              <w:adjustRightInd/>
              <w:snapToGrid/>
              <w:spacing w:after="0"/>
              <w:ind w:firstLine="4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审查供应商201</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年度的财务报表（账务报表至少包含资产负债表、利润表、现金流量表及其附注）复印件</w:t>
            </w:r>
            <w:r>
              <w:rPr>
                <w:rFonts w:hint="eastAsia" w:cs="宋体" w:asciiTheme="minorEastAsia" w:hAnsiTheme="minorEastAsia" w:eastAsiaTheme="minorEastAsia"/>
                <w:color w:val="auto"/>
                <w:sz w:val="24"/>
                <w:highlight w:val="none"/>
              </w:rPr>
              <w:t>（新成立的公司提供公司成立日之后次月起到响应文件递交截止前一个月的财务报表复印件）</w:t>
            </w:r>
            <w:r>
              <w:rPr>
                <w:rFonts w:hint="eastAsia" w:cs="宋体" w:asciiTheme="minorEastAsia" w:hAnsiTheme="minorEastAsia" w:eastAsiaTheme="minorEastAsia"/>
                <w:color w:val="auto"/>
                <w:sz w:val="24"/>
                <w:szCs w:val="24"/>
                <w:highlight w:val="none"/>
              </w:rPr>
              <w:t>或供应商提交响应文件截止之日前三个月内其基本开户银行出具的银行资信证明</w:t>
            </w:r>
            <w:r>
              <w:rPr>
                <w:rFonts w:hint="eastAsia" w:cs="宋体" w:asciiTheme="minorEastAsia" w:hAnsiTheme="minorEastAsia" w:eastAsiaTheme="minorEastAsia"/>
                <w:color w:val="auto"/>
                <w:sz w:val="24"/>
                <w:highlight w:val="none"/>
              </w:rPr>
              <w:t>（仅提供银行出具的存款证明不能作为其银行资信证明）</w:t>
            </w:r>
            <w:r>
              <w:rPr>
                <w:rFonts w:hint="eastAsia" w:cs="宋体" w:asciiTheme="minorEastAsia" w:hAnsiTheme="minorEastAsia" w:eastAsiaTheme="minorEastAsia"/>
                <w:color w:val="auto"/>
                <w:sz w:val="24"/>
                <w:szCs w:val="24"/>
                <w:highlight w:val="none"/>
              </w:rPr>
              <w:t xml:space="preserve">复印件。 </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①审查提交响应文件截止之日前三个月内任意一个月的依法缴纳税费证明复印件</w:t>
            </w:r>
            <w:r>
              <w:rPr>
                <w:rFonts w:hint="eastAsia" w:cs="宋体" w:asciiTheme="minorEastAsia" w:hAnsiTheme="minorEastAsia" w:eastAsiaTheme="minorEastAsia"/>
                <w:color w:val="auto"/>
                <w:sz w:val="24"/>
                <w:highlight w:val="none"/>
              </w:rPr>
              <w:t>（新成立的且不足一个月的企业按实际提供）</w:t>
            </w:r>
            <w:r>
              <w:rPr>
                <w:rFonts w:hint="eastAsia" w:cs="宋体" w:asciiTheme="minorEastAsia" w:hAnsiTheme="minorEastAsia" w:eastAsiaTheme="minorEastAsia"/>
                <w:color w:val="auto"/>
                <w:sz w:val="24"/>
                <w:szCs w:val="24"/>
                <w:highlight w:val="none"/>
              </w:rPr>
              <w:t>。</w:t>
            </w:r>
          </w:p>
          <w:p>
            <w:pPr>
              <w:adjustRightInd/>
              <w:snapToGrid/>
              <w:spacing w:after="0"/>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②审查提交响应文件截止之日前三个月内任意一个月的依法缴纳社会保险费证明记录复印件</w:t>
            </w:r>
            <w:r>
              <w:rPr>
                <w:rFonts w:hint="eastAsia" w:cs="宋体" w:asciiTheme="minorEastAsia" w:hAnsiTheme="minorEastAsia" w:eastAsiaTheme="minorEastAsia"/>
                <w:color w:val="auto"/>
                <w:sz w:val="24"/>
                <w:highlight w:val="none"/>
              </w:rPr>
              <w:t>（新成立的且不足一个月的企业按实际提供）</w:t>
            </w:r>
            <w:r>
              <w:rPr>
                <w:rFonts w:hint="eastAsia" w:cs="宋体" w:asciiTheme="minorEastAsia" w:hAnsiTheme="minorEastAsia" w:eastAsiaTheme="minorEastAsia"/>
                <w:color w:val="auto"/>
                <w:sz w:val="24"/>
                <w:szCs w:val="24"/>
                <w:highlight w:val="none"/>
              </w:rPr>
              <w:t>。</w:t>
            </w:r>
          </w:p>
          <w:p>
            <w:pPr>
              <w:adjustRightInd/>
              <w:snapToGrid/>
              <w:spacing w:after="0"/>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A</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审核要求：供应商未被列入失信被执行人、重大税收违法案件当事人名单、政府采购严重违法失信行为记录名单。</w:t>
            </w:r>
          </w:p>
          <w:p>
            <w:pPr>
              <w:adjustRightInd/>
              <w:snapToGrid/>
              <w:spacing w:after="0"/>
              <w:ind w:firstLine="4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B、审核内容：供应商在“信用中国”网站（www.creditchina.gov.cn）、中国政府采购网（www.ccgp.gov.cn）的主体信用记录</w:t>
            </w:r>
            <w:r>
              <w:rPr>
                <w:rFonts w:cs="宋体" w:asciiTheme="minorEastAsia" w:hAnsiTheme="minorEastAsia" w:eastAsiaTheme="minorEastAsia"/>
                <w:color w:val="auto"/>
                <w:sz w:val="24"/>
                <w:szCs w:val="24"/>
                <w:highlight w:val="none"/>
              </w:rPr>
              <w:t>查询结果或界面截图（</w:t>
            </w:r>
            <w:r>
              <w:rPr>
                <w:rFonts w:hint="eastAsia" w:cs="仿宋" w:asciiTheme="minorEastAsia" w:hAnsiTheme="minorEastAsia" w:eastAsiaTheme="minorEastAsia"/>
                <w:color w:val="auto"/>
                <w:sz w:val="24"/>
                <w:highlight w:val="none"/>
              </w:rPr>
              <w:t>由采购人或采购代理机构对供应商进行信用信息查询，并将查询结果提供给谈判小组</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w:t>
            </w:r>
          </w:p>
          <w:p>
            <w:pPr>
              <w:adjustRightInd/>
              <w:snapToGrid/>
              <w:spacing w:after="0"/>
              <w:ind w:firstLine="4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①“信用中国”查询内容：失信被执行人、重大税收违法案件当事人名单、政府采购严重违法失信行为记录名单</w:t>
            </w:r>
            <w:r>
              <w:rPr>
                <w:rFonts w:cs="宋体" w:asciiTheme="minorEastAsia" w:hAnsiTheme="minorEastAsia" w:eastAsiaTheme="minorEastAsia"/>
                <w:color w:val="auto"/>
                <w:sz w:val="24"/>
                <w:szCs w:val="24"/>
                <w:highlight w:val="none"/>
              </w:rPr>
              <w:t>查询结果或界面截图</w:t>
            </w:r>
            <w:r>
              <w:rPr>
                <w:rFonts w:hint="eastAsia" w:cs="宋体" w:asciiTheme="minorEastAsia" w:hAnsiTheme="minorEastAsia" w:eastAsiaTheme="minorEastAsia"/>
                <w:color w:val="auto"/>
                <w:sz w:val="24"/>
                <w:szCs w:val="24"/>
                <w:highlight w:val="none"/>
              </w:rPr>
              <w:t>；查询或打印截止时点：</w:t>
            </w:r>
            <w:r>
              <w:rPr>
                <w:rFonts w:hint="eastAsia" w:cs="仿宋" w:asciiTheme="minorEastAsia" w:hAnsiTheme="minorEastAsia" w:eastAsiaTheme="minorEastAsia"/>
                <w:color w:val="auto"/>
                <w:sz w:val="24"/>
                <w:highlight w:val="none"/>
              </w:rPr>
              <w:t>递交响应文件截止时间</w:t>
            </w:r>
            <w:r>
              <w:rPr>
                <w:rFonts w:hint="eastAsia" w:cs="宋体" w:asciiTheme="minorEastAsia" w:hAnsiTheme="minorEastAsia" w:eastAsiaTheme="minorEastAsia"/>
                <w:color w:val="auto"/>
                <w:sz w:val="24"/>
                <w:szCs w:val="24"/>
                <w:highlight w:val="none"/>
              </w:rPr>
              <w:t>。</w:t>
            </w:r>
          </w:p>
          <w:p>
            <w:pPr>
              <w:adjustRightInd/>
              <w:snapToGrid/>
              <w:spacing w:after="0"/>
              <w:ind w:firstLine="4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②“中国政府采购网”的查询内容：政府采购严重违法失信行为信息记录</w:t>
            </w:r>
            <w:r>
              <w:rPr>
                <w:rFonts w:cs="宋体" w:asciiTheme="minorEastAsia" w:hAnsiTheme="minorEastAsia" w:eastAsiaTheme="minorEastAsia"/>
                <w:color w:val="auto"/>
                <w:sz w:val="24"/>
                <w:szCs w:val="24"/>
                <w:highlight w:val="none"/>
              </w:rPr>
              <w:t>（查询界面截图须显示</w:t>
            </w:r>
            <w:r>
              <w:rPr>
                <w:rFonts w:hint="eastAsia" w:cs="宋体" w:asciiTheme="minorEastAsia" w:hAnsiTheme="minorEastAsia" w:eastAsiaTheme="minorEastAsia"/>
                <w:color w:val="auto"/>
                <w:sz w:val="24"/>
                <w:szCs w:val="24"/>
                <w:highlight w:val="none"/>
              </w:rPr>
              <w:t>投标人</w:t>
            </w:r>
            <w:r>
              <w:rPr>
                <w:rFonts w:cs="宋体" w:asciiTheme="minorEastAsia" w:hAnsiTheme="minorEastAsia" w:eastAsiaTheme="minorEastAsia"/>
                <w:color w:val="auto"/>
                <w:sz w:val="24"/>
                <w:szCs w:val="24"/>
                <w:highlight w:val="none"/>
              </w:rPr>
              <w:t>名称以及查询结果）；查询时间：</w:t>
            </w:r>
            <w:r>
              <w:rPr>
                <w:rFonts w:hint="eastAsia" w:cs="仿宋" w:asciiTheme="minorEastAsia" w:hAnsiTheme="minorEastAsia" w:eastAsiaTheme="minorEastAsia"/>
                <w:color w:val="auto"/>
                <w:sz w:val="24"/>
                <w:highlight w:val="none"/>
              </w:rPr>
              <w:t>递交响应文件截止时间前</w:t>
            </w:r>
            <w:r>
              <w:rPr>
                <w:rFonts w:cs="仿宋" w:asciiTheme="minorEastAsia" w:hAnsiTheme="minorEastAsia" w:eastAsiaTheme="minorEastAsia"/>
                <w:color w:val="auto"/>
                <w:sz w:val="24"/>
                <w:highlight w:val="none"/>
              </w:rPr>
              <w:t>三年</w:t>
            </w:r>
            <w:r>
              <w:rPr>
                <w:rFonts w:hint="eastAsia" w:cs="仿宋" w:asciiTheme="minorEastAsia" w:hAnsiTheme="minorEastAsia" w:eastAsiaTheme="minorEastAsia"/>
                <w:color w:val="auto"/>
                <w:sz w:val="24"/>
                <w:highlight w:val="none"/>
              </w:rPr>
              <w:t>内</w:t>
            </w:r>
            <w:r>
              <w:rPr>
                <w:rFonts w:cs="宋体" w:asciiTheme="minorEastAsia" w:hAnsiTheme="minorEastAsia" w:eastAsiaTheme="minorEastAsia"/>
                <w:color w:val="auto"/>
                <w:sz w:val="24"/>
                <w:szCs w:val="24"/>
                <w:highlight w:val="none"/>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须符合“供应商须知前附表”3.1的要求</w:t>
            </w:r>
          </w:p>
        </w:tc>
      </w:tr>
    </w:tbl>
    <w:p>
      <w:pPr>
        <w:spacing w:after="0" w:line="400" w:lineRule="exact"/>
        <w:ind w:firstLine="480" w:firstLineChars="200"/>
        <w:rPr>
          <w:rFonts w:cs="Arial" w:asciiTheme="minorEastAsia" w:hAnsiTheme="minorEastAsia" w:eastAsiaTheme="minorEastAsia"/>
          <w:color w:val="auto"/>
          <w:sz w:val="24"/>
          <w:highlight w:val="none"/>
        </w:rPr>
      </w:pPr>
    </w:p>
    <w:p>
      <w:pPr>
        <w:spacing w:after="0" w:line="400" w:lineRule="exact"/>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 xml:space="preserve">2、符合性检查 </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7"/>
        <w:tblW w:w="9813" w:type="dxa"/>
        <w:jc w:val="center"/>
        <w:tblLayout w:type="autofit"/>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序号</w:t>
            </w:r>
          </w:p>
        </w:tc>
        <w:tc>
          <w:tcPr>
            <w:tcW w:w="296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评审因素</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有效性审查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响应文件签署</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法定代表人身份证明及授权委托书</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响应文件或竞标报价唯一性</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附加条件</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响应文件不得含有招标不能接受的附加条件。</w:t>
            </w:r>
          </w:p>
        </w:tc>
      </w:tr>
      <w:tr>
        <w:tblPrEx>
          <w:tblCellMar>
            <w:top w:w="0" w:type="dxa"/>
            <w:left w:w="108" w:type="dxa"/>
            <w:bottom w:w="0" w:type="dxa"/>
            <w:right w:w="108" w:type="dxa"/>
          </w:tblCellMar>
        </w:tblPrEx>
        <w:trPr>
          <w:trHeight w:val="81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竞标报价</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报价超出采购预算金额或最高限价（如有）的，竞标无效。提交选择性报价的，竞标无效。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联合体供应商（如允许） </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提交联合体协议书，并明确联合体牵头人，并符合采购文件规定。</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完整性审查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响应文件份数</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响应文件内容</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对采购文件的响应程度审查 </w:t>
            </w: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实质性条款响应</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对采购文件中所有标注“▲”号的实质性条款要求响应均无负偏离。</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第三章《项目采购需求和说明》允许负偏离项数</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非“▲”号要求或技术指标发生负偏离或不响应达到“项目采购需求和说明”规定的项数的，竞标无效。</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样品或演示（如有）</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不满足样品或演示的评审标准，竞标无效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响应文件格式</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响应文件未按第二章第10.1项和第六章“响应文件格式”的规定编写和提供。</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竞标保证金</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足额、及时缴纳竞标保证金</w:t>
            </w:r>
          </w:p>
        </w:tc>
      </w:tr>
      <w:tr>
        <w:tblPrEx>
          <w:tblCellMar>
            <w:top w:w="0" w:type="dxa"/>
            <w:left w:w="108" w:type="dxa"/>
            <w:bottom w:w="0" w:type="dxa"/>
            <w:right w:w="108"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exact"/>
              <w:jc w:val="both"/>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竞标有效期 </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exact"/>
              <w:jc w:val="both"/>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    满足采购文件规定并在第六章“响应文件格式”谈判书做出响应的。</w:t>
            </w:r>
          </w:p>
        </w:tc>
      </w:tr>
    </w:tbl>
    <w:p>
      <w:pPr>
        <w:spacing w:after="0" w:line="400" w:lineRule="exact"/>
        <w:ind w:firstLine="480" w:firstLineChars="200"/>
        <w:rPr>
          <w:rFonts w:cs="Arial" w:asciiTheme="minorEastAsia" w:hAnsiTheme="minorEastAsia" w:eastAsiaTheme="minorEastAsia"/>
          <w:color w:val="auto"/>
          <w:sz w:val="24"/>
          <w:highlight w:val="none"/>
        </w:rPr>
      </w:pPr>
    </w:p>
    <w:p>
      <w:pPr>
        <w:spacing w:after="0" w:line="400" w:lineRule="exact"/>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3、详细评审</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谈判小组按谈判文件规定的程序与供应商进行谈判。对实质性响应谈判文件的供应商最后报价进行评审。</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（1）谈判小组将依照本谈判文件相关规定对质量和服务均能满足竞争性谈判实质性要求的供应商所提交的最后报价进行政策性扣除，即</w:t>
      </w:r>
      <w:r>
        <w:rPr>
          <w:rFonts w:hint="eastAsia" w:cs="Arial" w:asciiTheme="minorEastAsia" w:hAnsiTheme="minorEastAsia" w:eastAsiaTheme="minorEastAsia"/>
          <w:color w:val="auto"/>
          <w:sz w:val="24"/>
          <w:highlight w:val="none"/>
          <w:u w:val="single"/>
        </w:rPr>
        <w:t>评标价=最后报价×（1—小型和微型企业政策性扣除）</w:t>
      </w:r>
      <w:r>
        <w:rPr>
          <w:rFonts w:hint="eastAsia" w:cs="Arial" w:asciiTheme="minorEastAsia" w:hAnsiTheme="minorEastAsia" w:eastAsiaTheme="minorEastAsia"/>
          <w:color w:val="auto"/>
          <w:sz w:val="24"/>
          <w:highlight w:val="none"/>
        </w:rPr>
        <w:t>。依据</w:t>
      </w:r>
      <w:r>
        <w:rPr>
          <w:rFonts w:hint="eastAsia" w:cs="Arial" w:asciiTheme="minorEastAsia" w:hAnsiTheme="minorEastAsia" w:eastAsiaTheme="minorEastAsia"/>
          <w:color w:val="auto"/>
          <w:sz w:val="24"/>
          <w:highlight w:val="none"/>
          <w:u w:val="single"/>
        </w:rPr>
        <w:t>评标价</w:t>
      </w:r>
      <w:r>
        <w:rPr>
          <w:rFonts w:hint="eastAsia" w:cs="Arial" w:asciiTheme="minorEastAsia" w:hAnsiTheme="minorEastAsia" w:eastAsiaTheme="minorEastAsia"/>
          <w:color w:val="auto"/>
          <w:sz w:val="24"/>
          <w:highlight w:val="none"/>
        </w:rPr>
        <w:t>按照由低到高的顺序提出3名以上成交候选人，并编写评审报告。</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（2）小型和微型企业最终报价扣除计算</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①按照《政府采购促进中小企业发展暂行办法》（财库[2011]181号），对小型和微型企业产品的最后报价给予6%的扣除，扣除后的价格为评标报价，即评标报价=最终报价×（1-6%）；大中型企业与小型、微型企业组成联合体竞标，其中小型、微型企业的协议合同金额占到联合体协议合同总金额30%以上的，联合体最终报价给予2%的扣除，扣除后的价格为评标报价，即评标报价=最终报价×（1-2%）。</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②按照《财政部、司法部关于政府采购支持监狱企业发展有关问题的通知》（财库〔2014〕68号）之规定，监狱企业视同小型、微型企业，享受预留份额、评审中价格扣除等政府采购政策。</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除上述情况外，评标价=最后报价</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3</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谈判小组从质量和服务均能满足</w:t>
      </w:r>
      <w:r>
        <w:rPr>
          <w:rFonts w:hint="eastAsia" w:cs="Arial" w:asciiTheme="minorEastAsia" w:hAnsiTheme="minorEastAsia" w:eastAsiaTheme="minorEastAsia"/>
          <w:color w:val="auto"/>
          <w:sz w:val="24"/>
          <w:highlight w:val="none"/>
        </w:rPr>
        <w:t>谈判</w:t>
      </w:r>
      <w:r>
        <w:rPr>
          <w:rFonts w:cs="Arial" w:asciiTheme="minorEastAsia" w:hAnsiTheme="minorEastAsia" w:eastAsiaTheme="minorEastAsia"/>
          <w:color w:val="auto"/>
          <w:sz w:val="24"/>
          <w:highlight w:val="none"/>
        </w:rPr>
        <w:t>文件实质性响应要求的</w:t>
      </w:r>
      <w:r>
        <w:rPr>
          <w:rFonts w:hint="eastAsia" w:cs="Arial" w:asciiTheme="minorEastAsia" w:hAnsiTheme="minorEastAsia" w:eastAsiaTheme="minorEastAsia"/>
          <w:color w:val="auto"/>
          <w:sz w:val="24"/>
          <w:highlight w:val="none"/>
        </w:rPr>
        <w:t>供应商</w:t>
      </w:r>
      <w:r>
        <w:rPr>
          <w:rFonts w:cs="Arial" w:asciiTheme="minorEastAsia" w:hAnsiTheme="minorEastAsia" w:eastAsiaTheme="minorEastAsia"/>
          <w:color w:val="auto"/>
          <w:sz w:val="24"/>
          <w:highlight w:val="none"/>
        </w:rPr>
        <w:t>中，按照</w:t>
      </w:r>
      <w:r>
        <w:rPr>
          <w:rFonts w:hint="eastAsia" w:cs="Arial" w:asciiTheme="minorEastAsia" w:hAnsiTheme="minorEastAsia" w:eastAsiaTheme="minorEastAsia"/>
          <w:color w:val="auto"/>
          <w:sz w:val="24"/>
          <w:highlight w:val="none"/>
        </w:rPr>
        <w:t>最后评标价</w:t>
      </w:r>
      <w:r>
        <w:rPr>
          <w:rFonts w:cs="Arial" w:asciiTheme="minorEastAsia" w:hAnsiTheme="minorEastAsia" w:eastAsiaTheme="minorEastAsia"/>
          <w:color w:val="auto"/>
          <w:sz w:val="24"/>
          <w:highlight w:val="none"/>
        </w:rPr>
        <w:t>由低到高的顺序提出3名以上成交候选人</w:t>
      </w:r>
      <w:r>
        <w:rPr>
          <w:rFonts w:hint="eastAsia" w:cs="Arial" w:asciiTheme="minorEastAsia" w:hAnsiTheme="minorEastAsia" w:eastAsiaTheme="minorEastAsia"/>
          <w:color w:val="auto"/>
          <w:sz w:val="24"/>
          <w:highlight w:val="none"/>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spacing w:after="0" w:line="4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4</w:t>
      </w:r>
      <w:r>
        <w:rPr>
          <w:rFonts w:hint="eastAsia" w:cs="Arial" w:asciiTheme="minorEastAsia" w:hAnsiTheme="minorEastAsia" w:eastAsiaTheme="minorEastAsia"/>
          <w:color w:val="auto"/>
          <w:sz w:val="24"/>
          <w:highlight w:val="none"/>
        </w:rPr>
        <w:t>）成交价格=成交供应商的最后报价。</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）谈判小组完成评标后，向采购人提交书面评审报告。</w:t>
      </w:r>
    </w:p>
    <w:p>
      <w:pPr>
        <w:spacing w:after="0" w:line="400" w:lineRule="exact"/>
        <w:ind w:firstLine="482" w:firstLineChars="200"/>
        <w:outlineLvl w:val="1"/>
        <w:rPr>
          <w:rFonts w:cs="Arial" w:asciiTheme="minorEastAsia" w:hAnsiTheme="minorEastAsia" w:eastAsiaTheme="minorEastAsia"/>
          <w:b/>
          <w:bCs/>
          <w:color w:val="auto"/>
          <w:sz w:val="24"/>
          <w:highlight w:val="none"/>
        </w:rPr>
      </w:pPr>
      <w:bookmarkStart w:id="82" w:name="_Toc7192555"/>
      <w:r>
        <w:rPr>
          <w:rFonts w:hint="eastAsia" w:cs="Arial" w:asciiTheme="minorEastAsia" w:hAnsiTheme="minorEastAsia" w:eastAsiaTheme="minorEastAsia"/>
          <w:b/>
          <w:bCs/>
          <w:color w:val="auto"/>
          <w:sz w:val="24"/>
          <w:highlight w:val="none"/>
        </w:rPr>
        <w:t>三、确定成交供应商</w:t>
      </w:r>
      <w:bookmarkEnd w:id="82"/>
    </w:p>
    <w:p>
      <w:pPr>
        <w:pStyle w:val="20"/>
        <w:tabs>
          <w:tab w:val="left" w:pos="4214"/>
        </w:tabs>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1、采购人应当确定谈判小组推荐排名第一的供应商为成交供应商。</w:t>
      </w:r>
    </w:p>
    <w:p>
      <w:pPr>
        <w:pStyle w:val="20"/>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bookmarkStart w:id="83" w:name="_Toc430011367"/>
      <w:r>
        <w:rPr>
          <w:rFonts w:hint="eastAsia" w:asciiTheme="minorEastAsia" w:hAnsiTheme="minorEastAsia" w:eastAsiaTheme="minorEastAsia"/>
          <w:color w:val="auto"/>
          <w:sz w:val="24"/>
          <w:szCs w:val="24"/>
          <w:highlight w:val="none"/>
        </w:rPr>
        <w:t>如排名第一的成交候选人拒绝与采购人签订合同的，采购人按“供应商须知”第31.3款处理。</w:t>
      </w:r>
    </w:p>
    <w:bookmarkEnd w:id="83"/>
    <w:p>
      <w:pPr>
        <w:spacing w:after="0" w:line="400" w:lineRule="exact"/>
        <w:ind w:firstLine="440" w:firstLineChars="200"/>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sectPr>
          <w:pgSz w:w="11907" w:h="16840"/>
          <w:pgMar w:top="1077" w:right="1275" w:bottom="1418" w:left="1077" w:header="624" w:footer="737" w:gutter="0"/>
          <w:cols w:space="720" w:num="1"/>
          <w:docGrid w:linePitch="312" w:charSpace="0"/>
        </w:sectPr>
      </w:pPr>
      <w:bookmarkStart w:id="84" w:name="_Toc246095463"/>
      <w:bookmarkStart w:id="85" w:name="_Toc246094919"/>
      <w:bookmarkStart w:id="86" w:name="_Toc246095525"/>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3"/>
        <w:rPr>
          <w:rFonts w:asciiTheme="minorEastAsia" w:hAnsiTheme="minorEastAsia" w:eastAsiaTheme="minorEastAsia"/>
          <w:color w:val="auto"/>
          <w:highlight w:val="none"/>
        </w:rPr>
      </w:pPr>
      <w:bookmarkStart w:id="87" w:name="_Toc7192556"/>
      <w:r>
        <w:rPr>
          <w:rFonts w:hint="eastAsia" w:asciiTheme="minorEastAsia" w:hAnsiTheme="minorEastAsia" w:eastAsiaTheme="minorEastAsia"/>
          <w:color w:val="auto"/>
          <w:highlight w:val="none"/>
        </w:rPr>
        <w:t>第五章  合同条款</w:t>
      </w:r>
      <w:bookmarkEnd w:id="84"/>
      <w:bookmarkEnd w:id="85"/>
      <w:bookmarkEnd w:id="86"/>
      <w:bookmarkEnd w:id="87"/>
    </w:p>
    <w:p>
      <w:pPr>
        <w:spacing w:line="5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spacing w:line="500" w:lineRule="exact"/>
        <w:jc w:val="center"/>
        <w:rPr>
          <w:rFonts w:asciiTheme="minorEastAsia" w:hAnsiTheme="minorEastAsia" w:eastAsiaTheme="minorEastAsia"/>
          <w:color w:val="auto"/>
          <w:highlight w:val="none"/>
        </w:rPr>
      </w:pPr>
    </w:p>
    <w:p>
      <w:pPr>
        <w:spacing w:line="500" w:lineRule="exact"/>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《广西壮族自治区政府采购合同》</w:t>
      </w:r>
    </w:p>
    <w:p>
      <w:pPr>
        <w:spacing w:line="500" w:lineRule="exact"/>
        <w:jc w:val="center"/>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合同编号：</w:t>
      </w:r>
    </w:p>
    <w:p>
      <w:pPr>
        <w:spacing w:after="0" w:line="4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采购人（甲方）  采 购 计 划 号</w:t>
      </w:r>
    </w:p>
    <w:p>
      <w:pPr>
        <w:spacing w:after="0"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 应 商（乙方）</w:t>
      </w:r>
    </w:p>
    <w:p>
      <w:pPr>
        <w:spacing w:after="0" w:line="4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p>
    <w:p>
      <w:pPr>
        <w:spacing w:after="0" w:line="4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项目编号：</w:t>
      </w:r>
    </w:p>
    <w:p>
      <w:pPr>
        <w:spacing w:after="0"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签订地点：</w:t>
      </w:r>
    </w:p>
    <w:p>
      <w:pPr>
        <w:spacing w:after="0" w:line="4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签订时间：</w:t>
      </w:r>
    </w:p>
    <w:p>
      <w:pPr>
        <w:spacing w:line="500" w:lineRule="exact"/>
        <w:rPr>
          <w:rFonts w:asciiTheme="minorEastAsia" w:hAnsiTheme="minorEastAsia" w:eastAsiaTheme="minorEastAsia"/>
          <w:color w:val="auto"/>
          <w:sz w:val="24"/>
          <w:highlight w:val="none"/>
          <w:u w:val="single"/>
        </w:rPr>
      </w:pP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根据《中华人民共和国政府采购法》、《中华人民共和国合同法》等法律、法规规定，按照采购文件的规定条款和中标（成交）供应商的响应文件及其承诺，甲乙双方签订本合同。</w:t>
      </w:r>
    </w:p>
    <w:p>
      <w:pPr>
        <w:spacing w:after="0"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第一条　合同标的</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1、供货一览表</w:t>
      </w:r>
    </w:p>
    <w:tbl>
      <w:tblPr>
        <w:tblStyle w:val="3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233"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货物名称</w:t>
            </w:r>
          </w:p>
        </w:tc>
        <w:tc>
          <w:tcPr>
            <w:tcW w:w="1059"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商标品牌</w:t>
            </w:r>
          </w:p>
        </w:tc>
        <w:tc>
          <w:tcPr>
            <w:tcW w:w="1233"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规格型号、参数</w:t>
            </w:r>
          </w:p>
        </w:tc>
        <w:tc>
          <w:tcPr>
            <w:tcW w:w="1210"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生产厂家</w:t>
            </w:r>
          </w:p>
        </w:tc>
        <w:tc>
          <w:tcPr>
            <w:tcW w:w="908"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c>
          <w:tcPr>
            <w:tcW w:w="668"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w:t>
            </w:r>
          </w:p>
        </w:tc>
        <w:tc>
          <w:tcPr>
            <w:tcW w:w="947"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单价</w:t>
            </w:r>
          </w:p>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（元）</w:t>
            </w:r>
          </w:p>
        </w:tc>
        <w:tc>
          <w:tcPr>
            <w:tcW w:w="1573" w:type="dxa"/>
            <w:vAlign w:val="center"/>
          </w:tcPr>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金额</w:t>
            </w:r>
          </w:p>
          <w:p>
            <w:pPr>
              <w:spacing w:after="0"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33" w:type="dxa"/>
            <w:vAlign w:val="center"/>
          </w:tcPr>
          <w:p>
            <w:pPr>
              <w:spacing w:line="500" w:lineRule="exact"/>
              <w:rPr>
                <w:rFonts w:asciiTheme="minorEastAsia" w:hAnsiTheme="minorEastAsia" w:eastAsiaTheme="minorEastAsia"/>
                <w:color w:val="auto"/>
                <w:sz w:val="24"/>
                <w:highlight w:val="none"/>
              </w:rPr>
            </w:pPr>
          </w:p>
        </w:tc>
        <w:tc>
          <w:tcPr>
            <w:tcW w:w="1059" w:type="dxa"/>
            <w:vAlign w:val="center"/>
          </w:tcPr>
          <w:p>
            <w:pPr>
              <w:spacing w:line="500" w:lineRule="exact"/>
              <w:rPr>
                <w:rFonts w:asciiTheme="minorEastAsia" w:hAnsiTheme="minorEastAsia" w:eastAsiaTheme="minorEastAsia"/>
                <w:color w:val="auto"/>
                <w:sz w:val="24"/>
                <w:highlight w:val="none"/>
              </w:rPr>
            </w:pPr>
          </w:p>
        </w:tc>
        <w:tc>
          <w:tcPr>
            <w:tcW w:w="1233" w:type="dxa"/>
            <w:vAlign w:val="center"/>
          </w:tcPr>
          <w:p>
            <w:pPr>
              <w:spacing w:line="500" w:lineRule="exact"/>
              <w:rPr>
                <w:rFonts w:asciiTheme="minorEastAsia" w:hAnsiTheme="minorEastAsia" w:eastAsiaTheme="minorEastAsia"/>
                <w:color w:val="auto"/>
                <w:sz w:val="24"/>
                <w:highlight w:val="none"/>
              </w:rPr>
            </w:pPr>
          </w:p>
        </w:tc>
        <w:tc>
          <w:tcPr>
            <w:tcW w:w="1210" w:type="dxa"/>
          </w:tcPr>
          <w:p>
            <w:pPr>
              <w:spacing w:line="500" w:lineRule="exact"/>
              <w:rPr>
                <w:rFonts w:asciiTheme="minorEastAsia" w:hAnsiTheme="minorEastAsia" w:eastAsiaTheme="minorEastAsia"/>
                <w:color w:val="auto"/>
                <w:sz w:val="24"/>
                <w:highlight w:val="none"/>
              </w:rPr>
            </w:pPr>
          </w:p>
        </w:tc>
        <w:tc>
          <w:tcPr>
            <w:tcW w:w="908" w:type="dxa"/>
          </w:tcPr>
          <w:p>
            <w:pPr>
              <w:spacing w:line="500" w:lineRule="exact"/>
              <w:rPr>
                <w:rFonts w:asciiTheme="minorEastAsia" w:hAnsiTheme="minorEastAsia" w:eastAsiaTheme="minorEastAsia"/>
                <w:color w:val="auto"/>
                <w:sz w:val="24"/>
                <w:highlight w:val="none"/>
              </w:rPr>
            </w:pPr>
          </w:p>
        </w:tc>
        <w:tc>
          <w:tcPr>
            <w:tcW w:w="668" w:type="dxa"/>
          </w:tcPr>
          <w:p>
            <w:pPr>
              <w:spacing w:line="500" w:lineRule="exact"/>
              <w:rPr>
                <w:rFonts w:asciiTheme="minorEastAsia" w:hAnsiTheme="minorEastAsia" w:eastAsiaTheme="minorEastAsia"/>
                <w:color w:val="auto"/>
                <w:sz w:val="24"/>
                <w:highlight w:val="none"/>
              </w:rPr>
            </w:pPr>
          </w:p>
        </w:tc>
        <w:tc>
          <w:tcPr>
            <w:tcW w:w="947" w:type="dxa"/>
            <w:vAlign w:val="center"/>
          </w:tcPr>
          <w:p>
            <w:pPr>
              <w:spacing w:line="500" w:lineRule="exact"/>
              <w:rPr>
                <w:rFonts w:asciiTheme="minorEastAsia" w:hAnsiTheme="minorEastAsia" w:eastAsiaTheme="minorEastAsia"/>
                <w:color w:val="auto"/>
                <w:sz w:val="24"/>
                <w:highlight w:val="none"/>
              </w:rPr>
            </w:pPr>
          </w:p>
        </w:tc>
        <w:tc>
          <w:tcPr>
            <w:tcW w:w="1573" w:type="dxa"/>
            <w:vAlign w:val="center"/>
          </w:tcPr>
          <w:p>
            <w:pPr>
              <w:spacing w:line="500" w:lineRule="exact"/>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33" w:type="dxa"/>
            <w:vAlign w:val="center"/>
          </w:tcPr>
          <w:p>
            <w:pPr>
              <w:spacing w:line="500" w:lineRule="exact"/>
              <w:rPr>
                <w:rFonts w:asciiTheme="minorEastAsia" w:hAnsiTheme="minorEastAsia" w:eastAsiaTheme="minorEastAsia"/>
                <w:color w:val="auto"/>
                <w:sz w:val="24"/>
                <w:highlight w:val="none"/>
              </w:rPr>
            </w:pPr>
          </w:p>
        </w:tc>
        <w:tc>
          <w:tcPr>
            <w:tcW w:w="1059" w:type="dxa"/>
            <w:vAlign w:val="center"/>
          </w:tcPr>
          <w:p>
            <w:pPr>
              <w:spacing w:line="500" w:lineRule="exact"/>
              <w:rPr>
                <w:rFonts w:asciiTheme="minorEastAsia" w:hAnsiTheme="minorEastAsia" w:eastAsiaTheme="minorEastAsia"/>
                <w:color w:val="auto"/>
                <w:sz w:val="24"/>
                <w:highlight w:val="none"/>
              </w:rPr>
            </w:pPr>
          </w:p>
        </w:tc>
        <w:tc>
          <w:tcPr>
            <w:tcW w:w="1233" w:type="dxa"/>
            <w:vAlign w:val="center"/>
          </w:tcPr>
          <w:p>
            <w:pPr>
              <w:spacing w:line="500" w:lineRule="exact"/>
              <w:rPr>
                <w:rFonts w:asciiTheme="minorEastAsia" w:hAnsiTheme="minorEastAsia" w:eastAsiaTheme="minorEastAsia"/>
                <w:color w:val="auto"/>
                <w:sz w:val="24"/>
                <w:highlight w:val="none"/>
              </w:rPr>
            </w:pPr>
          </w:p>
        </w:tc>
        <w:tc>
          <w:tcPr>
            <w:tcW w:w="1210" w:type="dxa"/>
          </w:tcPr>
          <w:p>
            <w:pPr>
              <w:spacing w:line="500" w:lineRule="exact"/>
              <w:rPr>
                <w:rFonts w:asciiTheme="minorEastAsia" w:hAnsiTheme="minorEastAsia" w:eastAsiaTheme="minorEastAsia"/>
                <w:color w:val="auto"/>
                <w:sz w:val="24"/>
                <w:highlight w:val="none"/>
              </w:rPr>
            </w:pPr>
          </w:p>
        </w:tc>
        <w:tc>
          <w:tcPr>
            <w:tcW w:w="908" w:type="dxa"/>
          </w:tcPr>
          <w:p>
            <w:pPr>
              <w:spacing w:line="500" w:lineRule="exact"/>
              <w:rPr>
                <w:rFonts w:asciiTheme="minorEastAsia" w:hAnsiTheme="minorEastAsia" w:eastAsiaTheme="minorEastAsia"/>
                <w:color w:val="auto"/>
                <w:sz w:val="24"/>
                <w:highlight w:val="none"/>
              </w:rPr>
            </w:pPr>
          </w:p>
        </w:tc>
        <w:tc>
          <w:tcPr>
            <w:tcW w:w="668" w:type="dxa"/>
          </w:tcPr>
          <w:p>
            <w:pPr>
              <w:spacing w:line="500" w:lineRule="exact"/>
              <w:rPr>
                <w:rFonts w:asciiTheme="minorEastAsia" w:hAnsiTheme="minorEastAsia" w:eastAsiaTheme="minorEastAsia"/>
                <w:color w:val="auto"/>
                <w:sz w:val="24"/>
                <w:highlight w:val="none"/>
              </w:rPr>
            </w:pPr>
          </w:p>
        </w:tc>
        <w:tc>
          <w:tcPr>
            <w:tcW w:w="947" w:type="dxa"/>
            <w:vAlign w:val="center"/>
          </w:tcPr>
          <w:p>
            <w:pPr>
              <w:spacing w:line="500" w:lineRule="exact"/>
              <w:rPr>
                <w:rFonts w:asciiTheme="minorEastAsia" w:hAnsiTheme="minorEastAsia" w:eastAsiaTheme="minorEastAsia"/>
                <w:color w:val="auto"/>
                <w:sz w:val="24"/>
                <w:highlight w:val="none"/>
              </w:rPr>
            </w:pPr>
          </w:p>
        </w:tc>
        <w:tc>
          <w:tcPr>
            <w:tcW w:w="1573" w:type="dxa"/>
            <w:vAlign w:val="center"/>
          </w:tcPr>
          <w:p>
            <w:pPr>
              <w:spacing w:line="500" w:lineRule="exact"/>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233" w:type="dxa"/>
            <w:vAlign w:val="center"/>
          </w:tcPr>
          <w:p>
            <w:pPr>
              <w:spacing w:line="500" w:lineRule="exact"/>
              <w:rPr>
                <w:rFonts w:asciiTheme="minorEastAsia" w:hAnsiTheme="minorEastAsia" w:eastAsiaTheme="minorEastAsia"/>
                <w:color w:val="auto"/>
                <w:sz w:val="24"/>
                <w:highlight w:val="none"/>
              </w:rPr>
            </w:pPr>
          </w:p>
        </w:tc>
        <w:tc>
          <w:tcPr>
            <w:tcW w:w="1059" w:type="dxa"/>
            <w:vAlign w:val="center"/>
          </w:tcPr>
          <w:p>
            <w:pPr>
              <w:spacing w:line="500" w:lineRule="exact"/>
              <w:rPr>
                <w:rFonts w:asciiTheme="minorEastAsia" w:hAnsiTheme="minorEastAsia" w:eastAsiaTheme="minorEastAsia"/>
                <w:color w:val="auto"/>
                <w:sz w:val="24"/>
                <w:highlight w:val="none"/>
              </w:rPr>
            </w:pPr>
          </w:p>
        </w:tc>
        <w:tc>
          <w:tcPr>
            <w:tcW w:w="1233" w:type="dxa"/>
            <w:vAlign w:val="center"/>
          </w:tcPr>
          <w:p>
            <w:pPr>
              <w:spacing w:line="500" w:lineRule="exact"/>
              <w:rPr>
                <w:rFonts w:asciiTheme="minorEastAsia" w:hAnsiTheme="minorEastAsia" w:eastAsiaTheme="minorEastAsia"/>
                <w:color w:val="auto"/>
                <w:sz w:val="24"/>
                <w:highlight w:val="none"/>
              </w:rPr>
            </w:pPr>
          </w:p>
        </w:tc>
        <w:tc>
          <w:tcPr>
            <w:tcW w:w="1210" w:type="dxa"/>
          </w:tcPr>
          <w:p>
            <w:pPr>
              <w:spacing w:line="500" w:lineRule="exact"/>
              <w:rPr>
                <w:rFonts w:asciiTheme="minorEastAsia" w:hAnsiTheme="minorEastAsia" w:eastAsiaTheme="minorEastAsia"/>
                <w:color w:val="auto"/>
                <w:sz w:val="24"/>
                <w:highlight w:val="none"/>
              </w:rPr>
            </w:pPr>
          </w:p>
        </w:tc>
        <w:tc>
          <w:tcPr>
            <w:tcW w:w="908" w:type="dxa"/>
          </w:tcPr>
          <w:p>
            <w:pPr>
              <w:spacing w:line="500" w:lineRule="exact"/>
              <w:rPr>
                <w:rFonts w:asciiTheme="minorEastAsia" w:hAnsiTheme="minorEastAsia" w:eastAsiaTheme="minorEastAsia"/>
                <w:color w:val="auto"/>
                <w:sz w:val="24"/>
                <w:highlight w:val="none"/>
              </w:rPr>
            </w:pPr>
          </w:p>
        </w:tc>
        <w:tc>
          <w:tcPr>
            <w:tcW w:w="668" w:type="dxa"/>
          </w:tcPr>
          <w:p>
            <w:pPr>
              <w:spacing w:line="500" w:lineRule="exact"/>
              <w:rPr>
                <w:rFonts w:asciiTheme="minorEastAsia" w:hAnsiTheme="minorEastAsia" w:eastAsiaTheme="minorEastAsia"/>
                <w:color w:val="auto"/>
                <w:sz w:val="24"/>
                <w:highlight w:val="none"/>
              </w:rPr>
            </w:pPr>
          </w:p>
        </w:tc>
        <w:tc>
          <w:tcPr>
            <w:tcW w:w="947" w:type="dxa"/>
            <w:vAlign w:val="center"/>
          </w:tcPr>
          <w:p>
            <w:pPr>
              <w:spacing w:line="500" w:lineRule="exact"/>
              <w:rPr>
                <w:rFonts w:asciiTheme="minorEastAsia" w:hAnsiTheme="minorEastAsia" w:eastAsiaTheme="minorEastAsia"/>
                <w:color w:val="auto"/>
                <w:sz w:val="24"/>
                <w:highlight w:val="none"/>
              </w:rPr>
            </w:pPr>
          </w:p>
        </w:tc>
        <w:tc>
          <w:tcPr>
            <w:tcW w:w="1573" w:type="dxa"/>
            <w:vAlign w:val="center"/>
          </w:tcPr>
          <w:p>
            <w:pPr>
              <w:spacing w:line="500" w:lineRule="exact"/>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人民币合计金额：</w:t>
            </w:r>
          </w:p>
        </w:tc>
      </w:tr>
    </w:tbl>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2、合同合计金额包括</w:t>
      </w:r>
      <w:r>
        <w:rPr>
          <w:rFonts w:hint="eastAsia" w:asciiTheme="minorEastAsia" w:hAnsiTheme="minorEastAsia" w:eastAsiaTheme="minorEastAsia"/>
          <w:color w:val="auto"/>
          <w:highlight w:val="none"/>
        </w:rPr>
        <w:t>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Theme="minorEastAsia" w:hAnsiTheme="minorEastAsia" w:eastAsiaTheme="minorEastAsia"/>
          <w:color w:val="auto"/>
          <w:sz w:val="24"/>
          <w:highlight w:val="none"/>
        </w:rPr>
        <w:t>。如采购文件对其另有规定的，从其规定。</w:t>
      </w:r>
    </w:p>
    <w:p>
      <w:pPr>
        <w:spacing w:after="0" w:line="400" w:lineRule="exact"/>
        <w:ind w:firstLine="482" w:firstLineChars="200"/>
        <w:jc w:val="both"/>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第二条　权利保证</w:t>
      </w:r>
    </w:p>
    <w:p>
      <w:pPr>
        <w:spacing w:after="0" w:line="400" w:lineRule="exact"/>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1、乙方应保证所提供货物在使用时不会侵犯任何第三方的专利权、商标权、工业设计权或其他权利。</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、乙方应按采购文件规定的时间向甲方提供使用货物的有关技术资料。</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4、乙方保证所交付的货物的所有权完全属于乙方且无任何抵押、质押、查封等产权瑕疵。</w:t>
      </w:r>
    </w:p>
    <w:p>
      <w:pPr>
        <w:spacing w:after="0" w:line="400" w:lineRule="exact"/>
        <w:ind w:firstLine="482" w:firstLineChars="200"/>
        <w:jc w:val="both"/>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第三条　包装和运输</w:t>
      </w:r>
    </w:p>
    <w:p>
      <w:pPr>
        <w:spacing w:after="0" w:line="400" w:lineRule="exact"/>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.使用说明书、质量检验证明书、随配附件和工具以及清单一并附于货物内。</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.乙方在货物发运手续办理完毕后二十四小时内或货到甲方四十八小时前通知甲方，以准备接货。</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.货物的运输方式：</w:t>
      </w:r>
      <w:r>
        <w:rPr>
          <w:rFonts w:hint="eastAsia" w:asciiTheme="minorEastAsia" w:hAnsiTheme="minorEastAsia" w:eastAsiaTheme="minorEastAsia"/>
          <w:color w:val="auto"/>
          <w:sz w:val="24"/>
          <w:highlight w:val="none"/>
          <w:u w:val="single"/>
        </w:rPr>
        <w:t xml:space="preserve"> 不限 。</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.货物在规定的交付期限内由乙方送达甲方指定的地点视为交付，乙方同时需通知甲方货物已送达。</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.乙方负责货物运输，货物运输合理损耗及计算方法：</w:t>
      </w:r>
      <w:r>
        <w:rPr>
          <w:rFonts w:hint="eastAsia" w:asciiTheme="minorEastAsia" w:hAnsiTheme="minorEastAsia" w:eastAsiaTheme="minorEastAsia"/>
          <w:color w:val="auto"/>
          <w:sz w:val="24"/>
          <w:highlight w:val="none"/>
          <w:u w:val="single"/>
        </w:rPr>
        <w:t xml:space="preserve"> 本合同交付货物不接受损耗，由乙方自行为其货物运输办理相关保险 。</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.货物在交付甲方前发生的风险均由乙方负责。</w:t>
      </w:r>
    </w:p>
    <w:p>
      <w:pPr>
        <w:spacing w:after="0" w:line="400" w:lineRule="exact"/>
        <w:ind w:firstLine="482" w:firstLineChars="200"/>
        <w:jc w:val="both"/>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第四条　交付和交付验收</w:t>
      </w:r>
    </w:p>
    <w:p>
      <w:pPr>
        <w:spacing w:after="0" w:line="400" w:lineRule="exact"/>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1、交货时间：</w:t>
      </w:r>
      <w:r>
        <w:rPr>
          <w:rFonts w:hint="eastAsia" w:asciiTheme="minorEastAsia" w:hAnsiTheme="minorEastAsia" w:eastAsiaTheme="minorEastAsia"/>
          <w:color w:val="auto"/>
          <w:sz w:val="24"/>
          <w:highlight w:val="none"/>
          <w:u w:val="single"/>
        </w:rPr>
        <w:t>按乙方响应文件中承诺的不超过招标要求的时间 。</w:t>
      </w: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u w:val="single"/>
        </w:rPr>
        <w:t xml:space="preserve">采购人指定地点 </w:t>
      </w:r>
      <w:r>
        <w:rPr>
          <w:rFonts w:hint="eastAsia" w:asciiTheme="minorEastAsia" w:hAnsiTheme="minorEastAsia" w:eastAsiaTheme="minorEastAsia"/>
          <w:color w:val="auto"/>
          <w:sz w:val="24"/>
          <w:highlight w:val="none"/>
        </w:rPr>
        <w:t>。</w:t>
      </w:r>
    </w:p>
    <w:p>
      <w:pPr>
        <w:spacing w:after="0" w:line="400" w:lineRule="exact"/>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乙方交货前应对产品作出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pPr>
        <w:spacing w:after="0" w:line="400" w:lineRule="exact"/>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4、甲方应当在到货后七个工作日内进行验收，逾期不验收的，乙方可视同验收合格。验收合格后由甲乙双方签署货物验收单并加盖采购人公章，甲乙双方各执一份。</w:t>
      </w:r>
    </w:p>
    <w:p>
      <w:pPr>
        <w:spacing w:after="0" w:line="400" w:lineRule="exact"/>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、甲方对验收有异议的，在验收后五个工作日内以书面形式向乙方提出，乙方应自收到甲方书面异议后</w:t>
      </w:r>
      <w:r>
        <w:rPr>
          <w:rFonts w:hint="eastAsia" w:asciiTheme="minorEastAsia" w:hAnsiTheme="minorEastAsia" w:eastAsiaTheme="minorEastAsia"/>
          <w:color w:val="auto"/>
          <w:sz w:val="24"/>
          <w:highlight w:val="none"/>
          <w:u w:val="single"/>
        </w:rPr>
        <w:t xml:space="preserve"> 五 </w:t>
      </w:r>
      <w:r>
        <w:rPr>
          <w:rFonts w:hint="eastAsia" w:asciiTheme="minorEastAsia" w:hAnsiTheme="minorEastAsia" w:eastAsiaTheme="minorEastAsia"/>
          <w:color w:val="auto"/>
          <w:sz w:val="24"/>
          <w:highlight w:val="none"/>
        </w:rPr>
        <w:t>日内及时予以解决。</w:t>
      </w:r>
    </w:p>
    <w:p>
      <w:pPr>
        <w:spacing w:after="0"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第五条　安装和培训</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甲方应提供必要安装条件（如场地、电源、水源等）。</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乙方负责甲方有关人员的培训。培训时间、地点：</w:t>
      </w:r>
      <w:r>
        <w:rPr>
          <w:rFonts w:hint="eastAsia" w:asciiTheme="minorEastAsia" w:hAnsiTheme="minorEastAsia" w:eastAsiaTheme="minorEastAsia"/>
          <w:color w:val="auto"/>
          <w:sz w:val="24"/>
          <w:highlight w:val="none"/>
          <w:u w:val="single"/>
        </w:rPr>
        <w:t xml:space="preserve">  按乙方响应文件承诺  </w:t>
      </w:r>
      <w:r>
        <w:rPr>
          <w:rFonts w:hint="eastAsia" w:asciiTheme="minorEastAsia" w:hAnsiTheme="minorEastAsia" w:eastAsiaTheme="minorEastAsia"/>
          <w:color w:val="auto"/>
          <w:sz w:val="24"/>
          <w:highlight w:val="none"/>
        </w:rPr>
        <w:t>。</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其他按乙方响应文件承诺执行。</w:t>
      </w:r>
    </w:p>
    <w:p>
      <w:pPr>
        <w:spacing w:after="0"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第六条　付款方式、保证金</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 xml:space="preserve">1. </w:t>
      </w:r>
      <w:r>
        <w:rPr>
          <w:rFonts w:hint="eastAsia" w:asciiTheme="minorEastAsia" w:hAnsiTheme="minorEastAsia" w:eastAsiaTheme="minorEastAsia"/>
          <w:color w:val="auto"/>
          <w:sz w:val="24"/>
          <w:highlight w:val="none"/>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资金性质：</w:t>
      </w:r>
      <w:r>
        <w:rPr>
          <w:rFonts w:hint="eastAsia" w:asciiTheme="minorEastAsia" w:hAnsiTheme="minorEastAsia" w:eastAsiaTheme="minorEastAsia"/>
          <w:color w:val="auto"/>
          <w:sz w:val="24"/>
          <w:highlight w:val="none"/>
          <w:u w:val="single"/>
        </w:rPr>
        <w:t xml:space="preserve"> 预算资金  </w:t>
      </w:r>
      <w:r>
        <w:rPr>
          <w:rFonts w:hint="eastAsia" w:asciiTheme="minorEastAsia" w:hAnsiTheme="minorEastAsia" w:eastAsiaTheme="minorEastAsia"/>
          <w:color w:val="auto"/>
          <w:sz w:val="24"/>
          <w:highlight w:val="none"/>
        </w:rPr>
        <w:t>。</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付款方式：</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预付款，成交人将所有设备安装调试完毕运转正常，并为采购人提供培训结束，经采购人最终验收合格，由成交供应商出具总金额发票，采购人自收到发票之日起15个工作日内支付给成交供应商总货款的97%。剩余合同总金额的3%为质保金，项目整体质保期满后5个工作日内采购人向成交人一次性付清（无息）。</w:t>
      </w:r>
    </w:p>
    <w:p>
      <w:pPr>
        <w:spacing w:after="0"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4.履约保证金：</w:t>
      </w:r>
    </w:p>
    <w:p>
      <w:pPr>
        <w:spacing w:after="0"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（1）乙方在签订合同前将成交价5%的履约保证金转入甲方指定账户。</w:t>
      </w:r>
    </w:p>
    <w:p>
      <w:pPr>
        <w:spacing w:after="0"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账户信息如下：</w:t>
      </w:r>
    </w:p>
    <w:p>
      <w:pPr>
        <w:spacing w:after="0"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开户名：</w:t>
      </w:r>
    </w:p>
    <w:p>
      <w:pPr>
        <w:spacing w:after="0"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开户行：</w:t>
      </w:r>
    </w:p>
    <w:p>
      <w:pPr>
        <w:spacing w:after="0"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帐  号：</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（2）</w:t>
      </w:r>
      <w:r>
        <w:rPr>
          <w:rFonts w:hint="eastAsia" w:asciiTheme="minorEastAsia" w:hAnsiTheme="minorEastAsia" w:eastAsiaTheme="minorEastAsia"/>
          <w:color w:val="auto"/>
          <w:sz w:val="24"/>
          <w:highlight w:val="none"/>
        </w:rPr>
        <w:t>按合同约定交货验收合格后，由乙方向甲方提供《政府采购项目履约保证金退付意见书》及《政府采购项目合同验收报告》（详见附件），甲方在收到合格材料后5个工作日内以银行转帐方式如数退还（不计利息）。</w:t>
      </w:r>
    </w:p>
    <w:p>
      <w:pPr>
        <w:spacing w:after="0"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第七条  税费</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本合同执行中相关的一切税费均由乙方负担。</w:t>
      </w:r>
    </w:p>
    <w:p>
      <w:pPr>
        <w:spacing w:after="0"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第八条  质量保证及售后服务</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乙方应按采购文件规定的货物性能、技术要求、质量标准向甲方提供未经使用的全新产品。不符合要求的，根据实际情况，经双方协商，可按以下办法处理：</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（1）更换：由乙方承担所发生的全部费用。</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（2）贬值处理：由甲乙双方合议定价。</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（3）退货处理：乙方应退还甲方支付的合同款，同时应承担该货物的直接费用（运输、保险、检验、货款利息及银行手续费等）。</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2.如在使用过程中发生质量问题，乙方在接到甲方通知后在按乙方响应文件中承诺的不超过招标要求的响应时间小时内到达甲方现场处理。</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3.乙方应按照国家有关法律法规和“三包”规定以及采购文件、响应文件和本合同所附的《售后服务方案》，为甲方提供售后服务。</w:t>
      </w:r>
    </w:p>
    <w:p>
      <w:pPr>
        <w:spacing w:after="0"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.在质保期内，乙方应对货物出现的质量及安全问题负责处理解决并承担一切费用。</w:t>
      </w:r>
    </w:p>
    <w:p>
      <w:pPr>
        <w:spacing w:after="0"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.上述的货物免费保修期</w:t>
      </w:r>
      <w:r>
        <w:rPr>
          <w:rFonts w:hint="eastAsia" w:asciiTheme="minorEastAsia" w:hAnsiTheme="minorEastAsia" w:eastAsiaTheme="minorEastAsia"/>
          <w:color w:val="auto"/>
          <w:sz w:val="24"/>
          <w:highlight w:val="none"/>
          <w:u w:val="single"/>
        </w:rPr>
        <w:t>按乙方响应文件承诺</w:t>
      </w:r>
      <w:r>
        <w:rPr>
          <w:rFonts w:hint="eastAsia" w:asciiTheme="minorEastAsia" w:hAnsiTheme="minorEastAsia" w:eastAsiaTheme="minorEastAsia"/>
          <w:color w:val="auto"/>
          <w:sz w:val="24"/>
          <w:highlight w:val="none"/>
        </w:rPr>
        <w:t>，因人为因素出现的故障不在免费保修范围内。超过保修期的机器设备，终生维修，维修时只收部件成本费。</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6.乙方提供的服务承诺和售后服务及保修期责任等其它具体约定事项：</w:t>
      </w:r>
      <w:r>
        <w:rPr>
          <w:rFonts w:hint="eastAsia" w:asciiTheme="minorEastAsia" w:hAnsiTheme="minorEastAsia" w:eastAsiaTheme="minorEastAsia"/>
          <w:color w:val="auto"/>
          <w:sz w:val="24"/>
          <w:highlight w:val="none"/>
          <w:u w:val="single"/>
        </w:rPr>
        <w:t>（见合同附件）</w:t>
      </w:r>
      <w:r>
        <w:rPr>
          <w:rFonts w:hint="eastAsia" w:asciiTheme="minorEastAsia" w:hAnsiTheme="minorEastAsia" w:eastAsiaTheme="minorEastAsia"/>
          <w:color w:val="auto"/>
          <w:sz w:val="24"/>
          <w:highlight w:val="none"/>
        </w:rPr>
        <w:t>。</w:t>
      </w:r>
    </w:p>
    <w:p>
      <w:pPr>
        <w:spacing w:after="0"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第九条  调试和验收</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1.甲方对乙方提供的货物在使用前进行调试时，乙方需负责安装并培训甲方的使用操作人员，并协助甲方一起调试，直到符合技术要求，甲方才做最终验收。</w:t>
      </w:r>
    </w:p>
    <w:p>
      <w:pPr>
        <w:spacing w:after="0"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 </w:t>
      </w:r>
      <w:r>
        <w:rPr>
          <w:rFonts w:hint="eastAsia" w:asciiTheme="minorEastAsia" w:hAnsiTheme="minorEastAsia" w:eastAsiaTheme="minorEastAsia"/>
          <w:color w:val="auto"/>
          <w:sz w:val="24"/>
          <w:highlight w:val="none"/>
        </w:rPr>
        <w:t>验收由甲方组织，乙方配合进行。对技术复杂的货物，甲方应请国家认可的专业检测机构参与最终验收，并由其出具质量检测报告。</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）货物在乙方通知安装调试完毕后七个工作日内验收。</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）如货物经乙方</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次维修仍不能达到合同约定的质量标准，甲方有权退货，并视作乙方不能交付货物而须支付违约赔偿金给甲方，甲方还可依法追究乙方的违约责任，并按虚假应标上报处理。</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）验收结束后，应当出具验收书，列明各项标准的验收情况及项目总体评价，由验收双方共同签署。</w:t>
      </w:r>
    </w:p>
    <w:p>
      <w:pPr>
        <w:spacing w:after="0"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货物安装完成后七个工作日内，甲方无故不进行验收工作并已使用货物的，视同已安装调试完成并验收合格。验收合格的项目，甲方在验收书签署之日后日内向乙方支付采购资金，在日内退还履约保证金（如有）。验收不合格的项目，将按本合同第十条违约责任处理，未作约定的，按照《合同法》规定处理。</w:t>
      </w:r>
    </w:p>
    <w:p>
      <w:pPr>
        <w:spacing w:after="0"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 验收时乙方必须在现场，验收完毕后作出验收结果报告；验收费用由乙方负责。</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 其他未尽事宜应严格按照《关于印发广西壮族自治区政府采购项目履约验收管理办法的通知》</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桂财采〔</w:t>
      </w:r>
      <w:r>
        <w:rPr>
          <w:rFonts w:asciiTheme="minorEastAsia" w:hAnsiTheme="minorEastAsia" w:eastAsiaTheme="minorEastAsia"/>
          <w:color w:val="auto"/>
          <w:sz w:val="24"/>
          <w:highlight w:val="none"/>
        </w:rPr>
        <w:t>2015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号</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以及《财政部关于进一步加强政府采购需求和履约验收管理的指导意见》</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财库〔</w:t>
      </w:r>
      <w:r>
        <w:rPr>
          <w:rFonts w:asciiTheme="minorEastAsia" w:hAnsiTheme="minorEastAsia" w:eastAsiaTheme="minorEastAsia"/>
          <w:color w:val="auto"/>
          <w:sz w:val="24"/>
          <w:highlight w:val="none"/>
        </w:rPr>
        <w:t>2016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205</w:t>
      </w:r>
      <w:r>
        <w:rPr>
          <w:rFonts w:hint="eastAsia" w:asciiTheme="minorEastAsia" w:hAnsiTheme="minorEastAsia" w:eastAsiaTheme="minorEastAsia"/>
          <w:color w:val="auto"/>
          <w:sz w:val="24"/>
          <w:highlight w:val="none"/>
        </w:rPr>
        <w:t>号</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规定执行。</w:t>
      </w:r>
    </w:p>
    <w:p>
      <w:pPr>
        <w:spacing w:after="0"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第十条　违约责任</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乙方提供的货物如侵犯了第三方合法权益而引发的任何纠纷或诉讼，均由乙方负责交涉并承担全部责任。</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因包装、运输引起的货物损坏，按质量不合格处罚。</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 乙方未按本合同和响应文件中规定的服务承诺提供售后服务的，乙方应按本合同合计金额 5%向甲方支付违约金。</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 乙方提供的货物在质量保证期内，因设计、工艺或材料的缺陷和其它质量原因造成的问题，由乙方负责，费用从质量保证金中扣除，不足另补。</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 其它违约行为按违约货款额5%收取违约金并赔偿经济损失。</w:t>
      </w:r>
    </w:p>
    <w:p>
      <w:pPr>
        <w:spacing w:after="0"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第十一条  不可抗力事件处理</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在合同有效期内，任何一方因不可抗力事件导致不能履行合同，则合同履行期可延长，其延长期与不可抗力影响期相同。</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不可抗力事件发生后，应立即通知对方，并寄送有关权威机构出具的证明。</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不可抗力事件延续一百二十天以上，双方应通过友好协商，确定是否继续履行合同。</w:t>
      </w:r>
    </w:p>
    <w:p>
      <w:pPr>
        <w:spacing w:after="0"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第十二条  合同争议解决</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因货物质量问题发生争议的，应邀请国家认可的质量检测机构对货物质量进行鉴定。货物符合标准的，鉴定费由甲方承担；货物不符合标准的，鉴定费由乙方承担。</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因履行本合同引起的或与本合同有关的争议，甲乙双方应首先通过友好协商解决，如果协商不能解决，可向仲裁委员会申请仲裁或向人民法院提起诉讼。</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诉讼期间，本合同继续履行。</w:t>
      </w:r>
    </w:p>
    <w:p>
      <w:pPr>
        <w:spacing w:after="0"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第十三条  合同生效及其它</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合同经双方法定代表人或被授权代表签字并加盖单位公章后生效。</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2.合同执行中涉及采购资金和采购内容修改或补充的，须经财政部门审批，并签书面补充协议报财政部门备案，方可作为主合同不可分割的一部分。</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3.本合同未尽事宜，遵照《合同法》有关条文执行。</w:t>
      </w:r>
    </w:p>
    <w:p>
      <w:pPr>
        <w:spacing w:after="0"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第十四条　合同的变更、终止与转让</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除《中华人民共和国政府采购法》第五十条规定的情形外，本合同一经签订，甲乙双方不得擅自变更、中止或终止。</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未经甲方书面同意，乙方不得擅自转让（无进口资格的供应商委托进口货物除外）其应履行的合同义务。</w:t>
      </w:r>
    </w:p>
    <w:p>
      <w:pPr>
        <w:spacing w:after="0" w:line="4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第十五条　签订本合同依据</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采购文件；</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乙方提供的响应文件；</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响应承诺书；</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 中标通知书。</w:t>
      </w:r>
    </w:p>
    <w:p>
      <w:pPr>
        <w:spacing w:after="0"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第十六条　</w:t>
      </w:r>
      <w:r>
        <w:rPr>
          <w:rFonts w:hint="eastAsia" w:asciiTheme="minorEastAsia" w:hAnsiTheme="minorEastAsia" w:eastAsiaTheme="minorEastAsia"/>
          <w:color w:val="auto"/>
          <w:sz w:val="24"/>
          <w:highlight w:val="none"/>
        </w:rPr>
        <w:t>本合同一式份，具有同等法律效力，采购代理机构、政府采购监督管理处各一份，甲方份，乙方份（可根据需要另增加）。</w:t>
      </w:r>
    </w:p>
    <w:p>
      <w:pPr>
        <w:spacing w:after="0"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本合同甲乙双方签字盖章后生效。</w:t>
      </w:r>
    </w:p>
    <w:p>
      <w:pPr>
        <w:spacing w:line="500" w:lineRule="exact"/>
        <w:rPr>
          <w:rFonts w:asciiTheme="minorEastAsia" w:hAnsiTheme="minorEastAsia" w:eastAsiaTheme="minorEastAsia"/>
          <w:color w:val="auto"/>
          <w:sz w:val="24"/>
          <w:highlight w:val="none"/>
          <w:u w:val="singl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甲方（章）           </w:t>
            </w: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   月   日</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乙方（章）              </w:t>
            </w: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单位地址：</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电子邮箱：</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邮政编码：</w:t>
            </w:r>
          </w:p>
        </w:tc>
        <w:tc>
          <w:tcPr>
            <w:tcW w:w="4517" w:type="dxa"/>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邮政编码：</w:t>
            </w:r>
          </w:p>
        </w:tc>
      </w:tr>
    </w:tbl>
    <w:p>
      <w:pPr>
        <w:spacing w:line="500" w:lineRule="exact"/>
        <w:rPr>
          <w:rFonts w:asciiTheme="minorEastAsia" w:hAnsiTheme="minorEastAsia" w:eastAsiaTheme="minorEastAsia"/>
          <w:color w:val="auto"/>
          <w:sz w:val="28"/>
          <w:szCs w:val="28"/>
          <w:highlight w:val="none"/>
        </w:rPr>
      </w:pPr>
    </w:p>
    <w:p>
      <w:pPr>
        <w:spacing w:line="50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101"/>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合同附件</w:t>
      </w:r>
      <w:r>
        <w:rPr>
          <w:rFonts w:cs="Times New Roman" w:asciiTheme="minorEastAsia" w:hAnsiTheme="minorEastAsia" w:eastAsiaTheme="minorEastAsia"/>
          <w:color w:val="auto"/>
          <w:kern w:val="2"/>
          <w:highlight w:val="none"/>
        </w:rPr>
        <w:t xml:space="preserve">1 </w:t>
      </w:r>
    </w:p>
    <w:p>
      <w:pPr>
        <w:pStyle w:val="101"/>
        <w:jc w:val="center"/>
        <w:rPr>
          <w:rFonts w:cs="Times New Roman" w:asciiTheme="minorEastAsia" w:hAnsiTheme="minorEastAsia" w:eastAsiaTheme="minorEastAsia"/>
          <w:b/>
          <w:color w:val="auto"/>
          <w:kern w:val="2"/>
          <w:sz w:val="28"/>
          <w:szCs w:val="28"/>
          <w:highlight w:val="none"/>
        </w:rPr>
      </w:pPr>
      <w:r>
        <w:rPr>
          <w:rFonts w:hint="eastAsia" w:cs="Times New Roman" w:asciiTheme="minorEastAsia" w:hAnsiTheme="minorEastAsia" w:eastAsiaTheme="minorEastAsia"/>
          <w:b/>
          <w:color w:val="auto"/>
          <w:kern w:val="2"/>
          <w:sz w:val="28"/>
          <w:szCs w:val="28"/>
          <w:highlight w:val="none"/>
        </w:rPr>
        <w:t>响应承诺书</w:t>
      </w:r>
    </w:p>
    <w:p>
      <w:pPr>
        <w:pStyle w:val="101"/>
        <w:rPr>
          <w:rFonts w:cs="Times New Roman" w:asciiTheme="minorEastAsia" w:hAnsiTheme="minorEastAsia" w:eastAsiaTheme="minorEastAsia"/>
          <w:b/>
          <w:color w:val="auto"/>
          <w:kern w:val="2"/>
          <w:sz w:val="28"/>
          <w:szCs w:val="28"/>
          <w:highlight w:val="none"/>
        </w:rPr>
      </w:pPr>
      <w:r>
        <w:rPr>
          <w:rFonts w:hint="eastAsia" w:cs="Times New Roman" w:asciiTheme="minorEastAsia" w:hAnsiTheme="minorEastAsia" w:eastAsiaTheme="minorEastAsia"/>
          <w:color w:val="auto"/>
          <w:kern w:val="2"/>
          <w:highlight w:val="none"/>
        </w:rPr>
        <w:t>一般货物类</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101"/>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1</w:t>
            </w:r>
            <w:r>
              <w:rPr>
                <w:rFonts w:hint="eastAsia" w:cs="Times New Roman" w:asciiTheme="minorEastAsia" w:hAnsiTheme="minorEastAsia" w:eastAsiaTheme="minorEastAsia"/>
                <w:color w:val="auto"/>
                <w:kern w:val="2"/>
                <w:highlight w:val="none"/>
              </w:rPr>
              <w:t>．乙方承诺具体事项：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pStyle w:val="101"/>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2</w:t>
            </w:r>
            <w:r>
              <w:rPr>
                <w:rFonts w:hint="eastAsia" w:cs="Times New Roman" w:asciiTheme="minorEastAsia" w:hAnsiTheme="minorEastAsia" w:eastAsiaTheme="minorEastAsia"/>
                <w:color w:val="auto"/>
                <w:kern w:val="2"/>
                <w:highlight w:val="none"/>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pStyle w:val="101"/>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3</w:t>
            </w:r>
            <w:r>
              <w:rPr>
                <w:rFonts w:hint="eastAsia" w:cs="Times New Roman" w:asciiTheme="minorEastAsia" w:hAnsiTheme="minorEastAsia" w:eastAsiaTheme="minorEastAsia"/>
                <w:color w:val="auto"/>
                <w:kern w:val="2"/>
                <w:highlight w:val="none"/>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101"/>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highlight w:val="none"/>
              </w:rPr>
              <w:t>4</w:t>
            </w:r>
            <w:r>
              <w:rPr>
                <w:rFonts w:hint="eastAsia" w:cs="Times New Roman" w:asciiTheme="minorEastAsia" w:hAnsiTheme="minorEastAsia" w:eastAsiaTheme="minorEastAsia"/>
                <w:color w:val="auto"/>
                <w:kern w:val="2"/>
                <w:highlight w:val="none"/>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101"/>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甲方</w:t>
            </w:r>
            <w:r>
              <w:rPr>
                <w:rFonts w:cs="Times New Roman" w:asciiTheme="minorEastAsia" w:hAnsiTheme="minorEastAsia" w:eastAsiaTheme="minorEastAsia"/>
                <w:color w:val="auto"/>
                <w:kern w:val="2"/>
                <w:highlight w:val="none"/>
              </w:rPr>
              <w:t>(</w:t>
            </w:r>
            <w:r>
              <w:rPr>
                <w:rFonts w:hint="eastAsia" w:cs="Times New Roman" w:asciiTheme="minorEastAsia" w:hAnsiTheme="minorEastAsia" w:eastAsiaTheme="minorEastAsia"/>
                <w:color w:val="auto"/>
                <w:kern w:val="2"/>
                <w:highlight w:val="none"/>
              </w:rPr>
              <w:t>章</w:t>
            </w:r>
            <w:r>
              <w:rPr>
                <w:rFonts w:cs="Times New Roman" w:asciiTheme="minorEastAsia" w:hAnsiTheme="minorEastAsia" w:eastAsiaTheme="minorEastAsia"/>
                <w:color w:val="auto"/>
                <w:kern w:val="2"/>
                <w:highlight w:val="none"/>
              </w:rPr>
              <w:t>)</w:t>
            </w:r>
          </w:p>
          <w:p>
            <w:pPr>
              <w:pStyle w:val="101"/>
              <w:rPr>
                <w:rFonts w:cs="Times New Roman" w:asciiTheme="minorEastAsia" w:hAnsiTheme="minorEastAsia" w:eastAsiaTheme="minorEastAsia"/>
                <w:color w:val="auto"/>
                <w:kern w:val="2"/>
                <w:highlight w:val="none"/>
              </w:rPr>
            </w:pPr>
          </w:p>
          <w:p>
            <w:pPr>
              <w:pStyle w:val="101"/>
              <w:rPr>
                <w:rFonts w:cs="Times New Roman" w:asciiTheme="minorEastAsia" w:hAnsiTheme="minorEastAsia" w:eastAsiaTheme="minorEastAsia"/>
                <w:color w:val="auto"/>
                <w:kern w:val="2"/>
                <w:highlight w:val="none"/>
              </w:rPr>
            </w:pPr>
          </w:p>
          <w:p>
            <w:pPr>
              <w:pStyle w:val="101"/>
              <w:ind w:firstLine="2640" w:firstLineChars="11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年 月 日</w:t>
            </w:r>
          </w:p>
        </w:tc>
        <w:tc>
          <w:tcPr>
            <w:tcW w:w="4536" w:type="dxa"/>
          </w:tcPr>
          <w:p>
            <w:pPr>
              <w:pStyle w:val="101"/>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乙方</w:t>
            </w:r>
            <w:r>
              <w:rPr>
                <w:rFonts w:cs="Times New Roman" w:asciiTheme="minorEastAsia" w:hAnsiTheme="minorEastAsia" w:eastAsiaTheme="minorEastAsia"/>
                <w:color w:val="auto"/>
                <w:kern w:val="2"/>
                <w:highlight w:val="none"/>
              </w:rPr>
              <w:t>(</w:t>
            </w:r>
            <w:r>
              <w:rPr>
                <w:rFonts w:hint="eastAsia" w:cs="Times New Roman" w:asciiTheme="minorEastAsia" w:hAnsiTheme="minorEastAsia" w:eastAsiaTheme="minorEastAsia"/>
                <w:color w:val="auto"/>
                <w:kern w:val="2"/>
                <w:highlight w:val="none"/>
              </w:rPr>
              <w:t>章</w:t>
            </w:r>
            <w:r>
              <w:rPr>
                <w:rFonts w:cs="Times New Roman" w:asciiTheme="minorEastAsia" w:hAnsiTheme="minorEastAsia" w:eastAsiaTheme="minorEastAsia"/>
                <w:color w:val="auto"/>
                <w:kern w:val="2"/>
                <w:highlight w:val="none"/>
              </w:rPr>
              <w:t>)</w:t>
            </w:r>
          </w:p>
          <w:p>
            <w:pPr>
              <w:pStyle w:val="101"/>
              <w:rPr>
                <w:rFonts w:cs="Times New Roman" w:asciiTheme="minorEastAsia" w:hAnsiTheme="minorEastAsia" w:eastAsiaTheme="minorEastAsia"/>
                <w:color w:val="auto"/>
                <w:kern w:val="2"/>
                <w:highlight w:val="none"/>
              </w:rPr>
            </w:pPr>
          </w:p>
          <w:p>
            <w:pPr>
              <w:pStyle w:val="101"/>
              <w:rPr>
                <w:rFonts w:cs="Times New Roman" w:asciiTheme="minorEastAsia" w:hAnsiTheme="minorEastAsia" w:eastAsiaTheme="minorEastAsia"/>
                <w:color w:val="auto"/>
                <w:kern w:val="2"/>
                <w:highlight w:val="none"/>
              </w:rPr>
            </w:pPr>
          </w:p>
          <w:p>
            <w:pPr>
              <w:pStyle w:val="101"/>
              <w:ind w:firstLine="2880" w:firstLineChars="1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年 月 日</w:t>
            </w:r>
          </w:p>
        </w:tc>
      </w:tr>
    </w:tbl>
    <w:p>
      <w:pPr>
        <w:ind w:left="440" w:hanging="440" w:hanging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Cs w:val="21"/>
          <w:highlight w:val="none"/>
        </w:rPr>
        <w:t>注：售后服务事项填不下时可另加附页</w:t>
      </w:r>
    </w:p>
    <w:p>
      <w:pPr>
        <w:ind w:left="440" w:hanging="440" w:hangingChars="200"/>
        <w:rPr>
          <w:rFonts w:asciiTheme="minorEastAsia" w:hAnsiTheme="minorEastAsia" w:eastAsiaTheme="minorEastAsia"/>
          <w:color w:val="auto"/>
          <w:szCs w:val="21"/>
          <w:highlight w:val="none"/>
        </w:rPr>
      </w:pPr>
    </w:p>
    <w:p>
      <w:pPr>
        <w:adjustRightInd/>
        <w:snapToGrid/>
        <w:spacing w:line="220" w:lineRule="atLeast"/>
        <w:rPr>
          <w:rFonts w:asciiTheme="minorEastAsia" w:hAnsiTheme="minorEastAsia" w:eastAsiaTheme="minorEastAsia"/>
          <w:color w:val="auto"/>
          <w:sz w:val="24"/>
          <w:highlight w:val="none"/>
        </w:rPr>
      </w:pPr>
    </w:p>
    <w:p>
      <w:pPr>
        <w:adjustRightInd/>
        <w:snapToGrid/>
        <w:spacing w:line="220" w:lineRule="atLeas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附件</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p>
    <w:p>
      <w:pPr>
        <w:shd w:val="clear" w:color="auto" w:fill="FFFFFF"/>
        <w:spacing w:line="580" w:lineRule="exact"/>
        <w:jc w:val="center"/>
        <w:rPr>
          <w:rFonts w:cs="宋体" w:asciiTheme="minorEastAsia" w:hAnsiTheme="minorEastAsia" w:eastAsiaTheme="minorEastAsia"/>
          <w:color w:val="auto"/>
          <w:sz w:val="32"/>
          <w:szCs w:val="32"/>
          <w:highlight w:val="none"/>
        </w:rPr>
      </w:pPr>
      <w:r>
        <w:rPr>
          <w:rFonts w:hint="eastAsia" w:cs="黑体" w:asciiTheme="minorEastAsia" w:hAnsiTheme="minorEastAsia" w:eastAsiaTheme="minorEastAsia"/>
          <w:color w:val="auto"/>
          <w:sz w:val="32"/>
          <w:szCs w:val="32"/>
          <w:highlight w:val="none"/>
        </w:rPr>
        <w:t>广西壮族自治区政府采购项目合同验收书</w:t>
      </w:r>
      <w:r>
        <w:rPr>
          <w:rFonts w:hint="eastAsia" w:cs="宋体" w:asciiTheme="minorEastAsia" w:hAnsiTheme="minorEastAsia" w:eastAsiaTheme="minorEastAsia"/>
          <w:color w:val="auto"/>
          <w:sz w:val="32"/>
          <w:szCs w:val="32"/>
          <w:highlight w:val="none"/>
        </w:rPr>
        <w:t>（格式）</w:t>
      </w:r>
    </w:p>
    <w:p>
      <w:pPr>
        <w:shd w:val="clear" w:color="auto" w:fill="FFFFFF"/>
        <w:spacing w:line="440" w:lineRule="exact"/>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根据政府采购项目（</w:t>
      </w:r>
      <w:r>
        <w:rPr>
          <w:rFonts w:hint="eastAsia" w:cs="宋体" w:asciiTheme="minorEastAsia" w:hAnsiTheme="minorEastAsia" w:eastAsiaTheme="minorEastAsia"/>
          <w:color w:val="auto"/>
          <w:sz w:val="24"/>
          <w:highlight w:val="none"/>
          <w:u w:val="single"/>
        </w:rPr>
        <w:t>采购合同编号：</w:t>
      </w:r>
      <w:r>
        <w:rPr>
          <w:rFonts w:hint="eastAsia" w:cs="宋体" w:asciiTheme="minorEastAsia" w:hAnsiTheme="minorEastAsia" w:eastAsiaTheme="minorEastAsia"/>
          <w:color w:val="auto"/>
          <w:sz w:val="24"/>
          <w:highlight w:val="none"/>
          <w:u w:val="single"/>
        </w:rPr>
        <w:softHyphen/>
      </w:r>
      <w:r>
        <w:rPr>
          <w:rFonts w:hint="eastAsia" w:cs="宋体" w:asciiTheme="minorEastAsia" w:hAnsiTheme="minorEastAsia" w:eastAsiaTheme="minorEastAsia"/>
          <w:color w:val="auto"/>
          <w:sz w:val="24"/>
          <w:highlight w:val="none"/>
        </w:rPr>
        <w:t>）的约定，我单位对（</w:t>
      </w:r>
      <w:r>
        <w:rPr>
          <w:rFonts w:hint="eastAsia" w:cs="宋体" w:asciiTheme="minorEastAsia" w:hAnsiTheme="minorEastAsia" w:eastAsiaTheme="minorEastAsia"/>
          <w:color w:val="auto"/>
          <w:sz w:val="24"/>
          <w:highlight w:val="none"/>
          <w:u w:val="single"/>
        </w:rPr>
        <w:t xml:space="preserve"> 项目名称 </w:t>
      </w:r>
      <w:r>
        <w:rPr>
          <w:rFonts w:hint="eastAsia" w:cs="宋体" w:asciiTheme="minorEastAsia" w:hAnsiTheme="minorEastAsia" w:eastAsiaTheme="minorEastAsia"/>
          <w:color w:val="auto"/>
          <w:sz w:val="24"/>
          <w:highlight w:val="none"/>
        </w:rPr>
        <w:t>） 政府采购项目成交供应商（</w:t>
      </w:r>
      <w:r>
        <w:rPr>
          <w:rFonts w:hint="eastAsia" w:cs="宋体" w:asciiTheme="minorEastAsia" w:hAnsiTheme="minorEastAsia" w:eastAsiaTheme="minorEastAsia"/>
          <w:color w:val="auto"/>
          <w:sz w:val="24"/>
          <w:highlight w:val="none"/>
          <w:u w:val="single"/>
        </w:rPr>
        <w:t xml:space="preserve"> 公司名称 </w:t>
      </w:r>
      <w:r>
        <w:rPr>
          <w:rFonts w:hint="eastAsia" w:cs="宋体" w:asciiTheme="minorEastAsia" w:hAnsiTheme="minorEastAsia" w:eastAsiaTheme="minorEastAsia"/>
          <w:color w:val="auto"/>
          <w:sz w:val="24"/>
          <w:highlight w:val="none"/>
        </w:rPr>
        <w:t>） 提供的货物（或工程、服务）进行了验收，验收情况如下：</w:t>
      </w:r>
    </w:p>
    <w:tbl>
      <w:tblPr>
        <w:tblStyle w:val="37"/>
        <w:tblW w:w="0" w:type="auto"/>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cs="宋体" w:asciiTheme="minorEastAsia" w:hAnsiTheme="minorEastAsia" w:eastAsiaTheme="minorEastAsia"/>
                <w:color w:val="auto"/>
                <w:szCs w:val="21"/>
                <w:highlight w:val="none"/>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有异议的意见和说明理由：</w:t>
            </w:r>
          </w:p>
          <w:p>
            <w:pPr>
              <w:spacing w:before="100" w:beforeAutospacing="1" w:after="100" w:afterAutospacing="1" w:line="32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监督人员或其他相关人员签字：</w:t>
            </w:r>
          </w:p>
          <w:p>
            <w:pPr>
              <w:spacing w:before="100" w:beforeAutospacing="1" w:after="100" w:afterAutospacing="1" w:line="320" w:lineRule="atLeast"/>
              <w:ind w:firstLine="74"/>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中标或者成交供应商负责人签字或盖章：</w:t>
            </w:r>
          </w:p>
          <w:p>
            <w:pPr>
              <w:spacing w:before="100" w:beforeAutospacing="1" w:after="100" w:afterAutospacing="1" w:line="320" w:lineRule="atLeas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4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采购人或受托机构的意见（盖章）：</w:t>
            </w:r>
          </w:p>
          <w:p>
            <w:pPr>
              <w:spacing w:before="100" w:beforeAutospacing="1" w:after="100" w:afterAutospacing="1" w:line="320" w:lineRule="atLeast"/>
              <w:ind w:firstLine="44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 年 月 日</w:t>
            </w:r>
          </w:p>
        </w:tc>
      </w:tr>
    </w:tbl>
    <w:p>
      <w:pP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highlight w:val="none"/>
        </w:rPr>
        <w:br w:type="page"/>
      </w:r>
      <w:r>
        <w:rPr>
          <w:rFonts w:hint="eastAsia" w:asciiTheme="minorEastAsia" w:hAnsiTheme="minorEastAsia" w:eastAsiaTheme="minorEastAsia"/>
          <w:color w:val="auto"/>
          <w:sz w:val="28"/>
          <w:szCs w:val="28"/>
          <w:highlight w:val="none"/>
        </w:rPr>
        <w:t>附件</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w:t>
      </w:r>
    </w:p>
    <w:p>
      <w:pPr>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政府采购项目履约保证金退付意见书</w:t>
      </w:r>
    </w:p>
    <w:tbl>
      <w:tblPr>
        <w:tblStyle w:val="37"/>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应</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申</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该项目已于年月日验收并交付使用。根据合同规定，该项目的履约保证金期限于年月日已满，请将履约保证金（大写）￥（小写）退付到达以下帐户。</w:t>
            </w:r>
          </w:p>
          <w:p>
            <w:pPr>
              <w:spacing w:after="0" w:line="400" w:lineRule="exact"/>
              <w:ind w:firstLine="70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单位名称：</w:t>
            </w:r>
          </w:p>
          <w:p>
            <w:pPr>
              <w:spacing w:after="0" w:line="400" w:lineRule="exact"/>
              <w:ind w:firstLine="70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p>
          <w:p>
            <w:pPr>
              <w:spacing w:after="0" w:line="400" w:lineRule="exact"/>
              <w:ind w:firstLine="70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帐   号：</w:t>
            </w:r>
          </w:p>
          <w:p>
            <w:pPr>
              <w:spacing w:after="0" w:line="400" w:lineRule="exact"/>
              <w:ind w:firstLine="66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联系人及电话：</w:t>
            </w:r>
          </w:p>
          <w:p>
            <w:pPr>
              <w:spacing w:after="0" w:line="52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供应商签章：</w:t>
            </w:r>
          </w:p>
          <w:p>
            <w:pPr>
              <w:spacing w:after="0" w:line="52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w:t>
            </w:r>
          </w:p>
          <w:p>
            <w:pPr>
              <w:spacing w:after="1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购</w:t>
            </w:r>
          </w:p>
          <w:p>
            <w:pPr>
              <w:spacing w:after="1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w:t>
            </w:r>
          </w:p>
          <w:p>
            <w:pPr>
              <w:spacing w:after="1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意</w:t>
            </w:r>
          </w:p>
          <w:p>
            <w:pPr>
              <w:spacing w:after="1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退付意见：是否同意退付履约保证金及退付金额：</w:t>
            </w:r>
          </w:p>
          <w:p>
            <w:pPr>
              <w:spacing w:after="120"/>
              <w:rPr>
                <w:rFonts w:asciiTheme="minorEastAsia" w:hAnsiTheme="minorEastAsia" w:eastAsiaTheme="minorEastAsia"/>
                <w:color w:val="auto"/>
                <w:szCs w:val="21"/>
                <w:highlight w:val="none"/>
              </w:rPr>
            </w:pPr>
          </w:p>
          <w:p>
            <w:pPr>
              <w:spacing w:after="120" w:line="5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联系人及电话：                                 采购人签章</w:t>
            </w:r>
          </w:p>
          <w:p>
            <w:pPr>
              <w:spacing w:after="120" w:line="52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tc>
      </w:tr>
    </w:tbl>
    <w:p>
      <w:pPr>
        <w:spacing w:line="500" w:lineRule="exact"/>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1"/>
          <w:highlight w:val="none"/>
        </w:rPr>
        <w:t>注：供应商凭经采购人审批的退付意见书到保证金收取单位办理履约保证金退付事宜。</w:t>
      </w:r>
    </w:p>
    <w:p>
      <w:pPr>
        <w:adjustRightInd/>
        <w:snapToGrid/>
        <w:spacing w:line="220" w:lineRule="atLeast"/>
        <w:rPr>
          <w:rFonts w:cs="Times New Roman" w:asciiTheme="minorEastAsia" w:hAnsiTheme="minorEastAsia" w:eastAsiaTheme="minorEastAsia"/>
          <w:color w:val="auto"/>
          <w:sz w:val="36"/>
          <w:szCs w:val="20"/>
          <w:highlight w:val="none"/>
        </w:rPr>
      </w:pPr>
      <w:bookmarkStart w:id="88" w:name="_Toc246094931"/>
      <w:bookmarkStart w:id="89" w:name="_Toc246095475"/>
      <w:bookmarkStart w:id="90" w:name="_Toc246095537"/>
      <w:r>
        <w:rPr>
          <w:rFonts w:asciiTheme="minorEastAsia" w:hAnsiTheme="minorEastAsia" w:eastAsiaTheme="minorEastAsia"/>
          <w:color w:val="auto"/>
          <w:highlight w:val="none"/>
        </w:rPr>
        <w:br w:type="page"/>
      </w:r>
    </w:p>
    <w:p>
      <w:pPr>
        <w:pStyle w:val="3"/>
        <w:rPr>
          <w:rFonts w:asciiTheme="minorEastAsia" w:hAnsiTheme="minorEastAsia" w:eastAsiaTheme="minorEastAsia"/>
          <w:color w:val="auto"/>
          <w:highlight w:val="none"/>
        </w:rPr>
      </w:pPr>
    </w:p>
    <w:p>
      <w:pPr>
        <w:pStyle w:val="3"/>
        <w:rPr>
          <w:rFonts w:asciiTheme="minorEastAsia" w:hAnsiTheme="minorEastAsia" w:eastAsiaTheme="minorEastAsia"/>
          <w:color w:val="auto"/>
          <w:highlight w:val="none"/>
        </w:rPr>
      </w:pPr>
      <w:bookmarkStart w:id="91" w:name="_Toc7192557"/>
      <w:r>
        <w:rPr>
          <w:rFonts w:hint="eastAsia" w:asciiTheme="minorEastAsia" w:hAnsiTheme="minorEastAsia" w:eastAsiaTheme="minorEastAsia"/>
          <w:color w:val="auto"/>
          <w:highlight w:val="none"/>
        </w:rPr>
        <w:t>第六章  响应文件格式</w:t>
      </w:r>
      <w:bookmarkEnd w:id="88"/>
      <w:bookmarkEnd w:id="89"/>
      <w:bookmarkEnd w:id="90"/>
      <w:bookmarkEnd w:id="91"/>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（用于响应文件封面）</w:t>
      </w:r>
    </w:p>
    <w:p>
      <w:pPr>
        <w:rPr>
          <w:rFonts w:asciiTheme="minorEastAsia" w:hAnsiTheme="minorEastAsia" w:eastAsiaTheme="minorEastAsia"/>
          <w:color w:val="auto"/>
          <w:highlight w:val="none"/>
        </w:rPr>
      </w:pPr>
    </w:p>
    <w:p>
      <w:pPr>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响应文件</w:t>
      </w:r>
    </w:p>
    <w:p>
      <w:pPr>
        <w:rPr>
          <w:rFonts w:asciiTheme="minorEastAsia" w:hAnsiTheme="minorEastAsia" w:eastAsiaTheme="minorEastAsia"/>
          <w:color w:val="auto"/>
          <w:highlight w:val="none"/>
        </w:rPr>
      </w:pPr>
    </w:p>
    <w:p>
      <w:pPr>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（正/副本）</w:t>
      </w:r>
    </w:p>
    <w:p>
      <w:pPr>
        <w:rPr>
          <w:rFonts w:asciiTheme="minorEastAsia" w:hAnsiTheme="minorEastAsia" w:eastAsiaTheme="minorEastAsia"/>
          <w:color w:val="auto"/>
          <w:highlight w:val="none"/>
        </w:rPr>
      </w:pPr>
    </w:p>
    <w:p>
      <w:pPr>
        <w:rPr>
          <w:rFonts w:asciiTheme="minorEastAsia" w:hAnsiTheme="minorEastAsia" w:eastAsiaTheme="minorEastAsia"/>
          <w:color w:val="auto"/>
          <w:sz w:val="28"/>
          <w:szCs w:val="28"/>
          <w:highlight w:val="none"/>
        </w:rPr>
      </w:pPr>
    </w:p>
    <w:p>
      <w:pPr>
        <w:spacing w:line="600" w:lineRule="exact"/>
        <w:ind w:firstLine="1400" w:firstLineChars="500"/>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项目名称：</w:t>
      </w:r>
      <w:r>
        <w:rPr>
          <w:rFonts w:hint="eastAsia" w:asciiTheme="minorEastAsia" w:hAnsiTheme="minorEastAsia" w:eastAsiaTheme="minorEastAsia"/>
          <w:color w:val="auto"/>
          <w:sz w:val="28"/>
          <w:szCs w:val="28"/>
          <w:highlight w:val="none"/>
          <w:u w:val="single"/>
        </w:rPr>
        <w:t xml:space="preserve">    （项目名称）    </w:t>
      </w:r>
    </w:p>
    <w:p>
      <w:pPr>
        <w:spacing w:line="600" w:lineRule="exact"/>
        <w:ind w:firstLine="1400" w:firstLineChars="500"/>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项目编号：</w:t>
      </w:r>
    </w:p>
    <w:p>
      <w:pPr>
        <w:spacing w:line="600" w:lineRule="exact"/>
        <w:ind w:firstLine="1400" w:firstLineChars="5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响应文件内容：</w:t>
      </w:r>
      <w:r>
        <w:rPr>
          <w:rFonts w:hint="eastAsia" w:asciiTheme="minorEastAsia" w:hAnsiTheme="minorEastAsia" w:eastAsiaTheme="minorEastAsia"/>
          <w:color w:val="auto"/>
          <w:sz w:val="28"/>
          <w:szCs w:val="28"/>
          <w:highlight w:val="none"/>
          <w:u w:val="single"/>
        </w:rPr>
        <w:t xml:space="preserve">        价格文件/商务技术文件    </w:t>
      </w:r>
    </w:p>
    <w:p>
      <w:pPr>
        <w:spacing w:line="600" w:lineRule="exact"/>
        <w:ind w:firstLine="1400" w:firstLineChars="5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供应商名称：</w:t>
      </w:r>
      <w:r>
        <w:rPr>
          <w:rFonts w:hint="eastAsia" w:asciiTheme="minorEastAsia" w:hAnsiTheme="minorEastAsia" w:eastAsiaTheme="minorEastAsia"/>
          <w:color w:val="auto"/>
          <w:sz w:val="28"/>
          <w:szCs w:val="28"/>
          <w:highlight w:val="none"/>
          <w:u w:val="single"/>
        </w:rPr>
        <w:t xml:space="preserve">        （盖单位公章）           </w:t>
      </w:r>
    </w:p>
    <w:p>
      <w:pPr>
        <w:spacing w:line="600" w:lineRule="exact"/>
        <w:ind w:firstLine="1400" w:firstLineChars="5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法定代表人或其委托代理人：</w:t>
      </w:r>
      <w:r>
        <w:rPr>
          <w:rFonts w:hint="eastAsia" w:asciiTheme="minorEastAsia" w:hAnsiTheme="minorEastAsia" w:eastAsiaTheme="minorEastAsia"/>
          <w:color w:val="auto"/>
          <w:sz w:val="28"/>
          <w:szCs w:val="28"/>
          <w:highlight w:val="none"/>
          <w:u w:val="single"/>
        </w:rPr>
        <w:t xml:space="preserve">      （签字）     </w:t>
      </w:r>
    </w:p>
    <w:p>
      <w:pPr>
        <w:spacing w:line="600" w:lineRule="exact"/>
        <w:ind w:firstLine="1400" w:firstLineChars="5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日    期：  年 </w:t>
      </w:r>
      <w:r>
        <w:rPr>
          <w:rFonts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月  日</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spacing w:line="30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附件一：</w:t>
      </w:r>
    </w:p>
    <w:p>
      <w:pPr>
        <w:spacing w:line="30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谈判报价表</w:t>
      </w:r>
    </w:p>
    <w:p>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采购项目编号:</w:t>
      </w:r>
    </w:p>
    <w:p>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采购项目名称:</w:t>
      </w:r>
    </w:p>
    <w:tbl>
      <w:tblPr>
        <w:tblStyle w:val="37"/>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10"/>
        <w:gridCol w:w="534"/>
        <w:gridCol w:w="1422"/>
        <w:gridCol w:w="1689"/>
        <w:gridCol w:w="141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vAlign w:val="center"/>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610" w:type="dxa"/>
            <w:vAlign w:val="center"/>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货物名称</w:t>
            </w:r>
          </w:p>
        </w:tc>
        <w:tc>
          <w:tcPr>
            <w:tcW w:w="534" w:type="dxa"/>
            <w:vAlign w:val="center"/>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数量①</w:t>
            </w:r>
          </w:p>
        </w:tc>
        <w:tc>
          <w:tcPr>
            <w:tcW w:w="1422" w:type="dxa"/>
            <w:vAlign w:val="center"/>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品牌及规格型号、生产厂家及国别</w:t>
            </w:r>
          </w:p>
        </w:tc>
        <w:tc>
          <w:tcPr>
            <w:tcW w:w="1689" w:type="dxa"/>
            <w:vAlign w:val="center"/>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技术参数及性能配置</w:t>
            </w:r>
          </w:p>
        </w:tc>
        <w:tc>
          <w:tcPr>
            <w:tcW w:w="1413" w:type="dxa"/>
            <w:vAlign w:val="center"/>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单价（元）</w:t>
            </w:r>
          </w:p>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w:t>
            </w:r>
          </w:p>
        </w:tc>
        <w:tc>
          <w:tcPr>
            <w:tcW w:w="1864" w:type="dxa"/>
            <w:vAlign w:val="center"/>
          </w:tcPr>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单项合价（元）</w:t>
            </w:r>
          </w:p>
          <w:p>
            <w:pPr>
              <w:spacing w:after="0" w:line="3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610" w:type="dxa"/>
            <w:vAlign w:val="center"/>
          </w:tcPr>
          <w:p>
            <w:pPr>
              <w:rPr>
                <w:rFonts w:asciiTheme="minorEastAsia" w:hAnsiTheme="minorEastAsia" w:eastAsiaTheme="minorEastAsia"/>
                <w:color w:val="auto"/>
                <w:sz w:val="24"/>
                <w:highlight w:val="none"/>
              </w:rPr>
            </w:pPr>
          </w:p>
        </w:tc>
        <w:tc>
          <w:tcPr>
            <w:tcW w:w="534" w:type="dxa"/>
            <w:vAlign w:val="center"/>
          </w:tcPr>
          <w:p>
            <w:pPr>
              <w:rPr>
                <w:rFonts w:asciiTheme="minorEastAsia" w:hAnsiTheme="minorEastAsia" w:eastAsiaTheme="minorEastAsia"/>
                <w:color w:val="auto"/>
                <w:sz w:val="24"/>
                <w:highlight w:val="none"/>
              </w:rPr>
            </w:pPr>
          </w:p>
        </w:tc>
        <w:tc>
          <w:tcPr>
            <w:tcW w:w="1422" w:type="dxa"/>
            <w:vAlign w:val="center"/>
          </w:tcPr>
          <w:p>
            <w:pPr>
              <w:rPr>
                <w:rFonts w:asciiTheme="minorEastAsia" w:hAnsiTheme="minorEastAsia" w:eastAsiaTheme="minorEastAsia"/>
                <w:color w:val="auto"/>
                <w:sz w:val="24"/>
                <w:highlight w:val="none"/>
              </w:rPr>
            </w:pPr>
          </w:p>
        </w:tc>
        <w:tc>
          <w:tcPr>
            <w:tcW w:w="1689" w:type="dxa"/>
            <w:vAlign w:val="center"/>
          </w:tcPr>
          <w:p>
            <w:pPr>
              <w:rPr>
                <w:rFonts w:asciiTheme="minorEastAsia" w:hAnsiTheme="minorEastAsia" w:eastAsiaTheme="minorEastAsia"/>
                <w:color w:val="auto"/>
                <w:sz w:val="24"/>
                <w:highlight w:val="none"/>
              </w:rPr>
            </w:pPr>
          </w:p>
        </w:tc>
        <w:tc>
          <w:tcPr>
            <w:tcW w:w="1413" w:type="dxa"/>
            <w:vAlign w:val="center"/>
          </w:tcPr>
          <w:p>
            <w:pPr>
              <w:rPr>
                <w:rFonts w:asciiTheme="minorEastAsia" w:hAnsiTheme="minorEastAsia" w:eastAsiaTheme="minorEastAsia"/>
                <w:color w:val="auto"/>
                <w:sz w:val="24"/>
                <w:highlight w:val="none"/>
              </w:rPr>
            </w:pPr>
          </w:p>
        </w:tc>
        <w:tc>
          <w:tcPr>
            <w:tcW w:w="1864"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610" w:type="dxa"/>
            <w:vAlign w:val="center"/>
          </w:tcPr>
          <w:p>
            <w:pPr>
              <w:rPr>
                <w:rFonts w:asciiTheme="minorEastAsia" w:hAnsiTheme="minorEastAsia" w:eastAsiaTheme="minorEastAsia"/>
                <w:color w:val="auto"/>
                <w:sz w:val="24"/>
                <w:highlight w:val="none"/>
              </w:rPr>
            </w:pPr>
          </w:p>
        </w:tc>
        <w:tc>
          <w:tcPr>
            <w:tcW w:w="534" w:type="dxa"/>
            <w:vAlign w:val="center"/>
          </w:tcPr>
          <w:p>
            <w:pPr>
              <w:rPr>
                <w:rFonts w:asciiTheme="minorEastAsia" w:hAnsiTheme="minorEastAsia" w:eastAsiaTheme="minorEastAsia"/>
                <w:color w:val="auto"/>
                <w:sz w:val="24"/>
                <w:highlight w:val="none"/>
              </w:rPr>
            </w:pPr>
          </w:p>
        </w:tc>
        <w:tc>
          <w:tcPr>
            <w:tcW w:w="1422" w:type="dxa"/>
            <w:vAlign w:val="center"/>
          </w:tcPr>
          <w:p>
            <w:pPr>
              <w:rPr>
                <w:rFonts w:asciiTheme="minorEastAsia" w:hAnsiTheme="minorEastAsia" w:eastAsiaTheme="minorEastAsia"/>
                <w:color w:val="auto"/>
                <w:sz w:val="24"/>
                <w:highlight w:val="none"/>
              </w:rPr>
            </w:pPr>
          </w:p>
        </w:tc>
        <w:tc>
          <w:tcPr>
            <w:tcW w:w="1689" w:type="dxa"/>
            <w:vAlign w:val="center"/>
          </w:tcPr>
          <w:p>
            <w:pPr>
              <w:rPr>
                <w:rFonts w:asciiTheme="minorEastAsia" w:hAnsiTheme="minorEastAsia" w:eastAsiaTheme="minorEastAsia"/>
                <w:color w:val="auto"/>
                <w:sz w:val="24"/>
                <w:highlight w:val="none"/>
              </w:rPr>
            </w:pPr>
          </w:p>
        </w:tc>
        <w:tc>
          <w:tcPr>
            <w:tcW w:w="1413" w:type="dxa"/>
            <w:vAlign w:val="center"/>
          </w:tcPr>
          <w:p>
            <w:pPr>
              <w:rPr>
                <w:rFonts w:asciiTheme="minorEastAsia" w:hAnsiTheme="minorEastAsia" w:eastAsiaTheme="minorEastAsia"/>
                <w:color w:val="auto"/>
                <w:sz w:val="24"/>
                <w:highlight w:val="none"/>
              </w:rPr>
            </w:pPr>
          </w:p>
        </w:tc>
        <w:tc>
          <w:tcPr>
            <w:tcW w:w="1864"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610" w:type="dxa"/>
            <w:vAlign w:val="center"/>
          </w:tcPr>
          <w:p>
            <w:pPr>
              <w:rPr>
                <w:rFonts w:asciiTheme="minorEastAsia" w:hAnsiTheme="minorEastAsia" w:eastAsiaTheme="minorEastAsia"/>
                <w:color w:val="auto"/>
                <w:sz w:val="24"/>
                <w:highlight w:val="none"/>
              </w:rPr>
            </w:pPr>
          </w:p>
        </w:tc>
        <w:tc>
          <w:tcPr>
            <w:tcW w:w="534" w:type="dxa"/>
            <w:vAlign w:val="center"/>
          </w:tcPr>
          <w:p>
            <w:pPr>
              <w:rPr>
                <w:rFonts w:asciiTheme="minorEastAsia" w:hAnsiTheme="minorEastAsia" w:eastAsiaTheme="minorEastAsia"/>
                <w:color w:val="auto"/>
                <w:sz w:val="24"/>
                <w:highlight w:val="none"/>
              </w:rPr>
            </w:pPr>
          </w:p>
        </w:tc>
        <w:tc>
          <w:tcPr>
            <w:tcW w:w="1422" w:type="dxa"/>
            <w:vAlign w:val="center"/>
          </w:tcPr>
          <w:p>
            <w:pPr>
              <w:rPr>
                <w:rFonts w:asciiTheme="minorEastAsia" w:hAnsiTheme="minorEastAsia" w:eastAsiaTheme="minorEastAsia"/>
                <w:color w:val="auto"/>
                <w:sz w:val="24"/>
                <w:highlight w:val="none"/>
              </w:rPr>
            </w:pPr>
          </w:p>
        </w:tc>
        <w:tc>
          <w:tcPr>
            <w:tcW w:w="1689" w:type="dxa"/>
            <w:vAlign w:val="center"/>
          </w:tcPr>
          <w:p>
            <w:pPr>
              <w:rPr>
                <w:rFonts w:asciiTheme="minorEastAsia" w:hAnsiTheme="minorEastAsia" w:eastAsiaTheme="minorEastAsia"/>
                <w:color w:val="auto"/>
                <w:sz w:val="24"/>
                <w:highlight w:val="none"/>
              </w:rPr>
            </w:pPr>
          </w:p>
        </w:tc>
        <w:tc>
          <w:tcPr>
            <w:tcW w:w="1413" w:type="dxa"/>
            <w:vAlign w:val="center"/>
          </w:tcPr>
          <w:p>
            <w:pPr>
              <w:rPr>
                <w:rFonts w:asciiTheme="minorEastAsia" w:hAnsiTheme="minorEastAsia" w:eastAsiaTheme="minorEastAsia"/>
                <w:color w:val="auto"/>
                <w:sz w:val="24"/>
                <w:highlight w:val="none"/>
              </w:rPr>
            </w:pPr>
          </w:p>
        </w:tc>
        <w:tc>
          <w:tcPr>
            <w:tcW w:w="1864"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w:t>
            </w:r>
          </w:p>
        </w:tc>
        <w:tc>
          <w:tcPr>
            <w:tcW w:w="1610" w:type="dxa"/>
            <w:vAlign w:val="center"/>
          </w:tcPr>
          <w:p>
            <w:pPr>
              <w:rPr>
                <w:rFonts w:asciiTheme="minorEastAsia" w:hAnsiTheme="minorEastAsia" w:eastAsiaTheme="minorEastAsia"/>
                <w:color w:val="auto"/>
                <w:sz w:val="24"/>
                <w:highlight w:val="none"/>
              </w:rPr>
            </w:pPr>
          </w:p>
        </w:tc>
        <w:tc>
          <w:tcPr>
            <w:tcW w:w="534" w:type="dxa"/>
            <w:vAlign w:val="center"/>
          </w:tcPr>
          <w:p>
            <w:pPr>
              <w:rPr>
                <w:rFonts w:asciiTheme="minorEastAsia" w:hAnsiTheme="minorEastAsia" w:eastAsiaTheme="minorEastAsia"/>
                <w:color w:val="auto"/>
                <w:sz w:val="24"/>
                <w:highlight w:val="none"/>
              </w:rPr>
            </w:pPr>
          </w:p>
        </w:tc>
        <w:tc>
          <w:tcPr>
            <w:tcW w:w="1422" w:type="dxa"/>
            <w:vAlign w:val="center"/>
          </w:tcPr>
          <w:p>
            <w:pPr>
              <w:rPr>
                <w:rFonts w:asciiTheme="minorEastAsia" w:hAnsiTheme="minorEastAsia" w:eastAsiaTheme="minorEastAsia"/>
                <w:color w:val="auto"/>
                <w:sz w:val="24"/>
                <w:highlight w:val="none"/>
              </w:rPr>
            </w:pPr>
          </w:p>
        </w:tc>
        <w:tc>
          <w:tcPr>
            <w:tcW w:w="1689" w:type="dxa"/>
            <w:vAlign w:val="center"/>
          </w:tcPr>
          <w:p>
            <w:pPr>
              <w:rPr>
                <w:rFonts w:asciiTheme="minorEastAsia" w:hAnsiTheme="minorEastAsia" w:eastAsiaTheme="minorEastAsia"/>
                <w:color w:val="auto"/>
                <w:sz w:val="24"/>
                <w:highlight w:val="none"/>
              </w:rPr>
            </w:pPr>
          </w:p>
        </w:tc>
        <w:tc>
          <w:tcPr>
            <w:tcW w:w="1413" w:type="dxa"/>
            <w:vAlign w:val="center"/>
          </w:tcPr>
          <w:p>
            <w:pPr>
              <w:rPr>
                <w:rFonts w:asciiTheme="minorEastAsia" w:hAnsiTheme="minorEastAsia" w:eastAsiaTheme="minorEastAsia"/>
                <w:color w:val="auto"/>
                <w:sz w:val="24"/>
                <w:highlight w:val="none"/>
              </w:rPr>
            </w:pPr>
          </w:p>
        </w:tc>
        <w:tc>
          <w:tcPr>
            <w:tcW w:w="1864"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总报价：人民币</w:t>
            </w:r>
            <w:r>
              <w:rPr>
                <w:rFonts w:hint="eastAsia" w:asciiTheme="minorEastAsia" w:hAnsiTheme="minorEastAsia" w:eastAsiaTheme="minorEastAsia"/>
                <w:color w:val="auto"/>
                <w:sz w:val="24"/>
                <w:highlight w:val="none"/>
                <w:u w:val="single"/>
              </w:rPr>
              <w:t xml:space="preserve">              （￥                 </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质保期：</w:t>
            </w:r>
          </w:p>
        </w:tc>
      </w:tr>
    </w:tbl>
    <w:p>
      <w:pPr>
        <w:spacing w:after="0" w:line="360" w:lineRule="exact"/>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注：1.所有价格均用人民币表示，单位为元，精确到小数点后两位数。</w:t>
      </w:r>
    </w:p>
    <w:p>
      <w:pPr>
        <w:spacing w:after="0" w:line="360" w:lineRule="exact"/>
        <w:ind w:firstLine="44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bCs/>
          <w:color w:val="auto"/>
          <w:highlight w:val="none"/>
        </w:rPr>
        <w:t>2.各供应商</w:t>
      </w:r>
      <w:r>
        <w:rPr>
          <w:rFonts w:hint="eastAsia" w:asciiTheme="minorEastAsia" w:hAnsiTheme="minorEastAsia" w:eastAsiaTheme="minorEastAsia"/>
          <w:color w:val="auto"/>
          <w:highlight w:val="none"/>
        </w:rPr>
        <w:t>必须就“项目采购需求和说明”中所有内容作完整唯一报价，否则，其响应文件无效。</w:t>
      </w:r>
    </w:p>
    <w:p>
      <w:pPr>
        <w:spacing w:after="0" w:line="360" w:lineRule="exact"/>
        <w:ind w:firstLine="44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此表的总报价是所有需采购方支付的本次采购标的金额总数，即竞标总价。竞标总价须包含完成用户需求要求所有内容的全部费用。</w:t>
      </w:r>
      <w:r>
        <w:rPr>
          <w:rFonts w:asciiTheme="minorEastAsia" w:hAnsiTheme="minorEastAsia" w:eastAsiaTheme="minorEastAsia"/>
          <w:color w:val="auto"/>
          <w:highlight w:val="none"/>
        </w:rPr>
        <w:tab/>
      </w:r>
    </w:p>
    <w:p>
      <w:pPr>
        <w:spacing w:after="0" w:line="360" w:lineRule="exact"/>
        <w:ind w:firstLine="44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若此表由多页构成的，需逐页加盖供应商公章。</w:t>
      </w:r>
    </w:p>
    <w:p>
      <w:pPr>
        <w:spacing w:after="120"/>
        <w:rPr>
          <w:rFonts w:asciiTheme="minorEastAsia" w:hAnsiTheme="minorEastAsia" w:eastAsiaTheme="minorEastAsia"/>
          <w:color w:val="auto"/>
          <w:highlight w:val="none"/>
        </w:rPr>
      </w:pPr>
    </w:p>
    <w:p>
      <w:pPr>
        <w:spacing w:after="120"/>
        <w:rPr>
          <w:rFonts w:asciiTheme="minorEastAsia" w:hAnsiTheme="minorEastAsia" w:eastAsiaTheme="minorEastAsia"/>
          <w:color w:val="auto"/>
          <w:highlight w:val="none"/>
        </w:rPr>
      </w:pPr>
    </w:p>
    <w:p>
      <w:pPr>
        <w:spacing w:after="120" w:line="360" w:lineRule="auto"/>
        <w:ind w:left="1320" w:leftChars="60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               </w:t>
      </w:r>
    </w:p>
    <w:p>
      <w:pPr>
        <w:spacing w:after="120" w:line="360" w:lineRule="auto"/>
        <w:ind w:left="1320" w:leftChars="600"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地址：      </w:t>
      </w:r>
      <w:r>
        <w:rPr>
          <w:rFonts w:hint="eastAsia" w:cs="宋体" w:asciiTheme="minorEastAsia" w:hAnsiTheme="minorEastAsia" w:eastAsiaTheme="minorEastAsia"/>
          <w:color w:val="auto"/>
          <w:sz w:val="24"/>
          <w:highlight w:val="none"/>
        </w:rPr>
        <w:t>邮编</w:t>
      </w:r>
      <w:r>
        <w:rPr>
          <w:rFonts w:hint="eastAsia" w:asciiTheme="minorEastAsia" w:hAnsiTheme="minorEastAsia" w:eastAsiaTheme="minorEastAsia"/>
          <w:color w:val="auto"/>
          <w:sz w:val="24"/>
          <w:highlight w:val="none"/>
        </w:rPr>
        <w:t>：</w:t>
      </w:r>
    </w:p>
    <w:p>
      <w:pPr>
        <w:spacing w:after="120" w:line="360" w:lineRule="auto"/>
        <w:ind w:left="1320" w:leftChars="600"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电话</w:t>
      </w:r>
      <w:r>
        <w:rPr>
          <w:rFonts w:hint="eastAsia"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传</w:t>
      </w:r>
      <w:r>
        <w:rPr>
          <w:rFonts w:hint="eastAsia" w:asciiTheme="minorEastAsia" w:hAnsiTheme="minorEastAsia" w:eastAsiaTheme="minorEastAsia"/>
          <w:color w:val="auto"/>
          <w:sz w:val="24"/>
          <w:highlight w:val="none"/>
        </w:rPr>
        <w:t>真：</w:t>
      </w:r>
    </w:p>
    <w:p>
      <w:pPr>
        <w:spacing w:after="120" w:line="360" w:lineRule="auto"/>
        <w:ind w:left="1320" w:leftChars="60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w:t>
      </w:r>
      <w:r>
        <w:rPr>
          <w:rFonts w:hint="eastAsia" w:asciiTheme="minorEastAsia" w:hAnsiTheme="minorEastAsia" w:eastAsiaTheme="minorEastAsia"/>
          <w:color w:val="auto"/>
          <w:sz w:val="24"/>
          <w:highlight w:val="none"/>
          <w:u w:val="single"/>
        </w:rPr>
        <w:t xml:space="preserve">              （签字）        </w:t>
      </w:r>
    </w:p>
    <w:p>
      <w:pPr>
        <w:spacing w:after="120" w:line="360" w:lineRule="auto"/>
        <w:ind w:left="1320" w:leftChars="60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spacing w:line="300" w:lineRule="auto"/>
        <w:rPr>
          <w:rFonts w:asciiTheme="minorEastAsia" w:hAnsiTheme="minorEastAsia" w:eastAsiaTheme="minorEastAsia"/>
          <w:color w:val="auto"/>
          <w:sz w:val="24"/>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color w:val="auto"/>
          <w:sz w:val="24"/>
          <w:highlight w:val="none"/>
        </w:rPr>
        <w:t>附件二：</w:t>
      </w:r>
    </w:p>
    <w:p>
      <w:pPr>
        <w:spacing w:before="120" w:beforeLines="50" w:after="120" w:afterLines="50" w:line="600" w:lineRule="exact"/>
        <w:jc w:val="center"/>
        <w:rPr>
          <w:rFonts w:asciiTheme="minorEastAsia" w:hAnsiTheme="minorEastAsia" w:eastAsiaTheme="minorEastAsia"/>
          <w:color w:val="auto"/>
          <w:sz w:val="32"/>
          <w:szCs w:val="32"/>
          <w:highlight w:val="none"/>
        </w:rPr>
      </w:pPr>
      <w:bookmarkStart w:id="92" w:name="_Toc246095476"/>
      <w:bookmarkStart w:id="93" w:name="_Toc246095538"/>
      <w:bookmarkStart w:id="94" w:name="_Toc246094932"/>
      <w:r>
        <w:rPr>
          <w:rFonts w:hint="eastAsia" w:asciiTheme="minorEastAsia" w:hAnsiTheme="minorEastAsia" w:eastAsiaTheme="minorEastAsia"/>
          <w:color w:val="auto"/>
          <w:sz w:val="32"/>
          <w:szCs w:val="32"/>
          <w:highlight w:val="none"/>
        </w:rPr>
        <w:t>谈判书</w:t>
      </w:r>
      <w:bookmarkEnd w:id="92"/>
      <w:bookmarkEnd w:id="93"/>
      <w:bookmarkEnd w:id="94"/>
    </w:p>
    <w:p>
      <w:pPr>
        <w:spacing w:after="0" w:line="42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致：(采购代理机构)</w:t>
      </w:r>
    </w:p>
    <w:p>
      <w:pPr>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根据贵方的</w:t>
      </w:r>
      <w:r>
        <w:rPr>
          <w:rFonts w:hint="eastAsia" w:cs="Arial" w:asciiTheme="minorEastAsia" w:hAnsiTheme="minorEastAsia" w:eastAsiaTheme="minorEastAsia"/>
          <w:color w:val="auto"/>
          <w:sz w:val="24"/>
          <w:highlight w:val="none"/>
          <w:u w:val="single"/>
        </w:rPr>
        <w:t xml:space="preserve">   （项目名称） （项目编号：     ）  </w:t>
      </w:r>
      <w:r>
        <w:rPr>
          <w:rFonts w:hint="eastAsia" w:cs="Arial" w:asciiTheme="minorEastAsia" w:hAnsiTheme="minorEastAsia" w:eastAsiaTheme="minorEastAsia"/>
          <w:color w:val="auto"/>
          <w:sz w:val="24"/>
          <w:highlight w:val="none"/>
        </w:rPr>
        <w:t>项目政府采购的谈判邀请，我方授权代表</w:t>
      </w:r>
      <w:r>
        <w:rPr>
          <w:rFonts w:hint="eastAsia" w:cs="Arial" w:asciiTheme="minorEastAsia" w:hAnsiTheme="minorEastAsia" w:eastAsiaTheme="minorEastAsia"/>
          <w:color w:val="auto"/>
          <w:sz w:val="24"/>
          <w:highlight w:val="none"/>
          <w:u w:val="single"/>
        </w:rPr>
        <w:t xml:space="preserve">         （姓名和职务）</w:t>
      </w:r>
      <w:r>
        <w:rPr>
          <w:rFonts w:hint="eastAsia" w:cs="Arial" w:asciiTheme="minorEastAsia" w:hAnsiTheme="minorEastAsia" w:eastAsiaTheme="minorEastAsia"/>
          <w:color w:val="auto"/>
          <w:sz w:val="24"/>
          <w:highlight w:val="none"/>
        </w:rPr>
        <w:t>经正式授权并代表供应商</w:t>
      </w:r>
      <w:r>
        <w:rPr>
          <w:rFonts w:hint="eastAsia" w:cs="Arial" w:asciiTheme="minorEastAsia" w:hAnsiTheme="minorEastAsia" w:eastAsiaTheme="minorEastAsia"/>
          <w:color w:val="auto"/>
          <w:sz w:val="24"/>
          <w:highlight w:val="none"/>
          <w:u w:val="single"/>
        </w:rPr>
        <w:t xml:space="preserve">    （供应商名称）   </w:t>
      </w:r>
      <w:r>
        <w:rPr>
          <w:rFonts w:hint="eastAsia" w:cs="Arial" w:asciiTheme="minorEastAsia" w:hAnsiTheme="minorEastAsia" w:eastAsiaTheme="minorEastAsia"/>
          <w:color w:val="auto"/>
          <w:sz w:val="24"/>
          <w:highlight w:val="none"/>
        </w:rPr>
        <w:t>提交响应文件正本一份、副本份。</w:t>
      </w:r>
    </w:p>
    <w:p>
      <w:pPr>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在此，授权代表宣布同意如下：</w:t>
      </w:r>
    </w:p>
    <w:p>
      <w:pPr>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3．本次响应文件有效期</w:t>
      </w:r>
      <w:r>
        <w:rPr>
          <w:rFonts w:hint="eastAsia" w:cs="宋体" w:asciiTheme="minorEastAsia" w:hAnsiTheme="minorEastAsia" w:eastAsiaTheme="minorEastAsia"/>
          <w:color w:val="auto"/>
          <w:sz w:val="24"/>
          <w:highlight w:val="none"/>
        </w:rPr>
        <w:t>自响应文件提交截止之日起天（日历天）</w:t>
      </w:r>
      <w:r>
        <w:rPr>
          <w:rFonts w:hint="eastAsia" w:cs="Arial" w:asciiTheme="minorEastAsia" w:hAnsiTheme="minorEastAsia" w:eastAsiaTheme="minorEastAsia"/>
          <w:color w:val="auto"/>
          <w:sz w:val="24"/>
          <w:highlight w:val="none"/>
        </w:rPr>
        <w:t>内。</w:t>
      </w:r>
    </w:p>
    <w:p>
      <w:pPr>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4．如成交，供应商将按“竞争性谈判文件”及政府采购法律、法规的规定履行合同责任和义务。</w:t>
      </w:r>
    </w:p>
    <w:p>
      <w:pPr>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5．供应商同意按照贵方要求提供与谈判有关的一切数据或资料。</w:t>
      </w:r>
    </w:p>
    <w:p>
      <w:pPr>
        <w:autoSpaceDE w:val="0"/>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6. 本项目谈判保证金请退回如下账号：</w:t>
      </w:r>
    </w:p>
    <w:tbl>
      <w:tblPr>
        <w:tblStyle w:val="37"/>
        <w:tblW w:w="0" w:type="auto"/>
        <w:jc w:val="center"/>
        <w:tblLayout w:type="fixed"/>
        <w:tblCellMar>
          <w:top w:w="0" w:type="dxa"/>
          <w:left w:w="108" w:type="dxa"/>
          <w:bottom w:w="0" w:type="dxa"/>
          <w:right w:w="108" w:type="dxa"/>
        </w:tblCellMar>
      </w:tblPr>
      <w:tblGrid>
        <w:gridCol w:w="3533"/>
        <w:gridCol w:w="1731"/>
        <w:gridCol w:w="1860"/>
        <w:gridCol w:w="1860"/>
      </w:tblGrid>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供应商（收款单位）名称</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供应商地址</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开户银行</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账    号</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 系 人</w:t>
            </w:r>
          </w:p>
        </w:tc>
        <w:tc>
          <w:tcPr>
            <w:tcW w:w="1731"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p>
        </w:tc>
        <w:tc>
          <w:tcPr>
            <w:tcW w:w="1860"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highlight w:val="none"/>
              </w:rPr>
            </w:pPr>
          </w:p>
        </w:tc>
      </w:tr>
    </w:tbl>
    <w:p>
      <w:pPr>
        <w:spacing w:after="0" w:line="42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7．与本次谈判有关的一切正式往来信函请寄：</w:t>
      </w:r>
    </w:p>
    <w:p>
      <w:pPr>
        <w:spacing w:after="0" w:line="420" w:lineRule="exact"/>
        <w:ind w:left="1320" w:leftChars="600" w:firstLine="480" w:firstLineChars="200"/>
        <w:rPr>
          <w:rFonts w:asciiTheme="minorEastAsia" w:hAnsiTheme="minorEastAsia" w:eastAsiaTheme="minorEastAsia"/>
          <w:color w:val="auto"/>
          <w:sz w:val="24"/>
          <w:highlight w:val="none"/>
        </w:rPr>
      </w:pPr>
    </w:p>
    <w:p>
      <w:pPr>
        <w:spacing w:after="0" w:line="420" w:lineRule="exact"/>
        <w:ind w:left="1320" w:leftChars="60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                 </w:t>
      </w:r>
    </w:p>
    <w:p>
      <w:pPr>
        <w:spacing w:after="0" w:line="420" w:lineRule="exact"/>
        <w:ind w:left="1320" w:leftChars="60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地址：       邮编：          </w:t>
      </w:r>
    </w:p>
    <w:p>
      <w:pPr>
        <w:spacing w:after="0" w:line="420" w:lineRule="exact"/>
        <w:ind w:left="1320" w:leftChars="60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       传真：</w:t>
      </w:r>
    </w:p>
    <w:p>
      <w:pPr>
        <w:spacing w:after="0" w:line="420" w:lineRule="exact"/>
        <w:ind w:left="1320" w:leftChars="60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w:t>
      </w:r>
      <w:r>
        <w:rPr>
          <w:rFonts w:hint="eastAsia" w:asciiTheme="minorEastAsia" w:hAnsiTheme="minorEastAsia" w:eastAsiaTheme="minorEastAsia"/>
          <w:color w:val="auto"/>
          <w:sz w:val="24"/>
          <w:highlight w:val="none"/>
          <w:u w:val="single"/>
        </w:rPr>
        <w:t xml:space="preserve">          （签字）        </w:t>
      </w:r>
    </w:p>
    <w:p>
      <w:pPr>
        <w:spacing w:after="0" w:line="420" w:lineRule="exact"/>
        <w:ind w:left="1320" w:leftChars="60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spacing w:after="0" w:line="420" w:lineRule="exact"/>
        <w:ind w:left="1320" w:leftChars="600" w:firstLine="480" w:firstLineChars="200"/>
        <w:rPr>
          <w:rFonts w:asciiTheme="minorEastAsia" w:hAnsiTheme="minorEastAsia" w:eastAsiaTheme="minorEastAsia"/>
          <w:color w:val="auto"/>
          <w:sz w:val="24"/>
          <w:highlight w:val="none"/>
        </w:rPr>
      </w:pPr>
    </w:p>
    <w:p>
      <w:pPr>
        <w:spacing w:after="0" w:line="420" w:lineRule="exact"/>
        <w:rPr>
          <w:rFonts w:asciiTheme="minorEastAsia" w:hAnsiTheme="minorEastAsia" w:eastAsiaTheme="minorEastAsia"/>
          <w:b/>
          <w:color w:val="auto"/>
          <w:sz w:val="24"/>
          <w:highlight w:val="none"/>
        </w:rPr>
      </w:pPr>
      <w:bookmarkStart w:id="95" w:name="_Toc405196519"/>
      <w:r>
        <w:rPr>
          <w:rFonts w:hint="eastAsia" w:asciiTheme="minorEastAsia" w:hAnsiTheme="minorEastAsia" w:eastAsiaTheme="minorEastAsia"/>
          <w:color w:val="auto"/>
          <w:highlight w:val="none"/>
        </w:rPr>
        <w:br w:type="page"/>
      </w:r>
      <w:r>
        <w:rPr>
          <w:rFonts w:hint="eastAsia" w:asciiTheme="minorEastAsia" w:hAnsiTheme="minorEastAsia" w:eastAsiaTheme="minorEastAsia"/>
          <w:b/>
          <w:color w:val="auto"/>
          <w:sz w:val="24"/>
          <w:highlight w:val="none"/>
        </w:rPr>
        <w:t>附件三：</w:t>
      </w:r>
    </w:p>
    <w:bookmarkEnd w:id="95"/>
    <w:p>
      <w:pPr>
        <w:spacing w:before="120" w:beforeLines="50" w:after="120" w:afterLines="50" w:line="600" w:lineRule="exact"/>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竞标声明书</w:t>
      </w:r>
    </w:p>
    <w:p>
      <w:pPr>
        <w:spacing w:after="0" w:line="400" w:lineRule="exact"/>
        <w:rPr>
          <w:rFonts w:asciiTheme="minorEastAsia" w:hAnsiTheme="minorEastAsia" w:eastAsiaTheme="minorEastAsia"/>
          <w:color w:val="auto"/>
          <w:sz w:val="24"/>
          <w:highlight w:val="none"/>
        </w:rPr>
      </w:pPr>
    </w:p>
    <w:p>
      <w:pPr>
        <w:spacing w:after="0" w:line="400" w:lineRule="exac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highlight w:val="none"/>
        </w:rPr>
        <w:t>致：(采购代理机构)</w:t>
      </w:r>
    </w:p>
    <w:p>
      <w:pPr>
        <w:spacing w:after="0" w:line="400" w:lineRule="exact"/>
        <w:ind w:firstLine="720" w:firstLineChars="3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highlight w:val="none"/>
          <w:u w:val="single"/>
        </w:rPr>
        <w:t>（供应商名称）</w:t>
      </w:r>
      <w:r>
        <w:rPr>
          <w:rFonts w:hint="eastAsia" w:asciiTheme="minorEastAsia" w:hAnsiTheme="minorEastAsia" w:eastAsiaTheme="minorEastAsia"/>
          <w:color w:val="auto"/>
          <w:sz w:val="24"/>
          <w:highlight w:val="none"/>
        </w:rPr>
        <w:t>系中华人民共和国合法企业，经营地址：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after="0" w:line="400" w:lineRule="exact"/>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highlight w:val="none"/>
        </w:rPr>
        <w:t>我</w:t>
      </w:r>
      <w:r>
        <w:rPr>
          <w:rFonts w:hint="eastAsia" w:asciiTheme="minorEastAsia" w:hAnsiTheme="minorEastAsia" w:eastAsiaTheme="minorEastAsia"/>
          <w:color w:val="auto"/>
          <w:sz w:val="24"/>
          <w:highlight w:val="none"/>
          <w:u w:val="single"/>
        </w:rPr>
        <w:t>（姓名）</w:t>
      </w: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u w:val="single"/>
        </w:rPr>
        <w:t>（供应商名称）</w:t>
      </w:r>
      <w:r>
        <w:rPr>
          <w:rFonts w:hint="eastAsia" w:asciiTheme="minorEastAsia" w:hAnsiTheme="minorEastAsia" w:eastAsiaTheme="minorEastAsia"/>
          <w:color w:val="auto"/>
          <w:sz w:val="24"/>
          <w:highlight w:val="none"/>
        </w:rPr>
        <w:t>的法定代表人，我方愿意参加贵方组织的</w:t>
      </w:r>
      <w:r>
        <w:rPr>
          <w:rFonts w:hint="eastAsia" w:asciiTheme="minorEastAsia" w:hAnsiTheme="minorEastAsia" w:eastAsiaTheme="minorEastAsia"/>
          <w:color w:val="auto"/>
          <w:sz w:val="24"/>
          <w:highlight w:val="none"/>
          <w:u w:val="single"/>
        </w:rPr>
        <w:t xml:space="preserve">（项目名称）（项目编号：      </w:t>
      </w:r>
      <w:r>
        <w:rPr>
          <w:rFonts w:hint="eastAsia" w:asciiTheme="minorEastAsia" w:hAnsiTheme="minorEastAsia" w:eastAsiaTheme="minorEastAsia"/>
          <w:color w:val="auto"/>
          <w:sz w:val="24"/>
          <w:highlight w:val="none"/>
        </w:rPr>
        <w:t>）的竞标，为便于贵方公正、择优地确定成交人及其服务，我方就本次竞标有关事项郑重声明如下：</w:t>
      </w:r>
    </w:p>
    <w:p>
      <w:pPr>
        <w:spacing w:after="0" w:line="400" w:lineRule="exact"/>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highlight w:val="none"/>
        </w:rPr>
        <w:t>1.我方向贵方提交的所有响应文件、资料都是准确的和真实的。</w:t>
      </w:r>
    </w:p>
    <w:p>
      <w:pPr>
        <w:spacing w:after="0" w:line="400" w:lineRule="exact"/>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Theme="minorEastAsia" w:hAnsiTheme="minorEastAsia" w:eastAsiaTheme="minorEastAsia"/>
          <w:color w:val="auto"/>
          <w:sz w:val="24"/>
          <w:szCs w:val="20"/>
          <w:highlight w:val="none"/>
        </w:rPr>
      </w:pPr>
      <w:r>
        <w:rPr>
          <w:rFonts w:asciiTheme="minorEastAsia" w:hAnsiTheme="minorEastAsia" w:eastAsiaTheme="minorEastAsia"/>
          <w:color w:val="auto"/>
          <w:sz w:val="24"/>
          <w:szCs w:val="20"/>
          <w:highlight w:val="none"/>
        </w:rPr>
        <w:t>3</w:t>
      </w:r>
      <w:r>
        <w:rPr>
          <w:rFonts w:hint="eastAsia" w:asciiTheme="minorEastAsia" w:hAnsiTheme="minorEastAsia" w:eastAsiaTheme="minorEastAsia"/>
          <w:color w:val="auto"/>
          <w:sz w:val="24"/>
          <w:szCs w:val="20"/>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□我方本次响应文件</w:t>
      </w:r>
      <w:r>
        <w:rPr>
          <w:rFonts w:hint="eastAsia" w:cs="宋体" w:asciiTheme="minorEastAsia" w:hAnsiTheme="minorEastAsia" w:eastAsiaTheme="minorEastAsia"/>
          <w:color w:val="auto"/>
          <w:sz w:val="24"/>
          <w:highlight w:val="none"/>
        </w:rPr>
        <w:t>内容中</w:t>
      </w:r>
      <w:r>
        <w:rPr>
          <w:rFonts w:hint="eastAsia" w:asciiTheme="minorEastAsia" w:hAnsiTheme="minorEastAsia" w:eastAsiaTheme="minorEastAsia"/>
          <w:color w:val="auto"/>
          <w:sz w:val="24"/>
          <w:szCs w:val="20"/>
          <w:highlight w:val="none"/>
        </w:rPr>
        <w:t>未</w:t>
      </w:r>
      <w:r>
        <w:rPr>
          <w:rFonts w:hint="eastAsia" w:cs="宋体" w:asciiTheme="minorEastAsia" w:hAnsiTheme="minorEastAsia" w:eastAsiaTheme="minorEastAsia"/>
          <w:color w:val="auto"/>
          <w:sz w:val="24"/>
          <w:highlight w:val="none"/>
        </w:rPr>
        <w:t>涉及商业秘密；</w:t>
      </w:r>
    </w:p>
    <w:p>
      <w:pPr>
        <w:spacing w:after="0" w:line="400" w:lineRule="exact"/>
        <w:ind w:firstLine="480" w:firstLineChars="200"/>
        <w:rPr>
          <w:rFonts w:asciiTheme="minorEastAsia" w:hAnsiTheme="minorEastAsia" w:eastAsiaTheme="minorEastAsia"/>
          <w:color w:val="auto"/>
          <w:sz w:val="24"/>
          <w:szCs w:val="20"/>
          <w:highlight w:val="none"/>
          <w:u w:val="single"/>
        </w:rPr>
      </w:pPr>
      <w:r>
        <w:rPr>
          <w:rFonts w:hint="eastAsia" w:asciiTheme="minorEastAsia" w:hAnsiTheme="minorEastAsia" w:eastAsiaTheme="minorEastAsia"/>
          <w:color w:val="auto"/>
          <w:sz w:val="24"/>
          <w:szCs w:val="20"/>
          <w:highlight w:val="none"/>
        </w:rPr>
        <w:t>□我方本次响应文件</w:t>
      </w:r>
      <w:r>
        <w:rPr>
          <w:rFonts w:hint="eastAsia" w:cs="宋体" w:asciiTheme="minorEastAsia" w:hAnsiTheme="minorEastAsia" w:eastAsiaTheme="minorEastAsia"/>
          <w:color w:val="auto"/>
          <w:sz w:val="24"/>
          <w:highlight w:val="none"/>
        </w:rPr>
        <w:t>涉及商业秘密的内容有：；</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.我方在此声明，完全符合《中华人民共和国政府采购法》第二十二条规定的供应商资格条件，我方对此声明负全部法律责任。</w:t>
      </w:r>
    </w:p>
    <w:p>
      <w:pPr>
        <w:spacing w:after="0" w:line="400" w:lineRule="exact"/>
        <w:ind w:firstLine="480" w:firstLineChars="200"/>
        <w:rPr>
          <w:rFonts w:asciiTheme="minorEastAsia" w:hAnsiTheme="minorEastAsia" w:eastAsiaTheme="minorEastAsia"/>
          <w:color w:val="auto"/>
          <w:sz w:val="24"/>
          <w:szCs w:val="20"/>
          <w:highlight w:val="none"/>
          <w:u w:val="single"/>
        </w:rPr>
      </w:pPr>
      <w:r>
        <w:rPr>
          <w:rFonts w:hint="eastAsia" w:asciiTheme="minorEastAsia" w:hAnsiTheme="minorEastAsia" w:eastAsiaTheme="minorEastAsia"/>
          <w:color w:val="auto"/>
          <w:sz w:val="24"/>
          <w:highlight w:val="none"/>
          <w:lang w:val="zh-CN"/>
        </w:rPr>
        <w:t>5.以上事项如有虚假或隐瞒，我方愿意承担一切后果，并不再寻求任何旨在减轻或免除法律责任的辩解。</w:t>
      </w:r>
    </w:p>
    <w:p>
      <w:pPr>
        <w:spacing w:after="0" w:line="400" w:lineRule="exact"/>
        <w:ind w:firstLine="480" w:firstLineChars="200"/>
        <w:rPr>
          <w:rFonts w:asciiTheme="minorEastAsia" w:hAnsiTheme="minorEastAsia" w:eastAsiaTheme="minorEastAsia"/>
          <w:color w:val="auto"/>
          <w:sz w:val="24"/>
          <w:szCs w:val="20"/>
          <w:highlight w:val="none"/>
          <w:u w:val="single"/>
        </w:rPr>
      </w:pPr>
    </w:p>
    <w:p>
      <w:pPr>
        <w:spacing w:line="400" w:lineRule="exact"/>
        <w:ind w:firstLine="5476" w:firstLineChars="2282"/>
        <w:rPr>
          <w:rFonts w:asciiTheme="minorEastAsia" w:hAnsiTheme="minorEastAsia" w:eastAsiaTheme="minorEastAsia"/>
          <w:color w:val="auto"/>
          <w:sz w:val="24"/>
          <w:highlight w:val="none"/>
        </w:rPr>
      </w:pPr>
    </w:p>
    <w:p>
      <w:pPr>
        <w:spacing w:line="4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 </w:t>
      </w:r>
    </w:p>
    <w:p>
      <w:pPr>
        <w:spacing w:line="400" w:lineRule="exact"/>
        <w:ind w:firstLine="3720" w:firstLineChars="155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法定代表人签字：</w:t>
      </w:r>
    </w:p>
    <w:p>
      <w:pPr>
        <w:spacing w:line="4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adjustRightInd/>
        <w:snapToGrid/>
        <w:spacing w:line="220" w:lineRule="atLeas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pPr>
        <w:spacing w:line="300" w:lineRule="auto"/>
        <w:ind w:left="-92" w:leftChars="-4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附件四：</w:t>
      </w:r>
    </w:p>
    <w:p>
      <w:pPr>
        <w:spacing w:before="120" w:beforeLines="50" w:after="120" w:afterLines="50" w:line="600" w:lineRule="exact"/>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b/>
          <w:color w:val="auto"/>
          <w:sz w:val="32"/>
          <w:szCs w:val="32"/>
          <w:highlight w:val="none"/>
        </w:rPr>
        <w:t>技术响应、偏离情况说明表</w:t>
      </w:r>
    </w:p>
    <w:p>
      <w:pPr>
        <w:spacing w:after="0" w:line="3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采购项目编号:</w:t>
      </w:r>
    </w:p>
    <w:p>
      <w:pPr>
        <w:spacing w:after="0" w:line="3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采购项目名称:</w:t>
      </w:r>
    </w:p>
    <w:tbl>
      <w:tblPr>
        <w:tblStyle w:val="37"/>
        <w:tblW w:w="481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4"/>
        <w:gridCol w:w="1825"/>
        <w:gridCol w:w="1825"/>
        <w:gridCol w:w="1825"/>
        <w:gridCol w:w="1826"/>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after="0" w:line="360" w:lineRule="exact"/>
              <w:rPr>
                <w:rFonts w:asciiTheme="minorEastAsia" w:hAnsiTheme="minorEastAsia" w:eastAsiaTheme="minorEastAsia"/>
                <w:color w:val="auto"/>
                <w:sz w:val="24"/>
                <w:highlight w:val="none"/>
              </w:rPr>
            </w:pPr>
            <w:bookmarkStart w:id="96" w:name="_Toc254970588"/>
            <w:bookmarkStart w:id="97" w:name="_Toc254970729"/>
            <w:bookmarkStart w:id="98" w:name="_Toc173066401"/>
            <w:bookmarkStart w:id="99" w:name="_Toc373333689"/>
            <w:bookmarkStart w:id="100" w:name="_Toc297193185"/>
            <w:bookmarkStart w:id="101" w:name="_Toc173211900"/>
            <w:bookmarkStart w:id="102" w:name="_Toc295404981"/>
            <w:bookmarkStart w:id="103" w:name="_Toc301781611"/>
            <w:bookmarkStart w:id="104" w:name="_Toc383699906"/>
            <w:r>
              <w:rPr>
                <w:rFonts w:hint="eastAsia" w:asciiTheme="minorEastAsia" w:hAnsiTheme="minorEastAsia" w:eastAsiaTheme="minorEastAsia"/>
                <w:color w:val="auto"/>
                <w:sz w:val="24"/>
                <w:highlight w:val="none"/>
              </w:rPr>
              <w:t>序号</w:t>
            </w:r>
            <w:bookmarkEnd w:id="96"/>
            <w:bookmarkEnd w:id="97"/>
            <w:bookmarkEnd w:id="98"/>
            <w:bookmarkEnd w:id="99"/>
            <w:bookmarkEnd w:id="100"/>
            <w:bookmarkEnd w:id="101"/>
            <w:bookmarkEnd w:id="102"/>
            <w:bookmarkEnd w:id="103"/>
            <w:bookmarkEnd w:id="104"/>
          </w:p>
        </w:tc>
        <w:tc>
          <w:tcPr>
            <w:tcW w:w="970" w:type="pct"/>
            <w:tcBorders>
              <w:right w:val="single" w:color="auto" w:sz="4" w:space="0"/>
            </w:tcBorders>
            <w:vAlign w:val="center"/>
          </w:tcPr>
          <w:p>
            <w:pPr>
              <w:spacing w:after="0"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货物或产品名称</w:t>
            </w:r>
          </w:p>
        </w:tc>
        <w:tc>
          <w:tcPr>
            <w:tcW w:w="970" w:type="pct"/>
            <w:tcBorders>
              <w:left w:val="single" w:color="auto" w:sz="4" w:space="0"/>
            </w:tcBorders>
            <w:vAlign w:val="center"/>
          </w:tcPr>
          <w:p>
            <w:pPr>
              <w:spacing w:after="0" w:line="360" w:lineRule="exact"/>
              <w:jc w:val="center"/>
              <w:rPr>
                <w:rFonts w:asciiTheme="minorEastAsia" w:hAnsiTheme="minorEastAsia" w:eastAsiaTheme="minorEastAsia"/>
                <w:color w:val="auto"/>
                <w:sz w:val="24"/>
                <w:highlight w:val="none"/>
              </w:rPr>
            </w:pPr>
            <w:bookmarkStart w:id="105" w:name="_Toc301781612"/>
            <w:bookmarkStart w:id="106" w:name="_Toc373333690"/>
            <w:bookmarkStart w:id="107" w:name="_Toc173211901"/>
            <w:bookmarkStart w:id="108" w:name="_Toc254970730"/>
            <w:bookmarkStart w:id="109" w:name="_Toc297193186"/>
            <w:bookmarkStart w:id="110" w:name="_Toc295404982"/>
            <w:bookmarkStart w:id="111" w:name="_Toc254970589"/>
            <w:bookmarkStart w:id="112" w:name="_Toc383699907"/>
            <w:bookmarkStart w:id="113" w:name="_Toc173066402"/>
            <w:r>
              <w:rPr>
                <w:rFonts w:hint="eastAsia" w:asciiTheme="minorEastAsia" w:hAnsiTheme="minorEastAsia" w:eastAsiaTheme="minorEastAsia"/>
                <w:color w:val="auto"/>
                <w:sz w:val="24"/>
                <w:highlight w:val="none"/>
              </w:rPr>
              <w:t>竞争性谈判文件要求</w:t>
            </w:r>
            <w:bookmarkEnd w:id="105"/>
            <w:bookmarkEnd w:id="106"/>
            <w:bookmarkEnd w:id="107"/>
            <w:bookmarkEnd w:id="108"/>
            <w:bookmarkEnd w:id="109"/>
            <w:bookmarkEnd w:id="110"/>
            <w:bookmarkEnd w:id="111"/>
            <w:bookmarkEnd w:id="112"/>
            <w:bookmarkEnd w:id="113"/>
          </w:p>
        </w:tc>
        <w:tc>
          <w:tcPr>
            <w:tcW w:w="970" w:type="pct"/>
            <w:vAlign w:val="center"/>
          </w:tcPr>
          <w:p>
            <w:pPr>
              <w:spacing w:after="0" w:line="360" w:lineRule="exact"/>
              <w:jc w:val="center"/>
              <w:rPr>
                <w:rFonts w:asciiTheme="minorEastAsia" w:hAnsiTheme="minorEastAsia" w:eastAsiaTheme="minorEastAsia"/>
                <w:color w:val="auto"/>
                <w:sz w:val="24"/>
                <w:highlight w:val="none"/>
              </w:rPr>
            </w:pPr>
            <w:bookmarkStart w:id="114" w:name="_Toc295404983"/>
            <w:bookmarkStart w:id="115" w:name="_Toc301781613"/>
            <w:bookmarkStart w:id="116" w:name="_Toc173211902"/>
            <w:bookmarkStart w:id="117" w:name="_Toc254970731"/>
            <w:bookmarkStart w:id="118" w:name="_Toc173066403"/>
            <w:bookmarkStart w:id="119" w:name="_Toc297193187"/>
            <w:bookmarkStart w:id="120" w:name="_Toc383699908"/>
            <w:bookmarkStart w:id="121" w:name="_Toc254970590"/>
            <w:bookmarkStart w:id="122" w:name="_Toc373333691"/>
            <w:r>
              <w:rPr>
                <w:rFonts w:hint="eastAsia" w:asciiTheme="minorEastAsia" w:hAnsiTheme="minorEastAsia" w:eastAsiaTheme="minorEastAsia"/>
                <w:color w:val="auto"/>
                <w:sz w:val="24"/>
                <w:highlight w:val="none"/>
              </w:rPr>
              <w:t>响应文件响应</w:t>
            </w:r>
            <w:bookmarkEnd w:id="114"/>
            <w:bookmarkEnd w:id="115"/>
            <w:bookmarkEnd w:id="116"/>
            <w:bookmarkEnd w:id="117"/>
            <w:bookmarkEnd w:id="118"/>
            <w:bookmarkEnd w:id="119"/>
            <w:bookmarkEnd w:id="120"/>
            <w:bookmarkEnd w:id="121"/>
            <w:bookmarkEnd w:id="122"/>
            <w:r>
              <w:rPr>
                <w:rFonts w:hint="eastAsia" w:asciiTheme="minorEastAsia" w:hAnsiTheme="minorEastAsia" w:eastAsiaTheme="minorEastAsia"/>
                <w:color w:val="auto"/>
                <w:sz w:val="24"/>
                <w:highlight w:val="none"/>
              </w:rPr>
              <w:t>内容（</w:t>
            </w:r>
            <w:r>
              <w:rPr>
                <w:rFonts w:hint="eastAsia" w:asciiTheme="minorEastAsia" w:hAnsiTheme="minorEastAsia" w:eastAsiaTheme="minorEastAsia"/>
                <w:bCs/>
                <w:color w:val="auto"/>
                <w:sz w:val="24"/>
                <w:highlight w:val="none"/>
              </w:rPr>
              <w:t>货物的技术参数、性能指标承诺）</w:t>
            </w:r>
          </w:p>
        </w:tc>
        <w:tc>
          <w:tcPr>
            <w:tcW w:w="970" w:type="pct"/>
            <w:vAlign w:val="center"/>
          </w:tcPr>
          <w:p>
            <w:pPr>
              <w:spacing w:after="0" w:line="360" w:lineRule="exact"/>
              <w:jc w:val="center"/>
              <w:rPr>
                <w:rFonts w:asciiTheme="minorEastAsia" w:hAnsiTheme="minorEastAsia" w:eastAsiaTheme="minorEastAsia"/>
                <w:color w:val="auto"/>
                <w:sz w:val="24"/>
                <w:highlight w:val="none"/>
              </w:rPr>
            </w:pPr>
            <w:bookmarkStart w:id="123" w:name="_Toc297193188"/>
            <w:bookmarkStart w:id="124" w:name="_Toc373333692"/>
            <w:bookmarkStart w:id="125" w:name="_Toc254970591"/>
            <w:bookmarkStart w:id="126" w:name="_Toc173066404"/>
            <w:bookmarkStart w:id="127" w:name="_Toc301781614"/>
            <w:bookmarkStart w:id="128" w:name="_Toc383699909"/>
            <w:bookmarkStart w:id="129" w:name="_Toc254970732"/>
            <w:bookmarkStart w:id="130" w:name="_Toc173211903"/>
            <w:bookmarkStart w:id="131" w:name="_Toc295404984"/>
            <w:r>
              <w:rPr>
                <w:rFonts w:hint="eastAsia" w:asciiTheme="minorEastAsia" w:hAnsiTheme="minorEastAsia" w:eastAsiaTheme="minorEastAsia"/>
                <w:color w:val="auto"/>
                <w:sz w:val="24"/>
                <w:highlight w:val="none"/>
              </w:rPr>
              <w:t>偏离</w:t>
            </w:r>
            <w:bookmarkEnd w:id="123"/>
            <w:bookmarkEnd w:id="124"/>
            <w:bookmarkEnd w:id="125"/>
            <w:bookmarkEnd w:id="126"/>
            <w:bookmarkEnd w:id="127"/>
            <w:bookmarkEnd w:id="128"/>
            <w:bookmarkEnd w:id="129"/>
            <w:bookmarkEnd w:id="130"/>
            <w:bookmarkEnd w:id="131"/>
            <w:r>
              <w:rPr>
                <w:rFonts w:hint="eastAsia" w:asciiTheme="minorEastAsia" w:hAnsiTheme="minorEastAsia" w:eastAsiaTheme="minorEastAsia"/>
                <w:color w:val="auto"/>
                <w:sz w:val="24"/>
                <w:highlight w:val="none"/>
              </w:rPr>
              <w:t>说明</w:t>
            </w:r>
          </w:p>
        </w:tc>
        <w:tc>
          <w:tcPr>
            <w:tcW w:w="683" w:type="pct"/>
            <w:vAlign w:val="center"/>
          </w:tcPr>
          <w:p>
            <w:pPr>
              <w:spacing w:after="0" w:line="36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highlight w:val="none"/>
              </w:rPr>
            </w:pPr>
            <w:bookmarkStart w:id="132" w:name="_Toc383699911"/>
            <w:bookmarkStart w:id="133" w:name="_Toc254970593"/>
            <w:bookmarkStart w:id="134" w:name="_Toc254970734"/>
            <w:bookmarkStart w:id="135" w:name="_Toc173066406"/>
            <w:bookmarkStart w:id="136" w:name="_Toc173211905"/>
            <w:bookmarkStart w:id="137" w:name="_Toc297193190"/>
            <w:bookmarkStart w:id="138" w:name="_Toc295404986"/>
            <w:bookmarkStart w:id="139" w:name="_Toc373333694"/>
            <w:bookmarkStart w:id="140" w:name="_Toc301781616"/>
            <w:r>
              <w:rPr>
                <w:rFonts w:hint="eastAsia" w:asciiTheme="minorEastAsia" w:hAnsiTheme="minorEastAsia" w:eastAsiaTheme="minorEastAsia"/>
                <w:color w:val="auto"/>
                <w:sz w:val="24"/>
                <w:highlight w:val="none"/>
              </w:rPr>
              <w:t>1</w:t>
            </w:r>
            <w:bookmarkEnd w:id="132"/>
            <w:bookmarkEnd w:id="133"/>
            <w:bookmarkEnd w:id="134"/>
            <w:bookmarkEnd w:id="135"/>
            <w:bookmarkEnd w:id="136"/>
            <w:bookmarkEnd w:id="137"/>
            <w:bookmarkEnd w:id="138"/>
            <w:bookmarkEnd w:id="139"/>
            <w:bookmarkEnd w:id="140"/>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683" w:type="pct"/>
            <w:vAlign w:val="center"/>
          </w:tcPr>
          <w:p>
            <w:pPr>
              <w:spacing w:line="300" w:lineRule="auto"/>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highlight w:val="none"/>
              </w:rPr>
            </w:pPr>
            <w:bookmarkStart w:id="141" w:name="_Toc254970594"/>
            <w:bookmarkStart w:id="142" w:name="_Toc254970735"/>
            <w:bookmarkStart w:id="143" w:name="_Toc295404987"/>
            <w:bookmarkStart w:id="144" w:name="_Toc297193191"/>
            <w:bookmarkStart w:id="145" w:name="_Toc383699912"/>
            <w:bookmarkStart w:id="146" w:name="_Toc301781617"/>
            <w:bookmarkStart w:id="147" w:name="_Toc373333695"/>
            <w:bookmarkStart w:id="148" w:name="_Toc173066407"/>
            <w:bookmarkStart w:id="149" w:name="_Toc173211906"/>
            <w:r>
              <w:rPr>
                <w:rFonts w:hint="eastAsia" w:asciiTheme="minorEastAsia" w:hAnsiTheme="minorEastAsia" w:eastAsiaTheme="minorEastAsia"/>
                <w:color w:val="auto"/>
                <w:sz w:val="24"/>
                <w:highlight w:val="none"/>
              </w:rPr>
              <w:t>2</w:t>
            </w:r>
            <w:bookmarkEnd w:id="141"/>
            <w:bookmarkEnd w:id="142"/>
            <w:bookmarkEnd w:id="143"/>
            <w:bookmarkEnd w:id="144"/>
            <w:bookmarkEnd w:id="145"/>
            <w:bookmarkEnd w:id="146"/>
            <w:bookmarkEnd w:id="147"/>
            <w:bookmarkEnd w:id="148"/>
            <w:bookmarkEnd w:id="149"/>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683" w:type="pct"/>
            <w:vAlign w:val="center"/>
          </w:tcPr>
          <w:p>
            <w:pPr>
              <w:spacing w:line="300" w:lineRule="auto"/>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highlight w:val="none"/>
              </w:rPr>
            </w:pPr>
            <w:bookmarkStart w:id="150" w:name="_Toc373333696"/>
            <w:bookmarkStart w:id="151" w:name="_Toc297193192"/>
            <w:bookmarkStart w:id="152" w:name="_Toc383699913"/>
            <w:bookmarkStart w:id="153" w:name="_Toc295404988"/>
            <w:bookmarkStart w:id="154" w:name="_Toc254970595"/>
            <w:bookmarkStart w:id="155" w:name="_Toc173211907"/>
            <w:bookmarkStart w:id="156" w:name="_Toc254970736"/>
            <w:bookmarkStart w:id="157" w:name="_Toc173066408"/>
            <w:bookmarkStart w:id="158" w:name="_Toc301781618"/>
            <w:r>
              <w:rPr>
                <w:rFonts w:hint="eastAsia" w:asciiTheme="minorEastAsia" w:hAnsiTheme="minorEastAsia" w:eastAsiaTheme="minorEastAsia"/>
                <w:color w:val="auto"/>
                <w:sz w:val="24"/>
                <w:highlight w:val="none"/>
              </w:rPr>
              <w:t>3</w:t>
            </w:r>
            <w:bookmarkEnd w:id="150"/>
            <w:bookmarkEnd w:id="151"/>
            <w:bookmarkEnd w:id="152"/>
            <w:bookmarkEnd w:id="153"/>
            <w:bookmarkEnd w:id="154"/>
            <w:bookmarkEnd w:id="155"/>
            <w:bookmarkEnd w:id="156"/>
            <w:bookmarkEnd w:id="157"/>
            <w:bookmarkEnd w:id="158"/>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683" w:type="pct"/>
            <w:vAlign w:val="center"/>
          </w:tcPr>
          <w:p>
            <w:pPr>
              <w:spacing w:line="300" w:lineRule="auto"/>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highlight w:val="none"/>
              </w:rPr>
            </w:pPr>
            <w:bookmarkStart w:id="159" w:name="_Toc301781619"/>
            <w:bookmarkStart w:id="160" w:name="_Toc373333697"/>
            <w:bookmarkStart w:id="161" w:name="_Toc254970596"/>
            <w:bookmarkStart w:id="162" w:name="_Toc173211908"/>
            <w:bookmarkStart w:id="163" w:name="_Toc383699914"/>
            <w:bookmarkStart w:id="164" w:name="_Toc254970737"/>
            <w:bookmarkStart w:id="165" w:name="_Toc295404989"/>
            <w:bookmarkStart w:id="166" w:name="_Toc297193193"/>
            <w:bookmarkStart w:id="167" w:name="_Toc173066409"/>
            <w:r>
              <w:rPr>
                <w:rFonts w:hint="eastAsia" w:asciiTheme="minorEastAsia" w:hAnsiTheme="minorEastAsia" w:eastAsiaTheme="minorEastAsia"/>
                <w:color w:val="auto"/>
                <w:sz w:val="24"/>
                <w:highlight w:val="none"/>
              </w:rPr>
              <w:t>4</w:t>
            </w:r>
            <w:bookmarkEnd w:id="159"/>
            <w:bookmarkEnd w:id="160"/>
            <w:bookmarkEnd w:id="161"/>
            <w:bookmarkEnd w:id="162"/>
            <w:bookmarkEnd w:id="163"/>
            <w:bookmarkEnd w:id="164"/>
            <w:bookmarkEnd w:id="165"/>
            <w:bookmarkEnd w:id="166"/>
            <w:bookmarkEnd w:id="167"/>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683" w:type="pct"/>
            <w:vAlign w:val="center"/>
          </w:tcPr>
          <w:p>
            <w:pPr>
              <w:spacing w:line="300" w:lineRule="auto"/>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highlight w:val="none"/>
              </w:rPr>
            </w:pPr>
            <w:bookmarkStart w:id="168" w:name="_Toc383699915"/>
            <w:bookmarkStart w:id="169" w:name="_Toc173066410"/>
            <w:bookmarkStart w:id="170" w:name="_Toc254970597"/>
            <w:bookmarkStart w:id="171" w:name="_Toc295404990"/>
            <w:bookmarkStart w:id="172" w:name="_Toc301781620"/>
            <w:bookmarkStart w:id="173" w:name="_Toc373333698"/>
            <w:bookmarkStart w:id="174" w:name="_Toc254970738"/>
            <w:bookmarkStart w:id="175" w:name="_Toc173211909"/>
            <w:bookmarkStart w:id="176" w:name="_Toc297193194"/>
            <w:r>
              <w:rPr>
                <w:rFonts w:hint="eastAsia" w:asciiTheme="minorEastAsia" w:hAnsiTheme="minorEastAsia" w:eastAsiaTheme="minorEastAsia"/>
                <w:color w:val="auto"/>
                <w:sz w:val="24"/>
                <w:highlight w:val="none"/>
              </w:rPr>
              <w:t>5</w:t>
            </w:r>
            <w:bookmarkEnd w:id="168"/>
            <w:bookmarkEnd w:id="169"/>
            <w:bookmarkEnd w:id="170"/>
            <w:bookmarkEnd w:id="171"/>
            <w:bookmarkEnd w:id="172"/>
            <w:bookmarkEnd w:id="173"/>
            <w:bookmarkEnd w:id="174"/>
            <w:bookmarkEnd w:id="175"/>
            <w:bookmarkEnd w:id="176"/>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683" w:type="pct"/>
            <w:vAlign w:val="center"/>
          </w:tcPr>
          <w:p>
            <w:pPr>
              <w:spacing w:line="300" w:lineRule="auto"/>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highlight w:val="none"/>
              </w:rPr>
            </w:pPr>
            <w:bookmarkStart w:id="177" w:name="_Toc173211914"/>
            <w:bookmarkStart w:id="178" w:name="_Toc297193195"/>
            <w:bookmarkStart w:id="179" w:name="_Toc373333699"/>
            <w:bookmarkStart w:id="180" w:name="_Toc301781621"/>
            <w:bookmarkStart w:id="181" w:name="_Toc383699916"/>
            <w:bookmarkStart w:id="182" w:name="_Toc254970743"/>
            <w:bookmarkStart w:id="183" w:name="_Toc254970602"/>
            <w:bookmarkStart w:id="184" w:name="_Toc295404991"/>
            <w:bookmarkStart w:id="185" w:name="_Toc173066415"/>
            <w:r>
              <w:rPr>
                <w:rFonts w:hint="eastAsia" w:asciiTheme="minorEastAsia" w:hAnsiTheme="minorEastAsia" w:eastAsiaTheme="minorEastAsia"/>
                <w:color w:val="auto"/>
                <w:sz w:val="24"/>
                <w:highlight w:val="none"/>
              </w:rPr>
              <w:t>…</w:t>
            </w:r>
            <w:bookmarkEnd w:id="177"/>
            <w:bookmarkEnd w:id="178"/>
            <w:bookmarkEnd w:id="179"/>
            <w:bookmarkEnd w:id="180"/>
            <w:bookmarkEnd w:id="181"/>
            <w:bookmarkEnd w:id="182"/>
            <w:bookmarkEnd w:id="183"/>
            <w:bookmarkEnd w:id="184"/>
            <w:bookmarkEnd w:id="185"/>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970" w:type="pct"/>
            <w:vAlign w:val="center"/>
          </w:tcPr>
          <w:p>
            <w:pPr>
              <w:spacing w:line="300" w:lineRule="auto"/>
              <w:rPr>
                <w:rFonts w:asciiTheme="minorEastAsia" w:hAnsiTheme="minorEastAsia" w:eastAsiaTheme="minorEastAsia"/>
                <w:color w:val="auto"/>
                <w:sz w:val="24"/>
                <w:highlight w:val="none"/>
              </w:rPr>
            </w:pPr>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highlight w:val="none"/>
              </w:rPr>
            </w:pPr>
          </w:p>
        </w:tc>
        <w:tc>
          <w:tcPr>
            <w:tcW w:w="683" w:type="pct"/>
            <w:tcBorders>
              <w:left w:val="single" w:color="auto" w:sz="4" w:space="0"/>
            </w:tcBorders>
            <w:vAlign w:val="center"/>
          </w:tcPr>
          <w:p>
            <w:pPr>
              <w:spacing w:line="300" w:lineRule="auto"/>
              <w:rPr>
                <w:rFonts w:asciiTheme="minorEastAsia" w:hAnsiTheme="minorEastAsia" w:eastAsiaTheme="minorEastAsia"/>
                <w:color w:val="auto"/>
                <w:sz w:val="24"/>
                <w:highlight w:val="none"/>
              </w:rPr>
            </w:pPr>
          </w:p>
        </w:tc>
      </w:tr>
    </w:tbl>
    <w:p>
      <w:pPr>
        <w:pStyle w:val="17"/>
        <w:spacing w:line="300" w:lineRule="auto"/>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p>
      <w:pPr>
        <w:pStyle w:val="17"/>
        <w:spacing w:line="300" w:lineRule="auto"/>
        <w:ind w:firstLine="428"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注：（</w:t>
      </w: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rPr>
        <w:t>）供应商应对照第三章《</w:t>
      </w:r>
      <w:r>
        <w:rPr>
          <w:rFonts w:hint="eastAsia" w:asciiTheme="minorEastAsia" w:hAnsiTheme="minorEastAsia" w:eastAsiaTheme="minorEastAsia"/>
          <w:color w:val="auto"/>
          <w:szCs w:val="21"/>
          <w:highlight w:val="none"/>
        </w:rPr>
        <w:t>项目采购需求和说明</w:t>
      </w:r>
      <w:r>
        <w:rPr>
          <w:rFonts w:hint="eastAsia" w:asciiTheme="minorEastAsia" w:hAnsiTheme="minorEastAsia" w:eastAsiaTheme="minorEastAsia"/>
          <w:bCs/>
          <w:color w:val="auto"/>
          <w:szCs w:val="21"/>
          <w:highlight w:val="none"/>
        </w:rPr>
        <w:t>》中所列技术参数、性能指标要求逐条对应填报竞标货物的技术参数、性能指标等承诺，并在</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偏离说明</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栏注明</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正偏离</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负偏离</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或</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无偏离</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，当出现</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正偏离</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情况时应详细填写偏离情况说明及提供相应有效证明材料。</w:t>
      </w:r>
    </w:p>
    <w:p>
      <w:pPr>
        <w:pStyle w:val="17"/>
        <w:spacing w:line="300" w:lineRule="auto"/>
        <w:ind w:firstLine="428"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2</w:t>
      </w:r>
      <w:r>
        <w:rPr>
          <w:rFonts w:hint="eastAsia" w:asciiTheme="minorEastAsia" w:hAnsiTheme="minorEastAsia" w:eastAsiaTheme="minorEastAsia"/>
          <w:bCs/>
          <w:color w:val="auto"/>
          <w:szCs w:val="21"/>
          <w:highlight w:val="none"/>
        </w:rPr>
        <w:t>）技术规格与采购要求相同的为无偏离，技术规格高于采购要求的为正偏离，低于采购要求的为负偏离。</w:t>
      </w:r>
    </w:p>
    <w:p>
      <w:pPr>
        <w:pStyle w:val="17"/>
        <w:spacing w:line="300" w:lineRule="auto"/>
        <w:ind w:firstLine="428"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）本表可扩展。</w:t>
      </w:r>
    </w:p>
    <w:p>
      <w:pPr>
        <w:pStyle w:val="20"/>
        <w:spacing w:line="300" w:lineRule="auto"/>
        <w:rPr>
          <w:rFonts w:asciiTheme="minorEastAsia" w:hAnsiTheme="minorEastAsia" w:eastAsiaTheme="minorEastAsia"/>
          <w:color w:val="auto"/>
          <w:sz w:val="24"/>
          <w:szCs w:val="24"/>
          <w:highlight w:val="none"/>
        </w:rPr>
      </w:pPr>
    </w:p>
    <w:p>
      <w:pPr>
        <w:pStyle w:val="20"/>
        <w:spacing w:line="300" w:lineRule="auto"/>
        <w:ind w:firstLine="1680" w:firstLineChars="700"/>
        <w:rPr>
          <w:rFonts w:asciiTheme="minorEastAsia" w:hAnsiTheme="minorEastAsia" w:eastAsiaTheme="minorEastAsia"/>
          <w:color w:val="auto"/>
          <w:sz w:val="24"/>
          <w:szCs w:val="24"/>
          <w:highlight w:val="none"/>
        </w:rPr>
      </w:pPr>
    </w:p>
    <w:p>
      <w:pPr>
        <w:pStyle w:val="20"/>
        <w:spacing w:line="300" w:lineRule="auto"/>
        <w:ind w:firstLine="1680" w:firstLineChars="700"/>
        <w:rPr>
          <w:rFonts w:asciiTheme="minorEastAsia" w:hAnsiTheme="minorEastAsia" w:eastAsiaTheme="minorEastAsia"/>
          <w:color w:val="auto"/>
          <w:sz w:val="24"/>
          <w:szCs w:val="24"/>
          <w:highlight w:val="none"/>
        </w:rPr>
      </w:pPr>
    </w:p>
    <w:p>
      <w:pPr>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 </w:t>
      </w:r>
    </w:p>
    <w:p>
      <w:pPr>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w:t>
      </w:r>
      <w:r>
        <w:rPr>
          <w:rFonts w:hint="eastAsia" w:asciiTheme="minorEastAsia" w:hAnsiTheme="minorEastAsia" w:eastAsiaTheme="minorEastAsia"/>
          <w:color w:val="auto"/>
          <w:sz w:val="24"/>
          <w:highlight w:val="none"/>
          <w:u w:val="single"/>
        </w:rPr>
        <w:t xml:space="preserve">     （签字）   </w:t>
      </w:r>
    </w:p>
    <w:p>
      <w:pPr>
        <w:pStyle w:val="20"/>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adjustRightInd/>
        <w:snapToGrid/>
        <w:spacing w:line="220" w:lineRule="atLeast"/>
        <w:rPr>
          <w:rFonts w:asciiTheme="minorEastAsia" w:hAnsiTheme="minorEastAsia" w:eastAsiaTheme="minorEastAsia"/>
          <w:color w:val="auto"/>
          <w:kern w:val="2"/>
          <w:sz w:val="24"/>
          <w:highlight w:val="none"/>
        </w:rPr>
      </w:pPr>
      <w:r>
        <w:rPr>
          <w:rFonts w:asciiTheme="minorEastAsia" w:hAnsiTheme="minorEastAsia" w:eastAsiaTheme="minorEastAsia"/>
          <w:color w:val="auto"/>
          <w:sz w:val="24"/>
          <w:highlight w:val="none"/>
        </w:rPr>
        <w:br w:type="page"/>
      </w:r>
    </w:p>
    <w:p>
      <w:pPr>
        <w:pStyle w:val="2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szCs w:val="24"/>
          <w:highlight w:val="none"/>
        </w:rPr>
        <w:t>附件五：</w:t>
      </w:r>
    </w:p>
    <w:p>
      <w:pPr>
        <w:pStyle w:val="20"/>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32"/>
          <w:szCs w:val="32"/>
          <w:highlight w:val="none"/>
        </w:rPr>
        <w:t>商务响应表</w:t>
      </w:r>
    </w:p>
    <w:p>
      <w:pPr>
        <w:pStyle w:val="20"/>
        <w:spacing w:line="400" w:lineRule="exac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采购项目编号:</w:t>
      </w:r>
    </w:p>
    <w:p>
      <w:pPr>
        <w:pStyle w:val="20"/>
        <w:spacing w:line="400" w:lineRule="exac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采购项目名称: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766"/>
        <w:gridCol w:w="2392"/>
        <w:gridCol w:w="194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07" w:type="dxa"/>
            <w:vAlign w:val="center"/>
          </w:tcPr>
          <w:p>
            <w:pPr>
              <w:pStyle w:val="20"/>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1766" w:type="dxa"/>
            <w:vAlign w:val="center"/>
          </w:tcPr>
          <w:p>
            <w:pPr>
              <w:pStyle w:val="20"/>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商务条款名称</w:t>
            </w:r>
          </w:p>
        </w:tc>
        <w:tc>
          <w:tcPr>
            <w:tcW w:w="2392" w:type="dxa"/>
            <w:vAlign w:val="center"/>
          </w:tcPr>
          <w:p>
            <w:pPr>
              <w:pStyle w:val="20"/>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竞争性谈判文件要求</w:t>
            </w:r>
          </w:p>
        </w:tc>
        <w:tc>
          <w:tcPr>
            <w:tcW w:w="1944" w:type="dxa"/>
            <w:vAlign w:val="center"/>
          </w:tcPr>
          <w:p>
            <w:pPr>
              <w:pStyle w:val="20"/>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响应文件响应内容</w:t>
            </w:r>
          </w:p>
        </w:tc>
        <w:tc>
          <w:tcPr>
            <w:tcW w:w="1560" w:type="dxa"/>
            <w:vAlign w:val="center"/>
          </w:tcPr>
          <w:p>
            <w:pPr>
              <w:pStyle w:val="20"/>
              <w:spacing w:line="40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highlight w:val="none"/>
              </w:rPr>
            </w:pPr>
          </w:p>
        </w:tc>
        <w:tc>
          <w:tcPr>
            <w:tcW w:w="1766" w:type="dxa"/>
            <w:vAlign w:val="center"/>
          </w:tcPr>
          <w:p>
            <w:pPr>
              <w:pStyle w:val="20"/>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highlight w:val="none"/>
              </w:rPr>
              <w:t>质保期</w:t>
            </w:r>
          </w:p>
        </w:tc>
        <w:tc>
          <w:tcPr>
            <w:tcW w:w="2392" w:type="dxa"/>
            <w:vAlign w:val="center"/>
          </w:tcPr>
          <w:p>
            <w:pPr>
              <w:pStyle w:val="20"/>
              <w:spacing w:line="400" w:lineRule="exact"/>
              <w:rPr>
                <w:rFonts w:asciiTheme="minorEastAsia" w:hAnsiTheme="minorEastAsia" w:eastAsiaTheme="minorEastAsia"/>
                <w:color w:val="auto"/>
                <w:sz w:val="24"/>
                <w:szCs w:val="24"/>
                <w:highlight w:val="none"/>
              </w:rPr>
            </w:pPr>
          </w:p>
        </w:tc>
        <w:tc>
          <w:tcPr>
            <w:tcW w:w="1944" w:type="dxa"/>
            <w:vAlign w:val="center"/>
          </w:tcPr>
          <w:p>
            <w:pPr>
              <w:pStyle w:val="20"/>
              <w:spacing w:line="400" w:lineRule="exact"/>
              <w:rPr>
                <w:rFonts w:asciiTheme="minorEastAsia" w:hAnsiTheme="minorEastAsia" w:eastAsiaTheme="minorEastAsia"/>
                <w:color w:val="auto"/>
                <w:sz w:val="24"/>
                <w:szCs w:val="24"/>
                <w:highlight w:val="none"/>
              </w:rPr>
            </w:pPr>
          </w:p>
        </w:tc>
        <w:tc>
          <w:tcPr>
            <w:tcW w:w="1560" w:type="dxa"/>
            <w:vAlign w:val="center"/>
          </w:tcPr>
          <w:p>
            <w:pPr>
              <w:pStyle w:val="20"/>
              <w:spacing w:line="400" w:lineRule="exact"/>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sz w:val="24"/>
                <w:szCs w:val="24"/>
                <w:highlight w:val="none"/>
              </w:rPr>
            </w:pPr>
          </w:p>
        </w:tc>
        <w:tc>
          <w:tcPr>
            <w:tcW w:w="1766" w:type="dxa"/>
            <w:vAlign w:val="center"/>
          </w:tcPr>
          <w:p>
            <w:pPr>
              <w:pStyle w:val="20"/>
              <w:spacing w:line="400" w:lineRule="exac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p>
        </w:tc>
        <w:tc>
          <w:tcPr>
            <w:tcW w:w="2392" w:type="dxa"/>
          </w:tcPr>
          <w:p>
            <w:pPr>
              <w:pStyle w:val="20"/>
              <w:spacing w:line="400" w:lineRule="exact"/>
              <w:rPr>
                <w:rFonts w:asciiTheme="minorEastAsia" w:hAnsiTheme="minorEastAsia" w:eastAsiaTheme="minorEastAsia"/>
                <w:color w:val="auto"/>
                <w:sz w:val="24"/>
                <w:szCs w:val="24"/>
                <w:highlight w:val="none"/>
              </w:rPr>
            </w:pPr>
          </w:p>
        </w:tc>
        <w:tc>
          <w:tcPr>
            <w:tcW w:w="1944" w:type="dxa"/>
          </w:tcPr>
          <w:p>
            <w:pPr>
              <w:pStyle w:val="20"/>
              <w:spacing w:line="400" w:lineRule="exact"/>
              <w:rPr>
                <w:rFonts w:asciiTheme="minorEastAsia" w:hAnsiTheme="minorEastAsia" w:eastAsiaTheme="minorEastAsia"/>
                <w:color w:val="auto"/>
                <w:sz w:val="24"/>
                <w:szCs w:val="24"/>
                <w:highlight w:val="none"/>
              </w:rPr>
            </w:pPr>
          </w:p>
        </w:tc>
        <w:tc>
          <w:tcPr>
            <w:tcW w:w="1560" w:type="dxa"/>
          </w:tcPr>
          <w:p>
            <w:pPr>
              <w:pStyle w:val="20"/>
              <w:spacing w:line="400" w:lineRule="exact"/>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sz w:val="24"/>
                <w:szCs w:val="24"/>
                <w:highlight w:val="none"/>
              </w:rPr>
            </w:pPr>
          </w:p>
        </w:tc>
        <w:tc>
          <w:tcPr>
            <w:tcW w:w="1766" w:type="dxa"/>
            <w:vAlign w:val="center"/>
          </w:tcPr>
          <w:p>
            <w:pPr>
              <w:pStyle w:val="20"/>
              <w:spacing w:line="400" w:lineRule="exact"/>
              <w:rPr>
                <w:rFonts w:asciiTheme="minorEastAsia" w:hAnsiTheme="minorEastAsia" w:eastAsiaTheme="minorEastAsia"/>
                <w:color w:val="auto"/>
                <w:sz w:val="24"/>
                <w:szCs w:val="24"/>
                <w:highlight w:val="none"/>
              </w:rPr>
            </w:pPr>
          </w:p>
        </w:tc>
        <w:tc>
          <w:tcPr>
            <w:tcW w:w="2392" w:type="dxa"/>
          </w:tcPr>
          <w:p>
            <w:pPr>
              <w:pStyle w:val="20"/>
              <w:spacing w:line="400" w:lineRule="exact"/>
              <w:rPr>
                <w:rFonts w:asciiTheme="minorEastAsia" w:hAnsiTheme="minorEastAsia" w:eastAsiaTheme="minorEastAsia"/>
                <w:color w:val="auto"/>
                <w:sz w:val="24"/>
                <w:szCs w:val="24"/>
                <w:highlight w:val="none"/>
              </w:rPr>
            </w:pPr>
          </w:p>
        </w:tc>
        <w:tc>
          <w:tcPr>
            <w:tcW w:w="1944" w:type="dxa"/>
          </w:tcPr>
          <w:p>
            <w:pPr>
              <w:pStyle w:val="20"/>
              <w:spacing w:line="400" w:lineRule="exact"/>
              <w:rPr>
                <w:rFonts w:asciiTheme="minorEastAsia" w:hAnsiTheme="minorEastAsia" w:eastAsiaTheme="minorEastAsia"/>
                <w:color w:val="auto"/>
                <w:sz w:val="24"/>
                <w:szCs w:val="24"/>
                <w:highlight w:val="none"/>
              </w:rPr>
            </w:pPr>
          </w:p>
        </w:tc>
        <w:tc>
          <w:tcPr>
            <w:tcW w:w="1560" w:type="dxa"/>
          </w:tcPr>
          <w:p>
            <w:pPr>
              <w:pStyle w:val="20"/>
              <w:spacing w:line="400" w:lineRule="exact"/>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sz w:val="24"/>
                <w:szCs w:val="24"/>
                <w:highlight w:val="none"/>
              </w:rPr>
            </w:pPr>
          </w:p>
        </w:tc>
        <w:tc>
          <w:tcPr>
            <w:tcW w:w="1766" w:type="dxa"/>
            <w:vAlign w:val="center"/>
          </w:tcPr>
          <w:p>
            <w:pPr>
              <w:pStyle w:val="20"/>
              <w:spacing w:line="400" w:lineRule="exact"/>
              <w:rPr>
                <w:rFonts w:asciiTheme="minorEastAsia" w:hAnsiTheme="minorEastAsia" w:eastAsiaTheme="minorEastAsia"/>
                <w:color w:val="auto"/>
                <w:sz w:val="24"/>
                <w:szCs w:val="24"/>
                <w:highlight w:val="none"/>
              </w:rPr>
            </w:pPr>
          </w:p>
        </w:tc>
        <w:tc>
          <w:tcPr>
            <w:tcW w:w="2392" w:type="dxa"/>
          </w:tcPr>
          <w:p>
            <w:pPr>
              <w:pStyle w:val="20"/>
              <w:spacing w:line="400" w:lineRule="exact"/>
              <w:rPr>
                <w:rFonts w:asciiTheme="minorEastAsia" w:hAnsiTheme="minorEastAsia" w:eastAsiaTheme="minorEastAsia"/>
                <w:color w:val="auto"/>
                <w:sz w:val="24"/>
                <w:szCs w:val="24"/>
                <w:highlight w:val="none"/>
              </w:rPr>
            </w:pPr>
          </w:p>
        </w:tc>
        <w:tc>
          <w:tcPr>
            <w:tcW w:w="1944" w:type="dxa"/>
          </w:tcPr>
          <w:p>
            <w:pPr>
              <w:pStyle w:val="20"/>
              <w:spacing w:line="400" w:lineRule="exact"/>
              <w:rPr>
                <w:rFonts w:asciiTheme="minorEastAsia" w:hAnsiTheme="minorEastAsia" w:eastAsiaTheme="minorEastAsia"/>
                <w:color w:val="auto"/>
                <w:sz w:val="24"/>
                <w:szCs w:val="24"/>
                <w:highlight w:val="none"/>
              </w:rPr>
            </w:pPr>
          </w:p>
        </w:tc>
        <w:tc>
          <w:tcPr>
            <w:tcW w:w="1560" w:type="dxa"/>
          </w:tcPr>
          <w:p>
            <w:pPr>
              <w:pStyle w:val="20"/>
              <w:spacing w:line="400" w:lineRule="exact"/>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0"/>
              <w:spacing w:line="400" w:lineRule="exact"/>
              <w:rPr>
                <w:rFonts w:asciiTheme="minorEastAsia" w:hAnsiTheme="minorEastAsia" w:eastAsiaTheme="minorEastAsia"/>
                <w:color w:val="auto"/>
                <w:sz w:val="24"/>
                <w:szCs w:val="24"/>
                <w:highlight w:val="none"/>
              </w:rPr>
            </w:pPr>
          </w:p>
        </w:tc>
        <w:tc>
          <w:tcPr>
            <w:tcW w:w="1766" w:type="dxa"/>
            <w:vAlign w:val="center"/>
          </w:tcPr>
          <w:p>
            <w:pPr>
              <w:pStyle w:val="20"/>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2392" w:type="dxa"/>
          </w:tcPr>
          <w:p>
            <w:pPr>
              <w:pStyle w:val="20"/>
              <w:spacing w:line="400" w:lineRule="exact"/>
              <w:rPr>
                <w:rFonts w:asciiTheme="minorEastAsia" w:hAnsiTheme="minorEastAsia" w:eastAsiaTheme="minorEastAsia"/>
                <w:color w:val="auto"/>
                <w:sz w:val="24"/>
                <w:szCs w:val="24"/>
                <w:highlight w:val="none"/>
              </w:rPr>
            </w:pPr>
          </w:p>
        </w:tc>
        <w:tc>
          <w:tcPr>
            <w:tcW w:w="1944" w:type="dxa"/>
          </w:tcPr>
          <w:p>
            <w:pPr>
              <w:pStyle w:val="20"/>
              <w:spacing w:line="400" w:lineRule="exact"/>
              <w:rPr>
                <w:rFonts w:asciiTheme="minorEastAsia" w:hAnsiTheme="minorEastAsia" w:eastAsiaTheme="minorEastAsia"/>
                <w:color w:val="auto"/>
                <w:sz w:val="24"/>
                <w:szCs w:val="24"/>
                <w:highlight w:val="none"/>
              </w:rPr>
            </w:pPr>
          </w:p>
        </w:tc>
        <w:tc>
          <w:tcPr>
            <w:tcW w:w="1560" w:type="dxa"/>
          </w:tcPr>
          <w:p>
            <w:pPr>
              <w:pStyle w:val="20"/>
              <w:spacing w:line="400" w:lineRule="exact"/>
              <w:rPr>
                <w:rFonts w:asciiTheme="minorEastAsia" w:hAnsiTheme="minorEastAsia" w:eastAsiaTheme="minorEastAsia"/>
                <w:color w:val="auto"/>
                <w:sz w:val="24"/>
                <w:szCs w:val="24"/>
                <w:highlight w:val="none"/>
              </w:rPr>
            </w:pPr>
          </w:p>
        </w:tc>
      </w:tr>
    </w:tbl>
    <w:p>
      <w:pPr>
        <w:pStyle w:val="2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说明：（1）应对照竞争性谈判文件“第三章  项目采购需求和说明”，</w:t>
      </w:r>
      <w:r>
        <w:rPr>
          <w:rFonts w:hint="eastAsia" w:asciiTheme="minorEastAsia" w:hAnsiTheme="minorEastAsia" w:eastAsiaTheme="minorEastAsia"/>
          <w:b/>
          <w:color w:val="auto"/>
          <w:szCs w:val="21"/>
          <w:highlight w:val="none"/>
          <w:u w:val="single"/>
        </w:rPr>
        <w:t>逐条对应</w:t>
      </w:r>
      <w:r>
        <w:rPr>
          <w:rFonts w:hint="eastAsia" w:asciiTheme="minorEastAsia" w:hAnsiTheme="minorEastAsia" w:eastAsiaTheme="minorEastAsia"/>
          <w:color w:val="auto"/>
          <w:szCs w:val="21"/>
          <w:highlight w:val="none"/>
        </w:rPr>
        <w:t>商务基本要求进行响应。</w:t>
      </w:r>
    </w:p>
    <w:p>
      <w:pPr>
        <w:pStyle w:val="2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（2）本表内容必须如实填写，并根据响应情况在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偏离说明</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栏填写正偏离或负偏离及原因，完全符合的填写</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无偏离</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pPr>
        <w:pStyle w:val="2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）本表可扩展。</w:t>
      </w:r>
    </w:p>
    <w:p>
      <w:pPr>
        <w:pStyle w:val="20"/>
        <w:spacing w:line="400" w:lineRule="exact"/>
        <w:rPr>
          <w:rFonts w:asciiTheme="minorEastAsia" w:hAnsiTheme="minorEastAsia" w:eastAsiaTheme="minorEastAsia"/>
          <w:color w:val="auto"/>
          <w:szCs w:val="21"/>
          <w:highlight w:val="none"/>
        </w:rPr>
      </w:pPr>
    </w:p>
    <w:p>
      <w:pPr>
        <w:pStyle w:val="20"/>
        <w:spacing w:line="300" w:lineRule="auto"/>
        <w:ind w:firstLine="1680" w:firstLineChars="700"/>
        <w:rPr>
          <w:rFonts w:asciiTheme="minorEastAsia" w:hAnsiTheme="minorEastAsia" w:eastAsiaTheme="minorEastAsia"/>
          <w:color w:val="auto"/>
          <w:sz w:val="24"/>
          <w:szCs w:val="24"/>
          <w:highlight w:val="none"/>
        </w:rPr>
      </w:pPr>
    </w:p>
    <w:p>
      <w:pPr>
        <w:pStyle w:val="20"/>
        <w:spacing w:line="300" w:lineRule="auto"/>
        <w:ind w:firstLine="1680" w:firstLineChars="700"/>
        <w:rPr>
          <w:rFonts w:asciiTheme="minorEastAsia" w:hAnsiTheme="minorEastAsia" w:eastAsiaTheme="minorEastAsia"/>
          <w:color w:val="auto"/>
          <w:sz w:val="24"/>
          <w:szCs w:val="24"/>
          <w:highlight w:val="none"/>
        </w:rPr>
      </w:pPr>
    </w:p>
    <w:p>
      <w:pPr>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 </w:t>
      </w:r>
    </w:p>
    <w:p>
      <w:pPr>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w:t>
      </w:r>
      <w:r>
        <w:rPr>
          <w:rFonts w:hint="eastAsia" w:asciiTheme="minorEastAsia" w:hAnsiTheme="minorEastAsia" w:eastAsiaTheme="minorEastAsia"/>
          <w:color w:val="auto"/>
          <w:sz w:val="24"/>
          <w:highlight w:val="none"/>
          <w:u w:val="single"/>
        </w:rPr>
        <w:t xml:space="preserve">     （签字）   </w:t>
      </w:r>
    </w:p>
    <w:p>
      <w:pPr>
        <w:pStyle w:val="20"/>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pStyle w:val="20"/>
        <w:spacing w:line="400" w:lineRule="exact"/>
        <w:rPr>
          <w:rFonts w:asciiTheme="minorEastAsia" w:hAnsiTheme="minorEastAsia" w:eastAsiaTheme="minorEastAsia"/>
          <w:color w:val="auto"/>
          <w:szCs w:val="21"/>
          <w:highlight w:val="none"/>
        </w:rPr>
      </w:pPr>
    </w:p>
    <w:p>
      <w:pPr>
        <w:spacing w:before="120" w:beforeLines="50" w:after="50"/>
        <w:rPr>
          <w:rFonts w:ascii="宋体" w:hAnsi="宋体" w:eastAsia="宋体" w:cs="宋体"/>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b/>
          <w:color w:val="auto"/>
          <w:kern w:val="2"/>
          <w:sz w:val="24"/>
          <w:szCs w:val="24"/>
          <w:highlight w:val="none"/>
        </w:rPr>
        <w:t>附件六</w:t>
      </w:r>
    </w:p>
    <w:p>
      <w:pPr>
        <w:spacing w:before="120" w:beforeLines="50" w:after="5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具备履行合同所必需的设备和专业技术服务能力的承诺书</w:t>
      </w:r>
    </w:p>
    <w:p>
      <w:pPr>
        <w:spacing w:after="0" w:line="400" w:lineRule="exact"/>
        <w:rPr>
          <w:rFonts w:ascii="宋体" w:hAnsi="宋体" w:eastAsia="宋体" w:cs="宋体"/>
          <w:b/>
          <w:bCs/>
          <w:color w:val="auto"/>
          <w:sz w:val="24"/>
          <w:szCs w:val="24"/>
          <w:highlight w:val="none"/>
        </w:rPr>
      </w:pPr>
    </w:p>
    <w:p>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（采购人或代理机构）     </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我单位参加贵公司组织的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after="0" w:line="400" w:lineRule="exact"/>
        <w:ind w:firstLine="480" w:firstLineChars="200"/>
        <w:rPr>
          <w:rFonts w:ascii="宋体" w:hAnsi="宋体" w:eastAsia="宋体" w:cs="宋体"/>
          <w:color w:val="auto"/>
          <w:sz w:val="24"/>
          <w:szCs w:val="24"/>
          <w:highlight w:val="none"/>
        </w:rPr>
      </w:pPr>
    </w:p>
    <w:p>
      <w:pPr>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 </w:t>
      </w:r>
    </w:p>
    <w:p>
      <w:pPr>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w:t>
      </w:r>
      <w:r>
        <w:rPr>
          <w:rFonts w:hint="eastAsia" w:asciiTheme="minorEastAsia" w:hAnsiTheme="minorEastAsia" w:eastAsiaTheme="minorEastAsia"/>
          <w:color w:val="auto"/>
          <w:sz w:val="24"/>
          <w:highlight w:val="none"/>
          <w:u w:val="single"/>
        </w:rPr>
        <w:t xml:space="preserve">     （签字）   </w:t>
      </w:r>
    </w:p>
    <w:p>
      <w:pPr>
        <w:pStyle w:val="20"/>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spacing w:before="120" w:beforeLines="50" w:after="50" w:line="360" w:lineRule="auto"/>
        <w:rPr>
          <w:rFonts w:ascii="宋体" w:hAnsi="宋体" w:eastAsia="宋体" w:cs="宋体"/>
          <w:color w:val="auto"/>
          <w:szCs w:val="21"/>
          <w:highlight w:val="none"/>
        </w:rPr>
      </w:pPr>
    </w:p>
    <w:p>
      <w:pPr>
        <w:spacing w:before="120" w:beforeLines="50" w:after="5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附：我单位具备履行合同所必需的设备、项目实施人员专业技术服务能力证明材料（如有可以提供）</w:t>
      </w:r>
    </w:p>
    <w:p>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（参考格式）：</w:t>
      </w:r>
    </w:p>
    <w:p>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我单位具备的履行合同所必需的设备</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544" w:type="dxa"/>
          </w:tcPr>
          <w:p>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设备名称</w:t>
            </w:r>
          </w:p>
        </w:tc>
        <w:tc>
          <w:tcPr>
            <w:tcW w:w="4925" w:type="dxa"/>
          </w:tcPr>
          <w:p>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jc w:val="center"/>
              <w:rPr>
                <w:rFonts w:ascii="宋体" w:hAnsi="宋体" w:eastAsia="宋体" w:cs="宋体"/>
                <w:b/>
                <w:bCs/>
                <w:color w:val="auto"/>
                <w:szCs w:val="21"/>
                <w:highlight w:val="none"/>
              </w:rPr>
            </w:pPr>
          </w:p>
        </w:tc>
        <w:tc>
          <w:tcPr>
            <w:tcW w:w="3544" w:type="dxa"/>
          </w:tcPr>
          <w:p>
            <w:pPr>
              <w:spacing w:before="120" w:beforeLines="50" w:after="50"/>
              <w:jc w:val="center"/>
              <w:rPr>
                <w:rFonts w:ascii="宋体" w:hAnsi="宋体" w:eastAsia="宋体" w:cs="宋体"/>
                <w:b/>
                <w:bCs/>
                <w:color w:val="auto"/>
                <w:szCs w:val="21"/>
                <w:highlight w:val="none"/>
              </w:rPr>
            </w:pPr>
          </w:p>
        </w:tc>
        <w:tc>
          <w:tcPr>
            <w:tcW w:w="4925" w:type="dxa"/>
          </w:tcPr>
          <w:p>
            <w:pPr>
              <w:spacing w:before="120" w:beforeLines="50" w:after="50"/>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jc w:val="center"/>
              <w:rPr>
                <w:rFonts w:ascii="宋体" w:hAnsi="宋体" w:eastAsia="宋体" w:cs="宋体"/>
                <w:b/>
                <w:bCs/>
                <w:color w:val="auto"/>
                <w:szCs w:val="21"/>
                <w:highlight w:val="none"/>
              </w:rPr>
            </w:pPr>
          </w:p>
        </w:tc>
        <w:tc>
          <w:tcPr>
            <w:tcW w:w="3544" w:type="dxa"/>
          </w:tcPr>
          <w:p>
            <w:pPr>
              <w:spacing w:before="120" w:beforeLines="50" w:after="50"/>
              <w:jc w:val="center"/>
              <w:rPr>
                <w:rFonts w:ascii="宋体" w:hAnsi="宋体" w:eastAsia="宋体" w:cs="宋体"/>
                <w:b/>
                <w:bCs/>
                <w:color w:val="auto"/>
                <w:szCs w:val="21"/>
                <w:highlight w:val="none"/>
              </w:rPr>
            </w:pPr>
          </w:p>
        </w:tc>
        <w:tc>
          <w:tcPr>
            <w:tcW w:w="4925" w:type="dxa"/>
          </w:tcPr>
          <w:p>
            <w:pPr>
              <w:spacing w:before="120" w:beforeLines="50" w:after="50"/>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rPr>
                <w:rFonts w:ascii="宋体" w:hAnsi="宋体" w:eastAsia="宋体" w:cs="宋体"/>
                <w:b/>
                <w:bCs/>
                <w:color w:val="auto"/>
                <w:szCs w:val="21"/>
                <w:highlight w:val="none"/>
              </w:rPr>
            </w:pPr>
          </w:p>
        </w:tc>
        <w:tc>
          <w:tcPr>
            <w:tcW w:w="3544" w:type="dxa"/>
          </w:tcPr>
          <w:p>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4925" w:type="dxa"/>
          </w:tcPr>
          <w:p>
            <w:pPr>
              <w:spacing w:before="120" w:beforeLines="50" w:after="50"/>
              <w:rPr>
                <w:rFonts w:ascii="宋体" w:hAnsi="宋体" w:eastAsia="宋体" w:cs="宋体"/>
                <w:b/>
                <w:bCs/>
                <w:color w:val="auto"/>
                <w:szCs w:val="21"/>
                <w:highlight w:val="none"/>
              </w:rPr>
            </w:pPr>
          </w:p>
        </w:tc>
      </w:tr>
    </w:tbl>
    <w:p>
      <w:pPr>
        <w:spacing w:before="120" w:beforeLines="50" w:after="50"/>
        <w:rPr>
          <w:rFonts w:ascii="宋体" w:hAnsi="宋体" w:eastAsia="宋体" w:cs="宋体"/>
          <w:b/>
          <w:bCs/>
          <w:color w:val="auto"/>
          <w:szCs w:val="21"/>
          <w:highlight w:val="none"/>
        </w:rPr>
      </w:pPr>
    </w:p>
    <w:p>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项目实施人员专业技术服务能力</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3119" w:type="dxa"/>
          </w:tcPr>
          <w:p>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4925" w:type="dxa"/>
          </w:tcPr>
          <w:p>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jc w:val="center"/>
              <w:rPr>
                <w:rFonts w:ascii="宋体" w:hAnsi="宋体" w:eastAsia="宋体" w:cs="宋体"/>
                <w:b/>
                <w:bCs/>
                <w:color w:val="auto"/>
                <w:szCs w:val="21"/>
                <w:highlight w:val="none"/>
              </w:rPr>
            </w:pPr>
          </w:p>
        </w:tc>
        <w:tc>
          <w:tcPr>
            <w:tcW w:w="3119" w:type="dxa"/>
          </w:tcPr>
          <w:p>
            <w:pPr>
              <w:spacing w:before="120" w:beforeLines="50" w:after="50"/>
              <w:jc w:val="center"/>
              <w:rPr>
                <w:rFonts w:ascii="宋体" w:hAnsi="宋体" w:eastAsia="宋体" w:cs="宋体"/>
                <w:b/>
                <w:bCs/>
                <w:color w:val="auto"/>
                <w:szCs w:val="21"/>
                <w:highlight w:val="none"/>
              </w:rPr>
            </w:pPr>
          </w:p>
        </w:tc>
        <w:tc>
          <w:tcPr>
            <w:tcW w:w="4925" w:type="dxa"/>
          </w:tcPr>
          <w:p>
            <w:pPr>
              <w:spacing w:before="120" w:beforeLines="50" w:after="50"/>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rPr>
                <w:rFonts w:ascii="宋体" w:hAnsi="宋体" w:eastAsia="宋体" w:cs="宋体"/>
                <w:b/>
                <w:bCs/>
                <w:color w:val="auto"/>
                <w:szCs w:val="21"/>
                <w:highlight w:val="none"/>
              </w:rPr>
            </w:pPr>
          </w:p>
        </w:tc>
        <w:tc>
          <w:tcPr>
            <w:tcW w:w="3119" w:type="dxa"/>
          </w:tcPr>
          <w:p>
            <w:pPr>
              <w:spacing w:before="120" w:beforeLines="50" w:after="50"/>
              <w:rPr>
                <w:rFonts w:ascii="宋体" w:hAnsi="宋体" w:eastAsia="宋体" w:cs="宋体"/>
                <w:b/>
                <w:bCs/>
                <w:color w:val="auto"/>
                <w:szCs w:val="21"/>
                <w:highlight w:val="none"/>
              </w:rPr>
            </w:pPr>
          </w:p>
        </w:tc>
        <w:tc>
          <w:tcPr>
            <w:tcW w:w="4925" w:type="dxa"/>
          </w:tcPr>
          <w:p>
            <w:pPr>
              <w:spacing w:before="120" w:beforeLines="50" w:after="50"/>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rPr>
                <w:rFonts w:ascii="宋体" w:hAnsi="宋体" w:eastAsia="宋体" w:cs="宋体"/>
                <w:b/>
                <w:bCs/>
                <w:color w:val="auto"/>
                <w:szCs w:val="21"/>
                <w:highlight w:val="none"/>
              </w:rPr>
            </w:pPr>
          </w:p>
        </w:tc>
        <w:tc>
          <w:tcPr>
            <w:tcW w:w="3119" w:type="dxa"/>
          </w:tcPr>
          <w:p>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4925" w:type="dxa"/>
          </w:tcPr>
          <w:p>
            <w:pPr>
              <w:spacing w:before="120" w:beforeLines="50" w:after="50"/>
              <w:rPr>
                <w:rFonts w:ascii="宋体" w:hAnsi="宋体" w:eastAsia="宋体" w:cs="宋体"/>
                <w:b/>
                <w:bCs/>
                <w:color w:val="auto"/>
                <w:szCs w:val="21"/>
                <w:highlight w:val="none"/>
              </w:rPr>
            </w:pPr>
          </w:p>
        </w:tc>
      </w:tr>
    </w:tbl>
    <w:p>
      <w:pPr>
        <w:pStyle w:val="20"/>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0"/>
          <w:sz w:val="22"/>
          <w:szCs w:val="21"/>
          <w:highlight w:val="none"/>
        </w:rPr>
        <w:t>（可以附上相关证明材料）</w:t>
      </w:r>
    </w:p>
    <w:p>
      <w:pPr>
        <w:adjustRightInd/>
        <w:snapToGrid/>
        <w:spacing w:line="220" w:lineRule="atLeast"/>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br w:type="page"/>
      </w:r>
    </w:p>
    <w:p>
      <w:pPr>
        <w:adjustRightInd/>
        <w:snapToGrid/>
        <w:spacing w:line="220" w:lineRule="atLeast"/>
        <w:rPr>
          <w:rFonts w:asciiTheme="minorEastAsia" w:hAnsiTheme="minorEastAsia" w:eastAsiaTheme="minorEastAsia"/>
          <w:b/>
          <w:color w:val="auto"/>
          <w:sz w:val="24"/>
          <w:szCs w:val="24"/>
          <w:highlight w:val="none"/>
        </w:rPr>
      </w:pPr>
    </w:p>
    <w:p>
      <w:pPr>
        <w:adjustRightInd/>
        <w:snapToGrid/>
        <w:spacing w:line="220" w:lineRule="atLeas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附件七：</w:t>
      </w:r>
    </w:p>
    <w:p>
      <w:pPr>
        <w:pStyle w:val="20"/>
        <w:spacing w:line="400" w:lineRule="exact"/>
        <w:rPr>
          <w:rFonts w:asciiTheme="minorEastAsia" w:hAnsiTheme="minorEastAsia" w:eastAsiaTheme="minorEastAsia"/>
          <w:b/>
          <w:color w:val="auto"/>
          <w:szCs w:val="21"/>
          <w:highlight w:val="none"/>
        </w:rPr>
      </w:pPr>
    </w:p>
    <w:p>
      <w:pPr>
        <w:pStyle w:val="20"/>
        <w:spacing w:line="400" w:lineRule="exac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参加政府采购活动前三年内在经营活动中没有重大违法记录的书面声明</w:t>
      </w:r>
    </w:p>
    <w:p>
      <w:pPr>
        <w:pStyle w:val="20"/>
        <w:spacing w:line="400" w:lineRule="exact"/>
        <w:rPr>
          <w:rFonts w:asciiTheme="minorEastAsia" w:hAnsiTheme="minorEastAsia" w:eastAsiaTheme="minorEastAsia"/>
          <w:color w:val="auto"/>
          <w:szCs w:val="21"/>
          <w:highlight w:val="none"/>
        </w:rPr>
      </w:pPr>
    </w:p>
    <w:p>
      <w:pPr>
        <w:pStyle w:val="20"/>
        <w:spacing w:line="400" w:lineRule="exact"/>
        <w:rPr>
          <w:rFonts w:asciiTheme="minorEastAsia" w:hAnsiTheme="minorEastAsia" w:eastAsiaTheme="minorEastAsia"/>
          <w:color w:val="auto"/>
          <w:szCs w:val="21"/>
          <w:highlight w:val="none"/>
        </w:rPr>
      </w:pPr>
    </w:p>
    <w:p>
      <w:pPr>
        <w:pStyle w:val="20"/>
        <w:spacing w:line="5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致：________(采购代理机构)</w:t>
      </w:r>
    </w:p>
    <w:p>
      <w:pPr>
        <w:pStyle w:val="2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我单位参加贵公司组织的</w:t>
      </w:r>
      <w:r>
        <w:rPr>
          <w:rFonts w:hint="eastAsia" w:asciiTheme="minorEastAsia" w:hAnsiTheme="minorEastAsia" w:eastAsiaTheme="minorEastAsia"/>
          <w:color w:val="auto"/>
          <w:sz w:val="24"/>
          <w:szCs w:val="24"/>
          <w:highlight w:val="none"/>
          <w:u w:val="single"/>
        </w:rPr>
        <w:t>（项目名称）</w:t>
      </w:r>
      <w:r>
        <w:rPr>
          <w:rFonts w:hint="eastAsia" w:asciiTheme="minorEastAsia" w:hAnsiTheme="minorEastAsia" w:eastAsiaTheme="minorEastAsia"/>
          <w:color w:val="auto"/>
          <w:sz w:val="24"/>
          <w:szCs w:val="24"/>
          <w:highlight w:val="none"/>
        </w:rPr>
        <w:t>（项目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0"/>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特此承诺。</w:t>
      </w:r>
    </w:p>
    <w:p>
      <w:pPr>
        <w:pStyle w:val="20"/>
        <w:spacing w:line="400" w:lineRule="exact"/>
        <w:rPr>
          <w:rFonts w:asciiTheme="minorEastAsia" w:hAnsiTheme="minorEastAsia" w:eastAsiaTheme="minorEastAsia"/>
          <w:color w:val="auto"/>
          <w:szCs w:val="21"/>
          <w:highlight w:val="none"/>
        </w:rPr>
      </w:pPr>
    </w:p>
    <w:p>
      <w:pPr>
        <w:pStyle w:val="20"/>
        <w:spacing w:line="300" w:lineRule="auto"/>
        <w:ind w:firstLine="1680" w:firstLineChars="700"/>
        <w:rPr>
          <w:rFonts w:asciiTheme="minorEastAsia" w:hAnsiTheme="minorEastAsia" w:eastAsiaTheme="minorEastAsia"/>
          <w:color w:val="auto"/>
          <w:sz w:val="24"/>
          <w:szCs w:val="24"/>
          <w:highlight w:val="none"/>
        </w:rPr>
      </w:pPr>
    </w:p>
    <w:p>
      <w:pPr>
        <w:pStyle w:val="20"/>
        <w:spacing w:line="300" w:lineRule="auto"/>
        <w:ind w:firstLine="1680" w:firstLineChars="700"/>
        <w:rPr>
          <w:rFonts w:asciiTheme="minorEastAsia" w:hAnsiTheme="minorEastAsia" w:eastAsiaTheme="minorEastAsia"/>
          <w:color w:val="auto"/>
          <w:sz w:val="24"/>
          <w:szCs w:val="24"/>
          <w:highlight w:val="none"/>
        </w:rPr>
      </w:pPr>
    </w:p>
    <w:p>
      <w:pPr>
        <w:pStyle w:val="20"/>
        <w:spacing w:line="300" w:lineRule="auto"/>
        <w:ind w:firstLine="1680" w:firstLineChars="700"/>
        <w:rPr>
          <w:rFonts w:asciiTheme="minorEastAsia" w:hAnsiTheme="minorEastAsia" w:eastAsiaTheme="minorEastAsia"/>
          <w:color w:val="auto"/>
          <w:sz w:val="24"/>
          <w:szCs w:val="24"/>
          <w:highlight w:val="none"/>
        </w:rPr>
      </w:pPr>
    </w:p>
    <w:p>
      <w:pPr>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 </w:t>
      </w:r>
    </w:p>
    <w:p>
      <w:pPr>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w:t>
      </w:r>
      <w:r>
        <w:rPr>
          <w:rFonts w:hint="eastAsia" w:asciiTheme="minorEastAsia" w:hAnsiTheme="minorEastAsia" w:eastAsiaTheme="minorEastAsia"/>
          <w:color w:val="auto"/>
          <w:sz w:val="24"/>
          <w:highlight w:val="none"/>
          <w:u w:val="single"/>
        </w:rPr>
        <w:t xml:space="preserve">     （签字）   </w:t>
      </w:r>
    </w:p>
    <w:p>
      <w:pPr>
        <w:pStyle w:val="20"/>
        <w:spacing w:line="50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pStyle w:val="20"/>
        <w:spacing w:line="400" w:lineRule="exact"/>
        <w:rPr>
          <w:rFonts w:asciiTheme="minorEastAsia" w:hAnsiTheme="minorEastAsia" w:eastAsiaTheme="minorEastAsia"/>
          <w:color w:val="auto"/>
          <w:szCs w:val="21"/>
          <w:highlight w:val="none"/>
        </w:rPr>
      </w:pPr>
    </w:p>
    <w:p>
      <w:pPr>
        <w:spacing w:before="120" w:beforeLines="50" w:after="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2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szCs w:val="24"/>
          <w:highlight w:val="none"/>
        </w:rPr>
        <w:t>附件</w:t>
      </w:r>
      <w:r>
        <w:rPr>
          <w:rFonts w:hint="eastAsia" w:asciiTheme="minorEastAsia" w:hAnsiTheme="minorEastAsia" w:eastAsiaTheme="minorEastAsia"/>
          <w:b/>
          <w:color w:val="auto"/>
          <w:sz w:val="24"/>
          <w:szCs w:val="24"/>
          <w:highlight w:val="none"/>
          <w:lang w:eastAsia="zh-CN"/>
        </w:rPr>
        <w:t>八</w:t>
      </w:r>
      <w:r>
        <w:rPr>
          <w:rFonts w:hint="eastAsia" w:asciiTheme="minorEastAsia" w:hAnsiTheme="minorEastAsia" w:eastAsiaTheme="minorEastAsia"/>
          <w:b/>
          <w:color w:val="auto"/>
          <w:sz w:val="24"/>
          <w:szCs w:val="24"/>
          <w:highlight w:val="none"/>
        </w:rPr>
        <w:t>：</w:t>
      </w:r>
    </w:p>
    <w:p>
      <w:pPr>
        <w:pStyle w:val="20"/>
        <w:spacing w:line="440" w:lineRule="exact"/>
        <w:jc w:val="center"/>
        <w:rPr>
          <w:rFonts w:asciiTheme="minorEastAsia" w:hAnsiTheme="minorEastAsia" w:eastAsiaTheme="minorEastAsia"/>
          <w:b/>
          <w:color w:val="auto"/>
          <w:sz w:val="32"/>
          <w:szCs w:val="32"/>
          <w:highlight w:val="none"/>
        </w:rPr>
      </w:pPr>
    </w:p>
    <w:p>
      <w:pPr>
        <w:spacing w:before="120" w:beforeLines="50" w:after="120" w:afterLines="50" w:line="600" w:lineRule="exact"/>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法定代表人身份证明</w:t>
      </w:r>
    </w:p>
    <w:p>
      <w:pPr>
        <w:pStyle w:val="20"/>
        <w:spacing w:line="460" w:lineRule="exact"/>
        <w:ind w:firstLine="616" w:firstLineChars="257"/>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w:t>
      </w:r>
    </w:p>
    <w:p>
      <w:pPr>
        <w:pStyle w:val="20"/>
        <w:spacing w:line="460" w:lineRule="exact"/>
        <w:ind w:firstLine="616" w:firstLineChars="25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单位性质：</w:t>
      </w:r>
      <w:r>
        <w:rPr>
          <w:rFonts w:hint="eastAsia" w:asciiTheme="minorEastAsia" w:hAnsiTheme="minorEastAsia" w:eastAsiaTheme="minorEastAsia"/>
          <w:color w:val="auto"/>
          <w:sz w:val="24"/>
          <w:highlight w:val="none"/>
          <w:u w:val="single"/>
        </w:rPr>
        <w:t xml:space="preserve">                                                        </w:t>
      </w:r>
    </w:p>
    <w:p>
      <w:pPr>
        <w:pStyle w:val="20"/>
        <w:spacing w:line="460" w:lineRule="exact"/>
        <w:ind w:firstLine="616" w:firstLineChars="25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u w:val="single"/>
        </w:rPr>
        <w:t xml:space="preserve">                                                        </w:t>
      </w:r>
    </w:p>
    <w:p>
      <w:pPr>
        <w:pStyle w:val="20"/>
        <w:spacing w:line="460" w:lineRule="exact"/>
        <w:ind w:firstLine="616" w:firstLineChars="25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成立时间：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pStyle w:val="20"/>
        <w:spacing w:line="460" w:lineRule="exact"/>
        <w:ind w:firstLine="616" w:firstLineChars="25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经营期限：</w:t>
      </w:r>
      <w:r>
        <w:rPr>
          <w:rFonts w:hint="eastAsia" w:asciiTheme="minorEastAsia" w:hAnsiTheme="minorEastAsia" w:eastAsiaTheme="minorEastAsia"/>
          <w:color w:val="auto"/>
          <w:sz w:val="24"/>
          <w:highlight w:val="none"/>
          <w:u w:val="single"/>
        </w:rPr>
        <w:t xml:space="preserve">                                                        </w:t>
      </w:r>
    </w:p>
    <w:p>
      <w:pPr>
        <w:pStyle w:val="20"/>
        <w:spacing w:line="460" w:lineRule="exact"/>
        <w:ind w:firstLine="616" w:firstLineChars="25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    名：</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性      别：</w:t>
      </w:r>
      <w:r>
        <w:rPr>
          <w:rFonts w:hint="eastAsia" w:asciiTheme="minorEastAsia" w:hAnsiTheme="minorEastAsia" w:eastAsiaTheme="minorEastAsia"/>
          <w:color w:val="auto"/>
          <w:sz w:val="24"/>
          <w:highlight w:val="none"/>
          <w:u w:val="single"/>
        </w:rPr>
        <w:t xml:space="preserve">                </w:t>
      </w:r>
    </w:p>
    <w:p>
      <w:pPr>
        <w:pStyle w:val="20"/>
        <w:spacing w:line="460" w:lineRule="exact"/>
        <w:ind w:firstLine="616" w:firstLineChars="257"/>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年    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职      务：</w:t>
      </w:r>
      <w:r>
        <w:rPr>
          <w:rFonts w:hint="eastAsia" w:asciiTheme="minorEastAsia" w:hAnsiTheme="minorEastAsia" w:eastAsiaTheme="minorEastAsia"/>
          <w:color w:val="auto"/>
          <w:sz w:val="24"/>
          <w:highlight w:val="none"/>
          <w:u w:val="single"/>
        </w:rPr>
        <w:t xml:space="preserve">                </w:t>
      </w:r>
    </w:p>
    <w:p>
      <w:pPr>
        <w:pStyle w:val="20"/>
        <w:spacing w:line="460" w:lineRule="exact"/>
        <w:ind w:firstLine="616" w:firstLineChars="25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身份证号码：</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pPr>
        <w:pStyle w:val="20"/>
        <w:spacing w:line="460" w:lineRule="exact"/>
        <w:ind w:firstLine="616" w:firstLineChars="25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（供应商名称）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的法定代表人。</w:t>
      </w:r>
    </w:p>
    <w:p>
      <w:pPr>
        <w:pStyle w:val="20"/>
        <w:spacing w:line="460" w:lineRule="exact"/>
        <w:ind w:firstLine="616" w:firstLineChars="25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特此证明。</w:t>
      </w:r>
    </w:p>
    <w:p>
      <w:pPr>
        <w:pStyle w:val="20"/>
        <w:spacing w:line="460" w:lineRule="exact"/>
        <w:ind w:firstLine="616" w:firstLineChars="257"/>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highlight w:val="none"/>
        </w:rPr>
        <w:t>附：法定代表人有效的身份证正反面复印件，并加盖公章。</w:t>
      </w:r>
    </w:p>
    <w:p>
      <w:pPr>
        <w:pStyle w:val="20"/>
        <w:spacing w:line="460" w:lineRule="exact"/>
        <w:ind w:firstLine="616" w:firstLineChars="257"/>
        <w:rPr>
          <w:rFonts w:asciiTheme="minorEastAsia" w:hAnsiTheme="minorEastAsia" w:eastAsiaTheme="minorEastAsia"/>
          <w:color w:val="auto"/>
          <w:sz w:val="24"/>
          <w:szCs w:val="24"/>
          <w:highlight w:val="none"/>
        </w:rPr>
      </w:pPr>
    </w:p>
    <w:p>
      <w:pPr>
        <w:pStyle w:val="20"/>
        <w:spacing w:line="460" w:lineRule="exact"/>
        <w:ind w:firstLine="616" w:firstLineChars="257"/>
        <w:rPr>
          <w:rFonts w:asciiTheme="minorEastAsia" w:hAnsiTheme="minorEastAsia" w:eastAsiaTheme="minorEastAsia"/>
          <w:color w:val="auto"/>
          <w:sz w:val="24"/>
          <w:szCs w:val="24"/>
          <w:highlight w:val="none"/>
        </w:rPr>
      </w:pPr>
    </w:p>
    <w:p>
      <w:pPr>
        <w:pStyle w:val="20"/>
        <w:spacing w:line="460" w:lineRule="exact"/>
        <w:ind w:firstLine="616" w:firstLineChars="257"/>
        <w:rPr>
          <w:rFonts w:asciiTheme="minorEastAsia" w:hAnsiTheme="minorEastAsia" w:eastAsiaTheme="minorEastAsia"/>
          <w:color w:val="auto"/>
          <w:sz w:val="24"/>
          <w:szCs w:val="24"/>
          <w:highlight w:val="none"/>
        </w:rPr>
      </w:pPr>
    </w:p>
    <w:p>
      <w:pPr>
        <w:pStyle w:val="20"/>
        <w:spacing w:line="460" w:lineRule="exact"/>
        <w:ind w:firstLine="616" w:firstLineChars="257"/>
        <w:rPr>
          <w:rFonts w:asciiTheme="minorEastAsia" w:hAnsiTheme="minorEastAsia" w:eastAsiaTheme="minorEastAsia"/>
          <w:color w:val="auto"/>
          <w:sz w:val="24"/>
          <w:szCs w:val="24"/>
          <w:highlight w:val="none"/>
        </w:rPr>
      </w:pPr>
    </w:p>
    <w:p>
      <w:pPr>
        <w:spacing w:after="0" w:line="500" w:lineRule="exact"/>
        <w:ind w:firstLine="3840" w:firstLineChars="16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 </w:t>
      </w:r>
    </w:p>
    <w:p>
      <w:pPr>
        <w:pStyle w:val="20"/>
        <w:spacing w:line="460" w:lineRule="exact"/>
        <w:ind w:firstLine="3840" w:firstLineChars="16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日期：  年  月  日</w:t>
      </w:r>
    </w:p>
    <w:p>
      <w:pPr>
        <w:adjustRightInd/>
        <w:snapToGrid/>
        <w:spacing w:line="220" w:lineRule="atLeas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附件</w:t>
      </w:r>
      <w:r>
        <w:rPr>
          <w:rFonts w:hint="eastAsia" w:asciiTheme="minorEastAsia" w:hAnsiTheme="minorEastAsia" w:eastAsiaTheme="minorEastAsia"/>
          <w:b/>
          <w:color w:val="auto"/>
          <w:sz w:val="24"/>
          <w:highlight w:val="none"/>
          <w:lang w:eastAsia="zh-CN"/>
        </w:rPr>
        <w:t>九</w:t>
      </w:r>
      <w:r>
        <w:rPr>
          <w:rFonts w:hint="eastAsia" w:asciiTheme="minorEastAsia" w:hAnsiTheme="minorEastAsia" w:eastAsiaTheme="minorEastAsia"/>
          <w:b/>
          <w:color w:val="auto"/>
          <w:sz w:val="24"/>
          <w:highlight w:val="none"/>
        </w:rPr>
        <w:t>：</w:t>
      </w:r>
    </w:p>
    <w:p>
      <w:pPr>
        <w:spacing w:before="120" w:beforeLines="50" w:after="120" w:afterLines="50" w:line="600" w:lineRule="exac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法定代表人授权委托书</w:t>
      </w:r>
    </w:p>
    <w:p>
      <w:pPr>
        <w:autoSpaceDE w:val="0"/>
        <w:rPr>
          <w:rFonts w:cs="Arial" w:asciiTheme="minorEastAsia" w:hAnsiTheme="minorEastAsia" w:eastAsiaTheme="minorEastAsia"/>
          <w:b/>
          <w:color w:val="auto"/>
          <w:szCs w:val="21"/>
          <w:highlight w:val="none"/>
        </w:rPr>
      </w:pPr>
    </w:p>
    <w:p>
      <w:pPr>
        <w:spacing w:after="0" w:line="440" w:lineRule="exact"/>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Cs/>
          <w:color w:val="auto"/>
          <w:sz w:val="24"/>
          <w:highlight w:val="none"/>
        </w:rPr>
        <w:t>致</w:t>
      </w:r>
      <w:r>
        <w:rPr>
          <w:rFonts w:hint="eastAsia" w:cs="Arial" w:asciiTheme="minorEastAsia" w:hAnsiTheme="minorEastAsia" w:eastAsiaTheme="minorEastAsia"/>
          <w:color w:val="auto"/>
          <w:sz w:val="24"/>
          <w:highlight w:val="none"/>
        </w:rPr>
        <w:t>：（采购代理机构）</w:t>
      </w:r>
    </w:p>
    <w:p>
      <w:pPr>
        <w:spacing w:after="0" w:line="44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我</w:t>
      </w:r>
      <w:r>
        <w:rPr>
          <w:rFonts w:hint="eastAsia" w:cs="Arial" w:asciiTheme="minorEastAsia" w:hAnsiTheme="minorEastAsia" w:eastAsiaTheme="minorEastAsia"/>
          <w:color w:val="auto"/>
          <w:sz w:val="24"/>
          <w:highlight w:val="none"/>
          <w:u w:val="single"/>
        </w:rPr>
        <w:t>（姓名）</w:t>
      </w:r>
      <w:r>
        <w:rPr>
          <w:rFonts w:hint="eastAsia" w:cs="Arial" w:asciiTheme="minorEastAsia" w:hAnsiTheme="minorEastAsia" w:eastAsiaTheme="minorEastAsia"/>
          <w:color w:val="auto"/>
          <w:sz w:val="24"/>
          <w:highlight w:val="none"/>
        </w:rPr>
        <w:t>系</w:t>
      </w:r>
      <w:r>
        <w:rPr>
          <w:rFonts w:hint="eastAsia" w:cs="Arial" w:asciiTheme="minorEastAsia" w:hAnsiTheme="minorEastAsia" w:eastAsiaTheme="minorEastAsia"/>
          <w:color w:val="auto"/>
          <w:sz w:val="24"/>
          <w:highlight w:val="none"/>
          <w:u w:val="single"/>
        </w:rPr>
        <w:t>（供应商名称）</w:t>
      </w:r>
      <w:r>
        <w:rPr>
          <w:rFonts w:hint="eastAsia" w:cs="Arial" w:asciiTheme="minorEastAsia" w:hAnsiTheme="minorEastAsia" w:eastAsiaTheme="minorEastAsia"/>
          <w:color w:val="auto"/>
          <w:sz w:val="24"/>
          <w:highlight w:val="none"/>
        </w:rPr>
        <w:t>的法定代表人，现授权委托本单位在职职工</w:t>
      </w:r>
      <w:r>
        <w:rPr>
          <w:rFonts w:hint="eastAsia" w:cs="Arial" w:asciiTheme="minorEastAsia" w:hAnsiTheme="minorEastAsia" w:eastAsiaTheme="minorEastAsia"/>
          <w:color w:val="auto"/>
          <w:sz w:val="24"/>
          <w:highlight w:val="none"/>
          <w:u w:val="single"/>
        </w:rPr>
        <w:t xml:space="preserve"> （姓名）</w:t>
      </w:r>
      <w:r>
        <w:rPr>
          <w:rFonts w:hint="eastAsia" w:cs="Arial" w:asciiTheme="minorEastAsia" w:hAnsiTheme="minorEastAsia" w:eastAsiaTheme="minorEastAsia"/>
          <w:color w:val="auto"/>
          <w:sz w:val="24"/>
          <w:highlight w:val="none"/>
        </w:rPr>
        <w:t>以我方的名义参加</w:t>
      </w:r>
      <w:r>
        <w:rPr>
          <w:rFonts w:hint="eastAsia" w:asciiTheme="minorEastAsia" w:hAnsiTheme="minorEastAsia" w:eastAsiaTheme="minorEastAsia"/>
          <w:color w:val="auto"/>
          <w:sz w:val="24"/>
          <w:highlight w:val="none"/>
          <w:u w:val="single"/>
        </w:rPr>
        <w:t xml:space="preserve">（项目名称）（项目编号：      </w:t>
      </w:r>
      <w:r>
        <w:rPr>
          <w:rFonts w:hint="eastAsia"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rPr>
        <w:t>项目的竞标活动，并代表我方全权办理针对上述项目的响应文件签署、响应文件提交、谈判、签订合同和处理一切有关事宜等。</w:t>
      </w:r>
    </w:p>
    <w:p>
      <w:pPr>
        <w:spacing w:after="0" w:line="44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我方对被授权人的签名事项负全部责任。</w:t>
      </w:r>
    </w:p>
    <w:p>
      <w:pPr>
        <w:spacing w:after="0" w:line="44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授权委托期限：年月日至年月日。被授权人在授权书有效期内签署的所有文件均有效。</w:t>
      </w:r>
    </w:p>
    <w:p>
      <w:pPr>
        <w:spacing w:after="0" w:line="44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被授权人无转委托权，特此委托。</w:t>
      </w:r>
    </w:p>
    <w:p>
      <w:pPr>
        <w:spacing w:after="0" w:line="440" w:lineRule="exact"/>
        <w:ind w:firstLine="480" w:firstLineChars="200"/>
        <w:rPr>
          <w:rFonts w:cs="Arial" w:asciiTheme="minorEastAsia" w:hAnsiTheme="minorEastAsia" w:eastAsiaTheme="minorEastAsia"/>
          <w:color w:val="auto"/>
          <w:sz w:val="24"/>
          <w:highlight w:val="none"/>
        </w:rPr>
      </w:pPr>
    </w:p>
    <w:p>
      <w:pPr>
        <w:spacing w:after="0" w:line="44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附：被授权人有效的身份证正反面复印件，并加盖公章。</w:t>
      </w:r>
    </w:p>
    <w:p>
      <w:pPr>
        <w:spacing w:line="440" w:lineRule="exact"/>
        <w:ind w:firstLine="480" w:firstLineChars="200"/>
        <w:rPr>
          <w:rFonts w:cs="Arial" w:asciiTheme="minorEastAsia" w:hAnsiTheme="minorEastAsia" w:eastAsiaTheme="minorEastAsia"/>
          <w:color w:val="auto"/>
          <w:sz w:val="24"/>
          <w:highlight w:val="none"/>
        </w:rPr>
      </w:pPr>
    </w:p>
    <w:p>
      <w:pPr>
        <w:spacing w:line="440" w:lineRule="exact"/>
        <w:ind w:firstLine="2760" w:firstLineChars="1150"/>
        <w:rPr>
          <w:rFonts w:cs="Arial"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u w:val="single"/>
        </w:rPr>
        <w:t xml:space="preserve">  （单位名称并盖公章）</w:t>
      </w:r>
    </w:p>
    <w:p>
      <w:pPr>
        <w:spacing w:line="440" w:lineRule="exact"/>
        <w:ind w:firstLine="2760" w:firstLineChars="1150"/>
        <w:rPr>
          <w:rFonts w:cs="Arial" w:asciiTheme="minorEastAsia" w:hAnsiTheme="minorEastAsia" w:eastAsiaTheme="minorEastAsia"/>
          <w:color w:val="auto"/>
          <w:sz w:val="24"/>
          <w:highlight w:val="none"/>
          <w:u w:val="single"/>
        </w:rPr>
      </w:pPr>
      <w:r>
        <w:rPr>
          <w:rFonts w:hint="eastAsia" w:cs="Arial" w:asciiTheme="minorEastAsia" w:hAnsiTheme="minorEastAsia" w:eastAsiaTheme="minorEastAsia"/>
          <w:color w:val="auto"/>
          <w:sz w:val="24"/>
          <w:highlight w:val="none"/>
        </w:rPr>
        <w:t>法定代表人（签字）：</w:t>
      </w:r>
    </w:p>
    <w:p>
      <w:pPr>
        <w:spacing w:line="440" w:lineRule="exact"/>
        <w:ind w:firstLine="2760" w:firstLineChars="1150"/>
        <w:rPr>
          <w:rFonts w:cs="Arial" w:asciiTheme="minorEastAsia" w:hAnsiTheme="minorEastAsia" w:eastAsiaTheme="minorEastAsia"/>
          <w:color w:val="auto"/>
          <w:sz w:val="24"/>
          <w:highlight w:val="none"/>
          <w:u w:val="single"/>
        </w:rPr>
      </w:pPr>
      <w:r>
        <w:rPr>
          <w:rFonts w:hint="eastAsia" w:cs="Arial" w:asciiTheme="minorEastAsia" w:hAnsiTheme="minorEastAsia" w:eastAsiaTheme="minorEastAsia"/>
          <w:color w:val="auto"/>
          <w:sz w:val="24"/>
          <w:highlight w:val="none"/>
        </w:rPr>
        <w:t>法定代表人身份证号码：</w:t>
      </w:r>
    </w:p>
    <w:p>
      <w:pPr>
        <w:spacing w:line="440" w:lineRule="exact"/>
        <w:ind w:firstLine="2760" w:firstLineChars="1150"/>
        <w:rPr>
          <w:rFonts w:cs="Arial" w:asciiTheme="minorEastAsia" w:hAnsiTheme="minorEastAsia" w:eastAsiaTheme="minorEastAsia"/>
          <w:color w:val="auto"/>
          <w:sz w:val="24"/>
          <w:highlight w:val="none"/>
          <w:u w:val="single"/>
        </w:rPr>
      </w:pPr>
      <w:r>
        <w:rPr>
          <w:rFonts w:hint="eastAsia" w:cs="Arial" w:asciiTheme="minorEastAsia" w:hAnsiTheme="minorEastAsia" w:eastAsiaTheme="minorEastAsia"/>
          <w:color w:val="auto"/>
          <w:sz w:val="24"/>
          <w:highlight w:val="none"/>
        </w:rPr>
        <w:t>委托代理人（签字）：</w:t>
      </w:r>
    </w:p>
    <w:p>
      <w:pPr>
        <w:spacing w:line="440" w:lineRule="exact"/>
        <w:ind w:firstLine="2760" w:firstLineChars="1150"/>
        <w:rPr>
          <w:rFonts w:cs="Arial" w:asciiTheme="minorEastAsia" w:hAnsiTheme="minorEastAsia" w:eastAsiaTheme="minorEastAsia"/>
          <w:color w:val="auto"/>
          <w:sz w:val="24"/>
          <w:highlight w:val="none"/>
          <w:u w:val="single"/>
        </w:rPr>
      </w:pPr>
      <w:r>
        <w:rPr>
          <w:rFonts w:hint="eastAsia" w:cs="Arial" w:asciiTheme="minorEastAsia" w:hAnsiTheme="minorEastAsia" w:eastAsiaTheme="minorEastAsia"/>
          <w:color w:val="auto"/>
          <w:sz w:val="24"/>
          <w:highlight w:val="none"/>
        </w:rPr>
        <w:t>委托代理人身份证号码：</w:t>
      </w:r>
    </w:p>
    <w:p>
      <w:pPr>
        <w:spacing w:line="440" w:lineRule="exact"/>
        <w:ind w:firstLine="2880" w:firstLineChars="120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spacing w:line="440" w:lineRule="exact"/>
        <w:ind w:firstLine="480" w:firstLineChars="200"/>
        <w:rPr>
          <w:rFonts w:cs="Arial" w:asciiTheme="minorEastAsia" w:hAnsiTheme="minorEastAsia" w:eastAsiaTheme="minorEastAsia"/>
          <w:color w:val="auto"/>
          <w:sz w:val="24"/>
          <w:highlight w:val="none"/>
        </w:rPr>
      </w:pPr>
    </w:p>
    <w:p>
      <w:pPr>
        <w:adjustRightInd/>
        <w:snapToGrid/>
        <w:spacing w:line="220" w:lineRule="atLeast"/>
        <w:rPr>
          <w:rFonts w:cs="Arial" w:asciiTheme="minorEastAsia" w:hAnsiTheme="minorEastAsia" w:eastAsiaTheme="minorEastAsia"/>
          <w:color w:val="auto"/>
          <w:kern w:val="2"/>
          <w:sz w:val="24"/>
          <w:szCs w:val="24"/>
          <w:highlight w:val="none"/>
        </w:rPr>
      </w:pPr>
      <w:r>
        <w:rPr>
          <w:rFonts w:cs="Arial" w:asciiTheme="minorEastAsia" w:hAnsiTheme="minorEastAsia" w:eastAsiaTheme="minorEastAsia"/>
          <w:color w:val="auto"/>
          <w:sz w:val="24"/>
          <w:szCs w:val="24"/>
          <w:highlight w:val="none"/>
        </w:rPr>
        <w:br w:type="page"/>
      </w:r>
    </w:p>
    <w:p>
      <w:pPr>
        <w:pStyle w:val="13"/>
        <w:overflowPunct w:val="0"/>
        <w:ind w:firstLine="0"/>
        <w:rPr>
          <w:rFonts w:asciiTheme="minorEastAsia" w:hAnsiTheme="minorEastAsia" w:eastAsiaTheme="minorEastAsia"/>
          <w:color w:val="auto"/>
          <w:sz w:val="24"/>
          <w:highlight w:val="none"/>
        </w:rPr>
      </w:pPr>
    </w:p>
    <w:p>
      <w:pPr>
        <w:spacing w:line="300" w:lineRule="auto"/>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附件十：</w:t>
      </w:r>
    </w:p>
    <w:p>
      <w:pPr>
        <w:spacing w:before="50"/>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中小企业声明函</w:t>
      </w:r>
    </w:p>
    <w:p>
      <w:pPr>
        <w:spacing w:after="0" w:line="400" w:lineRule="exact"/>
        <w:rPr>
          <w:rFonts w:asciiTheme="minorEastAsia" w:hAnsiTheme="minorEastAsia" w:eastAsiaTheme="minorEastAsia"/>
          <w:color w:val="auto"/>
          <w:szCs w:val="21"/>
          <w:highlight w:val="none"/>
        </w:rPr>
      </w:pP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本公司郑重声明，根据《政府采购促进中小企业发展暂行办法》（财库[2011]181号）的规定，本公司为（请填写：中型、小型、微型）企业。即，本公司同时满足以下条件：</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2.本公司参加单位的项目采购活动提供本企业制造的货物，由本企业承担工程、提供服务，或者提供其他（请填写：中型、小型、微型）企业制造的货物。本条所称货物不包括使用大型企业注册商标的货物。</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本公司对上述声明的真实性负责。如有虚假，将依法承担相应责任。</w:t>
      </w:r>
    </w:p>
    <w:p>
      <w:pPr>
        <w:spacing w:before="50" w:line="400" w:lineRule="exact"/>
        <w:rPr>
          <w:rFonts w:asciiTheme="minorEastAsia" w:hAnsiTheme="minorEastAsia" w:eastAsiaTheme="minorEastAsia"/>
          <w:color w:val="auto"/>
          <w:szCs w:val="21"/>
          <w:highlight w:val="none"/>
        </w:rPr>
      </w:pPr>
    </w:p>
    <w:p>
      <w:pPr>
        <w:spacing w:before="50" w:line="40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Cs w:val="21"/>
          <w:highlight w:val="none"/>
        </w:rPr>
        <w:t>　　　　　　　　　　　　　　　　　　　　　　　　　　</w:t>
      </w:r>
      <w:r>
        <w:rPr>
          <w:rFonts w:hint="eastAsia" w:asciiTheme="minorEastAsia" w:hAnsiTheme="minorEastAsia" w:eastAsiaTheme="minorEastAsia"/>
          <w:color w:val="auto"/>
          <w:sz w:val="28"/>
          <w:szCs w:val="28"/>
          <w:highlight w:val="none"/>
        </w:rPr>
        <w:t>　</w:t>
      </w:r>
    </w:p>
    <w:p>
      <w:pPr>
        <w:spacing w:before="50" w:line="400" w:lineRule="exact"/>
        <w:ind w:firstLine="5040" w:firstLineChars="2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企业名称（盖章）：</w:t>
      </w:r>
    </w:p>
    <w:p>
      <w:pPr>
        <w:spacing w:before="50" w:line="400" w:lineRule="exact"/>
        <w:rPr>
          <w:rFonts w:asciiTheme="minorEastAsia" w:hAnsiTheme="minorEastAsia" w:eastAsiaTheme="minorEastAsia"/>
          <w:color w:val="auto"/>
          <w:sz w:val="24"/>
          <w:szCs w:val="24"/>
          <w:highlight w:val="none"/>
        </w:rPr>
      </w:pPr>
    </w:p>
    <w:p>
      <w:pPr>
        <w:spacing w:before="50"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日期：</w:t>
      </w:r>
    </w:p>
    <w:p>
      <w:pPr>
        <w:pStyle w:val="20"/>
        <w:spacing w:line="440" w:lineRule="exact"/>
        <w:rPr>
          <w:rFonts w:asciiTheme="minorEastAsia" w:hAnsiTheme="minorEastAsia" w:eastAsiaTheme="minorEastAsia"/>
          <w:b/>
          <w:color w:val="auto"/>
          <w:szCs w:val="21"/>
          <w:highlight w:val="none"/>
        </w:rPr>
      </w:pPr>
    </w:p>
    <w:p>
      <w:pPr>
        <w:adjustRightInd/>
        <w:snapToGrid/>
        <w:spacing w:line="220" w:lineRule="atLeast"/>
        <w:rPr>
          <w:rFonts w:asciiTheme="minorEastAsia" w:hAnsiTheme="minorEastAsia" w:eastAsiaTheme="minorEastAsia"/>
          <w:b/>
          <w:color w:val="auto"/>
          <w:kern w:val="2"/>
          <w:sz w:val="21"/>
          <w:szCs w:val="21"/>
          <w:highlight w:val="none"/>
        </w:rPr>
      </w:pPr>
      <w:r>
        <w:rPr>
          <w:rFonts w:asciiTheme="minorEastAsia" w:hAnsiTheme="minorEastAsia" w:eastAsiaTheme="minorEastAsia"/>
          <w:b/>
          <w:color w:val="auto"/>
          <w:szCs w:val="21"/>
          <w:highlight w:val="none"/>
        </w:rPr>
        <w:br w:type="page"/>
      </w:r>
    </w:p>
    <w:p>
      <w:pPr>
        <w:rPr>
          <w:rFonts w:cs="仿宋"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24"/>
          <w:szCs w:val="24"/>
          <w:highlight w:val="none"/>
        </w:rPr>
        <w:t>附件十</w:t>
      </w:r>
      <w:r>
        <w:rPr>
          <w:rFonts w:hint="eastAsia" w:asciiTheme="minorEastAsia" w:hAnsiTheme="minorEastAsia" w:eastAsiaTheme="minorEastAsia"/>
          <w:b/>
          <w:color w:val="auto"/>
          <w:sz w:val="24"/>
          <w:szCs w:val="24"/>
          <w:highlight w:val="none"/>
          <w:lang w:eastAsia="zh-CN"/>
        </w:rPr>
        <w:t>一</w:t>
      </w:r>
      <w:r>
        <w:rPr>
          <w:rFonts w:hint="eastAsia" w:asciiTheme="minorEastAsia" w:hAnsiTheme="minorEastAsia" w:eastAsiaTheme="minorEastAsia"/>
          <w:b/>
          <w:color w:val="auto"/>
          <w:sz w:val="24"/>
          <w:szCs w:val="24"/>
          <w:highlight w:val="none"/>
        </w:rPr>
        <w:t>：</w:t>
      </w:r>
    </w:p>
    <w:p>
      <w:pPr>
        <w:jc w:val="center"/>
        <w:rPr>
          <w:rFonts w:cs="仿宋" w:asciiTheme="minorEastAsia" w:hAnsiTheme="minorEastAsia" w:eastAsiaTheme="minorEastAsia"/>
          <w:b/>
          <w:color w:val="auto"/>
          <w:sz w:val="32"/>
          <w:szCs w:val="32"/>
          <w:highlight w:val="none"/>
        </w:rPr>
      </w:pPr>
    </w:p>
    <w:p>
      <w:pPr>
        <w:spacing w:line="588" w:lineRule="exact"/>
        <w:jc w:val="center"/>
        <w:rPr>
          <w:rFonts w:asciiTheme="minorEastAsia" w:hAnsiTheme="minorEastAsia" w:eastAsiaTheme="minorEastAsia"/>
          <w:b/>
          <w:color w:val="auto"/>
          <w:spacing w:val="6"/>
          <w:sz w:val="32"/>
          <w:szCs w:val="32"/>
          <w:highlight w:val="none"/>
        </w:rPr>
      </w:pPr>
      <w:bookmarkStart w:id="186" w:name="OLE_LINK14"/>
      <w:bookmarkStart w:id="187" w:name="OLE_LINK13"/>
      <w:r>
        <w:rPr>
          <w:rFonts w:hint="eastAsia" w:asciiTheme="minorEastAsia" w:hAnsiTheme="minorEastAsia" w:eastAsiaTheme="minorEastAsia"/>
          <w:b/>
          <w:color w:val="auto"/>
          <w:spacing w:val="6"/>
          <w:sz w:val="32"/>
          <w:szCs w:val="32"/>
          <w:highlight w:val="none"/>
        </w:rPr>
        <w:t>残疾人福利性单位声明函</w:t>
      </w:r>
    </w:p>
    <w:bookmarkEnd w:id="186"/>
    <w:bookmarkEnd w:id="187"/>
    <w:p>
      <w:pPr>
        <w:spacing w:line="588" w:lineRule="exact"/>
        <w:ind w:firstLine="504" w:firstLineChars="200"/>
        <w:rPr>
          <w:rFonts w:cs="仿宋" w:asciiTheme="minorEastAsia" w:hAnsiTheme="minorEastAsia" w:eastAsiaTheme="minorEastAsia"/>
          <w:color w:val="auto"/>
          <w:spacing w:val="6"/>
          <w:sz w:val="24"/>
          <w:szCs w:val="24"/>
          <w:highlight w:val="none"/>
        </w:rPr>
      </w:pPr>
      <w:r>
        <w:rPr>
          <w:rFonts w:hint="eastAsia" w:cs="仿宋" w:asciiTheme="minorEastAsia" w:hAnsiTheme="minorEastAsia" w:eastAsiaTheme="minorEastAsia"/>
          <w:color w:val="auto"/>
          <w:spacing w:val="6"/>
          <w:sz w:val="24"/>
          <w:szCs w:val="24"/>
          <w:highlight w:val="none"/>
        </w:rPr>
        <w:t>本单位郑重声明，根据《财政部、民政部、中国残疾人联合会关于促进残疾人就业政府采购政策的通知》（财库</w:t>
      </w:r>
      <w:r>
        <w:rPr>
          <w:rFonts w:hint="eastAsia" w:cs="仿宋" w:asciiTheme="minorEastAsia" w:hAnsiTheme="minorEastAsia" w:eastAsiaTheme="minorEastAsia"/>
          <w:color w:val="auto"/>
          <w:sz w:val="24"/>
          <w:szCs w:val="24"/>
          <w:highlight w:val="none"/>
        </w:rPr>
        <w:t>〔2017〕 141</w:t>
      </w:r>
      <w:r>
        <w:rPr>
          <w:rFonts w:hint="eastAsia" w:cs="仿宋" w:asciiTheme="minorEastAsia" w:hAnsiTheme="minorEastAsia" w:eastAsiaTheme="minorEastAsia"/>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cs="仿宋" w:asciiTheme="minorEastAsia" w:hAnsiTheme="minorEastAsia" w:eastAsiaTheme="minorEastAsia"/>
          <w:color w:val="auto"/>
          <w:spacing w:val="6"/>
          <w:sz w:val="24"/>
          <w:szCs w:val="24"/>
          <w:highlight w:val="none"/>
        </w:rPr>
      </w:pPr>
      <w:r>
        <w:rPr>
          <w:rFonts w:hint="eastAsia" w:cs="仿宋" w:asciiTheme="minorEastAsia" w:hAnsiTheme="minorEastAsia" w:eastAsiaTheme="minorEastAsia"/>
          <w:color w:val="auto"/>
          <w:spacing w:val="6"/>
          <w:sz w:val="24"/>
          <w:szCs w:val="24"/>
          <w:highlight w:val="none"/>
        </w:rPr>
        <w:t>本单位对上述声明的真实性负责。如有虚假，将依法承担相应责任。</w:t>
      </w:r>
    </w:p>
    <w:p>
      <w:pPr>
        <w:spacing w:line="588" w:lineRule="exact"/>
        <w:ind w:firstLine="504" w:firstLineChars="200"/>
        <w:rPr>
          <w:rFonts w:cs="仿宋" w:asciiTheme="minorEastAsia" w:hAnsiTheme="minorEastAsia" w:eastAsiaTheme="minorEastAsia"/>
          <w:color w:val="auto"/>
          <w:spacing w:val="6"/>
          <w:sz w:val="24"/>
          <w:szCs w:val="24"/>
          <w:highlight w:val="none"/>
        </w:rPr>
      </w:pPr>
    </w:p>
    <w:p>
      <w:pPr>
        <w:spacing w:line="588" w:lineRule="exact"/>
        <w:ind w:firstLine="504" w:firstLineChars="200"/>
        <w:rPr>
          <w:rFonts w:cs="仿宋" w:asciiTheme="minorEastAsia" w:hAnsiTheme="minorEastAsia" w:eastAsiaTheme="minorEastAsia"/>
          <w:color w:val="auto"/>
          <w:spacing w:val="6"/>
          <w:sz w:val="24"/>
          <w:szCs w:val="24"/>
          <w:highlight w:val="none"/>
        </w:rPr>
      </w:pPr>
    </w:p>
    <w:p>
      <w:pPr>
        <w:tabs>
          <w:tab w:val="left" w:pos="4860"/>
        </w:tabs>
        <w:spacing w:line="588" w:lineRule="exact"/>
        <w:ind w:right="1560" w:firstLine="504" w:firstLineChars="200"/>
        <w:jc w:val="center"/>
        <w:rPr>
          <w:rFonts w:cs="仿宋" w:asciiTheme="minorEastAsia" w:hAnsiTheme="minorEastAsia" w:eastAsiaTheme="minorEastAsia"/>
          <w:color w:val="auto"/>
          <w:spacing w:val="6"/>
          <w:sz w:val="24"/>
          <w:szCs w:val="24"/>
          <w:highlight w:val="none"/>
        </w:rPr>
      </w:pPr>
      <w:r>
        <w:rPr>
          <w:rFonts w:hint="eastAsia" w:cs="仿宋" w:asciiTheme="minorEastAsia" w:hAnsiTheme="minorEastAsia" w:eastAsiaTheme="minorEastAsia"/>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cs="仿宋" w:asciiTheme="minorEastAsia" w:hAnsiTheme="minorEastAsia" w:eastAsiaTheme="minorEastAsia"/>
          <w:color w:val="auto"/>
          <w:spacing w:val="6"/>
          <w:sz w:val="24"/>
          <w:szCs w:val="24"/>
          <w:highlight w:val="none"/>
        </w:rPr>
      </w:pPr>
      <w:r>
        <w:rPr>
          <w:rFonts w:hint="eastAsia" w:cs="仿宋" w:asciiTheme="minorEastAsia" w:hAnsiTheme="minorEastAsia" w:eastAsiaTheme="minorEastAsia"/>
          <w:color w:val="auto"/>
          <w:spacing w:val="6"/>
          <w:sz w:val="24"/>
          <w:szCs w:val="24"/>
          <w:highlight w:val="none"/>
        </w:rPr>
        <w:t xml:space="preserve">              日  期：</w:t>
      </w:r>
    </w:p>
    <w:p>
      <w:pPr>
        <w:pStyle w:val="20"/>
        <w:ind w:firstLine="281" w:firstLineChars="100"/>
        <w:outlineLvl w:val="2"/>
        <w:rPr>
          <w:rFonts w:cs="仿宋" w:asciiTheme="minorEastAsia" w:hAnsiTheme="minorEastAsia" w:eastAsiaTheme="minorEastAsia"/>
          <w:b/>
          <w:bCs/>
          <w:color w:val="auto"/>
          <w:sz w:val="28"/>
          <w:szCs w:val="28"/>
          <w:highlight w:val="none"/>
        </w:rPr>
      </w:pPr>
    </w:p>
    <w:p>
      <w:pPr>
        <w:pStyle w:val="20"/>
        <w:ind w:firstLine="281" w:firstLineChars="100"/>
        <w:outlineLvl w:val="2"/>
        <w:rPr>
          <w:rFonts w:cs="仿宋" w:asciiTheme="minorEastAsia" w:hAnsiTheme="minorEastAsia" w:eastAsiaTheme="minorEastAsia"/>
          <w:b/>
          <w:bCs/>
          <w:color w:val="auto"/>
          <w:sz w:val="28"/>
          <w:szCs w:val="28"/>
          <w:highlight w:val="none"/>
        </w:rPr>
      </w:pPr>
    </w:p>
    <w:p>
      <w:pPr>
        <w:pStyle w:val="20"/>
        <w:ind w:firstLine="281" w:firstLineChars="100"/>
        <w:outlineLvl w:val="2"/>
        <w:rPr>
          <w:rFonts w:cs="仿宋" w:asciiTheme="minorEastAsia" w:hAnsiTheme="minorEastAsia" w:eastAsiaTheme="minorEastAsia"/>
          <w:b/>
          <w:bCs/>
          <w:color w:val="auto"/>
          <w:sz w:val="28"/>
          <w:szCs w:val="28"/>
          <w:highlight w:val="none"/>
        </w:rPr>
      </w:pPr>
    </w:p>
    <w:p>
      <w:pPr>
        <w:pStyle w:val="20"/>
        <w:ind w:firstLine="281" w:firstLineChars="100"/>
        <w:outlineLvl w:val="2"/>
        <w:rPr>
          <w:rFonts w:cs="仿宋" w:asciiTheme="minorEastAsia" w:hAnsiTheme="minorEastAsia" w:eastAsiaTheme="minorEastAsia"/>
          <w:b/>
          <w:bCs/>
          <w:color w:val="auto"/>
          <w:sz w:val="28"/>
          <w:szCs w:val="28"/>
          <w:highlight w:val="none"/>
        </w:rPr>
      </w:pPr>
    </w:p>
    <w:p>
      <w:pPr>
        <w:pStyle w:val="20"/>
        <w:ind w:firstLine="281" w:firstLineChars="100"/>
        <w:outlineLvl w:val="2"/>
        <w:rPr>
          <w:rFonts w:cs="仿宋" w:asciiTheme="minorEastAsia" w:hAnsiTheme="minorEastAsia" w:eastAsiaTheme="minorEastAsia"/>
          <w:b/>
          <w:bCs/>
          <w:color w:val="auto"/>
          <w:sz w:val="28"/>
          <w:szCs w:val="28"/>
          <w:highlight w:val="none"/>
        </w:rPr>
      </w:pPr>
    </w:p>
    <w:p>
      <w:pPr>
        <w:pStyle w:val="20"/>
        <w:ind w:firstLine="281" w:firstLineChars="100"/>
        <w:outlineLvl w:val="2"/>
        <w:rPr>
          <w:rFonts w:cs="仿宋" w:asciiTheme="minorEastAsia" w:hAnsiTheme="minorEastAsia" w:eastAsiaTheme="minorEastAsia"/>
          <w:b/>
          <w:bCs/>
          <w:color w:val="auto"/>
          <w:sz w:val="28"/>
          <w:szCs w:val="28"/>
          <w:highlight w:val="none"/>
        </w:rPr>
      </w:pPr>
    </w:p>
    <w:p>
      <w:pPr>
        <w:pStyle w:val="20"/>
        <w:ind w:firstLine="281" w:firstLineChars="100"/>
        <w:outlineLvl w:val="2"/>
        <w:rPr>
          <w:rFonts w:cs="仿宋" w:asciiTheme="minorEastAsia" w:hAnsiTheme="minorEastAsia" w:eastAsiaTheme="minorEastAsia"/>
          <w:b/>
          <w:bCs/>
          <w:color w:val="auto"/>
          <w:sz w:val="28"/>
          <w:szCs w:val="28"/>
          <w:highlight w:val="none"/>
        </w:rPr>
      </w:pPr>
    </w:p>
    <w:p>
      <w:pPr>
        <w:pStyle w:val="20"/>
        <w:ind w:firstLine="281" w:firstLineChars="100"/>
        <w:outlineLvl w:val="2"/>
        <w:rPr>
          <w:rFonts w:cs="仿宋" w:asciiTheme="minorEastAsia" w:hAnsiTheme="minorEastAsia" w:eastAsiaTheme="minorEastAsia"/>
          <w:b/>
          <w:bCs/>
          <w:color w:val="auto"/>
          <w:sz w:val="28"/>
          <w:szCs w:val="28"/>
          <w:highlight w:val="none"/>
        </w:rPr>
      </w:pPr>
    </w:p>
    <w:p>
      <w:pPr>
        <w:spacing w:after="0" w:line="360" w:lineRule="exact"/>
        <w:ind w:firstLine="446" w:firstLineChars="200"/>
        <w:rPr>
          <w:rFonts w:asciiTheme="minorEastAsia" w:hAnsiTheme="minorEastAsia" w:eastAsiaTheme="minorEastAsia"/>
          <w:b/>
          <w:color w:val="auto"/>
          <w:spacing w:val="6"/>
          <w:sz w:val="21"/>
          <w:szCs w:val="21"/>
          <w:highlight w:val="none"/>
        </w:rPr>
      </w:pPr>
      <w:r>
        <w:rPr>
          <w:rFonts w:hint="eastAsia" w:asciiTheme="minorEastAsia" w:hAnsiTheme="minorEastAsia" w:eastAsiaTheme="minorEastAsia"/>
          <w:b/>
          <w:color w:val="auto"/>
          <w:spacing w:val="6"/>
          <w:sz w:val="21"/>
          <w:szCs w:val="21"/>
          <w:highlight w:val="none"/>
        </w:rPr>
        <w:t>注：1、</w:t>
      </w:r>
      <w:r>
        <w:rPr>
          <w:rFonts w:hint="eastAsia" w:asciiTheme="minorEastAsia" w:hAnsiTheme="minorEastAsia" w:eastAsiaTheme="minorEastAsia"/>
          <w:b/>
          <w:color w:val="auto"/>
          <w:spacing w:val="6"/>
          <w:sz w:val="21"/>
          <w:szCs w:val="21"/>
          <w:highlight w:val="none"/>
          <w:u w:val="single"/>
        </w:rPr>
        <w:t>成交供应商为残疾人福利性单位的，成交结果将同时公告其《残疾人福利性单位声明函》，接受社会监督</w:t>
      </w:r>
      <w:r>
        <w:rPr>
          <w:rFonts w:hint="eastAsia" w:asciiTheme="minorEastAsia" w:hAnsiTheme="minorEastAsia" w:eastAsiaTheme="minorEastAsia"/>
          <w:b/>
          <w:color w:val="auto"/>
          <w:spacing w:val="6"/>
          <w:sz w:val="21"/>
          <w:szCs w:val="21"/>
          <w:highlight w:val="none"/>
        </w:rPr>
        <w:t>。</w:t>
      </w:r>
    </w:p>
    <w:p>
      <w:pPr>
        <w:spacing w:after="0" w:line="360" w:lineRule="exact"/>
        <w:ind w:firstLine="446" w:firstLineChars="200"/>
        <w:rPr>
          <w:rFonts w:asciiTheme="minorEastAsia" w:hAnsiTheme="minorEastAsia" w:eastAsiaTheme="minorEastAsia"/>
          <w:b/>
          <w:color w:val="auto"/>
          <w:spacing w:val="6"/>
          <w:sz w:val="21"/>
          <w:szCs w:val="21"/>
          <w:highlight w:val="none"/>
        </w:rPr>
      </w:pPr>
      <w:r>
        <w:rPr>
          <w:rFonts w:hint="eastAsia" w:asciiTheme="minorEastAsia" w:hAnsiTheme="minorEastAsia" w:eastAsiaTheme="minorEastAsia"/>
          <w:b/>
          <w:color w:val="auto"/>
          <w:spacing w:val="6"/>
          <w:sz w:val="21"/>
          <w:szCs w:val="21"/>
          <w:highlight w:val="none"/>
        </w:rPr>
        <w:t>2、</w:t>
      </w:r>
      <w:r>
        <w:rPr>
          <w:rFonts w:hint="eastAsia" w:asciiTheme="minorEastAsia" w:hAnsiTheme="minorEastAsia" w:eastAsiaTheme="minorEastAsia"/>
          <w:b/>
          <w:color w:val="auto"/>
          <w:spacing w:val="6"/>
          <w:sz w:val="21"/>
          <w:szCs w:val="21"/>
          <w:highlight w:val="none"/>
          <w:u w:val="single"/>
        </w:rPr>
        <w:t>供应商提供的《残疾人福利性单位声明函》与事实不符的，依照《政府采购法》第七十七条第一款的规定追究法律责任</w:t>
      </w:r>
      <w:r>
        <w:rPr>
          <w:rFonts w:hint="eastAsia" w:asciiTheme="minorEastAsia" w:hAnsiTheme="minorEastAsia" w:eastAsiaTheme="minorEastAsia"/>
          <w:b/>
          <w:color w:val="auto"/>
          <w:spacing w:val="6"/>
          <w:sz w:val="21"/>
          <w:szCs w:val="21"/>
          <w:highlight w:val="none"/>
        </w:rPr>
        <w:t>。</w:t>
      </w: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广西桂水工程咨询有限公司编制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57</w:t>
    </w:r>
    <w:r>
      <w:fldChar w:fldCharType="end"/>
    </w:r>
  </w:p>
  <w:p>
    <w:pPr>
      <w:pStyle w:val="25"/>
      <w:rPr>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double" w:color="auto" w:sz="4" w:space="1"/>
      </w:pBdr>
      <w:rPr>
        <w:rFonts w:hint="default" w:ascii="宋体" w:hAnsi="宋体" w:eastAsia="微软雅黑"/>
        <w:lang w:val="en-US" w:eastAsia="zh-CN"/>
      </w:rPr>
    </w:pPr>
    <w:r>
      <w:rPr>
        <w:rFonts w:hint="eastAsia"/>
      </w:rPr>
      <w:t>项目名称：万秀区社区居家养老服务中心视频设备采购                                 项目编号：</w:t>
    </w:r>
    <w:r>
      <w:rPr>
        <w:rFonts w:hint="eastAsia" w:ascii="宋体" w:hAnsi="宋体"/>
        <w:lang w:val="en-US" w:eastAsia="zh-CN"/>
      </w:rPr>
      <w:t>WZ</w:t>
    </w:r>
    <w:r>
      <w:rPr>
        <w:rFonts w:ascii="宋体" w:hAnsi="宋体"/>
      </w:rPr>
      <w:t>ZC2019-J1-00</w:t>
    </w:r>
    <w:r>
      <w:rPr>
        <w:rFonts w:hint="eastAsia" w:ascii="宋体" w:hAnsi="宋体"/>
        <w:lang w:val="en-US" w:eastAsia="zh-CN"/>
      </w:rPr>
      <w:t>238</w:t>
    </w:r>
    <w:r>
      <w:rPr>
        <w:rFonts w:ascii="宋体" w:hAnsi="宋体"/>
      </w:rPr>
      <w:t>-GS</w:t>
    </w:r>
    <w:r>
      <w:rPr>
        <w:rFonts w:hint="eastAsia" w:ascii="宋体" w:hAnsi="宋体"/>
        <w:lang w:val="en-US" w:eastAsia="zh-CN"/>
      </w:rPr>
      <w:t>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color w:val="000000"/>
        <w:szCs w:val="21"/>
      </w:rPr>
      <w:t>田东县平马镇东区小学项目地质勘察服务</w:t>
    </w:r>
    <w:r>
      <w:rPr>
        <w:rFonts w:hint="eastAsia" w:ascii="宋体" w:hAnsi="宋体"/>
      </w:rPr>
      <w:t>GXZC2019-J1-0016-GS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D8AF8F8"/>
    <w:multiLevelType w:val="singleLevel"/>
    <w:tmpl w:val="6D8AF8F8"/>
    <w:lvl w:ilvl="0" w:tentative="0">
      <w:start w:val="1"/>
      <w:numFmt w:val="chineseCounting"/>
      <w:suff w:val="space"/>
      <w:lvlText w:val="第%1章"/>
      <w:lvlJc w:val="left"/>
      <w:rPr>
        <w:rFonts w:hint="eastAsia"/>
      </w:rPr>
    </w:lvl>
  </w:abstractNum>
  <w:abstractNum w:abstractNumId="3">
    <w:nsid w:val="76C94796"/>
    <w:multiLevelType w:val="multilevel"/>
    <w:tmpl w:val="76C947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documentProtection w:enforcement="0"/>
  <w:defaultTabStop w:val="0"/>
  <w:displayHorizontalDrawingGridEvery w:val="1"/>
  <w:displayVerticalDrawingGridEvery w:val="1"/>
  <w:noPunctuationKerning w:val="1"/>
  <w:characterSpacingControl w:val="compressPunctuation"/>
  <w:compat>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442D"/>
    <w:rsid w:val="00006497"/>
    <w:rsid w:val="00011BD1"/>
    <w:rsid w:val="00012F29"/>
    <w:rsid w:val="00014CFD"/>
    <w:rsid w:val="00025E43"/>
    <w:rsid w:val="00027B3D"/>
    <w:rsid w:val="0003115D"/>
    <w:rsid w:val="00047131"/>
    <w:rsid w:val="000476A1"/>
    <w:rsid w:val="00052612"/>
    <w:rsid w:val="0006381C"/>
    <w:rsid w:val="00063996"/>
    <w:rsid w:val="000661B9"/>
    <w:rsid w:val="00072E71"/>
    <w:rsid w:val="00084BC7"/>
    <w:rsid w:val="0009116B"/>
    <w:rsid w:val="000C7966"/>
    <w:rsid w:val="000D6913"/>
    <w:rsid w:val="000D6DB4"/>
    <w:rsid w:val="000E6841"/>
    <w:rsid w:val="0010330F"/>
    <w:rsid w:val="00116902"/>
    <w:rsid w:val="00120BD6"/>
    <w:rsid w:val="00127D2F"/>
    <w:rsid w:val="001374B9"/>
    <w:rsid w:val="001400BE"/>
    <w:rsid w:val="001437AA"/>
    <w:rsid w:val="00157D15"/>
    <w:rsid w:val="00161DA4"/>
    <w:rsid w:val="001621C3"/>
    <w:rsid w:val="001629DF"/>
    <w:rsid w:val="00163CFE"/>
    <w:rsid w:val="001666AB"/>
    <w:rsid w:val="00180C61"/>
    <w:rsid w:val="00187741"/>
    <w:rsid w:val="00191ABE"/>
    <w:rsid w:val="001B3834"/>
    <w:rsid w:val="001B4468"/>
    <w:rsid w:val="001B7744"/>
    <w:rsid w:val="001D01E1"/>
    <w:rsid w:val="001D5599"/>
    <w:rsid w:val="001E2141"/>
    <w:rsid w:val="001E6B61"/>
    <w:rsid w:val="001F2213"/>
    <w:rsid w:val="001F7C0B"/>
    <w:rsid w:val="0020543F"/>
    <w:rsid w:val="00206998"/>
    <w:rsid w:val="002136A2"/>
    <w:rsid w:val="002144A7"/>
    <w:rsid w:val="00227DFE"/>
    <w:rsid w:val="00231D59"/>
    <w:rsid w:val="002320C7"/>
    <w:rsid w:val="00251D3F"/>
    <w:rsid w:val="00263902"/>
    <w:rsid w:val="002646FC"/>
    <w:rsid w:val="00266240"/>
    <w:rsid w:val="002711FB"/>
    <w:rsid w:val="002770A6"/>
    <w:rsid w:val="002772CF"/>
    <w:rsid w:val="0028604F"/>
    <w:rsid w:val="002965D3"/>
    <w:rsid w:val="002D59E1"/>
    <w:rsid w:val="002D6B72"/>
    <w:rsid w:val="002E4844"/>
    <w:rsid w:val="002E5EFB"/>
    <w:rsid w:val="002F4F85"/>
    <w:rsid w:val="003050DF"/>
    <w:rsid w:val="003072BA"/>
    <w:rsid w:val="00312326"/>
    <w:rsid w:val="0031468E"/>
    <w:rsid w:val="00317F98"/>
    <w:rsid w:val="00321947"/>
    <w:rsid w:val="00323B43"/>
    <w:rsid w:val="003401E1"/>
    <w:rsid w:val="00346D8D"/>
    <w:rsid w:val="00346E52"/>
    <w:rsid w:val="00356975"/>
    <w:rsid w:val="00365BCA"/>
    <w:rsid w:val="00380E67"/>
    <w:rsid w:val="003A3794"/>
    <w:rsid w:val="003C548A"/>
    <w:rsid w:val="003C74DD"/>
    <w:rsid w:val="003D1FAF"/>
    <w:rsid w:val="003D37D8"/>
    <w:rsid w:val="003E1940"/>
    <w:rsid w:val="003E56B7"/>
    <w:rsid w:val="003E660B"/>
    <w:rsid w:val="003E6750"/>
    <w:rsid w:val="003F7A8C"/>
    <w:rsid w:val="004029B5"/>
    <w:rsid w:val="00402CFE"/>
    <w:rsid w:val="00404E91"/>
    <w:rsid w:val="00407742"/>
    <w:rsid w:val="004104E3"/>
    <w:rsid w:val="00426133"/>
    <w:rsid w:val="00430375"/>
    <w:rsid w:val="00432317"/>
    <w:rsid w:val="004358AB"/>
    <w:rsid w:val="004430DB"/>
    <w:rsid w:val="004477C5"/>
    <w:rsid w:val="00453CA5"/>
    <w:rsid w:val="00465AFC"/>
    <w:rsid w:val="00470522"/>
    <w:rsid w:val="004A1AAF"/>
    <w:rsid w:val="004A3DE7"/>
    <w:rsid w:val="004B7674"/>
    <w:rsid w:val="004D0110"/>
    <w:rsid w:val="004D2CFC"/>
    <w:rsid w:val="004E02F7"/>
    <w:rsid w:val="004E5913"/>
    <w:rsid w:val="004E7B57"/>
    <w:rsid w:val="004F14CF"/>
    <w:rsid w:val="004F7961"/>
    <w:rsid w:val="00511335"/>
    <w:rsid w:val="00514CED"/>
    <w:rsid w:val="00515724"/>
    <w:rsid w:val="0051714C"/>
    <w:rsid w:val="00517A92"/>
    <w:rsid w:val="005200CC"/>
    <w:rsid w:val="00523BE9"/>
    <w:rsid w:val="005278F2"/>
    <w:rsid w:val="005318C5"/>
    <w:rsid w:val="0054143E"/>
    <w:rsid w:val="00541BC8"/>
    <w:rsid w:val="00544657"/>
    <w:rsid w:val="00544BB9"/>
    <w:rsid w:val="00547052"/>
    <w:rsid w:val="00556798"/>
    <w:rsid w:val="0056288F"/>
    <w:rsid w:val="00570D3C"/>
    <w:rsid w:val="005721D0"/>
    <w:rsid w:val="00586769"/>
    <w:rsid w:val="00591382"/>
    <w:rsid w:val="005A64F3"/>
    <w:rsid w:val="005A6C96"/>
    <w:rsid w:val="005B0581"/>
    <w:rsid w:val="005B0C14"/>
    <w:rsid w:val="005B2EA3"/>
    <w:rsid w:val="005C56F2"/>
    <w:rsid w:val="005F001B"/>
    <w:rsid w:val="005F25BA"/>
    <w:rsid w:val="006013A4"/>
    <w:rsid w:val="0060404C"/>
    <w:rsid w:val="00610990"/>
    <w:rsid w:val="00614096"/>
    <w:rsid w:val="00617327"/>
    <w:rsid w:val="00634868"/>
    <w:rsid w:val="00637A8A"/>
    <w:rsid w:val="006415BD"/>
    <w:rsid w:val="00643D21"/>
    <w:rsid w:val="00644EE8"/>
    <w:rsid w:val="00645D9B"/>
    <w:rsid w:val="00647694"/>
    <w:rsid w:val="00651EFC"/>
    <w:rsid w:val="00656AD0"/>
    <w:rsid w:val="00664F84"/>
    <w:rsid w:val="00673589"/>
    <w:rsid w:val="00697BF1"/>
    <w:rsid w:val="006A4319"/>
    <w:rsid w:val="006B1AF6"/>
    <w:rsid w:val="006C1AEA"/>
    <w:rsid w:val="006C665A"/>
    <w:rsid w:val="006D4EC7"/>
    <w:rsid w:val="006D4FA3"/>
    <w:rsid w:val="006E0736"/>
    <w:rsid w:val="006E11BE"/>
    <w:rsid w:val="006E4679"/>
    <w:rsid w:val="006F1C37"/>
    <w:rsid w:val="006F2607"/>
    <w:rsid w:val="006F6263"/>
    <w:rsid w:val="0070306B"/>
    <w:rsid w:val="0071222A"/>
    <w:rsid w:val="007407ED"/>
    <w:rsid w:val="0074108A"/>
    <w:rsid w:val="00743365"/>
    <w:rsid w:val="00747D6F"/>
    <w:rsid w:val="00754BAC"/>
    <w:rsid w:val="00761FAD"/>
    <w:rsid w:val="00764728"/>
    <w:rsid w:val="007654A4"/>
    <w:rsid w:val="00790DEF"/>
    <w:rsid w:val="00795F52"/>
    <w:rsid w:val="007B2C90"/>
    <w:rsid w:val="007B33D0"/>
    <w:rsid w:val="007B691C"/>
    <w:rsid w:val="007B7D96"/>
    <w:rsid w:val="007F3EE4"/>
    <w:rsid w:val="007F7FCB"/>
    <w:rsid w:val="00802B9A"/>
    <w:rsid w:val="00803360"/>
    <w:rsid w:val="008042EE"/>
    <w:rsid w:val="00812CFB"/>
    <w:rsid w:val="008227AF"/>
    <w:rsid w:val="008233FF"/>
    <w:rsid w:val="0082344F"/>
    <w:rsid w:val="00833C8B"/>
    <w:rsid w:val="00842401"/>
    <w:rsid w:val="00844F3A"/>
    <w:rsid w:val="00846E83"/>
    <w:rsid w:val="008609A7"/>
    <w:rsid w:val="00871A16"/>
    <w:rsid w:val="00872578"/>
    <w:rsid w:val="00875111"/>
    <w:rsid w:val="00891DF6"/>
    <w:rsid w:val="00896825"/>
    <w:rsid w:val="008969C5"/>
    <w:rsid w:val="008A338C"/>
    <w:rsid w:val="008A7344"/>
    <w:rsid w:val="008A7FF3"/>
    <w:rsid w:val="008B7726"/>
    <w:rsid w:val="008C4FD8"/>
    <w:rsid w:val="008C5AB5"/>
    <w:rsid w:val="008C6005"/>
    <w:rsid w:val="008C7B90"/>
    <w:rsid w:val="008D4A71"/>
    <w:rsid w:val="008E05CC"/>
    <w:rsid w:val="008E56A2"/>
    <w:rsid w:val="008E5E66"/>
    <w:rsid w:val="009071F4"/>
    <w:rsid w:val="00910BAD"/>
    <w:rsid w:val="009111BB"/>
    <w:rsid w:val="00912DBC"/>
    <w:rsid w:val="00912EEF"/>
    <w:rsid w:val="00914C06"/>
    <w:rsid w:val="00916B70"/>
    <w:rsid w:val="00921430"/>
    <w:rsid w:val="00936118"/>
    <w:rsid w:val="00937A6D"/>
    <w:rsid w:val="0094392D"/>
    <w:rsid w:val="00957F62"/>
    <w:rsid w:val="009617FC"/>
    <w:rsid w:val="00961D5F"/>
    <w:rsid w:val="00964E44"/>
    <w:rsid w:val="00973C11"/>
    <w:rsid w:val="009750E8"/>
    <w:rsid w:val="00985035"/>
    <w:rsid w:val="009901F5"/>
    <w:rsid w:val="009903D9"/>
    <w:rsid w:val="009920BA"/>
    <w:rsid w:val="009958C6"/>
    <w:rsid w:val="009A0891"/>
    <w:rsid w:val="009A4747"/>
    <w:rsid w:val="009B5AFE"/>
    <w:rsid w:val="009B6493"/>
    <w:rsid w:val="009D19FD"/>
    <w:rsid w:val="009D2B7D"/>
    <w:rsid w:val="009D46C5"/>
    <w:rsid w:val="009D779F"/>
    <w:rsid w:val="009E4EEB"/>
    <w:rsid w:val="009F067F"/>
    <w:rsid w:val="009F1863"/>
    <w:rsid w:val="009F7F5F"/>
    <w:rsid w:val="00A30543"/>
    <w:rsid w:val="00A34005"/>
    <w:rsid w:val="00A3684E"/>
    <w:rsid w:val="00A4059B"/>
    <w:rsid w:val="00A43840"/>
    <w:rsid w:val="00A44999"/>
    <w:rsid w:val="00A550BA"/>
    <w:rsid w:val="00A737DC"/>
    <w:rsid w:val="00A74EEE"/>
    <w:rsid w:val="00A764E7"/>
    <w:rsid w:val="00A7685F"/>
    <w:rsid w:val="00A843E9"/>
    <w:rsid w:val="00A87EB2"/>
    <w:rsid w:val="00A93C09"/>
    <w:rsid w:val="00A9417D"/>
    <w:rsid w:val="00A949C2"/>
    <w:rsid w:val="00AC758B"/>
    <w:rsid w:val="00AD4F15"/>
    <w:rsid w:val="00AE0A6E"/>
    <w:rsid w:val="00AF37E6"/>
    <w:rsid w:val="00B01CA8"/>
    <w:rsid w:val="00B03356"/>
    <w:rsid w:val="00B141D5"/>
    <w:rsid w:val="00B17B59"/>
    <w:rsid w:val="00B20C57"/>
    <w:rsid w:val="00B23E19"/>
    <w:rsid w:val="00B244B5"/>
    <w:rsid w:val="00B378AA"/>
    <w:rsid w:val="00B40E79"/>
    <w:rsid w:val="00B41008"/>
    <w:rsid w:val="00B4198E"/>
    <w:rsid w:val="00B44C9C"/>
    <w:rsid w:val="00B51CAE"/>
    <w:rsid w:val="00B6039E"/>
    <w:rsid w:val="00B64C7F"/>
    <w:rsid w:val="00B7257B"/>
    <w:rsid w:val="00B75025"/>
    <w:rsid w:val="00B812C5"/>
    <w:rsid w:val="00B81932"/>
    <w:rsid w:val="00B93178"/>
    <w:rsid w:val="00B979AF"/>
    <w:rsid w:val="00BA3E69"/>
    <w:rsid w:val="00BA6E86"/>
    <w:rsid w:val="00BB4C08"/>
    <w:rsid w:val="00BB7092"/>
    <w:rsid w:val="00BD50EC"/>
    <w:rsid w:val="00BE3423"/>
    <w:rsid w:val="00BF6D7F"/>
    <w:rsid w:val="00C05221"/>
    <w:rsid w:val="00C052F8"/>
    <w:rsid w:val="00C21DE7"/>
    <w:rsid w:val="00C22AB5"/>
    <w:rsid w:val="00C308C7"/>
    <w:rsid w:val="00C32396"/>
    <w:rsid w:val="00C43870"/>
    <w:rsid w:val="00C439EE"/>
    <w:rsid w:val="00C53AF2"/>
    <w:rsid w:val="00C55031"/>
    <w:rsid w:val="00C57964"/>
    <w:rsid w:val="00C6358A"/>
    <w:rsid w:val="00C7158A"/>
    <w:rsid w:val="00C74193"/>
    <w:rsid w:val="00C903B4"/>
    <w:rsid w:val="00C93A97"/>
    <w:rsid w:val="00CA0471"/>
    <w:rsid w:val="00CA0D37"/>
    <w:rsid w:val="00CA72C6"/>
    <w:rsid w:val="00CB1135"/>
    <w:rsid w:val="00CB2A90"/>
    <w:rsid w:val="00CB34E6"/>
    <w:rsid w:val="00CC37BD"/>
    <w:rsid w:val="00CC5F65"/>
    <w:rsid w:val="00CC74C3"/>
    <w:rsid w:val="00CE08E0"/>
    <w:rsid w:val="00D005C7"/>
    <w:rsid w:val="00D063A0"/>
    <w:rsid w:val="00D10CEE"/>
    <w:rsid w:val="00D220A6"/>
    <w:rsid w:val="00D26D4D"/>
    <w:rsid w:val="00D31D50"/>
    <w:rsid w:val="00D32522"/>
    <w:rsid w:val="00D55E0D"/>
    <w:rsid w:val="00D56B0D"/>
    <w:rsid w:val="00D609AD"/>
    <w:rsid w:val="00D635E9"/>
    <w:rsid w:val="00D63737"/>
    <w:rsid w:val="00D63D9E"/>
    <w:rsid w:val="00D76A20"/>
    <w:rsid w:val="00D905AF"/>
    <w:rsid w:val="00D943AE"/>
    <w:rsid w:val="00D952EB"/>
    <w:rsid w:val="00D97F1B"/>
    <w:rsid w:val="00DB08A0"/>
    <w:rsid w:val="00DC3409"/>
    <w:rsid w:val="00DC4E36"/>
    <w:rsid w:val="00DD3BD9"/>
    <w:rsid w:val="00DD5776"/>
    <w:rsid w:val="00DE1F54"/>
    <w:rsid w:val="00DE2A89"/>
    <w:rsid w:val="00E00207"/>
    <w:rsid w:val="00E12FEC"/>
    <w:rsid w:val="00E16BEE"/>
    <w:rsid w:val="00E22940"/>
    <w:rsid w:val="00E26CD6"/>
    <w:rsid w:val="00E30355"/>
    <w:rsid w:val="00E335A7"/>
    <w:rsid w:val="00E443B0"/>
    <w:rsid w:val="00E44911"/>
    <w:rsid w:val="00E47518"/>
    <w:rsid w:val="00E47E16"/>
    <w:rsid w:val="00E54ED4"/>
    <w:rsid w:val="00E6613B"/>
    <w:rsid w:val="00E81436"/>
    <w:rsid w:val="00E93D95"/>
    <w:rsid w:val="00E94A42"/>
    <w:rsid w:val="00E95A95"/>
    <w:rsid w:val="00E97DC9"/>
    <w:rsid w:val="00EA6A66"/>
    <w:rsid w:val="00EA7A3F"/>
    <w:rsid w:val="00EA7D96"/>
    <w:rsid w:val="00EB029A"/>
    <w:rsid w:val="00EB30FD"/>
    <w:rsid w:val="00EB3D1F"/>
    <w:rsid w:val="00EB77CF"/>
    <w:rsid w:val="00EC3B4B"/>
    <w:rsid w:val="00EC4C02"/>
    <w:rsid w:val="00ED4171"/>
    <w:rsid w:val="00ED761F"/>
    <w:rsid w:val="00EE4031"/>
    <w:rsid w:val="00EE5366"/>
    <w:rsid w:val="00EF1593"/>
    <w:rsid w:val="00EF1A5F"/>
    <w:rsid w:val="00EF4BDE"/>
    <w:rsid w:val="00EF792F"/>
    <w:rsid w:val="00F03791"/>
    <w:rsid w:val="00F07C5A"/>
    <w:rsid w:val="00F12ECC"/>
    <w:rsid w:val="00F13538"/>
    <w:rsid w:val="00F1499B"/>
    <w:rsid w:val="00F32DB4"/>
    <w:rsid w:val="00F3663D"/>
    <w:rsid w:val="00F42B01"/>
    <w:rsid w:val="00F53E19"/>
    <w:rsid w:val="00F60605"/>
    <w:rsid w:val="00F63395"/>
    <w:rsid w:val="00F67A39"/>
    <w:rsid w:val="00F70D82"/>
    <w:rsid w:val="00F70D94"/>
    <w:rsid w:val="00F86BE9"/>
    <w:rsid w:val="00F872A5"/>
    <w:rsid w:val="00F9160E"/>
    <w:rsid w:val="00F941EA"/>
    <w:rsid w:val="00F9740E"/>
    <w:rsid w:val="00F977E6"/>
    <w:rsid w:val="00FB362C"/>
    <w:rsid w:val="00FB429A"/>
    <w:rsid w:val="00FC0085"/>
    <w:rsid w:val="00FC0265"/>
    <w:rsid w:val="00FC0821"/>
    <w:rsid w:val="00FC2CB8"/>
    <w:rsid w:val="00FC70D5"/>
    <w:rsid w:val="00FE4D30"/>
    <w:rsid w:val="00FE6C0D"/>
    <w:rsid w:val="131E6A5D"/>
    <w:rsid w:val="164A66A5"/>
    <w:rsid w:val="1A4F2CBA"/>
    <w:rsid w:val="1CCA5B77"/>
    <w:rsid w:val="2BF57F0D"/>
    <w:rsid w:val="2EA320DC"/>
    <w:rsid w:val="351C36A2"/>
    <w:rsid w:val="3543370F"/>
    <w:rsid w:val="367A6D5F"/>
    <w:rsid w:val="39A861F8"/>
    <w:rsid w:val="3B1D736E"/>
    <w:rsid w:val="3C9C7F87"/>
    <w:rsid w:val="3FA9146C"/>
    <w:rsid w:val="45E50CF6"/>
    <w:rsid w:val="47507DCB"/>
    <w:rsid w:val="47720A7D"/>
    <w:rsid w:val="4A0F11F1"/>
    <w:rsid w:val="4A8D30C2"/>
    <w:rsid w:val="5320094C"/>
    <w:rsid w:val="56B94DE3"/>
    <w:rsid w:val="57D11D0B"/>
    <w:rsid w:val="58997EA2"/>
    <w:rsid w:val="5BEE7A6F"/>
    <w:rsid w:val="5BFB2A00"/>
    <w:rsid w:val="5CA97A56"/>
    <w:rsid w:val="685132E2"/>
    <w:rsid w:val="695D7773"/>
    <w:rsid w:val="6C7476E8"/>
    <w:rsid w:val="6EE917AE"/>
    <w:rsid w:val="6FAA6E8D"/>
    <w:rsid w:val="73F1362B"/>
    <w:rsid w:val="76D840BF"/>
    <w:rsid w:val="77990B8E"/>
    <w:rsid w:val="7BED4E9F"/>
    <w:rsid w:val="7D081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47"/>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1"/>
    <w:link w:val="56"/>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5">
    <w:name w:val="heading 3"/>
    <w:basedOn w:val="1"/>
    <w:next w:val="1"/>
    <w:link w:val="49"/>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6">
    <w:name w:val="heading 4"/>
    <w:basedOn w:val="1"/>
    <w:next w:val="1"/>
    <w:link w:val="50"/>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7">
    <w:name w:val="heading 5"/>
    <w:basedOn w:val="1"/>
    <w:next w:val="1"/>
    <w:link w:val="51"/>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8">
    <w:name w:val="heading 6"/>
    <w:basedOn w:val="1"/>
    <w:next w:val="1"/>
    <w:link w:val="52"/>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9">
    <w:name w:val="heading 7"/>
    <w:basedOn w:val="1"/>
    <w:next w:val="1"/>
    <w:link w:val="53"/>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0">
    <w:name w:val="heading 8"/>
    <w:basedOn w:val="1"/>
    <w:next w:val="1"/>
    <w:link w:val="54"/>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1">
    <w:name w:val="heading 9"/>
    <w:basedOn w:val="1"/>
    <w:next w:val="1"/>
    <w:link w:val="55"/>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napToGrid w:val="0"/>
      <w:spacing w:line="480" w:lineRule="atLeast"/>
      <w:ind w:left="-57" w:right="69"/>
    </w:pPr>
    <w:rPr>
      <w:rFonts w:ascii="宋体" w:hAnsi="Times New Roman" w:eastAsia="宋体" w:cs="Times New Roman"/>
      <w:b/>
      <w:sz w:val="24"/>
      <w:szCs w:val="20"/>
    </w:rPr>
  </w:style>
  <w:style w:type="paragraph" w:styleId="12">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3">
    <w:name w:val="Normal Indent"/>
    <w:basedOn w:val="1"/>
    <w:link w:val="97"/>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4">
    <w:name w:val="Document Map"/>
    <w:basedOn w:val="1"/>
    <w:link w:val="74"/>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5">
    <w:name w:val="annotation text"/>
    <w:basedOn w:val="1"/>
    <w:link w:val="64"/>
    <w:qFormat/>
    <w:uiPriority w:val="0"/>
    <w:pPr>
      <w:widowControl w:val="0"/>
      <w:adjustRightInd/>
      <w:snapToGrid/>
      <w:spacing w:after="0"/>
    </w:pPr>
    <w:rPr>
      <w:rFonts w:ascii="Times New Roman" w:hAnsi="Times New Roman" w:eastAsia="宋体" w:cs="Times New Roman"/>
      <w:kern w:val="2"/>
      <w:sz w:val="21"/>
      <w:szCs w:val="24"/>
    </w:rPr>
  </w:style>
  <w:style w:type="paragraph" w:styleId="16">
    <w:name w:val="Body Text"/>
    <w:basedOn w:val="1"/>
    <w:link w:val="73"/>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7">
    <w:name w:val="Body Text Indent"/>
    <w:basedOn w:val="1"/>
    <w:link w:val="65"/>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8">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9">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0">
    <w:name w:val="Plain Text"/>
    <w:basedOn w:val="1"/>
    <w:link w:val="60"/>
    <w:qFormat/>
    <w:uiPriority w:val="0"/>
    <w:pPr>
      <w:widowControl w:val="0"/>
      <w:adjustRightInd/>
      <w:snapToGrid/>
      <w:spacing w:after="0"/>
      <w:jc w:val="both"/>
    </w:pPr>
    <w:rPr>
      <w:rFonts w:ascii="宋体" w:hAnsi="Courier New" w:eastAsia="宋体"/>
      <w:kern w:val="2"/>
      <w:sz w:val="21"/>
    </w:rPr>
  </w:style>
  <w:style w:type="paragraph" w:styleId="21">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2">
    <w:name w:val="Date"/>
    <w:basedOn w:val="1"/>
    <w:next w:val="1"/>
    <w:link w:val="75"/>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3">
    <w:name w:val="Body Text Indent 2"/>
    <w:basedOn w:val="1"/>
    <w:link w:val="69"/>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4">
    <w:name w:val="Balloon Text"/>
    <w:basedOn w:val="1"/>
    <w:link w:val="70"/>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5">
    <w:name w:val="footer"/>
    <w:basedOn w:val="1"/>
    <w:link w:val="46"/>
    <w:unhideWhenUsed/>
    <w:qFormat/>
    <w:uiPriority w:val="0"/>
    <w:pPr>
      <w:tabs>
        <w:tab w:val="center" w:pos="4153"/>
        <w:tab w:val="right" w:pos="8306"/>
      </w:tabs>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8">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9">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30">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1">
    <w:name w:val="Body Text Indent 3"/>
    <w:basedOn w:val="1"/>
    <w:link w:val="72"/>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2">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3">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4">
    <w:name w:val="Body Text 2"/>
    <w:basedOn w:val="1"/>
    <w:link w:val="63"/>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6">
    <w:name w:val="annotation subject"/>
    <w:basedOn w:val="15"/>
    <w:next w:val="15"/>
    <w:link w:val="71"/>
    <w:semiHidden/>
    <w:qFormat/>
    <w:uiPriority w:val="0"/>
    <w:rPr>
      <w:b/>
      <w:bCs/>
    </w:rPr>
  </w:style>
  <w:style w:type="table" w:styleId="38">
    <w:name w:val="Table Grid"/>
    <w:basedOn w:val="3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页眉 字符"/>
    <w:basedOn w:val="39"/>
    <w:link w:val="26"/>
    <w:semiHidden/>
    <w:qFormat/>
    <w:uiPriority w:val="99"/>
    <w:rPr>
      <w:rFonts w:ascii="Tahoma" w:hAnsi="Tahoma"/>
      <w:sz w:val="18"/>
      <w:szCs w:val="18"/>
    </w:rPr>
  </w:style>
  <w:style w:type="character" w:customStyle="1" w:styleId="46">
    <w:name w:val="页脚 字符"/>
    <w:basedOn w:val="39"/>
    <w:link w:val="25"/>
    <w:semiHidden/>
    <w:qFormat/>
    <w:uiPriority w:val="99"/>
    <w:rPr>
      <w:rFonts w:ascii="Tahoma" w:hAnsi="Tahoma"/>
      <w:sz w:val="18"/>
      <w:szCs w:val="18"/>
    </w:rPr>
  </w:style>
  <w:style w:type="character" w:customStyle="1" w:styleId="47">
    <w:name w:val="标题 1 字符"/>
    <w:basedOn w:val="39"/>
    <w:link w:val="3"/>
    <w:qFormat/>
    <w:uiPriority w:val="0"/>
    <w:rPr>
      <w:rFonts w:ascii="黑体" w:hAnsi="Times New Roman" w:eastAsia="黑体" w:cs="Times New Roman"/>
      <w:sz w:val="36"/>
      <w:szCs w:val="20"/>
    </w:rPr>
  </w:style>
  <w:style w:type="character" w:customStyle="1" w:styleId="48">
    <w:name w:val="标题 2 Char"/>
    <w:basedOn w:val="39"/>
    <w:qFormat/>
    <w:uiPriority w:val="0"/>
    <w:rPr>
      <w:rFonts w:asciiTheme="majorHAnsi" w:hAnsiTheme="majorHAnsi" w:eastAsiaTheme="majorEastAsia" w:cstheme="majorBidi"/>
      <w:b/>
      <w:bCs/>
      <w:sz w:val="32"/>
      <w:szCs w:val="32"/>
    </w:rPr>
  </w:style>
  <w:style w:type="character" w:customStyle="1" w:styleId="49">
    <w:name w:val="标题 3 字符"/>
    <w:basedOn w:val="39"/>
    <w:link w:val="5"/>
    <w:qFormat/>
    <w:uiPriority w:val="0"/>
    <w:rPr>
      <w:rFonts w:ascii="宋体" w:hAnsi="宋体" w:eastAsia="宋体" w:cs="Times New Roman"/>
      <w:bCs/>
      <w:sz w:val="30"/>
      <w:szCs w:val="32"/>
    </w:rPr>
  </w:style>
  <w:style w:type="character" w:customStyle="1" w:styleId="50">
    <w:name w:val="标题 4 字符"/>
    <w:basedOn w:val="39"/>
    <w:link w:val="6"/>
    <w:qFormat/>
    <w:uiPriority w:val="0"/>
    <w:rPr>
      <w:rFonts w:ascii="Cambria" w:hAnsi="Cambria" w:eastAsia="宋体" w:cs="Times New Roman"/>
      <w:b/>
      <w:bCs/>
      <w:kern w:val="2"/>
      <w:sz w:val="28"/>
      <w:szCs w:val="28"/>
    </w:rPr>
  </w:style>
  <w:style w:type="character" w:customStyle="1" w:styleId="51">
    <w:name w:val="标题 5 字符"/>
    <w:basedOn w:val="39"/>
    <w:link w:val="7"/>
    <w:qFormat/>
    <w:uiPriority w:val="0"/>
    <w:rPr>
      <w:rFonts w:ascii="Times New Roman" w:hAnsi="Times New Roman" w:eastAsia="宋体" w:cs="Times New Roman"/>
      <w:b/>
      <w:bCs/>
      <w:kern w:val="2"/>
      <w:sz w:val="28"/>
      <w:szCs w:val="28"/>
    </w:rPr>
  </w:style>
  <w:style w:type="character" w:customStyle="1" w:styleId="52">
    <w:name w:val="标题 6 字符"/>
    <w:basedOn w:val="39"/>
    <w:link w:val="8"/>
    <w:qFormat/>
    <w:uiPriority w:val="0"/>
    <w:rPr>
      <w:rFonts w:ascii="Arial" w:hAnsi="Arial" w:eastAsia="黑体" w:cs="Times New Roman"/>
      <w:b/>
      <w:bCs/>
      <w:sz w:val="24"/>
      <w:szCs w:val="24"/>
    </w:rPr>
  </w:style>
  <w:style w:type="character" w:customStyle="1" w:styleId="53">
    <w:name w:val="标题 7 字符"/>
    <w:basedOn w:val="39"/>
    <w:link w:val="9"/>
    <w:qFormat/>
    <w:uiPriority w:val="0"/>
    <w:rPr>
      <w:rFonts w:ascii="Times New Roman" w:hAnsi="Times New Roman" w:eastAsia="宋体" w:cs="Times New Roman"/>
      <w:b/>
      <w:bCs/>
      <w:sz w:val="24"/>
      <w:szCs w:val="24"/>
    </w:rPr>
  </w:style>
  <w:style w:type="character" w:customStyle="1" w:styleId="54">
    <w:name w:val="标题 8 字符"/>
    <w:basedOn w:val="39"/>
    <w:link w:val="10"/>
    <w:qFormat/>
    <w:uiPriority w:val="0"/>
    <w:rPr>
      <w:rFonts w:ascii="Arial" w:hAnsi="Arial" w:eastAsia="黑体" w:cs="Times New Roman"/>
      <w:sz w:val="24"/>
      <w:szCs w:val="24"/>
    </w:rPr>
  </w:style>
  <w:style w:type="character" w:customStyle="1" w:styleId="55">
    <w:name w:val="标题 9 字符"/>
    <w:basedOn w:val="39"/>
    <w:link w:val="11"/>
    <w:qFormat/>
    <w:uiPriority w:val="0"/>
    <w:rPr>
      <w:rFonts w:ascii="Arial" w:hAnsi="Arial" w:eastAsia="黑体" w:cs="Times New Roman"/>
      <w:sz w:val="21"/>
      <w:szCs w:val="21"/>
    </w:rPr>
  </w:style>
  <w:style w:type="character" w:customStyle="1" w:styleId="56">
    <w:name w:val="标题 2 字符"/>
    <w:link w:val="4"/>
    <w:qFormat/>
    <w:uiPriority w:val="0"/>
    <w:rPr>
      <w:rFonts w:ascii="Arial" w:hAnsi="Arial" w:eastAsia="黑体" w:cs="Times New Roman"/>
      <w:bCs/>
      <w:sz w:val="32"/>
      <w:szCs w:val="32"/>
    </w:rPr>
  </w:style>
  <w:style w:type="character" w:customStyle="1" w:styleId="57">
    <w:name w:val="样式 标题 3 + 五号 黑色 Char"/>
    <w:link w:val="58"/>
    <w:qFormat/>
    <w:uiPriority w:val="0"/>
    <w:rPr>
      <w:rFonts w:ascii="宋体" w:hAnsi="宋体"/>
      <w:bCs/>
      <w:color w:val="000000"/>
      <w:sz w:val="28"/>
      <w:szCs w:val="32"/>
    </w:rPr>
  </w:style>
  <w:style w:type="paragraph" w:customStyle="1" w:styleId="58">
    <w:name w:val="样式 标题 3 + 五号 黑色"/>
    <w:basedOn w:val="5"/>
    <w:link w:val="57"/>
    <w:qFormat/>
    <w:uiPriority w:val="0"/>
    <w:rPr>
      <w:rFonts w:hint="default" w:eastAsia="微软雅黑" w:cstheme="minorBidi"/>
      <w:color w:val="000000"/>
      <w:sz w:val="28"/>
    </w:rPr>
  </w:style>
  <w:style w:type="character" w:customStyle="1" w:styleId="59">
    <w:name w:val="标题 2 Char Char"/>
    <w:qFormat/>
    <w:uiPriority w:val="0"/>
    <w:rPr>
      <w:rFonts w:ascii="Arial" w:hAnsi="Arial" w:eastAsia="黑体"/>
      <w:bCs/>
      <w:sz w:val="32"/>
      <w:szCs w:val="32"/>
      <w:lang w:val="en-US" w:eastAsia="zh-CN" w:bidi="ar-SA"/>
    </w:rPr>
  </w:style>
  <w:style w:type="character" w:customStyle="1" w:styleId="60">
    <w:name w:val="纯文本 字符"/>
    <w:link w:val="20"/>
    <w:qFormat/>
    <w:uiPriority w:val="99"/>
    <w:rPr>
      <w:rFonts w:ascii="宋体" w:hAnsi="Courier New" w:eastAsia="宋体"/>
      <w:kern w:val="2"/>
      <w:sz w:val="21"/>
    </w:rPr>
  </w:style>
  <w:style w:type="character" w:customStyle="1" w:styleId="61">
    <w:name w:val="样式 标题 2 Char"/>
    <w:basedOn w:val="56"/>
    <w:link w:val="62"/>
    <w:qFormat/>
    <w:uiPriority w:val="0"/>
    <w:rPr>
      <w:rFonts w:ascii="Arial" w:hAnsi="Arial" w:eastAsia="黑体" w:cs="Times New Roman"/>
      <w:sz w:val="32"/>
      <w:szCs w:val="32"/>
    </w:rPr>
  </w:style>
  <w:style w:type="paragraph" w:customStyle="1" w:styleId="62">
    <w:name w:val="样式 标题 2"/>
    <w:basedOn w:val="4"/>
    <w:link w:val="61"/>
    <w:qFormat/>
    <w:uiPriority w:val="0"/>
  </w:style>
  <w:style w:type="character" w:customStyle="1" w:styleId="63">
    <w:name w:val="正文文本 2 字符"/>
    <w:basedOn w:val="39"/>
    <w:link w:val="34"/>
    <w:qFormat/>
    <w:uiPriority w:val="0"/>
    <w:rPr>
      <w:rFonts w:ascii="Times New Roman" w:hAnsi="Times New Roman" w:eastAsia="宋体" w:cs="Times New Roman"/>
      <w:kern w:val="2"/>
      <w:sz w:val="21"/>
      <w:szCs w:val="24"/>
    </w:rPr>
  </w:style>
  <w:style w:type="character" w:customStyle="1" w:styleId="64">
    <w:name w:val="批注文字 字符"/>
    <w:basedOn w:val="39"/>
    <w:link w:val="15"/>
    <w:qFormat/>
    <w:uiPriority w:val="0"/>
    <w:rPr>
      <w:rFonts w:ascii="Times New Roman" w:hAnsi="Times New Roman" w:eastAsia="宋体" w:cs="Times New Roman"/>
      <w:kern w:val="2"/>
      <w:sz w:val="21"/>
      <w:szCs w:val="24"/>
    </w:rPr>
  </w:style>
  <w:style w:type="character" w:customStyle="1" w:styleId="65">
    <w:name w:val="正文文本缩进 字符"/>
    <w:basedOn w:val="39"/>
    <w:link w:val="17"/>
    <w:qFormat/>
    <w:uiPriority w:val="0"/>
    <w:rPr>
      <w:rFonts w:ascii="宋体" w:hAnsi="宋体" w:eastAsia="宋体" w:cs="Courier New"/>
      <w:spacing w:val="2"/>
      <w:kern w:val="2"/>
      <w:sz w:val="21"/>
      <w:szCs w:val="24"/>
    </w:rPr>
  </w:style>
  <w:style w:type="paragraph" w:customStyle="1" w:styleId="66">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7">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8">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69">
    <w:name w:val="正文文本缩进 2 字符"/>
    <w:basedOn w:val="39"/>
    <w:link w:val="23"/>
    <w:qFormat/>
    <w:uiPriority w:val="0"/>
    <w:rPr>
      <w:rFonts w:ascii="Times New Roman" w:hAnsi="Times New Roman" w:eastAsia="宋体" w:cs="Times New Roman"/>
      <w:kern w:val="2"/>
      <w:sz w:val="21"/>
      <w:szCs w:val="24"/>
    </w:rPr>
  </w:style>
  <w:style w:type="character" w:customStyle="1" w:styleId="70">
    <w:name w:val="批注框文本 字符"/>
    <w:basedOn w:val="39"/>
    <w:link w:val="24"/>
    <w:qFormat/>
    <w:uiPriority w:val="0"/>
    <w:rPr>
      <w:rFonts w:ascii="Times New Roman" w:hAnsi="Times New Roman" w:eastAsia="宋体" w:cs="Times New Roman"/>
      <w:kern w:val="2"/>
      <w:sz w:val="18"/>
      <w:szCs w:val="18"/>
    </w:rPr>
  </w:style>
  <w:style w:type="character" w:customStyle="1" w:styleId="71">
    <w:name w:val="批注主题 字符"/>
    <w:basedOn w:val="64"/>
    <w:link w:val="36"/>
    <w:semiHidden/>
    <w:qFormat/>
    <w:uiPriority w:val="0"/>
    <w:rPr>
      <w:rFonts w:ascii="Times New Roman" w:hAnsi="Times New Roman" w:eastAsia="宋体" w:cs="Times New Roman"/>
      <w:b/>
      <w:bCs/>
      <w:kern w:val="2"/>
      <w:sz w:val="21"/>
      <w:szCs w:val="24"/>
    </w:rPr>
  </w:style>
  <w:style w:type="character" w:customStyle="1" w:styleId="72">
    <w:name w:val="正文文本缩进 3 字符"/>
    <w:basedOn w:val="39"/>
    <w:link w:val="31"/>
    <w:qFormat/>
    <w:uiPriority w:val="0"/>
    <w:rPr>
      <w:rFonts w:ascii="宋体" w:hAnsi="Courier New" w:eastAsia="宋体" w:cs="Courier New"/>
      <w:kern w:val="2"/>
      <w:sz w:val="21"/>
      <w:szCs w:val="24"/>
    </w:rPr>
  </w:style>
  <w:style w:type="character" w:customStyle="1" w:styleId="73">
    <w:name w:val="正文文本 字符"/>
    <w:basedOn w:val="39"/>
    <w:link w:val="16"/>
    <w:qFormat/>
    <w:uiPriority w:val="0"/>
    <w:rPr>
      <w:rFonts w:ascii="Times New Roman" w:hAnsi="Times New Roman" w:eastAsia="宋体" w:cs="Times New Roman"/>
      <w:kern w:val="2"/>
      <w:sz w:val="52"/>
      <w:szCs w:val="24"/>
    </w:rPr>
  </w:style>
  <w:style w:type="character" w:customStyle="1" w:styleId="74">
    <w:name w:val="文档结构图 字符"/>
    <w:basedOn w:val="39"/>
    <w:link w:val="14"/>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字符"/>
    <w:basedOn w:val="39"/>
    <w:link w:val="22"/>
    <w:qFormat/>
    <w:uiPriority w:val="0"/>
    <w:rPr>
      <w:rFonts w:ascii="Times New Roman" w:hAnsi="Times New Roman" w:eastAsia="宋体" w:cs="Times New Roman"/>
      <w:kern w:val="2"/>
      <w:sz w:val="21"/>
      <w:szCs w:val="24"/>
    </w:rPr>
  </w:style>
  <w:style w:type="character" w:customStyle="1" w:styleId="76">
    <w:name w:val="纯文本 Char"/>
    <w:basedOn w:val="39"/>
    <w:qFormat/>
    <w:uiPriority w:val="0"/>
    <w:rPr>
      <w:rFonts w:ascii="宋体" w:hAnsi="Courier New" w:eastAsia="宋体" w:cs="Courier New"/>
      <w:sz w:val="21"/>
      <w:szCs w:val="21"/>
    </w:rPr>
  </w:style>
  <w:style w:type="paragraph" w:customStyle="1" w:styleId="77">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8">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79">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80">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1">
    <w:name w:val="1"/>
    <w:basedOn w:val="1"/>
    <w:next w:val="20"/>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2">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3">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4">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5">
    <w:name w:val="Char Char Char Char"/>
    <w:basedOn w:val="14"/>
    <w:qFormat/>
    <w:uiPriority w:val="0"/>
    <w:rPr>
      <w:rFonts w:ascii="宋体" w:hAnsi="Courier New"/>
      <w:szCs w:val="20"/>
    </w:rPr>
  </w:style>
  <w:style w:type="paragraph" w:customStyle="1" w:styleId="86">
    <w:name w:val="样式3"/>
    <w:basedOn w:val="20"/>
    <w:qFormat/>
    <w:uiPriority w:val="0"/>
    <w:pPr>
      <w:adjustRightInd w:val="0"/>
      <w:spacing w:line="0" w:lineRule="atLeast"/>
      <w:textAlignment w:val="baseline"/>
      <w:outlineLvl w:val="0"/>
    </w:pPr>
    <w:rPr>
      <w:sz w:val="28"/>
    </w:rPr>
  </w:style>
  <w:style w:type="paragraph" w:customStyle="1" w:styleId="87">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8">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89">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90">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1">
    <w:name w:val="默认段落字体 Para Char Char Char Char Char Char Char Char Char1 Char"/>
    <w:basedOn w:val="14"/>
    <w:qFormat/>
    <w:uiPriority w:val="0"/>
    <w:pPr>
      <w:adjustRightInd w:val="0"/>
      <w:spacing w:line="436" w:lineRule="exact"/>
      <w:ind w:left="357"/>
      <w:jc w:val="left"/>
      <w:outlineLvl w:val="3"/>
    </w:pPr>
    <w:rPr>
      <w:shd w:val="clear" w:color="auto" w:fill="000080"/>
    </w:rPr>
  </w:style>
  <w:style w:type="character" w:customStyle="1" w:styleId="92">
    <w:name w:val="Char Char2"/>
    <w:qFormat/>
    <w:uiPriority w:val="0"/>
    <w:rPr>
      <w:rFonts w:ascii="宋体" w:hAnsi="Courier New" w:eastAsia="宋体" w:cs="Courier New"/>
      <w:szCs w:val="21"/>
    </w:rPr>
  </w:style>
  <w:style w:type="character" w:customStyle="1" w:styleId="93">
    <w:name w:val="普通文字 Char Char2"/>
    <w:qFormat/>
    <w:uiPriority w:val="0"/>
    <w:rPr>
      <w:rFonts w:ascii="宋体" w:hAnsi="宋体"/>
      <w:kern w:val="1"/>
      <w:sz w:val="21"/>
      <w:lang w:eastAsia="ar-SA"/>
    </w:rPr>
  </w:style>
  <w:style w:type="paragraph" w:styleId="94">
    <w:name w:val="List Paragraph"/>
    <w:basedOn w:val="1"/>
    <w:qFormat/>
    <w:uiPriority w:val="34"/>
    <w:pPr>
      <w:ind w:firstLine="420" w:firstLineChars="200"/>
    </w:pPr>
  </w:style>
  <w:style w:type="paragraph" w:customStyle="1" w:styleId="9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6">
    <w:name w:val="纯文本 Char1"/>
    <w:qFormat/>
    <w:uiPriority w:val="0"/>
    <w:rPr>
      <w:rFonts w:ascii="宋体" w:hAnsi="Courier New" w:eastAsia="宋体" w:cs="Courier New"/>
      <w:szCs w:val="21"/>
    </w:rPr>
  </w:style>
  <w:style w:type="character" w:customStyle="1" w:styleId="97">
    <w:name w:val="正文缩进 字符"/>
    <w:link w:val="13"/>
    <w:qFormat/>
    <w:uiPriority w:val="0"/>
    <w:rPr>
      <w:rFonts w:ascii="Times New Roman" w:hAnsi="Times New Roman" w:eastAsia="宋体" w:cs="Times New Roman"/>
      <w:kern w:val="2"/>
      <w:sz w:val="21"/>
      <w:szCs w:val="20"/>
    </w:rPr>
  </w:style>
  <w:style w:type="character" w:customStyle="1" w:styleId="98">
    <w:name w:val="Char Char10"/>
    <w:qFormat/>
    <w:uiPriority w:val="0"/>
    <w:rPr>
      <w:rFonts w:ascii="宋体" w:hAnsi="Courier New" w:eastAsia="宋体" w:cs="Courier New"/>
      <w:kern w:val="2"/>
      <w:sz w:val="21"/>
      <w:szCs w:val="21"/>
      <w:lang w:val="en-US" w:eastAsia="zh-CN" w:bidi="ar-SA"/>
    </w:rPr>
  </w:style>
  <w:style w:type="character" w:customStyle="1" w:styleId="99">
    <w:name w:val="日期 Char1"/>
    <w:qFormat/>
    <w:uiPriority w:val="0"/>
    <w:rPr>
      <w:kern w:val="2"/>
      <w:sz w:val="21"/>
      <w:szCs w:val="24"/>
    </w:rPr>
  </w:style>
  <w:style w:type="paragraph" w:customStyle="1" w:styleId="100">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1">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02">
    <w:name w:val="font01"/>
    <w:basedOn w:val="3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EFAF1-315B-47F7-A022-148483DAB0F7}">
  <ds:schemaRefs/>
</ds:datastoreItem>
</file>

<file path=docProps/app.xml><?xml version="1.0" encoding="utf-8"?>
<Properties xmlns="http://schemas.openxmlformats.org/officeDocument/2006/extended-properties" xmlns:vt="http://schemas.openxmlformats.org/officeDocument/2006/docPropsVTypes">
  <Template>Normal</Template>
  <Pages>63</Pages>
  <Words>6390</Words>
  <Characters>36424</Characters>
  <Lines>303</Lines>
  <Paragraphs>85</Paragraphs>
  <TotalTime>0</TotalTime>
  <ScaleCrop>false</ScaleCrop>
  <LinksUpToDate>false</LinksUpToDate>
  <CharactersWithSpaces>42729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2017-12-05T07:44:00Z</dcterms:created>
  <dc:creator>Administrator</dc:creator>
  <cp:lastModifiedBy>sami</cp:lastModifiedBy>
  <cp:lastPrinted>2019-06-04T09:20:00Z</cp:lastPrinted>
  <dcterms:modified xsi:type="dcterms:W3CDTF">2020-07-22T01:12:24Z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