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color w:val="auto"/>
          <w:sz w:val="28"/>
          <w:szCs w:val="28"/>
          <w:highlight w:val="none"/>
        </w:rPr>
      </w:pPr>
    </w:p>
    <w:p>
      <w:pPr>
        <w:spacing w:line="540" w:lineRule="exact"/>
        <w:jc w:val="center"/>
        <w:rPr>
          <w:color w:val="auto"/>
          <w:sz w:val="28"/>
          <w:szCs w:val="28"/>
          <w:highlight w:val="none"/>
        </w:rPr>
      </w:pPr>
    </w:p>
    <w:p>
      <w:pPr>
        <w:spacing w:line="360" w:lineRule="auto"/>
        <w:jc w:val="center"/>
        <w:rPr>
          <w:b/>
          <w:color w:val="auto"/>
          <w:sz w:val="48"/>
          <w:szCs w:val="48"/>
          <w:highlight w:val="none"/>
        </w:rPr>
      </w:pPr>
      <w:r>
        <w:rPr>
          <w:rFonts w:hint="eastAsia"/>
          <w:b/>
          <w:color w:val="auto"/>
          <w:sz w:val="48"/>
          <w:szCs w:val="48"/>
          <w:highlight w:val="none"/>
        </w:rPr>
        <w:t>桂林电子科技大学建筑与交通工程学院</w:t>
      </w:r>
    </w:p>
    <w:p>
      <w:pPr>
        <w:spacing w:line="360" w:lineRule="auto"/>
        <w:jc w:val="center"/>
        <w:rPr>
          <w:b/>
          <w:color w:val="auto"/>
          <w:sz w:val="48"/>
          <w:szCs w:val="48"/>
          <w:highlight w:val="none"/>
        </w:rPr>
      </w:pPr>
      <w:r>
        <w:rPr>
          <w:rFonts w:hint="eastAsia"/>
          <w:b/>
          <w:color w:val="auto"/>
          <w:sz w:val="48"/>
          <w:szCs w:val="48"/>
          <w:highlight w:val="none"/>
        </w:rPr>
        <w:t>结构实验室附属设备基础项目工程</w:t>
      </w:r>
      <w:r>
        <w:rPr>
          <w:b/>
          <w:color w:val="auto"/>
          <w:sz w:val="48"/>
          <w:szCs w:val="48"/>
          <w:highlight w:val="none"/>
        </w:rPr>
        <w:t>总承包</w:t>
      </w:r>
    </w:p>
    <w:p>
      <w:pPr>
        <w:spacing w:line="460" w:lineRule="exact"/>
        <w:ind w:firstLine="437"/>
        <w:rPr>
          <w:color w:val="auto"/>
          <w:szCs w:val="21"/>
          <w:highlight w:val="none"/>
        </w:rPr>
      </w:pPr>
    </w:p>
    <w:p>
      <w:pPr>
        <w:spacing w:line="540" w:lineRule="exact"/>
        <w:rPr>
          <w:color w:val="auto"/>
          <w:szCs w:val="21"/>
          <w:highlight w:val="none"/>
        </w:rPr>
      </w:pPr>
    </w:p>
    <w:p>
      <w:pPr>
        <w:spacing w:line="540" w:lineRule="exact"/>
        <w:rPr>
          <w:color w:val="auto"/>
          <w:szCs w:val="21"/>
          <w:highlight w:val="none"/>
        </w:rPr>
      </w:pPr>
    </w:p>
    <w:p>
      <w:pPr>
        <w:jc w:val="center"/>
        <w:rPr>
          <w:b/>
          <w:bCs/>
          <w:color w:val="auto"/>
          <w:sz w:val="96"/>
          <w:szCs w:val="96"/>
          <w:highlight w:val="none"/>
        </w:rPr>
      </w:pPr>
      <w:r>
        <w:rPr>
          <w:b/>
          <w:bCs/>
          <w:color w:val="auto"/>
          <w:sz w:val="96"/>
          <w:szCs w:val="96"/>
          <w:highlight w:val="none"/>
        </w:rPr>
        <w:t>招 标 文 件</w:t>
      </w:r>
    </w:p>
    <w:p>
      <w:pPr>
        <w:spacing w:line="540" w:lineRule="exact"/>
        <w:ind w:firstLine="437"/>
        <w:rPr>
          <w:color w:val="auto"/>
          <w:szCs w:val="21"/>
          <w:highlight w:val="none"/>
        </w:rPr>
      </w:pPr>
    </w:p>
    <w:p>
      <w:pPr>
        <w:spacing w:line="540" w:lineRule="exact"/>
        <w:ind w:firstLine="437"/>
        <w:rPr>
          <w:color w:val="auto"/>
          <w:szCs w:val="21"/>
          <w:highlight w:val="none"/>
        </w:rPr>
      </w:pPr>
    </w:p>
    <w:p>
      <w:pPr>
        <w:spacing w:line="540" w:lineRule="exact"/>
        <w:ind w:firstLine="437"/>
        <w:rPr>
          <w:color w:val="auto"/>
          <w:szCs w:val="21"/>
          <w:highlight w:val="none"/>
        </w:rPr>
      </w:pPr>
    </w:p>
    <w:p>
      <w:pPr>
        <w:spacing w:line="540" w:lineRule="exact"/>
        <w:ind w:firstLine="1540" w:firstLineChars="550"/>
        <w:jc w:val="left"/>
        <w:rPr>
          <w:color w:val="auto"/>
          <w:sz w:val="28"/>
          <w:szCs w:val="28"/>
          <w:highlight w:val="none"/>
          <w:u w:val="single"/>
        </w:rPr>
      </w:pPr>
      <w:r>
        <w:rPr>
          <w:color w:val="auto"/>
          <w:sz w:val="28"/>
          <w:szCs w:val="28"/>
          <w:highlight w:val="none"/>
        </w:rPr>
        <w:t xml:space="preserve">     项目</w:t>
      </w:r>
      <w:r>
        <w:rPr>
          <w:rFonts w:hint="eastAsia"/>
          <w:color w:val="auto"/>
          <w:sz w:val="28"/>
          <w:szCs w:val="28"/>
          <w:highlight w:val="none"/>
        </w:rPr>
        <w:t>招标</w:t>
      </w:r>
      <w:r>
        <w:rPr>
          <w:color w:val="auto"/>
          <w:sz w:val="28"/>
          <w:szCs w:val="28"/>
          <w:highlight w:val="none"/>
        </w:rPr>
        <w:t>编号</w:t>
      </w:r>
      <w:r>
        <w:rPr>
          <w:rFonts w:hint="eastAsia"/>
          <w:color w:val="auto"/>
          <w:sz w:val="28"/>
          <w:szCs w:val="28"/>
          <w:highlight w:val="none"/>
        </w:rPr>
        <w:t>:GXZC2021-G2-000506-GXHJ</w:t>
      </w:r>
    </w:p>
    <w:p>
      <w:pPr>
        <w:spacing w:line="540" w:lineRule="exact"/>
        <w:ind w:firstLine="437"/>
        <w:rPr>
          <w:color w:val="auto"/>
          <w:szCs w:val="21"/>
          <w:highlight w:val="none"/>
        </w:rPr>
      </w:pPr>
    </w:p>
    <w:p>
      <w:pPr>
        <w:spacing w:line="540" w:lineRule="exact"/>
        <w:ind w:firstLine="437"/>
        <w:rPr>
          <w:color w:val="auto"/>
          <w:szCs w:val="21"/>
          <w:highlight w:val="none"/>
        </w:rPr>
      </w:pPr>
    </w:p>
    <w:p>
      <w:pPr>
        <w:spacing w:line="540" w:lineRule="exact"/>
        <w:ind w:firstLine="437"/>
        <w:rPr>
          <w:color w:val="auto"/>
          <w:szCs w:val="21"/>
          <w:highlight w:val="none"/>
        </w:rPr>
      </w:pPr>
    </w:p>
    <w:p>
      <w:pPr>
        <w:spacing w:line="540" w:lineRule="exact"/>
        <w:ind w:firstLine="437"/>
        <w:rPr>
          <w:color w:val="auto"/>
          <w:sz w:val="32"/>
          <w:szCs w:val="32"/>
          <w:highlight w:val="none"/>
        </w:rPr>
      </w:pPr>
      <w:r>
        <w:rPr>
          <w:color w:val="auto"/>
          <w:sz w:val="32"/>
          <w:szCs w:val="32"/>
          <w:highlight w:val="none"/>
        </w:rPr>
        <w:t xml:space="preserve">  招 标 人：</w:t>
      </w:r>
      <w:r>
        <w:rPr>
          <w:rFonts w:hint="eastAsia"/>
          <w:color w:val="auto"/>
          <w:sz w:val="32"/>
          <w:szCs w:val="32"/>
          <w:highlight w:val="none"/>
          <w:u w:val="single"/>
        </w:rPr>
        <w:t>桂林电子科技大学</w:t>
      </w:r>
      <w:r>
        <w:rPr>
          <w:color w:val="auto"/>
          <w:sz w:val="32"/>
          <w:szCs w:val="32"/>
          <w:highlight w:val="none"/>
        </w:rPr>
        <w:t>（盖单位公章）</w:t>
      </w:r>
    </w:p>
    <w:p>
      <w:pPr>
        <w:spacing w:line="540" w:lineRule="exact"/>
        <w:ind w:firstLine="437"/>
        <w:rPr>
          <w:color w:val="auto"/>
          <w:sz w:val="32"/>
          <w:szCs w:val="32"/>
          <w:highlight w:val="none"/>
        </w:rPr>
      </w:pPr>
    </w:p>
    <w:p>
      <w:pPr>
        <w:spacing w:line="540" w:lineRule="exact"/>
        <w:ind w:firstLine="437"/>
        <w:rPr>
          <w:color w:val="auto"/>
          <w:sz w:val="32"/>
          <w:szCs w:val="32"/>
          <w:highlight w:val="none"/>
        </w:rPr>
      </w:pPr>
      <w:r>
        <w:rPr>
          <w:color w:val="auto"/>
          <w:sz w:val="32"/>
          <w:szCs w:val="32"/>
          <w:highlight w:val="none"/>
        </w:rPr>
        <w:t xml:space="preserve">  招标代理机构：</w:t>
      </w:r>
      <w:r>
        <w:rPr>
          <w:rFonts w:hint="eastAsia"/>
          <w:color w:val="auto"/>
          <w:sz w:val="32"/>
          <w:szCs w:val="32"/>
          <w:highlight w:val="none"/>
          <w:u w:val="single"/>
        </w:rPr>
        <w:t>广西恒基建设工程咨询有限公司</w:t>
      </w:r>
      <w:r>
        <w:rPr>
          <w:color w:val="auto"/>
          <w:sz w:val="32"/>
          <w:szCs w:val="32"/>
          <w:highlight w:val="none"/>
        </w:rPr>
        <w:t>（盖单位公章）</w:t>
      </w:r>
    </w:p>
    <w:p>
      <w:pPr>
        <w:spacing w:line="540" w:lineRule="exact"/>
        <w:ind w:firstLine="437"/>
        <w:rPr>
          <w:color w:val="auto"/>
          <w:sz w:val="32"/>
          <w:szCs w:val="32"/>
          <w:highlight w:val="none"/>
        </w:rPr>
      </w:pPr>
    </w:p>
    <w:p>
      <w:pPr>
        <w:spacing w:line="540" w:lineRule="exact"/>
        <w:ind w:firstLine="437"/>
        <w:jc w:val="center"/>
        <w:rPr>
          <w:color w:val="auto"/>
          <w:sz w:val="32"/>
          <w:szCs w:val="32"/>
          <w:highlight w:val="none"/>
        </w:rPr>
      </w:pPr>
    </w:p>
    <w:p>
      <w:pPr>
        <w:spacing w:line="540" w:lineRule="exact"/>
        <w:ind w:firstLine="437"/>
        <w:jc w:val="center"/>
        <w:rPr>
          <w:color w:val="auto"/>
          <w:sz w:val="32"/>
          <w:szCs w:val="32"/>
          <w:highlight w:val="none"/>
        </w:rPr>
      </w:pPr>
      <w:r>
        <w:rPr>
          <w:color w:val="auto"/>
          <w:sz w:val="32"/>
          <w:szCs w:val="32"/>
          <w:highlight w:val="none"/>
        </w:rPr>
        <w:t>日期：</w:t>
      </w:r>
      <w:r>
        <w:rPr>
          <w:rFonts w:hint="eastAsia"/>
          <w:color w:val="auto"/>
          <w:sz w:val="32"/>
          <w:szCs w:val="32"/>
          <w:highlight w:val="none"/>
        </w:rPr>
        <w:t>202</w:t>
      </w:r>
      <w:r>
        <w:rPr>
          <w:color w:val="auto"/>
          <w:sz w:val="32"/>
          <w:szCs w:val="32"/>
          <w:highlight w:val="none"/>
        </w:rPr>
        <w:t>1年</w:t>
      </w:r>
      <w:r>
        <w:rPr>
          <w:rFonts w:hint="eastAsia"/>
          <w:color w:val="auto"/>
          <w:sz w:val="32"/>
          <w:szCs w:val="32"/>
          <w:highlight w:val="none"/>
        </w:rPr>
        <w:t xml:space="preserve"> </w:t>
      </w:r>
      <w:r>
        <w:rPr>
          <w:color w:val="auto"/>
          <w:sz w:val="32"/>
          <w:szCs w:val="32"/>
          <w:highlight w:val="none"/>
        </w:rPr>
        <w:t>月</w:t>
      </w:r>
    </w:p>
    <w:p>
      <w:pPr>
        <w:spacing w:line="540" w:lineRule="exact"/>
        <w:rPr>
          <w:color w:val="auto"/>
          <w:sz w:val="32"/>
          <w:szCs w:val="32"/>
          <w:highlight w:val="none"/>
        </w:rPr>
        <w:sectPr>
          <w:headerReference r:id="rId3" w:type="default"/>
          <w:footerReference r:id="rId4" w:type="default"/>
          <w:pgSz w:w="11907" w:h="16840"/>
          <w:pgMar w:top="1418" w:right="1134" w:bottom="1418" w:left="1134" w:header="851" w:footer="851" w:gutter="0"/>
          <w:pgNumType w:fmt="upperRoman" w:start="1"/>
          <w:cols w:space="720" w:num="1"/>
          <w:titlePg/>
          <w:docGrid w:linePitch="312" w:charSpace="0"/>
        </w:sectPr>
      </w:pPr>
    </w:p>
    <w:p>
      <w:pPr>
        <w:tabs>
          <w:tab w:val="left" w:pos="1080"/>
        </w:tabs>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目  录</w:t>
      </w:r>
    </w:p>
    <w:p>
      <w:pPr>
        <w:pStyle w:val="15"/>
        <w:tabs>
          <w:tab w:val="right" w:leader="dot" w:pos="9629"/>
        </w:tabs>
        <w:spacing w:line="420" w:lineRule="exact"/>
        <w:rPr>
          <w:rFonts w:ascii="宋体" w:hAnsi="宋体"/>
          <w:b w:val="0"/>
          <w:bCs w:val="0"/>
          <w:caps w:val="0"/>
          <w:color w:val="auto"/>
          <w:sz w:val="24"/>
          <w:szCs w:val="24"/>
          <w:highlight w:val="none"/>
        </w:rPr>
      </w:pPr>
      <w:bookmarkStart w:id="0" w:name="_Toc282843651"/>
      <w:bookmarkEnd w:id="0"/>
      <w:bookmarkStart w:id="1" w:name="_Toc283196391"/>
      <w:bookmarkEnd w:id="1"/>
      <w:bookmarkStart w:id="2" w:name="_Toc390874899"/>
      <w:bookmarkEnd w:id="2"/>
      <w:bookmarkStart w:id="3" w:name="_Toc282823836"/>
      <w:bookmarkEnd w:id="3"/>
      <w:r>
        <w:rPr>
          <w:rFonts w:ascii="宋体" w:hAnsi="宋体"/>
          <w:b w:val="0"/>
          <w:color w:val="auto"/>
          <w:sz w:val="24"/>
          <w:szCs w:val="24"/>
          <w:highlight w:val="none"/>
        </w:rPr>
        <w:fldChar w:fldCharType="begin"/>
      </w:r>
      <w:r>
        <w:rPr>
          <w:rFonts w:ascii="宋体" w:hAnsi="宋体"/>
          <w:b w:val="0"/>
          <w:color w:val="auto"/>
          <w:sz w:val="24"/>
          <w:szCs w:val="24"/>
          <w:highlight w:val="none"/>
        </w:rPr>
        <w:instrText xml:space="preserve"> </w:instrText>
      </w:r>
      <w:r>
        <w:rPr>
          <w:rFonts w:hint="eastAsia" w:ascii="宋体" w:hAnsi="宋体"/>
          <w:b w:val="0"/>
          <w:color w:val="auto"/>
          <w:sz w:val="24"/>
          <w:szCs w:val="24"/>
          <w:highlight w:val="none"/>
        </w:rPr>
        <w:instrText xml:space="preserve">TOC \o "1-3" \h \z \u</w:instrText>
      </w:r>
      <w:r>
        <w:rPr>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"_Toc491277127"</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第一章</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招标公告</w:t>
      </w:r>
      <w:r>
        <w:rPr>
          <w:rFonts w:ascii="宋体" w:hAnsi="宋体"/>
          <w:b w:val="0"/>
          <w:color w:val="auto"/>
          <w:sz w:val="24"/>
          <w:szCs w:val="24"/>
          <w:highlight w:val="none"/>
        </w:rPr>
        <w:tab/>
      </w:r>
      <w:r>
        <w:rPr>
          <w:rFonts w:hint="eastAsia" w:ascii="宋体" w:hAnsi="宋体"/>
          <w:b w:val="0"/>
          <w:color w:val="auto"/>
          <w:sz w:val="24"/>
          <w:szCs w:val="24"/>
          <w:highlight w:val="none"/>
          <w:lang w:val="en-US" w:eastAsia="zh-CN"/>
        </w:rPr>
        <w:t>8</w:t>
      </w:r>
      <w:r>
        <w:rPr>
          <w:rFonts w:ascii="宋体" w:hAnsi="宋体"/>
          <w:b w:val="0"/>
          <w:color w:val="auto"/>
          <w:sz w:val="24"/>
          <w:szCs w:val="24"/>
          <w:highlight w:val="none"/>
        </w:rPr>
        <w:fldChar w:fldCharType="end"/>
      </w:r>
    </w:p>
    <w:p>
      <w:pPr>
        <w:pStyle w:val="15"/>
        <w:tabs>
          <w:tab w:val="right" w:leader="dot" w:pos="9629"/>
        </w:tabs>
        <w:spacing w:line="420" w:lineRule="exact"/>
        <w:rPr>
          <w:rFonts w:hint="eastAsia" w:ascii="宋体" w:hAnsi="宋体" w:eastAsia="宋体"/>
          <w:b w:val="0"/>
          <w:bCs w:val="0"/>
          <w:caps w:val="0"/>
          <w:color w:val="auto"/>
          <w:sz w:val="24"/>
          <w:szCs w:val="24"/>
          <w:highlight w:val="none"/>
          <w:lang w:val="en-US" w:eastAsia="zh-CN"/>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"_Toc491277152"</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第二章</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投标人须知</w:t>
      </w:r>
      <w:r>
        <w:rPr>
          <w:rFonts w:ascii="宋体" w:hAnsi="宋体"/>
          <w:b w:val="0"/>
          <w:color w:val="auto"/>
          <w:sz w:val="24"/>
          <w:szCs w:val="24"/>
          <w:highlight w:val="none"/>
        </w:rPr>
        <w:tab/>
      </w:r>
      <w:r>
        <w:rPr>
          <w:rFonts w:hint="eastAsia" w:ascii="宋体" w:hAnsi="宋体"/>
          <w:b w:val="0"/>
          <w:color w:val="auto"/>
          <w:sz w:val="24"/>
          <w:szCs w:val="24"/>
          <w:highlight w:val="none"/>
          <w:lang w:val="en-US" w:eastAsia="zh-CN"/>
        </w:rPr>
        <w:t>1</w:t>
      </w:r>
      <w:r>
        <w:rPr>
          <w:rFonts w:ascii="宋体" w:hAnsi="宋体"/>
          <w:b w:val="0"/>
          <w:color w:val="auto"/>
          <w:sz w:val="24"/>
          <w:szCs w:val="24"/>
          <w:highlight w:val="none"/>
        </w:rPr>
        <w:fldChar w:fldCharType="end"/>
      </w:r>
      <w:r>
        <w:rPr>
          <w:rFonts w:hint="eastAsia" w:ascii="宋体" w:hAnsi="宋体"/>
          <w:b w:val="0"/>
          <w:color w:val="auto"/>
          <w:sz w:val="24"/>
          <w:szCs w:val="24"/>
          <w:highlight w:val="none"/>
          <w:lang w:val="en-US" w:eastAsia="zh-CN"/>
        </w:rPr>
        <w:t>1</w:t>
      </w:r>
    </w:p>
    <w:p>
      <w:pPr>
        <w:pStyle w:val="15"/>
        <w:tabs>
          <w:tab w:val="right" w:leader="dot" w:pos="9629"/>
        </w:tabs>
        <w:spacing w:line="420" w:lineRule="exact"/>
        <w:rPr>
          <w:rStyle w:val="33"/>
          <w:rFonts w:hint="eastAsia" w:ascii="宋体" w:hAnsi="宋体" w:eastAsia="宋体"/>
          <w:b w:val="0"/>
          <w:color w:val="auto"/>
          <w:sz w:val="24"/>
          <w:szCs w:val="24"/>
          <w:highlight w:val="none"/>
          <w:lang w:val="en-US" w:eastAsia="zh-CN"/>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"_Toc491277153"</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投标人须知前附表</w:t>
      </w:r>
      <w:r>
        <w:rPr>
          <w:rFonts w:ascii="宋体" w:hAnsi="宋体"/>
          <w:b w:val="0"/>
          <w:color w:val="auto"/>
          <w:sz w:val="24"/>
          <w:szCs w:val="24"/>
          <w:highlight w:val="none"/>
        </w:rPr>
        <w:tab/>
      </w:r>
      <w:r>
        <w:rPr>
          <w:rFonts w:hint="eastAsia" w:ascii="宋体" w:hAnsi="宋体"/>
          <w:b w:val="0"/>
          <w:color w:val="auto"/>
          <w:sz w:val="24"/>
          <w:szCs w:val="24"/>
          <w:highlight w:val="none"/>
          <w:lang w:val="en-US" w:eastAsia="zh-CN"/>
        </w:rPr>
        <w:t>1</w:t>
      </w:r>
      <w:r>
        <w:rPr>
          <w:rFonts w:ascii="宋体" w:hAnsi="宋体"/>
          <w:b w:val="0"/>
          <w:color w:val="auto"/>
          <w:sz w:val="24"/>
          <w:szCs w:val="24"/>
          <w:highlight w:val="none"/>
        </w:rPr>
        <w:fldChar w:fldCharType="end"/>
      </w:r>
      <w:r>
        <w:rPr>
          <w:rFonts w:hint="eastAsia" w:ascii="宋体" w:hAnsi="宋体"/>
          <w:b w:val="0"/>
          <w:color w:val="auto"/>
          <w:sz w:val="24"/>
          <w:szCs w:val="24"/>
          <w:highlight w:val="none"/>
          <w:lang w:val="en-US" w:eastAsia="zh-CN"/>
        </w:rPr>
        <w:t>1</w:t>
      </w:r>
    </w:p>
    <w:p>
      <w:pPr>
        <w:pStyle w:val="15"/>
        <w:tabs>
          <w:tab w:val="right" w:leader="dot" w:pos="9629"/>
        </w:tabs>
        <w:spacing w:line="420" w:lineRule="exact"/>
        <w:rPr>
          <w:rFonts w:hint="eastAsia" w:ascii="宋体" w:hAnsi="宋体" w:eastAsia="宋体"/>
          <w:b w:val="0"/>
          <w:bCs w:val="0"/>
          <w:caps w:val="0"/>
          <w:color w:val="auto"/>
          <w:sz w:val="24"/>
          <w:szCs w:val="24"/>
          <w:highlight w:val="none"/>
          <w:lang w:val="en-US" w:eastAsia="zh-CN"/>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"_Toc491277155"</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投标人须知正文部分</w:t>
      </w:r>
      <w:r>
        <w:rPr>
          <w:rFonts w:ascii="宋体" w:hAnsi="宋体"/>
          <w:b w:val="0"/>
          <w:color w:val="auto"/>
          <w:sz w:val="24"/>
          <w:szCs w:val="24"/>
          <w:highlight w:val="none"/>
        </w:rPr>
        <w:tab/>
      </w:r>
      <w:r>
        <w:rPr>
          <w:rFonts w:hint="eastAsia" w:ascii="宋体" w:hAnsi="宋体"/>
          <w:b w:val="0"/>
          <w:color w:val="auto"/>
          <w:sz w:val="24"/>
          <w:szCs w:val="24"/>
          <w:highlight w:val="none"/>
          <w:lang w:val="en-US" w:eastAsia="zh-CN"/>
        </w:rPr>
        <w:t>3</w:t>
      </w:r>
      <w:r>
        <w:rPr>
          <w:rFonts w:ascii="宋体" w:hAnsi="宋体"/>
          <w:b w:val="0"/>
          <w:color w:val="auto"/>
          <w:sz w:val="24"/>
          <w:szCs w:val="24"/>
          <w:highlight w:val="none"/>
        </w:rPr>
        <w:fldChar w:fldCharType="end"/>
      </w:r>
      <w:r>
        <w:rPr>
          <w:rFonts w:hint="eastAsia" w:ascii="宋体" w:hAnsi="宋体"/>
          <w:b w:val="0"/>
          <w:color w:val="auto"/>
          <w:sz w:val="24"/>
          <w:szCs w:val="24"/>
          <w:highlight w:val="none"/>
          <w:lang w:val="en-US" w:eastAsia="zh-CN"/>
        </w:rPr>
        <w:t>4</w:t>
      </w:r>
    </w:p>
    <w:p>
      <w:pPr>
        <w:pStyle w:val="10"/>
        <w:tabs>
          <w:tab w:val="right" w:leader="dot" w:pos="9629"/>
        </w:tabs>
        <w:spacing w:line="420" w:lineRule="exact"/>
        <w:rPr>
          <w:rFonts w:ascii="宋体" w:hAnsi="宋体"/>
          <w:i w:val="0"/>
          <w:iCs w:val="0"/>
          <w:color w:val="auto"/>
          <w:sz w:val="24"/>
          <w:szCs w:val="24"/>
          <w:highlight w:val="none"/>
        </w:rPr>
      </w:pPr>
    </w:p>
    <w:p>
      <w:pPr>
        <w:pStyle w:val="15"/>
        <w:tabs>
          <w:tab w:val="right" w:leader="dot" w:pos="9629"/>
        </w:tabs>
        <w:spacing w:line="420" w:lineRule="exact"/>
        <w:rPr>
          <w:rFonts w:hint="eastAsia" w:ascii="宋体" w:hAnsi="宋体" w:eastAsia="宋体"/>
          <w:b w:val="0"/>
          <w:bCs w:val="0"/>
          <w:caps w:val="0"/>
          <w:color w:val="auto"/>
          <w:sz w:val="24"/>
          <w:szCs w:val="24"/>
          <w:highlight w:val="none"/>
          <w:lang w:val="en-US" w:eastAsia="zh-CN"/>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"_Toc491277221"</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第三章</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评标办法（综合评估法）</w:t>
      </w:r>
      <w:r>
        <w:rPr>
          <w:rFonts w:ascii="宋体" w:hAnsi="宋体"/>
          <w:b w:val="0"/>
          <w:color w:val="auto"/>
          <w:sz w:val="24"/>
          <w:szCs w:val="24"/>
          <w:highlight w:val="none"/>
        </w:rPr>
        <w:tab/>
      </w:r>
      <w:r>
        <w:rPr>
          <w:rFonts w:hint="eastAsia" w:ascii="宋体" w:hAnsi="宋体"/>
          <w:b w:val="0"/>
          <w:color w:val="auto"/>
          <w:sz w:val="24"/>
          <w:szCs w:val="24"/>
          <w:highlight w:val="none"/>
          <w:lang w:val="en-US" w:eastAsia="zh-CN"/>
        </w:rPr>
        <w:t>3</w:t>
      </w:r>
      <w:r>
        <w:rPr>
          <w:rFonts w:ascii="宋体" w:hAnsi="宋体"/>
          <w:b w:val="0"/>
          <w:color w:val="auto"/>
          <w:sz w:val="24"/>
          <w:szCs w:val="24"/>
          <w:highlight w:val="none"/>
        </w:rPr>
        <w:fldChar w:fldCharType="end"/>
      </w:r>
      <w:r>
        <w:rPr>
          <w:rFonts w:hint="eastAsia" w:ascii="宋体" w:hAnsi="宋体"/>
          <w:b w:val="0"/>
          <w:color w:val="auto"/>
          <w:sz w:val="24"/>
          <w:szCs w:val="24"/>
          <w:highlight w:val="none"/>
          <w:lang w:val="en-US" w:eastAsia="zh-CN"/>
        </w:rPr>
        <w:t>5</w:t>
      </w:r>
    </w:p>
    <w:p>
      <w:pPr>
        <w:pStyle w:val="15"/>
        <w:tabs>
          <w:tab w:val="right" w:leader="dot" w:pos="9629"/>
        </w:tabs>
        <w:spacing w:line="420" w:lineRule="exact"/>
        <w:rPr>
          <w:rFonts w:hint="eastAsia" w:ascii="宋体" w:hAnsi="宋体" w:eastAsia="宋体"/>
          <w:b w:val="0"/>
          <w:bCs w:val="0"/>
          <w:caps w:val="0"/>
          <w:color w:val="auto"/>
          <w:sz w:val="24"/>
          <w:szCs w:val="24"/>
          <w:highlight w:val="none"/>
          <w:lang w:val="en-US" w:eastAsia="zh-CN"/>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"_Toc491277222"</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评标办法前附表</w:t>
      </w:r>
      <w:r>
        <w:rPr>
          <w:rFonts w:ascii="宋体" w:hAnsi="宋体"/>
          <w:b w:val="0"/>
          <w:color w:val="auto"/>
          <w:sz w:val="24"/>
          <w:szCs w:val="24"/>
          <w:highlight w:val="none"/>
        </w:rPr>
        <w:tab/>
      </w:r>
      <w:r>
        <w:rPr>
          <w:rFonts w:hint="eastAsia" w:ascii="宋体" w:hAnsi="宋体"/>
          <w:b w:val="0"/>
          <w:color w:val="auto"/>
          <w:sz w:val="24"/>
          <w:szCs w:val="24"/>
          <w:highlight w:val="none"/>
          <w:lang w:val="en-US" w:eastAsia="zh-CN"/>
        </w:rPr>
        <w:t>3</w:t>
      </w:r>
      <w:r>
        <w:rPr>
          <w:rFonts w:ascii="宋体" w:hAnsi="宋体"/>
          <w:b w:val="0"/>
          <w:color w:val="auto"/>
          <w:sz w:val="24"/>
          <w:szCs w:val="24"/>
          <w:highlight w:val="none"/>
        </w:rPr>
        <w:fldChar w:fldCharType="end"/>
      </w:r>
      <w:r>
        <w:rPr>
          <w:rFonts w:hint="eastAsia" w:ascii="宋体" w:hAnsi="宋体"/>
          <w:b w:val="0"/>
          <w:color w:val="auto"/>
          <w:sz w:val="24"/>
          <w:szCs w:val="24"/>
          <w:highlight w:val="none"/>
          <w:lang w:val="en-US" w:eastAsia="zh-CN"/>
        </w:rPr>
        <w:t>5</w:t>
      </w:r>
    </w:p>
    <w:p>
      <w:pPr>
        <w:pStyle w:val="15"/>
        <w:tabs>
          <w:tab w:val="right" w:leader="dot" w:pos="9629"/>
        </w:tabs>
        <w:spacing w:line="420" w:lineRule="exact"/>
        <w:rPr>
          <w:rFonts w:ascii="宋体" w:hAnsi="宋体"/>
          <w:b w:val="0"/>
          <w:bCs w:val="0"/>
          <w:caps w:val="0"/>
          <w:color w:val="auto"/>
          <w:sz w:val="24"/>
          <w:szCs w:val="24"/>
          <w:highlight w:val="none"/>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"_Toc491277244"</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第四章</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合同条款及格式</w:t>
      </w:r>
      <w:r>
        <w:rPr>
          <w:rFonts w:ascii="宋体" w:hAnsi="宋体"/>
          <w:b w:val="0"/>
          <w:color w:val="auto"/>
          <w:sz w:val="24"/>
          <w:szCs w:val="24"/>
          <w:highlight w:val="none"/>
        </w:rPr>
        <w:tab/>
      </w:r>
      <w:r>
        <w:rPr>
          <w:rFonts w:ascii="宋体" w:hAnsi="宋体"/>
          <w:b w:val="0"/>
          <w:color w:val="auto"/>
          <w:sz w:val="24"/>
          <w:szCs w:val="24"/>
          <w:highlight w:val="none"/>
        </w:rPr>
        <w:fldChar w:fldCharType="begin"/>
      </w:r>
      <w:r>
        <w:rPr>
          <w:rFonts w:ascii="宋体" w:hAnsi="宋体"/>
          <w:b w:val="0"/>
          <w:color w:val="auto"/>
          <w:sz w:val="24"/>
          <w:szCs w:val="24"/>
          <w:highlight w:val="none"/>
        </w:rPr>
        <w:instrText xml:space="preserve"> PAGEREF _Toc491277244 \h </w:instrText>
      </w:r>
      <w:r>
        <w:rPr>
          <w:rFonts w:ascii="宋体" w:hAnsi="宋体"/>
          <w:b w:val="0"/>
          <w:color w:val="auto"/>
          <w:sz w:val="24"/>
          <w:szCs w:val="24"/>
          <w:highlight w:val="none"/>
        </w:rPr>
        <w:fldChar w:fldCharType="separate"/>
      </w:r>
      <w:r>
        <w:rPr>
          <w:rFonts w:ascii="宋体" w:hAnsi="宋体"/>
          <w:b w:val="0"/>
          <w:color w:val="auto"/>
          <w:sz w:val="24"/>
          <w:szCs w:val="24"/>
          <w:highlight w:val="none"/>
        </w:rPr>
        <w:t>69</w:t>
      </w:r>
      <w:r>
        <w:rPr>
          <w:rFonts w:ascii="宋体" w:hAnsi="宋体"/>
          <w:b w:val="0"/>
          <w:color w:val="auto"/>
          <w:sz w:val="24"/>
          <w:szCs w:val="24"/>
          <w:highlight w:val="none"/>
        </w:rPr>
        <w:fldChar w:fldCharType="end"/>
      </w:r>
      <w:r>
        <w:rPr>
          <w:rFonts w:ascii="宋体" w:hAnsi="宋体"/>
          <w:b w:val="0"/>
          <w:color w:val="auto"/>
          <w:sz w:val="24"/>
          <w:szCs w:val="24"/>
          <w:highlight w:val="none"/>
        </w:rPr>
        <w:fldChar w:fldCharType="end"/>
      </w:r>
    </w:p>
    <w:p>
      <w:pPr>
        <w:pStyle w:val="15"/>
        <w:tabs>
          <w:tab w:val="right" w:leader="dot" w:pos="9629"/>
        </w:tabs>
        <w:spacing w:line="420" w:lineRule="exact"/>
        <w:rPr>
          <w:rFonts w:ascii="宋体" w:hAnsi="宋体"/>
          <w:b w:val="0"/>
          <w:bCs w:val="0"/>
          <w:caps w:val="0"/>
          <w:color w:val="auto"/>
          <w:sz w:val="24"/>
          <w:szCs w:val="24"/>
          <w:highlight w:val="none"/>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"_Toc491277245"</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第一部分</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合同协议书</w:t>
      </w:r>
      <w:r>
        <w:rPr>
          <w:rFonts w:ascii="宋体" w:hAnsi="宋体"/>
          <w:b w:val="0"/>
          <w:color w:val="auto"/>
          <w:sz w:val="24"/>
          <w:szCs w:val="24"/>
          <w:highlight w:val="none"/>
        </w:rPr>
        <w:tab/>
      </w:r>
      <w:r>
        <w:rPr>
          <w:rFonts w:ascii="宋体" w:hAnsi="宋体"/>
          <w:b w:val="0"/>
          <w:color w:val="auto"/>
          <w:sz w:val="24"/>
          <w:szCs w:val="24"/>
          <w:highlight w:val="none"/>
        </w:rPr>
        <w:fldChar w:fldCharType="begin"/>
      </w:r>
      <w:r>
        <w:rPr>
          <w:rFonts w:ascii="宋体" w:hAnsi="宋体"/>
          <w:b w:val="0"/>
          <w:color w:val="auto"/>
          <w:sz w:val="24"/>
          <w:szCs w:val="24"/>
          <w:highlight w:val="none"/>
        </w:rPr>
        <w:instrText xml:space="preserve"> PAGEREF _Toc491277245 \h </w:instrText>
      </w:r>
      <w:r>
        <w:rPr>
          <w:rFonts w:ascii="宋体" w:hAnsi="宋体"/>
          <w:b w:val="0"/>
          <w:color w:val="auto"/>
          <w:sz w:val="24"/>
          <w:szCs w:val="24"/>
          <w:highlight w:val="none"/>
        </w:rPr>
        <w:fldChar w:fldCharType="separate"/>
      </w:r>
      <w:r>
        <w:rPr>
          <w:rFonts w:ascii="宋体" w:hAnsi="宋体"/>
          <w:b w:val="0"/>
          <w:color w:val="auto"/>
          <w:sz w:val="24"/>
          <w:szCs w:val="24"/>
          <w:highlight w:val="none"/>
        </w:rPr>
        <w:t>69</w:t>
      </w:r>
      <w:r>
        <w:rPr>
          <w:rFonts w:ascii="宋体" w:hAnsi="宋体"/>
          <w:b w:val="0"/>
          <w:color w:val="auto"/>
          <w:sz w:val="24"/>
          <w:szCs w:val="24"/>
          <w:highlight w:val="none"/>
        </w:rPr>
        <w:fldChar w:fldCharType="end"/>
      </w:r>
      <w:r>
        <w:rPr>
          <w:rFonts w:ascii="宋体" w:hAnsi="宋体"/>
          <w:b w:val="0"/>
          <w:color w:val="auto"/>
          <w:sz w:val="24"/>
          <w:szCs w:val="24"/>
          <w:highlight w:val="none"/>
        </w:rPr>
        <w:fldChar w:fldCharType="end"/>
      </w:r>
    </w:p>
    <w:p>
      <w:pPr>
        <w:pStyle w:val="15"/>
        <w:tabs>
          <w:tab w:val="right" w:leader="dot" w:pos="9629"/>
        </w:tabs>
        <w:spacing w:line="420" w:lineRule="exact"/>
        <w:rPr>
          <w:rFonts w:ascii="宋体" w:hAnsi="宋体"/>
          <w:b w:val="0"/>
          <w:bCs w:val="0"/>
          <w:caps w:val="0"/>
          <w:color w:val="auto"/>
          <w:sz w:val="24"/>
          <w:szCs w:val="24"/>
          <w:highlight w:val="none"/>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"_Toc491277246"</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第二部分</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通用合同条款</w:t>
      </w:r>
      <w:r>
        <w:rPr>
          <w:rFonts w:ascii="宋体" w:hAnsi="宋体"/>
          <w:b w:val="0"/>
          <w:color w:val="auto"/>
          <w:sz w:val="24"/>
          <w:szCs w:val="24"/>
          <w:highlight w:val="none"/>
        </w:rPr>
        <w:tab/>
      </w:r>
      <w:r>
        <w:rPr>
          <w:rFonts w:ascii="宋体" w:hAnsi="宋体"/>
          <w:b w:val="0"/>
          <w:color w:val="auto"/>
          <w:sz w:val="24"/>
          <w:szCs w:val="24"/>
          <w:highlight w:val="none"/>
        </w:rPr>
        <w:fldChar w:fldCharType="begin"/>
      </w:r>
      <w:r>
        <w:rPr>
          <w:rFonts w:ascii="宋体" w:hAnsi="宋体"/>
          <w:b w:val="0"/>
          <w:color w:val="auto"/>
          <w:sz w:val="24"/>
          <w:szCs w:val="24"/>
          <w:highlight w:val="none"/>
        </w:rPr>
        <w:instrText xml:space="preserve"> PAGEREF _Toc491277246 \h </w:instrText>
      </w:r>
      <w:r>
        <w:rPr>
          <w:rFonts w:ascii="宋体" w:hAnsi="宋体"/>
          <w:b w:val="0"/>
          <w:color w:val="auto"/>
          <w:sz w:val="24"/>
          <w:szCs w:val="24"/>
          <w:highlight w:val="none"/>
        </w:rPr>
        <w:fldChar w:fldCharType="separate"/>
      </w:r>
      <w:r>
        <w:rPr>
          <w:rFonts w:ascii="宋体" w:hAnsi="宋体"/>
          <w:b w:val="0"/>
          <w:color w:val="auto"/>
          <w:sz w:val="24"/>
          <w:szCs w:val="24"/>
          <w:highlight w:val="none"/>
        </w:rPr>
        <w:t>72</w:t>
      </w:r>
      <w:r>
        <w:rPr>
          <w:rFonts w:ascii="宋体" w:hAnsi="宋体"/>
          <w:b w:val="0"/>
          <w:color w:val="auto"/>
          <w:sz w:val="24"/>
          <w:szCs w:val="24"/>
          <w:highlight w:val="none"/>
        </w:rPr>
        <w:fldChar w:fldCharType="end"/>
      </w:r>
      <w:r>
        <w:rPr>
          <w:rFonts w:ascii="宋体" w:hAnsi="宋体"/>
          <w:b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"_Toc491277247"</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w:t>
      </w:r>
      <w:r>
        <w:rPr>
          <w:rStyle w:val="33"/>
          <w:rFonts w:hint="eastAsia" w:ascii="宋体" w:hAnsi="宋体"/>
          <w:color w:val="auto"/>
          <w:sz w:val="24"/>
          <w:szCs w:val="24"/>
          <w:highlight w:val="none"/>
        </w:rPr>
        <w:t>条一般规定</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_Toc491277247 \h </w:instrText>
      </w:r>
      <w:r>
        <w:rPr>
          <w:rFonts w:ascii="宋体" w:hAnsi="宋体"/>
          <w:color w:val="auto"/>
          <w:sz w:val="24"/>
          <w:szCs w:val="24"/>
          <w:highlight w:val="none"/>
        </w:rPr>
        <w:fldChar w:fldCharType="separate"/>
      </w:r>
      <w:r>
        <w:rPr>
          <w:rFonts w:ascii="宋体" w:hAnsi="宋体"/>
          <w:color w:val="auto"/>
          <w:sz w:val="24"/>
          <w:szCs w:val="24"/>
          <w:highlight w:val="none"/>
        </w:rPr>
        <w:t>72</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"_Toc491277248"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1.1  </w:t>
      </w:r>
      <w:r>
        <w:rPr>
          <w:rStyle w:val="33"/>
          <w:rFonts w:hint="eastAsia" w:ascii="宋体" w:hAnsi="宋体"/>
          <w:i w:val="0"/>
          <w:color w:val="auto"/>
          <w:kern w:val="0"/>
          <w:sz w:val="24"/>
          <w:szCs w:val="24"/>
          <w:highlight w:val="none"/>
        </w:rPr>
        <w:t>定义与解释</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_Toc491277248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"_Toc491277249"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1.2  </w:t>
      </w:r>
      <w:r>
        <w:rPr>
          <w:rStyle w:val="33"/>
          <w:rFonts w:hint="eastAsia" w:ascii="宋体" w:hAnsi="宋体"/>
          <w:i w:val="0"/>
          <w:color w:val="auto"/>
          <w:kern w:val="0"/>
          <w:sz w:val="24"/>
          <w:szCs w:val="24"/>
          <w:highlight w:val="none"/>
        </w:rPr>
        <w:t>合同文件</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_Toc491277249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"_Toc491277250"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  </w:t>
      </w:r>
      <w:r>
        <w:rPr>
          <w:rStyle w:val="33"/>
          <w:rFonts w:hint="eastAsia" w:ascii="宋体" w:hAnsi="宋体"/>
          <w:i w:val="0"/>
          <w:color w:val="auto"/>
          <w:kern w:val="0"/>
          <w:sz w:val="24"/>
          <w:szCs w:val="24"/>
          <w:highlight w:val="none"/>
        </w:rPr>
        <w:t>语言文字</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_Toc491277250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"_Toc491277251"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  </w:t>
      </w:r>
      <w:r>
        <w:rPr>
          <w:rStyle w:val="33"/>
          <w:rFonts w:hint="eastAsia" w:ascii="宋体" w:hAnsi="宋体"/>
          <w:i w:val="0"/>
          <w:color w:val="auto"/>
          <w:kern w:val="0"/>
          <w:sz w:val="24"/>
          <w:szCs w:val="24"/>
          <w:highlight w:val="none"/>
        </w:rPr>
        <w:t>适用法律</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_Toc491277251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"_Toc491277252"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1.5  </w:t>
      </w:r>
      <w:r>
        <w:rPr>
          <w:rStyle w:val="33"/>
          <w:rFonts w:hint="eastAsia" w:ascii="宋体" w:hAnsi="宋体"/>
          <w:i w:val="0"/>
          <w:color w:val="auto"/>
          <w:kern w:val="0"/>
          <w:sz w:val="24"/>
          <w:szCs w:val="24"/>
          <w:highlight w:val="none"/>
        </w:rPr>
        <w:t>标准、规范</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_Toc491277252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"_Toc491277253"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1.6  </w:t>
      </w:r>
      <w:r>
        <w:rPr>
          <w:rStyle w:val="33"/>
          <w:rFonts w:hint="eastAsia" w:ascii="宋体" w:hAnsi="宋体"/>
          <w:i w:val="0"/>
          <w:color w:val="auto"/>
          <w:kern w:val="0"/>
          <w:sz w:val="24"/>
          <w:szCs w:val="24"/>
          <w:highlight w:val="none"/>
        </w:rPr>
        <w:t>保密事项</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_Toc491277253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"_Toc491277254"</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2</w:t>
      </w:r>
      <w:r>
        <w:rPr>
          <w:rStyle w:val="33"/>
          <w:rFonts w:hint="eastAsia" w:ascii="宋体" w:hAnsi="宋体"/>
          <w:color w:val="auto"/>
          <w:sz w:val="24"/>
          <w:szCs w:val="24"/>
          <w:highlight w:val="none"/>
        </w:rPr>
        <w:t>条发包人</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_Toc491277254 \h </w:instrText>
      </w:r>
      <w:r>
        <w:rPr>
          <w:rFonts w:ascii="宋体" w:hAnsi="宋体"/>
          <w:color w:val="auto"/>
          <w:sz w:val="24"/>
          <w:szCs w:val="24"/>
          <w:highlight w:val="none"/>
        </w:rPr>
        <w:fldChar w:fldCharType="separate"/>
      </w:r>
      <w:r>
        <w:rPr>
          <w:rFonts w:ascii="宋体" w:hAnsi="宋体"/>
          <w:color w:val="auto"/>
          <w:sz w:val="24"/>
          <w:szCs w:val="24"/>
          <w:highlight w:val="none"/>
        </w:rPr>
        <w:t>75</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"_Toc491277255"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2.1  </w:t>
      </w:r>
      <w:r>
        <w:rPr>
          <w:rStyle w:val="33"/>
          <w:rFonts w:hint="eastAsia" w:ascii="宋体" w:hAnsi="宋体"/>
          <w:i w:val="0"/>
          <w:color w:val="auto"/>
          <w:kern w:val="0"/>
          <w:sz w:val="24"/>
          <w:szCs w:val="24"/>
          <w:highlight w:val="none"/>
        </w:rPr>
        <w:t>发包人的主要权利和义务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_Toc491277255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"_Toc491277256"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2.2  </w:t>
      </w:r>
      <w:r>
        <w:rPr>
          <w:rStyle w:val="33"/>
          <w:rFonts w:hint="eastAsia" w:ascii="宋体" w:hAnsi="宋体"/>
          <w:i w:val="0"/>
          <w:color w:val="auto"/>
          <w:kern w:val="0"/>
          <w:sz w:val="24"/>
          <w:szCs w:val="24"/>
          <w:highlight w:val="none"/>
        </w:rPr>
        <w:t>发包人代表</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_Toc491277256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"_Toc491277257"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2.3  </w:t>
      </w:r>
      <w:r>
        <w:rPr>
          <w:rStyle w:val="33"/>
          <w:rFonts w:hint="eastAsia" w:ascii="宋体" w:hAnsi="宋体"/>
          <w:i w:val="0"/>
          <w:color w:val="auto"/>
          <w:kern w:val="0"/>
          <w:sz w:val="24"/>
          <w:szCs w:val="24"/>
          <w:highlight w:val="none"/>
        </w:rPr>
        <w:t>监理人</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_Toc491277257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"_Toc491277258"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2.4  </w:t>
      </w:r>
      <w:r>
        <w:rPr>
          <w:rStyle w:val="33"/>
          <w:rFonts w:hint="eastAsia" w:ascii="宋体" w:hAnsi="宋体"/>
          <w:i w:val="0"/>
          <w:color w:val="auto"/>
          <w:kern w:val="0"/>
          <w:sz w:val="24"/>
          <w:szCs w:val="24"/>
          <w:highlight w:val="none"/>
        </w:rPr>
        <w:t>安全保证</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_Toc491277258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"_Toc491277259"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2.5  </w:t>
      </w:r>
      <w:r>
        <w:rPr>
          <w:rStyle w:val="33"/>
          <w:rFonts w:hint="eastAsia" w:ascii="宋体" w:hAnsi="宋体"/>
          <w:i w:val="0"/>
          <w:color w:val="auto"/>
          <w:kern w:val="0"/>
          <w:sz w:val="24"/>
          <w:szCs w:val="24"/>
          <w:highlight w:val="none"/>
        </w:rPr>
        <w:t>保安责任</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_Toc491277259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"_Toc491277260"</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3</w:t>
      </w:r>
      <w:r>
        <w:rPr>
          <w:rStyle w:val="33"/>
          <w:rFonts w:hint="eastAsia" w:ascii="宋体" w:hAnsi="宋体"/>
          <w:color w:val="auto"/>
          <w:sz w:val="24"/>
          <w:szCs w:val="24"/>
          <w:highlight w:val="none"/>
        </w:rPr>
        <w:t>条承包人</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_Toc491277260 \h </w:instrText>
      </w:r>
      <w:r>
        <w:rPr>
          <w:rFonts w:ascii="宋体" w:hAnsi="宋体"/>
          <w:color w:val="auto"/>
          <w:sz w:val="24"/>
          <w:szCs w:val="24"/>
          <w:highlight w:val="none"/>
        </w:rPr>
        <w:fldChar w:fldCharType="separate"/>
      </w:r>
      <w:r>
        <w:rPr>
          <w:rFonts w:ascii="宋体" w:hAnsi="宋体"/>
          <w:color w:val="auto"/>
          <w:sz w:val="24"/>
          <w:szCs w:val="24"/>
          <w:highlight w:val="none"/>
        </w:rPr>
        <w:t>77</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"_Toc491277261"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3.1  </w:t>
      </w:r>
      <w:r>
        <w:rPr>
          <w:rStyle w:val="33"/>
          <w:rFonts w:hint="eastAsia" w:ascii="宋体" w:hAnsi="宋体"/>
          <w:i w:val="0"/>
          <w:color w:val="auto"/>
          <w:kern w:val="0"/>
          <w:sz w:val="24"/>
          <w:szCs w:val="24"/>
          <w:highlight w:val="none"/>
        </w:rPr>
        <w:t>承包人的主要权利和义务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_Toc491277261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"_Toc491277262"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3.2  </w:t>
      </w:r>
      <w:r>
        <w:rPr>
          <w:rStyle w:val="33"/>
          <w:rFonts w:hint="eastAsia" w:ascii="宋体" w:hAnsi="宋体"/>
          <w:i w:val="0"/>
          <w:color w:val="auto"/>
          <w:kern w:val="0"/>
          <w:sz w:val="24"/>
          <w:szCs w:val="24"/>
          <w:highlight w:val="none"/>
        </w:rPr>
        <w:t>项目总负责人</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_Toc491277262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"_Toc491277263"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3.3  </w:t>
      </w:r>
      <w:r>
        <w:rPr>
          <w:rStyle w:val="33"/>
          <w:rFonts w:hint="eastAsia" w:ascii="宋体" w:hAnsi="宋体"/>
          <w:i w:val="0"/>
          <w:color w:val="auto"/>
          <w:kern w:val="0"/>
          <w:sz w:val="24"/>
          <w:szCs w:val="24"/>
          <w:highlight w:val="none"/>
        </w:rPr>
        <w:t>项目设计负责人</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_Toc491277263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"_Toc491277264"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3.4  </w:t>
      </w:r>
      <w:r>
        <w:rPr>
          <w:rStyle w:val="33"/>
          <w:rFonts w:hint="eastAsia" w:ascii="宋体" w:hAnsi="宋体"/>
          <w:i w:val="0"/>
          <w:color w:val="auto"/>
          <w:kern w:val="0"/>
          <w:sz w:val="24"/>
          <w:szCs w:val="24"/>
          <w:highlight w:val="none"/>
        </w:rPr>
        <w:t>项目经理</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_Toc491277264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"_Toc491277265"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3.5  </w:t>
      </w:r>
      <w:r>
        <w:rPr>
          <w:rStyle w:val="33"/>
          <w:rFonts w:hint="eastAsia" w:ascii="宋体" w:hAnsi="宋体"/>
          <w:i w:val="0"/>
          <w:color w:val="auto"/>
          <w:kern w:val="0"/>
          <w:sz w:val="24"/>
          <w:szCs w:val="24"/>
          <w:highlight w:val="none"/>
        </w:rPr>
        <w:t>项目采购负责人</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_Toc491277265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"_Toc491277266"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3.6  </w:t>
      </w:r>
      <w:r>
        <w:rPr>
          <w:rStyle w:val="33"/>
          <w:rFonts w:hint="eastAsia" w:ascii="宋体" w:hAnsi="宋体"/>
          <w:i w:val="0"/>
          <w:color w:val="auto"/>
          <w:kern w:val="0"/>
          <w:sz w:val="24"/>
          <w:szCs w:val="24"/>
          <w:highlight w:val="none"/>
        </w:rPr>
        <w:t>项目施工专职安全员</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_Toc491277266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"_Toc491277267"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3.7  </w:t>
      </w:r>
      <w:r>
        <w:rPr>
          <w:rStyle w:val="33"/>
          <w:rFonts w:hint="eastAsia" w:ascii="宋体" w:hAnsi="宋体"/>
          <w:i w:val="0"/>
          <w:color w:val="auto"/>
          <w:kern w:val="0"/>
          <w:sz w:val="24"/>
          <w:szCs w:val="24"/>
          <w:highlight w:val="none"/>
        </w:rPr>
        <w:t>工程质量保证</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_Toc491277267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"_Toc491277268"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3.8  </w:t>
      </w:r>
      <w:r>
        <w:rPr>
          <w:rStyle w:val="33"/>
          <w:rFonts w:hint="eastAsia" w:ascii="宋体" w:hAnsi="宋体"/>
          <w:i w:val="0"/>
          <w:color w:val="auto"/>
          <w:kern w:val="0"/>
          <w:sz w:val="24"/>
          <w:szCs w:val="24"/>
          <w:highlight w:val="none"/>
        </w:rPr>
        <w:t>安全保证</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_Toc491277268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79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"_Toc491277269"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3.9  </w:t>
      </w:r>
      <w:r>
        <w:rPr>
          <w:rStyle w:val="33"/>
          <w:rFonts w:hint="eastAsia" w:ascii="宋体" w:hAnsi="宋体"/>
          <w:i w:val="0"/>
          <w:color w:val="auto"/>
          <w:kern w:val="0"/>
          <w:sz w:val="24"/>
          <w:szCs w:val="24"/>
          <w:highlight w:val="none"/>
        </w:rPr>
        <w:t>职业健康和环境保护保证</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_Toc491277269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"_Toc491277270"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3.10  </w:t>
      </w:r>
      <w:r>
        <w:rPr>
          <w:rStyle w:val="33"/>
          <w:rFonts w:hint="eastAsia" w:ascii="宋体" w:hAnsi="宋体"/>
          <w:i w:val="0"/>
          <w:color w:val="auto"/>
          <w:kern w:val="0"/>
          <w:sz w:val="24"/>
          <w:szCs w:val="24"/>
          <w:highlight w:val="none"/>
        </w:rPr>
        <w:t>进度保证</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_Toc491277270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"_Toc491277271"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3.11  </w:t>
      </w:r>
      <w:r>
        <w:rPr>
          <w:rStyle w:val="33"/>
          <w:rFonts w:hint="eastAsia" w:ascii="宋体" w:hAnsi="宋体"/>
          <w:i w:val="0"/>
          <w:color w:val="auto"/>
          <w:kern w:val="0"/>
          <w:sz w:val="24"/>
          <w:szCs w:val="24"/>
          <w:highlight w:val="none"/>
        </w:rPr>
        <w:t>现场保安</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_Toc491277271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"_Toc491277272"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3.12  </w:t>
      </w:r>
      <w:r>
        <w:rPr>
          <w:rStyle w:val="33"/>
          <w:rFonts w:hint="eastAsia" w:ascii="宋体" w:hAnsi="宋体"/>
          <w:i w:val="0"/>
          <w:color w:val="auto"/>
          <w:kern w:val="0"/>
          <w:sz w:val="24"/>
          <w:szCs w:val="24"/>
          <w:highlight w:val="none"/>
        </w:rPr>
        <w:t>分包</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_Toc491277272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"_Toc491277273"</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4</w:t>
      </w:r>
      <w:r>
        <w:rPr>
          <w:rStyle w:val="33"/>
          <w:rFonts w:hint="eastAsia" w:ascii="宋体" w:hAnsi="宋体"/>
          <w:color w:val="auto"/>
          <w:sz w:val="24"/>
          <w:szCs w:val="24"/>
          <w:highlight w:val="none"/>
        </w:rPr>
        <w:t>条进度计划、延误和暂停</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_Toc491277273 \h </w:instrText>
      </w:r>
      <w:r>
        <w:rPr>
          <w:rFonts w:ascii="宋体" w:hAnsi="宋体"/>
          <w:color w:val="auto"/>
          <w:sz w:val="24"/>
          <w:szCs w:val="24"/>
          <w:highlight w:val="none"/>
        </w:rPr>
        <w:fldChar w:fldCharType="separate"/>
      </w:r>
      <w:r>
        <w:rPr>
          <w:rFonts w:ascii="宋体" w:hAnsi="宋体"/>
          <w:color w:val="auto"/>
          <w:sz w:val="24"/>
          <w:szCs w:val="24"/>
          <w:highlight w:val="none"/>
        </w:rPr>
        <w:t>81</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"_Toc491277274"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4.1  </w:t>
      </w:r>
      <w:r>
        <w:rPr>
          <w:rStyle w:val="33"/>
          <w:rFonts w:hint="eastAsia" w:ascii="宋体" w:hAnsi="宋体"/>
          <w:i w:val="0"/>
          <w:color w:val="auto"/>
          <w:kern w:val="0"/>
          <w:sz w:val="24"/>
          <w:szCs w:val="24"/>
          <w:highlight w:val="none"/>
        </w:rPr>
        <w:t>项目进度计划</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_Toc491277274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"_Toc491277275"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4.2  </w:t>
      </w:r>
      <w:r>
        <w:rPr>
          <w:rStyle w:val="33"/>
          <w:rFonts w:hint="eastAsia" w:ascii="宋体" w:hAnsi="宋体"/>
          <w:i w:val="0"/>
          <w:color w:val="auto"/>
          <w:kern w:val="0"/>
          <w:sz w:val="24"/>
          <w:szCs w:val="24"/>
          <w:highlight w:val="none"/>
        </w:rPr>
        <w:t>设计进度计划</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_Toc491277275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"_Toc491277276"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4.3  </w:t>
      </w:r>
      <w:r>
        <w:rPr>
          <w:rStyle w:val="33"/>
          <w:rFonts w:hint="eastAsia" w:ascii="宋体" w:hAnsi="宋体"/>
          <w:i w:val="0"/>
          <w:color w:val="auto"/>
          <w:kern w:val="0"/>
          <w:sz w:val="24"/>
          <w:szCs w:val="24"/>
          <w:highlight w:val="none"/>
        </w:rPr>
        <w:t>采购进度计划</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_Toc491277276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5"/>
        <w:tabs>
          <w:tab w:val="right" w:leader="dot" w:pos="9629"/>
        </w:tabs>
        <w:spacing w:line="420" w:lineRule="exact"/>
        <w:rPr>
          <w:rFonts w:ascii="宋体" w:hAnsi="宋体"/>
          <w:b w:val="0"/>
          <w:bCs w:val="0"/>
          <w:caps w:val="0"/>
          <w:color w:val="auto"/>
          <w:sz w:val="24"/>
          <w:szCs w:val="24"/>
          <w:highlight w:val="none"/>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"_Toc491277277"</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ascii="宋体" w:hAnsi="宋体"/>
          <w:b w:val="0"/>
          <w:color w:val="auto"/>
          <w:sz w:val="24"/>
          <w:szCs w:val="24"/>
          <w:highlight w:val="none"/>
        </w:rPr>
        <w:t xml:space="preserve">4.3.1  </w:t>
      </w:r>
      <w:r>
        <w:rPr>
          <w:rStyle w:val="33"/>
          <w:rFonts w:hint="eastAsia" w:ascii="宋体" w:hAnsi="宋体"/>
          <w:b w:val="0"/>
          <w:color w:val="auto"/>
          <w:sz w:val="24"/>
          <w:szCs w:val="24"/>
          <w:highlight w:val="none"/>
        </w:rPr>
        <w:t>采购进度计划</w:t>
      </w:r>
      <w:r>
        <w:rPr>
          <w:rFonts w:ascii="宋体" w:hAnsi="宋体"/>
          <w:b w:val="0"/>
          <w:color w:val="auto"/>
          <w:sz w:val="24"/>
          <w:szCs w:val="24"/>
          <w:highlight w:val="none"/>
        </w:rPr>
        <w:tab/>
      </w:r>
      <w:r>
        <w:rPr>
          <w:rFonts w:ascii="宋体" w:hAnsi="宋体"/>
          <w:b w:val="0"/>
          <w:color w:val="auto"/>
          <w:sz w:val="24"/>
          <w:szCs w:val="24"/>
          <w:highlight w:val="none"/>
        </w:rPr>
        <w:fldChar w:fldCharType="begin"/>
      </w:r>
      <w:r>
        <w:rPr>
          <w:rFonts w:ascii="宋体" w:hAnsi="宋体"/>
          <w:b w:val="0"/>
          <w:color w:val="auto"/>
          <w:sz w:val="24"/>
          <w:szCs w:val="24"/>
          <w:highlight w:val="none"/>
        </w:rPr>
        <w:instrText xml:space="preserve"> PAGEREF _Toc491277277 \h </w:instrText>
      </w:r>
      <w:r>
        <w:rPr>
          <w:rFonts w:ascii="宋体" w:hAnsi="宋体"/>
          <w:b w:val="0"/>
          <w:color w:val="auto"/>
          <w:sz w:val="24"/>
          <w:szCs w:val="24"/>
          <w:highlight w:val="none"/>
        </w:rPr>
        <w:fldChar w:fldCharType="separate"/>
      </w:r>
      <w:r>
        <w:rPr>
          <w:rFonts w:ascii="宋体" w:hAnsi="宋体"/>
          <w:b w:val="0"/>
          <w:color w:val="auto"/>
          <w:sz w:val="24"/>
          <w:szCs w:val="24"/>
          <w:highlight w:val="none"/>
        </w:rPr>
        <w:t>82</w:t>
      </w:r>
      <w:r>
        <w:rPr>
          <w:rFonts w:ascii="宋体" w:hAnsi="宋体"/>
          <w:b w:val="0"/>
          <w:color w:val="auto"/>
          <w:sz w:val="24"/>
          <w:szCs w:val="24"/>
          <w:highlight w:val="none"/>
        </w:rPr>
        <w:fldChar w:fldCharType="end"/>
      </w:r>
      <w:r>
        <w:rPr>
          <w:rFonts w:ascii="宋体" w:hAnsi="宋体"/>
          <w:b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"_Toc491277278"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4.4  </w:t>
      </w:r>
      <w:r>
        <w:rPr>
          <w:rStyle w:val="33"/>
          <w:rFonts w:hint="eastAsia" w:ascii="宋体" w:hAnsi="宋体"/>
          <w:i w:val="0"/>
          <w:color w:val="auto"/>
          <w:kern w:val="0"/>
          <w:sz w:val="24"/>
          <w:szCs w:val="24"/>
          <w:highlight w:val="none"/>
        </w:rPr>
        <w:t>施工进度计划</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_Toc491277278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"_Toc491277279"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4.5  </w:t>
      </w:r>
      <w:r>
        <w:rPr>
          <w:rStyle w:val="33"/>
          <w:rFonts w:hint="eastAsia" w:ascii="宋体" w:hAnsi="宋体"/>
          <w:i w:val="0"/>
          <w:color w:val="auto"/>
          <w:kern w:val="0"/>
          <w:sz w:val="24"/>
          <w:szCs w:val="24"/>
          <w:highlight w:val="none"/>
        </w:rPr>
        <w:t>误期赔偿</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_Toc491277279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"_Toc491277280"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4.6  </w:t>
      </w:r>
      <w:r>
        <w:rPr>
          <w:rStyle w:val="33"/>
          <w:rFonts w:hint="eastAsia" w:ascii="宋体" w:hAnsi="宋体"/>
          <w:i w:val="0"/>
          <w:color w:val="auto"/>
          <w:kern w:val="0"/>
          <w:sz w:val="24"/>
          <w:szCs w:val="24"/>
          <w:highlight w:val="none"/>
        </w:rPr>
        <w:t>暂停</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_Toc491277280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"_Toc491277281"</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5</w:t>
      </w:r>
      <w:r>
        <w:rPr>
          <w:rStyle w:val="33"/>
          <w:rFonts w:hint="eastAsia" w:ascii="宋体" w:hAnsi="宋体"/>
          <w:color w:val="auto"/>
          <w:sz w:val="24"/>
          <w:szCs w:val="24"/>
          <w:highlight w:val="none"/>
        </w:rPr>
        <w:t>条技术与设计</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_Toc491277281 \h </w:instrText>
      </w:r>
      <w:r>
        <w:rPr>
          <w:rFonts w:ascii="宋体" w:hAnsi="宋体"/>
          <w:color w:val="auto"/>
          <w:sz w:val="24"/>
          <w:szCs w:val="24"/>
          <w:highlight w:val="none"/>
        </w:rPr>
        <w:fldChar w:fldCharType="separate"/>
      </w:r>
      <w:r>
        <w:rPr>
          <w:rFonts w:ascii="宋体" w:hAnsi="宋体"/>
          <w:color w:val="auto"/>
          <w:sz w:val="24"/>
          <w:szCs w:val="24"/>
          <w:highlight w:val="none"/>
        </w:rPr>
        <w:t>84</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"_Toc491277282"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5.1  </w:t>
      </w:r>
      <w:r>
        <w:rPr>
          <w:rStyle w:val="33"/>
          <w:rFonts w:hint="eastAsia" w:ascii="宋体" w:hAnsi="宋体"/>
          <w:i w:val="0"/>
          <w:color w:val="auto"/>
          <w:kern w:val="0"/>
          <w:sz w:val="24"/>
          <w:szCs w:val="24"/>
          <w:highlight w:val="none"/>
        </w:rPr>
        <w:t>生产工艺技术、建筑设计方案</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_Toc491277282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"_Toc491277283"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5.2  </w:t>
      </w:r>
      <w:r>
        <w:rPr>
          <w:rStyle w:val="33"/>
          <w:rFonts w:hint="eastAsia" w:ascii="宋体" w:hAnsi="宋体"/>
          <w:i w:val="0"/>
          <w:color w:val="auto"/>
          <w:kern w:val="0"/>
          <w:sz w:val="24"/>
          <w:szCs w:val="24"/>
          <w:highlight w:val="none"/>
        </w:rPr>
        <w:t>设计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_Toc491277283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"_Toc491277284"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5.3  </w:t>
      </w:r>
      <w:r>
        <w:rPr>
          <w:rStyle w:val="33"/>
          <w:rFonts w:hint="eastAsia" w:ascii="宋体" w:hAnsi="宋体"/>
          <w:i w:val="0"/>
          <w:color w:val="auto"/>
          <w:kern w:val="0"/>
          <w:sz w:val="24"/>
          <w:szCs w:val="24"/>
          <w:highlight w:val="none"/>
        </w:rPr>
        <w:t>设计阶段审查</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_Toc491277284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"_Toc491277285"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5.4  </w:t>
      </w:r>
      <w:r>
        <w:rPr>
          <w:rStyle w:val="33"/>
          <w:rFonts w:hint="eastAsia" w:ascii="宋体" w:hAnsi="宋体"/>
          <w:i w:val="0"/>
          <w:color w:val="auto"/>
          <w:kern w:val="0"/>
          <w:sz w:val="24"/>
          <w:szCs w:val="24"/>
          <w:highlight w:val="none"/>
        </w:rPr>
        <w:t>操作维修人员的培训</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_Toc491277285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"_Toc491277286"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5.5  </w:t>
      </w:r>
      <w:r>
        <w:rPr>
          <w:rStyle w:val="33"/>
          <w:rFonts w:hint="eastAsia" w:ascii="宋体" w:hAnsi="宋体"/>
          <w:i w:val="0"/>
          <w:color w:val="auto"/>
          <w:kern w:val="0"/>
          <w:sz w:val="24"/>
          <w:szCs w:val="24"/>
          <w:highlight w:val="none"/>
        </w:rPr>
        <w:t>知识产权</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_Toc491277286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"_Toc491277287"</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6</w:t>
      </w:r>
      <w:r>
        <w:rPr>
          <w:rStyle w:val="33"/>
          <w:rFonts w:hint="eastAsia" w:ascii="宋体" w:hAnsi="宋体"/>
          <w:color w:val="auto"/>
          <w:sz w:val="24"/>
          <w:szCs w:val="24"/>
          <w:highlight w:val="none"/>
        </w:rPr>
        <w:t>条工程物资</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_Toc491277287 \h </w:instrText>
      </w:r>
      <w:r>
        <w:rPr>
          <w:rFonts w:ascii="宋体" w:hAnsi="宋体"/>
          <w:color w:val="auto"/>
          <w:sz w:val="24"/>
          <w:szCs w:val="24"/>
          <w:highlight w:val="none"/>
        </w:rPr>
        <w:fldChar w:fldCharType="separate"/>
      </w:r>
      <w:r>
        <w:rPr>
          <w:rFonts w:ascii="宋体" w:hAnsi="宋体"/>
          <w:color w:val="auto"/>
          <w:sz w:val="24"/>
          <w:szCs w:val="24"/>
          <w:highlight w:val="none"/>
        </w:rPr>
        <w:t>86</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"_Toc491277288"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6.1  </w:t>
      </w:r>
      <w:r>
        <w:rPr>
          <w:rStyle w:val="33"/>
          <w:rFonts w:hint="eastAsia" w:ascii="宋体" w:hAnsi="宋体"/>
          <w:i w:val="0"/>
          <w:color w:val="auto"/>
          <w:kern w:val="0"/>
          <w:sz w:val="24"/>
          <w:szCs w:val="24"/>
          <w:highlight w:val="none"/>
        </w:rPr>
        <w:t>工程物资的提供</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_Toc491277288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"_Toc491277289"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6.2  </w:t>
      </w:r>
      <w:r>
        <w:rPr>
          <w:rStyle w:val="33"/>
          <w:rFonts w:hint="eastAsia" w:ascii="宋体" w:hAnsi="宋体"/>
          <w:i w:val="0"/>
          <w:color w:val="auto"/>
          <w:kern w:val="0"/>
          <w:sz w:val="24"/>
          <w:szCs w:val="24"/>
          <w:highlight w:val="none"/>
        </w:rPr>
        <w:t>检验</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_Toc491277289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"_Toc491277290"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6.3  </w:t>
      </w:r>
      <w:r>
        <w:rPr>
          <w:rStyle w:val="33"/>
          <w:rFonts w:hint="eastAsia" w:ascii="宋体" w:hAnsi="宋体"/>
          <w:i w:val="0"/>
          <w:color w:val="auto"/>
          <w:kern w:val="0"/>
          <w:sz w:val="24"/>
          <w:szCs w:val="24"/>
          <w:highlight w:val="none"/>
        </w:rPr>
        <w:t>进口工程物资的采购、报关、清关和商检</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_Toc491277290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"_Toc491277291"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6.4  </w:t>
      </w:r>
      <w:r>
        <w:rPr>
          <w:rStyle w:val="33"/>
          <w:rFonts w:hint="eastAsia" w:ascii="宋体" w:hAnsi="宋体"/>
          <w:i w:val="0"/>
          <w:color w:val="auto"/>
          <w:kern w:val="0"/>
          <w:sz w:val="24"/>
          <w:szCs w:val="24"/>
          <w:highlight w:val="none"/>
        </w:rPr>
        <w:t>运输与超限物资运输</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_Toc491277291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"_Toc491277292"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6.5  </w:t>
      </w:r>
      <w:r>
        <w:rPr>
          <w:rStyle w:val="33"/>
          <w:rFonts w:hint="eastAsia" w:ascii="宋体" w:hAnsi="宋体"/>
          <w:i w:val="0"/>
          <w:color w:val="auto"/>
          <w:kern w:val="0"/>
          <w:sz w:val="24"/>
          <w:szCs w:val="24"/>
          <w:highlight w:val="none"/>
        </w:rPr>
        <w:t>重新订货及后果</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_Toc491277292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"_Toc491277293"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6.6  </w:t>
      </w:r>
      <w:r>
        <w:rPr>
          <w:rStyle w:val="33"/>
          <w:rFonts w:hint="eastAsia" w:ascii="宋体" w:hAnsi="宋体"/>
          <w:i w:val="0"/>
          <w:color w:val="auto"/>
          <w:kern w:val="0"/>
          <w:sz w:val="24"/>
          <w:szCs w:val="24"/>
          <w:highlight w:val="none"/>
        </w:rPr>
        <w:t>工程物资保管与剩余</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_Toc491277293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"_Toc491277294"</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7</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施工</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_Toc491277294 \h </w:instrText>
      </w:r>
      <w:r>
        <w:rPr>
          <w:rFonts w:ascii="宋体" w:hAnsi="宋体"/>
          <w:color w:val="auto"/>
          <w:sz w:val="24"/>
          <w:szCs w:val="24"/>
          <w:highlight w:val="none"/>
        </w:rPr>
        <w:fldChar w:fldCharType="separate"/>
      </w:r>
      <w:r>
        <w:rPr>
          <w:rFonts w:ascii="宋体" w:hAnsi="宋体"/>
          <w:color w:val="auto"/>
          <w:sz w:val="24"/>
          <w:szCs w:val="24"/>
          <w:highlight w:val="none"/>
        </w:rPr>
        <w:t>89</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"_Toc491277295"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7.1  </w:t>
      </w:r>
      <w:r>
        <w:rPr>
          <w:rStyle w:val="33"/>
          <w:rFonts w:hint="eastAsia" w:ascii="宋体" w:hAnsi="宋体"/>
          <w:i w:val="0"/>
          <w:color w:val="auto"/>
          <w:kern w:val="0"/>
          <w:sz w:val="24"/>
          <w:szCs w:val="24"/>
          <w:highlight w:val="none"/>
        </w:rPr>
        <w:t>发包人的义务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_Toc491277295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89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"_Toc491277296"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7.2  </w:t>
      </w:r>
      <w:r>
        <w:rPr>
          <w:rStyle w:val="33"/>
          <w:rFonts w:hint="eastAsia" w:ascii="宋体" w:hAnsi="宋体"/>
          <w:i w:val="0"/>
          <w:color w:val="auto"/>
          <w:kern w:val="0"/>
          <w:sz w:val="24"/>
          <w:szCs w:val="24"/>
          <w:highlight w:val="none"/>
        </w:rPr>
        <w:t>承包人的义务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_Toc491277296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"_Toc491277297"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7.3  </w:t>
      </w:r>
      <w:r>
        <w:rPr>
          <w:rStyle w:val="33"/>
          <w:rFonts w:hint="eastAsia" w:ascii="宋体" w:hAnsi="宋体"/>
          <w:i w:val="0"/>
          <w:color w:val="auto"/>
          <w:kern w:val="0"/>
          <w:sz w:val="24"/>
          <w:szCs w:val="24"/>
          <w:highlight w:val="none"/>
        </w:rPr>
        <w:t>施工技术方法</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_Toc491277297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"_Toc491277298"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7.4  </w:t>
      </w:r>
      <w:r>
        <w:rPr>
          <w:rStyle w:val="33"/>
          <w:rFonts w:hint="eastAsia" w:ascii="宋体" w:hAnsi="宋体"/>
          <w:i w:val="0"/>
          <w:color w:val="auto"/>
          <w:kern w:val="0"/>
          <w:sz w:val="24"/>
          <w:szCs w:val="24"/>
          <w:highlight w:val="none"/>
        </w:rPr>
        <w:t>人力和机具资源</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_Toc491277298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"_Toc491277299"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7.5  </w:t>
      </w:r>
      <w:r>
        <w:rPr>
          <w:rStyle w:val="33"/>
          <w:rFonts w:hint="eastAsia" w:ascii="宋体" w:hAnsi="宋体"/>
          <w:i w:val="0"/>
          <w:color w:val="auto"/>
          <w:kern w:val="0"/>
          <w:sz w:val="24"/>
          <w:szCs w:val="24"/>
          <w:highlight w:val="none"/>
        </w:rPr>
        <w:t>质量与检验</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_Toc491277299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"_Toc491277300"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7.6  </w:t>
      </w:r>
      <w:r>
        <w:rPr>
          <w:rStyle w:val="33"/>
          <w:rFonts w:hint="eastAsia" w:ascii="宋体" w:hAnsi="宋体"/>
          <w:i w:val="0"/>
          <w:color w:val="auto"/>
          <w:kern w:val="0"/>
          <w:sz w:val="24"/>
          <w:szCs w:val="24"/>
          <w:highlight w:val="none"/>
        </w:rPr>
        <w:t>隐蔽工程和中间验收</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_Toc491277300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"_Toc491277301"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7.7  </w:t>
      </w:r>
      <w:r>
        <w:rPr>
          <w:rStyle w:val="33"/>
          <w:rFonts w:hint="eastAsia" w:ascii="宋体" w:hAnsi="宋体"/>
          <w:i w:val="0"/>
          <w:color w:val="auto"/>
          <w:kern w:val="0"/>
          <w:sz w:val="24"/>
          <w:szCs w:val="24"/>
          <w:highlight w:val="none"/>
        </w:rPr>
        <w:t>对施工质量结果的争议</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_Toc491277301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"_Toc491277302"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7.8  </w:t>
      </w:r>
      <w:r>
        <w:rPr>
          <w:rStyle w:val="33"/>
          <w:rFonts w:hint="eastAsia" w:ascii="宋体" w:hAnsi="宋体"/>
          <w:i w:val="0"/>
          <w:color w:val="auto"/>
          <w:kern w:val="0"/>
          <w:sz w:val="24"/>
          <w:szCs w:val="24"/>
          <w:highlight w:val="none"/>
        </w:rPr>
        <w:t>职业健康、安全、环境保护</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_Toc491277302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"_Toc491277303"</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8</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竣工试验</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_Toc491277303 \h </w:instrText>
      </w:r>
      <w:r>
        <w:rPr>
          <w:rFonts w:ascii="宋体" w:hAnsi="宋体"/>
          <w:color w:val="auto"/>
          <w:sz w:val="24"/>
          <w:szCs w:val="24"/>
          <w:highlight w:val="none"/>
        </w:rPr>
        <w:fldChar w:fldCharType="separate"/>
      </w:r>
      <w:r>
        <w:rPr>
          <w:rFonts w:ascii="宋体" w:hAnsi="宋体"/>
          <w:color w:val="auto"/>
          <w:sz w:val="24"/>
          <w:szCs w:val="24"/>
          <w:highlight w:val="none"/>
        </w:rPr>
        <w:t>96</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"_Toc491277304"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8.1  </w:t>
      </w:r>
      <w:r>
        <w:rPr>
          <w:rStyle w:val="33"/>
          <w:rFonts w:hint="eastAsia" w:ascii="宋体" w:hAnsi="宋体"/>
          <w:i w:val="0"/>
          <w:color w:val="auto"/>
          <w:kern w:val="0"/>
          <w:sz w:val="24"/>
          <w:szCs w:val="24"/>
          <w:highlight w:val="none"/>
        </w:rPr>
        <w:t>竣工试验的义务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_Toc491277304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"_Toc491277305"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8.2  </w:t>
      </w:r>
      <w:r>
        <w:rPr>
          <w:rStyle w:val="33"/>
          <w:rFonts w:hint="eastAsia" w:ascii="宋体" w:hAnsi="宋体"/>
          <w:i w:val="0"/>
          <w:color w:val="auto"/>
          <w:kern w:val="0"/>
          <w:sz w:val="24"/>
          <w:szCs w:val="24"/>
          <w:highlight w:val="none"/>
        </w:rPr>
        <w:t>竣工试验的检验和验收</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_Toc491277305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"_Toc491277306"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8.3  </w:t>
      </w:r>
      <w:r>
        <w:rPr>
          <w:rStyle w:val="33"/>
          <w:rFonts w:hint="eastAsia" w:ascii="宋体" w:hAnsi="宋体"/>
          <w:i w:val="0"/>
          <w:color w:val="auto"/>
          <w:kern w:val="0"/>
          <w:sz w:val="24"/>
          <w:szCs w:val="24"/>
          <w:highlight w:val="none"/>
        </w:rPr>
        <w:t>竣工试验的安全和检查</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_Toc491277306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"_Toc491277307"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8.4  </w:t>
      </w:r>
      <w:r>
        <w:rPr>
          <w:rStyle w:val="33"/>
          <w:rFonts w:hint="eastAsia" w:ascii="宋体" w:hAnsi="宋体"/>
          <w:i w:val="0"/>
          <w:color w:val="auto"/>
          <w:kern w:val="0"/>
          <w:sz w:val="24"/>
          <w:szCs w:val="24"/>
          <w:highlight w:val="none"/>
        </w:rPr>
        <w:t>延误的竣工试验</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_Toc491277307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"_Toc491277308"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8.5  </w:t>
      </w:r>
      <w:r>
        <w:rPr>
          <w:rStyle w:val="33"/>
          <w:rFonts w:hint="eastAsia" w:ascii="宋体" w:hAnsi="宋体"/>
          <w:i w:val="0"/>
          <w:color w:val="auto"/>
          <w:kern w:val="0"/>
          <w:sz w:val="24"/>
          <w:szCs w:val="24"/>
          <w:highlight w:val="none"/>
        </w:rPr>
        <w:t>重新试验和验收</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_Toc491277308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"_Toc491277309"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8.6  </w:t>
      </w:r>
      <w:r>
        <w:rPr>
          <w:rStyle w:val="33"/>
          <w:rFonts w:hint="eastAsia" w:ascii="宋体" w:hAnsi="宋体"/>
          <w:i w:val="0"/>
          <w:color w:val="auto"/>
          <w:kern w:val="0"/>
          <w:sz w:val="24"/>
          <w:szCs w:val="24"/>
          <w:highlight w:val="none"/>
        </w:rPr>
        <w:t>未能通过竣工试验</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_Toc491277309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99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"_Toc491277310"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8.7  </w:t>
      </w:r>
      <w:r>
        <w:rPr>
          <w:rStyle w:val="33"/>
          <w:rFonts w:hint="eastAsia" w:ascii="宋体" w:hAnsi="宋体"/>
          <w:i w:val="0"/>
          <w:color w:val="auto"/>
          <w:kern w:val="0"/>
          <w:sz w:val="24"/>
          <w:szCs w:val="24"/>
          <w:highlight w:val="none"/>
        </w:rPr>
        <w:t>竣工试验结果的争议</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_Toc491277310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"_Toc491277311"</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9</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工程接收</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_Toc491277311 \h </w:instrText>
      </w:r>
      <w:r>
        <w:rPr>
          <w:rFonts w:ascii="宋体" w:hAnsi="宋体"/>
          <w:color w:val="auto"/>
          <w:sz w:val="24"/>
          <w:szCs w:val="24"/>
          <w:highlight w:val="none"/>
        </w:rPr>
        <w:fldChar w:fldCharType="separate"/>
      </w:r>
      <w:r>
        <w:rPr>
          <w:rFonts w:ascii="宋体" w:hAnsi="宋体"/>
          <w:color w:val="auto"/>
          <w:sz w:val="24"/>
          <w:szCs w:val="24"/>
          <w:highlight w:val="none"/>
        </w:rPr>
        <w:t>100</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"_Toc491277312"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9.1  </w:t>
      </w:r>
      <w:r>
        <w:rPr>
          <w:rStyle w:val="33"/>
          <w:rFonts w:hint="eastAsia" w:ascii="宋体" w:hAnsi="宋体"/>
          <w:i w:val="0"/>
          <w:color w:val="auto"/>
          <w:kern w:val="0"/>
          <w:sz w:val="24"/>
          <w:szCs w:val="24"/>
          <w:highlight w:val="none"/>
        </w:rPr>
        <w:t>工程接收</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_Toc491277312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"_Toc491277313"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9.2  </w:t>
      </w:r>
      <w:r>
        <w:rPr>
          <w:rStyle w:val="33"/>
          <w:rFonts w:hint="eastAsia" w:ascii="宋体" w:hAnsi="宋体"/>
          <w:i w:val="0"/>
          <w:color w:val="auto"/>
          <w:kern w:val="0"/>
          <w:sz w:val="24"/>
          <w:szCs w:val="24"/>
          <w:highlight w:val="none"/>
        </w:rPr>
        <w:t>接收证书</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_Toc491277313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"_Toc491277314"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9.3  </w:t>
      </w:r>
      <w:r>
        <w:rPr>
          <w:rStyle w:val="33"/>
          <w:rFonts w:hint="eastAsia" w:ascii="宋体" w:hAnsi="宋体"/>
          <w:i w:val="0"/>
          <w:color w:val="auto"/>
          <w:kern w:val="0"/>
          <w:sz w:val="24"/>
          <w:szCs w:val="24"/>
          <w:highlight w:val="none"/>
        </w:rPr>
        <w:t>接收工程的责任</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_Toc491277314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"_Toc491277315"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9.4  </w:t>
      </w:r>
      <w:r>
        <w:rPr>
          <w:rStyle w:val="33"/>
          <w:rFonts w:hint="eastAsia" w:ascii="宋体" w:hAnsi="宋体"/>
          <w:i w:val="0"/>
          <w:color w:val="auto"/>
          <w:kern w:val="0"/>
          <w:sz w:val="24"/>
          <w:szCs w:val="24"/>
          <w:highlight w:val="none"/>
        </w:rPr>
        <w:t>未能接收工程</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_Toc491277315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"_Toc491277316"</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10</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竣工后试验</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_Toc491277316 \h </w:instrText>
      </w:r>
      <w:r>
        <w:rPr>
          <w:rFonts w:ascii="宋体" w:hAnsi="宋体"/>
          <w:color w:val="auto"/>
          <w:sz w:val="24"/>
          <w:szCs w:val="24"/>
          <w:highlight w:val="none"/>
        </w:rPr>
        <w:fldChar w:fldCharType="separate"/>
      </w:r>
      <w:r>
        <w:rPr>
          <w:rFonts w:ascii="宋体" w:hAnsi="宋体"/>
          <w:color w:val="auto"/>
          <w:sz w:val="24"/>
          <w:szCs w:val="24"/>
          <w:highlight w:val="none"/>
        </w:rPr>
        <w:t>101</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"_Toc491277317"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10.1  </w:t>
      </w:r>
      <w:r>
        <w:rPr>
          <w:rStyle w:val="33"/>
          <w:rFonts w:hint="eastAsia" w:ascii="宋体" w:hAnsi="宋体"/>
          <w:i w:val="0"/>
          <w:color w:val="auto"/>
          <w:kern w:val="0"/>
          <w:sz w:val="24"/>
          <w:szCs w:val="24"/>
          <w:highlight w:val="none"/>
        </w:rPr>
        <w:t>权力与义务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_Toc491277317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"_Toc491277318"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10.2  </w:t>
      </w:r>
      <w:r>
        <w:rPr>
          <w:rStyle w:val="33"/>
          <w:rFonts w:hint="eastAsia" w:ascii="宋体" w:hAnsi="宋体"/>
          <w:i w:val="0"/>
          <w:color w:val="auto"/>
          <w:kern w:val="0"/>
          <w:sz w:val="24"/>
          <w:szCs w:val="24"/>
          <w:highlight w:val="none"/>
        </w:rPr>
        <w:t>竣工后试验程序</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_Toc491277318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"_Toc491277319"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10.3  </w:t>
      </w:r>
      <w:r>
        <w:rPr>
          <w:rStyle w:val="33"/>
          <w:rFonts w:hint="eastAsia" w:ascii="宋体" w:hAnsi="宋体"/>
          <w:i w:val="0"/>
          <w:color w:val="auto"/>
          <w:kern w:val="0"/>
          <w:sz w:val="24"/>
          <w:szCs w:val="24"/>
          <w:highlight w:val="none"/>
        </w:rPr>
        <w:t>竣工后试验及试运行考核</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_Toc491277319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"_Toc491277320"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10.4  </w:t>
      </w:r>
      <w:r>
        <w:rPr>
          <w:rStyle w:val="33"/>
          <w:rFonts w:hint="eastAsia" w:ascii="宋体" w:hAnsi="宋体"/>
          <w:i w:val="0"/>
          <w:color w:val="auto"/>
          <w:kern w:val="0"/>
          <w:sz w:val="24"/>
          <w:szCs w:val="24"/>
          <w:highlight w:val="none"/>
        </w:rPr>
        <w:t>竣工后试验的延误</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_Toc491277320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"_Toc491277321"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10.5  </w:t>
      </w:r>
      <w:r>
        <w:rPr>
          <w:rStyle w:val="33"/>
          <w:rFonts w:hint="eastAsia" w:ascii="宋体" w:hAnsi="宋体"/>
          <w:i w:val="0"/>
          <w:color w:val="auto"/>
          <w:kern w:val="0"/>
          <w:sz w:val="24"/>
          <w:szCs w:val="24"/>
          <w:highlight w:val="none"/>
        </w:rPr>
        <w:t>重新进行竣工后试验</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_Toc491277321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"_Toc491277322"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10.6  </w:t>
      </w:r>
      <w:r>
        <w:rPr>
          <w:rStyle w:val="33"/>
          <w:rFonts w:hint="eastAsia" w:ascii="宋体" w:hAnsi="宋体"/>
          <w:i w:val="0"/>
          <w:color w:val="auto"/>
          <w:kern w:val="0"/>
          <w:sz w:val="24"/>
          <w:szCs w:val="24"/>
          <w:highlight w:val="none"/>
        </w:rPr>
        <w:t>未能通过考核</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_Toc491277322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"_Toc491277323"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10.7  </w:t>
      </w:r>
      <w:r>
        <w:rPr>
          <w:rStyle w:val="33"/>
          <w:rFonts w:hint="eastAsia" w:ascii="宋体" w:hAnsi="宋体"/>
          <w:i w:val="0"/>
          <w:color w:val="auto"/>
          <w:kern w:val="0"/>
          <w:sz w:val="24"/>
          <w:szCs w:val="24"/>
          <w:highlight w:val="none"/>
        </w:rPr>
        <w:t>竣工后试验及考核验收证书</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_Toc491277323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"_Toc491277324"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10.8  </w:t>
      </w:r>
      <w:r>
        <w:rPr>
          <w:rStyle w:val="33"/>
          <w:rFonts w:hint="eastAsia" w:ascii="宋体" w:hAnsi="宋体"/>
          <w:i w:val="0"/>
          <w:color w:val="auto"/>
          <w:kern w:val="0"/>
          <w:sz w:val="24"/>
          <w:szCs w:val="24"/>
          <w:highlight w:val="none"/>
        </w:rPr>
        <w:t>丧失了生产价值和使用价值</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_Toc491277324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"_Toc491277325"</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11</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质量保修责任</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_Toc491277325 \h </w:instrText>
      </w:r>
      <w:r>
        <w:rPr>
          <w:rFonts w:ascii="宋体" w:hAnsi="宋体"/>
          <w:color w:val="auto"/>
          <w:sz w:val="24"/>
          <w:szCs w:val="24"/>
          <w:highlight w:val="none"/>
        </w:rPr>
        <w:fldChar w:fldCharType="separate"/>
      </w:r>
      <w:r>
        <w:rPr>
          <w:rFonts w:ascii="宋体" w:hAnsi="宋体"/>
          <w:color w:val="auto"/>
          <w:sz w:val="24"/>
          <w:szCs w:val="24"/>
          <w:highlight w:val="none"/>
        </w:rPr>
        <w:t>105</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"_Toc491277326"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11.1  </w:t>
      </w:r>
      <w:r>
        <w:rPr>
          <w:rStyle w:val="33"/>
          <w:rFonts w:hint="eastAsia" w:ascii="宋体" w:hAnsi="宋体"/>
          <w:i w:val="0"/>
          <w:color w:val="auto"/>
          <w:kern w:val="0"/>
          <w:sz w:val="24"/>
          <w:szCs w:val="24"/>
          <w:highlight w:val="none"/>
        </w:rPr>
        <w:t>质量保修责任书</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_Toc491277326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"_Toc491277327"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11.2  </w:t>
      </w:r>
      <w:r>
        <w:rPr>
          <w:rStyle w:val="33"/>
          <w:rFonts w:hint="eastAsia" w:ascii="宋体" w:hAnsi="宋体"/>
          <w:i w:val="0"/>
          <w:color w:val="auto"/>
          <w:kern w:val="0"/>
          <w:sz w:val="24"/>
          <w:szCs w:val="24"/>
          <w:highlight w:val="none"/>
        </w:rPr>
        <w:t>缺陷责任保修金</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_Toc491277327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"_Toc491277328"</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12</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工程竣工验收</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_Toc491277328 \h </w:instrText>
      </w:r>
      <w:r>
        <w:rPr>
          <w:rFonts w:ascii="宋体" w:hAnsi="宋体"/>
          <w:color w:val="auto"/>
          <w:sz w:val="24"/>
          <w:szCs w:val="24"/>
          <w:highlight w:val="none"/>
        </w:rPr>
        <w:fldChar w:fldCharType="separate"/>
      </w:r>
      <w:r>
        <w:rPr>
          <w:rFonts w:ascii="宋体" w:hAnsi="宋体"/>
          <w:color w:val="auto"/>
          <w:sz w:val="24"/>
          <w:szCs w:val="24"/>
          <w:highlight w:val="none"/>
        </w:rPr>
        <w:t>105</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"_Toc491277329"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12.1  </w:t>
      </w:r>
      <w:r>
        <w:rPr>
          <w:rStyle w:val="33"/>
          <w:rFonts w:hint="eastAsia" w:ascii="宋体" w:hAnsi="宋体"/>
          <w:i w:val="0"/>
          <w:color w:val="auto"/>
          <w:kern w:val="0"/>
          <w:sz w:val="24"/>
          <w:szCs w:val="24"/>
          <w:highlight w:val="none"/>
        </w:rPr>
        <w:t>竣工验收报告及完整的竣工资料</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_Toc491277329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"_Toc491277330"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12.2  </w:t>
      </w:r>
      <w:r>
        <w:rPr>
          <w:rStyle w:val="33"/>
          <w:rFonts w:hint="eastAsia" w:ascii="宋体" w:hAnsi="宋体"/>
          <w:i w:val="0"/>
          <w:color w:val="auto"/>
          <w:kern w:val="0"/>
          <w:sz w:val="24"/>
          <w:szCs w:val="24"/>
          <w:highlight w:val="none"/>
        </w:rPr>
        <w:t>竣工验收</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_Toc491277330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"_Toc491277331"</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13</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变更和合同价格调整</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_Toc491277331 \h </w:instrText>
      </w:r>
      <w:r>
        <w:rPr>
          <w:rFonts w:ascii="宋体" w:hAnsi="宋体"/>
          <w:color w:val="auto"/>
          <w:sz w:val="24"/>
          <w:szCs w:val="24"/>
          <w:highlight w:val="none"/>
        </w:rPr>
        <w:fldChar w:fldCharType="separate"/>
      </w:r>
      <w:r>
        <w:rPr>
          <w:rFonts w:ascii="宋体" w:hAnsi="宋体"/>
          <w:color w:val="auto"/>
          <w:sz w:val="24"/>
          <w:szCs w:val="24"/>
          <w:highlight w:val="none"/>
        </w:rPr>
        <w:t>106</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"_Toc491277332"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13.1  </w:t>
      </w:r>
      <w:r>
        <w:rPr>
          <w:rStyle w:val="33"/>
          <w:rFonts w:hint="eastAsia" w:ascii="宋体" w:hAnsi="宋体"/>
          <w:i w:val="0"/>
          <w:color w:val="auto"/>
          <w:kern w:val="0"/>
          <w:sz w:val="24"/>
          <w:szCs w:val="24"/>
          <w:highlight w:val="none"/>
        </w:rPr>
        <w:t>变更权</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_Toc491277332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"_Toc491277333"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13.2  </w:t>
      </w:r>
      <w:r>
        <w:rPr>
          <w:rStyle w:val="33"/>
          <w:rFonts w:hint="eastAsia" w:ascii="宋体" w:hAnsi="宋体"/>
          <w:i w:val="0"/>
          <w:color w:val="auto"/>
          <w:kern w:val="0"/>
          <w:sz w:val="24"/>
          <w:szCs w:val="24"/>
          <w:highlight w:val="none"/>
        </w:rPr>
        <w:t>变更范围</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_Toc491277333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"_Toc491277334"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13.3  </w:t>
      </w:r>
      <w:r>
        <w:rPr>
          <w:rStyle w:val="33"/>
          <w:rFonts w:hint="eastAsia" w:ascii="宋体" w:hAnsi="宋体"/>
          <w:i w:val="0"/>
          <w:color w:val="auto"/>
          <w:kern w:val="0"/>
          <w:sz w:val="24"/>
          <w:szCs w:val="24"/>
          <w:highlight w:val="none"/>
        </w:rPr>
        <w:t>变更程序</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_Toc491277334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"_Toc491277335"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13.4  </w:t>
      </w:r>
      <w:r>
        <w:rPr>
          <w:rStyle w:val="33"/>
          <w:rFonts w:hint="eastAsia" w:ascii="宋体" w:hAnsi="宋体"/>
          <w:i w:val="0"/>
          <w:color w:val="auto"/>
          <w:kern w:val="0"/>
          <w:sz w:val="24"/>
          <w:szCs w:val="24"/>
          <w:highlight w:val="none"/>
        </w:rPr>
        <w:t>紧急性变更程序</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_Toc491277335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"_Toc491277336"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13.5  </w:t>
      </w:r>
      <w:r>
        <w:rPr>
          <w:rStyle w:val="33"/>
          <w:rFonts w:hint="eastAsia" w:ascii="宋体" w:hAnsi="宋体"/>
          <w:i w:val="0"/>
          <w:color w:val="auto"/>
          <w:kern w:val="0"/>
          <w:sz w:val="24"/>
          <w:szCs w:val="24"/>
          <w:highlight w:val="none"/>
        </w:rPr>
        <w:t>变更价款确定</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_Toc491277336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"_Toc491277337"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13.6  </w:t>
      </w:r>
      <w:r>
        <w:rPr>
          <w:rStyle w:val="33"/>
          <w:rFonts w:hint="eastAsia" w:ascii="宋体" w:hAnsi="宋体"/>
          <w:i w:val="0"/>
          <w:color w:val="auto"/>
          <w:kern w:val="0"/>
          <w:sz w:val="24"/>
          <w:szCs w:val="24"/>
          <w:highlight w:val="none"/>
        </w:rPr>
        <w:t>建议变更的利益分享</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_Toc491277337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"_Toc491277338"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13.7  </w:t>
      </w:r>
      <w:r>
        <w:rPr>
          <w:rStyle w:val="33"/>
          <w:rFonts w:hint="eastAsia" w:ascii="宋体" w:hAnsi="宋体"/>
          <w:i w:val="0"/>
          <w:color w:val="auto"/>
          <w:kern w:val="0"/>
          <w:sz w:val="24"/>
          <w:szCs w:val="24"/>
          <w:highlight w:val="none"/>
        </w:rPr>
        <w:t>合同价格调整</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_Toc491277338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"_Toc491277339"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13.8  </w:t>
      </w:r>
      <w:r>
        <w:rPr>
          <w:rStyle w:val="33"/>
          <w:rFonts w:hint="eastAsia" w:ascii="宋体" w:hAnsi="宋体"/>
          <w:i w:val="0"/>
          <w:color w:val="auto"/>
          <w:kern w:val="0"/>
          <w:sz w:val="24"/>
          <w:szCs w:val="24"/>
          <w:highlight w:val="none"/>
        </w:rPr>
        <w:t>合同价格调整的争议</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_Toc491277339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109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"_Toc491277340"</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14</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合同总价和付款</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_Toc491277340 \h </w:instrText>
      </w:r>
      <w:r>
        <w:rPr>
          <w:rFonts w:ascii="宋体" w:hAnsi="宋体"/>
          <w:color w:val="auto"/>
          <w:sz w:val="24"/>
          <w:szCs w:val="24"/>
          <w:highlight w:val="none"/>
        </w:rPr>
        <w:fldChar w:fldCharType="separate"/>
      </w:r>
      <w:r>
        <w:rPr>
          <w:rFonts w:ascii="宋体" w:hAnsi="宋体"/>
          <w:color w:val="auto"/>
          <w:sz w:val="24"/>
          <w:szCs w:val="24"/>
          <w:highlight w:val="none"/>
        </w:rPr>
        <w:t>110</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"_Toc491277341"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14.1  </w:t>
      </w:r>
      <w:r>
        <w:rPr>
          <w:rStyle w:val="33"/>
          <w:rFonts w:hint="eastAsia" w:ascii="宋体" w:hAnsi="宋体"/>
          <w:i w:val="0"/>
          <w:color w:val="auto"/>
          <w:kern w:val="0"/>
          <w:sz w:val="24"/>
          <w:szCs w:val="24"/>
          <w:highlight w:val="none"/>
        </w:rPr>
        <w:t>合同总价和付款</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_Toc491277341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"_Toc491277342"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14.2  </w:t>
      </w:r>
      <w:r>
        <w:rPr>
          <w:rStyle w:val="33"/>
          <w:rFonts w:hint="eastAsia" w:ascii="宋体" w:hAnsi="宋体"/>
          <w:i w:val="0"/>
          <w:color w:val="auto"/>
          <w:kern w:val="0"/>
          <w:sz w:val="24"/>
          <w:szCs w:val="24"/>
          <w:highlight w:val="none"/>
        </w:rPr>
        <w:t>担保</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_Toc491277342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"_Toc491277343"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14.3  </w:t>
      </w:r>
      <w:r>
        <w:rPr>
          <w:rStyle w:val="33"/>
          <w:rFonts w:hint="eastAsia" w:ascii="宋体" w:hAnsi="宋体"/>
          <w:i w:val="0"/>
          <w:color w:val="auto"/>
          <w:kern w:val="0"/>
          <w:sz w:val="24"/>
          <w:szCs w:val="24"/>
          <w:highlight w:val="none"/>
        </w:rPr>
        <w:t>预付款</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_Toc491277343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"_Toc491277344"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14.4  </w:t>
      </w:r>
      <w:r>
        <w:rPr>
          <w:rStyle w:val="33"/>
          <w:rFonts w:hint="eastAsia" w:ascii="宋体" w:hAnsi="宋体"/>
          <w:i w:val="0"/>
          <w:color w:val="auto"/>
          <w:kern w:val="0"/>
          <w:sz w:val="24"/>
          <w:szCs w:val="24"/>
          <w:highlight w:val="none"/>
        </w:rPr>
        <w:t>工程进度款</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_Toc491277344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"_Toc491277345"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14.5  </w:t>
      </w:r>
      <w:r>
        <w:rPr>
          <w:rStyle w:val="33"/>
          <w:rFonts w:hint="eastAsia" w:ascii="宋体" w:hAnsi="宋体"/>
          <w:i w:val="0"/>
          <w:color w:val="auto"/>
          <w:kern w:val="0"/>
          <w:sz w:val="24"/>
          <w:szCs w:val="24"/>
          <w:highlight w:val="none"/>
        </w:rPr>
        <w:t>缺陷责任保修金的暂扣与支付</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_Toc491277345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"_Toc491277346"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14.6  </w:t>
      </w:r>
      <w:r>
        <w:rPr>
          <w:rStyle w:val="33"/>
          <w:rFonts w:hint="eastAsia" w:ascii="宋体" w:hAnsi="宋体"/>
          <w:i w:val="0"/>
          <w:color w:val="auto"/>
          <w:kern w:val="0"/>
          <w:sz w:val="24"/>
          <w:szCs w:val="24"/>
          <w:highlight w:val="none"/>
        </w:rPr>
        <w:t>按月工程进度申请付款</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_Toc491277346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"_Toc491277347"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14.7  </w:t>
      </w:r>
      <w:r>
        <w:rPr>
          <w:rStyle w:val="33"/>
          <w:rFonts w:hint="eastAsia" w:ascii="宋体" w:hAnsi="宋体"/>
          <w:i w:val="0"/>
          <w:color w:val="auto"/>
          <w:kern w:val="0"/>
          <w:sz w:val="24"/>
          <w:szCs w:val="24"/>
          <w:highlight w:val="none"/>
        </w:rPr>
        <w:t>按付款计划表申请付款</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_Toc491277347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"_Toc491277348"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14.8  </w:t>
      </w:r>
      <w:r>
        <w:rPr>
          <w:rStyle w:val="33"/>
          <w:rFonts w:hint="eastAsia" w:ascii="宋体" w:hAnsi="宋体"/>
          <w:i w:val="0"/>
          <w:color w:val="auto"/>
          <w:kern w:val="0"/>
          <w:sz w:val="24"/>
          <w:szCs w:val="24"/>
          <w:highlight w:val="none"/>
        </w:rPr>
        <w:t>付款条件与时间安排</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_Toc491277348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"_Toc491277349"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14.9  </w:t>
      </w:r>
      <w:r>
        <w:rPr>
          <w:rStyle w:val="33"/>
          <w:rFonts w:hint="eastAsia" w:ascii="宋体" w:hAnsi="宋体"/>
          <w:i w:val="0"/>
          <w:color w:val="auto"/>
          <w:kern w:val="0"/>
          <w:sz w:val="24"/>
          <w:szCs w:val="24"/>
          <w:highlight w:val="none"/>
        </w:rPr>
        <w:t>付款时间延误</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_Toc491277349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"_Toc491277350"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14.10  </w:t>
      </w:r>
      <w:r>
        <w:rPr>
          <w:rStyle w:val="33"/>
          <w:rFonts w:hint="eastAsia" w:ascii="宋体" w:hAnsi="宋体"/>
          <w:i w:val="0"/>
          <w:color w:val="auto"/>
          <w:kern w:val="0"/>
          <w:sz w:val="24"/>
          <w:szCs w:val="24"/>
          <w:highlight w:val="none"/>
        </w:rPr>
        <w:t>税务与关税</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_Toc491277350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"_Toc491277351"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14.11  </w:t>
      </w:r>
      <w:r>
        <w:rPr>
          <w:rStyle w:val="33"/>
          <w:rFonts w:hint="eastAsia" w:ascii="宋体" w:hAnsi="宋体"/>
          <w:i w:val="0"/>
          <w:color w:val="auto"/>
          <w:kern w:val="0"/>
          <w:sz w:val="24"/>
          <w:szCs w:val="24"/>
          <w:highlight w:val="none"/>
        </w:rPr>
        <w:t>索赔款项的支付</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_Toc491277351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"_Toc491277352"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14.12  </w:t>
      </w:r>
      <w:r>
        <w:rPr>
          <w:rStyle w:val="33"/>
          <w:rFonts w:hint="eastAsia" w:ascii="宋体" w:hAnsi="宋体"/>
          <w:i w:val="0"/>
          <w:color w:val="auto"/>
          <w:kern w:val="0"/>
          <w:sz w:val="24"/>
          <w:szCs w:val="24"/>
          <w:highlight w:val="none"/>
        </w:rPr>
        <w:t>竣工结算</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_Toc491277352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"_Toc491277353"</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15</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保险</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_Toc491277353 \h </w:instrText>
      </w:r>
      <w:r>
        <w:rPr>
          <w:rFonts w:ascii="宋体" w:hAnsi="宋体"/>
          <w:color w:val="auto"/>
          <w:sz w:val="24"/>
          <w:szCs w:val="24"/>
          <w:highlight w:val="none"/>
        </w:rPr>
        <w:fldChar w:fldCharType="separate"/>
      </w:r>
      <w:r>
        <w:rPr>
          <w:rFonts w:ascii="宋体" w:hAnsi="宋体"/>
          <w:color w:val="auto"/>
          <w:sz w:val="24"/>
          <w:szCs w:val="24"/>
          <w:highlight w:val="none"/>
        </w:rPr>
        <w:t>115</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"_Toc491277354"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15.1  </w:t>
      </w:r>
      <w:r>
        <w:rPr>
          <w:rStyle w:val="33"/>
          <w:rFonts w:hint="eastAsia" w:ascii="宋体" w:hAnsi="宋体"/>
          <w:i w:val="0"/>
          <w:color w:val="auto"/>
          <w:kern w:val="0"/>
          <w:sz w:val="24"/>
          <w:szCs w:val="24"/>
          <w:highlight w:val="none"/>
        </w:rPr>
        <w:t>承包人的投保</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_Toc491277354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"_Toc491277355"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15.2  </w:t>
      </w:r>
      <w:r>
        <w:rPr>
          <w:rStyle w:val="33"/>
          <w:rFonts w:hint="eastAsia" w:ascii="宋体" w:hAnsi="宋体"/>
          <w:i w:val="0"/>
          <w:color w:val="auto"/>
          <w:kern w:val="0"/>
          <w:sz w:val="24"/>
          <w:szCs w:val="24"/>
          <w:highlight w:val="none"/>
        </w:rPr>
        <w:t>一切险和第三方责任险</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_Toc491277355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"_Toc491277356"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15.3  </w:t>
      </w:r>
      <w:r>
        <w:rPr>
          <w:rStyle w:val="33"/>
          <w:rFonts w:hint="eastAsia" w:ascii="宋体" w:hAnsi="宋体"/>
          <w:i w:val="0"/>
          <w:color w:val="auto"/>
          <w:kern w:val="0"/>
          <w:sz w:val="24"/>
          <w:szCs w:val="24"/>
          <w:highlight w:val="none"/>
        </w:rPr>
        <w:t>保险的其它规定</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_Toc491277356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"_Toc491277357"</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16</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违约、索赔和争议</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_Toc491277357 \h </w:instrText>
      </w:r>
      <w:r>
        <w:rPr>
          <w:rFonts w:ascii="宋体" w:hAnsi="宋体"/>
          <w:color w:val="auto"/>
          <w:sz w:val="24"/>
          <w:szCs w:val="24"/>
          <w:highlight w:val="none"/>
        </w:rPr>
        <w:fldChar w:fldCharType="separate"/>
      </w:r>
      <w:r>
        <w:rPr>
          <w:rFonts w:ascii="宋体" w:hAnsi="宋体"/>
          <w:color w:val="auto"/>
          <w:sz w:val="24"/>
          <w:szCs w:val="24"/>
          <w:highlight w:val="none"/>
        </w:rPr>
        <w:t>115</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"_Toc491277358"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16.1  </w:t>
      </w:r>
      <w:r>
        <w:rPr>
          <w:rStyle w:val="33"/>
          <w:rFonts w:hint="eastAsia" w:ascii="宋体" w:hAnsi="宋体"/>
          <w:i w:val="0"/>
          <w:color w:val="auto"/>
          <w:kern w:val="0"/>
          <w:sz w:val="24"/>
          <w:szCs w:val="24"/>
          <w:highlight w:val="none"/>
        </w:rPr>
        <w:t>违约责任</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_Toc491277358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"_Toc491277359"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16.2  </w:t>
      </w:r>
      <w:r>
        <w:rPr>
          <w:rStyle w:val="33"/>
          <w:rFonts w:hint="eastAsia" w:ascii="宋体" w:hAnsi="宋体"/>
          <w:i w:val="0"/>
          <w:color w:val="auto"/>
          <w:kern w:val="0"/>
          <w:sz w:val="24"/>
          <w:szCs w:val="24"/>
          <w:highlight w:val="none"/>
        </w:rPr>
        <w:t>索</w:t>
      </w:r>
      <w:r>
        <w:rPr>
          <w:rStyle w:val="33"/>
          <w:rFonts w:ascii="宋体" w:hAnsi="宋体"/>
          <w:i w:val="0"/>
          <w:color w:val="auto"/>
          <w:kern w:val="0"/>
          <w:sz w:val="24"/>
          <w:szCs w:val="24"/>
          <w:highlight w:val="none"/>
        </w:rPr>
        <w:t xml:space="preserve">  </w:t>
      </w:r>
      <w:r>
        <w:rPr>
          <w:rStyle w:val="33"/>
          <w:rFonts w:hint="eastAsia" w:ascii="宋体" w:hAnsi="宋体"/>
          <w:i w:val="0"/>
          <w:color w:val="auto"/>
          <w:kern w:val="0"/>
          <w:sz w:val="24"/>
          <w:szCs w:val="24"/>
          <w:highlight w:val="none"/>
        </w:rPr>
        <w:t>赔</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_Toc491277359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"_Toc491277360"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16.3  </w:t>
      </w:r>
      <w:r>
        <w:rPr>
          <w:rStyle w:val="33"/>
          <w:rFonts w:hint="eastAsia" w:ascii="宋体" w:hAnsi="宋体"/>
          <w:i w:val="0"/>
          <w:color w:val="auto"/>
          <w:kern w:val="0"/>
          <w:sz w:val="24"/>
          <w:szCs w:val="24"/>
          <w:highlight w:val="none"/>
        </w:rPr>
        <w:t>争议和裁决</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_Toc491277360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"_Toc491277361"</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17</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不可抗力</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_Toc491277361 \h </w:instrText>
      </w:r>
      <w:r>
        <w:rPr>
          <w:rFonts w:ascii="宋体" w:hAnsi="宋体"/>
          <w:color w:val="auto"/>
          <w:sz w:val="24"/>
          <w:szCs w:val="24"/>
          <w:highlight w:val="none"/>
        </w:rPr>
        <w:fldChar w:fldCharType="separate"/>
      </w:r>
      <w:r>
        <w:rPr>
          <w:rFonts w:ascii="宋体" w:hAnsi="宋体"/>
          <w:color w:val="auto"/>
          <w:sz w:val="24"/>
          <w:szCs w:val="24"/>
          <w:highlight w:val="none"/>
        </w:rPr>
        <w:t>117</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"_Toc491277362"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17.1  </w:t>
      </w:r>
      <w:r>
        <w:rPr>
          <w:rStyle w:val="33"/>
          <w:rFonts w:hint="eastAsia" w:ascii="宋体" w:hAnsi="宋体"/>
          <w:i w:val="0"/>
          <w:color w:val="auto"/>
          <w:kern w:val="0"/>
          <w:sz w:val="24"/>
          <w:szCs w:val="24"/>
          <w:highlight w:val="none"/>
        </w:rPr>
        <w:t>不可抗力发生时的义务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_Toc491277362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"_Toc491277363"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17.2  </w:t>
      </w:r>
      <w:r>
        <w:rPr>
          <w:rStyle w:val="33"/>
          <w:rFonts w:hint="eastAsia" w:ascii="宋体" w:hAnsi="宋体"/>
          <w:i w:val="0"/>
          <w:color w:val="auto"/>
          <w:kern w:val="0"/>
          <w:sz w:val="24"/>
          <w:szCs w:val="24"/>
          <w:highlight w:val="none"/>
        </w:rPr>
        <w:t>不可抗力的后果</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_Toc491277363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"_Toc491277364"</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18</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合同解除</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_Toc491277364 \h </w:instrText>
      </w:r>
      <w:r>
        <w:rPr>
          <w:rFonts w:ascii="宋体" w:hAnsi="宋体"/>
          <w:color w:val="auto"/>
          <w:sz w:val="24"/>
          <w:szCs w:val="24"/>
          <w:highlight w:val="none"/>
        </w:rPr>
        <w:fldChar w:fldCharType="separate"/>
      </w:r>
      <w:r>
        <w:rPr>
          <w:rFonts w:ascii="宋体" w:hAnsi="宋体"/>
          <w:color w:val="auto"/>
          <w:sz w:val="24"/>
          <w:szCs w:val="24"/>
          <w:highlight w:val="none"/>
        </w:rPr>
        <w:t>118</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"_Toc491277365"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18.1  </w:t>
      </w:r>
      <w:r>
        <w:rPr>
          <w:rStyle w:val="33"/>
          <w:rFonts w:hint="eastAsia" w:ascii="宋体" w:hAnsi="宋体"/>
          <w:i w:val="0"/>
          <w:color w:val="auto"/>
          <w:kern w:val="0"/>
          <w:sz w:val="24"/>
          <w:szCs w:val="24"/>
          <w:highlight w:val="none"/>
        </w:rPr>
        <w:t>由发包人解除合同</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_Toc491277365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118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"_Toc491277366"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18.2  </w:t>
      </w:r>
      <w:r>
        <w:rPr>
          <w:rStyle w:val="33"/>
          <w:rFonts w:hint="eastAsia" w:ascii="宋体" w:hAnsi="宋体"/>
          <w:i w:val="0"/>
          <w:color w:val="auto"/>
          <w:kern w:val="0"/>
          <w:sz w:val="24"/>
          <w:szCs w:val="24"/>
          <w:highlight w:val="none"/>
        </w:rPr>
        <w:t>由承包人解除合同</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_Toc491277366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"_Toc491277367"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18.3  </w:t>
      </w:r>
      <w:r>
        <w:rPr>
          <w:rStyle w:val="33"/>
          <w:rFonts w:hint="eastAsia" w:ascii="宋体" w:hAnsi="宋体"/>
          <w:i w:val="0"/>
          <w:color w:val="auto"/>
          <w:kern w:val="0"/>
          <w:sz w:val="24"/>
          <w:szCs w:val="24"/>
          <w:highlight w:val="none"/>
        </w:rPr>
        <w:t>合同解除后的事项</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_Toc491277367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"_Toc491277368"</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19</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合同生效与终止</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_Toc491277368 \h </w:instrText>
      </w:r>
      <w:r>
        <w:rPr>
          <w:rFonts w:ascii="宋体" w:hAnsi="宋体"/>
          <w:color w:val="auto"/>
          <w:sz w:val="24"/>
          <w:szCs w:val="24"/>
          <w:highlight w:val="none"/>
        </w:rPr>
        <w:fldChar w:fldCharType="separate"/>
      </w:r>
      <w:r>
        <w:rPr>
          <w:rFonts w:ascii="宋体" w:hAnsi="宋体"/>
          <w:color w:val="auto"/>
          <w:sz w:val="24"/>
          <w:szCs w:val="24"/>
          <w:highlight w:val="none"/>
        </w:rPr>
        <w:t>121</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"_Toc491277369"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19.1  </w:t>
      </w:r>
      <w:r>
        <w:rPr>
          <w:rStyle w:val="33"/>
          <w:rFonts w:hint="eastAsia" w:ascii="宋体" w:hAnsi="宋体"/>
          <w:i w:val="0"/>
          <w:color w:val="auto"/>
          <w:kern w:val="0"/>
          <w:sz w:val="24"/>
          <w:szCs w:val="24"/>
          <w:highlight w:val="none"/>
        </w:rPr>
        <w:t>合同生效</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_Toc491277369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"_Toc491277370"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19.2  </w:t>
      </w:r>
      <w:r>
        <w:rPr>
          <w:rStyle w:val="33"/>
          <w:rFonts w:hint="eastAsia" w:ascii="宋体" w:hAnsi="宋体"/>
          <w:i w:val="0"/>
          <w:color w:val="auto"/>
          <w:kern w:val="0"/>
          <w:sz w:val="24"/>
          <w:szCs w:val="24"/>
          <w:highlight w:val="none"/>
        </w:rPr>
        <w:t>合同份数</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_Toc491277370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"_Toc491277371"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19.3  </w:t>
      </w:r>
      <w:r>
        <w:rPr>
          <w:rStyle w:val="33"/>
          <w:rFonts w:hint="eastAsia" w:ascii="宋体" w:hAnsi="宋体"/>
          <w:i w:val="0"/>
          <w:color w:val="auto"/>
          <w:kern w:val="0"/>
          <w:sz w:val="24"/>
          <w:szCs w:val="24"/>
          <w:highlight w:val="none"/>
        </w:rPr>
        <w:t>后合同义务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_Toc491277371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"_Toc491277372"</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20</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补充条款</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_Toc491277372 \h </w:instrText>
      </w:r>
      <w:r>
        <w:rPr>
          <w:rFonts w:ascii="宋体" w:hAnsi="宋体"/>
          <w:color w:val="auto"/>
          <w:sz w:val="24"/>
          <w:szCs w:val="24"/>
          <w:highlight w:val="none"/>
        </w:rPr>
        <w:fldChar w:fldCharType="separate"/>
      </w:r>
      <w:r>
        <w:rPr>
          <w:rFonts w:ascii="宋体" w:hAnsi="宋体"/>
          <w:color w:val="auto"/>
          <w:sz w:val="24"/>
          <w:szCs w:val="24"/>
          <w:highlight w:val="none"/>
        </w:rPr>
        <w:t>121</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5"/>
        <w:tabs>
          <w:tab w:val="right" w:leader="dot" w:pos="9629"/>
        </w:tabs>
        <w:spacing w:line="420" w:lineRule="exact"/>
        <w:rPr>
          <w:rFonts w:ascii="宋体" w:hAnsi="宋体"/>
          <w:b w:val="0"/>
          <w:bCs w:val="0"/>
          <w:caps w:val="0"/>
          <w:color w:val="auto"/>
          <w:sz w:val="24"/>
          <w:szCs w:val="24"/>
          <w:highlight w:val="none"/>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"_Toc491277373"</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第三部分</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专用合同条款</w:t>
      </w:r>
      <w:r>
        <w:rPr>
          <w:rFonts w:ascii="宋体" w:hAnsi="宋体"/>
          <w:b w:val="0"/>
          <w:color w:val="auto"/>
          <w:sz w:val="24"/>
          <w:szCs w:val="24"/>
          <w:highlight w:val="none"/>
        </w:rPr>
        <w:tab/>
      </w:r>
      <w:r>
        <w:rPr>
          <w:rFonts w:ascii="宋体" w:hAnsi="宋体"/>
          <w:b w:val="0"/>
          <w:color w:val="auto"/>
          <w:sz w:val="24"/>
          <w:szCs w:val="24"/>
          <w:highlight w:val="none"/>
        </w:rPr>
        <w:fldChar w:fldCharType="begin"/>
      </w:r>
      <w:r>
        <w:rPr>
          <w:rFonts w:ascii="宋体" w:hAnsi="宋体"/>
          <w:b w:val="0"/>
          <w:color w:val="auto"/>
          <w:sz w:val="24"/>
          <w:szCs w:val="24"/>
          <w:highlight w:val="none"/>
        </w:rPr>
        <w:instrText xml:space="preserve"> PAGEREF _Toc491277373 \h </w:instrText>
      </w:r>
      <w:r>
        <w:rPr>
          <w:rFonts w:ascii="宋体" w:hAnsi="宋体"/>
          <w:b w:val="0"/>
          <w:color w:val="auto"/>
          <w:sz w:val="24"/>
          <w:szCs w:val="24"/>
          <w:highlight w:val="none"/>
        </w:rPr>
        <w:fldChar w:fldCharType="separate"/>
      </w:r>
      <w:r>
        <w:rPr>
          <w:rFonts w:ascii="宋体" w:hAnsi="宋体"/>
          <w:b w:val="0"/>
          <w:color w:val="auto"/>
          <w:sz w:val="24"/>
          <w:szCs w:val="24"/>
          <w:highlight w:val="none"/>
        </w:rPr>
        <w:t>122</w:t>
      </w:r>
      <w:r>
        <w:rPr>
          <w:rFonts w:ascii="宋体" w:hAnsi="宋体"/>
          <w:b w:val="0"/>
          <w:color w:val="auto"/>
          <w:sz w:val="24"/>
          <w:szCs w:val="24"/>
          <w:highlight w:val="none"/>
        </w:rPr>
        <w:fldChar w:fldCharType="end"/>
      </w:r>
      <w:r>
        <w:rPr>
          <w:rFonts w:ascii="宋体" w:hAnsi="宋体"/>
          <w:b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"_Toc491277374"</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w:t>
      </w:r>
      <w:r>
        <w:rPr>
          <w:rStyle w:val="33"/>
          <w:rFonts w:hint="eastAsia" w:ascii="宋体" w:hAnsi="宋体"/>
          <w:color w:val="auto"/>
          <w:sz w:val="24"/>
          <w:szCs w:val="24"/>
          <w:highlight w:val="none"/>
        </w:rPr>
        <w:t>条一般规定</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_Toc491277374 \h </w:instrText>
      </w:r>
      <w:r>
        <w:rPr>
          <w:rFonts w:ascii="宋体" w:hAnsi="宋体"/>
          <w:color w:val="auto"/>
          <w:sz w:val="24"/>
          <w:szCs w:val="24"/>
          <w:highlight w:val="none"/>
        </w:rPr>
        <w:fldChar w:fldCharType="separate"/>
      </w:r>
      <w:r>
        <w:rPr>
          <w:rFonts w:ascii="宋体" w:hAnsi="宋体"/>
          <w:color w:val="auto"/>
          <w:sz w:val="24"/>
          <w:szCs w:val="24"/>
          <w:highlight w:val="none"/>
        </w:rPr>
        <w:t>122</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"_Toc491277375"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1.1  </w:t>
      </w:r>
      <w:r>
        <w:rPr>
          <w:rStyle w:val="33"/>
          <w:rFonts w:hint="eastAsia" w:ascii="宋体" w:hAnsi="宋体"/>
          <w:i w:val="0"/>
          <w:color w:val="auto"/>
          <w:kern w:val="0"/>
          <w:sz w:val="24"/>
          <w:szCs w:val="24"/>
          <w:highlight w:val="none"/>
        </w:rPr>
        <w:t>定义与解释</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_Toc491277375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"_Toc491277376"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  </w:t>
      </w:r>
      <w:r>
        <w:rPr>
          <w:rStyle w:val="33"/>
          <w:rFonts w:hint="eastAsia" w:ascii="宋体" w:hAnsi="宋体"/>
          <w:i w:val="0"/>
          <w:color w:val="auto"/>
          <w:kern w:val="0"/>
          <w:sz w:val="24"/>
          <w:szCs w:val="24"/>
          <w:highlight w:val="none"/>
        </w:rPr>
        <w:t>语言文字</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_Toc491277376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"_Toc491277377"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  </w:t>
      </w:r>
      <w:r>
        <w:rPr>
          <w:rStyle w:val="33"/>
          <w:rFonts w:hint="eastAsia" w:ascii="宋体" w:hAnsi="宋体"/>
          <w:i w:val="0"/>
          <w:color w:val="auto"/>
          <w:kern w:val="0"/>
          <w:sz w:val="24"/>
          <w:szCs w:val="24"/>
          <w:highlight w:val="none"/>
        </w:rPr>
        <w:t>适用法律</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_Toc491277377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"_Toc491277378"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1.5  </w:t>
      </w:r>
      <w:r>
        <w:rPr>
          <w:rStyle w:val="33"/>
          <w:rFonts w:hint="eastAsia" w:ascii="宋体" w:hAnsi="宋体"/>
          <w:i w:val="0"/>
          <w:color w:val="auto"/>
          <w:kern w:val="0"/>
          <w:sz w:val="24"/>
          <w:szCs w:val="24"/>
          <w:highlight w:val="none"/>
        </w:rPr>
        <w:t>标准、规范</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_Toc491277378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"_Toc491277379"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1.6  </w:t>
      </w:r>
      <w:r>
        <w:rPr>
          <w:rStyle w:val="33"/>
          <w:rFonts w:hint="eastAsia" w:ascii="宋体" w:hAnsi="宋体"/>
          <w:i w:val="0"/>
          <w:color w:val="auto"/>
          <w:kern w:val="0"/>
          <w:sz w:val="24"/>
          <w:szCs w:val="24"/>
          <w:highlight w:val="none"/>
        </w:rPr>
        <w:t>保密事项</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_Toc491277379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"_Toc491277380"</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2</w:t>
      </w:r>
      <w:r>
        <w:rPr>
          <w:rStyle w:val="33"/>
          <w:rFonts w:hint="eastAsia" w:ascii="宋体" w:hAnsi="宋体"/>
          <w:color w:val="auto"/>
          <w:sz w:val="24"/>
          <w:szCs w:val="24"/>
          <w:highlight w:val="none"/>
        </w:rPr>
        <w:t>条发包人</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_Toc491277380 \h </w:instrText>
      </w:r>
      <w:r>
        <w:rPr>
          <w:rFonts w:ascii="宋体" w:hAnsi="宋体"/>
          <w:color w:val="auto"/>
          <w:sz w:val="24"/>
          <w:szCs w:val="24"/>
          <w:highlight w:val="none"/>
        </w:rPr>
        <w:fldChar w:fldCharType="separate"/>
      </w:r>
      <w:r>
        <w:rPr>
          <w:rFonts w:ascii="宋体" w:hAnsi="宋体"/>
          <w:color w:val="auto"/>
          <w:sz w:val="24"/>
          <w:szCs w:val="24"/>
          <w:highlight w:val="none"/>
        </w:rPr>
        <w:t>123</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"_Toc491277381"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2.2  </w:t>
      </w:r>
      <w:r>
        <w:rPr>
          <w:rStyle w:val="33"/>
          <w:rFonts w:hint="eastAsia" w:ascii="宋体" w:hAnsi="宋体"/>
          <w:i w:val="0"/>
          <w:color w:val="auto"/>
          <w:kern w:val="0"/>
          <w:sz w:val="24"/>
          <w:szCs w:val="24"/>
          <w:highlight w:val="none"/>
        </w:rPr>
        <w:t>发包人代表</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_Toc491277381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"_Toc491277382"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2.3  </w:t>
      </w:r>
      <w:r>
        <w:rPr>
          <w:rStyle w:val="33"/>
          <w:rFonts w:hint="eastAsia" w:ascii="宋体" w:hAnsi="宋体"/>
          <w:i w:val="0"/>
          <w:color w:val="auto"/>
          <w:kern w:val="0"/>
          <w:sz w:val="24"/>
          <w:szCs w:val="24"/>
          <w:highlight w:val="none"/>
        </w:rPr>
        <w:t>监理人</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_Toc491277382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"_Toc491277383"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2.5  </w:t>
      </w:r>
      <w:r>
        <w:rPr>
          <w:rStyle w:val="33"/>
          <w:rFonts w:hint="eastAsia" w:ascii="宋体" w:hAnsi="宋体"/>
          <w:i w:val="0"/>
          <w:color w:val="auto"/>
          <w:kern w:val="0"/>
          <w:sz w:val="24"/>
          <w:szCs w:val="24"/>
          <w:highlight w:val="none"/>
        </w:rPr>
        <w:t>保安责任</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_Toc491277383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"_Toc491277384"</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3</w:t>
      </w:r>
      <w:r>
        <w:rPr>
          <w:rStyle w:val="33"/>
          <w:rFonts w:hint="eastAsia" w:ascii="宋体" w:hAnsi="宋体"/>
          <w:color w:val="auto"/>
          <w:sz w:val="24"/>
          <w:szCs w:val="24"/>
          <w:highlight w:val="none"/>
        </w:rPr>
        <w:t>条承包人</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_Toc491277384 \h </w:instrText>
      </w:r>
      <w:r>
        <w:rPr>
          <w:rFonts w:ascii="宋体" w:hAnsi="宋体"/>
          <w:color w:val="auto"/>
          <w:sz w:val="24"/>
          <w:szCs w:val="24"/>
          <w:highlight w:val="none"/>
        </w:rPr>
        <w:fldChar w:fldCharType="separate"/>
      </w:r>
      <w:r>
        <w:rPr>
          <w:rFonts w:ascii="宋体" w:hAnsi="宋体"/>
          <w:color w:val="auto"/>
          <w:sz w:val="24"/>
          <w:szCs w:val="24"/>
          <w:highlight w:val="none"/>
        </w:rPr>
        <w:t>123</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"_Toc491277385"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3.1  </w:t>
      </w:r>
      <w:r>
        <w:rPr>
          <w:rStyle w:val="33"/>
          <w:rFonts w:hint="eastAsia" w:ascii="宋体" w:hAnsi="宋体"/>
          <w:i w:val="0"/>
          <w:color w:val="auto"/>
          <w:kern w:val="0"/>
          <w:sz w:val="24"/>
          <w:szCs w:val="24"/>
          <w:highlight w:val="none"/>
        </w:rPr>
        <w:t>承包人的一般义务和权力</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_Toc491277385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"_Toc491277386"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3.2  </w:t>
      </w:r>
      <w:r>
        <w:rPr>
          <w:rStyle w:val="33"/>
          <w:rFonts w:hint="eastAsia" w:ascii="宋体" w:hAnsi="宋体"/>
          <w:i w:val="0"/>
          <w:color w:val="auto"/>
          <w:kern w:val="0"/>
          <w:sz w:val="24"/>
          <w:szCs w:val="24"/>
          <w:highlight w:val="none"/>
        </w:rPr>
        <w:t>项目总负责人</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_Toc491277386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"_Toc491277387"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3.3 </w:t>
      </w:r>
      <w:r>
        <w:rPr>
          <w:rStyle w:val="33"/>
          <w:rFonts w:hint="eastAsia" w:ascii="宋体" w:hAnsi="宋体"/>
          <w:i w:val="0"/>
          <w:color w:val="auto"/>
          <w:kern w:val="0"/>
          <w:sz w:val="24"/>
          <w:szCs w:val="24"/>
          <w:highlight w:val="none"/>
        </w:rPr>
        <w:t>项目设计负责人</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_Toc491277387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"_Toc491277388"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3.4 </w:t>
      </w:r>
      <w:r>
        <w:rPr>
          <w:rStyle w:val="33"/>
          <w:rFonts w:hint="eastAsia" w:ascii="宋体" w:hAnsi="宋体"/>
          <w:i w:val="0"/>
          <w:color w:val="auto"/>
          <w:kern w:val="0"/>
          <w:sz w:val="24"/>
          <w:szCs w:val="24"/>
          <w:highlight w:val="none"/>
        </w:rPr>
        <w:t>项目经理</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_Toc491277388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"_Toc491277389"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3.5  </w:t>
      </w:r>
      <w:r>
        <w:rPr>
          <w:rStyle w:val="33"/>
          <w:rFonts w:hint="eastAsia" w:ascii="宋体" w:hAnsi="宋体"/>
          <w:i w:val="0"/>
          <w:color w:val="auto"/>
          <w:kern w:val="0"/>
          <w:sz w:val="24"/>
          <w:szCs w:val="24"/>
          <w:highlight w:val="none"/>
        </w:rPr>
        <w:t>项目采购负责人（如有）</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_Toc491277389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"_Toc491277390"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3.6  </w:t>
      </w:r>
      <w:r>
        <w:rPr>
          <w:rStyle w:val="33"/>
          <w:rFonts w:hint="eastAsia" w:ascii="宋体" w:hAnsi="宋体"/>
          <w:i w:val="0"/>
          <w:color w:val="auto"/>
          <w:kern w:val="0"/>
          <w:sz w:val="24"/>
          <w:szCs w:val="24"/>
          <w:highlight w:val="none"/>
        </w:rPr>
        <w:t>项目施工专职安全员</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_Toc491277390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hint="default" w:ascii="宋体" w:hAnsi="宋体" w:eastAsia="宋体"/>
          <w:i w:val="0"/>
          <w:iCs w:val="0"/>
          <w:color w:val="auto"/>
          <w:sz w:val="24"/>
          <w:szCs w:val="24"/>
          <w:highlight w:val="none"/>
          <w:lang w:val="en-US" w:eastAsia="zh-CN"/>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"_Toc491277391"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3.12  </w:t>
      </w:r>
      <w:r>
        <w:rPr>
          <w:rStyle w:val="33"/>
          <w:rFonts w:hint="eastAsia" w:ascii="宋体" w:hAnsi="宋体"/>
          <w:i w:val="0"/>
          <w:color w:val="auto"/>
          <w:kern w:val="0"/>
          <w:sz w:val="24"/>
          <w:szCs w:val="24"/>
          <w:highlight w:val="none"/>
        </w:rPr>
        <w:t>分包</w:t>
      </w:r>
      <w:r>
        <w:rPr>
          <w:rFonts w:ascii="宋体" w:hAnsi="宋体"/>
          <w:i w:val="0"/>
          <w:color w:val="auto"/>
          <w:sz w:val="24"/>
          <w:szCs w:val="24"/>
          <w:highlight w:val="none"/>
        </w:rPr>
        <w:tab/>
      </w:r>
      <w:r>
        <w:rPr>
          <w:rFonts w:hint="eastAsia" w:ascii="宋体" w:hAnsi="宋体"/>
          <w:i w:val="0"/>
          <w:color w:val="auto"/>
          <w:sz w:val="24"/>
          <w:szCs w:val="24"/>
          <w:highlight w:val="none"/>
          <w:lang w:val="en-US" w:eastAsia="zh-CN"/>
        </w:rPr>
        <w:t>1</w:t>
      </w:r>
      <w:r>
        <w:rPr>
          <w:rFonts w:ascii="宋体" w:hAnsi="宋体"/>
          <w:i w:val="0"/>
          <w:color w:val="auto"/>
          <w:sz w:val="24"/>
          <w:szCs w:val="24"/>
          <w:highlight w:val="none"/>
        </w:rPr>
        <w:fldChar w:fldCharType="end"/>
      </w:r>
      <w:r>
        <w:rPr>
          <w:rFonts w:hint="eastAsia" w:ascii="宋体" w:hAnsi="宋体"/>
          <w:i w:val="0"/>
          <w:color w:val="auto"/>
          <w:sz w:val="24"/>
          <w:szCs w:val="24"/>
          <w:highlight w:val="none"/>
          <w:lang w:val="en-US" w:eastAsia="zh-CN"/>
        </w:rPr>
        <w:t>35</w:t>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"_Toc491277392"</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4</w:t>
      </w:r>
      <w:r>
        <w:rPr>
          <w:rStyle w:val="33"/>
          <w:rFonts w:hint="eastAsia" w:ascii="宋体" w:hAnsi="宋体"/>
          <w:color w:val="auto"/>
          <w:sz w:val="24"/>
          <w:szCs w:val="24"/>
          <w:highlight w:val="none"/>
        </w:rPr>
        <w:t>条进度计划、延误和暂停</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_Toc491277392 \h </w:instrText>
      </w:r>
      <w:r>
        <w:rPr>
          <w:rFonts w:ascii="宋体" w:hAnsi="宋体"/>
          <w:color w:val="auto"/>
          <w:sz w:val="24"/>
          <w:szCs w:val="24"/>
          <w:highlight w:val="none"/>
        </w:rPr>
        <w:fldChar w:fldCharType="separate"/>
      </w:r>
      <w:r>
        <w:rPr>
          <w:rFonts w:ascii="宋体" w:hAnsi="宋体"/>
          <w:color w:val="auto"/>
          <w:sz w:val="24"/>
          <w:szCs w:val="24"/>
          <w:highlight w:val="none"/>
        </w:rPr>
        <w:t>126</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"_Toc491277393"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4.1  </w:t>
      </w:r>
      <w:r>
        <w:rPr>
          <w:rStyle w:val="33"/>
          <w:rFonts w:hint="eastAsia" w:ascii="宋体" w:hAnsi="宋体"/>
          <w:i w:val="0"/>
          <w:color w:val="auto"/>
          <w:kern w:val="0"/>
          <w:sz w:val="24"/>
          <w:szCs w:val="24"/>
          <w:highlight w:val="none"/>
        </w:rPr>
        <w:t>项目进度计划</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_Toc491277393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"_Toc491277394"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4.2  </w:t>
      </w:r>
      <w:r>
        <w:rPr>
          <w:rStyle w:val="33"/>
          <w:rFonts w:hint="eastAsia" w:ascii="宋体" w:hAnsi="宋体"/>
          <w:i w:val="0"/>
          <w:color w:val="auto"/>
          <w:kern w:val="0"/>
          <w:sz w:val="24"/>
          <w:szCs w:val="24"/>
          <w:highlight w:val="none"/>
        </w:rPr>
        <w:t>设计进度计划</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_Toc491277394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"_Toc491277395"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4.3  </w:t>
      </w:r>
      <w:r>
        <w:rPr>
          <w:rStyle w:val="33"/>
          <w:rFonts w:hint="eastAsia" w:ascii="宋体" w:hAnsi="宋体"/>
          <w:i w:val="0"/>
          <w:color w:val="auto"/>
          <w:kern w:val="0"/>
          <w:sz w:val="24"/>
          <w:szCs w:val="24"/>
          <w:highlight w:val="none"/>
        </w:rPr>
        <w:t>采购进度计划</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_Toc491277395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"_Toc491277396"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4.4  </w:t>
      </w:r>
      <w:r>
        <w:rPr>
          <w:rStyle w:val="33"/>
          <w:rFonts w:hint="eastAsia" w:ascii="宋体" w:hAnsi="宋体"/>
          <w:i w:val="0"/>
          <w:color w:val="auto"/>
          <w:kern w:val="0"/>
          <w:sz w:val="24"/>
          <w:szCs w:val="24"/>
          <w:highlight w:val="none"/>
        </w:rPr>
        <w:t>施工进度计划</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_Toc491277396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"_Toc491277397"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4.5  </w:t>
      </w:r>
      <w:r>
        <w:rPr>
          <w:rStyle w:val="33"/>
          <w:rFonts w:hint="eastAsia" w:ascii="宋体" w:hAnsi="宋体"/>
          <w:i w:val="0"/>
          <w:color w:val="auto"/>
          <w:kern w:val="0"/>
          <w:sz w:val="24"/>
          <w:szCs w:val="24"/>
          <w:highlight w:val="none"/>
        </w:rPr>
        <w:t>误期赔偿</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_Toc491277397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"_Toc491277398"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4.6  </w:t>
      </w:r>
      <w:r>
        <w:rPr>
          <w:rStyle w:val="33"/>
          <w:rFonts w:hint="eastAsia" w:ascii="宋体" w:hAnsi="宋体"/>
          <w:i w:val="0"/>
          <w:color w:val="auto"/>
          <w:kern w:val="0"/>
          <w:sz w:val="24"/>
          <w:szCs w:val="24"/>
          <w:highlight w:val="none"/>
        </w:rPr>
        <w:t>暂停</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_Toc491277398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"_Toc491277399"</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5</w:t>
      </w:r>
      <w:r>
        <w:rPr>
          <w:rStyle w:val="33"/>
          <w:rFonts w:hint="eastAsia" w:ascii="宋体" w:hAnsi="宋体"/>
          <w:color w:val="auto"/>
          <w:sz w:val="24"/>
          <w:szCs w:val="24"/>
          <w:highlight w:val="none"/>
        </w:rPr>
        <w:t>条技术与设计</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_Toc491277399 \h </w:instrText>
      </w:r>
      <w:r>
        <w:rPr>
          <w:rFonts w:ascii="宋体" w:hAnsi="宋体"/>
          <w:color w:val="auto"/>
          <w:sz w:val="24"/>
          <w:szCs w:val="24"/>
          <w:highlight w:val="none"/>
        </w:rPr>
        <w:fldChar w:fldCharType="separate"/>
      </w:r>
      <w:r>
        <w:rPr>
          <w:rFonts w:ascii="宋体" w:hAnsi="宋体"/>
          <w:color w:val="auto"/>
          <w:sz w:val="24"/>
          <w:szCs w:val="24"/>
          <w:highlight w:val="none"/>
        </w:rPr>
        <w:t>127</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"_Toc491277400"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5.1  </w:t>
      </w:r>
      <w:r>
        <w:rPr>
          <w:rStyle w:val="33"/>
          <w:rFonts w:hint="eastAsia" w:ascii="宋体" w:hAnsi="宋体"/>
          <w:i w:val="0"/>
          <w:color w:val="auto"/>
          <w:kern w:val="0"/>
          <w:sz w:val="24"/>
          <w:szCs w:val="24"/>
          <w:highlight w:val="none"/>
        </w:rPr>
        <w:t>生产工艺技术、建筑设计方案</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_Toc491277400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"_Toc491277401"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5.2</w:t>
      </w:r>
      <w:r>
        <w:rPr>
          <w:rStyle w:val="33"/>
          <w:rFonts w:hint="eastAsia" w:ascii="宋体" w:hAnsi="宋体"/>
          <w:i w:val="0"/>
          <w:color w:val="auto"/>
          <w:kern w:val="0"/>
          <w:sz w:val="24"/>
          <w:szCs w:val="24"/>
          <w:highlight w:val="none"/>
        </w:rPr>
        <w:t>设计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_Toc491277401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127</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"_Toc491277402"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5.3  </w:t>
      </w:r>
      <w:r>
        <w:rPr>
          <w:rStyle w:val="33"/>
          <w:rFonts w:hint="eastAsia" w:ascii="宋体" w:hAnsi="宋体"/>
          <w:i w:val="0"/>
          <w:color w:val="auto"/>
          <w:kern w:val="0"/>
          <w:sz w:val="24"/>
          <w:szCs w:val="24"/>
          <w:highlight w:val="none"/>
        </w:rPr>
        <w:t>设计阶段审查</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_Toc491277402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"_Toc491277403"</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6</w:t>
      </w:r>
      <w:r>
        <w:rPr>
          <w:rStyle w:val="33"/>
          <w:rFonts w:hint="eastAsia" w:ascii="宋体" w:hAnsi="宋体"/>
          <w:color w:val="auto"/>
          <w:sz w:val="24"/>
          <w:szCs w:val="24"/>
          <w:highlight w:val="none"/>
        </w:rPr>
        <w:t>条工程物资</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_Toc491277403 \h </w:instrText>
      </w:r>
      <w:r>
        <w:rPr>
          <w:rFonts w:ascii="宋体" w:hAnsi="宋体"/>
          <w:color w:val="auto"/>
          <w:sz w:val="24"/>
          <w:szCs w:val="24"/>
          <w:highlight w:val="none"/>
        </w:rPr>
        <w:fldChar w:fldCharType="separate"/>
      </w:r>
      <w:r>
        <w:rPr>
          <w:rFonts w:ascii="宋体" w:hAnsi="宋体"/>
          <w:color w:val="auto"/>
          <w:sz w:val="24"/>
          <w:szCs w:val="24"/>
          <w:highlight w:val="none"/>
        </w:rPr>
        <w:t>128</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"_Toc491277404"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6.1  </w:t>
      </w:r>
      <w:r>
        <w:rPr>
          <w:rStyle w:val="33"/>
          <w:rFonts w:hint="eastAsia" w:ascii="宋体" w:hAnsi="宋体"/>
          <w:i w:val="0"/>
          <w:color w:val="auto"/>
          <w:kern w:val="0"/>
          <w:sz w:val="24"/>
          <w:szCs w:val="24"/>
          <w:highlight w:val="none"/>
        </w:rPr>
        <w:t>工程物资的提供</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_Toc491277404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"_Toc491277405"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6.2  </w:t>
      </w:r>
      <w:r>
        <w:rPr>
          <w:rStyle w:val="33"/>
          <w:rFonts w:hint="eastAsia" w:ascii="宋体" w:hAnsi="宋体"/>
          <w:i w:val="0"/>
          <w:color w:val="auto"/>
          <w:kern w:val="0"/>
          <w:sz w:val="24"/>
          <w:szCs w:val="24"/>
          <w:highlight w:val="none"/>
        </w:rPr>
        <w:t>检验</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_Toc491277405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"_Toc491277406"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6.3  </w:t>
      </w:r>
      <w:r>
        <w:rPr>
          <w:rStyle w:val="33"/>
          <w:rFonts w:hint="eastAsia" w:ascii="宋体" w:hAnsi="宋体"/>
          <w:i w:val="0"/>
          <w:color w:val="auto"/>
          <w:kern w:val="0"/>
          <w:sz w:val="24"/>
          <w:szCs w:val="24"/>
          <w:highlight w:val="none"/>
        </w:rPr>
        <w:t>进口工程物资的采购、</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_Toc491277406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"_Toc491277407"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6.6  </w:t>
      </w:r>
      <w:r>
        <w:rPr>
          <w:rStyle w:val="33"/>
          <w:rFonts w:hint="eastAsia" w:ascii="宋体" w:hAnsi="宋体"/>
          <w:i w:val="0"/>
          <w:color w:val="auto"/>
          <w:kern w:val="0"/>
          <w:sz w:val="24"/>
          <w:szCs w:val="24"/>
          <w:highlight w:val="none"/>
        </w:rPr>
        <w:t>工程物资保管与剩余</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_Toc491277407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"_Toc491277408"</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7</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施工</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_Toc491277408 \h </w:instrText>
      </w:r>
      <w:r>
        <w:rPr>
          <w:rFonts w:ascii="宋体" w:hAnsi="宋体"/>
          <w:color w:val="auto"/>
          <w:sz w:val="24"/>
          <w:szCs w:val="24"/>
          <w:highlight w:val="none"/>
        </w:rPr>
        <w:fldChar w:fldCharType="separate"/>
      </w:r>
      <w:r>
        <w:rPr>
          <w:rFonts w:ascii="宋体" w:hAnsi="宋体"/>
          <w:color w:val="auto"/>
          <w:sz w:val="24"/>
          <w:szCs w:val="24"/>
          <w:highlight w:val="none"/>
        </w:rPr>
        <w:t>129</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"_Toc491277409"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7.1  </w:t>
      </w:r>
      <w:r>
        <w:rPr>
          <w:rStyle w:val="33"/>
          <w:rFonts w:hint="eastAsia" w:ascii="宋体" w:hAnsi="宋体"/>
          <w:i w:val="0"/>
          <w:color w:val="auto"/>
          <w:kern w:val="0"/>
          <w:sz w:val="24"/>
          <w:szCs w:val="24"/>
          <w:highlight w:val="none"/>
        </w:rPr>
        <w:t>发包人的义务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_Toc491277409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"_Toc491277410"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7.2  </w:t>
      </w:r>
      <w:r>
        <w:rPr>
          <w:rStyle w:val="33"/>
          <w:rFonts w:hint="eastAsia" w:ascii="宋体" w:hAnsi="宋体"/>
          <w:i w:val="0"/>
          <w:color w:val="auto"/>
          <w:kern w:val="0"/>
          <w:sz w:val="24"/>
          <w:szCs w:val="24"/>
          <w:highlight w:val="none"/>
        </w:rPr>
        <w:t>承包人的义务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_Toc491277410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129</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"_Toc491277411"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7.4 </w:t>
      </w:r>
      <w:r>
        <w:rPr>
          <w:rStyle w:val="33"/>
          <w:rFonts w:hint="eastAsia" w:ascii="宋体" w:hAnsi="宋体"/>
          <w:i w:val="0"/>
          <w:color w:val="auto"/>
          <w:kern w:val="0"/>
          <w:sz w:val="24"/>
          <w:szCs w:val="24"/>
          <w:highlight w:val="none"/>
        </w:rPr>
        <w:t>人力和机具资源</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_Toc491277411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"_Toc491277412"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7.5  </w:t>
      </w:r>
      <w:r>
        <w:rPr>
          <w:rStyle w:val="33"/>
          <w:rFonts w:hint="eastAsia" w:ascii="宋体" w:hAnsi="宋体"/>
          <w:i w:val="0"/>
          <w:color w:val="auto"/>
          <w:kern w:val="0"/>
          <w:sz w:val="24"/>
          <w:szCs w:val="24"/>
          <w:highlight w:val="none"/>
        </w:rPr>
        <w:t>质量与检验</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_Toc491277412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"_Toc491277413"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7.6  </w:t>
      </w:r>
      <w:r>
        <w:rPr>
          <w:rStyle w:val="33"/>
          <w:rFonts w:hint="eastAsia" w:ascii="宋体" w:hAnsi="宋体"/>
          <w:i w:val="0"/>
          <w:color w:val="auto"/>
          <w:kern w:val="0"/>
          <w:sz w:val="24"/>
          <w:szCs w:val="24"/>
          <w:highlight w:val="none"/>
        </w:rPr>
        <w:t>隐蔽工程和中间验收</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_Toc491277413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130</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"_Toc491277414"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7.8  </w:t>
      </w:r>
      <w:r>
        <w:rPr>
          <w:rStyle w:val="33"/>
          <w:rFonts w:hint="eastAsia" w:ascii="宋体" w:hAnsi="宋体"/>
          <w:i w:val="0"/>
          <w:color w:val="auto"/>
          <w:kern w:val="0"/>
          <w:sz w:val="24"/>
          <w:szCs w:val="24"/>
          <w:highlight w:val="none"/>
        </w:rPr>
        <w:t>职业健康、安全、环境保护</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_Toc491277414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"_Toc491277415"</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8</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竣工试验</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_Toc491277415 \h </w:instrText>
      </w:r>
      <w:r>
        <w:rPr>
          <w:rFonts w:ascii="宋体" w:hAnsi="宋体"/>
          <w:color w:val="auto"/>
          <w:sz w:val="24"/>
          <w:szCs w:val="24"/>
          <w:highlight w:val="none"/>
        </w:rPr>
        <w:fldChar w:fldCharType="separate"/>
      </w:r>
      <w:r>
        <w:rPr>
          <w:rFonts w:ascii="宋体" w:hAnsi="宋体"/>
          <w:color w:val="auto"/>
          <w:sz w:val="24"/>
          <w:szCs w:val="24"/>
          <w:highlight w:val="none"/>
        </w:rPr>
        <w:t>131</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"_Toc491277416"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8.1  </w:t>
      </w:r>
      <w:r>
        <w:rPr>
          <w:rStyle w:val="33"/>
          <w:rFonts w:hint="eastAsia" w:ascii="宋体" w:hAnsi="宋体"/>
          <w:i w:val="0"/>
          <w:color w:val="auto"/>
          <w:kern w:val="0"/>
          <w:sz w:val="24"/>
          <w:szCs w:val="24"/>
          <w:highlight w:val="none"/>
        </w:rPr>
        <w:t>竣工试验的义务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_Toc491277416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"_Toc491277417"</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9</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工程接收</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_Toc491277417 \h </w:instrText>
      </w:r>
      <w:r>
        <w:rPr>
          <w:rFonts w:ascii="宋体" w:hAnsi="宋体"/>
          <w:color w:val="auto"/>
          <w:sz w:val="24"/>
          <w:szCs w:val="24"/>
          <w:highlight w:val="none"/>
        </w:rPr>
        <w:fldChar w:fldCharType="separate"/>
      </w:r>
      <w:r>
        <w:rPr>
          <w:rFonts w:ascii="宋体" w:hAnsi="宋体"/>
          <w:color w:val="auto"/>
          <w:sz w:val="24"/>
          <w:szCs w:val="24"/>
          <w:highlight w:val="none"/>
        </w:rPr>
        <w:t>131</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"_Toc491277418"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9.1  </w:t>
      </w:r>
      <w:r>
        <w:rPr>
          <w:rStyle w:val="33"/>
          <w:rFonts w:hint="eastAsia" w:ascii="宋体" w:hAnsi="宋体"/>
          <w:i w:val="0"/>
          <w:color w:val="auto"/>
          <w:kern w:val="0"/>
          <w:sz w:val="24"/>
          <w:szCs w:val="24"/>
          <w:highlight w:val="none"/>
        </w:rPr>
        <w:t>工程接收</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_Toc491277418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131</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"_Toc491277419"</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10</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竣工后试验</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_Toc491277419 \h </w:instrText>
      </w:r>
      <w:r>
        <w:rPr>
          <w:rFonts w:ascii="宋体" w:hAnsi="宋体"/>
          <w:color w:val="auto"/>
          <w:sz w:val="24"/>
          <w:szCs w:val="24"/>
          <w:highlight w:val="none"/>
        </w:rPr>
        <w:fldChar w:fldCharType="separate"/>
      </w:r>
      <w:r>
        <w:rPr>
          <w:rFonts w:ascii="宋体" w:hAnsi="宋体"/>
          <w:color w:val="auto"/>
          <w:sz w:val="24"/>
          <w:szCs w:val="24"/>
          <w:highlight w:val="none"/>
        </w:rPr>
        <w:t>132</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"_Toc491277420"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10.1  </w:t>
      </w:r>
      <w:r>
        <w:rPr>
          <w:rStyle w:val="33"/>
          <w:rFonts w:hint="eastAsia" w:ascii="宋体" w:hAnsi="宋体"/>
          <w:i w:val="0"/>
          <w:color w:val="auto"/>
          <w:kern w:val="0"/>
          <w:sz w:val="24"/>
          <w:szCs w:val="24"/>
          <w:highlight w:val="none"/>
        </w:rPr>
        <w:t>权利和义务</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_Toc491277420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"_Toc491277421"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10.2  </w:t>
      </w:r>
      <w:r>
        <w:rPr>
          <w:rStyle w:val="33"/>
          <w:rFonts w:hint="eastAsia" w:ascii="宋体" w:hAnsi="宋体"/>
          <w:i w:val="0"/>
          <w:color w:val="auto"/>
          <w:kern w:val="0"/>
          <w:sz w:val="24"/>
          <w:szCs w:val="24"/>
          <w:highlight w:val="none"/>
        </w:rPr>
        <w:t>竣工后试验程序</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_Toc491277421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"_Toc491277422"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10.3  </w:t>
      </w:r>
      <w:r>
        <w:rPr>
          <w:rStyle w:val="33"/>
          <w:rFonts w:hint="eastAsia" w:ascii="宋体" w:hAnsi="宋体"/>
          <w:i w:val="0"/>
          <w:color w:val="auto"/>
          <w:kern w:val="0"/>
          <w:sz w:val="24"/>
          <w:szCs w:val="24"/>
          <w:highlight w:val="none"/>
        </w:rPr>
        <w:t>竣工后试验及试运行考核</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_Toc491277422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"_Toc491277423"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10.6  </w:t>
      </w:r>
      <w:r>
        <w:rPr>
          <w:rStyle w:val="33"/>
          <w:rFonts w:hint="eastAsia" w:ascii="宋体" w:hAnsi="宋体"/>
          <w:i w:val="0"/>
          <w:color w:val="auto"/>
          <w:kern w:val="0"/>
          <w:sz w:val="24"/>
          <w:szCs w:val="24"/>
          <w:highlight w:val="none"/>
        </w:rPr>
        <w:t>未能通过考核</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_Toc491277423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132</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"_Toc491277424"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10.7  </w:t>
      </w:r>
      <w:r>
        <w:rPr>
          <w:rStyle w:val="33"/>
          <w:rFonts w:hint="eastAsia" w:ascii="宋体" w:hAnsi="宋体"/>
          <w:i w:val="0"/>
          <w:color w:val="auto"/>
          <w:kern w:val="0"/>
          <w:sz w:val="24"/>
          <w:szCs w:val="24"/>
          <w:highlight w:val="none"/>
        </w:rPr>
        <w:t>考核验收证书</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_Toc491277424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"_Toc491277425"</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11</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质量保修责任</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_Toc491277425 \h </w:instrText>
      </w:r>
      <w:r>
        <w:rPr>
          <w:rFonts w:ascii="宋体" w:hAnsi="宋体"/>
          <w:color w:val="auto"/>
          <w:sz w:val="24"/>
          <w:szCs w:val="24"/>
          <w:highlight w:val="none"/>
        </w:rPr>
        <w:fldChar w:fldCharType="separate"/>
      </w:r>
      <w:r>
        <w:rPr>
          <w:rFonts w:ascii="宋体" w:hAnsi="宋体"/>
          <w:color w:val="auto"/>
          <w:sz w:val="24"/>
          <w:szCs w:val="24"/>
          <w:highlight w:val="none"/>
        </w:rPr>
        <w:t>133</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"_Toc491277426"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11.2  </w:t>
      </w:r>
      <w:r>
        <w:rPr>
          <w:rStyle w:val="33"/>
          <w:rFonts w:hint="eastAsia" w:ascii="宋体" w:hAnsi="宋体"/>
          <w:i w:val="0"/>
          <w:color w:val="auto"/>
          <w:kern w:val="0"/>
          <w:sz w:val="24"/>
          <w:szCs w:val="24"/>
          <w:highlight w:val="none"/>
        </w:rPr>
        <w:t>缺陷责任保修金</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_Toc491277426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"_Toc491277427"</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12</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工程竣工验收</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_Toc491277427 \h </w:instrText>
      </w:r>
      <w:r>
        <w:rPr>
          <w:rFonts w:ascii="宋体" w:hAnsi="宋体"/>
          <w:color w:val="auto"/>
          <w:sz w:val="24"/>
          <w:szCs w:val="24"/>
          <w:highlight w:val="none"/>
        </w:rPr>
        <w:fldChar w:fldCharType="separate"/>
      </w:r>
      <w:r>
        <w:rPr>
          <w:rFonts w:ascii="宋体" w:hAnsi="宋体"/>
          <w:color w:val="auto"/>
          <w:sz w:val="24"/>
          <w:szCs w:val="24"/>
          <w:highlight w:val="none"/>
        </w:rPr>
        <w:t>133</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"_Toc491277428"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12.1  </w:t>
      </w:r>
      <w:r>
        <w:rPr>
          <w:rStyle w:val="33"/>
          <w:rFonts w:hint="eastAsia" w:ascii="宋体" w:hAnsi="宋体"/>
          <w:i w:val="0"/>
          <w:color w:val="auto"/>
          <w:kern w:val="0"/>
          <w:sz w:val="24"/>
          <w:szCs w:val="24"/>
          <w:highlight w:val="none"/>
        </w:rPr>
        <w:t>竣工资料及竣工验收报告</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_Toc491277428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"_Toc491277429"</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13</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变更和合同价格调整</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_Toc491277429 \h </w:instrText>
      </w:r>
      <w:r>
        <w:rPr>
          <w:rFonts w:ascii="宋体" w:hAnsi="宋体"/>
          <w:color w:val="auto"/>
          <w:sz w:val="24"/>
          <w:szCs w:val="24"/>
          <w:highlight w:val="none"/>
        </w:rPr>
        <w:fldChar w:fldCharType="separate"/>
      </w:r>
      <w:r>
        <w:rPr>
          <w:rFonts w:ascii="宋体" w:hAnsi="宋体"/>
          <w:color w:val="auto"/>
          <w:sz w:val="24"/>
          <w:szCs w:val="24"/>
          <w:highlight w:val="none"/>
        </w:rPr>
        <w:t>133</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"_Toc491277430"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13.2 </w:t>
      </w:r>
      <w:r>
        <w:rPr>
          <w:rStyle w:val="33"/>
          <w:rFonts w:hint="eastAsia" w:ascii="宋体" w:hAnsi="宋体"/>
          <w:i w:val="0"/>
          <w:color w:val="auto"/>
          <w:kern w:val="0"/>
          <w:sz w:val="24"/>
          <w:szCs w:val="24"/>
          <w:highlight w:val="none"/>
        </w:rPr>
        <w:t>变更范围</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_Toc491277430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133</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"_Toc491277431"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13.5  </w:t>
      </w:r>
      <w:r>
        <w:rPr>
          <w:rStyle w:val="33"/>
          <w:rFonts w:hint="eastAsia" w:ascii="宋体" w:hAnsi="宋体"/>
          <w:i w:val="0"/>
          <w:color w:val="auto"/>
          <w:kern w:val="0"/>
          <w:sz w:val="24"/>
          <w:szCs w:val="24"/>
          <w:highlight w:val="none"/>
        </w:rPr>
        <w:t>变更价款确定</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_Toc491277431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"_Toc491277432"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13.6  </w:t>
      </w:r>
      <w:r>
        <w:rPr>
          <w:rStyle w:val="33"/>
          <w:rFonts w:hint="eastAsia" w:ascii="宋体" w:hAnsi="宋体"/>
          <w:i w:val="0"/>
          <w:color w:val="auto"/>
          <w:kern w:val="0"/>
          <w:sz w:val="24"/>
          <w:szCs w:val="24"/>
          <w:highlight w:val="none"/>
        </w:rPr>
        <w:t>建议变更的利益分享</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_Toc491277432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"_Toc491277433"</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13.7  </w:t>
      </w:r>
      <w:r>
        <w:rPr>
          <w:rStyle w:val="33"/>
          <w:rFonts w:hint="eastAsia" w:ascii="宋体" w:hAnsi="宋体"/>
          <w:i w:val="0"/>
          <w:color w:val="auto"/>
          <w:kern w:val="0"/>
          <w:sz w:val="24"/>
          <w:szCs w:val="24"/>
          <w:highlight w:val="none"/>
        </w:rPr>
        <w:t>合同价格调整</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_Toc491277433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"_Toc491277434"</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14</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合同总价和付款</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_Toc491277434 \h </w:instrText>
      </w:r>
      <w:r>
        <w:rPr>
          <w:rFonts w:ascii="宋体" w:hAnsi="宋体"/>
          <w:color w:val="auto"/>
          <w:sz w:val="24"/>
          <w:szCs w:val="24"/>
          <w:highlight w:val="none"/>
        </w:rPr>
        <w:fldChar w:fldCharType="separate"/>
      </w:r>
      <w:r>
        <w:rPr>
          <w:rFonts w:ascii="宋体" w:hAnsi="宋体"/>
          <w:color w:val="auto"/>
          <w:sz w:val="24"/>
          <w:szCs w:val="24"/>
          <w:highlight w:val="none"/>
        </w:rPr>
        <w:t>134</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"_Toc491277435"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14.1  </w:t>
      </w:r>
      <w:r>
        <w:rPr>
          <w:rStyle w:val="33"/>
          <w:rFonts w:hint="eastAsia" w:ascii="宋体" w:hAnsi="宋体"/>
          <w:i w:val="0"/>
          <w:color w:val="auto"/>
          <w:kern w:val="0"/>
          <w:sz w:val="24"/>
          <w:szCs w:val="24"/>
          <w:highlight w:val="none"/>
        </w:rPr>
        <w:t>合同总价和付款</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_Toc491277435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134</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"_Toc491277436"</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14.2  </w:t>
      </w:r>
      <w:r>
        <w:rPr>
          <w:rStyle w:val="33"/>
          <w:rFonts w:hint="eastAsia" w:ascii="宋体" w:hAnsi="宋体"/>
          <w:i w:val="0"/>
          <w:color w:val="auto"/>
          <w:kern w:val="0"/>
          <w:sz w:val="24"/>
          <w:szCs w:val="24"/>
          <w:highlight w:val="none"/>
        </w:rPr>
        <w:t>担保</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_Toc491277436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"_Toc491277437"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14.3  </w:t>
      </w:r>
      <w:r>
        <w:rPr>
          <w:rStyle w:val="33"/>
          <w:rFonts w:hint="eastAsia" w:ascii="宋体" w:hAnsi="宋体"/>
          <w:i w:val="0"/>
          <w:color w:val="auto"/>
          <w:kern w:val="0"/>
          <w:sz w:val="24"/>
          <w:szCs w:val="24"/>
          <w:highlight w:val="none"/>
        </w:rPr>
        <w:t>预付款</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_Toc491277437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"_Toc491277438"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14.4  </w:t>
      </w:r>
      <w:r>
        <w:rPr>
          <w:rStyle w:val="33"/>
          <w:rFonts w:hint="eastAsia" w:ascii="宋体" w:hAnsi="宋体"/>
          <w:i w:val="0"/>
          <w:color w:val="auto"/>
          <w:kern w:val="0"/>
          <w:sz w:val="24"/>
          <w:szCs w:val="24"/>
          <w:highlight w:val="none"/>
        </w:rPr>
        <w:t>工程进度款</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_Toc491277438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hint="default" w:ascii="宋体" w:hAnsi="宋体" w:eastAsia="宋体"/>
          <w:i w:val="0"/>
          <w:iCs w:val="0"/>
          <w:color w:val="auto"/>
          <w:sz w:val="24"/>
          <w:szCs w:val="24"/>
          <w:highlight w:val="none"/>
          <w:lang w:val="en-US" w:eastAsia="zh-CN"/>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"_Toc491277439"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14.5  </w:t>
      </w:r>
      <w:r>
        <w:rPr>
          <w:rStyle w:val="33"/>
          <w:rFonts w:hint="eastAsia" w:ascii="宋体" w:hAnsi="宋体"/>
          <w:i w:val="0"/>
          <w:color w:val="auto"/>
          <w:kern w:val="0"/>
          <w:sz w:val="24"/>
          <w:szCs w:val="24"/>
          <w:highlight w:val="none"/>
        </w:rPr>
        <w:t>缺陷责任保修金的暂扣与支付</w:t>
      </w:r>
      <w:r>
        <w:rPr>
          <w:rFonts w:ascii="宋体" w:hAnsi="宋体"/>
          <w:i w:val="0"/>
          <w:color w:val="auto"/>
          <w:sz w:val="24"/>
          <w:szCs w:val="24"/>
          <w:highlight w:val="none"/>
        </w:rPr>
        <w:tab/>
      </w:r>
      <w:r>
        <w:rPr>
          <w:rFonts w:hint="eastAsia" w:ascii="宋体" w:hAnsi="宋体"/>
          <w:i w:val="0"/>
          <w:color w:val="auto"/>
          <w:sz w:val="24"/>
          <w:szCs w:val="24"/>
          <w:highlight w:val="none"/>
          <w:lang w:val="en-US" w:eastAsia="zh-CN"/>
        </w:rPr>
        <w:t>1</w:t>
      </w:r>
      <w:r>
        <w:rPr>
          <w:rFonts w:ascii="宋体" w:hAnsi="宋体"/>
          <w:i w:val="0"/>
          <w:color w:val="auto"/>
          <w:sz w:val="24"/>
          <w:szCs w:val="24"/>
          <w:highlight w:val="none"/>
        </w:rPr>
        <w:fldChar w:fldCharType="end"/>
      </w:r>
      <w:r>
        <w:rPr>
          <w:rFonts w:hint="eastAsia" w:ascii="宋体" w:hAnsi="宋体"/>
          <w:i w:val="0"/>
          <w:color w:val="auto"/>
          <w:sz w:val="24"/>
          <w:szCs w:val="24"/>
          <w:highlight w:val="none"/>
          <w:lang w:val="en-US" w:eastAsia="zh-CN"/>
        </w:rPr>
        <w:t>45</w:t>
      </w:r>
    </w:p>
    <w:p>
      <w:pPr>
        <w:pStyle w:val="10"/>
        <w:tabs>
          <w:tab w:val="right" w:leader="dot" w:pos="9629"/>
        </w:tabs>
        <w:spacing w:line="420" w:lineRule="exact"/>
        <w:rPr>
          <w:rFonts w:hint="default" w:ascii="宋体" w:hAnsi="宋体" w:eastAsia="宋体"/>
          <w:i w:val="0"/>
          <w:iCs w:val="0"/>
          <w:color w:val="auto"/>
          <w:sz w:val="24"/>
          <w:szCs w:val="24"/>
          <w:highlight w:val="none"/>
          <w:lang w:val="en-US" w:eastAsia="zh-CN"/>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"_Toc491277440"</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14.6  </w:t>
      </w:r>
      <w:r>
        <w:rPr>
          <w:rStyle w:val="33"/>
          <w:rFonts w:hint="eastAsia" w:ascii="宋体" w:hAnsi="宋体"/>
          <w:i w:val="0"/>
          <w:color w:val="auto"/>
          <w:kern w:val="0"/>
          <w:sz w:val="24"/>
          <w:szCs w:val="24"/>
          <w:highlight w:val="none"/>
        </w:rPr>
        <w:t>按月工程进度申请付款</w:t>
      </w:r>
      <w:r>
        <w:rPr>
          <w:rFonts w:ascii="宋体" w:hAnsi="宋体"/>
          <w:i w:val="0"/>
          <w:color w:val="auto"/>
          <w:sz w:val="24"/>
          <w:szCs w:val="24"/>
          <w:highlight w:val="none"/>
        </w:rPr>
        <w:tab/>
      </w:r>
      <w:r>
        <w:rPr>
          <w:rFonts w:hint="eastAsia" w:ascii="宋体" w:hAnsi="宋体"/>
          <w:i w:val="0"/>
          <w:color w:val="auto"/>
          <w:sz w:val="24"/>
          <w:szCs w:val="24"/>
          <w:highlight w:val="none"/>
          <w:lang w:val="en-US" w:eastAsia="zh-CN"/>
        </w:rPr>
        <w:t>1</w:t>
      </w:r>
      <w:r>
        <w:rPr>
          <w:rFonts w:ascii="宋体" w:hAnsi="宋体"/>
          <w:i w:val="0"/>
          <w:color w:val="auto"/>
          <w:sz w:val="24"/>
          <w:szCs w:val="24"/>
          <w:highlight w:val="none"/>
        </w:rPr>
        <w:fldChar w:fldCharType="end"/>
      </w:r>
      <w:r>
        <w:rPr>
          <w:rFonts w:hint="eastAsia" w:ascii="宋体" w:hAnsi="宋体"/>
          <w:i w:val="0"/>
          <w:color w:val="auto"/>
          <w:sz w:val="24"/>
          <w:szCs w:val="24"/>
          <w:highlight w:val="none"/>
          <w:lang w:val="en-US" w:eastAsia="zh-CN"/>
        </w:rPr>
        <w:t>45</w:t>
      </w:r>
    </w:p>
    <w:p>
      <w:pPr>
        <w:pStyle w:val="10"/>
        <w:tabs>
          <w:tab w:val="right" w:leader="dot" w:pos="9629"/>
        </w:tabs>
        <w:spacing w:line="420" w:lineRule="exact"/>
        <w:rPr>
          <w:rFonts w:hint="default" w:ascii="宋体" w:hAnsi="宋体" w:eastAsia="宋体"/>
          <w:i w:val="0"/>
          <w:iCs w:val="0"/>
          <w:color w:val="auto"/>
          <w:sz w:val="24"/>
          <w:szCs w:val="24"/>
          <w:highlight w:val="none"/>
          <w:lang w:val="en-US" w:eastAsia="zh-CN"/>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"_Toc491277441"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14.7  </w:t>
      </w:r>
      <w:r>
        <w:rPr>
          <w:rStyle w:val="33"/>
          <w:rFonts w:hint="eastAsia" w:ascii="宋体" w:hAnsi="宋体"/>
          <w:i w:val="0"/>
          <w:color w:val="auto"/>
          <w:kern w:val="0"/>
          <w:sz w:val="24"/>
          <w:szCs w:val="24"/>
          <w:highlight w:val="none"/>
        </w:rPr>
        <w:t>按付款计划表申请付款</w:t>
      </w:r>
      <w:r>
        <w:rPr>
          <w:rFonts w:ascii="宋体" w:hAnsi="宋体"/>
          <w:i w:val="0"/>
          <w:color w:val="auto"/>
          <w:sz w:val="24"/>
          <w:szCs w:val="24"/>
          <w:highlight w:val="none"/>
        </w:rPr>
        <w:tab/>
      </w:r>
      <w:r>
        <w:rPr>
          <w:rFonts w:hint="eastAsia" w:ascii="宋体" w:hAnsi="宋体"/>
          <w:i w:val="0"/>
          <w:color w:val="auto"/>
          <w:sz w:val="24"/>
          <w:szCs w:val="24"/>
          <w:highlight w:val="none"/>
          <w:lang w:val="en-US" w:eastAsia="zh-CN"/>
        </w:rPr>
        <w:t>1</w:t>
      </w:r>
      <w:r>
        <w:rPr>
          <w:rFonts w:ascii="宋体" w:hAnsi="宋体"/>
          <w:i w:val="0"/>
          <w:color w:val="auto"/>
          <w:sz w:val="24"/>
          <w:szCs w:val="24"/>
          <w:highlight w:val="none"/>
        </w:rPr>
        <w:fldChar w:fldCharType="end"/>
      </w:r>
      <w:r>
        <w:rPr>
          <w:rFonts w:hint="eastAsia" w:ascii="宋体" w:hAnsi="宋体"/>
          <w:i w:val="0"/>
          <w:color w:val="auto"/>
          <w:sz w:val="24"/>
          <w:szCs w:val="24"/>
          <w:highlight w:val="none"/>
          <w:lang w:val="en-US" w:eastAsia="zh-CN"/>
        </w:rPr>
        <w:t>45</w:t>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"_Toc491277442"</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14.12  </w:t>
      </w:r>
      <w:r>
        <w:rPr>
          <w:rStyle w:val="33"/>
          <w:rFonts w:hint="eastAsia" w:ascii="宋体" w:hAnsi="宋体"/>
          <w:i w:val="0"/>
          <w:color w:val="auto"/>
          <w:kern w:val="0"/>
          <w:sz w:val="24"/>
          <w:szCs w:val="24"/>
          <w:highlight w:val="none"/>
        </w:rPr>
        <w:t>竣工结算</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_Toc491277442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135</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"_Toc491277443"</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15</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保险</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_Toc491277443 \h </w:instrText>
      </w:r>
      <w:r>
        <w:rPr>
          <w:rFonts w:ascii="宋体" w:hAnsi="宋体"/>
          <w:color w:val="auto"/>
          <w:sz w:val="24"/>
          <w:szCs w:val="24"/>
          <w:highlight w:val="none"/>
        </w:rPr>
        <w:fldChar w:fldCharType="separate"/>
      </w:r>
      <w:r>
        <w:rPr>
          <w:rFonts w:ascii="宋体" w:hAnsi="宋体"/>
          <w:color w:val="auto"/>
          <w:sz w:val="24"/>
          <w:szCs w:val="24"/>
          <w:highlight w:val="none"/>
        </w:rPr>
        <w:t>136</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"_Toc491277444"</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15.1  </w:t>
      </w:r>
      <w:r>
        <w:rPr>
          <w:rStyle w:val="33"/>
          <w:rFonts w:hint="eastAsia" w:ascii="宋体" w:hAnsi="宋体"/>
          <w:i w:val="0"/>
          <w:color w:val="auto"/>
          <w:kern w:val="0"/>
          <w:sz w:val="24"/>
          <w:szCs w:val="24"/>
          <w:highlight w:val="none"/>
        </w:rPr>
        <w:t>承包人的投保</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_Toc491277444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"_Toc491277445"</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15.2  </w:t>
      </w:r>
      <w:r>
        <w:rPr>
          <w:rStyle w:val="33"/>
          <w:rFonts w:hint="eastAsia" w:ascii="宋体" w:hAnsi="宋体"/>
          <w:i w:val="0"/>
          <w:color w:val="auto"/>
          <w:kern w:val="0"/>
          <w:sz w:val="24"/>
          <w:szCs w:val="24"/>
          <w:highlight w:val="none"/>
        </w:rPr>
        <w:t>一切险和第三方责任</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_Toc491277445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"_Toc491277446"</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16</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违约、索赔和裁决</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_Toc491277446 \h </w:instrText>
      </w:r>
      <w:r>
        <w:rPr>
          <w:rFonts w:ascii="宋体" w:hAnsi="宋体"/>
          <w:color w:val="auto"/>
          <w:sz w:val="24"/>
          <w:szCs w:val="24"/>
          <w:highlight w:val="none"/>
        </w:rPr>
        <w:fldChar w:fldCharType="separate"/>
      </w:r>
      <w:r>
        <w:rPr>
          <w:rFonts w:ascii="宋体" w:hAnsi="宋体"/>
          <w:color w:val="auto"/>
          <w:sz w:val="24"/>
          <w:szCs w:val="24"/>
          <w:highlight w:val="none"/>
        </w:rPr>
        <w:t>136</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"_Toc491277447"</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16.1  </w:t>
      </w:r>
      <w:r>
        <w:rPr>
          <w:rStyle w:val="33"/>
          <w:rFonts w:hint="eastAsia" w:ascii="宋体" w:hAnsi="宋体"/>
          <w:i w:val="0"/>
          <w:color w:val="auto"/>
          <w:kern w:val="0"/>
          <w:sz w:val="24"/>
          <w:szCs w:val="24"/>
          <w:highlight w:val="none"/>
        </w:rPr>
        <w:t>违约责任</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_Toc491277447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136</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"_Toc491277448"</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16.2  </w:t>
      </w:r>
      <w:r>
        <w:rPr>
          <w:rStyle w:val="33"/>
          <w:rFonts w:hint="eastAsia" w:ascii="宋体" w:hAnsi="宋体"/>
          <w:i w:val="0"/>
          <w:color w:val="auto"/>
          <w:kern w:val="0"/>
          <w:sz w:val="24"/>
          <w:szCs w:val="24"/>
          <w:highlight w:val="none"/>
        </w:rPr>
        <w:t>索赔</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_Toc491277448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"_Toc491277449"</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16.3  </w:t>
      </w:r>
      <w:r>
        <w:rPr>
          <w:rStyle w:val="33"/>
          <w:rFonts w:hint="eastAsia" w:ascii="宋体" w:hAnsi="宋体"/>
          <w:i w:val="0"/>
          <w:color w:val="auto"/>
          <w:kern w:val="0"/>
          <w:sz w:val="24"/>
          <w:szCs w:val="24"/>
          <w:highlight w:val="none"/>
        </w:rPr>
        <w:t>争议和裁决</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_Toc491277449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"_Toc491277450"</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19</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合同生效与合同终止</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_Toc491277450 \h </w:instrText>
      </w:r>
      <w:r>
        <w:rPr>
          <w:rFonts w:ascii="宋体" w:hAnsi="宋体"/>
          <w:color w:val="auto"/>
          <w:sz w:val="24"/>
          <w:szCs w:val="24"/>
          <w:highlight w:val="none"/>
        </w:rPr>
        <w:fldChar w:fldCharType="separate"/>
      </w:r>
      <w:r>
        <w:rPr>
          <w:rFonts w:ascii="宋体" w:hAnsi="宋体"/>
          <w:color w:val="auto"/>
          <w:sz w:val="24"/>
          <w:szCs w:val="24"/>
          <w:highlight w:val="none"/>
        </w:rPr>
        <w:t>138</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0"/>
        <w:tabs>
          <w:tab w:val="right" w:leader="dot" w:pos="9629"/>
        </w:tabs>
        <w:spacing w:line="420" w:lineRule="exact"/>
        <w:rPr>
          <w:rFonts w:ascii="宋体" w:hAnsi="宋体"/>
          <w:i w:val="0"/>
          <w:iCs w:val="0"/>
          <w:color w:val="auto"/>
          <w:sz w:val="24"/>
          <w:szCs w:val="24"/>
          <w:highlight w:val="none"/>
        </w:rPr>
      </w:pPr>
      <w:r>
        <w:rPr>
          <w:rFonts w:ascii="宋体" w:hAnsi="宋体"/>
          <w:i w:val="0"/>
          <w:color w:val="auto"/>
          <w:sz w:val="24"/>
          <w:szCs w:val="24"/>
          <w:highlight w:val="none"/>
        </w:rPr>
        <w:fldChar w:fldCharType="begin"/>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instrText xml:space="preserve">HYPERLINK \l "_Toc491277451"</w:instrText>
      </w:r>
      <w:r>
        <w:rPr>
          <w:rStyle w:val="33"/>
          <w:rFonts w:ascii="宋体" w:hAnsi="宋体"/>
          <w:i w:val="0"/>
          <w:color w:val="auto"/>
          <w:sz w:val="24"/>
          <w:szCs w:val="24"/>
          <w:highlight w:val="none"/>
        </w:rPr>
        <w:instrText xml:space="preserve"> </w:instrText>
      </w:r>
      <w:r>
        <w:rPr>
          <w:rFonts w:ascii="宋体" w:hAnsi="宋体"/>
          <w:i w:val="0"/>
          <w:color w:val="auto"/>
          <w:sz w:val="24"/>
          <w:szCs w:val="24"/>
          <w:highlight w:val="none"/>
        </w:rPr>
        <w:fldChar w:fldCharType="separate"/>
      </w:r>
      <w:r>
        <w:rPr>
          <w:rStyle w:val="33"/>
          <w:rFonts w:ascii="宋体" w:hAnsi="宋体"/>
          <w:i w:val="0"/>
          <w:color w:val="auto"/>
          <w:kern w:val="0"/>
          <w:sz w:val="24"/>
          <w:szCs w:val="24"/>
          <w:highlight w:val="none"/>
        </w:rPr>
        <w:t xml:space="preserve">19.2  </w:t>
      </w:r>
      <w:r>
        <w:rPr>
          <w:rStyle w:val="33"/>
          <w:rFonts w:hint="eastAsia" w:ascii="宋体" w:hAnsi="宋体"/>
          <w:i w:val="0"/>
          <w:color w:val="auto"/>
          <w:kern w:val="0"/>
          <w:sz w:val="24"/>
          <w:szCs w:val="24"/>
          <w:highlight w:val="none"/>
        </w:rPr>
        <w:t>合同份数</w:t>
      </w:r>
      <w:r>
        <w:rPr>
          <w:rFonts w:ascii="宋体" w:hAnsi="宋体"/>
          <w:i w:val="0"/>
          <w:color w:val="auto"/>
          <w:sz w:val="24"/>
          <w:szCs w:val="24"/>
          <w:highlight w:val="none"/>
        </w:rPr>
        <w:tab/>
      </w:r>
      <w:r>
        <w:rPr>
          <w:rFonts w:ascii="宋体" w:hAnsi="宋体"/>
          <w:i w:val="0"/>
          <w:color w:val="auto"/>
          <w:sz w:val="24"/>
          <w:szCs w:val="24"/>
          <w:highlight w:val="none"/>
        </w:rPr>
        <w:fldChar w:fldCharType="begin"/>
      </w:r>
      <w:r>
        <w:rPr>
          <w:rFonts w:ascii="宋体" w:hAnsi="宋体"/>
          <w:i w:val="0"/>
          <w:color w:val="auto"/>
          <w:sz w:val="24"/>
          <w:szCs w:val="24"/>
          <w:highlight w:val="none"/>
        </w:rPr>
        <w:instrText xml:space="preserve"> PAGEREF _Toc491277451 \h </w:instrText>
      </w:r>
      <w:r>
        <w:rPr>
          <w:rFonts w:ascii="宋体" w:hAnsi="宋体"/>
          <w:i w:val="0"/>
          <w:color w:val="auto"/>
          <w:sz w:val="24"/>
          <w:szCs w:val="24"/>
          <w:highlight w:val="none"/>
        </w:rPr>
        <w:fldChar w:fldCharType="separate"/>
      </w:r>
      <w:r>
        <w:rPr>
          <w:rFonts w:ascii="宋体" w:hAnsi="宋体"/>
          <w:i w:val="0"/>
          <w:color w:val="auto"/>
          <w:sz w:val="24"/>
          <w:szCs w:val="24"/>
          <w:highlight w:val="none"/>
        </w:rPr>
        <w:t>138</w:t>
      </w:r>
      <w:r>
        <w:rPr>
          <w:rFonts w:ascii="宋体" w:hAnsi="宋体"/>
          <w:i w:val="0"/>
          <w:color w:val="auto"/>
          <w:sz w:val="24"/>
          <w:szCs w:val="24"/>
          <w:highlight w:val="none"/>
        </w:rPr>
        <w:fldChar w:fldCharType="end"/>
      </w:r>
      <w:r>
        <w:rPr>
          <w:rFonts w:ascii="宋体" w:hAnsi="宋体"/>
          <w:i w:val="0"/>
          <w:color w:val="auto"/>
          <w:sz w:val="24"/>
          <w:szCs w:val="24"/>
          <w:highlight w:val="none"/>
        </w:rPr>
        <w:fldChar w:fldCharType="end"/>
      </w:r>
    </w:p>
    <w:p>
      <w:pPr>
        <w:pStyle w:val="18"/>
        <w:tabs>
          <w:tab w:val="right" w:leader="dot" w:pos="9629"/>
        </w:tabs>
        <w:spacing w:line="420" w:lineRule="exact"/>
        <w:rPr>
          <w:rFonts w:ascii="宋体" w:hAnsi="宋体"/>
          <w:smallCaps w:val="0"/>
          <w:color w:val="auto"/>
          <w:sz w:val="24"/>
          <w:szCs w:val="24"/>
          <w:highlight w:val="none"/>
        </w:rPr>
      </w:pPr>
      <w:r>
        <w:rPr>
          <w:rFonts w:ascii="宋体" w:hAnsi="宋体"/>
          <w:color w:val="auto"/>
          <w:sz w:val="24"/>
          <w:szCs w:val="24"/>
          <w:highlight w:val="none"/>
        </w:rPr>
        <w:fldChar w:fldCharType="begin"/>
      </w:r>
      <w:r>
        <w:rPr>
          <w:rStyle w:val="33"/>
          <w:rFonts w:ascii="宋体" w:hAnsi="宋体"/>
          <w:color w:val="auto"/>
          <w:sz w:val="24"/>
          <w:szCs w:val="24"/>
          <w:highlight w:val="none"/>
        </w:rPr>
        <w:instrText xml:space="preserve"> </w:instrText>
      </w:r>
      <w:r>
        <w:rPr>
          <w:rFonts w:ascii="宋体" w:hAnsi="宋体"/>
          <w:color w:val="auto"/>
          <w:sz w:val="24"/>
          <w:szCs w:val="24"/>
          <w:highlight w:val="none"/>
        </w:rPr>
        <w:instrText xml:space="preserve">HYPERLINK \l "_Toc491277452"</w:instrText>
      </w:r>
      <w:r>
        <w:rPr>
          <w:rStyle w:val="33"/>
          <w:rFonts w:ascii="宋体" w:hAnsi="宋体"/>
          <w:color w:val="auto"/>
          <w:sz w:val="24"/>
          <w:szCs w:val="24"/>
          <w:highlight w:val="none"/>
        </w:rPr>
        <w:instrText xml:space="preserve"> </w:instrText>
      </w:r>
      <w:r>
        <w:rPr>
          <w:rFonts w:ascii="宋体" w:hAnsi="宋体"/>
          <w:color w:val="auto"/>
          <w:sz w:val="24"/>
          <w:szCs w:val="24"/>
          <w:highlight w:val="none"/>
        </w:rPr>
        <w:fldChar w:fldCharType="separate"/>
      </w:r>
      <w:r>
        <w:rPr>
          <w:rStyle w:val="33"/>
          <w:rFonts w:hint="eastAsia" w:ascii="宋体" w:hAnsi="宋体"/>
          <w:color w:val="auto"/>
          <w:sz w:val="24"/>
          <w:szCs w:val="24"/>
          <w:highlight w:val="none"/>
        </w:rPr>
        <w:t>第</w:t>
      </w:r>
      <w:r>
        <w:rPr>
          <w:rStyle w:val="33"/>
          <w:rFonts w:ascii="宋体" w:hAnsi="宋体"/>
          <w:color w:val="auto"/>
          <w:sz w:val="24"/>
          <w:szCs w:val="24"/>
          <w:highlight w:val="none"/>
        </w:rPr>
        <w:t>20</w:t>
      </w:r>
      <w:r>
        <w:rPr>
          <w:rStyle w:val="33"/>
          <w:rFonts w:hint="eastAsia" w:ascii="宋体" w:hAnsi="宋体"/>
          <w:color w:val="auto"/>
          <w:sz w:val="24"/>
          <w:szCs w:val="24"/>
          <w:highlight w:val="none"/>
        </w:rPr>
        <w:t>条</w:t>
      </w:r>
      <w:r>
        <w:rPr>
          <w:rStyle w:val="33"/>
          <w:rFonts w:ascii="宋体" w:hAnsi="宋体"/>
          <w:color w:val="auto"/>
          <w:sz w:val="24"/>
          <w:szCs w:val="24"/>
          <w:highlight w:val="none"/>
        </w:rPr>
        <w:t xml:space="preserve">  </w:t>
      </w:r>
      <w:r>
        <w:rPr>
          <w:rStyle w:val="33"/>
          <w:rFonts w:hint="eastAsia" w:ascii="宋体" w:hAnsi="宋体"/>
          <w:color w:val="auto"/>
          <w:sz w:val="24"/>
          <w:szCs w:val="24"/>
          <w:highlight w:val="none"/>
        </w:rPr>
        <w:t>补充条款</w:t>
      </w:r>
      <w:r>
        <w:rPr>
          <w:rFonts w:ascii="宋体" w:hAnsi="宋体"/>
          <w:color w:val="auto"/>
          <w:sz w:val="24"/>
          <w:szCs w:val="24"/>
          <w:highlight w:val="none"/>
        </w:rPr>
        <w:tab/>
      </w:r>
      <w:r>
        <w:rPr>
          <w:rFonts w:ascii="宋体" w:hAnsi="宋体"/>
          <w:color w:val="auto"/>
          <w:sz w:val="24"/>
          <w:szCs w:val="24"/>
          <w:highlight w:val="none"/>
        </w:rPr>
        <w:fldChar w:fldCharType="begin"/>
      </w:r>
      <w:r>
        <w:rPr>
          <w:rFonts w:ascii="宋体" w:hAnsi="宋体"/>
          <w:color w:val="auto"/>
          <w:sz w:val="24"/>
          <w:szCs w:val="24"/>
          <w:highlight w:val="none"/>
        </w:rPr>
        <w:instrText xml:space="preserve"> PAGEREF _Toc491277452 \h </w:instrText>
      </w:r>
      <w:r>
        <w:rPr>
          <w:rFonts w:ascii="宋体" w:hAnsi="宋体"/>
          <w:color w:val="auto"/>
          <w:sz w:val="24"/>
          <w:szCs w:val="24"/>
          <w:highlight w:val="none"/>
        </w:rPr>
        <w:fldChar w:fldCharType="separate"/>
      </w:r>
      <w:r>
        <w:rPr>
          <w:rFonts w:ascii="宋体" w:hAnsi="宋体"/>
          <w:color w:val="auto"/>
          <w:sz w:val="24"/>
          <w:szCs w:val="24"/>
          <w:highlight w:val="none"/>
        </w:rPr>
        <w:t>138</w:t>
      </w:r>
      <w:r>
        <w:rPr>
          <w:rFonts w:ascii="宋体" w:hAnsi="宋体"/>
          <w:color w:val="auto"/>
          <w:sz w:val="24"/>
          <w:szCs w:val="24"/>
          <w:highlight w:val="none"/>
        </w:rPr>
        <w:fldChar w:fldCharType="end"/>
      </w:r>
      <w:r>
        <w:rPr>
          <w:rFonts w:ascii="宋体" w:hAnsi="宋体"/>
          <w:color w:val="auto"/>
          <w:sz w:val="24"/>
          <w:szCs w:val="24"/>
          <w:highlight w:val="none"/>
        </w:rPr>
        <w:fldChar w:fldCharType="end"/>
      </w:r>
    </w:p>
    <w:p>
      <w:pPr>
        <w:pStyle w:val="15"/>
        <w:tabs>
          <w:tab w:val="right" w:leader="dot" w:pos="9629"/>
        </w:tabs>
        <w:spacing w:line="420" w:lineRule="exact"/>
        <w:rPr>
          <w:rFonts w:hint="default" w:ascii="宋体" w:hAnsi="宋体" w:eastAsia="宋体"/>
          <w:b w:val="0"/>
          <w:bCs w:val="0"/>
          <w:caps w:val="0"/>
          <w:color w:val="auto"/>
          <w:sz w:val="24"/>
          <w:szCs w:val="24"/>
          <w:highlight w:val="none"/>
          <w:lang w:val="en-US" w:eastAsia="zh-CN"/>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"_Toc491277453"</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第四部分</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合同附件</w:t>
      </w:r>
      <w:r>
        <w:rPr>
          <w:rFonts w:ascii="宋体" w:hAnsi="宋体"/>
          <w:b w:val="0"/>
          <w:color w:val="auto"/>
          <w:sz w:val="24"/>
          <w:szCs w:val="24"/>
          <w:highlight w:val="none"/>
        </w:rPr>
        <w:tab/>
      </w:r>
      <w:r>
        <w:rPr>
          <w:rFonts w:hint="eastAsia" w:ascii="宋体" w:hAnsi="宋体"/>
          <w:b w:val="0"/>
          <w:color w:val="auto"/>
          <w:sz w:val="24"/>
          <w:szCs w:val="24"/>
          <w:highlight w:val="none"/>
          <w:lang w:val="en-US" w:eastAsia="zh-CN"/>
        </w:rPr>
        <w:t>1</w:t>
      </w:r>
      <w:r>
        <w:rPr>
          <w:rFonts w:ascii="宋体" w:hAnsi="宋体"/>
          <w:b w:val="0"/>
          <w:color w:val="auto"/>
          <w:sz w:val="24"/>
          <w:szCs w:val="24"/>
          <w:highlight w:val="none"/>
        </w:rPr>
        <w:fldChar w:fldCharType="end"/>
      </w:r>
      <w:r>
        <w:rPr>
          <w:rFonts w:hint="eastAsia" w:ascii="宋体" w:hAnsi="宋体"/>
          <w:b w:val="0"/>
          <w:color w:val="auto"/>
          <w:sz w:val="24"/>
          <w:szCs w:val="24"/>
          <w:highlight w:val="none"/>
          <w:lang w:val="en-US" w:eastAsia="zh-CN"/>
        </w:rPr>
        <w:t>42</w:t>
      </w:r>
    </w:p>
    <w:p>
      <w:pPr>
        <w:pStyle w:val="15"/>
        <w:tabs>
          <w:tab w:val="right" w:leader="dot" w:pos="9629"/>
        </w:tabs>
        <w:spacing w:line="420" w:lineRule="exact"/>
        <w:rPr>
          <w:rFonts w:hint="default" w:ascii="宋体" w:hAnsi="宋体" w:eastAsia="宋体"/>
          <w:b w:val="0"/>
          <w:bCs w:val="0"/>
          <w:caps w:val="0"/>
          <w:color w:val="auto"/>
          <w:sz w:val="24"/>
          <w:szCs w:val="24"/>
          <w:highlight w:val="none"/>
          <w:lang w:val="en-US" w:eastAsia="zh-CN"/>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"_Toc491277459"</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第五章</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发包人要求</w:t>
      </w:r>
      <w:r>
        <w:rPr>
          <w:rFonts w:ascii="宋体" w:hAnsi="宋体"/>
          <w:b w:val="0"/>
          <w:color w:val="auto"/>
          <w:sz w:val="24"/>
          <w:szCs w:val="24"/>
          <w:highlight w:val="none"/>
        </w:rPr>
        <w:tab/>
      </w:r>
      <w:r>
        <w:rPr>
          <w:rFonts w:hint="eastAsia" w:ascii="宋体" w:hAnsi="宋体"/>
          <w:b w:val="0"/>
          <w:color w:val="auto"/>
          <w:sz w:val="24"/>
          <w:szCs w:val="24"/>
          <w:highlight w:val="none"/>
          <w:lang w:val="en-US" w:eastAsia="zh-CN"/>
        </w:rPr>
        <w:t>1</w:t>
      </w:r>
      <w:r>
        <w:rPr>
          <w:rFonts w:ascii="宋体" w:hAnsi="宋体"/>
          <w:b w:val="0"/>
          <w:color w:val="auto"/>
          <w:sz w:val="24"/>
          <w:szCs w:val="24"/>
          <w:highlight w:val="none"/>
        </w:rPr>
        <w:fldChar w:fldCharType="end"/>
      </w:r>
      <w:r>
        <w:rPr>
          <w:rFonts w:hint="eastAsia" w:ascii="宋体" w:hAnsi="宋体"/>
          <w:b w:val="0"/>
          <w:color w:val="auto"/>
          <w:sz w:val="24"/>
          <w:szCs w:val="24"/>
          <w:highlight w:val="none"/>
          <w:lang w:val="en-US" w:eastAsia="zh-CN"/>
        </w:rPr>
        <w:t>56</w:t>
      </w:r>
    </w:p>
    <w:p>
      <w:pPr>
        <w:pStyle w:val="15"/>
        <w:tabs>
          <w:tab w:val="right" w:leader="dot" w:pos="9629"/>
        </w:tabs>
        <w:spacing w:line="420" w:lineRule="exact"/>
        <w:rPr>
          <w:rFonts w:hint="default" w:ascii="宋体" w:hAnsi="宋体" w:eastAsia="宋体"/>
          <w:b w:val="0"/>
          <w:bCs w:val="0"/>
          <w:caps w:val="0"/>
          <w:color w:val="auto"/>
          <w:sz w:val="24"/>
          <w:szCs w:val="24"/>
          <w:highlight w:val="none"/>
          <w:lang w:val="en-US" w:eastAsia="zh-CN"/>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"_Toc491277460"</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第六章</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发包人提供的资料</w:t>
      </w:r>
      <w:r>
        <w:rPr>
          <w:rFonts w:ascii="宋体" w:hAnsi="宋体"/>
          <w:b w:val="0"/>
          <w:color w:val="auto"/>
          <w:sz w:val="24"/>
          <w:szCs w:val="24"/>
          <w:highlight w:val="none"/>
        </w:rPr>
        <w:tab/>
      </w:r>
      <w:r>
        <w:rPr>
          <w:rFonts w:hint="eastAsia" w:ascii="宋体" w:hAnsi="宋体"/>
          <w:b w:val="0"/>
          <w:color w:val="auto"/>
          <w:sz w:val="24"/>
          <w:szCs w:val="24"/>
          <w:highlight w:val="none"/>
          <w:lang w:val="en-US" w:eastAsia="zh-CN"/>
        </w:rPr>
        <w:t>1</w:t>
      </w:r>
      <w:r>
        <w:rPr>
          <w:rFonts w:ascii="宋体" w:hAnsi="宋体"/>
          <w:b w:val="0"/>
          <w:color w:val="auto"/>
          <w:sz w:val="24"/>
          <w:szCs w:val="24"/>
          <w:highlight w:val="none"/>
        </w:rPr>
        <w:fldChar w:fldCharType="end"/>
      </w:r>
      <w:r>
        <w:rPr>
          <w:rFonts w:hint="eastAsia" w:ascii="宋体" w:hAnsi="宋体"/>
          <w:b w:val="0"/>
          <w:color w:val="auto"/>
          <w:sz w:val="24"/>
          <w:szCs w:val="24"/>
          <w:highlight w:val="none"/>
          <w:lang w:val="en-US" w:eastAsia="zh-CN"/>
        </w:rPr>
        <w:t>55</w:t>
      </w:r>
    </w:p>
    <w:p>
      <w:pPr>
        <w:pStyle w:val="15"/>
        <w:tabs>
          <w:tab w:val="right" w:leader="dot" w:pos="9629"/>
        </w:tabs>
        <w:spacing w:line="420" w:lineRule="exact"/>
        <w:rPr>
          <w:rFonts w:hint="default" w:ascii="宋体" w:hAnsi="宋体" w:eastAsia="宋体"/>
          <w:b w:val="0"/>
          <w:bCs w:val="0"/>
          <w:caps w:val="0"/>
          <w:color w:val="auto"/>
          <w:sz w:val="24"/>
          <w:szCs w:val="24"/>
          <w:highlight w:val="none"/>
          <w:lang w:val="en-US" w:eastAsia="zh-CN"/>
        </w:rPr>
      </w:pPr>
      <w:r>
        <w:rPr>
          <w:rFonts w:ascii="宋体" w:hAnsi="宋体"/>
          <w:b w:val="0"/>
          <w:color w:val="auto"/>
          <w:sz w:val="24"/>
          <w:szCs w:val="24"/>
          <w:highlight w:val="none"/>
        </w:rPr>
        <w:fldChar w:fldCharType="begin"/>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instrText xml:space="preserve">HYPERLINK \l "_Toc491277466"</w:instrText>
      </w:r>
      <w:r>
        <w:rPr>
          <w:rStyle w:val="33"/>
          <w:rFonts w:ascii="宋体" w:hAnsi="宋体"/>
          <w:b w:val="0"/>
          <w:color w:val="auto"/>
          <w:sz w:val="24"/>
          <w:szCs w:val="24"/>
          <w:highlight w:val="none"/>
        </w:rPr>
        <w:instrText xml:space="preserve"> </w:instrText>
      </w:r>
      <w:r>
        <w:rPr>
          <w:rFonts w:ascii="宋体" w:hAnsi="宋体"/>
          <w:b w:val="0"/>
          <w:color w:val="auto"/>
          <w:sz w:val="24"/>
          <w:szCs w:val="24"/>
          <w:highlight w:val="none"/>
        </w:rPr>
        <w:fldChar w:fldCharType="separate"/>
      </w:r>
      <w:r>
        <w:rPr>
          <w:rStyle w:val="33"/>
          <w:rFonts w:hint="eastAsia" w:ascii="宋体" w:hAnsi="宋体"/>
          <w:b w:val="0"/>
          <w:color w:val="auto"/>
          <w:sz w:val="24"/>
          <w:szCs w:val="24"/>
          <w:highlight w:val="none"/>
        </w:rPr>
        <w:t>第七章</w:t>
      </w:r>
      <w:r>
        <w:rPr>
          <w:rStyle w:val="33"/>
          <w:rFonts w:ascii="宋体" w:hAnsi="宋体"/>
          <w:b w:val="0"/>
          <w:color w:val="auto"/>
          <w:sz w:val="24"/>
          <w:szCs w:val="24"/>
          <w:highlight w:val="none"/>
        </w:rPr>
        <w:t xml:space="preserve">  </w:t>
      </w:r>
      <w:r>
        <w:rPr>
          <w:rStyle w:val="33"/>
          <w:rFonts w:hint="eastAsia" w:ascii="宋体" w:hAnsi="宋体"/>
          <w:b w:val="0"/>
          <w:color w:val="auto"/>
          <w:sz w:val="24"/>
          <w:szCs w:val="24"/>
          <w:highlight w:val="none"/>
        </w:rPr>
        <w:t>投标文件格式</w:t>
      </w:r>
      <w:r>
        <w:rPr>
          <w:rFonts w:ascii="宋体" w:hAnsi="宋体"/>
          <w:b w:val="0"/>
          <w:color w:val="auto"/>
          <w:sz w:val="24"/>
          <w:szCs w:val="24"/>
          <w:highlight w:val="none"/>
        </w:rPr>
        <w:tab/>
      </w:r>
      <w:r>
        <w:rPr>
          <w:rFonts w:hint="eastAsia" w:ascii="宋体" w:hAnsi="宋体"/>
          <w:b w:val="0"/>
          <w:color w:val="auto"/>
          <w:sz w:val="24"/>
          <w:szCs w:val="24"/>
          <w:highlight w:val="none"/>
          <w:lang w:val="en-US" w:eastAsia="zh-CN"/>
        </w:rPr>
        <w:t>1</w:t>
      </w:r>
      <w:r>
        <w:rPr>
          <w:rFonts w:ascii="宋体" w:hAnsi="宋体"/>
          <w:b w:val="0"/>
          <w:color w:val="auto"/>
          <w:sz w:val="24"/>
          <w:szCs w:val="24"/>
          <w:highlight w:val="none"/>
        </w:rPr>
        <w:fldChar w:fldCharType="end"/>
      </w:r>
      <w:r>
        <w:rPr>
          <w:rFonts w:hint="eastAsia" w:ascii="宋体" w:hAnsi="宋体"/>
          <w:b w:val="0"/>
          <w:color w:val="auto"/>
          <w:sz w:val="24"/>
          <w:szCs w:val="24"/>
          <w:highlight w:val="none"/>
          <w:lang w:val="en-US" w:eastAsia="zh-CN"/>
        </w:rPr>
        <w:t>59</w:t>
      </w:r>
    </w:p>
    <w:p>
      <w:pPr>
        <w:tabs>
          <w:tab w:val="left" w:pos="1080"/>
        </w:tabs>
        <w:spacing w:line="420" w:lineRule="exact"/>
        <w:ind w:firstLine="480" w:firstLineChars="200"/>
        <w:rPr>
          <w:rFonts w:ascii="宋体" w:hAnsi="宋体"/>
          <w:color w:val="auto"/>
          <w:sz w:val="24"/>
          <w:highlight w:val="none"/>
        </w:rPr>
      </w:pPr>
      <w:r>
        <w:rPr>
          <w:rFonts w:ascii="宋体" w:hAnsi="宋体"/>
          <w:color w:val="auto"/>
          <w:sz w:val="24"/>
          <w:highlight w:val="none"/>
        </w:rPr>
        <w:fldChar w:fldCharType="end"/>
      </w:r>
    </w:p>
    <w:p>
      <w:pPr>
        <w:rPr>
          <w:rFonts w:ascii="宋体" w:hAnsi="宋体"/>
          <w:color w:val="auto"/>
          <w:sz w:val="24"/>
          <w:highlight w:val="none"/>
        </w:rPr>
      </w:pPr>
    </w:p>
    <w:p>
      <w:pPr>
        <w:pStyle w:val="3"/>
        <w:jc w:val="center"/>
        <w:rPr>
          <w:color w:val="auto"/>
          <w:highlight w:val="none"/>
        </w:rPr>
      </w:pPr>
      <w:bookmarkStart w:id="4" w:name="_Toc395382352"/>
      <w:bookmarkStart w:id="5" w:name="_Toc419363476"/>
      <w:bookmarkStart w:id="6" w:name="_Toc19034605"/>
      <w:bookmarkStart w:id="7" w:name="_Toc419364200"/>
      <w:bookmarkStart w:id="8" w:name="_Toc419320073"/>
      <w:bookmarkStart w:id="9" w:name="_Toc433988542"/>
      <w:bookmarkStart w:id="10" w:name="_Toc389065120"/>
      <w:bookmarkStart w:id="11" w:name="_Toc419321109"/>
      <w:r>
        <w:rPr>
          <w:color w:val="auto"/>
          <w:highlight w:val="none"/>
        </w:rPr>
        <w:t>第一章 招标公告</w:t>
      </w:r>
      <w:bookmarkEnd w:id="4"/>
      <w:bookmarkEnd w:id="5"/>
      <w:bookmarkEnd w:id="6"/>
      <w:bookmarkEnd w:id="7"/>
      <w:bookmarkEnd w:id="8"/>
      <w:bookmarkEnd w:id="9"/>
      <w:bookmarkEnd w:id="10"/>
      <w:bookmarkEnd w:id="11"/>
    </w:p>
    <w:p>
      <w:pPr>
        <w:rPr>
          <w:color w:val="auto"/>
          <w:highlight w:val="none"/>
        </w:rPr>
      </w:pPr>
    </w:p>
    <w:p>
      <w:pPr>
        <w:jc w:val="center"/>
        <w:rPr>
          <w:rFonts w:ascii="宋体" w:hAnsi="宋体"/>
          <w:b/>
          <w:color w:val="auto"/>
          <w:sz w:val="28"/>
          <w:szCs w:val="28"/>
          <w:highlight w:val="none"/>
        </w:rPr>
      </w:pPr>
      <w:r>
        <w:rPr>
          <w:rFonts w:hint="eastAsia" w:ascii="宋体" w:hAnsi="宋体"/>
          <w:b/>
          <w:color w:val="auto"/>
          <w:sz w:val="28"/>
          <w:szCs w:val="28"/>
          <w:highlight w:val="none"/>
        </w:rPr>
        <w:t>桂林电子科技大学建筑与交通工程学院结构实验室附属设备基础项目工程总承包(GXZC2021-G2-000506-GXHJ</w:t>
      </w:r>
      <w:r>
        <w:rPr>
          <w:rFonts w:hint="eastAsia"/>
          <w:color w:val="auto"/>
          <w:sz w:val="28"/>
          <w:szCs w:val="28"/>
          <w:highlight w:val="none"/>
        </w:rPr>
        <w:t>)</w:t>
      </w:r>
      <w:r>
        <w:rPr>
          <w:rFonts w:ascii="宋体" w:hAnsi="宋体"/>
          <w:b/>
          <w:color w:val="auto"/>
          <w:sz w:val="28"/>
          <w:szCs w:val="28"/>
          <w:highlight w:val="none"/>
        </w:rPr>
        <w:t>招标公告</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855" w:type="dxa"/>
          </w:tcPr>
          <w:p>
            <w:pPr>
              <w:widowControl/>
              <w:jc w:val="left"/>
              <w:rPr>
                <w:color w:val="auto"/>
                <w:highlight w:val="none"/>
              </w:rPr>
            </w:pPr>
            <w:r>
              <w:rPr>
                <w:rFonts w:hint="eastAsia"/>
                <w:color w:val="auto"/>
                <w:highlight w:val="none"/>
              </w:rPr>
              <w:t>项目概况：</w:t>
            </w:r>
          </w:p>
          <w:p>
            <w:pPr>
              <w:widowControl/>
              <w:ind w:firstLine="420" w:firstLineChars="200"/>
              <w:jc w:val="left"/>
              <w:rPr>
                <w:color w:val="auto"/>
                <w:highlight w:val="none"/>
              </w:rPr>
            </w:pPr>
            <w:r>
              <w:rPr>
                <w:rFonts w:hint="eastAsia"/>
                <w:color w:val="auto"/>
                <w:highlight w:val="none"/>
              </w:rPr>
              <w:t>桂林电子科技大学建筑与交通工程学院结构实验室附属设备基础项目工程总承包的潜在投标人应在桂林市公共资源交易中心网（http://glggzy.org.cn）获取招标文件，并于 2021 年</w:t>
            </w:r>
            <w:r>
              <w:rPr>
                <w:rFonts w:hint="eastAsia"/>
                <w:color w:val="auto"/>
                <w:highlight w:val="none"/>
                <w:lang w:val="en-US" w:eastAsia="zh-CN"/>
              </w:rPr>
              <w:t>4</w:t>
            </w:r>
            <w:r>
              <w:rPr>
                <w:rFonts w:hint="eastAsia"/>
                <w:color w:val="auto"/>
                <w:highlight w:val="none"/>
              </w:rPr>
              <w:t>月</w:t>
            </w:r>
            <w:r>
              <w:rPr>
                <w:rFonts w:hint="eastAsia"/>
                <w:color w:val="auto"/>
                <w:highlight w:val="none"/>
                <w:lang w:val="en-US" w:eastAsia="zh-CN"/>
              </w:rPr>
              <w:t>20</w:t>
            </w:r>
            <w:r>
              <w:rPr>
                <w:rFonts w:hint="eastAsia"/>
                <w:color w:val="auto"/>
                <w:highlight w:val="none"/>
              </w:rPr>
              <w:t>日</w:t>
            </w:r>
            <w:r>
              <w:rPr>
                <w:rFonts w:hint="eastAsia"/>
                <w:color w:val="auto"/>
                <w:highlight w:val="none"/>
                <w:lang w:val="en-US" w:eastAsia="zh-CN"/>
              </w:rPr>
              <w:t>9</w:t>
            </w:r>
            <w:r>
              <w:rPr>
                <w:rFonts w:hint="eastAsia"/>
                <w:color w:val="auto"/>
                <w:highlight w:val="none"/>
              </w:rPr>
              <w:t>点</w:t>
            </w:r>
            <w:r>
              <w:rPr>
                <w:rFonts w:hint="eastAsia"/>
                <w:color w:val="auto"/>
                <w:highlight w:val="none"/>
                <w:lang w:val="en-US" w:eastAsia="zh-CN"/>
              </w:rPr>
              <w:t>30</w:t>
            </w:r>
            <w:r>
              <w:rPr>
                <w:rFonts w:hint="eastAsia"/>
                <w:color w:val="auto"/>
                <w:highlight w:val="none"/>
              </w:rPr>
              <w:t>分（北京时间）前递交投标文件。</w:t>
            </w:r>
            <w:r>
              <w:rPr>
                <w:rFonts w:hint="eastAsia" w:ascii="宋体" w:hAnsi="宋体" w:cs="宋体"/>
                <w:color w:val="auto"/>
                <w:kern w:val="0"/>
                <w:sz w:val="20"/>
                <w:szCs w:val="20"/>
                <w:highlight w:val="none"/>
                <w:lang w:bidi="ar"/>
              </w:rPr>
              <w:t xml:space="preserve"> </w:t>
            </w:r>
          </w:p>
        </w:tc>
      </w:tr>
    </w:tbl>
    <w:p>
      <w:pPr>
        <w:rPr>
          <w:color w:val="auto"/>
          <w:highlight w:val="none"/>
        </w:rPr>
      </w:pPr>
    </w:p>
    <w:p>
      <w:pPr>
        <w:pStyle w:val="2"/>
        <w:spacing w:line="360" w:lineRule="auto"/>
        <w:rPr>
          <w:rFonts w:ascii="宋体" w:hAnsi="宋体" w:eastAsia="宋体"/>
          <w:color w:val="auto"/>
          <w:sz w:val="24"/>
          <w:szCs w:val="24"/>
          <w:highlight w:val="none"/>
        </w:rPr>
      </w:pPr>
      <w:bookmarkStart w:id="12" w:name="_Toc419364202"/>
      <w:bookmarkStart w:id="13" w:name="_Toc395382354"/>
      <w:bookmarkStart w:id="14" w:name="_Toc419363478"/>
      <w:bookmarkStart w:id="15" w:name="_Toc19034607"/>
      <w:bookmarkStart w:id="16" w:name="_Toc433988544"/>
      <w:bookmarkStart w:id="17" w:name="_Toc419321111"/>
      <w:bookmarkStart w:id="18" w:name="_Toc419320075"/>
      <w:bookmarkStart w:id="19" w:name="_Toc389065123"/>
      <w:r>
        <w:rPr>
          <w:rFonts w:hint="eastAsia" w:ascii="宋体" w:hAnsi="宋体" w:eastAsia="宋体"/>
          <w:color w:val="auto"/>
          <w:sz w:val="24"/>
          <w:szCs w:val="24"/>
          <w:highlight w:val="none"/>
        </w:rPr>
        <w:t>一、</w:t>
      </w:r>
      <w:r>
        <w:rPr>
          <w:rFonts w:ascii="宋体" w:hAnsi="宋体" w:eastAsia="宋体"/>
          <w:color w:val="auto"/>
          <w:sz w:val="24"/>
          <w:szCs w:val="24"/>
          <w:highlight w:val="none"/>
        </w:rPr>
        <w:t xml:space="preserve"> 项目</w:t>
      </w:r>
      <w:bookmarkEnd w:id="12"/>
      <w:bookmarkEnd w:id="13"/>
      <w:bookmarkEnd w:id="14"/>
      <w:bookmarkEnd w:id="15"/>
      <w:bookmarkEnd w:id="16"/>
      <w:bookmarkEnd w:id="17"/>
      <w:bookmarkEnd w:id="18"/>
      <w:bookmarkEnd w:id="19"/>
      <w:r>
        <w:rPr>
          <w:rFonts w:hint="eastAsia" w:ascii="宋体" w:hAnsi="宋体" w:eastAsia="宋体"/>
          <w:color w:val="auto"/>
          <w:sz w:val="24"/>
          <w:szCs w:val="24"/>
          <w:highlight w:val="none"/>
        </w:rPr>
        <w:t>基本情况</w:t>
      </w:r>
    </w:p>
    <w:p>
      <w:pPr>
        <w:spacing w:line="360" w:lineRule="auto"/>
        <w:ind w:left="1869" w:leftChars="190" w:hanging="1470" w:hangingChars="700"/>
        <w:rPr>
          <w:color w:val="auto"/>
          <w:highlight w:val="none"/>
        </w:rPr>
      </w:pPr>
      <w:r>
        <w:rPr>
          <w:rFonts w:hint="eastAsia"/>
          <w:color w:val="auto"/>
          <w:highlight w:val="none"/>
        </w:rPr>
        <w:t>项目编号：GXZC2021-G2-000506-GXHJ</w:t>
      </w:r>
    </w:p>
    <w:p>
      <w:pPr>
        <w:spacing w:line="360" w:lineRule="auto"/>
        <w:ind w:firstLine="420" w:firstLineChars="200"/>
        <w:rPr>
          <w:color w:val="auto"/>
          <w:highlight w:val="none"/>
        </w:rPr>
      </w:pPr>
      <w:r>
        <w:rPr>
          <w:rFonts w:hint="eastAsia"/>
          <w:color w:val="auto"/>
          <w:highlight w:val="none"/>
        </w:rPr>
        <w:t xml:space="preserve">项目名称：桂林电子科技大学建筑与交通工程学院结构实验室附属设备基础项目工程总承包 </w:t>
      </w:r>
    </w:p>
    <w:p>
      <w:pPr>
        <w:spacing w:line="360" w:lineRule="auto"/>
        <w:ind w:firstLine="420" w:firstLineChars="200"/>
        <w:rPr>
          <w:color w:val="auto"/>
          <w:highlight w:val="none"/>
        </w:rPr>
      </w:pPr>
      <w:r>
        <w:rPr>
          <w:rFonts w:hint="eastAsia"/>
          <w:color w:val="auto"/>
          <w:highlight w:val="none"/>
        </w:rPr>
        <w:t>工程估算价：</w:t>
      </w:r>
      <w:r>
        <w:rPr>
          <w:rFonts w:hint="eastAsia"/>
          <w:color w:val="auto"/>
          <w:highlight w:val="none"/>
          <w:lang w:val="en-US" w:eastAsia="zh-CN"/>
        </w:rPr>
        <w:t>655</w:t>
      </w:r>
      <w:r>
        <w:rPr>
          <w:rFonts w:hint="eastAsia"/>
          <w:color w:val="auto"/>
          <w:highlight w:val="none"/>
        </w:rPr>
        <w:t xml:space="preserve">万元 </w:t>
      </w:r>
    </w:p>
    <w:p>
      <w:pPr>
        <w:spacing w:line="360" w:lineRule="auto"/>
        <w:ind w:firstLine="420" w:firstLineChars="200"/>
        <w:rPr>
          <w:color w:val="auto"/>
          <w:highlight w:val="none"/>
        </w:rPr>
      </w:pPr>
      <w:r>
        <w:rPr>
          <w:rFonts w:hint="eastAsia"/>
          <w:color w:val="auto"/>
          <w:highlight w:val="none"/>
        </w:rPr>
        <w:t xml:space="preserve">建设地点：桂林电子科技大学花江校区 </w:t>
      </w:r>
    </w:p>
    <w:p>
      <w:pPr>
        <w:spacing w:line="360" w:lineRule="auto"/>
        <w:ind w:firstLine="420" w:firstLineChars="200"/>
        <w:rPr>
          <w:rFonts w:ascii="宋体" w:hAnsi="宋体"/>
          <w:color w:val="auto"/>
          <w:szCs w:val="21"/>
          <w:highlight w:val="none"/>
        </w:rPr>
      </w:pPr>
      <w:r>
        <w:rPr>
          <w:rFonts w:hint="eastAsia"/>
          <w:color w:val="auto"/>
          <w:highlight w:val="none"/>
        </w:rPr>
        <w:t>建设规模：</w:t>
      </w:r>
      <w:r>
        <w:rPr>
          <w:rFonts w:hint="eastAsia" w:ascii="宋体" w:hAnsi="宋体"/>
          <w:color w:val="auto"/>
          <w:szCs w:val="21"/>
          <w:highlight w:val="none"/>
        </w:rPr>
        <w:t>实验楼结构实验室试验设备反力台座系统，包括实体槽道式试验设备反力台座（外围尺寸为26.7m×</w:t>
      </w:r>
      <w:r>
        <w:rPr>
          <w:rFonts w:ascii="宋体" w:hAnsi="宋体"/>
          <w:color w:val="auto"/>
          <w:szCs w:val="21"/>
          <w:highlight w:val="none"/>
        </w:rPr>
        <w:t>16</w:t>
      </w:r>
      <w:r>
        <w:rPr>
          <w:rFonts w:hint="eastAsia" w:ascii="宋体" w:hAnsi="宋体"/>
          <w:color w:val="auto"/>
          <w:szCs w:val="21"/>
          <w:highlight w:val="none"/>
        </w:rPr>
        <w:t>m，板厚（埋深）1.50m）、两面箱式反力墙（尺寸11.5m×2.8m×9.0m、9.5m×3.2m×9.0m）及与本项</w:t>
      </w:r>
      <w:r>
        <w:rPr>
          <w:rFonts w:ascii="宋体" w:hAnsi="宋体"/>
          <w:color w:val="auto"/>
          <w:szCs w:val="21"/>
          <w:highlight w:val="none"/>
        </w:rPr>
        <w:t>目</w:t>
      </w:r>
      <w:r>
        <w:rPr>
          <w:rFonts w:hint="eastAsia" w:ascii="宋体" w:hAnsi="宋体"/>
          <w:color w:val="auto"/>
          <w:szCs w:val="21"/>
          <w:highlight w:val="none"/>
        </w:rPr>
        <w:t>相</w:t>
      </w:r>
      <w:r>
        <w:rPr>
          <w:rFonts w:ascii="宋体" w:hAnsi="宋体"/>
          <w:color w:val="auto"/>
          <w:szCs w:val="21"/>
          <w:highlight w:val="none"/>
        </w:rPr>
        <w:t>关改造等交钥匙式工程</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实验楼结构实验室室</w:t>
      </w:r>
      <w:r>
        <w:rPr>
          <w:rFonts w:ascii="宋体" w:hAnsi="宋体"/>
          <w:color w:val="auto"/>
          <w:szCs w:val="21"/>
          <w:highlight w:val="none"/>
        </w:rPr>
        <w:t>内</w:t>
      </w:r>
      <w:r>
        <w:rPr>
          <w:rFonts w:hint="eastAsia" w:ascii="宋体" w:hAnsi="宋体"/>
          <w:color w:val="auto"/>
          <w:szCs w:val="21"/>
          <w:highlight w:val="none"/>
        </w:rPr>
        <w:t>水电已</w:t>
      </w:r>
      <w:r>
        <w:rPr>
          <w:rFonts w:ascii="宋体" w:hAnsi="宋体"/>
          <w:color w:val="auto"/>
          <w:szCs w:val="21"/>
          <w:highlight w:val="none"/>
        </w:rPr>
        <w:t>安装到位，</w:t>
      </w:r>
      <w:r>
        <w:rPr>
          <w:rFonts w:hint="eastAsia" w:ascii="宋体" w:hAnsi="宋体"/>
          <w:color w:val="auto"/>
          <w:szCs w:val="21"/>
          <w:highlight w:val="none"/>
        </w:rPr>
        <w:t>其</w:t>
      </w:r>
      <w:r>
        <w:rPr>
          <w:rFonts w:ascii="宋体" w:hAnsi="宋体"/>
          <w:color w:val="auto"/>
          <w:szCs w:val="21"/>
          <w:highlight w:val="none"/>
        </w:rPr>
        <w:t>顶</w:t>
      </w:r>
      <w:r>
        <w:rPr>
          <w:rFonts w:hint="eastAsia" w:ascii="宋体" w:hAnsi="宋体"/>
          <w:color w:val="auto"/>
          <w:szCs w:val="21"/>
          <w:highlight w:val="none"/>
        </w:rPr>
        <w:t>部装</w:t>
      </w:r>
      <w:r>
        <w:rPr>
          <w:rFonts w:ascii="宋体" w:hAnsi="宋体"/>
          <w:color w:val="auto"/>
          <w:szCs w:val="21"/>
          <w:highlight w:val="none"/>
        </w:rPr>
        <w:t>有葫芦吊。反力台座系统的</w:t>
      </w:r>
      <w:r>
        <w:rPr>
          <w:rFonts w:hint="eastAsia" w:ascii="宋体" w:hAnsi="宋体"/>
          <w:color w:val="auto"/>
          <w:szCs w:val="21"/>
          <w:highlight w:val="none"/>
        </w:rPr>
        <w:t>部</w:t>
      </w:r>
      <w:r>
        <w:rPr>
          <w:rFonts w:ascii="宋体" w:hAnsi="宋体"/>
          <w:color w:val="auto"/>
          <w:szCs w:val="21"/>
          <w:highlight w:val="none"/>
        </w:rPr>
        <w:t>分基础</w:t>
      </w:r>
      <w:r>
        <w:rPr>
          <w:rFonts w:hint="eastAsia" w:ascii="宋体" w:hAnsi="宋体"/>
          <w:color w:val="auto"/>
          <w:szCs w:val="21"/>
          <w:highlight w:val="none"/>
        </w:rPr>
        <w:t>已</w:t>
      </w:r>
      <w:r>
        <w:rPr>
          <w:rFonts w:ascii="宋体" w:hAnsi="宋体"/>
          <w:color w:val="auto"/>
          <w:szCs w:val="21"/>
          <w:highlight w:val="none"/>
        </w:rPr>
        <w:t>施工完成</w:t>
      </w:r>
      <w:r>
        <w:rPr>
          <w:rFonts w:hint="eastAsia" w:ascii="宋体" w:hAnsi="宋体"/>
          <w:color w:val="auto"/>
          <w:szCs w:val="21"/>
          <w:highlight w:val="none"/>
        </w:rPr>
        <w:t>，并</w:t>
      </w:r>
      <w:r>
        <w:rPr>
          <w:rFonts w:ascii="宋体" w:hAnsi="宋体"/>
          <w:color w:val="auto"/>
          <w:szCs w:val="21"/>
          <w:highlight w:val="none"/>
        </w:rPr>
        <w:t>预</w:t>
      </w:r>
      <w:r>
        <w:rPr>
          <w:rFonts w:hint="eastAsia" w:ascii="宋体" w:hAnsi="宋体"/>
          <w:color w:val="auto"/>
          <w:szCs w:val="21"/>
          <w:highlight w:val="none"/>
        </w:rPr>
        <w:t>留出</w:t>
      </w:r>
      <w:r>
        <w:rPr>
          <w:rFonts w:ascii="宋体" w:hAnsi="宋体"/>
          <w:color w:val="auto"/>
          <w:szCs w:val="21"/>
          <w:highlight w:val="none"/>
        </w:rPr>
        <w:t>部分连接钢筋。</w:t>
      </w:r>
      <w:r>
        <w:rPr>
          <w:rFonts w:hint="eastAsia" w:ascii="宋体" w:hAnsi="宋体"/>
          <w:color w:val="auto"/>
          <w:szCs w:val="21"/>
          <w:highlight w:val="none"/>
        </w:rPr>
        <w:t>观测</w:t>
      </w:r>
      <w:r>
        <w:rPr>
          <w:rFonts w:ascii="宋体" w:hAnsi="宋体"/>
          <w:color w:val="auto"/>
          <w:szCs w:val="21"/>
          <w:highlight w:val="none"/>
        </w:rPr>
        <w:t>室</w:t>
      </w:r>
      <w:r>
        <w:rPr>
          <w:rFonts w:hint="eastAsia" w:ascii="宋体" w:hAnsi="宋体"/>
          <w:color w:val="auto"/>
          <w:szCs w:val="21"/>
          <w:highlight w:val="none"/>
        </w:rPr>
        <w:t>及所</w:t>
      </w:r>
      <w:r>
        <w:rPr>
          <w:rFonts w:ascii="宋体" w:hAnsi="宋体"/>
          <w:color w:val="auto"/>
          <w:szCs w:val="21"/>
          <w:highlight w:val="none"/>
        </w:rPr>
        <w:t>有设备基坑均已建设完成</w:t>
      </w:r>
      <w:r>
        <w:rPr>
          <w:rFonts w:hint="eastAsia" w:ascii="宋体" w:hAnsi="宋体"/>
          <w:color w:val="auto"/>
          <w:szCs w:val="21"/>
          <w:highlight w:val="none"/>
        </w:rPr>
        <w:t>。</w:t>
      </w:r>
    </w:p>
    <w:p>
      <w:pPr>
        <w:spacing w:line="360" w:lineRule="auto"/>
        <w:ind w:firstLine="420" w:firstLineChars="200"/>
        <w:rPr>
          <w:color w:val="auto"/>
          <w:highlight w:val="none"/>
        </w:rPr>
      </w:pPr>
      <w:r>
        <w:rPr>
          <w:rFonts w:hint="eastAsia"/>
          <w:color w:val="auto"/>
          <w:highlight w:val="none"/>
        </w:rPr>
        <w:t>要求工期：本项目总工期（指自签订总承包合同之日起到工程交付业主使用之日期间的工期，包括设计工期、施工工期、验收工期、办理相关手续的工期等）为270天（日历天）。其中设计工期30个日历日，其他工期240个日历日</w:t>
      </w:r>
    </w:p>
    <w:p>
      <w:pPr>
        <w:spacing w:line="360" w:lineRule="auto"/>
        <w:ind w:firstLine="420" w:firstLineChars="200"/>
        <w:rPr>
          <w:color w:val="auto"/>
          <w:highlight w:val="none"/>
        </w:rPr>
      </w:pPr>
      <w:r>
        <w:rPr>
          <w:rFonts w:hint="eastAsia"/>
          <w:color w:val="auto"/>
          <w:highlight w:val="none"/>
        </w:rPr>
        <w:t xml:space="preserve">质量要求：设计要求的质量标准：设计成果文件应符合现行国家设计规范、规程和有关政策、法规规定的有关要求和本项目设计要点的要求，能满足指导施工的要求并通过有关部门的审查；施工要求的质量标准：满足设计要求及施工质量验收标准中合格标准的有关要求。 </w:t>
      </w:r>
    </w:p>
    <w:p>
      <w:pPr>
        <w:spacing w:line="360" w:lineRule="auto"/>
        <w:ind w:firstLine="420" w:firstLineChars="200"/>
        <w:rPr>
          <w:color w:val="auto"/>
          <w:highlight w:val="none"/>
        </w:rPr>
      </w:pPr>
      <w:r>
        <w:rPr>
          <w:rFonts w:hint="eastAsia"/>
          <w:color w:val="auto"/>
          <w:highlight w:val="none"/>
        </w:rPr>
        <w:t>招标内容及范围：实验楼结构实验室试验设备反力台座系统的设计、采购、施工及</w:t>
      </w:r>
      <w:r>
        <w:rPr>
          <w:color w:val="auto"/>
          <w:highlight w:val="none"/>
        </w:rPr>
        <w:t>与本项目相关的交钥匙式工程</w:t>
      </w:r>
      <w:r>
        <w:rPr>
          <w:rFonts w:hint="eastAsia"/>
          <w:color w:val="auto"/>
          <w:highlight w:val="none"/>
        </w:rPr>
        <w:t xml:space="preserve">，其中 </w:t>
      </w:r>
    </w:p>
    <w:p>
      <w:pPr>
        <w:spacing w:line="360" w:lineRule="auto"/>
        <w:ind w:firstLine="420" w:firstLineChars="200"/>
        <w:rPr>
          <w:color w:val="auto"/>
          <w:highlight w:val="none"/>
        </w:rPr>
      </w:pPr>
      <w:r>
        <w:rPr>
          <w:rFonts w:hint="eastAsia"/>
          <w:color w:val="auto"/>
          <w:highlight w:val="none"/>
        </w:rPr>
        <w:t>（1）设计包括方案设计、初步设计、施工图设计及施工过程中跟踪服务；</w:t>
      </w:r>
    </w:p>
    <w:p>
      <w:pPr>
        <w:spacing w:line="360" w:lineRule="auto"/>
        <w:ind w:firstLine="420" w:firstLineChars="200"/>
        <w:rPr>
          <w:color w:val="auto"/>
          <w:highlight w:val="none"/>
        </w:rPr>
      </w:pPr>
      <w:r>
        <w:rPr>
          <w:rFonts w:hint="eastAsia"/>
          <w:color w:val="auto"/>
          <w:highlight w:val="none"/>
        </w:rPr>
        <w:t>（2）采购是指本项目所需的设备及工程材料的采购；</w:t>
      </w:r>
    </w:p>
    <w:p>
      <w:pPr>
        <w:spacing w:line="360" w:lineRule="auto"/>
        <w:ind w:firstLine="420" w:firstLineChars="200"/>
        <w:rPr>
          <w:color w:val="auto"/>
          <w:highlight w:val="none"/>
        </w:rPr>
      </w:pPr>
      <w:r>
        <w:rPr>
          <w:rFonts w:hint="eastAsia"/>
          <w:color w:val="auto"/>
          <w:highlight w:val="none"/>
        </w:rPr>
        <w:t>（3）施工包含施工图纸的全部工程内容的施工及相</w:t>
      </w:r>
      <w:r>
        <w:rPr>
          <w:color w:val="auto"/>
          <w:highlight w:val="none"/>
        </w:rPr>
        <w:t>关</w:t>
      </w:r>
      <w:r>
        <w:rPr>
          <w:rFonts w:hint="eastAsia"/>
          <w:color w:val="auto"/>
          <w:highlight w:val="none"/>
        </w:rPr>
        <w:t>项目改造等交钥匙式工程；</w:t>
      </w:r>
    </w:p>
    <w:p>
      <w:pPr>
        <w:spacing w:line="360" w:lineRule="auto"/>
        <w:ind w:firstLine="420" w:firstLineChars="200"/>
        <w:rPr>
          <w:color w:val="auto"/>
          <w:highlight w:val="none"/>
        </w:rPr>
      </w:pPr>
      <w:r>
        <w:rPr>
          <w:rFonts w:hint="eastAsia"/>
          <w:color w:val="auto"/>
          <w:highlight w:val="none"/>
        </w:rPr>
        <w:t>（4）竣工验收。</w:t>
      </w:r>
    </w:p>
    <w:p>
      <w:pPr>
        <w:spacing w:line="360" w:lineRule="auto"/>
        <w:ind w:firstLine="420" w:firstLineChars="200"/>
        <w:rPr>
          <w:color w:val="auto"/>
          <w:highlight w:val="none"/>
        </w:rPr>
      </w:pPr>
      <w:r>
        <w:rPr>
          <w:rFonts w:hint="eastAsia"/>
          <w:color w:val="auto"/>
          <w:highlight w:val="none"/>
        </w:rPr>
        <w:t xml:space="preserve">标段划分：本项目划分为一个标段。 </w:t>
      </w:r>
    </w:p>
    <w:p>
      <w:pPr>
        <w:spacing w:line="360" w:lineRule="auto"/>
        <w:ind w:firstLine="420" w:firstLineChars="200"/>
        <w:rPr>
          <w:color w:val="auto"/>
          <w:highlight w:val="none"/>
        </w:rPr>
      </w:pPr>
      <w:r>
        <w:rPr>
          <w:rFonts w:hint="eastAsia"/>
          <w:color w:val="auto"/>
          <w:highlight w:val="none"/>
        </w:rPr>
        <w:t>本项目接受联合体投标</w:t>
      </w:r>
    </w:p>
    <w:p>
      <w:pPr>
        <w:spacing w:line="360" w:lineRule="auto"/>
        <w:ind w:firstLine="420" w:firstLineChars="200"/>
        <w:rPr>
          <w:color w:val="auto"/>
          <w:highlight w:val="none"/>
        </w:rPr>
      </w:pPr>
      <w:r>
        <w:rPr>
          <w:rFonts w:hint="eastAsia" w:ascii="宋体" w:hAnsi="宋体"/>
          <w:color w:val="auto"/>
          <w:szCs w:val="21"/>
          <w:highlight w:val="none"/>
        </w:rPr>
        <w:t>本</w:t>
      </w:r>
      <w:r>
        <w:rPr>
          <w:rFonts w:hint="eastAsia"/>
          <w:color w:val="auto"/>
          <w:highlight w:val="none"/>
        </w:rPr>
        <w:t>项目</w:t>
      </w:r>
      <w:r>
        <w:rPr>
          <w:rFonts w:hint="eastAsia" w:ascii="宋体" w:hAnsi="宋体"/>
          <w:color w:val="auto"/>
          <w:szCs w:val="21"/>
          <w:highlight w:val="none"/>
        </w:rPr>
        <w:t xml:space="preserve"> </w:t>
      </w:r>
      <w:r>
        <w:rPr>
          <w:rFonts w:hint="eastAsia"/>
          <w:color w:val="auto"/>
          <w:highlight w:val="none"/>
        </w:rPr>
        <w:t>□</w:t>
      </w:r>
      <w:r>
        <w:rPr>
          <w:rFonts w:hint="eastAsia" w:ascii="宋体" w:hAnsi="宋体"/>
          <w:color w:val="auto"/>
          <w:szCs w:val="21"/>
          <w:highlight w:val="none"/>
        </w:rPr>
        <w:t xml:space="preserve">要求 </w:t>
      </w:r>
      <w:r>
        <w:rPr>
          <w:rFonts w:hint="eastAsia"/>
          <w:color w:val="auto"/>
          <w:highlight w:val="none"/>
        </w:rPr>
        <w:t>☑不要求采用装配式技术。</w:t>
      </w:r>
    </w:p>
    <w:p>
      <w:pPr>
        <w:pStyle w:val="2"/>
        <w:numPr>
          <w:ilvl w:val="0"/>
          <w:numId w:val="1"/>
        </w:numPr>
        <w:spacing w:line="360" w:lineRule="auto"/>
        <w:rPr>
          <w:rFonts w:ascii="宋体" w:hAnsi="宋体" w:eastAsia="宋体"/>
          <w:color w:val="auto"/>
          <w:sz w:val="24"/>
          <w:szCs w:val="24"/>
          <w:highlight w:val="none"/>
        </w:rPr>
      </w:pPr>
      <w:bookmarkStart w:id="20" w:name="_Toc419364203"/>
      <w:bookmarkStart w:id="21" w:name="_Toc19034608"/>
      <w:bookmarkStart w:id="22" w:name="_Toc433988545"/>
      <w:bookmarkStart w:id="23" w:name="_Toc395382355"/>
      <w:bookmarkStart w:id="24" w:name="_Toc389065124"/>
      <w:bookmarkStart w:id="25" w:name="_Toc419363479"/>
      <w:bookmarkStart w:id="26" w:name="_Toc419321112"/>
      <w:bookmarkStart w:id="27" w:name="_Toc419320076"/>
      <w:r>
        <w:rPr>
          <w:rFonts w:ascii="宋体" w:hAnsi="宋体" w:eastAsia="宋体"/>
          <w:color w:val="auto"/>
          <w:sz w:val="24"/>
          <w:szCs w:val="24"/>
          <w:highlight w:val="none"/>
        </w:rPr>
        <w:t>投标人资格要求</w:t>
      </w:r>
      <w:bookmarkEnd w:id="20"/>
      <w:bookmarkEnd w:id="21"/>
      <w:bookmarkEnd w:id="22"/>
      <w:bookmarkEnd w:id="23"/>
      <w:bookmarkEnd w:id="24"/>
      <w:bookmarkEnd w:id="25"/>
      <w:bookmarkEnd w:id="26"/>
      <w:bookmarkEnd w:id="27"/>
    </w:p>
    <w:p>
      <w:pPr>
        <w:spacing w:line="360" w:lineRule="auto"/>
        <w:ind w:firstLine="420" w:firstLineChars="200"/>
        <w:rPr>
          <w:color w:val="auto"/>
          <w:highlight w:val="none"/>
        </w:rPr>
      </w:pPr>
      <w:r>
        <w:rPr>
          <w:rFonts w:hint="eastAsia"/>
          <w:color w:val="auto"/>
          <w:highlight w:val="none"/>
        </w:rPr>
        <w:t xml:space="preserve">1.满足《中华人民共和国政府采购法》第二十二条规定； </w:t>
      </w:r>
    </w:p>
    <w:p>
      <w:pPr>
        <w:spacing w:line="360" w:lineRule="auto"/>
        <w:ind w:firstLine="420" w:firstLineChars="200"/>
        <w:rPr>
          <w:color w:val="auto"/>
          <w:highlight w:val="none"/>
        </w:rPr>
      </w:pPr>
      <w:r>
        <w:rPr>
          <w:rFonts w:hint="eastAsia"/>
          <w:color w:val="auto"/>
          <w:highlight w:val="none"/>
        </w:rPr>
        <w:t xml:space="preserve">2.落实政府采购政策需满足的资格要求：无 </w:t>
      </w:r>
    </w:p>
    <w:p>
      <w:pPr>
        <w:spacing w:line="360" w:lineRule="auto"/>
        <w:ind w:firstLine="420" w:firstLineChars="200"/>
        <w:rPr>
          <w:color w:val="auto"/>
          <w:highlight w:val="none"/>
        </w:rPr>
      </w:pPr>
      <w:r>
        <w:rPr>
          <w:rFonts w:hint="eastAsia"/>
          <w:color w:val="auto"/>
          <w:highlight w:val="none"/>
        </w:rPr>
        <w:t xml:space="preserve">3.本项目的特定资格要求： </w:t>
      </w:r>
    </w:p>
    <w:p>
      <w:pPr>
        <w:spacing w:line="360" w:lineRule="auto"/>
        <w:ind w:firstLine="420" w:firstLineChars="200"/>
        <w:rPr>
          <w:color w:val="auto"/>
          <w:highlight w:val="none"/>
        </w:rPr>
      </w:pPr>
      <w:r>
        <w:rPr>
          <w:color w:val="auto"/>
          <w:highlight w:val="none"/>
        </w:rPr>
        <w:t>3.1</w:t>
      </w:r>
      <w:r>
        <w:rPr>
          <w:rFonts w:hint="eastAsia" w:ascii="宋体" w:hAnsi="宋体" w:cs="宋体"/>
          <w:color w:val="auto"/>
          <w:kern w:val="0"/>
          <w:sz w:val="20"/>
          <w:szCs w:val="20"/>
          <w:highlight w:val="none"/>
          <w:lang w:bidi="ar"/>
        </w:rPr>
        <w:t>本次</w:t>
      </w:r>
      <w:r>
        <w:rPr>
          <w:rFonts w:hint="eastAsia"/>
          <w:color w:val="auto"/>
          <w:highlight w:val="none"/>
        </w:rPr>
        <w:t>招标要求投标人符合《中华人民共和国政府采购法》第二十二条规定的投标人资格条件，具备独立法人资格，需同时具</w:t>
      </w:r>
      <w:r>
        <w:rPr>
          <w:color w:val="auto"/>
          <w:highlight w:val="none"/>
        </w:rPr>
        <w:t>备</w:t>
      </w:r>
      <w:r>
        <w:rPr>
          <w:rFonts w:hint="eastAsia"/>
          <w:color w:val="auto"/>
          <w:highlight w:val="none"/>
        </w:rPr>
        <w:t>工程设计及施工资质，其中工程设计资质需具备</w:t>
      </w:r>
      <w:r>
        <w:rPr>
          <w:rFonts w:hint="eastAsia"/>
          <w:b/>
          <w:bCs/>
          <w:color w:val="auto"/>
          <w:highlight w:val="none"/>
        </w:rPr>
        <w:t>建筑行业（建筑工程）设计乙级及以上级资质</w:t>
      </w:r>
      <w:r>
        <w:rPr>
          <w:rFonts w:hint="eastAsia"/>
          <w:b/>
          <w:bCs/>
          <w:color w:val="auto"/>
          <w:highlight w:val="none"/>
          <w:lang w:eastAsia="zh-CN"/>
        </w:rPr>
        <w:t>或建筑行业乙级（含乙级）及以上资质</w:t>
      </w:r>
      <w:r>
        <w:rPr>
          <w:rFonts w:hint="eastAsia"/>
          <w:color w:val="auto"/>
          <w:highlight w:val="none"/>
        </w:rPr>
        <w:t>或</w:t>
      </w:r>
      <w:r>
        <w:rPr>
          <w:rFonts w:hint="eastAsia" w:ascii="宋体" w:hAnsi="宋体" w:cs="宋体"/>
          <w:b/>
          <w:color w:val="auto"/>
          <w:kern w:val="0"/>
          <w:szCs w:val="21"/>
          <w:highlight w:val="none"/>
        </w:rPr>
        <w:t>工程设计综合甲级资质</w:t>
      </w:r>
      <w:r>
        <w:rPr>
          <w:rFonts w:hint="eastAsia"/>
          <w:color w:val="auto"/>
          <w:highlight w:val="none"/>
        </w:rPr>
        <w:t>；施工资质要求具备</w:t>
      </w:r>
      <w:r>
        <w:rPr>
          <w:rFonts w:hint="eastAsia"/>
          <w:b/>
          <w:bCs/>
          <w:color w:val="auto"/>
          <w:highlight w:val="none"/>
        </w:rPr>
        <w:t>建筑工程施工总承包三级及以上资质</w:t>
      </w:r>
      <w:r>
        <w:rPr>
          <w:rFonts w:hint="eastAsia"/>
          <w:color w:val="auto"/>
          <w:highlight w:val="none"/>
        </w:rPr>
        <w:t>。</w:t>
      </w:r>
      <w:r>
        <w:rPr>
          <w:rFonts w:eastAsia="楷体_GB2312"/>
          <w:b/>
          <w:color w:val="auto"/>
          <w:szCs w:val="21"/>
          <w:highlight w:val="none"/>
        </w:rPr>
        <w:t>【备注：招标人应当根据国家法律法规对企业资质等级许可的相关规定</w:t>
      </w:r>
      <w:r>
        <w:rPr>
          <w:rFonts w:hint="eastAsia" w:eastAsia="楷体_GB2312"/>
          <w:b/>
          <w:color w:val="auto"/>
          <w:szCs w:val="21"/>
          <w:highlight w:val="none"/>
        </w:rPr>
        <w:t>以及招标项目特点</w:t>
      </w:r>
      <w:r>
        <w:rPr>
          <w:rFonts w:eastAsia="楷体_GB2312"/>
          <w:b/>
          <w:color w:val="auto"/>
          <w:szCs w:val="21"/>
          <w:highlight w:val="none"/>
        </w:rPr>
        <w:t>，合理设置企业资质等级，不得提高资质等级要求】</w:t>
      </w:r>
      <w:r>
        <w:rPr>
          <w:color w:val="auto"/>
          <w:kern w:val="0"/>
          <w:sz w:val="24"/>
          <w:highlight w:val="none"/>
        </w:rPr>
        <w:t>，</w:t>
      </w:r>
      <w:r>
        <w:rPr>
          <w:rFonts w:hint="eastAsia"/>
          <w:color w:val="auto"/>
          <w:highlight w:val="none"/>
        </w:rPr>
        <w:t>具有有效的安全生产许可证，</w:t>
      </w:r>
      <w:r>
        <w:rPr>
          <w:color w:val="auto"/>
          <w:highlight w:val="none"/>
        </w:rPr>
        <w:t>并在人员、设备、资金等方面具</w:t>
      </w:r>
      <w:r>
        <w:rPr>
          <w:rFonts w:hint="eastAsia"/>
          <w:color w:val="auto"/>
          <w:highlight w:val="none"/>
        </w:rPr>
        <w:t>备相</w:t>
      </w:r>
      <w:r>
        <w:rPr>
          <w:color w:val="auto"/>
          <w:highlight w:val="none"/>
        </w:rPr>
        <w:t>应的</w:t>
      </w:r>
      <w:r>
        <w:rPr>
          <w:rFonts w:hint="eastAsia"/>
          <w:color w:val="auto"/>
          <w:highlight w:val="none"/>
        </w:rPr>
        <w:t>履约</w:t>
      </w:r>
      <w:r>
        <w:rPr>
          <w:color w:val="auto"/>
          <w:highlight w:val="none"/>
        </w:rPr>
        <w:t>能力</w:t>
      </w:r>
      <w:r>
        <w:rPr>
          <w:rFonts w:hint="eastAsia"/>
          <w:color w:val="auto"/>
          <w:highlight w:val="none"/>
        </w:rPr>
        <w:t>。</w:t>
      </w:r>
    </w:p>
    <w:p>
      <w:pPr>
        <w:spacing w:line="360" w:lineRule="auto"/>
        <w:ind w:firstLine="420" w:firstLineChars="200"/>
        <w:rPr>
          <w:color w:val="auto"/>
          <w:highlight w:val="none"/>
        </w:rPr>
      </w:pPr>
      <w:r>
        <w:rPr>
          <w:color w:val="auto"/>
          <w:highlight w:val="none"/>
        </w:rPr>
        <w:t>3.</w:t>
      </w:r>
      <w:r>
        <w:rPr>
          <w:rFonts w:hint="eastAsia"/>
          <w:color w:val="auto"/>
          <w:highlight w:val="none"/>
        </w:rPr>
        <w:t>2</w:t>
      </w:r>
      <w:r>
        <w:rPr>
          <w:color w:val="auto"/>
          <w:highlight w:val="none"/>
        </w:rPr>
        <w:t>主要负责人</w:t>
      </w:r>
      <w:r>
        <w:rPr>
          <w:rFonts w:hint="eastAsia"/>
          <w:color w:val="auto"/>
          <w:highlight w:val="none"/>
        </w:rPr>
        <w:t>员</w:t>
      </w:r>
      <w:r>
        <w:rPr>
          <w:color w:val="auto"/>
          <w:highlight w:val="none"/>
        </w:rPr>
        <w:t>要求：</w:t>
      </w:r>
    </w:p>
    <w:p>
      <w:pPr>
        <w:spacing w:line="360" w:lineRule="auto"/>
        <w:ind w:firstLine="420" w:firstLineChars="200"/>
        <w:rPr>
          <w:rFonts w:eastAsia="楷体_GB2312"/>
          <w:b/>
          <w:color w:val="auto"/>
          <w:szCs w:val="21"/>
          <w:highlight w:val="none"/>
        </w:rPr>
      </w:pPr>
      <w:r>
        <w:rPr>
          <w:rFonts w:hint="eastAsia"/>
          <w:color w:val="auto"/>
          <w:szCs w:val="21"/>
          <w:highlight w:val="none"/>
        </w:rPr>
        <w:t>3.2.1</w:t>
      </w:r>
      <w:r>
        <w:rPr>
          <w:rFonts w:ascii="宋体" w:hAnsi="宋体"/>
          <w:color w:val="auto"/>
          <w:szCs w:val="21"/>
          <w:highlight w:val="none"/>
        </w:rPr>
        <w:t>项目总负责人：</w:t>
      </w:r>
      <w:r>
        <w:rPr>
          <w:rFonts w:hint="eastAsia" w:ascii="宋体" w:hAnsi="宋体"/>
          <w:color w:val="auto"/>
          <w:highlight w:val="none"/>
        </w:rPr>
        <w:t>具有</w:t>
      </w:r>
      <w:r>
        <w:rPr>
          <w:rFonts w:hint="eastAsia"/>
          <w:color w:val="auto"/>
          <w:highlight w:val="none"/>
        </w:rPr>
        <w:t>贰级以上（含贰级）</w:t>
      </w:r>
      <w:r>
        <w:rPr>
          <w:rFonts w:hint="eastAsia" w:ascii="宋体" w:hAnsi="宋体"/>
          <w:color w:val="auto"/>
          <w:highlight w:val="none"/>
        </w:rPr>
        <w:t>注册建筑师或</w:t>
      </w:r>
      <w:r>
        <w:rPr>
          <w:rFonts w:hint="eastAsia"/>
          <w:color w:val="auto"/>
          <w:highlight w:val="none"/>
        </w:rPr>
        <w:t>贰级以上（含贰级）</w:t>
      </w:r>
      <w:r>
        <w:rPr>
          <w:rFonts w:hint="eastAsia" w:ascii="宋体" w:hAnsi="宋体"/>
          <w:color w:val="auto"/>
          <w:highlight w:val="none"/>
        </w:rPr>
        <w:t>注册结构师或</w:t>
      </w:r>
      <w:bookmarkStart w:id="28" w:name="OLE_LINK9"/>
      <w:r>
        <w:rPr>
          <w:rFonts w:hint="eastAsia" w:ascii="宋体" w:hAnsi="宋体"/>
          <w:color w:val="auto"/>
          <w:highlight w:val="none"/>
        </w:rPr>
        <w:t>贰级以上（含贰级）注册建造师</w:t>
      </w:r>
      <w:bookmarkEnd w:id="28"/>
      <w:r>
        <w:rPr>
          <w:rFonts w:hint="eastAsia" w:ascii="宋体" w:hAnsi="宋体"/>
          <w:color w:val="auto"/>
          <w:highlight w:val="none"/>
        </w:rPr>
        <w:t>（建筑工程专业）执业资格。</w:t>
      </w:r>
      <w:r>
        <w:rPr>
          <w:rFonts w:eastAsia="楷体_GB2312"/>
          <w:b/>
          <w:color w:val="auto"/>
          <w:szCs w:val="21"/>
          <w:highlight w:val="none"/>
        </w:rPr>
        <w:t>【备注：</w:t>
      </w:r>
      <w:r>
        <w:rPr>
          <w:rFonts w:hint="eastAsia" w:eastAsia="楷体_GB2312"/>
          <w:b/>
          <w:color w:val="auto"/>
          <w:szCs w:val="21"/>
          <w:highlight w:val="none"/>
        </w:rPr>
        <w:t>建议招标人可选择与工程规模相适应的注册建筑师、注册结构工程师、注册建造师等作为项目总负责人</w:t>
      </w:r>
      <w:r>
        <w:rPr>
          <w:rFonts w:eastAsia="楷体_GB2312"/>
          <w:b/>
          <w:color w:val="auto"/>
          <w:szCs w:val="21"/>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color w:val="auto"/>
          <w:szCs w:val="21"/>
          <w:highlight w:val="none"/>
        </w:rPr>
        <w:t>3.2.2项目</w:t>
      </w:r>
      <w:r>
        <w:rPr>
          <w:rFonts w:ascii="宋体" w:hAnsi="宋体"/>
          <w:color w:val="auto"/>
          <w:szCs w:val="21"/>
          <w:highlight w:val="none"/>
        </w:rPr>
        <w:t>设计负责人：具有</w:t>
      </w:r>
      <w:r>
        <w:rPr>
          <w:rFonts w:hint="eastAsia"/>
          <w:color w:val="auto"/>
          <w:highlight w:val="none"/>
        </w:rPr>
        <w:t>贰级以上（含贰级）</w:t>
      </w:r>
      <w:r>
        <w:rPr>
          <w:rFonts w:ascii="宋体" w:hAnsi="宋体"/>
          <w:color w:val="auto"/>
          <w:szCs w:val="21"/>
          <w:highlight w:val="none"/>
        </w:rPr>
        <w:t>注册</w:t>
      </w:r>
      <w:r>
        <w:rPr>
          <w:rFonts w:hint="eastAsia" w:ascii="宋体" w:hAnsi="宋体"/>
          <w:color w:val="auto"/>
          <w:szCs w:val="21"/>
          <w:highlight w:val="none"/>
        </w:rPr>
        <w:t>建筑师或</w:t>
      </w:r>
      <w:r>
        <w:rPr>
          <w:rFonts w:hint="eastAsia"/>
          <w:color w:val="auto"/>
          <w:highlight w:val="none"/>
        </w:rPr>
        <w:t>贰级以上（含贰级）</w:t>
      </w:r>
      <w:r>
        <w:rPr>
          <w:rFonts w:hint="eastAsia" w:ascii="宋体" w:hAnsi="宋体"/>
          <w:color w:val="auto"/>
          <w:szCs w:val="21"/>
          <w:highlight w:val="none"/>
        </w:rPr>
        <w:t>注册结构师执业资格</w:t>
      </w:r>
      <w:r>
        <w:rPr>
          <w:rFonts w:ascii="宋体" w:hAnsi="宋体"/>
          <w:color w:val="auto"/>
          <w:szCs w:val="21"/>
          <w:highlight w:val="none"/>
        </w:rPr>
        <w:t>和</w:t>
      </w:r>
      <w:r>
        <w:rPr>
          <w:rFonts w:hint="eastAsia" w:ascii="宋体" w:hAnsi="宋体"/>
          <w:color w:val="auto"/>
          <w:szCs w:val="21"/>
          <w:highlight w:val="none"/>
        </w:rPr>
        <w:t>中级及以上</w:t>
      </w:r>
      <w:r>
        <w:rPr>
          <w:rFonts w:ascii="宋体" w:hAnsi="宋体"/>
          <w:color w:val="auto"/>
          <w:szCs w:val="21"/>
          <w:highlight w:val="none"/>
        </w:rPr>
        <w:t>职称</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color w:val="auto"/>
          <w:szCs w:val="21"/>
          <w:highlight w:val="none"/>
        </w:rPr>
        <w:t>3.2.3</w:t>
      </w:r>
      <w:r>
        <w:rPr>
          <w:rFonts w:hint="eastAsia" w:ascii="宋体" w:hAnsi="宋体"/>
          <w:color w:val="auto"/>
          <w:szCs w:val="21"/>
          <w:highlight w:val="none"/>
        </w:rPr>
        <w:t>项目经理</w:t>
      </w:r>
      <w:r>
        <w:rPr>
          <w:rFonts w:ascii="宋体" w:hAnsi="宋体"/>
          <w:color w:val="auto"/>
          <w:szCs w:val="21"/>
          <w:highlight w:val="none"/>
        </w:rPr>
        <w:t>：具有</w:t>
      </w:r>
      <w:r>
        <w:rPr>
          <w:rFonts w:hint="eastAsia"/>
          <w:color w:val="auto"/>
          <w:highlight w:val="none"/>
        </w:rPr>
        <w:t>建筑工程</w:t>
      </w:r>
      <w:r>
        <w:rPr>
          <w:rFonts w:ascii="宋体" w:hAnsi="宋体"/>
          <w:color w:val="auto"/>
          <w:szCs w:val="21"/>
          <w:highlight w:val="none"/>
        </w:rPr>
        <w:t>专业的</w:t>
      </w:r>
      <w:r>
        <w:rPr>
          <w:rFonts w:hint="eastAsia" w:ascii="宋体" w:hAnsi="宋体"/>
          <w:color w:val="auto"/>
          <w:szCs w:val="21"/>
          <w:highlight w:val="none"/>
        </w:rPr>
        <w:t>二</w:t>
      </w:r>
      <w:r>
        <w:rPr>
          <w:rFonts w:ascii="宋体" w:hAnsi="宋体"/>
          <w:color w:val="auto"/>
          <w:szCs w:val="21"/>
          <w:highlight w:val="none"/>
        </w:rPr>
        <w:t>级以上（含</w:t>
      </w:r>
      <w:r>
        <w:rPr>
          <w:rFonts w:hint="eastAsia" w:ascii="宋体" w:hAnsi="宋体"/>
          <w:color w:val="auto"/>
          <w:szCs w:val="21"/>
          <w:highlight w:val="none"/>
        </w:rPr>
        <w:t>二</w:t>
      </w:r>
      <w:r>
        <w:rPr>
          <w:rFonts w:ascii="宋体" w:hAnsi="宋体"/>
          <w:color w:val="auto"/>
          <w:szCs w:val="21"/>
          <w:highlight w:val="none"/>
        </w:rPr>
        <w:t>级）注册建造师</w:t>
      </w:r>
      <w:r>
        <w:rPr>
          <w:rFonts w:hint="eastAsia" w:ascii="宋体" w:hAnsi="宋体"/>
          <w:color w:val="auto"/>
          <w:szCs w:val="21"/>
          <w:highlight w:val="none"/>
        </w:rPr>
        <w:t>证书</w:t>
      </w:r>
      <w:r>
        <w:rPr>
          <w:rFonts w:ascii="宋体" w:hAnsi="宋体"/>
          <w:color w:val="auto"/>
          <w:szCs w:val="21"/>
          <w:highlight w:val="none"/>
        </w:rPr>
        <w:t>及以上资格证书</w:t>
      </w:r>
      <w:r>
        <w:rPr>
          <w:rFonts w:hint="eastAsia" w:ascii="宋体" w:hAnsi="宋体"/>
          <w:color w:val="auto"/>
          <w:szCs w:val="21"/>
          <w:highlight w:val="none"/>
        </w:rPr>
        <w:t>，</w:t>
      </w:r>
      <w:r>
        <w:rPr>
          <w:rFonts w:hint="eastAsia"/>
          <w:color w:val="auto"/>
          <w:highlight w:val="none"/>
        </w:rPr>
        <w:t>具备有效的安全生产考核合格证书（B类）。</w:t>
      </w:r>
      <w:r>
        <w:rPr>
          <w:rFonts w:hint="eastAsia" w:ascii="宋体" w:hAnsi="宋体"/>
          <w:color w:val="auto"/>
          <w:szCs w:val="21"/>
          <w:highlight w:val="none"/>
        </w:rPr>
        <w:t>本项目不接受有在建、已中标未开工或已列为其他项目中标候选人第一名的建造师作为项目经理。</w:t>
      </w:r>
    </w:p>
    <w:p>
      <w:pPr>
        <w:spacing w:line="360" w:lineRule="auto"/>
        <w:ind w:firstLine="420" w:firstLineChars="200"/>
        <w:rPr>
          <w:color w:val="auto"/>
          <w:highlight w:val="none"/>
        </w:rPr>
      </w:pPr>
      <w:r>
        <w:rPr>
          <w:rFonts w:hint="eastAsia" w:ascii="宋体" w:hAnsi="宋体"/>
          <w:color w:val="auto"/>
          <w:szCs w:val="21"/>
          <w:highlight w:val="none"/>
        </w:rPr>
        <w:t>3.2.4 项目施工专职安全员：</w:t>
      </w:r>
      <w:r>
        <w:rPr>
          <w:color w:val="auto"/>
          <w:highlight w:val="none"/>
        </w:rPr>
        <w:t>具备有效的</w:t>
      </w:r>
      <w:r>
        <w:rPr>
          <w:rFonts w:hint="eastAsia"/>
          <w:color w:val="auto"/>
          <w:highlight w:val="none"/>
        </w:rPr>
        <w:t>专职安全员安全生产考核合格证书（C类）。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3.2.5 其他</w:t>
      </w:r>
      <w:r>
        <w:rPr>
          <w:rFonts w:hint="eastAsia"/>
          <w:color w:val="auto"/>
          <w:highlight w:val="none"/>
        </w:rPr>
        <w:t>要求</w:t>
      </w:r>
      <w:r>
        <w:rPr>
          <w:rFonts w:hint="eastAsia" w:ascii="宋体" w:hAnsi="宋体"/>
          <w:color w:val="auto"/>
          <w:szCs w:val="21"/>
          <w:highlight w:val="none"/>
        </w:rPr>
        <w:t>：以上人员不能为同一人且必须为投标单位本单位人员。</w:t>
      </w:r>
    </w:p>
    <w:p>
      <w:pPr>
        <w:spacing w:line="360" w:lineRule="auto"/>
        <w:ind w:firstLine="420" w:firstLineChars="200"/>
        <w:rPr>
          <w:color w:val="auto"/>
          <w:highlight w:val="none"/>
        </w:rPr>
      </w:pPr>
      <w:r>
        <w:rPr>
          <w:color w:val="auto"/>
          <w:highlight w:val="none"/>
        </w:rPr>
        <w:t>3.</w:t>
      </w:r>
      <w:r>
        <w:rPr>
          <w:rFonts w:hint="eastAsia"/>
          <w:color w:val="auto"/>
          <w:highlight w:val="none"/>
        </w:rPr>
        <w:t>3</w:t>
      </w:r>
      <w:r>
        <w:rPr>
          <w:color w:val="auto"/>
          <w:highlight w:val="none"/>
        </w:rPr>
        <w:t xml:space="preserve"> 本次招标接受联合体投标。联合体投标的，应满足下列要求：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3.3.1</w:t>
      </w:r>
      <w:r>
        <w:rPr>
          <w:rFonts w:ascii="宋体" w:hAnsi="宋体"/>
          <w:color w:val="auto"/>
          <w:szCs w:val="21"/>
          <w:highlight w:val="none"/>
        </w:rPr>
        <w:t>本项目</w:t>
      </w:r>
      <w:r>
        <w:rPr>
          <w:color w:val="auto"/>
          <w:highlight w:val="none"/>
        </w:rPr>
        <w:t>接受</w:t>
      </w:r>
      <w:r>
        <w:rPr>
          <w:rFonts w:ascii="宋体" w:hAnsi="宋体"/>
          <w:color w:val="auto"/>
          <w:szCs w:val="21"/>
          <w:highlight w:val="none"/>
        </w:rPr>
        <w:t>由</w:t>
      </w:r>
      <w:r>
        <w:rPr>
          <w:rFonts w:hint="eastAsia" w:ascii="宋体" w:hAnsi="宋体"/>
          <w:color w:val="auto"/>
          <w:szCs w:val="21"/>
          <w:highlight w:val="none"/>
        </w:rPr>
        <w:t>具有</w:t>
      </w:r>
      <w:r>
        <w:rPr>
          <w:rFonts w:ascii="宋体" w:hAnsi="宋体"/>
          <w:color w:val="auto"/>
          <w:szCs w:val="21"/>
          <w:highlight w:val="none"/>
        </w:rPr>
        <w:t>独立法人资格</w:t>
      </w:r>
      <w:r>
        <w:rPr>
          <w:rFonts w:hint="eastAsia" w:ascii="宋体" w:hAnsi="宋体"/>
          <w:color w:val="auto"/>
          <w:szCs w:val="21"/>
          <w:highlight w:val="none"/>
        </w:rPr>
        <w:t>的设计或施工单位</w:t>
      </w:r>
      <w:r>
        <w:rPr>
          <w:rFonts w:ascii="宋体" w:hAnsi="宋体"/>
          <w:color w:val="auto"/>
          <w:szCs w:val="21"/>
          <w:highlight w:val="none"/>
        </w:rPr>
        <w:t>作为牵头人组成的</w:t>
      </w:r>
      <w:r>
        <w:rPr>
          <w:rFonts w:hint="eastAsia" w:ascii="宋体" w:hAnsi="宋体"/>
          <w:color w:val="auto"/>
          <w:szCs w:val="21"/>
          <w:highlight w:val="none"/>
        </w:rPr>
        <w:t>工程</w:t>
      </w:r>
      <w:r>
        <w:rPr>
          <w:rFonts w:ascii="宋体" w:hAnsi="宋体"/>
          <w:color w:val="auto"/>
          <w:szCs w:val="21"/>
          <w:highlight w:val="none"/>
        </w:rPr>
        <w:t>总承包的联合体投标</w:t>
      </w:r>
      <w:r>
        <w:rPr>
          <w:rFonts w:hint="eastAsia" w:ascii="宋体" w:hAnsi="宋体"/>
          <w:color w:val="auto"/>
          <w:szCs w:val="21"/>
          <w:highlight w:val="none"/>
        </w:rPr>
        <w:t>。</w:t>
      </w:r>
      <w:r>
        <w:rPr>
          <w:rFonts w:ascii="宋体" w:hAnsi="宋体"/>
          <w:color w:val="auto"/>
          <w:szCs w:val="21"/>
          <w:highlight w:val="none"/>
        </w:rPr>
        <w:t>联合体成员由1家</w:t>
      </w:r>
      <w:r>
        <w:rPr>
          <w:rFonts w:hint="eastAsia" w:ascii="宋体" w:hAnsi="宋体"/>
          <w:color w:val="auto"/>
          <w:szCs w:val="21"/>
          <w:highlight w:val="none"/>
        </w:rPr>
        <w:t>设计单位和</w:t>
      </w:r>
      <w:r>
        <w:rPr>
          <w:rFonts w:ascii="宋体" w:hAnsi="宋体"/>
          <w:color w:val="auto"/>
          <w:szCs w:val="21"/>
          <w:highlight w:val="none"/>
        </w:rPr>
        <w:t>1家</w:t>
      </w:r>
      <w:r>
        <w:rPr>
          <w:rFonts w:hint="eastAsia" w:ascii="宋体" w:hAnsi="宋体"/>
          <w:color w:val="auto"/>
          <w:szCs w:val="21"/>
          <w:highlight w:val="none"/>
        </w:rPr>
        <w:t>施工单位</w:t>
      </w:r>
      <w:r>
        <w:rPr>
          <w:rFonts w:ascii="宋体" w:hAnsi="宋体"/>
          <w:color w:val="auto"/>
          <w:szCs w:val="21"/>
          <w:highlight w:val="none"/>
        </w:rPr>
        <w:t>组成，联合体各方均应符合</w:t>
      </w:r>
      <w:r>
        <w:rPr>
          <w:rFonts w:hint="eastAsia" w:ascii="宋体" w:hAnsi="宋体"/>
          <w:color w:val="auto"/>
          <w:szCs w:val="21"/>
          <w:highlight w:val="none"/>
        </w:rPr>
        <w:t>“具有独立法人资格”、</w:t>
      </w:r>
      <w:r>
        <w:rPr>
          <w:rFonts w:ascii="宋体" w:hAnsi="宋体"/>
          <w:color w:val="auto"/>
          <w:szCs w:val="21"/>
          <w:highlight w:val="none"/>
        </w:rPr>
        <w:t>“具有独立承担民事责任的能力”的条件</w:t>
      </w:r>
      <w:r>
        <w:rPr>
          <w:rFonts w:hint="eastAsia" w:ascii="宋体" w:hAnsi="宋体"/>
          <w:color w:val="auto"/>
          <w:szCs w:val="21"/>
          <w:highlight w:val="none"/>
        </w:rPr>
        <w:t>，其中施工单位须具备有效的安全生产许可证；</w:t>
      </w:r>
      <w:r>
        <w:rPr>
          <w:rFonts w:ascii="宋体" w:hAnsi="宋体"/>
          <w:b/>
          <w:color w:val="auto"/>
          <w:szCs w:val="21"/>
          <w:highlight w:val="none"/>
        </w:rPr>
        <w:t>其中设计资质要求</w:t>
      </w:r>
      <w:r>
        <w:rPr>
          <w:rFonts w:hint="eastAsia" w:ascii="宋体" w:hAnsi="宋体"/>
          <w:b/>
          <w:color w:val="auto"/>
          <w:szCs w:val="21"/>
          <w:highlight w:val="none"/>
        </w:rPr>
        <w:t>具备</w:t>
      </w:r>
      <w:r>
        <w:rPr>
          <w:rFonts w:hint="eastAsia" w:ascii="宋体" w:hAnsi="宋体" w:cs="宋体"/>
          <w:b/>
          <w:bCs/>
          <w:color w:val="auto"/>
          <w:kern w:val="0"/>
          <w:szCs w:val="21"/>
          <w:highlight w:val="none"/>
          <w:u w:val="single"/>
        </w:rPr>
        <w:t>建筑行业（建筑工程）设计乙级及以上资质</w:t>
      </w:r>
      <w:r>
        <w:rPr>
          <w:rFonts w:hint="eastAsia"/>
          <w:b/>
          <w:bCs/>
          <w:color w:val="auto"/>
          <w:highlight w:val="none"/>
          <w:u w:val="single"/>
          <w:lang w:eastAsia="zh-CN"/>
        </w:rPr>
        <w:t>或建筑行业乙级（含乙级）及以上资质</w:t>
      </w:r>
      <w:r>
        <w:rPr>
          <w:rFonts w:hint="eastAsia" w:ascii="宋体" w:hAnsi="宋体" w:cs="宋体"/>
          <w:b/>
          <w:bCs/>
          <w:color w:val="auto"/>
          <w:kern w:val="0"/>
          <w:szCs w:val="21"/>
          <w:highlight w:val="none"/>
          <w:u w:val="single"/>
        </w:rPr>
        <w:t>或工程设计综合甲级资质</w:t>
      </w:r>
      <w:r>
        <w:rPr>
          <w:rFonts w:hint="eastAsia" w:ascii="宋体" w:hAnsi="宋体" w:cs="宋体"/>
          <w:b/>
          <w:bCs/>
          <w:iCs/>
          <w:color w:val="auto"/>
          <w:highlight w:val="none"/>
        </w:rPr>
        <w:t>；</w:t>
      </w:r>
      <w:r>
        <w:rPr>
          <w:rFonts w:hint="eastAsia" w:ascii="宋体" w:hAnsi="宋体"/>
          <w:b/>
          <w:color w:val="auto"/>
          <w:szCs w:val="21"/>
          <w:highlight w:val="none"/>
        </w:rPr>
        <w:t>施工资质要求具备</w:t>
      </w:r>
      <w:r>
        <w:rPr>
          <w:rFonts w:hint="eastAsia" w:ascii="宋体" w:hAnsi="宋体" w:cs="宋体"/>
          <w:b/>
          <w:color w:val="auto"/>
          <w:szCs w:val="21"/>
          <w:highlight w:val="none"/>
          <w:u w:val="single"/>
        </w:rPr>
        <w:t>建筑工程施工总承包叁级及以上资质</w:t>
      </w:r>
      <w:r>
        <w:rPr>
          <w:rFonts w:hint="eastAsia" w:ascii="宋体" w:hAnsi="宋体"/>
          <w:b/>
          <w:color w:val="auto"/>
          <w:szCs w:val="21"/>
          <w:highlight w:val="none"/>
        </w:rPr>
        <w:t>，具有有效的安全生产许可证</w:t>
      </w:r>
      <w:r>
        <w:rPr>
          <w:rFonts w:hint="eastAsia" w:ascii="宋体" w:hAnsi="宋体"/>
          <w:color w:val="auto"/>
          <w:szCs w:val="21"/>
          <w:highlight w:val="none"/>
        </w:rPr>
        <w:t>。</w:t>
      </w:r>
    </w:p>
    <w:p>
      <w:pPr>
        <w:spacing w:line="360" w:lineRule="auto"/>
        <w:ind w:firstLine="420" w:firstLineChars="200"/>
        <w:rPr>
          <w:color w:val="auto"/>
          <w:szCs w:val="21"/>
          <w:highlight w:val="none"/>
        </w:rPr>
      </w:pPr>
      <w:r>
        <w:rPr>
          <w:rFonts w:hint="eastAsia"/>
          <w:color w:val="auto"/>
          <w:szCs w:val="21"/>
          <w:highlight w:val="none"/>
        </w:rPr>
        <w:t>3.3.2联合体</w:t>
      </w:r>
      <w:r>
        <w:rPr>
          <w:rFonts w:hint="eastAsia"/>
          <w:color w:val="auto"/>
          <w:highlight w:val="none"/>
        </w:rPr>
        <w:t>各方</w:t>
      </w:r>
      <w:r>
        <w:rPr>
          <w:rFonts w:hint="eastAsia"/>
          <w:color w:val="auto"/>
          <w:szCs w:val="21"/>
          <w:highlight w:val="none"/>
        </w:rPr>
        <w:t>应当签订联合体协议书，其中联合体牵头人代表联合体各方成员负责投标和合同实施阶段的主办、协调工作，但联合体其他成员在投标、签约与履行合同过程中，仍负有连带的和各自的法律责任。</w:t>
      </w:r>
    </w:p>
    <w:p>
      <w:pPr>
        <w:spacing w:line="360" w:lineRule="auto"/>
        <w:ind w:firstLine="420" w:firstLineChars="200"/>
        <w:rPr>
          <w:color w:val="auto"/>
          <w:szCs w:val="21"/>
          <w:highlight w:val="none"/>
        </w:rPr>
      </w:pPr>
      <w:r>
        <w:rPr>
          <w:color w:val="auto"/>
          <w:highlight w:val="none"/>
        </w:rPr>
        <w:t>3.</w:t>
      </w:r>
      <w:r>
        <w:rPr>
          <w:rFonts w:hint="eastAsia"/>
          <w:color w:val="auto"/>
          <w:highlight w:val="none"/>
        </w:rPr>
        <w:t>4</w:t>
      </w:r>
      <w:r>
        <w:rPr>
          <w:rFonts w:hint="eastAsia" w:ascii="宋体" w:hAnsi="宋体"/>
          <w:color w:val="auto"/>
          <w:szCs w:val="21"/>
          <w:highlight w:val="none"/>
        </w:rPr>
        <w:t>对在</w:t>
      </w:r>
      <w:r>
        <w:rPr>
          <w:rFonts w:hint="eastAsia"/>
          <w:color w:val="auto"/>
          <w:highlight w:val="none"/>
        </w:rPr>
        <w:t>“信用中国”</w:t>
      </w:r>
      <w:r>
        <w:rPr>
          <w:rFonts w:hint="eastAsia" w:ascii="宋体" w:hAnsi="宋体"/>
          <w:color w:val="auto"/>
          <w:szCs w:val="21"/>
          <w:highlight w:val="none"/>
        </w:rPr>
        <w:t>网站(www.creditchina.gov.cn)、中国政府采购网(www.ccgp.gov.cn)等渠道列 入失信被执行人、重大税收违法案件当事人名单、政府采购严重违法失信行为记录名单及其他不符合《中 华人民共和国政府采购法》第二十二条规定条件的供应商，不得参与政府采购活动</w:t>
      </w:r>
      <w:r>
        <w:rPr>
          <w:color w:val="auto"/>
          <w:szCs w:val="21"/>
          <w:highlight w:val="none"/>
        </w:rPr>
        <w:t>。</w:t>
      </w:r>
    </w:p>
    <w:p>
      <w:pPr>
        <w:spacing w:line="360" w:lineRule="auto"/>
        <w:ind w:firstLine="420" w:firstLineChars="200"/>
        <w:rPr>
          <w:rFonts w:ascii="宋体" w:hAnsi="宋体"/>
          <w:color w:val="auto"/>
          <w:szCs w:val="21"/>
          <w:highlight w:val="none"/>
        </w:rPr>
      </w:pPr>
      <w:r>
        <w:rPr>
          <w:color w:val="auto"/>
          <w:szCs w:val="21"/>
          <w:highlight w:val="none"/>
        </w:rPr>
        <w:t>3.</w:t>
      </w:r>
      <w:r>
        <w:rPr>
          <w:rFonts w:hint="eastAsia"/>
          <w:color w:val="auto"/>
          <w:szCs w:val="21"/>
          <w:highlight w:val="none"/>
        </w:rPr>
        <w:t>5</w:t>
      </w:r>
      <w:r>
        <w:rPr>
          <w:color w:val="auto"/>
          <w:szCs w:val="21"/>
          <w:highlight w:val="none"/>
        </w:rPr>
        <w:t>业绩</w:t>
      </w:r>
      <w:r>
        <w:rPr>
          <w:color w:val="auto"/>
          <w:highlight w:val="none"/>
        </w:rPr>
        <w:t>要求</w:t>
      </w:r>
      <w:r>
        <w:rPr>
          <w:rFonts w:ascii="宋体" w:hAnsi="宋体"/>
          <w:color w:val="auto"/>
          <w:szCs w:val="21"/>
          <w:highlight w:val="none"/>
        </w:rPr>
        <w:t>：</w:t>
      </w:r>
      <w:r>
        <w:rPr>
          <w:rFonts w:hint="eastAsia" w:ascii="宋体" w:hAnsi="宋体"/>
          <w:color w:val="auto"/>
          <w:szCs w:val="21"/>
          <w:highlight w:val="none"/>
        </w:rPr>
        <w:t>联合体成员中具备已完成的结构实验台座反力墙或反力台座项</w:t>
      </w:r>
      <w:r>
        <w:rPr>
          <w:rFonts w:ascii="宋体" w:hAnsi="宋体"/>
          <w:color w:val="auto"/>
          <w:szCs w:val="21"/>
          <w:highlight w:val="none"/>
        </w:rPr>
        <w:t>目</w:t>
      </w:r>
      <w:r>
        <w:rPr>
          <w:rFonts w:hint="eastAsia" w:ascii="宋体" w:hAnsi="宋体"/>
          <w:color w:val="auto"/>
          <w:szCs w:val="21"/>
          <w:highlight w:val="none"/>
        </w:rPr>
        <w:t>的设计或施工的工程业绩（须提供加盖单位公章的合同</w:t>
      </w:r>
      <w:r>
        <w:rPr>
          <w:rFonts w:hint="eastAsia" w:ascii="宋体" w:hAnsi="宋体"/>
          <w:color w:val="auto"/>
          <w:szCs w:val="21"/>
          <w:highlight w:val="none"/>
          <w:lang w:eastAsia="zh-CN"/>
        </w:rPr>
        <w:t>或</w:t>
      </w:r>
      <w:r>
        <w:rPr>
          <w:rFonts w:hint="eastAsia" w:ascii="宋体" w:hAnsi="宋体"/>
          <w:color w:val="auto"/>
          <w:szCs w:val="21"/>
          <w:highlight w:val="none"/>
        </w:rPr>
        <w:t>中标通知书的复印件）。</w:t>
      </w:r>
    </w:p>
    <w:p>
      <w:pPr>
        <w:spacing w:line="360" w:lineRule="auto"/>
        <w:ind w:firstLine="420" w:firstLineChars="200"/>
        <w:rPr>
          <w:color w:val="auto"/>
          <w:szCs w:val="21"/>
          <w:highlight w:val="none"/>
        </w:rPr>
      </w:pPr>
      <w:r>
        <w:rPr>
          <w:rFonts w:hint="eastAsia"/>
          <w:color w:val="auto"/>
          <w:highlight w:val="none"/>
        </w:rPr>
        <w:t>类似业绩时间要求：2</w:t>
      </w:r>
      <w:r>
        <w:rPr>
          <w:color w:val="auto"/>
          <w:highlight w:val="none"/>
        </w:rPr>
        <w:t>015</w:t>
      </w:r>
      <w:r>
        <w:rPr>
          <w:rFonts w:hint="eastAsia"/>
          <w:color w:val="auto"/>
          <w:highlight w:val="none"/>
        </w:rPr>
        <w:t>年1月1日</w:t>
      </w:r>
      <w:r>
        <w:rPr>
          <w:color w:val="auto"/>
          <w:highlight w:val="none"/>
        </w:rPr>
        <w:t>至今</w:t>
      </w:r>
      <w:r>
        <w:rPr>
          <w:rFonts w:hint="eastAsia"/>
          <w:color w:val="auto"/>
          <w:highlight w:val="none"/>
        </w:rPr>
        <w:t>。</w:t>
      </w:r>
    </w:p>
    <w:p>
      <w:pPr>
        <w:pStyle w:val="2"/>
        <w:spacing w:line="240" w:lineRule="auto"/>
        <w:rPr>
          <w:rFonts w:ascii="宋体" w:hAnsi="宋体" w:eastAsia="宋体"/>
          <w:color w:val="auto"/>
          <w:sz w:val="24"/>
          <w:szCs w:val="24"/>
          <w:highlight w:val="none"/>
        </w:rPr>
      </w:pPr>
      <w:bookmarkStart w:id="29" w:name="_Toc419363480"/>
      <w:bookmarkStart w:id="30" w:name="_Toc389065125"/>
      <w:bookmarkStart w:id="31" w:name="_Toc419321113"/>
      <w:bookmarkStart w:id="32" w:name="_Toc419364204"/>
      <w:bookmarkStart w:id="33" w:name="_Toc433988546"/>
      <w:bookmarkStart w:id="34" w:name="_Toc395382356"/>
      <w:bookmarkStart w:id="35" w:name="_Toc419320077"/>
      <w:bookmarkStart w:id="36" w:name="_Toc19034609"/>
      <w:r>
        <w:rPr>
          <w:rFonts w:hint="eastAsia" w:ascii="宋体" w:hAnsi="宋体" w:eastAsia="宋体"/>
          <w:color w:val="auto"/>
          <w:sz w:val="24"/>
          <w:szCs w:val="24"/>
          <w:highlight w:val="none"/>
        </w:rPr>
        <w:t>三</w:t>
      </w:r>
      <w:r>
        <w:rPr>
          <w:rFonts w:ascii="宋体" w:hAnsi="宋体" w:eastAsia="宋体"/>
          <w:color w:val="auto"/>
          <w:sz w:val="24"/>
          <w:szCs w:val="24"/>
          <w:highlight w:val="none"/>
        </w:rPr>
        <w:t xml:space="preserve">. </w:t>
      </w:r>
      <w:bookmarkEnd w:id="29"/>
      <w:bookmarkEnd w:id="30"/>
      <w:bookmarkEnd w:id="31"/>
      <w:bookmarkEnd w:id="32"/>
      <w:bookmarkEnd w:id="33"/>
      <w:bookmarkEnd w:id="34"/>
      <w:bookmarkEnd w:id="35"/>
      <w:bookmarkStart w:id="37" w:name="_Toc419363481"/>
      <w:bookmarkStart w:id="38" w:name="_Toc419320078"/>
      <w:bookmarkStart w:id="39" w:name="_Toc395382357"/>
      <w:bookmarkStart w:id="40" w:name="_Toc389065126"/>
      <w:bookmarkStart w:id="41" w:name="_Toc433988547"/>
      <w:bookmarkStart w:id="42" w:name="_Toc419321114"/>
      <w:bookmarkStart w:id="43" w:name="_Toc419364205"/>
      <w:r>
        <w:rPr>
          <w:rFonts w:ascii="宋体" w:hAnsi="宋体" w:eastAsia="宋体"/>
          <w:color w:val="auto"/>
          <w:sz w:val="24"/>
          <w:szCs w:val="24"/>
          <w:highlight w:val="none"/>
        </w:rPr>
        <w:t>招标文件的获取</w:t>
      </w:r>
      <w:bookmarkEnd w:id="36"/>
      <w:bookmarkEnd w:id="37"/>
      <w:bookmarkEnd w:id="38"/>
      <w:bookmarkEnd w:id="39"/>
      <w:bookmarkEnd w:id="40"/>
      <w:bookmarkEnd w:id="41"/>
      <w:bookmarkEnd w:id="42"/>
      <w:bookmarkEnd w:id="43"/>
    </w:p>
    <w:p>
      <w:pPr>
        <w:pStyle w:val="2"/>
        <w:spacing w:line="240" w:lineRule="auto"/>
        <w:ind w:firstLine="420" w:firstLineChars="200"/>
        <w:rPr>
          <w:rFonts w:ascii="Times New Roman" w:hAnsi="Times New Roman" w:eastAsia="宋体"/>
          <w:b w:val="0"/>
          <w:bCs w:val="0"/>
          <w:color w:val="auto"/>
          <w:szCs w:val="24"/>
          <w:highlight w:val="none"/>
        </w:rPr>
      </w:pPr>
      <w:bookmarkStart w:id="44" w:name="_Toc433988548"/>
      <w:bookmarkStart w:id="45" w:name="_Toc389065127"/>
      <w:bookmarkStart w:id="46" w:name="_Toc19034610"/>
      <w:bookmarkStart w:id="47" w:name="_Toc419363482"/>
      <w:bookmarkStart w:id="48" w:name="_Toc419364206"/>
      <w:bookmarkStart w:id="49" w:name="_Toc395382358"/>
      <w:bookmarkStart w:id="50" w:name="_Toc419320079"/>
      <w:bookmarkStart w:id="51" w:name="_Toc419321115"/>
      <w:r>
        <w:rPr>
          <w:rFonts w:hint="eastAsia" w:ascii="Times New Roman" w:hAnsi="Times New Roman" w:eastAsia="宋体"/>
          <w:b w:val="0"/>
          <w:bCs w:val="0"/>
          <w:color w:val="auto"/>
          <w:szCs w:val="24"/>
          <w:highlight w:val="none"/>
        </w:rPr>
        <w:t xml:space="preserve">1、时间：招标公告发布之日起至投标文件递交截止时间止。 </w:t>
      </w:r>
    </w:p>
    <w:p>
      <w:pPr>
        <w:pStyle w:val="2"/>
        <w:spacing w:line="240" w:lineRule="auto"/>
        <w:ind w:firstLine="420" w:firstLineChars="200"/>
        <w:rPr>
          <w:rFonts w:ascii="Times New Roman" w:hAnsi="Times New Roman" w:eastAsia="宋体"/>
          <w:b w:val="0"/>
          <w:bCs w:val="0"/>
          <w:color w:val="auto"/>
          <w:szCs w:val="24"/>
          <w:highlight w:val="none"/>
        </w:rPr>
      </w:pPr>
      <w:r>
        <w:rPr>
          <w:rFonts w:hint="eastAsia" w:ascii="Times New Roman" w:hAnsi="Times New Roman" w:eastAsia="宋体"/>
          <w:b w:val="0"/>
          <w:bCs w:val="0"/>
          <w:color w:val="auto"/>
          <w:szCs w:val="24"/>
          <w:highlight w:val="none"/>
        </w:rPr>
        <w:t xml:space="preserve">2、地点：潜在投标人登陆桂林市公共资源交易中心网（http://glggzy.org.cn）免费下载招标文件电子版。 </w:t>
      </w:r>
    </w:p>
    <w:p>
      <w:pPr>
        <w:pStyle w:val="2"/>
        <w:spacing w:line="240" w:lineRule="auto"/>
        <w:ind w:firstLine="420" w:firstLineChars="200"/>
        <w:rPr>
          <w:rFonts w:ascii="Times New Roman" w:hAnsi="Times New Roman" w:eastAsia="宋体"/>
          <w:b w:val="0"/>
          <w:bCs w:val="0"/>
          <w:color w:val="auto"/>
          <w:szCs w:val="24"/>
          <w:highlight w:val="none"/>
        </w:rPr>
      </w:pPr>
      <w:r>
        <w:rPr>
          <w:rFonts w:hint="eastAsia" w:ascii="Times New Roman" w:hAnsi="Times New Roman" w:eastAsia="宋体"/>
          <w:b w:val="0"/>
          <w:bCs w:val="0"/>
          <w:color w:val="auto"/>
          <w:szCs w:val="24"/>
          <w:highlight w:val="none"/>
        </w:rPr>
        <w:t xml:space="preserve">3、方式：网上获取 </w:t>
      </w:r>
    </w:p>
    <w:p>
      <w:pPr>
        <w:pStyle w:val="2"/>
        <w:spacing w:line="240" w:lineRule="auto"/>
        <w:ind w:firstLine="420" w:firstLineChars="200"/>
        <w:rPr>
          <w:rFonts w:ascii="Times New Roman" w:hAnsi="Times New Roman" w:eastAsia="宋体"/>
          <w:b w:val="0"/>
          <w:bCs w:val="0"/>
          <w:color w:val="auto"/>
          <w:szCs w:val="24"/>
          <w:highlight w:val="none"/>
        </w:rPr>
      </w:pPr>
      <w:r>
        <w:rPr>
          <w:rFonts w:hint="eastAsia" w:ascii="Times New Roman" w:hAnsi="Times New Roman" w:eastAsia="宋体"/>
          <w:b w:val="0"/>
          <w:bCs w:val="0"/>
          <w:color w:val="auto"/>
          <w:szCs w:val="24"/>
          <w:highlight w:val="none"/>
        </w:rPr>
        <w:t xml:space="preserve">4、售价：0.00 元 </w:t>
      </w:r>
    </w:p>
    <w:p>
      <w:pPr>
        <w:pStyle w:val="2"/>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四</w:t>
      </w:r>
      <w:r>
        <w:rPr>
          <w:rFonts w:ascii="宋体" w:hAnsi="宋体" w:eastAsia="宋体"/>
          <w:color w:val="auto"/>
          <w:sz w:val="24"/>
          <w:szCs w:val="24"/>
          <w:highlight w:val="none"/>
        </w:rPr>
        <w:t>. 投标文件的递交</w:t>
      </w:r>
      <w:bookmarkEnd w:id="44"/>
      <w:bookmarkEnd w:id="45"/>
      <w:bookmarkEnd w:id="46"/>
      <w:bookmarkEnd w:id="47"/>
      <w:bookmarkEnd w:id="48"/>
      <w:bookmarkEnd w:id="49"/>
      <w:bookmarkEnd w:id="50"/>
      <w:bookmarkEnd w:id="51"/>
    </w:p>
    <w:p>
      <w:pPr>
        <w:spacing w:line="360" w:lineRule="auto"/>
        <w:ind w:firstLine="420" w:firstLineChars="200"/>
        <w:rPr>
          <w:rFonts w:ascii="宋体" w:hAnsi="宋体"/>
          <w:color w:val="auto"/>
          <w:szCs w:val="21"/>
          <w:highlight w:val="none"/>
        </w:rPr>
      </w:pPr>
      <w:bookmarkStart w:id="52" w:name="_Toc433988552"/>
      <w:bookmarkStart w:id="53" w:name="_Toc419321118"/>
      <w:bookmarkStart w:id="54" w:name="_Toc19034614"/>
      <w:bookmarkStart w:id="55" w:name="_Toc419363485"/>
      <w:bookmarkStart w:id="56" w:name="_Toc419320082"/>
      <w:bookmarkStart w:id="57" w:name="_Toc419364209"/>
      <w:bookmarkStart w:id="58" w:name="_Toc395382362"/>
      <w:r>
        <w:rPr>
          <w:rFonts w:hint="eastAsia" w:ascii="宋体" w:hAnsi="宋体"/>
          <w:color w:val="auto"/>
          <w:szCs w:val="21"/>
          <w:highlight w:val="none"/>
        </w:rPr>
        <w:t>时间：2021 年</w:t>
      </w:r>
      <w:r>
        <w:rPr>
          <w:rFonts w:hint="eastAsia" w:ascii="宋体" w:hAnsi="宋体"/>
          <w:color w:val="auto"/>
          <w:szCs w:val="21"/>
          <w:highlight w:val="none"/>
          <w:lang w:val="en-US" w:eastAsia="zh-CN"/>
        </w:rPr>
        <w:t>4</w:t>
      </w:r>
      <w:r>
        <w:rPr>
          <w:rFonts w:hint="eastAsia" w:ascii="宋体" w:hAnsi="宋体"/>
          <w:color w:val="auto"/>
          <w:szCs w:val="21"/>
          <w:highlight w:val="none"/>
        </w:rPr>
        <w:t>月</w:t>
      </w:r>
      <w:r>
        <w:rPr>
          <w:rFonts w:hint="eastAsia" w:ascii="宋体" w:hAnsi="宋体"/>
          <w:color w:val="auto"/>
          <w:szCs w:val="21"/>
          <w:highlight w:val="none"/>
          <w:lang w:val="en-US" w:eastAsia="zh-CN"/>
        </w:rPr>
        <w:t>20</w:t>
      </w:r>
      <w:r>
        <w:rPr>
          <w:rFonts w:hint="eastAsia" w:ascii="宋体" w:hAnsi="宋体"/>
          <w:color w:val="auto"/>
          <w:szCs w:val="21"/>
          <w:highlight w:val="none"/>
        </w:rPr>
        <w:t>日</w:t>
      </w:r>
      <w:r>
        <w:rPr>
          <w:rFonts w:hint="eastAsia" w:ascii="宋体" w:hAnsi="宋体"/>
          <w:color w:val="auto"/>
          <w:szCs w:val="21"/>
          <w:highlight w:val="none"/>
          <w:lang w:val="en-US" w:eastAsia="zh-CN"/>
        </w:rPr>
        <w:t>09</w:t>
      </w:r>
      <w:r>
        <w:rPr>
          <w:rFonts w:hint="eastAsia" w:ascii="宋体" w:hAnsi="宋体"/>
          <w:color w:val="auto"/>
          <w:szCs w:val="21"/>
          <w:highlight w:val="none"/>
        </w:rPr>
        <w:t>时</w:t>
      </w:r>
      <w:r>
        <w:rPr>
          <w:rFonts w:hint="eastAsia" w:ascii="宋体" w:hAnsi="宋体"/>
          <w:color w:val="auto"/>
          <w:szCs w:val="21"/>
          <w:highlight w:val="none"/>
          <w:lang w:val="en-US" w:eastAsia="zh-CN"/>
        </w:rPr>
        <w:t>30</w:t>
      </w:r>
      <w:r>
        <w:rPr>
          <w:rFonts w:hint="eastAsia" w:ascii="宋体" w:hAnsi="宋体"/>
          <w:color w:val="auto"/>
          <w:szCs w:val="21"/>
          <w:highlight w:val="none"/>
        </w:rPr>
        <w:t xml:space="preserve">分。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地点：投标人在递交投标文件截止时间前,将投标文件密封提交至桂林市公共资源交易中心</w:t>
      </w:r>
      <w:r>
        <w:rPr>
          <w:rFonts w:hint="eastAsia" w:ascii="宋体" w:hAnsi="宋体"/>
          <w:color w:val="auto"/>
          <w:szCs w:val="21"/>
          <w:highlight w:val="none"/>
          <w:lang w:val="en-US" w:eastAsia="zh-CN"/>
        </w:rPr>
        <w:t>5</w:t>
      </w:r>
      <w:r>
        <w:rPr>
          <w:rFonts w:hint="eastAsia" w:ascii="宋体" w:hAnsi="宋体"/>
          <w:color w:val="auto"/>
          <w:szCs w:val="21"/>
          <w:highlight w:val="none"/>
        </w:rPr>
        <w:t xml:space="preserve">号开标室（广西桂林市临桂区西城中路 69 号创业大厦西辅楼 4 楼北区），逾期送达的或未按照招标文件要求密封的投标文件将予以拒收。 </w:t>
      </w:r>
    </w:p>
    <w:p>
      <w:pPr>
        <w:spacing w:line="360" w:lineRule="auto"/>
        <w:rPr>
          <w:rFonts w:ascii="宋体" w:hAnsi="宋体"/>
          <w:b/>
          <w:bCs/>
          <w:color w:val="auto"/>
          <w:szCs w:val="21"/>
          <w:highlight w:val="none"/>
        </w:rPr>
      </w:pPr>
      <w:r>
        <w:rPr>
          <w:rFonts w:hint="eastAsia" w:ascii="宋体" w:hAnsi="宋体"/>
          <w:b/>
          <w:bCs/>
          <w:color w:val="auto"/>
          <w:szCs w:val="21"/>
          <w:highlight w:val="none"/>
        </w:rPr>
        <w:t xml:space="preserve">五、公告期限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自本公告发布之日起 5 个工作日 </w:t>
      </w:r>
    </w:p>
    <w:p>
      <w:pPr>
        <w:pStyle w:val="7"/>
        <w:rPr>
          <w:color w:val="auto"/>
          <w:highlight w:val="none"/>
        </w:rPr>
      </w:pPr>
      <w:r>
        <w:rPr>
          <w:rFonts w:hint="eastAsia" w:ascii="宋体" w:hAnsi="宋体"/>
          <w:b/>
          <w:bCs/>
          <w:color w:val="auto"/>
          <w:szCs w:val="21"/>
          <w:highlight w:val="none"/>
        </w:rPr>
        <w:t xml:space="preserve">六、其他补充事宜 </w:t>
      </w:r>
    </w:p>
    <w:p>
      <w:pPr>
        <w:pStyle w:val="20"/>
        <w:keepNext w:val="0"/>
        <w:keepLines w:val="0"/>
        <w:widowControl/>
        <w:suppressLineNumbers w:val="0"/>
        <w:spacing w:line="360" w:lineRule="atLeast"/>
        <w:ind w:left="0" w:firstLine="420"/>
        <w:rPr>
          <w:color w:val="auto"/>
          <w:highlight w:val="none"/>
        </w:rPr>
      </w:pPr>
      <w:r>
        <w:rPr>
          <w:rFonts w:hint="eastAsia" w:ascii="宋体" w:hAnsi="宋体" w:eastAsia="宋体" w:cs="宋体"/>
          <w:color w:val="auto"/>
          <w:sz w:val="21"/>
          <w:szCs w:val="21"/>
          <w:highlight w:val="none"/>
        </w:rPr>
        <w:t>1.本项目需要落实的政府采购政策：</w:t>
      </w:r>
    </w:p>
    <w:p>
      <w:pPr>
        <w:pStyle w:val="20"/>
        <w:keepNext w:val="0"/>
        <w:keepLines w:val="0"/>
        <w:widowControl/>
        <w:suppressLineNumbers w:val="0"/>
        <w:spacing w:line="360" w:lineRule="atLeast"/>
        <w:ind w:left="0" w:firstLine="420"/>
        <w:rPr>
          <w:color w:val="auto"/>
          <w:highlight w:val="none"/>
        </w:rPr>
      </w:pPr>
      <w:r>
        <w:rPr>
          <w:rFonts w:hint="eastAsia" w:ascii="宋体" w:hAnsi="宋体" w:eastAsia="宋体" w:cs="宋体"/>
          <w:color w:val="auto"/>
          <w:sz w:val="21"/>
          <w:szCs w:val="21"/>
          <w:highlight w:val="none"/>
        </w:rPr>
        <w:t>（1）《政府采购促进中小企业发展暂行办法》（财库[2020]46号）。</w:t>
      </w:r>
    </w:p>
    <w:p>
      <w:pPr>
        <w:pStyle w:val="20"/>
        <w:keepNext w:val="0"/>
        <w:keepLines w:val="0"/>
        <w:widowControl/>
        <w:suppressLineNumbers w:val="0"/>
        <w:spacing w:line="360" w:lineRule="atLeast"/>
        <w:ind w:left="0" w:firstLine="420"/>
        <w:rPr>
          <w:color w:val="auto"/>
          <w:highlight w:val="none"/>
        </w:rPr>
      </w:pPr>
      <w:r>
        <w:rPr>
          <w:rFonts w:hint="eastAsia" w:ascii="宋体" w:hAnsi="宋体" w:eastAsia="宋体" w:cs="宋体"/>
          <w:color w:val="auto"/>
          <w:sz w:val="21"/>
          <w:szCs w:val="21"/>
          <w:highlight w:val="none"/>
        </w:rPr>
        <w:t xml:space="preserve">（2）《关于政府采购支持监狱企业发展有关问题的通知》（财库[2014]68号）。 </w:t>
      </w:r>
    </w:p>
    <w:p>
      <w:pPr>
        <w:pStyle w:val="20"/>
        <w:keepNext w:val="0"/>
        <w:keepLines w:val="0"/>
        <w:widowControl/>
        <w:suppressLineNumbers w:val="0"/>
        <w:spacing w:line="360" w:lineRule="atLeast"/>
        <w:ind w:left="0" w:firstLine="420"/>
        <w:rPr>
          <w:color w:val="auto"/>
          <w:highlight w:val="none"/>
        </w:rPr>
      </w:pPr>
      <w:r>
        <w:rPr>
          <w:rFonts w:hint="eastAsia" w:ascii="宋体" w:hAnsi="宋体" w:eastAsia="宋体" w:cs="宋体"/>
          <w:color w:val="auto"/>
          <w:sz w:val="21"/>
          <w:szCs w:val="21"/>
          <w:highlight w:val="none"/>
        </w:rPr>
        <w:t>（3）《关于促进残疾人就业政府采购政策的通知》（财库[2017]141号）。</w:t>
      </w:r>
    </w:p>
    <w:p>
      <w:pPr>
        <w:pStyle w:val="20"/>
        <w:keepNext w:val="0"/>
        <w:keepLines w:val="0"/>
        <w:widowControl/>
        <w:suppressLineNumbers w:val="0"/>
        <w:spacing w:line="360" w:lineRule="atLeast"/>
        <w:ind w:left="0" w:firstLine="420"/>
        <w:rPr>
          <w:color w:val="auto"/>
          <w:highlight w:val="none"/>
        </w:rPr>
      </w:pPr>
      <w:r>
        <w:rPr>
          <w:rFonts w:hint="eastAsia" w:ascii="宋体" w:hAnsi="宋体" w:eastAsia="宋体" w:cs="宋体"/>
          <w:color w:val="auto"/>
          <w:sz w:val="21"/>
          <w:szCs w:val="21"/>
          <w:highlight w:val="none"/>
        </w:rPr>
        <w:t>（4）本项目非专门面向中小企业（或小型、微型企业）采购。</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 xml:space="preserve">信息公告发布媒体：http://www.ccgp.gov.cn（中国政府采购网）、http://zfcg.gxzf.gov.cn（广西 壮 族 自 治 区 政 府 采 购 网 ） 、http://glggzy.org.cn（桂林市公共资源交易中心网）。 </w:t>
      </w:r>
    </w:p>
    <w:bookmarkEnd w:id="52"/>
    <w:bookmarkEnd w:id="53"/>
    <w:bookmarkEnd w:id="54"/>
    <w:bookmarkEnd w:id="55"/>
    <w:bookmarkEnd w:id="56"/>
    <w:bookmarkEnd w:id="57"/>
    <w:bookmarkEnd w:id="58"/>
    <w:p>
      <w:pPr>
        <w:pStyle w:val="2"/>
        <w:spacing w:line="360" w:lineRule="auto"/>
        <w:rPr>
          <w:rFonts w:ascii="宋体" w:hAnsi="宋体"/>
          <w:color w:val="auto"/>
          <w:sz w:val="24"/>
          <w:highlight w:val="none"/>
        </w:rPr>
      </w:pPr>
      <w:bookmarkStart w:id="59" w:name="_Toc395382364"/>
      <w:bookmarkStart w:id="60" w:name="_Toc19034616"/>
      <w:bookmarkStart w:id="61" w:name="_Toc389065131"/>
      <w:bookmarkStart w:id="62" w:name="_Toc419320084"/>
      <w:bookmarkStart w:id="63" w:name="_Toc419364211"/>
      <w:bookmarkStart w:id="64" w:name="_Toc419321120"/>
      <w:bookmarkStart w:id="65" w:name="_Toc433988554"/>
      <w:bookmarkStart w:id="66" w:name="_Toc419363487"/>
      <w:r>
        <w:rPr>
          <w:rFonts w:hint="eastAsia" w:ascii="宋体" w:hAnsi="宋体" w:eastAsia="宋体"/>
          <w:color w:val="auto"/>
          <w:sz w:val="24"/>
          <w:szCs w:val="24"/>
          <w:highlight w:val="none"/>
        </w:rPr>
        <w:t>七、对本次招标提出询问，请按以下方式联系</w:t>
      </w:r>
    </w:p>
    <w:bookmarkEnd w:id="59"/>
    <w:bookmarkEnd w:id="60"/>
    <w:bookmarkEnd w:id="61"/>
    <w:bookmarkEnd w:id="62"/>
    <w:bookmarkEnd w:id="63"/>
    <w:bookmarkEnd w:id="64"/>
    <w:bookmarkEnd w:id="65"/>
    <w:bookmarkEnd w:id="66"/>
    <w:p>
      <w:pPr>
        <w:spacing w:line="360" w:lineRule="auto"/>
        <w:ind w:firstLine="420" w:firstLineChars="200"/>
        <w:rPr>
          <w:color w:val="auto"/>
          <w:highlight w:val="none"/>
          <w:u w:val="single"/>
        </w:rPr>
      </w:pPr>
      <w:r>
        <w:rPr>
          <w:color w:val="auto"/>
          <w:highlight w:val="none"/>
        </w:rPr>
        <w:t>招 标 人：</w:t>
      </w:r>
      <w:r>
        <w:rPr>
          <w:rFonts w:hint="eastAsia"/>
          <w:color w:val="auto"/>
          <w:highlight w:val="none"/>
          <w:u w:val="single"/>
        </w:rPr>
        <w:t xml:space="preserve">桂林电子科技大学     </w:t>
      </w:r>
      <w:r>
        <w:rPr>
          <w:rFonts w:hint="eastAsia"/>
          <w:color w:val="auto"/>
          <w:highlight w:val="none"/>
        </w:rPr>
        <w:t xml:space="preserve">     </w:t>
      </w:r>
      <w:r>
        <w:rPr>
          <w:color w:val="auto"/>
          <w:highlight w:val="none"/>
        </w:rPr>
        <w:t>招标代理机构：</w:t>
      </w:r>
      <w:r>
        <w:rPr>
          <w:rFonts w:hint="eastAsia"/>
          <w:color w:val="auto"/>
          <w:highlight w:val="none"/>
          <w:u w:val="single"/>
        </w:rPr>
        <w:t>广西恒基建设工程咨询有限公司</w:t>
      </w:r>
    </w:p>
    <w:p>
      <w:pPr>
        <w:widowControl/>
        <w:wordWrap w:val="0"/>
        <w:spacing w:line="360" w:lineRule="auto"/>
        <w:ind w:firstLine="420" w:firstLineChars="200"/>
        <w:jc w:val="left"/>
        <w:rPr>
          <w:color w:val="auto"/>
          <w:highlight w:val="none"/>
        </w:rPr>
      </w:pPr>
      <w:r>
        <w:rPr>
          <w:color w:val="auto"/>
          <w:highlight w:val="none"/>
        </w:rPr>
        <w:t>地    址：</w:t>
      </w:r>
      <w:r>
        <w:rPr>
          <w:rFonts w:hint="eastAsia" w:ascii="Times New Roman" w:hAnsi="Times New Roman" w:cs="Times New Roman"/>
          <w:color w:val="auto"/>
          <w:kern w:val="2"/>
          <w:sz w:val="21"/>
          <w:szCs w:val="24"/>
          <w:highlight w:val="none"/>
          <w:u w:val="single"/>
        </w:rPr>
        <w:t xml:space="preserve">桂林市灵川县灵田镇   </w:t>
      </w:r>
      <w:r>
        <w:rPr>
          <w:rFonts w:hint="eastAsia" w:ascii="Arial" w:hAnsi="Arial" w:cs="Arial"/>
          <w:color w:val="auto"/>
          <w:kern w:val="0"/>
          <w:sz w:val="19"/>
          <w:szCs w:val="19"/>
          <w:highlight w:val="none"/>
          <w:u w:val="single"/>
        </w:rPr>
        <w:t xml:space="preserve">  </w:t>
      </w:r>
      <w:r>
        <w:rPr>
          <w:rFonts w:hint="eastAsia" w:ascii="Arial" w:hAnsi="Arial" w:cs="Arial"/>
          <w:color w:val="auto"/>
          <w:kern w:val="0"/>
          <w:sz w:val="19"/>
          <w:szCs w:val="19"/>
          <w:highlight w:val="none"/>
        </w:rPr>
        <w:t xml:space="preserve">    </w:t>
      </w:r>
      <w:r>
        <w:rPr>
          <w:color w:val="auto"/>
          <w:highlight w:val="none"/>
        </w:rPr>
        <w:t xml:space="preserve">地    </w:t>
      </w:r>
      <w:r>
        <w:rPr>
          <w:rFonts w:hint="eastAsia"/>
          <w:color w:val="auto"/>
          <w:highlight w:val="none"/>
        </w:rPr>
        <w:t xml:space="preserve">   </w:t>
      </w:r>
      <w:r>
        <w:rPr>
          <w:color w:val="auto"/>
          <w:highlight w:val="none"/>
        </w:rPr>
        <w:t>址：</w:t>
      </w:r>
      <w:r>
        <w:rPr>
          <w:rFonts w:hint="eastAsia" w:cs="宋体"/>
          <w:color w:val="auto"/>
          <w:highlight w:val="none"/>
          <w:u w:val="single"/>
        </w:rPr>
        <w:t>桂林市临桂区花样年花样城5A座</w:t>
      </w:r>
    </w:p>
    <w:p>
      <w:pPr>
        <w:spacing w:line="360" w:lineRule="auto"/>
        <w:ind w:firstLine="420" w:firstLineChars="200"/>
        <w:rPr>
          <w:color w:val="auto"/>
          <w:highlight w:val="none"/>
        </w:rPr>
      </w:pPr>
      <w:r>
        <w:rPr>
          <w:color w:val="auto"/>
          <w:highlight w:val="none"/>
        </w:rPr>
        <w:t>邮    编：</w:t>
      </w:r>
      <w:r>
        <w:rPr>
          <w:rFonts w:hint="eastAsia"/>
          <w:color w:val="auto"/>
          <w:highlight w:val="none"/>
        </w:rPr>
        <w:t xml:space="preserve">                           </w:t>
      </w:r>
      <w:r>
        <w:rPr>
          <w:color w:val="auto"/>
          <w:highlight w:val="none"/>
        </w:rPr>
        <w:t>邮    编：</w:t>
      </w:r>
      <w:r>
        <w:rPr>
          <w:color w:val="auto"/>
          <w:highlight w:val="none"/>
          <w:lang w:val="zh-CN"/>
        </w:rPr>
        <w:t>541</w:t>
      </w:r>
      <w:r>
        <w:rPr>
          <w:rFonts w:hint="eastAsia"/>
          <w:color w:val="auto"/>
          <w:highlight w:val="none"/>
          <w:lang w:val="zh-CN"/>
        </w:rPr>
        <w:t>199</w:t>
      </w:r>
    </w:p>
    <w:p>
      <w:pPr>
        <w:spacing w:line="360" w:lineRule="auto"/>
        <w:ind w:firstLine="420" w:firstLineChars="200"/>
        <w:rPr>
          <w:color w:val="auto"/>
          <w:highlight w:val="none"/>
        </w:rPr>
      </w:pPr>
      <w:r>
        <w:rPr>
          <w:color w:val="auto"/>
          <w:highlight w:val="none"/>
        </w:rPr>
        <w:t>联 系 人：</w:t>
      </w:r>
      <w:r>
        <w:rPr>
          <w:rFonts w:hint="eastAsia"/>
          <w:color w:val="auto"/>
          <w:highlight w:val="none"/>
        </w:rPr>
        <w:t xml:space="preserve">陈丹清                     </w:t>
      </w:r>
      <w:r>
        <w:rPr>
          <w:color w:val="auto"/>
          <w:highlight w:val="none"/>
        </w:rPr>
        <w:t>联 系 人：</w:t>
      </w:r>
      <w:r>
        <w:rPr>
          <w:rFonts w:hint="eastAsia"/>
          <w:color w:val="auto"/>
          <w:highlight w:val="none"/>
        </w:rPr>
        <w:t>陈红文</w:t>
      </w:r>
    </w:p>
    <w:p>
      <w:pPr>
        <w:spacing w:line="360" w:lineRule="auto"/>
        <w:ind w:firstLine="420" w:firstLineChars="200"/>
        <w:rPr>
          <w:color w:val="auto"/>
          <w:highlight w:val="none"/>
        </w:rPr>
      </w:pPr>
      <w:r>
        <w:rPr>
          <w:color w:val="auto"/>
          <w:highlight w:val="none"/>
        </w:rPr>
        <w:t>电    话：0773-2290382</w:t>
      </w:r>
      <w:r>
        <w:rPr>
          <w:rFonts w:hint="eastAsia"/>
          <w:color w:val="auto"/>
          <w:highlight w:val="none"/>
        </w:rPr>
        <w:t xml:space="preserve">               </w:t>
      </w:r>
      <w:r>
        <w:rPr>
          <w:color w:val="auto"/>
          <w:highlight w:val="none"/>
        </w:rPr>
        <w:t>电    话：</w:t>
      </w:r>
      <w:r>
        <w:rPr>
          <w:rFonts w:hint="eastAsia"/>
          <w:color w:val="auto"/>
          <w:highlight w:val="none"/>
        </w:rPr>
        <w:t>0773-8990050</w:t>
      </w:r>
    </w:p>
    <w:p>
      <w:pPr>
        <w:spacing w:line="360" w:lineRule="auto"/>
        <w:ind w:firstLine="420" w:firstLineChars="200"/>
        <w:rPr>
          <w:color w:val="auto"/>
          <w:highlight w:val="none"/>
        </w:rPr>
      </w:pPr>
      <w:r>
        <w:rPr>
          <w:color w:val="auto"/>
          <w:highlight w:val="none"/>
        </w:rPr>
        <w:t>传    真：</w:t>
      </w:r>
      <w:r>
        <w:rPr>
          <w:rFonts w:hint="eastAsia"/>
          <w:color w:val="auto"/>
          <w:highlight w:val="none"/>
        </w:rPr>
        <w:t xml:space="preserve">                           </w:t>
      </w:r>
      <w:r>
        <w:rPr>
          <w:color w:val="auto"/>
          <w:highlight w:val="none"/>
        </w:rPr>
        <w:t>传    真：</w:t>
      </w:r>
      <w:r>
        <w:rPr>
          <w:rFonts w:hint="eastAsia"/>
          <w:color w:val="auto"/>
          <w:highlight w:val="none"/>
        </w:rPr>
        <w:t>0773-3661348</w:t>
      </w:r>
    </w:p>
    <w:p>
      <w:pPr>
        <w:pStyle w:val="7"/>
        <w:rPr>
          <w:color w:val="auto"/>
          <w:highlight w:val="none"/>
        </w:rPr>
      </w:pPr>
      <w:r>
        <w:rPr>
          <w:rFonts w:hint="eastAsia"/>
          <w:color w:val="auto"/>
          <w:highlight w:val="none"/>
        </w:rPr>
        <w:t xml:space="preserve">    </w:t>
      </w:r>
    </w:p>
    <w:p>
      <w:pPr>
        <w:pStyle w:val="7"/>
        <w:ind w:firstLine="525" w:firstLineChars="250"/>
        <w:rPr>
          <w:rFonts w:hint="eastAsia"/>
          <w:color w:val="auto"/>
          <w:highlight w:val="none"/>
        </w:rPr>
      </w:pPr>
      <w:r>
        <w:rPr>
          <w:rFonts w:hint="eastAsia"/>
          <w:color w:val="auto"/>
          <w:highlight w:val="none"/>
        </w:rPr>
        <w:t>政府采购监督管理部门：广西壮族自治区政府采购监督管理处</w:t>
      </w:r>
      <w:r>
        <w:rPr>
          <w:rFonts w:hint="eastAsia"/>
          <w:color w:val="auto"/>
          <w:highlight w:val="none"/>
          <w:lang w:val="en-US" w:eastAsia="zh-CN"/>
        </w:rPr>
        <w:t xml:space="preserve">       </w:t>
      </w:r>
      <w:r>
        <w:rPr>
          <w:rFonts w:hint="eastAsia"/>
          <w:color w:val="auto"/>
          <w:highlight w:val="none"/>
        </w:rPr>
        <w:t>电话：0771-5331544</w:t>
      </w:r>
    </w:p>
    <w:p>
      <w:pPr>
        <w:ind w:firstLine="4725" w:firstLineChars="2250"/>
        <w:jc w:val="right"/>
        <w:rPr>
          <w:color w:val="auto"/>
          <w:highlight w:val="none"/>
          <w:u w:val="single"/>
        </w:rPr>
      </w:pPr>
    </w:p>
    <w:p>
      <w:pPr>
        <w:ind w:firstLine="4725" w:firstLineChars="2250"/>
        <w:jc w:val="right"/>
        <w:rPr>
          <w:rFonts w:hint="eastAsia"/>
          <w:color w:val="auto"/>
          <w:highlight w:val="none"/>
          <w:u w:val="single"/>
        </w:rPr>
      </w:pPr>
    </w:p>
    <w:p>
      <w:pPr>
        <w:ind w:firstLine="4725" w:firstLineChars="2250"/>
        <w:jc w:val="right"/>
        <w:rPr>
          <w:color w:val="auto"/>
          <w:highlight w:val="none"/>
        </w:rPr>
        <w:sectPr>
          <w:footerReference r:id="rId5" w:type="default"/>
          <w:pgSz w:w="11907" w:h="16840"/>
          <w:pgMar w:top="1418" w:right="1134" w:bottom="1418" w:left="1134" w:header="851" w:footer="851" w:gutter="0"/>
          <w:pgNumType w:start="1"/>
          <w:cols w:space="720" w:num="1"/>
          <w:docGrid w:linePitch="312" w:charSpace="0"/>
        </w:sectPr>
      </w:pPr>
      <w:r>
        <w:rPr>
          <w:rFonts w:hint="eastAsia"/>
          <w:color w:val="auto"/>
          <w:highlight w:val="none"/>
          <w:u w:val="single"/>
        </w:rPr>
        <w:t>202</w:t>
      </w:r>
      <w:r>
        <w:rPr>
          <w:color w:val="auto"/>
          <w:highlight w:val="none"/>
          <w:u w:val="single"/>
        </w:rPr>
        <w:t>1</w:t>
      </w:r>
      <w:r>
        <w:rPr>
          <w:rFonts w:hint="eastAsia"/>
          <w:color w:val="auto"/>
          <w:szCs w:val="21"/>
          <w:highlight w:val="none"/>
        </w:rPr>
        <w:t>年</w:t>
      </w:r>
      <w:r>
        <w:rPr>
          <w:rFonts w:hint="eastAsia"/>
          <w:color w:val="auto"/>
          <w:szCs w:val="21"/>
          <w:highlight w:val="none"/>
          <w:lang w:val="en-US" w:eastAsia="zh-CN"/>
        </w:rPr>
        <w:t>3</w:t>
      </w:r>
      <w:r>
        <w:rPr>
          <w:color w:val="auto"/>
          <w:szCs w:val="21"/>
          <w:highlight w:val="none"/>
        </w:rPr>
        <w:t>月</w:t>
      </w:r>
      <w:r>
        <w:rPr>
          <w:rFonts w:hint="eastAsia"/>
          <w:color w:val="auto"/>
          <w:szCs w:val="21"/>
          <w:highlight w:val="none"/>
          <w:lang w:val="en-US" w:eastAsia="zh-CN"/>
        </w:rPr>
        <w:t>25</w:t>
      </w:r>
      <w:r>
        <w:rPr>
          <w:color w:val="auto"/>
          <w:szCs w:val="21"/>
          <w:highlight w:val="none"/>
        </w:rPr>
        <w:t>日</w:t>
      </w:r>
    </w:p>
    <w:p>
      <w:pPr>
        <w:pStyle w:val="3"/>
        <w:jc w:val="center"/>
        <w:rPr>
          <w:color w:val="auto"/>
          <w:highlight w:val="none"/>
        </w:rPr>
      </w:pPr>
      <w:bookmarkStart w:id="67" w:name="_Toc282823810"/>
      <w:bookmarkStart w:id="68" w:name="_Toc396778055"/>
      <w:bookmarkStart w:id="69" w:name="_Toc414553650"/>
      <w:bookmarkStart w:id="70" w:name="_Toc419321133"/>
      <w:bookmarkStart w:id="71" w:name="_Toc19034617"/>
      <w:bookmarkStart w:id="72" w:name="_Toc283128903"/>
      <w:bookmarkStart w:id="73" w:name="_Toc419320097"/>
      <w:bookmarkStart w:id="74" w:name="_Toc433988567"/>
      <w:bookmarkStart w:id="75" w:name="_Toc390874896"/>
      <w:bookmarkStart w:id="76" w:name="_Toc419364224"/>
      <w:bookmarkStart w:id="77" w:name="_Toc419363500"/>
      <w:bookmarkStart w:id="78" w:name="_Toc282843636"/>
      <w:r>
        <w:rPr>
          <w:rFonts w:hint="eastAsia"/>
          <w:color w:val="auto"/>
          <w:highlight w:val="none"/>
        </w:rPr>
        <w:t>第二章  投标人须知</w:t>
      </w:r>
      <w:bookmarkEnd w:id="67"/>
      <w:bookmarkEnd w:id="68"/>
      <w:bookmarkEnd w:id="69"/>
      <w:bookmarkEnd w:id="70"/>
      <w:bookmarkEnd w:id="71"/>
      <w:bookmarkEnd w:id="72"/>
      <w:bookmarkEnd w:id="73"/>
      <w:bookmarkEnd w:id="74"/>
      <w:bookmarkEnd w:id="75"/>
      <w:bookmarkEnd w:id="76"/>
      <w:bookmarkEnd w:id="77"/>
      <w:bookmarkEnd w:id="78"/>
    </w:p>
    <w:p>
      <w:pPr>
        <w:pStyle w:val="3"/>
        <w:jc w:val="center"/>
        <w:rPr>
          <w:color w:val="auto"/>
          <w:highlight w:val="none"/>
        </w:rPr>
      </w:pPr>
      <w:bookmarkStart w:id="79" w:name="_Toc283196389"/>
      <w:bookmarkStart w:id="80" w:name="_Toc414553651"/>
      <w:bookmarkStart w:id="81" w:name="_Toc419320098"/>
      <w:bookmarkStart w:id="82" w:name="_Toc282823811"/>
      <w:bookmarkStart w:id="83" w:name="_Toc396778056"/>
      <w:bookmarkStart w:id="84" w:name="_Toc419364225"/>
      <w:bookmarkStart w:id="85" w:name="_Toc419321134"/>
      <w:bookmarkStart w:id="86" w:name="_Toc19034618"/>
      <w:bookmarkStart w:id="87" w:name="_Toc419363501"/>
      <w:bookmarkStart w:id="88" w:name="_Toc390874897"/>
      <w:bookmarkStart w:id="89" w:name="_Toc433988568"/>
      <w:r>
        <w:rPr>
          <w:rFonts w:hint="eastAsia"/>
          <w:color w:val="auto"/>
          <w:highlight w:val="none"/>
        </w:rPr>
        <w:t>投标人须知前附表</w:t>
      </w:r>
      <w:bookmarkEnd w:id="79"/>
      <w:bookmarkEnd w:id="80"/>
      <w:bookmarkEnd w:id="81"/>
      <w:bookmarkEnd w:id="82"/>
      <w:bookmarkEnd w:id="83"/>
      <w:bookmarkEnd w:id="84"/>
      <w:bookmarkEnd w:id="85"/>
      <w:bookmarkEnd w:id="86"/>
      <w:bookmarkEnd w:id="87"/>
      <w:bookmarkEnd w:id="88"/>
      <w:bookmarkEnd w:id="89"/>
    </w:p>
    <w:tbl>
      <w:tblPr>
        <w:tblStyle w:val="22"/>
        <w:tblW w:w="94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28" w:type="dxa"/>
          <w:bottom w:w="28" w:type="dxa"/>
          <w:right w:w="28" w:type="dxa"/>
        </w:tblCellMar>
      </w:tblPr>
      <w:tblGrid>
        <w:gridCol w:w="869"/>
        <w:gridCol w:w="1851"/>
        <w:gridCol w:w="66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61"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条款号</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条款名称</w:t>
            </w:r>
          </w:p>
        </w:tc>
        <w:tc>
          <w:tcPr>
            <w:tcW w:w="6688" w:type="dxa"/>
            <w:noWrap/>
            <w:vAlign w:val="center"/>
          </w:tcPr>
          <w:p>
            <w:pPr>
              <w:spacing w:line="300" w:lineRule="exact"/>
              <w:jc w:val="center"/>
              <w:rPr>
                <w:color w:val="auto"/>
                <w:szCs w:val="21"/>
                <w:highlight w:val="none"/>
              </w:rPr>
            </w:pPr>
            <w:r>
              <w:rPr>
                <w:rFonts w:hint="eastAsia"/>
                <w:color w:val="auto"/>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333" w:hRule="atLeast"/>
          <w:jc w:val="center"/>
        </w:trPr>
        <w:tc>
          <w:tcPr>
            <w:tcW w:w="869" w:type="dxa"/>
            <w:noWrap/>
            <w:vAlign w:val="center"/>
          </w:tcPr>
          <w:p>
            <w:pPr>
              <w:spacing w:line="340" w:lineRule="exact"/>
              <w:jc w:val="center"/>
              <w:rPr>
                <w:color w:val="auto"/>
                <w:szCs w:val="21"/>
                <w:highlight w:val="none"/>
              </w:rPr>
            </w:pPr>
            <w:r>
              <w:rPr>
                <w:rFonts w:hint="eastAsia"/>
                <w:color w:val="auto"/>
                <w:szCs w:val="21"/>
                <w:highlight w:val="none"/>
              </w:rPr>
              <w:t>1.1.2</w:t>
            </w:r>
          </w:p>
        </w:tc>
        <w:tc>
          <w:tcPr>
            <w:tcW w:w="1851" w:type="dxa"/>
            <w:noWrap/>
            <w:vAlign w:val="center"/>
          </w:tcPr>
          <w:p>
            <w:pPr>
              <w:spacing w:line="340" w:lineRule="exact"/>
              <w:jc w:val="center"/>
              <w:rPr>
                <w:color w:val="auto"/>
                <w:szCs w:val="21"/>
                <w:highlight w:val="none"/>
              </w:rPr>
            </w:pPr>
            <w:r>
              <w:rPr>
                <w:rFonts w:hint="eastAsia"/>
                <w:color w:val="auto"/>
                <w:szCs w:val="21"/>
                <w:highlight w:val="none"/>
              </w:rPr>
              <w:t>招标人</w:t>
            </w:r>
          </w:p>
        </w:tc>
        <w:tc>
          <w:tcPr>
            <w:tcW w:w="6688" w:type="dxa"/>
            <w:noWrap/>
            <w:vAlign w:val="center"/>
          </w:tcPr>
          <w:p>
            <w:pPr>
              <w:spacing w:line="340" w:lineRule="exact"/>
              <w:rPr>
                <w:color w:val="auto"/>
                <w:szCs w:val="21"/>
                <w:highlight w:val="none"/>
              </w:rPr>
            </w:pPr>
            <w:r>
              <w:rPr>
                <w:rFonts w:hint="eastAsia"/>
                <w:color w:val="auto"/>
                <w:szCs w:val="21"/>
                <w:highlight w:val="none"/>
              </w:rPr>
              <w:t>名称： 桂林电子科技大学</w:t>
            </w:r>
          </w:p>
          <w:p>
            <w:pPr>
              <w:spacing w:line="340" w:lineRule="exact"/>
              <w:rPr>
                <w:color w:val="auto"/>
                <w:szCs w:val="21"/>
                <w:highlight w:val="none"/>
              </w:rPr>
            </w:pPr>
            <w:r>
              <w:rPr>
                <w:rFonts w:hint="eastAsia"/>
                <w:color w:val="auto"/>
                <w:szCs w:val="21"/>
                <w:highlight w:val="none"/>
              </w:rPr>
              <w:t>地址： 桂林市灵川县灵田镇</w:t>
            </w:r>
          </w:p>
          <w:p>
            <w:pPr>
              <w:spacing w:line="340" w:lineRule="exact"/>
              <w:rPr>
                <w:rFonts w:ascii="宋体" w:hAnsi="宋体"/>
                <w:color w:val="auto"/>
                <w:szCs w:val="21"/>
                <w:highlight w:val="none"/>
              </w:rPr>
            </w:pPr>
            <w:r>
              <w:rPr>
                <w:rFonts w:hint="eastAsia"/>
                <w:color w:val="auto"/>
                <w:szCs w:val="21"/>
                <w:highlight w:val="none"/>
              </w:rPr>
              <w:t>联系人：</w:t>
            </w:r>
            <w:r>
              <w:rPr>
                <w:rFonts w:hint="eastAsia" w:ascii="宋体" w:hAnsi="宋体"/>
                <w:color w:val="auto"/>
                <w:szCs w:val="21"/>
                <w:highlight w:val="none"/>
              </w:rPr>
              <w:t>陈丹清</w:t>
            </w:r>
          </w:p>
          <w:p>
            <w:pPr>
              <w:spacing w:line="340" w:lineRule="exact"/>
              <w:rPr>
                <w:rFonts w:ascii="宋体" w:hAnsi="宋体" w:cs="宋体"/>
                <w:color w:val="auto"/>
                <w:kern w:val="0"/>
                <w:szCs w:val="21"/>
                <w:highlight w:val="none"/>
              </w:rPr>
            </w:pPr>
            <w:r>
              <w:rPr>
                <w:rFonts w:hint="eastAsia"/>
                <w:color w:val="auto"/>
                <w:szCs w:val="21"/>
                <w:highlight w:val="none"/>
              </w:rPr>
              <w:t>电话：</w:t>
            </w:r>
            <w:r>
              <w:rPr>
                <w:rFonts w:ascii="宋体" w:hAnsi="宋体" w:cs="宋体"/>
                <w:color w:val="auto"/>
                <w:kern w:val="0"/>
                <w:szCs w:val="21"/>
                <w:highlight w:val="none"/>
              </w:rPr>
              <w:t>0773-2290382</w:t>
            </w:r>
          </w:p>
          <w:p>
            <w:pPr>
              <w:spacing w:line="340" w:lineRule="exact"/>
              <w:rPr>
                <w:color w:val="auto"/>
                <w:szCs w:val="21"/>
                <w:highlight w:val="none"/>
              </w:rPr>
            </w:pPr>
            <w:r>
              <w:rPr>
                <w:color w:val="auto"/>
                <w:highlight w:val="none"/>
              </w:rPr>
              <w:t>电子邮箱：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790"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1.1.3</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招标代理机构</w:t>
            </w:r>
          </w:p>
        </w:tc>
        <w:tc>
          <w:tcPr>
            <w:tcW w:w="6688" w:type="dxa"/>
            <w:noWrap/>
            <w:vAlign w:val="center"/>
          </w:tcPr>
          <w:p>
            <w:pPr>
              <w:spacing w:line="360" w:lineRule="exact"/>
              <w:rPr>
                <w:rFonts w:ascii="宋体" w:hAnsi="宋体"/>
                <w:color w:val="auto"/>
                <w:szCs w:val="21"/>
                <w:highlight w:val="none"/>
              </w:rPr>
            </w:pPr>
            <w:r>
              <w:rPr>
                <w:rFonts w:hint="eastAsia"/>
                <w:color w:val="auto"/>
                <w:szCs w:val="21"/>
                <w:highlight w:val="none"/>
              </w:rPr>
              <w:t>名称：</w:t>
            </w:r>
            <w:r>
              <w:rPr>
                <w:rFonts w:hint="eastAsia"/>
                <w:color w:val="auto"/>
                <w:highlight w:val="none"/>
              </w:rPr>
              <w:t>广西恒基建设工程咨询有限公司</w:t>
            </w:r>
          </w:p>
          <w:p>
            <w:pPr>
              <w:spacing w:line="360" w:lineRule="exact"/>
              <w:rPr>
                <w:color w:val="auto"/>
                <w:szCs w:val="21"/>
                <w:highlight w:val="none"/>
              </w:rPr>
            </w:pPr>
            <w:r>
              <w:rPr>
                <w:rFonts w:hint="eastAsia"/>
                <w:color w:val="auto"/>
                <w:szCs w:val="21"/>
                <w:highlight w:val="none"/>
              </w:rPr>
              <w:t>地址：</w:t>
            </w:r>
            <w:r>
              <w:rPr>
                <w:rFonts w:hint="eastAsia" w:cs="宋体"/>
                <w:color w:val="auto"/>
                <w:highlight w:val="none"/>
              </w:rPr>
              <w:t>桂林市临桂区花样年花样城</w:t>
            </w:r>
            <w:r>
              <w:rPr>
                <w:rFonts w:cs="宋体"/>
                <w:color w:val="auto"/>
                <w:highlight w:val="none"/>
              </w:rPr>
              <w:t>5A</w:t>
            </w:r>
            <w:r>
              <w:rPr>
                <w:rFonts w:hint="eastAsia" w:cs="宋体"/>
                <w:color w:val="auto"/>
                <w:highlight w:val="none"/>
              </w:rPr>
              <w:t>座</w:t>
            </w:r>
          </w:p>
          <w:p>
            <w:pPr>
              <w:spacing w:line="360" w:lineRule="exact"/>
              <w:rPr>
                <w:color w:val="auto"/>
                <w:szCs w:val="21"/>
                <w:highlight w:val="none"/>
              </w:rPr>
            </w:pPr>
            <w:r>
              <w:rPr>
                <w:rFonts w:hint="eastAsia"/>
                <w:color w:val="auto"/>
                <w:szCs w:val="21"/>
                <w:highlight w:val="none"/>
              </w:rPr>
              <w:t>联系人：</w:t>
            </w:r>
            <w:r>
              <w:rPr>
                <w:rFonts w:hint="eastAsia" w:ascii="宋体" w:hAnsi="宋体"/>
                <w:color w:val="auto"/>
                <w:szCs w:val="21"/>
                <w:highlight w:val="none"/>
              </w:rPr>
              <w:t xml:space="preserve"> 陈红文</w:t>
            </w:r>
          </w:p>
          <w:p>
            <w:pPr>
              <w:spacing w:line="360" w:lineRule="exact"/>
              <w:rPr>
                <w:rFonts w:ascii="宋体" w:hAnsi="宋体"/>
                <w:color w:val="auto"/>
                <w:szCs w:val="21"/>
                <w:highlight w:val="none"/>
              </w:rPr>
            </w:pPr>
            <w:r>
              <w:rPr>
                <w:rFonts w:hint="eastAsia"/>
                <w:color w:val="auto"/>
                <w:szCs w:val="21"/>
                <w:highlight w:val="none"/>
              </w:rPr>
              <w:t>电话：</w:t>
            </w:r>
            <w:r>
              <w:rPr>
                <w:color w:val="auto"/>
                <w:highlight w:val="none"/>
              </w:rPr>
              <w:t>0773-8990050</w:t>
            </w:r>
          </w:p>
          <w:p>
            <w:pPr>
              <w:spacing w:line="360" w:lineRule="exact"/>
              <w:rPr>
                <w:rFonts w:ascii="宋体" w:hAnsi="宋体"/>
                <w:color w:val="auto"/>
                <w:szCs w:val="21"/>
                <w:highlight w:val="none"/>
              </w:rPr>
            </w:pPr>
            <w:r>
              <w:rPr>
                <w:rFonts w:hint="eastAsia" w:ascii="宋体" w:hAnsi="宋体"/>
                <w:color w:val="auto"/>
                <w:szCs w:val="21"/>
                <w:highlight w:val="none"/>
              </w:rPr>
              <w:t>传真：</w:t>
            </w:r>
            <w:r>
              <w:rPr>
                <w:rFonts w:hint="eastAsia"/>
                <w:color w:val="auto"/>
                <w:highlight w:val="none"/>
              </w:rPr>
              <w:t>0773-3661348</w:t>
            </w:r>
          </w:p>
          <w:p>
            <w:pPr>
              <w:spacing w:line="360" w:lineRule="exact"/>
              <w:rPr>
                <w:color w:val="auto"/>
                <w:szCs w:val="21"/>
                <w:highlight w:val="none"/>
              </w:rPr>
            </w:pPr>
            <w:r>
              <w:rPr>
                <w:color w:val="auto"/>
                <w:highlight w:val="none"/>
              </w:rPr>
              <w:t>电子邮箱：</w:t>
            </w:r>
            <w:r>
              <w:rPr>
                <w:rFonts w:hint="eastAsia"/>
                <w:color w:val="auto"/>
                <w:highlight w:val="none"/>
              </w:rPr>
              <w:t>2322157119@qq.com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85"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1.1.4</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项目名称</w:t>
            </w:r>
            <w:r>
              <w:rPr>
                <w:rFonts w:hint="eastAsia"/>
                <w:color w:val="auto"/>
                <w:highlight w:val="none"/>
              </w:rPr>
              <w:t>及项目招标编号</w:t>
            </w:r>
          </w:p>
        </w:tc>
        <w:tc>
          <w:tcPr>
            <w:tcW w:w="6688" w:type="dxa"/>
            <w:noWrap/>
            <w:vAlign w:val="center"/>
          </w:tcPr>
          <w:p>
            <w:pPr>
              <w:spacing w:line="300" w:lineRule="exact"/>
              <w:rPr>
                <w:color w:val="auto"/>
                <w:szCs w:val="21"/>
                <w:highlight w:val="none"/>
              </w:rPr>
            </w:pPr>
            <w:r>
              <w:rPr>
                <w:rFonts w:hint="eastAsia"/>
                <w:color w:val="auto"/>
                <w:szCs w:val="21"/>
                <w:highlight w:val="none"/>
              </w:rPr>
              <w:t>桂林电子科技大学建筑与交通工程学院结构实验室附属设备基础项目工程总承包(GXZC2021-G2-000506-GXHJ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04"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1.1.5</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建设地点</w:t>
            </w:r>
          </w:p>
        </w:tc>
        <w:tc>
          <w:tcPr>
            <w:tcW w:w="6688" w:type="dxa"/>
            <w:noWrap/>
            <w:vAlign w:val="center"/>
          </w:tcPr>
          <w:p>
            <w:pPr>
              <w:spacing w:line="300" w:lineRule="exact"/>
              <w:rPr>
                <w:color w:val="auto"/>
                <w:szCs w:val="21"/>
                <w:highlight w:val="none"/>
              </w:rPr>
            </w:pPr>
            <w:r>
              <w:rPr>
                <w:rFonts w:hint="eastAsia"/>
                <w:color w:val="auto"/>
                <w:szCs w:val="21"/>
                <w:highlight w:val="none"/>
              </w:rPr>
              <w:t>桂林电子科技大学花江校区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04"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1.1.6</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建设规模</w:t>
            </w:r>
          </w:p>
        </w:tc>
        <w:tc>
          <w:tcPr>
            <w:tcW w:w="6688" w:type="dxa"/>
            <w:noWrap/>
            <w:vAlign w:val="center"/>
          </w:tcPr>
          <w:p>
            <w:pPr>
              <w:spacing w:line="300" w:lineRule="exact"/>
              <w:rPr>
                <w:rFonts w:ascii="宋体" w:hAnsi="宋体"/>
                <w:color w:val="auto"/>
                <w:szCs w:val="21"/>
                <w:highlight w:val="none"/>
              </w:rPr>
            </w:pPr>
            <w:r>
              <w:rPr>
                <w:rFonts w:hint="eastAsia" w:ascii="宋体" w:hAnsi="宋体"/>
                <w:color w:val="auto"/>
                <w:szCs w:val="21"/>
                <w:highlight w:val="none"/>
              </w:rPr>
              <w:t>实验楼结构实验室试验设备反力台座系统，包括实体槽道式试验设备反力台座（外围尺寸为26.7m×16.0m，板厚（埋深）1.50m）、两面箱式反力墙（尺寸11.5m×2.8m×9.0m、9.5m×3.2m×9.0m）及与本项</w:t>
            </w:r>
            <w:r>
              <w:rPr>
                <w:rFonts w:ascii="宋体" w:hAnsi="宋体"/>
                <w:color w:val="auto"/>
                <w:szCs w:val="21"/>
                <w:highlight w:val="none"/>
              </w:rPr>
              <w:t>目</w:t>
            </w:r>
            <w:r>
              <w:rPr>
                <w:rFonts w:hint="eastAsia" w:ascii="宋体" w:hAnsi="宋体"/>
                <w:color w:val="auto"/>
                <w:szCs w:val="21"/>
                <w:highlight w:val="none"/>
              </w:rPr>
              <w:t>相</w:t>
            </w:r>
            <w:r>
              <w:rPr>
                <w:rFonts w:ascii="宋体" w:hAnsi="宋体"/>
                <w:color w:val="auto"/>
                <w:szCs w:val="21"/>
                <w:highlight w:val="none"/>
              </w:rPr>
              <w:t>关改造等交钥匙式工程</w:t>
            </w:r>
            <w:r>
              <w:rPr>
                <w:rFonts w:hint="eastAsia" w:ascii="宋体" w:hAnsi="宋体"/>
                <w:color w:val="auto"/>
                <w:szCs w:val="21"/>
                <w:highlight w:val="none"/>
              </w:rPr>
              <w:t>。</w:t>
            </w:r>
          </w:p>
          <w:p>
            <w:pPr>
              <w:spacing w:line="300" w:lineRule="exact"/>
              <w:rPr>
                <w:color w:val="auto"/>
                <w:highlight w:val="none"/>
              </w:rPr>
            </w:pPr>
            <w:r>
              <w:rPr>
                <w:rFonts w:hint="eastAsia"/>
                <w:color w:val="auto"/>
                <w:highlight w:val="none"/>
              </w:rPr>
              <w:t>实验楼结构实验室室内水电已安装到位，其顶部装有葫芦吊。反力台座系统的部分基础已施工完成，并预留出部分连接钢筋。观测室及所有设备基坑均已建设完成。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15"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1.2.1</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资金来源及比例</w:t>
            </w:r>
          </w:p>
        </w:tc>
        <w:tc>
          <w:tcPr>
            <w:tcW w:w="6688" w:type="dxa"/>
            <w:noWrap/>
            <w:vAlign w:val="center"/>
          </w:tcPr>
          <w:p>
            <w:pPr>
              <w:spacing w:line="300" w:lineRule="exact"/>
              <w:rPr>
                <w:rFonts w:hint="default" w:eastAsia="宋体"/>
                <w:color w:val="auto"/>
                <w:szCs w:val="21"/>
                <w:highlight w:val="none"/>
                <w:lang w:val="en-US" w:eastAsia="zh-CN"/>
              </w:rPr>
            </w:pPr>
            <w:r>
              <w:rPr>
                <w:rFonts w:hint="eastAsia"/>
                <w:color w:val="auto"/>
                <w:highlight w:val="none"/>
              </w:rPr>
              <w:t>自筹资金</w:t>
            </w:r>
            <w:r>
              <w:rPr>
                <w:rFonts w:hint="eastAsia"/>
                <w:color w:val="auto"/>
                <w:highlight w:val="none"/>
                <w:lang w:eastAsia="zh-CN"/>
              </w:rPr>
              <w:t>及申请上级补助</w:t>
            </w:r>
            <w:r>
              <w:rPr>
                <w:rFonts w:hint="eastAsia"/>
                <w:color w:val="auto"/>
                <w:highlight w:val="none"/>
                <w:lang w:val="en-US" w:eastAsia="zh-CN"/>
              </w:rPr>
              <w:t xml:space="preserve"> </w:t>
            </w:r>
            <w:r>
              <w:rPr>
                <w:rFonts w:hint="eastAsia"/>
                <w:color w:val="auto"/>
                <w:highlight w:val="none"/>
                <w:u w:val="none"/>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95"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1.2.2</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资金落实情况</w:t>
            </w:r>
          </w:p>
        </w:tc>
        <w:tc>
          <w:tcPr>
            <w:tcW w:w="6688" w:type="dxa"/>
            <w:noWrap/>
            <w:vAlign w:val="center"/>
          </w:tcPr>
          <w:p>
            <w:pPr>
              <w:spacing w:line="300" w:lineRule="exact"/>
              <w:rPr>
                <w:color w:val="auto"/>
                <w:szCs w:val="21"/>
                <w:highlight w:val="none"/>
              </w:rPr>
            </w:pPr>
            <w:r>
              <w:rPr>
                <w:rFonts w:hint="eastAsia"/>
                <w:color w:val="auto"/>
                <w:szCs w:val="21"/>
                <w:highlight w:val="none"/>
              </w:rPr>
              <w:t xml:space="preserve"> 已落实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95"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1.2.3</w:t>
            </w:r>
          </w:p>
        </w:tc>
        <w:tc>
          <w:tcPr>
            <w:tcW w:w="1851" w:type="dxa"/>
            <w:noWrap/>
            <w:vAlign w:val="center"/>
          </w:tcPr>
          <w:p>
            <w:pPr>
              <w:spacing w:line="300" w:lineRule="exact"/>
              <w:jc w:val="center"/>
              <w:rPr>
                <w:color w:val="auto"/>
                <w:szCs w:val="21"/>
                <w:highlight w:val="none"/>
              </w:rPr>
            </w:pPr>
            <w:r>
              <w:rPr>
                <w:rFonts w:hint="eastAsia"/>
                <w:color w:val="auto"/>
                <w:highlight w:val="none"/>
              </w:rPr>
              <w:t>本工程增值税计税方法</w:t>
            </w:r>
          </w:p>
        </w:tc>
        <w:tc>
          <w:tcPr>
            <w:tcW w:w="6688" w:type="dxa"/>
            <w:noWrap/>
            <w:vAlign w:val="center"/>
          </w:tcPr>
          <w:p>
            <w:pPr>
              <w:spacing w:line="360" w:lineRule="auto"/>
              <w:rPr>
                <w:color w:val="auto"/>
                <w:highlight w:val="none"/>
              </w:rPr>
            </w:pPr>
            <w:r>
              <w:rPr>
                <w:rFonts w:hint="eastAsia" w:ascii="MS Mincho" w:hAnsi="MS Mincho" w:eastAsia="MS Mincho" w:cs="MS Mincho"/>
                <w:color w:val="auto"/>
                <w:highlight w:val="none"/>
              </w:rPr>
              <w:t>☑</w:t>
            </w:r>
            <w:r>
              <w:rPr>
                <w:rFonts w:hint="eastAsia"/>
                <w:color w:val="auto"/>
                <w:highlight w:val="none"/>
              </w:rPr>
              <w:t>一般计税法         □简易计税法</w:t>
            </w:r>
          </w:p>
          <w:p>
            <w:pPr>
              <w:spacing w:line="300" w:lineRule="exact"/>
              <w:rPr>
                <w:color w:val="auto"/>
                <w:highlight w:val="none"/>
              </w:rPr>
            </w:pPr>
            <w:r>
              <w:rPr>
                <w:rFonts w:hint="eastAsia"/>
                <w:color w:val="auto"/>
                <w:highlight w:val="none"/>
              </w:rPr>
              <w:t>【备注：按照《关于全面推开营业税改征增值税试点的通知》（财税〔2016〕</w:t>
            </w:r>
          </w:p>
          <w:p>
            <w:pPr>
              <w:spacing w:line="300" w:lineRule="exact"/>
              <w:rPr>
                <w:color w:val="auto"/>
                <w:szCs w:val="21"/>
                <w:highlight w:val="none"/>
              </w:rPr>
            </w:pPr>
            <w:r>
              <w:rPr>
                <w:rFonts w:hint="eastAsia"/>
                <w:color w:val="auto"/>
                <w:highlight w:val="none"/>
              </w:rPr>
              <w:t>36 号）、《关于落实政府补助类建设工程项目增值税相关政策的通知》（桂国税发〔2016〕147 号）、《关于建筑服务等营改增试点政策的通知》（财税〔2017〕58 号）规定、桂造价[2019]10号关于调整除税价计算适用增值税税率的通知、桂建标[2019]12号关于调整建设工程计价增值税税率的通知】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803"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1.3.1</w:t>
            </w:r>
          </w:p>
        </w:tc>
        <w:tc>
          <w:tcPr>
            <w:tcW w:w="1851" w:type="dxa"/>
            <w:noWrap/>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招标范围</w:t>
            </w:r>
          </w:p>
        </w:tc>
        <w:tc>
          <w:tcPr>
            <w:tcW w:w="6688" w:type="dxa"/>
            <w:noWrap/>
            <w:vAlign w:val="center"/>
          </w:tcPr>
          <w:p>
            <w:pPr>
              <w:spacing w:line="360" w:lineRule="auto"/>
              <w:jc w:val="left"/>
              <w:rPr>
                <w:color w:val="auto"/>
                <w:highlight w:val="none"/>
              </w:rPr>
            </w:pPr>
            <w:r>
              <w:rPr>
                <w:rFonts w:hint="eastAsia"/>
                <w:color w:val="auto"/>
                <w:highlight w:val="none"/>
              </w:rPr>
              <w:t>（1）设计包括方案设计、初步设计、施工图设计及施工过程中跟踪服务；</w:t>
            </w:r>
          </w:p>
          <w:p>
            <w:pPr>
              <w:spacing w:line="360" w:lineRule="auto"/>
              <w:jc w:val="left"/>
              <w:rPr>
                <w:color w:val="auto"/>
                <w:highlight w:val="none"/>
              </w:rPr>
            </w:pPr>
            <w:r>
              <w:rPr>
                <w:rFonts w:hint="eastAsia"/>
                <w:color w:val="auto"/>
                <w:highlight w:val="none"/>
              </w:rPr>
              <w:t>（2）采购是指本项目所需的设备及工程材料的采购；</w:t>
            </w:r>
          </w:p>
          <w:p>
            <w:pPr>
              <w:rPr>
                <w:color w:val="auto"/>
                <w:highlight w:val="none"/>
              </w:rPr>
            </w:pPr>
            <w:r>
              <w:rPr>
                <w:rFonts w:hint="eastAsia"/>
                <w:color w:val="auto"/>
                <w:highlight w:val="none"/>
              </w:rPr>
              <w:t>（3）施工包含施工图纸的全部工程内容的施工及与本项目相关改造工程；</w:t>
            </w:r>
          </w:p>
          <w:p>
            <w:pPr>
              <w:rPr>
                <w:rFonts w:ascii="宋体" w:hAnsi="宋体"/>
                <w:color w:val="auto"/>
                <w:szCs w:val="21"/>
                <w:highlight w:val="none"/>
              </w:rPr>
            </w:pPr>
            <w:r>
              <w:rPr>
                <w:rFonts w:hint="eastAsia"/>
                <w:color w:val="auto"/>
                <w:highlight w:val="none"/>
              </w:rPr>
              <w:t>（4）竣工验收。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363"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1.3.2</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计划工期</w:t>
            </w:r>
          </w:p>
        </w:tc>
        <w:tc>
          <w:tcPr>
            <w:tcW w:w="6688" w:type="dxa"/>
            <w:noWrap/>
            <w:vAlign w:val="center"/>
          </w:tcPr>
          <w:p>
            <w:pPr>
              <w:pStyle w:val="7"/>
              <w:spacing w:line="360" w:lineRule="auto"/>
              <w:rPr>
                <w:color w:val="auto"/>
                <w:szCs w:val="21"/>
                <w:highlight w:val="none"/>
              </w:rPr>
            </w:pPr>
            <w:r>
              <w:rPr>
                <w:rFonts w:hint="eastAsia"/>
                <w:color w:val="auto"/>
                <w:highlight w:val="none"/>
              </w:rPr>
              <w:t>本项目总工期（指自签订总承包合同之日起到工程交付业主使用之日期间的工期，包括设计工期、施工工期、验收工期、办理相关手续的工期等）为270天（日历天）。其中设计工期30个日历日，其他工期240个日历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08"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1.3.3</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质量要求</w:t>
            </w:r>
          </w:p>
        </w:tc>
        <w:tc>
          <w:tcPr>
            <w:tcW w:w="6688" w:type="dxa"/>
            <w:noWrap/>
            <w:vAlign w:val="center"/>
          </w:tcPr>
          <w:p>
            <w:pPr>
              <w:spacing w:line="300" w:lineRule="exact"/>
              <w:rPr>
                <w:rFonts w:ascii="宋体" w:hAnsi="宋体"/>
                <w:color w:val="auto"/>
                <w:szCs w:val="21"/>
                <w:highlight w:val="none"/>
              </w:rPr>
            </w:pPr>
            <w:r>
              <w:rPr>
                <w:rFonts w:hint="eastAsia" w:ascii="宋体" w:hAnsi="宋体"/>
                <w:color w:val="auto"/>
                <w:szCs w:val="21"/>
                <w:highlight w:val="none"/>
              </w:rPr>
              <w:t>设计要求的质量标准：符合现行国家设计有关规定要求和本项目设计要点的要求。</w:t>
            </w:r>
          </w:p>
          <w:p>
            <w:pPr>
              <w:rPr>
                <w:color w:val="auto"/>
                <w:highlight w:val="none"/>
              </w:rPr>
            </w:pPr>
            <w:r>
              <w:rPr>
                <w:rFonts w:hint="eastAsia" w:ascii="宋体" w:hAnsi="宋体"/>
                <w:color w:val="auto"/>
                <w:szCs w:val="21"/>
                <w:highlight w:val="none"/>
              </w:rPr>
              <w:t>施工要求的质量标准：满足设计及有关规范要求，一次性工程验收合格。</w:t>
            </w:r>
          </w:p>
          <w:p>
            <w:pPr>
              <w:spacing w:line="300" w:lineRule="exact"/>
              <w:rPr>
                <w:rFonts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0" w:hRule="atLeast"/>
          <w:jc w:val="center"/>
        </w:trPr>
        <w:tc>
          <w:tcPr>
            <w:tcW w:w="869" w:type="dxa"/>
            <w:noWrap/>
            <w:vAlign w:val="center"/>
          </w:tcPr>
          <w:p>
            <w:pPr>
              <w:spacing w:line="300" w:lineRule="exact"/>
              <w:jc w:val="center"/>
              <w:rPr>
                <w:color w:val="auto"/>
                <w:szCs w:val="21"/>
                <w:highlight w:val="none"/>
              </w:rPr>
            </w:pPr>
            <w:r>
              <w:rPr>
                <w:rFonts w:hint="eastAsia"/>
                <w:color w:val="auto"/>
                <w:szCs w:val="21"/>
                <w:highlight w:val="none"/>
              </w:rPr>
              <w:t>1.4.1</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投标人资质条件、</w:t>
            </w:r>
          </w:p>
          <w:p>
            <w:pPr>
              <w:spacing w:line="300" w:lineRule="exact"/>
              <w:jc w:val="center"/>
              <w:rPr>
                <w:color w:val="auto"/>
                <w:szCs w:val="21"/>
                <w:highlight w:val="none"/>
              </w:rPr>
            </w:pPr>
            <w:r>
              <w:rPr>
                <w:rFonts w:hint="eastAsia"/>
                <w:color w:val="auto"/>
                <w:szCs w:val="21"/>
                <w:highlight w:val="none"/>
              </w:rPr>
              <w:t>能力和信誉</w:t>
            </w:r>
          </w:p>
        </w:tc>
        <w:tc>
          <w:tcPr>
            <w:tcW w:w="6688" w:type="dxa"/>
            <w:noWrap/>
            <w:vAlign w:val="center"/>
          </w:tcPr>
          <w:p>
            <w:pPr>
              <w:pStyle w:val="7"/>
              <w:spacing w:line="360" w:lineRule="auto"/>
              <w:rPr>
                <w:color w:val="auto"/>
                <w:highlight w:val="none"/>
              </w:rPr>
            </w:pPr>
            <w:r>
              <w:rPr>
                <w:rFonts w:hint="eastAsia"/>
                <w:color w:val="auto"/>
                <w:highlight w:val="none"/>
              </w:rPr>
              <w:t>（1）资质要求：</w:t>
            </w:r>
            <w:r>
              <w:rPr>
                <w:color w:val="auto"/>
                <w:highlight w:val="none"/>
              </w:rPr>
              <w:t>投标人</w:t>
            </w:r>
            <w:r>
              <w:rPr>
                <w:rFonts w:hint="eastAsia"/>
                <w:color w:val="auto"/>
                <w:highlight w:val="none"/>
              </w:rPr>
              <w:t>需同时具</w:t>
            </w:r>
            <w:r>
              <w:rPr>
                <w:color w:val="auto"/>
                <w:highlight w:val="none"/>
              </w:rPr>
              <w:t>备</w:t>
            </w:r>
            <w:r>
              <w:rPr>
                <w:rFonts w:hint="eastAsia"/>
                <w:color w:val="auto"/>
                <w:highlight w:val="none"/>
              </w:rPr>
              <w:t>工程设计及施工资质，其中工程设计资质需具备</w:t>
            </w:r>
            <w:r>
              <w:rPr>
                <w:rFonts w:hint="eastAsia" w:ascii="宋体" w:hAnsi="宋体" w:cs="宋体"/>
                <w:b/>
                <w:iCs/>
                <w:color w:val="auto"/>
                <w:highlight w:val="none"/>
                <w:u w:val="single"/>
              </w:rPr>
              <w:t>建筑行业（建筑工程）乙级及以上级资质</w:t>
            </w:r>
            <w:r>
              <w:rPr>
                <w:rFonts w:hint="eastAsia"/>
                <w:b/>
                <w:bCs/>
                <w:color w:val="auto"/>
                <w:highlight w:val="none"/>
                <w:u w:val="single"/>
                <w:lang w:eastAsia="zh-CN"/>
              </w:rPr>
              <w:t>或建筑行业乙级（含乙级）及以上资质</w:t>
            </w:r>
            <w:r>
              <w:rPr>
                <w:rFonts w:hint="eastAsia" w:ascii="宋体" w:hAnsi="宋体" w:cs="宋体"/>
                <w:b/>
                <w:iCs/>
                <w:color w:val="auto"/>
                <w:highlight w:val="none"/>
                <w:u w:val="single"/>
              </w:rPr>
              <w:t>或</w:t>
            </w:r>
            <w:r>
              <w:rPr>
                <w:rFonts w:hint="eastAsia" w:ascii="宋体" w:hAnsi="宋体" w:cs="宋体"/>
                <w:b/>
                <w:color w:val="auto"/>
                <w:kern w:val="0"/>
                <w:szCs w:val="21"/>
                <w:highlight w:val="none"/>
                <w:u w:val="single"/>
              </w:rPr>
              <w:t>工程设计综合甲级资质</w:t>
            </w:r>
            <w:r>
              <w:rPr>
                <w:rFonts w:hint="eastAsia"/>
                <w:color w:val="auto"/>
                <w:highlight w:val="none"/>
              </w:rPr>
              <w:t>；施工资质要求具备</w:t>
            </w:r>
            <w:r>
              <w:rPr>
                <w:rFonts w:hint="eastAsia"/>
                <w:b/>
                <w:bCs/>
                <w:color w:val="auto"/>
                <w:highlight w:val="none"/>
                <w:u w:val="single"/>
              </w:rPr>
              <w:t>建筑工程施工总承包叁级及以上资质</w:t>
            </w:r>
            <w:r>
              <w:rPr>
                <w:rFonts w:hint="eastAsia"/>
                <w:color w:val="auto"/>
                <w:highlight w:val="none"/>
              </w:rPr>
              <w:t>，具有有效的安全生产许可证，</w:t>
            </w:r>
            <w:r>
              <w:rPr>
                <w:color w:val="auto"/>
                <w:highlight w:val="none"/>
              </w:rPr>
              <w:t>并在人员、设备、资金等方面具</w:t>
            </w:r>
            <w:r>
              <w:rPr>
                <w:rFonts w:hint="eastAsia"/>
                <w:color w:val="auto"/>
                <w:highlight w:val="none"/>
              </w:rPr>
              <w:t>备相</w:t>
            </w:r>
            <w:r>
              <w:rPr>
                <w:color w:val="auto"/>
                <w:highlight w:val="none"/>
              </w:rPr>
              <w:t>应的</w:t>
            </w:r>
            <w:r>
              <w:rPr>
                <w:rFonts w:hint="eastAsia"/>
                <w:color w:val="auto"/>
                <w:highlight w:val="none"/>
              </w:rPr>
              <w:t>履约</w:t>
            </w:r>
            <w:r>
              <w:rPr>
                <w:color w:val="auto"/>
                <w:highlight w:val="none"/>
              </w:rPr>
              <w:t>能力。</w:t>
            </w:r>
          </w:p>
          <w:p>
            <w:pPr>
              <w:pStyle w:val="7"/>
              <w:spacing w:line="360" w:lineRule="auto"/>
              <w:rPr>
                <w:color w:val="auto"/>
                <w:highlight w:val="none"/>
              </w:rPr>
            </w:pPr>
            <w:r>
              <w:rPr>
                <w:rFonts w:hint="eastAsia"/>
                <w:color w:val="auto"/>
                <w:highlight w:val="none"/>
              </w:rPr>
              <w:t>（2）</w:t>
            </w:r>
            <w:r>
              <w:rPr>
                <w:color w:val="auto"/>
                <w:highlight w:val="none"/>
              </w:rPr>
              <w:t>主要负责人要求：</w:t>
            </w:r>
          </w:p>
          <w:p>
            <w:pPr>
              <w:pStyle w:val="7"/>
              <w:spacing w:line="360" w:lineRule="auto"/>
              <w:rPr>
                <w:color w:val="auto"/>
                <w:highlight w:val="none"/>
              </w:rPr>
            </w:pPr>
            <w:r>
              <w:rPr>
                <w:color w:val="auto"/>
                <w:highlight w:val="none"/>
              </w:rPr>
              <w:t>项目</w:t>
            </w:r>
            <w:r>
              <w:rPr>
                <w:rFonts w:hint="eastAsia"/>
                <w:color w:val="auto"/>
                <w:highlight w:val="none"/>
              </w:rPr>
              <w:t>总负责人</w:t>
            </w:r>
            <w:r>
              <w:rPr>
                <w:color w:val="auto"/>
                <w:highlight w:val="none"/>
              </w:rPr>
              <w:t>：</w:t>
            </w:r>
            <w:r>
              <w:rPr>
                <w:rFonts w:hint="eastAsia"/>
                <w:color w:val="auto"/>
                <w:highlight w:val="none"/>
              </w:rPr>
              <w:t>具有贰级以上（含贰级）注册建筑师或贰级以上（含贰级）注册结构师或贰级以上（含贰级）注册建造师（建筑工程专业）执业资格。</w:t>
            </w:r>
          </w:p>
          <w:p>
            <w:pPr>
              <w:pStyle w:val="7"/>
              <w:spacing w:line="360" w:lineRule="auto"/>
              <w:rPr>
                <w:color w:val="auto"/>
                <w:highlight w:val="none"/>
              </w:rPr>
            </w:pPr>
            <w:r>
              <w:rPr>
                <w:rFonts w:hint="eastAsia"/>
                <w:color w:val="auto"/>
                <w:highlight w:val="none"/>
              </w:rPr>
              <w:t>项目</w:t>
            </w:r>
            <w:r>
              <w:rPr>
                <w:color w:val="auto"/>
                <w:highlight w:val="none"/>
              </w:rPr>
              <w:t>设计负责人：具有</w:t>
            </w:r>
            <w:r>
              <w:rPr>
                <w:rFonts w:hint="eastAsia"/>
                <w:color w:val="auto"/>
                <w:highlight w:val="none"/>
              </w:rPr>
              <w:t>贰级以上（含贰级）</w:t>
            </w:r>
            <w:r>
              <w:rPr>
                <w:color w:val="auto"/>
                <w:highlight w:val="none"/>
              </w:rPr>
              <w:t>注册</w:t>
            </w:r>
            <w:r>
              <w:rPr>
                <w:rFonts w:hint="eastAsia"/>
                <w:color w:val="auto"/>
                <w:highlight w:val="none"/>
              </w:rPr>
              <w:t>建筑师或贰级以上（含贰级）注册结构师执业资格</w:t>
            </w:r>
            <w:r>
              <w:rPr>
                <w:color w:val="auto"/>
                <w:highlight w:val="none"/>
              </w:rPr>
              <w:t>和</w:t>
            </w:r>
            <w:r>
              <w:rPr>
                <w:rFonts w:hint="eastAsia"/>
                <w:color w:val="auto"/>
                <w:highlight w:val="none"/>
              </w:rPr>
              <w:t>中级及以上</w:t>
            </w:r>
            <w:r>
              <w:rPr>
                <w:color w:val="auto"/>
                <w:highlight w:val="none"/>
              </w:rPr>
              <w:t>职称</w:t>
            </w:r>
            <w:r>
              <w:rPr>
                <w:rFonts w:hint="eastAsia"/>
                <w:color w:val="auto"/>
                <w:highlight w:val="none"/>
              </w:rPr>
              <w:t>。</w:t>
            </w:r>
          </w:p>
          <w:p>
            <w:pPr>
              <w:pStyle w:val="7"/>
              <w:spacing w:line="360" w:lineRule="auto"/>
              <w:rPr>
                <w:color w:val="auto"/>
                <w:highlight w:val="none"/>
              </w:rPr>
            </w:pPr>
            <w:r>
              <w:rPr>
                <w:rFonts w:hint="eastAsia"/>
                <w:color w:val="auto"/>
                <w:highlight w:val="none"/>
              </w:rPr>
              <w:t>项目经理</w:t>
            </w:r>
            <w:r>
              <w:rPr>
                <w:color w:val="auto"/>
                <w:highlight w:val="none"/>
              </w:rPr>
              <w:t>：具有</w:t>
            </w:r>
            <w:r>
              <w:rPr>
                <w:rFonts w:hint="eastAsia"/>
                <w:color w:val="auto"/>
                <w:highlight w:val="none"/>
              </w:rPr>
              <w:t>建筑工程专</w:t>
            </w:r>
            <w:r>
              <w:rPr>
                <w:color w:val="auto"/>
                <w:highlight w:val="none"/>
              </w:rPr>
              <w:t>业的</w:t>
            </w:r>
            <w:r>
              <w:rPr>
                <w:rFonts w:hint="eastAsia"/>
                <w:color w:val="auto"/>
                <w:highlight w:val="none"/>
              </w:rPr>
              <w:t>贰级以上（含贰级）</w:t>
            </w:r>
            <w:r>
              <w:rPr>
                <w:color w:val="auto"/>
                <w:highlight w:val="none"/>
              </w:rPr>
              <w:t>注册建造师</w:t>
            </w:r>
            <w:r>
              <w:rPr>
                <w:rFonts w:hint="eastAsia"/>
                <w:color w:val="auto"/>
                <w:highlight w:val="none"/>
              </w:rPr>
              <w:t>证书，具备有效的安全生产考核合格证书（B类）。</w:t>
            </w:r>
            <w:r>
              <w:rPr>
                <w:color w:val="auto"/>
                <w:highlight w:val="none"/>
              </w:rPr>
              <w:t>本项目不接受有在建、已中标未开工或已列为其他项目中标候选人第一名的建造师作为</w:t>
            </w:r>
            <w:r>
              <w:rPr>
                <w:rFonts w:hint="eastAsia"/>
                <w:color w:val="auto"/>
                <w:highlight w:val="none"/>
              </w:rPr>
              <w:t>项目经理</w:t>
            </w:r>
            <w:r>
              <w:rPr>
                <w:color w:val="auto"/>
                <w:highlight w:val="none"/>
              </w:rPr>
              <w:t xml:space="preserve">。 </w:t>
            </w:r>
          </w:p>
          <w:p>
            <w:pPr>
              <w:pStyle w:val="7"/>
              <w:spacing w:line="360" w:lineRule="auto"/>
              <w:rPr>
                <w:color w:val="auto"/>
                <w:highlight w:val="none"/>
              </w:rPr>
            </w:pPr>
            <w:r>
              <w:rPr>
                <w:rFonts w:hint="eastAsia"/>
                <w:color w:val="auto"/>
                <w:highlight w:val="none"/>
              </w:rPr>
              <w:t>项目施工专职安全员：具备有效的安全生产考核合格证书（C类），</w:t>
            </w:r>
            <w:r>
              <w:rPr>
                <w:color w:val="auto"/>
                <w:highlight w:val="none"/>
              </w:rPr>
              <w:t>人数符合住房和城乡建设部《建筑施工企业安全生产管理机构设置及专职安全生产管理人员配备办法》（建质〔2008〕91号）的规定不少于</w:t>
            </w:r>
            <w:r>
              <w:rPr>
                <w:rFonts w:hint="eastAsia"/>
                <w:color w:val="auto"/>
                <w:highlight w:val="none"/>
              </w:rPr>
              <w:t>1</w:t>
            </w:r>
            <w:r>
              <w:rPr>
                <w:color w:val="auto"/>
                <w:highlight w:val="none"/>
              </w:rPr>
              <w:t>人。</w:t>
            </w:r>
          </w:p>
          <w:p>
            <w:pPr>
              <w:pStyle w:val="7"/>
              <w:spacing w:line="440" w:lineRule="exact"/>
              <w:rPr>
                <w:color w:val="auto"/>
                <w:highlight w:val="none"/>
              </w:rPr>
            </w:pPr>
            <w:r>
              <w:rPr>
                <w:color w:val="auto"/>
                <w:highlight w:val="none"/>
              </w:rPr>
              <w:t>其他要求：以上人员不能为同一个人</w:t>
            </w:r>
            <w:r>
              <w:rPr>
                <w:rFonts w:hint="eastAsia"/>
                <w:color w:val="auto"/>
                <w:highlight w:val="none"/>
              </w:rPr>
              <w:t>且</w:t>
            </w:r>
            <w:r>
              <w:rPr>
                <w:color w:val="auto"/>
                <w:highlight w:val="none"/>
              </w:rPr>
              <w:t>必须为投标</w:t>
            </w:r>
            <w:r>
              <w:rPr>
                <w:rFonts w:hint="eastAsia"/>
                <w:color w:val="auto"/>
                <w:highlight w:val="none"/>
              </w:rPr>
              <w:t>人</w:t>
            </w:r>
            <w:r>
              <w:rPr>
                <w:color w:val="auto"/>
                <w:highlight w:val="none"/>
              </w:rPr>
              <w:t>本单位人员</w:t>
            </w:r>
            <w:r>
              <w:rPr>
                <w:rFonts w:hint="eastAsia"/>
                <w:color w:val="auto"/>
                <w:highlight w:val="none"/>
              </w:rPr>
              <w:t>（提交近3个月（2020年</w:t>
            </w:r>
            <w:r>
              <w:rPr>
                <w:rFonts w:hint="eastAsia"/>
                <w:color w:val="auto"/>
                <w:highlight w:val="none"/>
                <w:lang w:val="en-US" w:eastAsia="zh-CN"/>
              </w:rPr>
              <w:t>11</w:t>
            </w:r>
            <w:r>
              <w:rPr>
                <w:rFonts w:hint="eastAsia"/>
                <w:color w:val="auto"/>
                <w:highlight w:val="none"/>
              </w:rPr>
              <w:t>月至202</w:t>
            </w:r>
            <w:r>
              <w:rPr>
                <w:rFonts w:hint="eastAsia"/>
                <w:color w:val="auto"/>
                <w:highlight w:val="none"/>
                <w:lang w:val="en-US" w:eastAsia="zh-CN"/>
              </w:rPr>
              <w:t>1</w:t>
            </w:r>
            <w:r>
              <w:rPr>
                <w:rFonts w:hint="eastAsia"/>
                <w:color w:val="auto"/>
                <w:highlight w:val="none"/>
              </w:rPr>
              <w:t>年</w:t>
            </w:r>
            <w:r>
              <w:rPr>
                <w:rFonts w:hint="eastAsia"/>
                <w:color w:val="auto"/>
                <w:highlight w:val="none"/>
                <w:lang w:val="en-US" w:eastAsia="zh-CN"/>
              </w:rPr>
              <w:t>1</w:t>
            </w:r>
            <w:r>
              <w:rPr>
                <w:rFonts w:hint="eastAsia"/>
                <w:color w:val="auto"/>
                <w:highlight w:val="none"/>
              </w:rPr>
              <w:t>月）在本单位的社保证明）。</w:t>
            </w:r>
          </w:p>
          <w:p>
            <w:pPr>
              <w:pStyle w:val="7"/>
              <w:spacing w:line="360" w:lineRule="auto"/>
              <w:rPr>
                <w:color w:val="auto"/>
                <w:highlight w:val="none"/>
              </w:rPr>
            </w:pPr>
            <w:r>
              <w:rPr>
                <w:rFonts w:hint="eastAsia"/>
                <w:color w:val="auto"/>
                <w:highlight w:val="none"/>
              </w:rPr>
              <w:t xml:space="preserve">（3）诚信要求：对在“信用中国”网站(www.creditchina.gov.cn)、 </w:t>
            </w:r>
          </w:p>
          <w:p>
            <w:pPr>
              <w:pStyle w:val="7"/>
              <w:spacing w:line="360" w:lineRule="auto"/>
              <w:rPr>
                <w:color w:val="auto"/>
                <w:highlight w:val="none"/>
              </w:rPr>
            </w:pPr>
            <w:r>
              <w:rPr>
                <w:rFonts w:hint="eastAsia"/>
                <w:color w:val="auto"/>
                <w:highlight w:val="none"/>
              </w:rPr>
              <w:t xml:space="preserve">中国政府采购网(www.ccgp.gov.cn)等渠道列入失信被执行人、重大 </w:t>
            </w:r>
          </w:p>
          <w:p>
            <w:pPr>
              <w:pStyle w:val="7"/>
              <w:spacing w:line="360" w:lineRule="auto"/>
              <w:rPr>
                <w:color w:val="auto"/>
                <w:highlight w:val="none"/>
              </w:rPr>
            </w:pPr>
            <w:r>
              <w:rPr>
                <w:rFonts w:hint="eastAsia"/>
                <w:color w:val="auto"/>
                <w:highlight w:val="none"/>
              </w:rPr>
              <w:t xml:space="preserve">税收违法案件当事人名单、政府采购严重违法失信行为记录名单及其 </w:t>
            </w:r>
          </w:p>
          <w:p>
            <w:pPr>
              <w:pStyle w:val="7"/>
              <w:spacing w:line="360" w:lineRule="auto"/>
              <w:rPr>
                <w:color w:val="auto"/>
                <w:highlight w:val="none"/>
              </w:rPr>
            </w:pPr>
            <w:r>
              <w:rPr>
                <w:rFonts w:hint="eastAsia"/>
                <w:color w:val="auto"/>
                <w:highlight w:val="none"/>
              </w:rPr>
              <w:t xml:space="preserve">他不符合《中华人民共和国政府采购法》第二十二条规定条件的供应 </w:t>
            </w:r>
          </w:p>
          <w:p>
            <w:pPr>
              <w:pStyle w:val="7"/>
              <w:spacing w:line="360" w:lineRule="auto"/>
              <w:rPr>
                <w:color w:val="auto"/>
                <w:highlight w:val="none"/>
              </w:rPr>
            </w:pPr>
            <w:r>
              <w:rPr>
                <w:rFonts w:hint="eastAsia"/>
                <w:color w:val="auto"/>
                <w:highlight w:val="none"/>
              </w:rPr>
              <w:t>商，不得参与政府采购活动</w:t>
            </w:r>
          </w:p>
          <w:p>
            <w:pPr>
              <w:pStyle w:val="7"/>
              <w:spacing w:line="360" w:lineRule="auto"/>
              <w:rPr>
                <w:color w:val="auto"/>
                <w:highlight w:val="none"/>
              </w:rPr>
            </w:pPr>
            <w:r>
              <w:rPr>
                <w:rFonts w:hint="eastAsia"/>
                <w:color w:val="auto"/>
                <w:highlight w:val="none"/>
              </w:rPr>
              <w:t>（4）财务要求：提供2017年至2019年每年度的财务状况表</w:t>
            </w:r>
            <w:r>
              <w:rPr>
                <w:rFonts w:hint="eastAsia"/>
                <w:color w:val="auto"/>
                <w:szCs w:val="21"/>
                <w:highlight w:val="none"/>
                <w:lang w:eastAsia="zh-CN"/>
              </w:rPr>
              <w:t>（如为联合体投标仅须由牵头人提供）</w:t>
            </w:r>
            <w:r>
              <w:rPr>
                <w:rFonts w:hint="eastAsia"/>
                <w:color w:val="auto"/>
                <w:highlight w:val="none"/>
              </w:rPr>
              <w:t>。</w:t>
            </w:r>
            <w:r>
              <w:rPr>
                <w:rFonts w:hint="eastAsia"/>
                <w:color w:val="auto"/>
                <w:highlight w:val="none"/>
                <w:lang w:val="en-US" w:eastAsia="zh-CN"/>
              </w:rPr>
              <w:t>【</w:t>
            </w:r>
            <w:r>
              <w:rPr>
                <w:rFonts w:hint="eastAsia"/>
                <w:color w:val="auto"/>
                <w:highlight w:val="none"/>
              </w:rPr>
              <w:t>对于从取得营业执照时间起到投标截止时间为止不足要求年数的企业，只需提交企业取得营业执照年份至所要求最近年份</w:t>
            </w:r>
            <w:r>
              <w:rPr>
                <w:rFonts w:hint="eastAsia"/>
                <w:color w:val="auto"/>
                <w:highlight w:val="none"/>
                <w:lang w:eastAsia="zh-CN"/>
              </w:rPr>
              <w:t>有效的</w:t>
            </w:r>
            <w:r>
              <w:rPr>
                <w:rFonts w:hint="eastAsia"/>
                <w:color w:val="auto"/>
                <w:highlight w:val="none"/>
              </w:rPr>
              <w:t>的财务报表</w:t>
            </w:r>
            <w:r>
              <w:rPr>
                <w:rFonts w:hint="eastAsia"/>
                <w:color w:val="auto"/>
                <w:highlight w:val="none"/>
                <w:lang w:eastAsia="zh-CN"/>
              </w:rPr>
              <w:t>】</w:t>
            </w:r>
            <w:r>
              <w:rPr>
                <w:rFonts w:hint="eastAsia"/>
                <w:color w:val="auto"/>
                <w:highlight w:val="none"/>
              </w:rPr>
              <w:t>。</w:t>
            </w:r>
          </w:p>
          <w:p>
            <w:pPr>
              <w:pStyle w:val="7"/>
              <w:spacing w:line="360" w:lineRule="auto"/>
              <w:rPr>
                <w:color w:val="auto"/>
                <w:highlight w:val="none"/>
              </w:rPr>
            </w:pPr>
            <w:r>
              <w:rPr>
                <w:rFonts w:hint="eastAsia"/>
                <w:color w:val="auto"/>
                <w:highlight w:val="none"/>
              </w:rPr>
              <w:t>（5）业绩要求：联合体成员中具备已</w:t>
            </w:r>
            <w:r>
              <w:rPr>
                <w:rFonts w:hint="eastAsia" w:ascii="宋体" w:hAnsi="宋体"/>
                <w:color w:val="auto"/>
                <w:highlight w:val="none"/>
              </w:rPr>
              <w:t>完成</w:t>
            </w:r>
            <w:r>
              <w:rPr>
                <w:rFonts w:hint="eastAsia" w:ascii="宋体" w:hAnsi="宋体"/>
                <w:color w:val="auto"/>
                <w:szCs w:val="21"/>
                <w:highlight w:val="none"/>
                <w:shd w:val="clear" w:color="auto" w:fill="FFFFFF"/>
              </w:rPr>
              <w:t>的结构实验台座反力墙或反力台座项</w:t>
            </w:r>
            <w:r>
              <w:rPr>
                <w:rFonts w:ascii="宋体" w:hAnsi="宋体"/>
                <w:color w:val="auto"/>
                <w:szCs w:val="21"/>
                <w:highlight w:val="none"/>
                <w:shd w:val="clear" w:color="auto" w:fill="FFFFFF"/>
              </w:rPr>
              <w:t>目</w:t>
            </w:r>
            <w:r>
              <w:rPr>
                <w:rFonts w:hint="eastAsia" w:ascii="宋体" w:hAnsi="宋体"/>
                <w:color w:val="auto"/>
                <w:szCs w:val="21"/>
                <w:highlight w:val="none"/>
                <w:shd w:val="clear" w:color="auto" w:fill="FFFFFF"/>
              </w:rPr>
              <w:t>的设计或</w:t>
            </w:r>
            <w:r>
              <w:rPr>
                <w:rFonts w:hint="eastAsia"/>
                <w:color w:val="auto"/>
                <w:highlight w:val="none"/>
              </w:rPr>
              <w:t>施工</w:t>
            </w:r>
            <w:r>
              <w:rPr>
                <w:rFonts w:hint="eastAsia" w:ascii="宋体" w:hAnsi="宋体"/>
                <w:color w:val="auto"/>
                <w:szCs w:val="21"/>
                <w:highlight w:val="none"/>
                <w:shd w:val="clear" w:color="auto" w:fill="FFFFFF"/>
              </w:rPr>
              <w:t>的工程业绩（</w:t>
            </w:r>
            <w:r>
              <w:rPr>
                <w:rFonts w:hint="eastAsia"/>
                <w:color w:val="auto"/>
                <w:highlight w:val="none"/>
              </w:rPr>
              <w:t>须提供加盖单位公章的合同</w:t>
            </w:r>
            <w:r>
              <w:rPr>
                <w:rFonts w:hint="eastAsia"/>
                <w:color w:val="auto"/>
                <w:highlight w:val="none"/>
                <w:lang w:eastAsia="zh-CN"/>
              </w:rPr>
              <w:t>或</w:t>
            </w:r>
            <w:r>
              <w:rPr>
                <w:rFonts w:hint="eastAsia"/>
                <w:color w:val="auto"/>
                <w:highlight w:val="none"/>
              </w:rPr>
              <w:t>中标通知书的复印件</w:t>
            </w:r>
            <w:r>
              <w:rPr>
                <w:rFonts w:hint="eastAsia" w:ascii="宋体" w:hAnsi="宋体"/>
                <w:color w:val="auto"/>
                <w:szCs w:val="21"/>
                <w:highlight w:val="none"/>
                <w:shd w:val="clear" w:color="auto" w:fill="FFFFFF"/>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148"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1.4.2</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是否接受</w:t>
            </w:r>
          </w:p>
          <w:p>
            <w:pPr>
              <w:spacing w:line="360" w:lineRule="exact"/>
              <w:jc w:val="center"/>
              <w:rPr>
                <w:color w:val="auto"/>
                <w:szCs w:val="21"/>
                <w:highlight w:val="none"/>
              </w:rPr>
            </w:pPr>
            <w:r>
              <w:rPr>
                <w:rFonts w:hint="eastAsia"/>
                <w:color w:val="auto"/>
                <w:szCs w:val="21"/>
                <w:highlight w:val="none"/>
              </w:rPr>
              <w:t>联合体投标</w:t>
            </w:r>
          </w:p>
        </w:tc>
        <w:tc>
          <w:tcPr>
            <w:tcW w:w="6688" w:type="dxa"/>
            <w:noWrap/>
            <w:vAlign w:val="center"/>
          </w:tcPr>
          <w:p>
            <w:pPr>
              <w:pStyle w:val="7"/>
              <w:spacing w:line="440" w:lineRule="exact"/>
              <w:rPr>
                <w:rFonts w:ascii="宋体" w:hAnsi="宋体"/>
                <w:b/>
                <w:color w:val="auto"/>
                <w:szCs w:val="21"/>
                <w:highlight w:val="none"/>
              </w:rPr>
            </w:pPr>
            <w:r>
              <w:rPr>
                <w:rFonts w:ascii="宋体" w:hAnsi="宋体"/>
                <w:b/>
                <w:color w:val="auto"/>
                <w:szCs w:val="21"/>
                <w:highlight w:val="none"/>
              </w:rPr>
              <w:t>本次招标接受联合体投标。</w:t>
            </w:r>
          </w:p>
          <w:p>
            <w:pPr>
              <w:spacing w:line="360" w:lineRule="auto"/>
              <w:rPr>
                <w:rFonts w:ascii="宋体" w:hAnsi="宋体"/>
                <w:color w:val="auto"/>
                <w:szCs w:val="21"/>
                <w:highlight w:val="none"/>
              </w:rPr>
            </w:pPr>
            <w:r>
              <w:rPr>
                <w:rFonts w:ascii="宋体" w:hAnsi="宋体"/>
                <w:b/>
                <w:color w:val="auto"/>
                <w:szCs w:val="21"/>
                <w:highlight w:val="none"/>
              </w:rPr>
              <w:t>联</w:t>
            </w:r>
            <w:r>
              <w:rPr>
                <w:rFonts w:hint="eastAsia" w:ascii="宋体" w:hAnsi="宋体"/>
                <w:b/>
                <w:color w:val="auto"/>
                <w:szCs w:val="21"/>
                <w:highlight w:val="none"/>
              </w:rPr>
              <w:t>合</w:t>
            </w:r>
            <w:r>
              <w:rPr>
                <w:rFonts w:ascii="宋体" w:hAnsi="宋体"/>
                <w:b/>
                <w:color w:val="auto"/>
                <w:szCs w:val="21"/>
                <w:highlight w:val="none"/>
              </w:rPr>
              <w:t>体投标的，应满足下列要求：</w:t>
            </w:r>
            <w:r>
              <w:rPr>
                <w:rFonts w:hint="eastAsia" w:ascii="宋体" w:hAnsi="宋体"/>
                <w:b/>
                <w:color w:val="auto"/>
                <w:szCs w:val="21"/>
                <w:highlight w:val="none"/>
              </w:rPr>
              <w:t>1、</w:t>
            </w:r>
            <w:r>
              <w:rPr>
                <w:rFonts w:ascii="宋体" w:hAnsi="宋体"/>
                <w:color w:val="auto"/>
                <w:szCs w:val="21"/>
                <w:highlight w:val="none"/>
              </w:rPr>
              <w:t>本项目接受由</w:t>
            </w:r>
            <w:r>
              <w:rPr>
                <w:rFonts w:hint="eastAsia" w:ascii="宋体" w:hAnsi="宋体"/>
                <w:color w:val="auto"/>
                <w:szCs w:val="21"/>
                <w:highlight w:val="none"/>
              </w:rPr>
              <w:t>具有</w:t>
            </w:r>
            <w:r>
              <w:rPr>
                <w:rFonts w:ascii="宋体" w:hAnsi="宋体"/>
                <w:color w:val="auto"/>
                <w:szCs w:val="21"/>
                <w:highlight w:val="none"/>
              </w:rPr>
              <w:t>独立法人资格</w:t>
            </w:r>
            <w:r>
              <w:rPr>
                <w:rFonts w:hint="eastAsia" w:ascii="宋体" w:hAnsi="宋体"/>
                <w:color w:val="auto"/>
                <w:szCs w:val="21"/>
                <w:highlight w:val="none"/>
              </w:rPr>
              <w:t>的设计或施工单位</w:t>
            </w:r>
            <w:r>
              <w:rPr>
                <w:rFonts w:ascii="宋体" w:hAnsi="宋体"/>
                <w:color w:val="auto"/>
                <w:szCs w:val="21"/>
                <w:highlight w:val="none"/>
              </w:rPr>
              <w:t>作为牵头人组成的</w:t>
            </w:r>
            <w:r>
              <w:rPr>
                <w:rFonts w:hint="eastAsia" w:ascii="宋体" w:hAnsi="宋体"/>
                <w:color w:val="auto"/>
                <w:szCs w:val="21"/>
                <w:highlight w:val="none"/>
              </w:rPr>
              <w:t>工程</w:t>
            </w:r>
            <w:r>
              <w:rPr>
                <w:rFonts w:ascii="宋体" w:hAnsi="宋体"/>
                <w:color w:val="auto"/>
                <w:szCs w:val="21"/>
                <w:highlight w:val="none"/>
              </w:rPr>
              <w:t>总承包的联合体投标</w:t>
            </w:r>
            <w:r>
              <w:rPr>
                <w:rFonts w:hint="eastAsia" w:ascii="宋体" w:hAnsi="宋体"/>
                <w:color w:val="auto"/>
                <w:szCs w:val="21"/>
                <w:highlight w:val="none"/>
              </w:rPr>
              <w:t>。</w:t>
            </w:r>
            <w:r>
              <w:rPr>
                <w:rFonts w:ascii="宋体" w:hAnsi="宋体"/>
                <w:color w:val="auto"/>
                <w:szCs w:val="21"/>
                <w:highlight w:val="none"/>
              </w:rPr>
              <w:t>联合体成员由1家</w:t>
            </w:r>
            <w:r>
              <w:rPr>
                <w:rFonts w:hint="eastAsia" w:ascii="宋体" w:hAnsi="宋体"/>
                <w:color w:val="auto"/>
                <w:szCs w:val="21"/>
                <w:highlight w:val="none"/>
              </w:rPr>
              <w:t>设计单位和</w:t>
            </w:r>
            <w:r>
              <w:rPr>
                <w:rFonts w:ascii="宋体" w:hAnsi="宋体"/>
                <w:color w:val="auto"/>
                <w:szCs w:val="21"/>
                <w:highlight w:val="none"/>
              </w:rPr>
              <w:t>1家</w:t>
            </w:r>
            <w:r>
              <w:rPr>
                <w:rFonts w:hint="eastAsia" w:ascii="宋体" w:hAnsi="宋体"/>
                <w:color w:val="auto"/>
                <w:szCs w:val="21"/>
                <w:highlight w:val="none"/>
              </w:rPr>
              <w:t>施工单位</w:t>
            </w:r>
            <w:r>
              <w:rPr>
                <w:rFonts w:ascii="宋体" w:hAnsi="宋体"/>
                <w:color w:val="auto"/>
                <w:szCs w:val="21"/>
                <w:highlight w:val="none"/>
              </w:rPr>
              <w:t>组成，联合体各方均应符合</w:t>
            </w:r>
            <w:r>
              <w:rPr>
                <w:rFonts w:hint="eastAsia" w:ascii="宋体" w:hAnsi="宋体"/>
                <w:color w:val="auto"/>
                <w:szCs w:val="21"/>
                <w:highlight w:val="none"/>
              </w:rPr>
              <w:t>“具有独立法人资格”、</w:t>
            </w:r>
            <w:r>
              <w:rPr>
                <w:rFonts w:ascii="宋体" w:hAnsi="宋体"/>
                <w:color w:val="auto"/>
                <w:szCs w:val="21"/>
                <w:highlight w:val="none"/>
              </w:rPr>
              <w:t>“具有独立承担民事责任的能力”的条件</w:t>
            </w:r>
            <w:r>
              <w:rPr>
                <w:rFonts w:hint="eastAsia" w:ascii="宋体" w:hAnsi="宋体"/>
                <w:color w:val="auto"/>
                <w:szCs w:val="21"/>
                <w:highlight w:val="none"/>
              </w:rPr>
              <w:t>，其中施工单位须具备有效的安全生产许可证；</w:t>
            </w:r>
            <w:r>
              <w:rPr>
                <w:rFonts w:ascii="宋体" w:hAnsi="宋体"/>
                <w:b/>
                <w:color w:val="auto"/>
                <w:szCs w:val="21"/>
                <w:highlight w:val="none"/>
              </w:rPr>
              <w:t>其中设计资质要求</w:t>
            </w:r>
            <w:r>
              <w:rPr>
                <w:rFonts w:hint="eastAsia" w:ascii="宋体" w:hAnsi="宋体"/>
                <w:b/>
                <w:color w:val="auto"/>
                <w:szCs w:val="21"/>
                <w:highlight w:val="none"/>
              </w:rPr>
              <w:t>具备</w:t>
            </w:r>
            <w:r>
              <w:rPr>
                <w:rFonts w:hint="eastAsia" w:ascii="宋体" w:hAnsi="宋体" w:cs="宋体"/>
                <w:b/>
                <w:bCs/>
                <w:color w:val="auto"/>
                <w:kern w:val="0"/>
                <w:szCs w:val="21"/>
                <w:highlight w:val="none"/>
                <w:u w:val="single"/>
              </w:rPr>
              <w:t>建筑行业（建筑工程）设计乙级及以上级资质</w:t>
            </w:r>
            <w:r>
              <w:rPr>
                <w:rFonts w:hint="eastAsia"/>
                <w:b/>
                <w:bCs/>
                <w:color w:val="auto"/>
                <w:highlight w:val="none"/>
                <w:u w:val="single"/>
                <w:lang w:eastAsia="zh-CN"/>
              </w:rPr>
              <w:t>或建筑行业乙级（含乙级）及以上资质</w:t>
            </w:r>
            <w:r>
              <w:rPr>
                <w:rFonts w:hint="eastAsia" w:ascii="宋体" w:hAnsi="宋体" w:cs="宋体"/>
                <w:b/>
                <w:bCs/>
                <w:color w:val="auto"/>
                <w:kern w:val="0"/>
                <w:szCs w:val="21"/>
                <w:highlight w:val="none"/>
                <w:u w:val="single"/>
              </w:rPr>
              <w:t>或工程设计综合甲级资质</w:t>
            </w:r>
            <w:r>
              <w:rPr>
                <w:rFonts w:hint="eastAsia" w:ascii="宋体" w:hAnsi="宋体" w:cs="宋体"/>
                <w:b/>
                <w:bCs/>
                <w:iCs/>
                <w:color w:val="auto"/>
                <w:highlight w:val="none"/>
              </w:rPr>
              <w:t>；</w:t>
            </w:r>
            <w:r>
              <w:rPr>
                <w:rFonts w:hint="eastAsia" w:ascii="宋体" w:hAnsi="宋体"/>
                <w:b/>
                <w:color w:val="auto"/>
                <w:szCs w:val="21"/>
                <w:highlight w:val="none"/>
              </w:rPr>
              <w:t>施工资质要求具备</w:t>
            </w:r>
            <w:r>
              <w:rPr>
                <w:rFonts w:hint="eastAsia" w:ascii="宋体" w:hAnsi="宋体" w:cs="宋体"/>
                <w:b/>
                <w:color w:val="auto"/>
                <w:szCs w:val="21"/>
                <w:highlight w:val="none"/>
                <w:u w:val="single"/>
              </w:rPr>
              <w:t>建筑工程施工总承包叁级及以上资质</w:t>
            </w:r>
            <w:r>
              <w:rPr>
                <w:rFonts w:hint="eastAsia" w:ascii="宋体" w:hAnsi="宋体"/>
                <w:b/>
                <w:color w:val="auto"/>
                <w:szCs w:val="21"/>
                <w:highlight w:val="none"/>
              </w:rPr>
              <w:t>，具有有效的安全生产许可证</w:t>
            </w:r>
            <w:r>
              <w:rPr>
                <w:rFonts w:hint="eastAsia" w:ascii="宋体" w:hAnsi="宋体"/>
                <w:color w:val="auto"/>
                <w:szCs w:val="21"/>
                <w:highlight w:val="none"/>
              </w:rPr>
              <w:t>。</w:t>
            </w:r>
          </w:p>
          <w:p>
            <w:pPr>
              <w:spacing w:line="360" w:lineRule="auto"/>
              <w:ind w:firstLine="420" w:firstLineChars="200"/>
              <w:rPr>
                <w:rFonts w:ascii="宋体" w:hAnsi="宋体"/>
                <w:b/>
                <w:color w:val="auto"/>
                <w:szCs w:val="21"/>
                <w:highlight w:val="none"/>
              </w:rPr>
            </w:pPr>
            <w:r>
              <w:rPr>
                <w:rFonts w:hint="eastAsia"/>
                <w:color w:val="auto"/>
                <w:szCs w:val="21"/>
                <w:highlight w:val="none"/>
              </w:rPr>
              <w:t>2、联合体各方应当签订联合体协议书，其中联合体牵头人代表联合体各方成员负责投标和合同实施阶段的主办、协调工作，但联合体其他成员在投标、签约与履行合同过程中，仍负有连带的和各自的法律责任。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34"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1.4.3</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是否要求采用装配式技术</w:t>
            </w:r>
          </w:p>
        </w:tc>
        <w:tc>
          <w:tcPr>
            <w:tcW w:w="6688" w:type="dxa"/>
            <w:noWrap/>
            <w:vAlign w:val="center"/>
          </w:tcPr>
          <w:p>
            <w:pPr>
              <w:spacing w:line="440" w:lineRule="exact"/>
              <w:rPr>
                <w:rFonts w:hAnsi="宋体"/>
                <w:color w:val="auto"/>
                <w:highlight w:val="none"/>
              </w:rPr>
            </w:pPr>
            <w:r>
              <w:rPr>
                <w:rFonts w:hint="eastAsia" w:hAnsi="宋体"/>
                <w:b/>
                <w:color w:val="auto"/>
                <w:highlight w:val="none"/>
              </w:rPr>
              <w:t>☑</w:t>
            </w:r>
            <w:r>
              <w:rPr>
                <w:rFonts w:hint="eastAsia" w:hAnsi="宋体"/>
                <w:color w:val="auto"/>
                <w:highlight w:val="none"/>
              </w:rPr>
              <w:t>不要求</w:t>
            </w:r>
          </w:p>
          <w:p>
            <w:pPr>
              <w:spacing w:line="440" w:lineRule="exact"/>
              <w:rPr>
                <w:rFonts w:ascii="宋体" w:hAnsi="宋体"/>
                <w:b/>
                <w:color w:val="auto"/>
                <w:szCs w:val="21"/>
                <w:highlight w:val="none"/>
              </w:rPr>
            </w:pPr>
            <w:r>
              <w:rPr>
                <w:rFonts w:hint="eastAsia" w:hAnsi="宋体"/>
                <w:b/>
                <w:color w:val="auto"/>
                <w:highlight w:val="none"/>
              </w:rPr>
              <w:t>□</w:t>
            </w:r>
            <w:r>
              <w:rPr>
                <w:rFonts w:hint="eastAsia" w:hAnsi="宋体"/>
                <w:color w:val="auto"/>
                <w:highlight w:val="none"/>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34"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1.4.4</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是否要求采用建筑信息模型（BIM）技术</w:t>
            </w:r>
          </w:p>
        </w:tc>
        <w:tc>
          <w:tcPr>
            <w:tcW w:w="6688" w:type="dxa"/>
            <w:noWrap/>
            <w:vAlign w:val="center"/>
          </w:tcPr>
          <w:p>
            <w:pPr>
              <w:spacing w:line="440" w:lineRule="exact"/>
              <w:rPr>
                <w:rFonts w:hAnsi="宋体"/>
                <w:color w:val="auto"/>
                <w:highlight w:val="none"/>
              </w:rPr>
            </w:pPr>
            <w:r>
              <w:rPr>
                <w:rFonts w:hint="eastAsia" w:hAnsi="宋体"/>
                <w:b/>
                <w:color w:val="auto"/>
                <w:highlight w:val="none"/>
              </w:rPr>
              <w:t>☑</w:t>
            </w:r>
            <w:r>
              <w:rPr>
                <w:rFonts w:hint="eastAsia" w:hAnsi="宋体"/>
                <w:color w:val="auto"/>
                <w:highlight w:val="none"/>
              </w:rPr>
              <w:t>不要求</w:t>
            </w:r>
          </w:p>
          <w:p>
            <w:pPr>
              <w:spacing w:line="440" w:lineRule="exact"/>
              <w:rPr>
                <w:rFonts w:hAnsi="宋体"/>
                <w:b/>
                <w:color w:val="auto"/>
                <w:highlight w:val="none"/>
              </w:rPr>
            </w:pPr>
            <w:r>
              <w:rPr>
                <w:rFonts w:hint="eastAsia" w:hAnsi="宋体"/>
                <w:b/>
                <w:color w:val="auto"/>
                <w:highlight w:val="none"/>
              </w:rPr>
              <w:t>□</w:t>
            </w:r>
            <w:r>
              <w:rPr>
                <w:rFonts w:hint="eastAsia" w:hAnsi="宋体"/>
                <w:color w:val="auto"/>
                <w:highlight w:val="none"/>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34"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1.5</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费用承担和</w:t>
            </w:r>
          </w:p>
          <w:p>
            <w:pPr>
              <w:spacing w:line="360" w:lineRule="exact"/>
              <w:jc w:val="center"/>
              <w:rPr>
                <w:color w:val="auto"/>
                <w:szCs w:val="21"/>
                <w:highlight w:val="none"/>
              </w:rPr>
            </w:pPr>
            <w:r>
              <w:rPr>
                <w:rFonts w:hint="eastAsia"/>
                <w:color w:val="auto"/>
                <w:szCs w:val="21"/>
                <w:highlight w:val="none"/>
              </w:rPr>
              <w:t>设计成果补偿</w:t>
            </w:r>
          </w:p>
        </w:tc>
        <w:tc>
          <w:tcPr>
            <w:tcW w:w="6688" w:type="dxa"/>
            <w:noWrap/>
            <w:vAlign w:val="center"/>
          </w:tcPr>
          <w:p>
            <w:pPr>
              <w:spacing w:line="440" w:lineRule="exact"/>
              <w:rPr>
                <w:rFonts w:hAnsi="宋体"/>
                <w:color w:val="auto"/>
                <w:highlight w:val="none"/>
              </w:rPr>
            </w:pPr>
            <w:r>
              <w:rPr>
                <w:rFonts w:hint="eastAsia" w:hAnsi="宋体"/>
                <w:b/>
                <w:color w:val="auto"/>
                <w:highlight w:val="none"/>
              </w:rPr>
              <w:t>☑</w:t>
            </w:r>
            <w:r>
              <w:rPr>
                <w:rFonts w:hint="eastAsia" w:hAnsi="宋体"/>
                <w:color w:val="auto"/>
                <w:highlight w:val="none"/>
              </w:rPr>
              <w:t>不补偿；</w:t>
            </w:r>
          </w:p>
          <w:p>
            <w:pPr>
              <w:spacing w:line="440" w:lineRule="exact"/>
              <w:rPr>
                <w:rFonts w:ascii="宋体" w:hAnsi="宋体"/>
                <w:b/>
                <w:color w:val="auto"/>
                <w:szCs w:val="21"/>
                <w:highlight w:val="none"/>
              </w:rPr>
            </w:pPr>
            <w:r>
              <w:rPr>
                <w:rFonts w:hint="eastAsia" w:hAnsi="宋体"/>
                <w:b/>
                <w:color w:val="auto"/>
                <w:highlight w:val="none"/>
              </w:rPr>
              <w:t>□</w:t>
            </w:r>
            <w:r>
              <w:rPr>
                <w:rFonts w:hint="eastAsia" w:hAnsi="宋体"/>
                <w:color w:val="auto"/>
                <w:highlight w:val="none"/>
              </w:rPr>
              <w:t>补偿，补偿标准、支付时间及补偿后设计成果的权属。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64"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1.9.1</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踏勘现场</w:t>
            </w:r>
          </w:p>
        </w:tc>
        <w:tc>
          <w:tcPr>
            <w:tcW w:w="6688" w:type="dxa"/>
            <w:noWrap/>
            <w:vAlign w:val="center"/>
          </w:tcPr>
          <w:p>
            <w:pPr>
              <w:spacing w:line="440" w:lineRule="exact"/>
              <w:rPr>
                <w:color w:val="auto"/>
                <w:szCs w:val="21"/>
                <w:highlight w:val="none"/>
                <w:u w:val="single"/>
              </w:rPr>
            </w:pPr>
            <w:r>
              <w:rPr>
                <w:rFonts w:hint="eastAsia" w:hAnsi="宋体"/>
                <w:color w:val="auto"/>
                <w:highlight w:val="none"/>
              </w:rPr>
              <w:t>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18"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1.10.1</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投标预备会</w:t>
            </w:r>
          </w:p>
        </w:tc>
        <w:tc>
          <w:tcPr>
            <w:tcW w:w="6688" w:type="dxa"/>
            <w:noWrap/>
            <w:vAlign w:val="center"/>
          </w:tcPr>
          <w:p>
            <w:pPr>
              <w:spacing w:line="440" w:lineRule="exact"/>
              <w:rPr>
                <w:color w:val="auto"/>
                <w:szCs w:val="21"/>
                <w:highlight w:val="none"/>
              </w:rPr>
            </w:pPr>
            <w:r>
              <w:rPr>
                <w:rFonts w:hint="eastAsia" w:hAnsi="宋体"/>
                <w:color w:val="auto"/>
                <w:highlight w:val="none"/>
              </w:rPr>
              <w:t>不召开；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1.10.2</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投标人提出问题</w:t>
            </w:r>
          </w:p>
          <w:p>
            <w:pPr>
              <w:spacing w:line="360" w:lineRule="exact"/>
              <w:jc w:val="center"/>
              <w:rPr>
                <w:color w:val="auto"/>
                <w:szCs w:val="21"/>
                <w:highlight w:val="none"/>
              </w:rPr>
            </w:pPr>
            <w:r>
              <w:rPr>
                <w:rFonts w:hint="eastAsia"/>
                <w:color w:val="auto"/>
                <w:szCs w:val="21"/>
                <w:highlight w:val="none"/>
              </w:rPr>
              <w:t>的截止时间</w:t>
            </w:r>
          </w:p>
        </w:tc>
        <w:tc>
          <w:tcPr>
            <w:tcW w:w="6688" w:type="dxa"/>
            <w:noWrap/>
            <w:vAlign w:val="center"/>
          </w:tcPr>
          <w:p>
            <w:pPr>
              <w:spacing w:line="360" w:lineRule="exact"/>
              <w:rPr>
                <w:color w:val="auto"/>
                <w:szCs w:val="21"/>
                <w:highlight w:val="none"/>
              </w:rPr>
            </w:pPr>
            <w:r>
              <w:rPr>
                <w:rFonts w:hint="eastAsia"/>
                <w:color w:val="auto"/>
                <w:highlight w:val="none"/>
              </w:rPr>
              <w:t>投标截止日</w:t>
            </w:r>
            <w:r>
              <w:rPr>
                <w:color w:val="auto"/>
                <w:highlight w:val="none"/>
              </w:rPr>
              <w:t>10</w:t>
            </w:r>
            <w:r>
              <w:rPr>
                <w:rFonts w:hint="eastAsia"/>
                <w:color w:val="auto"/>
                <w:highlight w:val="none"/>
              </w:rPr>
              <w:t xml:space="preserve">天前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1.10.3</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招标人书面</w:t>
            </w:r>
          </w:p>
          <w:p>
            <w:pPr>
              <w:spacing w:line="360" w:lineRule="exact"/>
              <w:jc w:val="center"/>
              <w:rPr>
                <w:color w:val="auto"/>
                <w:szCs w:val="21"/>
                <w:highlight w:val="none"/>
              </w:rPr>
            </w:pPr>
            <w:r>
              <w:rPr>
                <w:rFonts w:hint="eastAsia"/>
                <w:color w:val="auto"/>
                <w:szCs w:val="21"/>
                <w:highlight w:val="none"/>
              </w:rPr>
              <w:t>澄清的时间</w:t>
            </w:r>
          </w:p>
        </w:tc>
        <w:tc>
          <w:tcPr>
            <w:tcW w:w="6688" w:type="dxa"/>
            <w:noWrap/>
            <w:vAlign w:val="center"/>
          </w:tcPr>
          <w:p>
            <w:pPr>
              <w:spacing w:line="360" w:lineRule="exact"/>
              <w:rPr>
                <w:color w:val="auto"/>
                <w:highlight w:val="none"/>
              </w:rPr>
            </w:pPr>
            <w:r>
              <w:rPr>
                <w:rFonts w:hint="eastAsia"/>
                <w:color w:val="auto"/>
                <w:highlight w:val="none"/>
              </w:rPr>
              <w:t>投标截止日</w:t>
            </w:r>
            <w:r>
              <w:rPr>
                <w:color w:val="auto"/>
                <w:highlight w:val="none"/>
              </w:rPr>
              <w:t>15</w:t>
            </w:r>
            <w:r>
              <w:rPr>
                <w:rFonts w:hint="eastAsia"/>
                <w:color w:val="auto"/>
                <w:highlight w:val="none"/>
              </w:rPr>
              <w:t>天前（澄清内容可能影响资格预审申请文件或者投标文件编制的）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76"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1.11</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投标人拟</w:t>
            </w:r>
          </w:p>
          <w:p>
            <w:pPr>
              <w:spacing w:line="360" w:lineRule="exact"/>
              <w:jc w:val="center"/>
              <w:rPr>
                <w:color w:val="auto"/>
                <w:szCs w:val="21"/>
                <w:highlight w:val="none"/>
              </w:rPr>
            </w:pPr>
            <w:r>
              <w:rPr>
                <w:rFonts w:hint="eastAsia"/>
                <w:color w:val="auto"/>
                <w:szCs w:val="21"/>
                <w:highlight w:val="none"/>
              </w:rPr>
              <w:t>分包的工作</w:t>
            </w:r>
          </w:p>
        </w:tc>
        <w:tc>
          <w:tcPr>
            <w:tcW w:w="6688" w:type="dxa"/>
            <w:noWrap/>
            <w:vAlign w:val="center"/>
          </w:tcPr>
          <w:p>
            <w:pPr>
              <w:spacing w:line="440" w:lineRule="exact"/>
              <w:rPr>
                <w:rFonts w:hAnsi="宋体"/>
                <w:color w:val="auto"/>
                <w:highlight w:val="none"/>
              </w:rPr>
            </w:pPr>
            <w:r>
              <w:rPr>
                <w:rFonts w:hint="eastAsia" w:hAnsi="宋体"/>
                <w:b/>
                <w:color w:val="auto"/>
                <w:highlight w:val="none"/>
              </w:rPr>
              <w:t>□</w:t>
            </w:r>
            <w:r>
              <w:rPr>
                <w:rFonts w:hint="eastAsia" w:hAnsi="宋体"/>
                <w:color w:val="auto"/>
                <w:highlight w:val="none"/>
              </w:rPr>
              <w:t>不允许；</w:t>
            </w:r>
          </w:p>
          <w:p>
            <w:pPr>
              <w:adjustRightInd w:val="0"/>
              <w:snapToGrid w:val="0"/>
              <w:spacing w:line="360" w:lineRule="auto"/>
              <w:ind w:firstLine="422" w:firstLineChars="200"/>
              <w:rPr>
                <w:rFonts w:ascii="宋体" w:hAnsi="宋体"/>
                <w:color w:val="auto"/>
                <w:highlight w:val="none"/>
                <w:u w:val="single"/>
              </w:rPr>
            </w:pPr>
            <w:r>
              <w:rPr>
                <w:rFonts w:hint="eastAsia" w:hAnsi="宋体"/>
                <w:b/>
                <w:color w:val="auto"/>
                <w:highlight w:val="none"/>
              </w:rPr>
              <w:t>☑</w:t>
            </w:r>
            <w:r>
              <w:rPr>
                <w:rFonts w:hint="eastAsia" w:hAnsi="宋体"/>
                <w:color w:val="auto"/>
                <w:highlight w:val="none"/>
              </w:rPr>
              <w:t>允许，分包内容要求：</w:t>
            </w:r>
            <w:r>
              <w:rPr>
                <w:rFonts w:hint="eastAsia" w:ascii="宋体" w:hAnsi="宋体"/>
                <w:color w:val="auto"/>
                <w:highlight w:val="none"/>
              </w:rPr>
              <w:t>1、</w:t>
            </w:r>
            <w:r>
              <w:rPr>
                <w:rFonts w:hint="eastAsia" w:hAnsi="宋体"/>
                <w:color w:val="auto"/>
                <w:highlight w:val="none"/>
                <w:u w:val="single"/>
              </w:rPr>
              <w:t>本项目的设计不允许分包</w:t>
            </w:r>
            <w:r>
              <w:rPr>
                <w:rFonts w:hint="eastAsia" w:ascii="宋体" w:hAnsi="宋体"/>
                <w:color w:val="auto"/>
                <w:highlight w:val="none"/>
                <w:u w:val="single"/>
              </w:rPr>
              <w:t>；</w:t>
            </w:r>
          </w:p>
          <w:p>
            <w:pPr>
              <w:adjustRightInd w:val="0"/>
              <w:snapToGrid w:val="0"/>
              <w:spacing w:line="360" w:lineRule="auto"/>
              <w:rPr>
                <w:rFonts w:hAnsi="宋体"/>
                <w:color w:val="auto"/>
                <w:highlight w:val="none"/>
              </w:rPr>
            </w:pPr>
            <w:r>
              <w:rPr>
                <w:rFonts w:hint="eastAsia" w:ascii="宋体" w:hAnsi="宋体"/>
                <w:color w:val="auto"/>
                <w:highlight w:val="none"/>
              </w:rPr>
              <w:t>2、</w:t>
            </w:r>
            <w:r>
              <w:rPr>
                <w:rFonts w:hint="eastAsia" w:hAnsi="宋体"/>
                <w:color w:val="auto"/>
                <w:highlight w:val="none"/>
                <w:u w:val="single"/>
              </w:rPr>
              <w:t>本项目施工内容中不允许主体工程和关键工序分包</w:t>
            </w:r>
            <w:r>
              <w:rPr>
                <w:rFonts w:hint="eastAsia" w:ascii="宋体" w:hAnsi="宋体"/>
                <w:color w:val="auto"/>
                <w:highlight w:val="none"/>
                <w:u w:val="single"/>
              </w:rPr>
              <w:t>；</w:t>
            </w:r>
          </w:p>
          <w:p>
            <w:pPr>
              <w:spacing w:line="360" w:lineRule="exact"/>
              <w:rPr>
                <w:rFonts w:hAnsi="宋体"/>
                <w:color w:val="auto"/>
                <w:highlight w:val="none"/>
              </w:rPr>
            </w:pPr>
            <w:r>
              <w:rPr>
                <w:rFonts w:hint="eastAsia" w:hAnsi="宋体"/>
                <w:color w:val="auto"/>
                <w:highlight w:val="none"/>
              </w:rPr>
              <w:t>分包金额要求：按实际费用为依据；</w:t>
            </w:r>
          </w:p>
          <w:p>
            <w:pPr>
              <w:spacing w:line="360" w:lineRule="exact"/>
              <w:rPr>
                <w:color w:val="auto"/>
                <w:szCs w:val="21"/>
                <w:highlight w:val="none"/>
                <w:u w:val="single"/>
              </w:rPr>
            </w:pPr>
            <w:r>
              <w:rPr>
                <w:rFonts w:hint="eastAsia"/>
                <w:color w:val="auto"/>
                <w:szCs w:val="21"/>
                <w:highlight w:val="none"/>
              </w:rPr>
              <w:t>对分包人的资质要求：</w:t>
            </w:r>
            <w:r>
              <w:rPr>
                <w:rFonts w:hint="eastAsia"/>
                <w:color w:val="auto"/>
                <w:szCs w:val="21"/>
                <w:highlight w:val="none"/>
                <w:u w:val="single"/>
              </w:rPr>
              <w:t xml:space="preserve"> 依法具备相应的设计或施工资质 。</w:t>
            </w:r>
          </w:p>
          <w:p>
            <w:pPr>
              <w:spacing w:line="360" w:lineRule="exact"/>
              <w:rPr>
                <w:color w:val="auto"/>
                <w:szCs w:val="21"/>
                <w:highlight w:val="none"/>
              </w:rPr>
            </w:pPr>
            <w:r>
              <w:rPr>
                <w:rFonts w:hint="eastAsia" w:ascii="宋体" w:hAnsi="宋体"/>
                <w:color w:val="auto"/>
                <w:szCs w:val="21"/>
                <w:highlight w:val="none"/>
              </w:rPr>
              <w:t>中标人应将其选择的分包单位的资质、专业施工能力等情况报招标人审查同意并备案后，方可签订分包合同并进行施工。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12"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1.12</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偏  离</w:t>
            </w:r>
          </w:p>
        </w:tc>
        <w:tc>
          <w:tcPr>
            <w:tcW w:w="6688" w:type="dxa"/>
            <w:noWrap/>
            <w:vAlign w:val="center"/>
          </w:tcPr>
          <w:p>
            <w:pPr>
              <w:spacing w:line="440" w:lineRule="exact"/>
              <w:rPr>
                <w:rFonts w:hAnsi="宋体"/>
                <w:color w:val="auto"/>
                <w:highlight w:val="none"/>
              </w:rPr>
            </w:pPr>
            <w:r>
              <w:rPr>
                <w:rFonts w:hint="eastAsia" w:hAnsi="宋体"/>
                <w:b/>
                <w:color w:val="auto"/>
                <w:highlight w:val="none"/>
              </w:rPr>
              <w:t>☑</w:t>
            </w:r>
            <w:r>
              <w:rPr>
                <w:rFonts w:hint="eastAsia" w:hAnsi="宋体"/>
                <w:color w:val="auto"/>
                <w:highlight w:val="none"/>
              </w:rPr>
              <w:t>不允许；</w:t>
            </w:r>
          </w:p>
          <w:p>
            <w:pPr>
              <w:spacing w:line="360" w:lineRule="exact"/>
              <w:rPr>
                <w:color w:val="auto"/>
                <w:szCs w:val="21"/>
                <w:highlight w:val="none"/>
              </w:rPr>
            </w:pPr>
            <w:r>
              <w:rPr>
                <w:rFonts w:hint="eastAsia" w:hAnsi="宋体"/>
                <w:b/>
                <w:color w:val="auto"/>
                <w:highlight w:val="none"/>
              </w:rPr>
              <w:t>□</w:t>
            </w:r>
            <w:r>
              <w:rPr>
                <w:rFonts w:hint="eastAsia" w:hAnsi="宋体"/>
                <w:color w:val="auto"/>
                <w:highlight w:val="none"/>
              </w:rPr>
              <w:t>允许，允许偏离的内容、偏离范围和幅度：；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2.1</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构成招标文件</w:t>
            </w:r>
          </w:p>
          <w:p>
            <w:pPr>
              <w:spacing w:line="300" w:lineRule="exact"/>
              <w:jc w:val="center"/>
              <w:rPr>
                <w:color w:val="auto"/>
                <w:szCs w:val="21"/>
                <w:highlight w:val="none"/>
              </w:rPr>
            </w:pPr>
            <w:r>
              <w:rPr>
                <w:rFonts w:hint="eastAsia"/>
                <w:color w:val="auto"/>
                <w:szCs w:val="21"/>
                <w:highlight w:val="none"/>
              </w:rPr>
              <w:t>的其他材料</w:t>
            </w:r>
          </w:p>
        </w:tc>
        <w:tc>
          <w:tcPr>
            <w:tcW w:w="6688" w:type="dxa"/>
            <w:noWrap/>
            <w:vAlign w:val="center"/>
          </w:tcPr>
          <w:p>
            <w:pPr>
              <w:spacing w:line="300" w:lineRule="exact"/>
              <w:rPr>
                <w:color w:val="auto"/>
                <w:szCs w:val="21"/>
                <w:highlight w:val="none"/>
              </w:rPr>
            </w:pPr>
            <w:r>
              <w:rPr>
                <w:rFonts w:hint="eastAsia" w:hAnsi="宋体"/>
                <w:color w:val="auto"/>
                <w:highlight w:val="none"/>
              </w:rPr>
              <w:t xml:space="preserve">招标文件的澄清、修改、补充通知等内容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2.2.1</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投标人要求澄清招标文件的截止时间</w:t>
            </w:r>
          </w:p>
        </w:tc>
        <w:tc>
          <w:tcPr>
            <w:tcW w:w="6688" w:type="dxa"/>
            <w:noWrap/>
            <w:vAlign w:val="center"/>
          </w:tcPr>
          <w:p>
            <w:pPr>
              <w:spacing w:line="300" w:lineRule="exact"/>
              <w:rPr>
                <w:rFonts w:hAnsi="宋体"/>
                <w:color w:val="auto"/>
                <w:highlight w:val="none"/>
              </w:rPr>
            </w:pPr>
            <w:r>
              <w:rPr>
                <w:rFonts w:hint="eastAsia"/>
                <w:color w:val="auto"/>
                <w:highlight w:val="none"/>
              </w:rPr>
              <w:t>投标截止</w:t>
            </w:r>
            <w:r>
              <w:rPr>
                <w:rFonts w:hint="eastAsia" w:hAnsi="宋体"/>
                <w:color w:val="auto"/>
                <w:highlight w:val="none"/>
              </w:rPr>
              <w:t>日</w:t>
            </w:r>
            <w:r>
              <w:rPr>
                <w:rFonts w:hAnsi="宋体"/>
                <w:color w:val="auto"/>
                <w:highlight w:val="none"/>
              </w:rPr>
              <w:t>10</w:t>
            </w:r>
            <w:r>
              <w:rPr>
                <w:rFonts w:hint="eastAsia" w:hAnsi="宋体"/>
                <w:color w:val="auto"/>
                <w:highlight w:val="none"/>
              </w:rPr>
              <w:t>天前。</w:t>
            </w:r>
            <w:r>
              <w:rPr>
                <w:rFonts w:hAnsi="宋体"/>
                <w:color w:val="auto"/>
                <w:highlight w:val="none"/>
              </w:rPr>
              <w:t>投标人不在</w:t>
            </w:r>
            <w:r>
              <w:rPr>
                <w:rFonts w:hint="eastAsia" w:hAnsi="宋体"/>
                <w:color w:val="auto"/>
                <w:highlight w:val="none"/>
              </w:rPr>
              <w:t>规定</w:t>
            </w:r>
            <w:r>
              <w:rPr>
                <w:rFonts w:hAnsi="宋体"/>
                <w:color w:val="auto"/>
                <w:highlight w:val="none"/>
              </w:rPr>
              <w:t>期限内提出，招标人有权不予答复，或答复后投标截止时间由招标人确定是否顺延。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45" w:hRule="atLeast"/>
          <w:jc w:val="center"/>
        </w:trPr>
        <w:tc>
          <w:tcPr>
            <w:tcW w:w="869" w:type="dxa"/>
            <w:vMerge w:val="restart"/>
            <w:noWrap/>
            <w:vAlign w:val="center"/>
          </w:tcPr>
          <w:p>
            <w:pPr>
              <w:spacing w:line="360" w:lineRule="auto"/>
              <w:jc w:val="center"/>
              <w:rPr>
                <w:color w:val="auto"/>
                <w:szCs w:val="21"/>
                <w:highlight w:val="none"/>
              </w:rPr>
            </w:pPr>
            <w:r>
              <w:rPr>
                <w:rFonts w:hint="eastAsia"/>
                <w:color w:val="auto"/>
                <w:szCs w:val="21"/>
                <w:highlight w:val="none"/>
              </w:rPr>
              <w:t>2.2.2</w:t>
            </w:r>
          </w:p>
        </w:tc>
        <w:tc>
          <w:tcPr>
            <w:tcW w:w="1851" w:type="dxa"/>
            <w:tcBorders>
              <w:bottom w:val="single" w:color="auto" w:sz="4" w:space="0"/>
            </w:tcBorders>
            <w:noWrap/>
            <w:vAlign w:val="center"/>
          </w:tcPr>
          <w:p>
            <w:pPr>
              <w:spacing w:line="300" w:lineRule="exact"/>
              <w:jc w:val="center"/>
              <w:rPr>
                <w:color w:val="auto"/>
                <w:szCs w:val="21"/>
                <w:highlight w:val="none"/>
              </w:rPr>
            </w:pPr>
            <w:r>
              <w:rPr>
                <w:rFonts w:hint="eastAsia"/>
                <w:color w:val="auto"/>
                <w:szCs w:val="21"/>
                <w:highlight w:val="none"/>
              </w:rPr>
              <w:t>投标截止时间</w:t>
            </w:r>
          </w:p>
        </w:tc>
        <w:tc>
          <w:tcPr>
            <w:tcW w:w="6688" w:type="dxa"/>
            <w:tcBorders>
              <w:bottom w:val="single" w:color="auto" w:sz="4" w:space="0"/>
            </w:tcBorders>
            <w:noWrap/>
            <w:vAlign w:val="center"/>
          </w:tcPr>
          <w:p>
            <w:pPr>
              <w:spacing w:line="300" w:lineRule="exact"/>
              <w:rPr>
                <w:rFonts w:hAnsi="宋体"/>
                <w:color w:val="auto"/>
                <w:highlight w:val="none"/>
              </w:rPr>
            </w:pPr>
            <w:r>
              <w:rPr>
                <w:rFonts w:hint="eastAsia"/>
                <w:b/>
                <w:color w:val="auto"/>
                <w:szCs w:val="21"/>
                <w:highlight w:val="none"/>
                <w:u w:val="single"/>
              </w:rPr>
              <w:t>2021</w:t>
            </w:r>
            <w:r>
              <w:rPr>
                <w:rFonts w:hint="eastAsia"/>
                <w:color w:val="auto"/>
                <w:szCs w:val="21"/>
                <w:highlight w:val="none"/>
              </w:rPr>
              <w:t>年</w:t>
            </w:r>
            <w:r>
              <w:rPr>
                <w:rFonts w:hint="eastAsia"/>
                <w:color w:val="auto"/>
                <w:szCs w:val="21"/>
                <w:highlight w:val="none"/>
                <w:lang w:val="en-US" w:eastAsia="zh-CN"/>
              </w:rPr>
              <w:t>4</w:t>
            </w:r>
            <w:r>
              <w:rPr>
                <w:rFonts w:hint="eastAsia"/>
                <w:color w:val="auto"/>
                <w:szCs w:val="21"/>
                <w:highlight w:val="none"/>
              </w:rPr>
              <w:t>月</w:t>
            </w:r>
            <w:r>
              <w:rPr>
                <w:rFonts w:hint="eastAsia"/>
                <w:color w:val="auto"/>
                <w:szCs w:val="21"/>
                <w:highlight w:val="none"/>
                <w:lang w:val="en-US" w:eastAsia="zh-CN"/>
              </w:rPr>
              <w:t>20</w:t>
            </w:r>
            <w:r>
              <w:rPr>
                <w:rFonts w:hint="eastAsia"/>
                <w:color w:val="auto"/>
                <w:szCs w:val="21"/>
                <w:highlight w:val="none"/>
              </w:rPr>
              <w:t>日北京时间</w:t>
            </w:r>
            <w:r>
              <w:rPr>
                <w:rFonts w:hint="eastAsia"/>
                <w:color w:val="auto"/>
                <w:szCs w:val="21"/>
                <w:highlight w:val="none"/>
                <w:lang w:val="en-US" w:eastAsia="zh-CN"/>
              </w:rPr>
              <w:t>09</w:t>
            </w:r>
            <w:r>
              <w:rPr>
                <w:rFonts w:hint="eastAsia"/>
                <w:color w:val="auto"/>
                <w:szCs w:val="21"/>
                <w:highlight w:val="none"/>
              </w:rPr>
              <w:t>时</w:t>
            </w:r>
            <w:r>
              <w:rPr>
                <w:rFonts w:hint="eastAsia"/>
                <w:color w:val="auto"/>
                <w:szCs w:val="21"/>
                <w:highlight w:val="none"/>
                <w:lang w:val="en-US" w:eastAsia="zh-CN"/>
              </w:rPr>
              <w:t>30</w:t>
            </w:r>
            <w:r>
              <w:rPr>
                <w:rFonts w:hint="eastAsia"/>
                <w:color w:val="auto"/>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65" w:hRule="atLeast"/>
          <w:jc w:val="center"/>
        </w:trPr>
        <w:tc>
          <w:tcPr>
            <w:tcW w:w="869" w:type="dxa"/>
            <w:vMerge w:val="continue"/>
            <w:noWrap/>
            <w:vAlign w:val="center"/>
          </w:tcPr>
          <w:p>
            <w:pPr>
              <w:spacing w:line="360" w:lineRule="auto"/>
              <w:jc w:val="center"/>
              <w:rPr>
                <w:color w:val="auto"/>
                <w:szCs w:val="21"/>
                <w:highlight w:val="none"/>
              </w:rPr>
            </w:pPr>
          </w:p>
        </w:tc>
        <w:tc>
          <w:tcPr>
            <w:tcW w:w="1851" w:type="dxa"/>
            <w:tcBorders>
              <w:top w:val="single" w:color="auto" w:sz="4" w:space="0"/>
            </w:tcBorders>
            <w:noWrap/>
            <w:vAlign w:val="center"/>
          </w:tcPr>
          <w:p>
            <w:pPr>
              <w:spacing w:line="300" w:lineRule="exact"/>
              <w:jc w:val="center"/>
              <w:rPr>
                <w:color w:val="auto"/>
                <w:szCs w:val="21"/>
                <w:highlight w:val="none"/>
              </w:rPr>
            </w:pPr>
            <w:r>
              <w:rPr>
                <w:color w:val="auto"/>
                <w:highlight w:val="none"/>
              </w:rPr>
              <w:t>招标文件澄清发布方式</w:t>
            </w:r>
          </w:p>
        </w:tc>
        <w:tc>
          <w:tcPr>
            <w:tcW w:w="6688" w:type="dxa"/>
            <w:tcBorders>
              <w:top w:val="single" w:color="auto" w:sz="4" w:space="0"/>
            </w:tcBorders>
            <w:noWrap/>
            <w:vAlign w:val="center"/>
          </w:tcPr>
          <w:p>
            <w:pPr>
              <w:spacing w:line="360" w:lineRule="auto"/>
              <w:rPr>
                <w:color w:val="auto"/>
                <w:highlight w:val="none"/>
                <w:u w:val="single"/>
              </w:rPr>
            </w:pPr>
            <w:r>
              <w:rPr>
                <w:rFonts w:hint="eastAsia"/>
                <w:color w:val="auto"/>
                <w:highlight w:val="none"/>
              </w:rPr>
              <w:t>☑</w:t>
            </w:r>
            <w:r>
              <w:rPr>
                <w:color w:val="auto"/>
                <w:highlight w:val="none"/>
              </w:rPr>
              <w:t>在</w:t>
            </w:r>
            <w:r>
              <w:rPr>
                <w:rFonts w:hint="eastAsia"/>
                <w:color w:val="auto"/>
                <w:highlight w:val="none"/>
                <w:u w:val="single"/>
              </w:rPr>
              <w:t>与发布招标公告同一</w:t>
            </w:r>
            <w:r>
              <w:rPr>
                <w:color w:val="auto"/>
                <w:highlight w:val="none"/>
              </w:rPr>
              <w:t>网站发布</w:t>
            </w:r>
          </w:p>
          <w:p>
            <w:pPr>
              <w:spacing w:line="300" w:lineRule="exact"/>
              <w:rPr>
                <w:b/>
                <w:color w:val="auto"/>
                <w:szCs w:val="21"/>
                <w:highlight w:val="none"/>
                <w:u w:val="single"/>
              </w:rPr>
            </w:pPr>
            <w:r>
              <w:rPr>
                <w:rFonts w:hint="eastAsia"/>
                <w:color w:val="auto"/>
                <w:highlight w:val="none"/>
              </w:rPr>
              <w:t>□</w:t>
            </w:r>
            <w:r>
              <w:rPr>
                <w:color w:val="auto"/>
                <w:highlight w:val="none"/>
              </w:rPr>
              <w:t>书面</w:t>
            </w:r>
            <w:r>
              <w:rPr>
                <w:color w:val="auto"/>
                <w:szCs w:val="21"/>
                <w:highlight w:val="none"/>
              </w:rPr>
              <w:t>形式发给所有投标人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2.2.3</w:t>
            </w:r>
          </w:p>
        </w:tc>
        <w:tc>
          <w:tcPr>
            <w:tcW w:w="1851" w:type="dxa"/>
            <w:noWrap/>
            <w:vAlign w:val="center"/>
          </w:tcPr>
          <w:p>
            <w:pPr>
              <w:spacing w:line="300" w:lineRule="exact"/>
              <w:jc w:val="center"/>
              <w:rPr>
                <w:color w:val="auto"/>
                <w:szCs w:val="21"/>
                <w:highlight w:val="none"/>
              </w:rPr>
            </w:pPr>
            <w:r>
              <w:rPr>
                <w:rFonts w:hint="eastAsia"/>
                <w:color w:val="auto"/>
                <w:szCs w:val="21"/>
                <w:highlight w:val="none"/>
              </w:rPr>
              <w:t>投标人确认收到招标文件澄清的方式</w:t>
            </w:r>
          </w:p>
        </w:tc>
        <w:tc>
          <w:tcPr>
            <w:tcW w:w="6688" w:type="dxa"/>
            <w:noWrap/>
            <w:vAlign w:val="center"/>
          </w:tcPr>
          <w:p>
            <w:pPr>
              <w:spacing w:line="360" w:lineRule="auto"/>
              <w:rPr>
                <w:color w:val="auto"/>
                <w:highlight w:val="none"/>
              </w:rPr>
            </w:pPr>
            <w:r>
              <w:rPr>
                <w:rFonts w:hint="eastAsia"/>
                <w:color w:val="auto"/>
                <w:highlight w:val="none"/>
              </w:rPr>
              <w:t>☑</w:t>
            </w:r>
            <w:r>
              <w:rPr>
                <w:color w:val="auto"/>
                <w:highlight w:val="none"/>
              </w:rPr>
              <w:t>不需要确认。澄清文件在本章第2.2.2款规定的网站上发布之日起，视为投标人已收到该澄清。投标人未及时关注招标人在网站上发布的澄清文件造成的损失，由投标人自行负责。</w:t>
            </w:r>
          </w:p>
          <w:p>
            <w:pPr>
              <w:spacing w:line="360" w:lineRule="auto"/>
              <w:rPr>
                <w:color w:val="auto"/>
                <w:highlight w:val="none"/>
              </w:rPr>
            </w:pPr>
            <w:r>
              <w:rPr>
                <w:rFonts w:hint="eastAsia"/>
                <w:color w:val="auto"/>
                <w:highlight w:val="none"/>
              </w:rPr>
              <w:t>□</w:t>
            </w:r>
            <w:r>
              <w:rPr>
                <w:color w:val="auto"/>
                <w:highlight w:val="none"/>
              </w:rPr>
              <w:t>需要确认。投标人在收到澄清文件后24小时内以书面形式通知招标人，确认已收到该澄清。</w:t>
            </w:r>
          </w:p>
          <w:p>
            <w:pPr>
              <w:spacing w:line="300" w:lineRule="exact"/>
              <w:rPr>
                <w:color w:val="auto"/>
                <w:szCs w:val="21"/>
                <w:highlight w:val="none"/>
              </w:rPr>
            </w:pPr>
            <w:r>
              <w:rPr>
                <w:color w:val="auto"/>
                <w:highlight w:val="none"/>
              </w:rPr>
              <w:t>书面形式确认可通过传真或者将扫描件发送到邮箱，传真号码：，邮箱：</w:t>
            </w:r>
            <w:r>
              <w:rPr>
                <w:rFonts w:hint="eastAsia"/>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3.1.1</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构成投标文件</w:t>
            </w:r>
          </w:p>
          <w:p>
            <w:pPr>
              <w:spacing w:line="320" w:lineRule="exact"/>
              <w:jc w:val="center"/>
              <w:rPr>
                <w:color w:val="auto"/>
                <w:szCs w:val="21"/>
                <w:highlight w:val="none"/>
              </w:rPr>
            </w:pPr>
            <w:r>
              <w:rPr>
                <w:rFonts w:hint="eastAsia"/>
                <w:color w:val="auto"/>
                <w:szCs w:val="21"/>
                <w:highlight w:val="none"/>
              </w:rPr>
              <w:t>的材料</w:t>
            </w:r>
          </w:p>
        </w:tc>
        <w:tc>
          <w:tcPr>
            <w:tcW w:w="6688" w:type="dxa"/>
            <w:noWrap/>
            <w:vAlign w:val="center"/>
          </w:tcPr>
          <w:p>
            <w:pPr>
              <w:spacing w:line="320" w:lineRule="exact"/>
              <w:rPr>
                <w:rFonts w:hAnsi="宋体"/>
                <w:color w:val="auto"/>
                <w:highlight w:val="none"/>
              </w:rPr>
            </w:pPr>
            <w:r>
              <w:rPr>
                <w:rFonts w:hint="eastAsia" w:hAnsi="宋体"/>
                <w:color w:val="auto"/>
                <w:highlight w:val="none"/>
              </w:rPr>
              <w:t>（根据工程实际情况编写，以下仅供参考）</w:t>
            </w:r>
          </w:p>
          <w:p>
            <w:pPr>
              <w:spacing w:line="320" w:lineRule="exact"/>
              <w:rPr>
                <w:b/>
                <w:color w:val="auto"/>
                <w:highlight w:val="none"/>
              </w:rPr>
            </w:pPr>
            <w:r>
              <w:rPr>
                <w:rFonts w:hint="eastAsia" w:hAnsi="宋体"/>
                <w:color w:val="auto"/>
                <w:highlight w:val="none"/>
              </w:rPr>
              <w:t>投标文件的组成部分：</w:t>
            </w:r>
            <w:r>
              <w:rPr>
                <w:rFonts w:hint="eastAsia" w:hAnsi="宋体"/>
                <w:b/>
                <w:color w:val="auto"/>
                <w:highlight w:val="none"/>
              </w:rPr>
              <w:t>☑资格审查  ☑</w:t>
            </w:r>
            <w:r>
              <w:rPr>
                <w:rFonts w:hint="eastAsia"/>
                <w:b/>
                <w:color w:val="auto"/>
                <w:szCs w:val="21"/>
                <w:highlight w:val="none"/>
              </w:rPr>
              <w:t xml:space="preserve">商务标   </w:t>
            </w:r>
            <w:r>
              <w:rPr>
                <w:rFonts w:hint="eastAsia" w:hAnsi="宋体"/>
                <w:b/>
                <w:color w:val="auto"/>
                <w:highlight w:val="none"/>
              </w:rPr>
              <w:t>☑</w:t>
            </w:r>
            <w:r>
              <w:rPr>
                <w:rFonts w:hint="eastAsia"/>
                <w:b/>
                <w:color w:val="auto"/>
                <w:highlight w:val="none"/>
              </w:rPr>
              <w:t>技术标</w:t>
            </w:r>
          </w:p>
          <w:p>
            <w:pPr>
              <w:spacing w:line="320" w:lineRule="exact"/>
              <w:rPr>
                <w:color w:val="auto"/>
                <w:highlight w:val="none"/>
                <w:u w:val="single"/>
              </w:rPr>
            </w:pPr>
            <w:r>
              <w:rPr>
                <w:rFonts w:hint="eastAsia"/>
                <w:b/>
                <w:color w:val="auto"/>
                <w:szCs w:val="21"/>
                <w:highlight w:val="none"/>
              </w:rPr>
              <w:t>☑设计标</w:t>
            </w:r>
            <w:r>
              <w:rPr>
                <w:rFonts w:hint="eastAsia" w:hAnsi="宋体"/>
                <w:b/>
                <w:color w:val="auto"/>
                <w:highlight w:val="none"/>
              </w:rPr>
              <w:t>☑资信业绩 ☑ 投标文件电子版</w:t>
            </w:r>
          </w:p>
          <w:p>
            <w:pPr>
              <w:spacing w:line="320" w:lineRule="exact"/>
              <w:rPr>
                <w:rFonts w:hAnsi="宋体"/>
                <w:b/>
                <w:color w:val="auto"/>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1、资格审查</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（联合体投标时，企业相关文件联合体各方均需提供）</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（1）投标文件签署授权委托书（原件）；</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（2）联合体协议书原件（如有）； </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（3）投标人基本情况表；</w:t>
            </w:r>
          </w:p>
          <w:p>
            <w:pPr>
              <w:adjustRightInd w:val="0"/>
              <w:snapToGrid w:val="0"/>
              <w:spacing w:line="360" w:lineRule="auto"/>
              <w:rPr>
                <w:color w:val="auto"/>
                <w:highlight w:val="none"/>
              </w:rPr>
            </w:pPr>
            <w:r>
              <w:rPr>
                <w:rFonts w:hint="eastAsia" w:ascii="宋体" w:hAnsi="宋体"/>
                <w:color w:val="auto"/>
                <w:szCs w:val="21"/>
                <w:highlight w:val="none"/>
              </w:rPr>
              <w:t>（4）基本账户开户许可证；</w:t>
            </w:r>
            <w:r>
              <w:rPr>
                <w:color w:val="auto"/>
                <w:highlight w:val="none"/>
              </w:rPr>
              <w:t xml:space="preserve"> </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）建设工程项目管理承诺书；</w:t>
            </w:r>
          </w:p>
          <w:p>
            <w:pPr>
              <w:tabs>
                <w:tab w:val="left" w:pos="826"/>
              </w:tabs>
              <w:adjustRightInd w:val="0"/>
              <w:snapToGrid w:val="0"/>
              <w:spacing w:line="360" w:lineRule="auto"/>
              <w:rPr>
                <w:rFonts w:ascii="宋体" w:hAnsi="宋体"/>
                <w:color w:val="auto"/>
                <w:highlight w:val="none"/>
              </w:rPr>
            </w:pPr>
            <w:r>
              <w:rPr>
                <w:rFonts w:hint="eastAsia" w:ascii="宋体" w:hAnsi="宋体"/>
                <w:color w:val="auto"/>
                <w:highlight w:val="none"/>
              </w:rPr>
              <w:t>（</w:t>
            </w:r>
            <w:r>
              <w:rPr>
                <w:rFonts w:ascii="宋体" w:hAnsi="宋体"/>
                <w:color w:val="auto"/>
                <w:highlight w:val="none"/>
              </w:rPr>
              <w:t>6）农民工工资保证金承诺书；（按桂劳社发【2009】50号文件规定承诺）；</w:t>
            </w:r>
          </w:p>
          <w:p>
            <w:pPr>
              <w:tabs>
                <w:tab w:val="left" w:pos="826"/>
              </w:tabs>
              <w:adjustRightInd w:val="0"/>
              <w:snapToGrid w:val="0"/>
              <w:spacing w:line="360" w:lineRule="auto"/>
              <w:rPr>
                <w:rFonts w:ascii="宋体" w:hAnsi="宋体"/>
                <w:color w:val="auto"/>
                <w:highlight w:val="none"/>
              </w:rPr>
            </w:pPr>
            <w:r>
              <w:rPr>
                <w:rFonts w:hint="eastAsia" w:ascii="宋体" w:hAnsi="宋体"/>
                <w:color w:val="auto"/>
                <w:highlight w:val="none"/>
              </w:rPr>
              <w:t>（</w:t>
            </w:r>
            <w:r>
              <w:rPr>
                <w:rFonts w:ascii="宋体" w:hAnsi="宋体"/>
                <w:color w:val="auto"/>
                <w:highlight w:val="none"/>
              </w:rPr>
              <w:t>7）工程渣土清运承诺书；（按照</w:t>
            </w:r>
            <w:r>
              <w:rPr>
                <w:rFonts w:hint="eastAsia" w:ascii="宋体" w:hAnsi="宋体"/>
                <w:color w:val="auto"/>
                <w:highlight w:val="none"/>
              </w:rPr>
              <w:t>桂林市建设工程招标投标站</w:t>
            </w:r>
            <w:r>
              <w:rPr>
                <w:rFonts w:ascii="宋体" w:hAnsi="宋体"/>
                <w:color w:val="auto"/>
                <w:highlight w:val="none"/>
              </w:rPr>
              <w:t>市建招字【2011】02号的规定对渣土清运的承诺书）；</w:t>
            </w:r>
          </w:p>
          <w:p>
            <w:pPr>
              <w:tabs>
                <w:tab w:val="left" w:pos="826"/>
              </w:tabs>
              <w:adjustRightInd w:val="0"/>
              <w:snapToGrid w:val="0"/>
              <w:spacing w:line="360" w:lineRule="auto"/>
              <w:rPr>
                <w:rFonts w:hint="eastAsia" w:ascii="宋体" w:hAnsi="宋体"/>
                <w:color w:val="auto"/>
                <w:highlight w:val="none"/>
              </w:rPr>
            </w:pPr>
            <w:r>
              <w:rPr>
                <w:rFonts w:hint="eastAsia" w:ascii="宋体" w:hAnsi="宋体"/>
                <w:color w:val="auto"/>
                <w:highlight w:val="none"/>
              </w:rPr>
              <w:t>（</w:t>
            </w:r>
            <w:r>
              <w:rPr>
                <w:rFonts w:ascii="宋体" w:hAnsi="宋体"/>
                <w:color w:val="auto"/>
                <w:highlight w:val="none"/>
              </w:rPr>
              <w:t>8）拟派项目总负责人、项目设计负责人、项目经理、施工项目技术负责人、项目施工专职安全员基本情况表（附其相应注册执业资格证书及职称证，建造师的安全生产考核合格证书（B类），项目施工专职安全员的安全生产考核合格证书（C类），职称证等材料的复印件）；项目经理的注册建造师执业资格证书和安全生产考核合格证书（B类），施工项目技术负责人的职称证，项目施工专职安全员的安全生产考核合格证书（C类）须同时附上复印件</w:t>
            </w:r>
            <w:r>
              <w:rPr>
                <w:rFonts w:hint="eastAsia" w:ascii="宋体" w:hAnsi="宋体"/>
                <w:color w:val="auto"/>
                <w:highlight w:val="none"/>
              </w:rPr>
              <w:t>；</w:t>
            </w:r>
          </w:p>
          <w:p>
            <w:pPr>
              <w:pStyle w:val="2"/>
              <w:spacing w:line="240" w:lineRule="auto"/>
              <w:rPr>
                <w:rFonts w:hint="default" w:ascii="宋体" w:hAnsi="宋体" w:eastAsia="宋体"/>
                <w:b w:val="0"/>
                <w:bCs w:val="0"/>
                <w:color w:val="auto"/>
                <w:szCs w:val="24"/>
                <w:highlight w:val="none"/>
                <w:lang w:eastAsia="zh-CN"/>
              </w:rPr>
            </w:pPr>
            <w:r>
              <w:rPr>
                <w:rFonts w:hint="default" w:ascii="宋体" w:hAnsi="宋体" w:eastAsia="宋体"/>
                <w:b w:val="0"/>
                <w:bCs w:val="0"/>
                <w:color w:val="auto"/>
                <w:szCs w:val="24"/>
                <w:highlight w:val="none"/>
                <w:lang w:eastAsia="zh-CN"/>
              </w:rPr>
              <w:t>（</w:t>
            </w:r>
            <w:r>
              <w:rPr>
                <w:rFonts w:hint="default" w:ascii="宋体" w:hAnsi="宋体" w:eastAsia="宋体"/>
                <w:b w:val="0"/>
                <w:bCs w:val="0"/>
                <w:color w:val="auto"/>
                <w:szCs w:val="24"/>
                <w:highlight w:val="none"/>
                <w:lang w:val="en-US" w:eastAsia="zh-CN"/>
              </w:rPr>
              <w:t>9</w:t>
            </w:r>
            <w:r>
              <w:rPr>
                <w:rFonts w:hint="default" w:ascii="宋体" w:hAnsi="宋体" w:eastAsia="宋体"/>
                <w:b w:val="0"/>
                <w:bCs w:val="0"/>
                <w:color w:val="auto"/>
                <w:szCs w:val="24"/>
                <w:highlight w:val="none"/>
                <w:lang w:eastAsia="zh-CN"/>
              </w:rPr>
              <w:t>）资格审查需要的其他材料</w:t>
            </w:r>
          </w:p>
          <w:p>
            <w:pPr>
              <w:pStyle w:val="7"/>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包括：（1）近年完成的类似工程总承包项目情况表（如有）、（2）近年完成的类似工程设计项目情况表（如有）、（3）近年完成的类似施工项目情况表（如有）、（4）正在实施和新承接的项目情况表（如有）、（5）采用建筑信息模型（BIM）技术的项目业绩（如有）、（6）企业近三年财务状况表（如为联合体投标仅须由牵头人提供）、（7）供应商参加政府采购活动前3年内在经营活动中没有重大违法记录的书面声明等。施工单位须提供已完成类似工程证明材料。以及投标人认为需提供的其他材料。</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2、商务标</w:t>
            </w:r>
          </w:p>
          <w:p>
            <w:pPr>
              <w:adjustRightInd w:val="0"/>
              <w:snapToGrid w:val="0"/>
              <w:spacing w:line="360" w:lineRule="auto"/>
              <w:rPr>
                <w:rFonts w:ascii="宋体"/>
                <w:color w:val="auto"/>
                <w:szCs w:val="21"/>
                <w:highlight w:val="none"/>
              </w:rPr>
            </w:pPr>
            <w:r>
              <w:rPr>
                <w:rFonts w:hint="eastAsia" w:ascii="宋体" w:hAnsi="宋体"/>
                <w:color w:val="auto"/>
                <w:szCs w:val="21"/>
                <w:highlight w:val="none"/>
              </w:rPr>
              <w:t>（1）投标函；</w:t>
            </w:r>
          </w:p>
          <w:p>
            <w:pPr>
              <w:adjustRightInd w:val="0"/>
              <w:snapToGrid w:val="0"/>
              <w:spacing w:line="360" w:lineRule="auto"/>
              <w:rPr>
                <w:rFonts w:ascii="宋体"/>
                <w:color w:val="auto"/>
                <w:szCs w:val="21"/>
                <w:highlight w:val="none"/>
              </w:rPr>
            </w:pPr>
            <w:r>
              <w:rPr>
                <w:rFonts w:hint="eastAsia" w:ascii="宋体" w:hAnsi="宋体"/>
                <w:color w:val="auto"/>
                <w:szCs w:val="21"/>
                <w:highlight w:val="none"/>
              </w:rPr>
              <w:t>（2）投标函附录；</w:t>
            </w:r>
          </w:p>
          <w:p>
            <w:pPr>
              <w:adjustRightInd w:val="0"/>
              <w:snapToGrid w:val="0"/>
              <w:spacing w:line="360" w:lineRule="auto"/>
              <w:rPr>
                <w:rFonts w:ascii="宋体"/>
                <w:color w:val="auto"/>
                <w:szCs w:val="21"/>
                <w:highlight w:val="none"/>
              </w:rPr>
            </w:pPr>
            <w:r>
              <w:rPr>
                <w:rFonts w:hint="eastAsia" w:ascii="宋体" w:hAnsi="宋体"/>
                <w:color w:val="auto"/>
                <w:szCs w:val="21"/>
                <w:highlight w:val="none"/>
              </w:rPr>
              <w:t>（3）投标报价汇总一览表；</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（4）主要材料设备清单；</w:t>
            </w:r>
          </w:p>
          <w:p>
            <w:pPr>
              <w:adjustRightInd w:val="0"/>
              <w:snapToGrid w:val="0"/>
              <w:spacing w:line="360" w:lineRule="auto"/>
              <w:rPr>
                <w:rFonts w:ascii="宋体"/>
                <w:color w:val="auto"/>
                <w:szCs w:val="21"/>
                <w:highlight w:val="none"/>
              </w:rPr>
            </w:pPr>
            <w:r>
              <w:rPr>
                <w:rFonts w:hint="eastAsia" w:ascii="宋体" w:hAnsi="宋体"/>
                <w:color w:val="auto"/>
                <w:szCs w:val="21"/>
                <w:highlight w:val="none"/>
              </w:rPr>
              <w:t>（5）投标人认为应提交的其他投标资料。</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3、技术标</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（1）工程总承包工作大纲；</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包括：概述、总体实施方案、项目实施要点、设计及施工的配合、项目管理要点，以及拟投入本项目管理人员配备情况（设计及施工）。</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（2）施工组织设计。</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4、设计标</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详见第三章评标办法</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5、资信业绩</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详见第三章评标办法。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69" w:type="dxa"/>
            <w:noWrap/>
            <w:vAlign w:val="center"/>
          </w:tcPr>
          <w:p>
            <w:pPr>
              <w:jc w:val="center"/>
              <w:rPr>
                <w:color w:val="auto"/>
                <w:highlight w:val="none"/>
              </w:rPr>
            </w:pPr>
            <w:r>
              <w:rPr>
                <w:rFonts w:hint="eastAsia"/>
                <w:color w:val="auto"/>
                <w:highlight w:val="none"/>
              </w:rPr>
              <w:t>3.2.4</w:t>
            </w:r>
          </w:p>
        </w:tc>
        <w:tc>
          <w:tcPr>
            <w:tcW w:w="1851" w:type="dxa"/>
            <w:noWrap/>
            <w:vAlign w:val="center"/>
          </w:tcPr>
          <w:p>
            <w:pPr>
              <w:jc w:val="center"/>
              <w:rPr>
                <w:rFonts w:ascii="宋体" w:hAnsi="宋体"/>
                <w:color w:val="auto"/>
                <w:highlight w:val="none"/>
              </w:rPr>
            </w:pPr>
            <w:r>
              <w:rPr>
                <w:rFonts w:hint="eastAsia" w:ascii="宋体" w:hAnsi="宋体"/>
                <w:color w:val="auto"/>
                <w:highlight w:val="none"/>
              </w:rPr>
              <w:t>最高投标限价或</w:t>
            </w:r>
          </w:p>
          <w:p>
            <w:pPr>
              <w:jc w:val="center"/>
              <w:rPr>
                <w:color w:val="auto"/>
                <w:highlight w:val="none"/>
              </w:rPr>
            </w:pPr>
            <w:r>
              <w:rPr>
                <w:rFonts w:hint="eastAsia" w:ascii="宋体" w:hAnsi="宋体"/>
                <w:color w:val="auto"/>
                <w:highlight w:val="none"/>
              </w:rPr>
              <w:t>其计算方法</w:t>
            </w:r>
          </w:p>
        </w:tc>
        <w:tc>
          <w:tcPr>
            <w:tcW w:w="6688" w:type="dxa"/>
            <w:noWrap/>
          </w:tcPr>
          <w:p>
            <w:pPr>
              <w:adjustRightInd w:val="0"/>
              <w:snapToGrid w:val="0"/>
              <w:spacing w:line="360" w:lineRule="auto"/>
              <w:rPr>
                <w:color w:val="auto"/>
                <w:highlight w:val="none"/>
              </w:rPr>
            </w:pPr>
            <w:r>
              <w:rPr>
                <w:rFonts w:hint="eastAsia"/>
                <w:color w:val="auto"/>
                <w:highlight w:val="none"/>
              </w:rPr>
              <w:t>（1）本工程设最高投标限价为</w:t>
            </w:r>
            <w:r>
              <w:rPr>
                <w:rFonts w:hint="eastAsia"/>
                <w:color w:val="auto"/>
                <w:highlight w:val="none"/>
                <w:lang w:val="en-US" w:eastAsia="zh-CN"/>
              </w:rPr>
              <w:t>655</w:t>
            </w:r>
            <w:r>
              <w:rPr>
                <w:rFonts w:hint="eastAsia"/>
                <w:color w:val="auto"/>
                <w:highlight w:val="none"/>
              </w:rPr>
              <w:t>万元，具体限额如下；</w:t>
            </w:r>
          </w:p>
          <w:tbl>
            <w:tblPr>
              <w:tblStyle w:val="22"/>
              <w:tblpPr w:leftFromText="180" w:rightFromText="180" w:vertAnchor="page" w:horzAnchor="page" w:tblpX="268" w:tblpY="623"/>
              <w:tblOverlap w:val="never"/>
              <w:tblW w:w="5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2"/>
              <w:gridCol w:w="1658"/>
              <w:gridCol w:w="228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atLeast"/>
              </w:trPr>
              <w:tc>
                <w:tcPr>
                  <w:tcW w:w="462" w:type="dxa"/>
                  <w:noWrap/>
                  <w:tcMar>
                    <w:top w:w="15" w:type="dxa"/>
                    <w:left w:w="15" w:type="dxa"/>
                    <w:bottom w:w="0" w:type="dxa"/>
                    <w:right w:w="15" w:type="dxa"/>
                  </w:tcMar>
                  <w:vAlign w:val="center"/>
                </w:tcPr>
                <w:p>
                  <w:pPr>
                    <w:spacing w:line="400" w:lineRule="exact"/>
                    <w:jc w:val="center"/>
                    <w:rPr>
                      <w:color w:val="auto"/>
                      <w:highlight w:val="none"/>
                    </w:rPr>
                  </w:pPr>
                  <w:r>
                    <w:rPr>
                      <w:rFonts w:hint="eastAsia"/>
                      <w:color w:val="auto"/>
                      <w:highlight w:val="none"/>
                    </w:rPr>
                    <w:t>序号</w:t>
                  </w:r>
                </w:p>
              </w:tc>
              <w:tc>
                <w:tcPr>
                  <w:tcW w:w="1658" w:type="dxa"/>
                  <w:noWrap/>
                  <w:vAlign w:val="center"/>
                </w:tcPr>
                <w:p>
                  <w:pPr>
                    <w:spacing w:line="400" w:lineRule="exact"/>
                    <w:jc w:val="center"/>
                    <w:rPr>
                      <w:color w:val="auto"/>
                      <w:highlight w:val="none"/>
                    </w:rPr>
                  </w:pPr>
                  <w:r>
                    <w:rPr>
                      <w:rFonts w:hint="eastAsia"/>
                      <w:color w:val="auto"/>
                      <w:highlight w:val="none"/>
                    </w:rPr>
                    <w:t>项目名称</w:t>
                  </w:r>
                </w:p>
              </w:tc>
              <w:tc>
                <w:tcPr>
                  <w:tcW w:w="2280" w:type="dxa"/>
                  <w:noWrap/>
                  <w:vAlign w:val="center"/>
                </w:tcPr>
                <w:p>
                  <w:pPr>
                    <w:jc w:val="center"/>
                    <w:rPr>
                      <w:color w:val="auto"/>
                      <w:highlight w:val="none"/>
                    </w:rPr>
                  </w:pPr>
                  <w:r>
                    <w:rPr>
                      <w:rFonts w:hint="eastAsia"/>
                      <w:color w:val="auto"/>
                      <w:highlight w:val="none"/>
                    </w:rPr>
                    <w:t>最高投标限价</w:t>
                  </w:r>
                </w:p>
                <w:p>
                  <w:pPr>
                    <w:jc w:val="center"/>
                    <w:rPr>
                      <w:color w:val="auto"/>
                      <w:highlight w:val="none"/>
                    </w:rPr>
                  </w:pPr>
                  <w:r>
                    <w:rPr>
                      <w:rFonts w:hint="eastAsia"/>
                      <w:color w:val="auto"/>
                      <w:highlight w:val="none"/>
                    </w:rPr>
                    <w:t>(万元)</w:t>
                  </w:r>
                </w:p>
              </w:tc>
              <w:tc>
                <w:tcPr>
                  <w:tcW w:w="982" w:type="dxa"/>
                  <w:noWrap/>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trPr>
              <w:tc>
                <w:tcPr>
                  <w:tcW w:w="462" w:type="dxa"/>
                  <w:noWrap/>
                  <w:tcMar>
                    <w:top w:w="15" w:type="dxa"/>
                    <w:left w:w="15" w:type="dxa"/>
                    <w:bottom w:w="0" w:type="dxa"/>
                    <w:right w:w="15" w:type="dxa"/>
                  </w:tcMar>
                  <w:vAlign w:val="center"/>
                </w:tcPr>
                <w:p>
                  <w:pPr>
                    <w:spacing w:line="400" w:lineRule="exact"/>
                    <w:jc w:val="center"/>
                    <w:rPr>
                      <w:color w:val="auto"/>
                      <w:highlight w:val="none"/>
                    </w:rPr>
                  </w:pPr>
                  <w:r>
                    <w:rPr>
                      <w:rFonts w:hint="eastAsia"/>
                      <w:color w:val="auto"/>
                      <w:highlight w:val="none"/>
                    </w:rPr>
                    <w:t>1</w:t>
                  </w:r>
                </w:p>
              </w:tc>
              <w:tc>
                <w:tcPr>
                  <w:tcW w:w="1658" w:type="dxa"/>
                  <w:noWrap/>
                  <w:vAlign w:val="center"/>
                </w:tcPr>
                <w:p>
                  <w:pPr>
                    <w:spacing w:line="400" w:lineRule="exact"/>
                    <w:jc w:val="center"/>
                    <w:rPr>
                      <w:color w:val="auto"/>
                      <w:highlight w:val="none"/>
                    </w:rPr>
                  </w:pPr>
                  <w:r>
                    <w:rPr>
                      <w:rFonts w:hint="eastAsia"/>
                      <w:color w:val="auto"/>
                      <w:highlight w:val="none"/>
                    </w:rPr>
                    <w:t>设计费</w:t>
                  </w:r>
                </w:p>
              </w:tc>
              <w:tc>
                <w:tcPr>
                  <w:tcW w:w="2280" w:type="dxa"/>
                  <w:noWrap/>
                  <w:vAlign w:val="center"/>
                </w:tcPr>
                <w:p>
                  <w:pPr>
                    <w:jc w:val="center"/>
                    <w:rPr>
                      <w:rFonts w:hint="default" w:eastAsia="宋体"/>
                      <w:color w:val="auto"/>
                      <w:highlight w:val="none"/>
                      <w:lang w:val="en-US" w:eastAsia="zh-CN"/>
                    </w:rPr>
                  </w:pPr>
                  <w:r>
                    <w:rPr>
                      <w:rFonts w:hint="eastAsia"/>
                      <w:color w:val="auto"/>
                      <w:highlight w:val="none"/>
                    </w:rPr>
                    <w:t>15</w:t>
                  </w:r>
                  <w:r>
                    <w:rPr>
                      <w:rFonts w:hint="eastAsia"/>
                      <w:color w:val="auto"/>
                      <w:highlight w:val="none"/>
                      <w:lang w:val="en-US" w:eastAsia="zh-CN"/>
                    </w:rPr>
                    <w:t>.00</w:t>
                  </w:r>
                </w:p>
              </w:tc>
              <w:tc>
                <w:tcPr>
                  <w:tcW w:w="982" w:type="dxa"/>
                  <w:vMerge w:val="restart"/>
                  <w:noWrap/>
                  <w:vAlign w:val="center"/>
                </w:tcPr>
                <w:p>
                  <w:pPr>
                    <w:spacing w:line="400" w:lineRule="exact"/>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trPr>
              <w:tc>
                <w:tcPr>
                  <w:tcW w:w="462" w:type="dxa"/>
                  <w:noWrap/>
                  <w:tcMar>
                    <w:top w:w="15" w:type="dxa"/>
                    <w:left w:w="15" w:type="dxa"/>
                    <w:bottom w:w="0" w:type="dxa"/>
                    <w:right w:w="15" w:type="dxa"/>
                  </w:tcMar>
                  <w:vAlign w:val="center"/>
                </w:tcPr>
                <w:p>
                  <w:pPr>
                    <w:spacing w:line="400" w:lineRule="exact"/>
                    <w:jc w:val="center"/>
                    <w:rPr>
                      <w:color w:val="auto"/>
                      <w:highlight w:val="none"/>
                    </w:rPr>
                  </w:pPr>
                  <w:r>
                    <w:rPr>
                      <w:rFonts w:hint="eastAsia"/>
                      <w:color w:val="auto"/>
                      <w:highlight w:val="none"/>
                    </w:rPr>
                    <w:t>2</w:t>
                  </w:r>
                </w:p>
              </w:tc>
              <w:tc>
                <w:tcPr>
                  <w:tcW w:w="1658" w:type="dxa"/>
                  <w:noWrap/>
                  <w:vAlign w:val="center"/>
                </w:tcPr>
                <w:p>
                  <w:pPr>
                    <w:jc w:val="center"/>
                    <w:rPr>
                      <w:color w:val="auto"/>
                      <w:highlight w:val="none"/>
                    </w:rPr>
                  </w:pPr>
                  <w:r>
                    <w:rPr>
                      <w:rFonts w:hint="eastAsia"/>
                      <w:color w:val="auto"/>
                      <w:highlight w:val="none"/>
                    </w:rPr>
                    <w:t>工程费用</w:t>
                  </w:r>
                  <w:r>
                    <w:rPr>
                      <w:color w:val="auto"/>
                      <w:highlight w:val="none"/>
                    </w:rPr>
                    <w:t>（含改造费）</w:t>
                  </w:r>
                </w:p>
              </w:tc>
              <w:tc>
                <w:tcPr>
                  <w:tcW w:w="2280" w:type="dxa"/>
                  <w:noWrap/>
                  <w:vAlign w:val="center"/>
                </w:tcPr>
                <w:p>
                  <w:pPr>
                    <w:tabs>
                      <w:tab w:val="left" w:pos="550"/>
                    </w:tabs>
                    <w:jc w:val="center"/>
                    <w:rPr>
                      <w:rFonts w:hint="default" w:eastAsia="宋体"/>
                      <w:color w:val="auto"/>
                      <w:highlight w:val="none"/>
                      <w:lang w:val="en-US" w:eastAsia="zh-CN"/>
                    </w:rPr>
                  </w:pPr>
                  <w:r>
                    <w:rPr>
                      <w:rFonts w:hint="eastAsia"/>
                      <w:color w:val="auto"/>
                      <w:highlight w:val="none"/>
                      <w:lang w:val="en-US" w:eastAsia="zh-CN"/>
                    </w:rPr>
                    <w:t>640.00</w:t>
                  </w:r>
                </w:p>
              </w:tc>
              <w:tc>
                <w:tcPr>
                  <w:tcW w:w="982" w:type="dxa"/>
                  <w:vMerge w:val="continue"/>
                  <w:noWrap/>
                  <w:vAlign w:val="center"/>
                </w:tcPr>
                <w:p>
                  <w:pPr>
                    <w:spacing w:line="400" w:lineRule="exact"/>
                    <w:jc w:val="left"/>
                    <w:rPr>
                      <w:color w:val="auto"/>
                      <w:highlight w:val="none"/>
                    </w:rPr>
                  </w:pPr>
                </w:p>
              </w:tc>
            </w:tr>
          </w:tbl>
          <w:p>
            <w:pPr>
              <w:adjustRightInd w:val="0"/>
              <w:snapToGrid w:val="0"/>
              <w:spacing w:line="360" w:lineRule="auto"/>
              <w:jc w:val="left"/>
              <w:rPr>
                <w:color w:val="auto"/>
                <w:highlight w:val="none"/>
              </w:rPr>
            </w:pPr>
          </w:p>
          <w:p>
            <w:pPr>
              <w:adjustRightInd w:val="0"/>
              <w:snapToGrid w:val="0"/>
              <w:spacing w:line="360" w:lineRule="auto"/>
              <w:jc w:val="left"/>
              <w:rPr>
                <w:color w:val="auto"/>
                <w:highlight w:val="none"/>
              </w:rPr>
            </w:pPr>
          </w:p>
          <w:p>
            <w:pPr>
              <w:adjustRightInd w:val="0"/>
              <w:snapToGrid w:val="0"/>
              <w:spacing w:line="360" w:lineRule="auto"/>
              <w:jc w:val="left"/>
              <w:rPr>
                <w:color w:val="auto"/>
                <w:highlight w:val="none"/>
              </w:rPr>
            </w:pPr>
          </w:p>
          <w:p>
            <w:pPr>
              <w:adjustRightInd w:val="0"/>
              <w:snapToGrid w:val="0"/>
              <w:spacing w:line="360" w:lineRule="auto"/>
              <w:jc w:val="left"/>
              <w:rPr>
                <w:color w:val="auto"/>
                <w:highlight w:val="none"/>
              </w:rPr>
            </w:pPr>
          </w:p>
          <w:p>
            <w:pPr>
              <w:adjustRightInd w:val="0"/>
              <w:snapToGrid w:val="0"/>
              <w:spacing w:line="360" w:lineRule="auto"/>
              <w:jc w:val="left"/>
              <w:rPr>
                <w:color w:val="auto"/>
                <w:highlight w:val="none"/>
              </w:rPr>
            </w:pPr>
          </w:p>
          <w:p>
            <w:pPr>
              <w:adjustRightInd w:val="0"/>
              <w:snapToGrid w:val="0"/>
              <w:spacing w:line="360" w:lineRule="auto"/>
              <w:jc w:val="left"/>
              <w:rPr>
                <w:rFonts w:hint="eastAsia"/>
                <w:color w:val="auto"/>
                <w:highlight w:val="none"/>
              </w:rPr>
            </w:pPr>
          </w:p>
          <w:p>
            <w:pPr>
              <w:adjustRightInd w:val="0"/>
              <w:snapToGrid w:val="0"/>
              <w:spacing w:line="360" w:lineRule="auto"/>
              <w:jc w:val="left"/>
              <w:rPr>
                <w:rFonts w:hint="eastAsia"/>
                <w:color w:val="auto"/>
                <w:highlight w:val="none"/>
              </w:rPr>
            </w:pPr>
          </w:p>
          <w:p>
            <w:pPr>
              <w:adjustRightInd w:val="0"/>
              <w:snapToGrid w:val="0"/>
              <w:spacing w:line="360" w:lineRule="auto"/>
              <w:jc w:val="left"/>
              <w:rPr>
                <w:color w:val="auto"/>
                <w:highlight w:val="none"/>
              </w:rPr>
            </w:pPr>
            <w:r>
              <w:rPr>
                <w:rFonts w:hint="eastAsia"/>
                <w:color w:val="auto"/>
                <w:highlight w:val="none"/>
              </w:rPr>
              <w:t>2、投标报价要求：</w:t>
            </w:r>
          </w:p>
          <w:p>
            <w:pPr>
              <w:adjustRightInd w:val="0"/>
              <w:snapToGrid w:val="0"/>
              <w:spacing w:line="360" w:lineRule="auto"/>
              <w:rPr>
                <w:color w:val="auto"/>
                <w:highlight w:val="none"/>
              </w:rPr>
            </w:pPr>
            <w:r>
              <w:rPr>
                <w:rFonts w:hint="eastAsia"/>
                <w:color w:val="auto"/>
                <w:highlight w:val="none"/>
              </w:rPr>
              <w:t>（1）投标</w:t>
            </w:r>
            <w:r>
              <w:rPr>
                <w:color w:val="auto"/>
                <w:highlight w:val="none"/>
              </w:rPr>
              <w:t>人的</w:t>
            </w:r>
            <w:r>
              <w:rPr>
                <w:rFonts w:hint="eastAsia"/>
                <w:color w:val="auto"/>
                <w:highlight w:val="none"/>
              </w:rPr>
              <w:t>任何一项投标报价超过各单项最高投标限价的投标文件，做无效投标文件</w:t>
            </w:r>
            <w:r>
              <w:rPr>
                <w:rFonts w:hint="eastAsia"/>
                <w:color w:val="auto"/>
                <w:highlight w:val="none"/>
                <w:lang w:eastAsia="zh-CN"/>
              </w:rPr>
              <w:t>处理</w:t>
            </w:r>
            <w:r>
              <w:rPr>
                <w:rFonts w:hint="eastAsia"/>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2105" w:hRule="atLeast"/>
          <w:jc w:val="center"/>
        </w:trPr>
        <w:tc>
          <w:tcPr>
            <w:tcW w:w="869" w:type="dxa"/>
            <w:noWrap/>
            <w:vAlign w:val="center"/>
          </w:tcPr>
          <w:p>
            <w:pPr>
              <w:jc w:val="center"/>
              <w:rPr>
                <w:color w:val="auto"/>
                <w:highlight w:val="none"/>
              </w:rPr>
            </w:pPr>
            <w:r>
              <w:rPr>
                <w:rFonts w:hint="eastAsia"/>
                <w:color w:val="auto"/>
                <w:highlight w:val="none"/>
              </w:rPr>
              <w:t>3.2.5</w:t>
            </w:r>
          </w:p>
        </w:tc>
        <w:tc>
          <w:tcPr>
            <w:tcW w:w="1851" w:type="dxa"/>
            <w:noWrap/>
            <w:vAlign w:val="center"/>
          </w:tcPr>
          <w:p>
            <w:pPr>
              <w:spacing w:line="360" w:lineRule="auto"/>
              <w:jc w:val="center"/>
              <w:rPr>
                <w:rFonts w:ascii="宋体" w:hAnsi="宋体"/>
                <w:color w:val="auto"/>
                <w:highlight w:val="none"/>
              </w:rPr>
            </w:pPr>
            <w:r>
              <w:rPr>
                <w:rFonts w:hint="eastAsia" w:ascii="宋体" w:hAnsi="宋体"/>
                <w:color w:val="auto"/>
                <w:highlight w:val="none"/>
              </w:rPr>
              <w:t>投标报价的</w:t>
            </w:r>
          </w:p>
          <w:p>
            <w:pPr>
              <w:rPr>
                <w:color w:val="auto"/>
                <w:highlight w:val="none"/>
              </w:rPr>
            </w:pPr>
            <w:r>
              <w:rPr>
                <w:rFonts w:hint="eastAsia" w:ascii="宋体" w:hAnsi="宋体"/>
                <w:color w:val="auto"/>
                <w:highlight w:val="none"/>
              </w:rPr>
              <w:t>其他要求及实际合同价的认定程序</w:t>
            </w:r>
          </w:p>
          <w:p>
            <w:pPr>
              <w:jc w:val="center"/>
              <w:rPr>
                <w:color w:val="auto"/>
                <w:highlight w:val="none"/>
              </w:rPr>
            </w:pPr>
          </w:p>
        </w:tc>
        <w:tc>
          <w:tcPr>
            <w:tcW w:w="6688" w:type="dxa"/>
            <w:noWrap/>
          </w:tcPr>
          <w:p>
            <w:pPr>
              <w:spacing w:line="3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本工程的采用为</w:t>
            </w:r>
            <w:r>
              <w:rPr>
                <w:rFonts w:hint="eastAsia" w:ascii="宋体" w:hAnsi="宋体" w:cs="宋体"/>
                <w:color w:val="auto"/>
                <w:szCs w:val="21"/>
                <w:highlight w:val="none"/>
              </w:rPr>
              <w:sym w:font="Wingdings 2" w:char="F052"/>
            </w:r>
            <w:r>
              <w:rPr>
                <w:rFonts w:hint="eastAsia" w:ascii="宋体" w:hAnsi="宋体" w:cs="宋体"/>
                <w:color w:val="auto"/>
                <w:szCs w:val="21"/>
                <w:highlight w:val="none"/>
              </w:rPr>
              <w:t>总价方式   □单价方式（除发包人提供的设备、材料外）的合同方式。</w:t>
            </w:r>
          </w:p>
          <w:p>
            <w:pPr>
              <w:spacing w:line="3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1、设计费的报价形式为总价包干形式。</w:t>
            </w:r>
          </w:p>
          <w:p>
            <w:pPr>
              <w:spacing w:line="3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2、建筑安装工程费报价形成为总价报包干形式</w:t>
            </w:r>
          </w:p>
          <w:p>
            <w:pPr>
              <w:spacing w:line="3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工程总承包价= 设计费+工程费用（含改造费）。</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工程总承包价，除工程总承包合同约定的调价原则外，其他</w:t>
            </w:r>
            <w:r>
              <w:rPr>
                <w:rFonts w:ascii="宋体" w:hAnsi="宋体" w:cs="宋体"/>
                <w:color w:val="auto"/>
                <w:szCs w:val="21"/>
                <w:highlight w:val="none"/>
              </w:rPr>
              <w:t>一律</w:t>
            </w:r>
            <w:r>
              <w:rPr>
                <w:rFonts w:hint="eastAsia" w:ascii="宋体" w:hAnsi="宋体" w:cs="宋体"/>
                <w:color w:val="auto"/>
                <w:szCs w:val="21"/>
                <w:highlight w:val="none"/>
              </w:rPr>
              <w:t>不予调整。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99"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3.3.1</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投标有效期</w:t>
            </w:r>
          </w:p>
        </w:tc>
        <w:tc>
          <w:tcPr>
            <w:tcW w:w="6688" w:type="dxa"/>
            <w:noWrap/>
            <w:vAlign w:val="center"/>
          </w:tcPr>
          <w:p>
            <w:pPr>
              <w:spacing w:line="320" w:lineRule="exact"/>
              <w:rPr>
                <w:rFonts w:ascii="宋体" w:hAnsi="宋体"/>
                <w:color w:val="auto"/>
                <w:szCs w:val="21"/>
                <w:highlight w:val="none"/>
              </w:rPr>
            </w:pPr>
            <w:r>
              <w:rPr>
                <w:rFonts w:hint="eastAsia" w:hAnsi="宋体"/>
                <w:b/>
                <w:color w:val="auto"/>
                <w:highlight w:val="none"/>
              </w:rPr>
              <w:t>□</w:t>
            </w:r>
            <w:r>
              <w:rPr>
                <w:rFonts w:hint="eastAsia" w:ascii="宋体" w:hAnsi="宋体"/>
                <w:color w:val="auto"/>
                <w:szCs w:val="21"/>
                <w:highlight w:val="none"/>
              </w:rPr>
              <w:t xml:space="preserve">90天 </w:t>
            </w:r>
            <w:r>
              <w:rPr>
                <w:rFonts w:hint="eastAsia" w:hAnsi="宋体"/>
                <w:b/>
                <w:color w:val="auto"/>
                <w:highlight w:val="none"/>
              </w:rPr>
              <w:t>☑</w:t>
            </w:r>
            <w:r>
              <w:rPr>
                <w:rFonts w:hint="eastAsia" w:ascii="宋体" w:hAnsi="宋体"/>
                <w:color w:val="auto"/>
                <w:szCs w:val="21"/>
                <w:highlight w:val="none"/>
              </w:rPr>
              <w:t>120 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214"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3.4.1</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投标保证金</w:t>
            </w:r>
          </w:p>
        </w:tc>
        <w:tc>
          <w:tcPr>
            <w:tcW w:w="6688" w:type="dxa"/>
            <w:noWrap/>
            <w:vAlign w:val="center"/>
          </w:tcPr>
          <w:p>
            <w:pPr>
              <w:spacing w:line="360" w:lineRule="auto"/>
              <w:ind w:firstLine="315" w:firstLineChars="150"/>
              <w:rPr>
                <w:rFonts w:ascii="宋体" w:hAnsi="宋体"/>
                <w:b/>
                <w:color w:val="auto"/>
                <w:szCs w:val="21"/>
                <w:highlight w:val="none"/>
                <w:u w:val="single"/>
              </w:rPr>
            </w:pPr>
            <w:r>
              <w:rPr>
                <w:rFonts w:hint="eastAsia" w:hAnsi="宋体"/>
                <w:color w:val="auto"/>
                <w:highlight w:val="none"/>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47"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3.5.2</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近年财务状况</w:t>
            </w:r>
          </w:p>
          <w:p>
            <w:pPr>
              <w:spacing w:line="320" w:lineRule="exact"/>
              <w:jc w:val="center"/>
              <w:rPr>
                <w:color w:val="auto"/>
                <w:szCs w:val="21"/>
                <w:highlight w:val="none"/>
              </w:rPr>
            </w:pPr>
            <w:r>
              <w:rPr>
                <w:rFonts w:hint="eastAsia"/>
                <w:color w:val="auto"/>
                <w:szCs w:val="21"/>
                <w:highlight w:val="none"/>
              </w:rPr>
              <w:t>的年份要求</w:t>
            </w:r>
          </w:p>
        </w:tc>
        <w:tc>
          <w:tcPr>
            <w:tcW w:w="6688" w:type="dxa"/>
            <w:noWrap/>
            <w:vAlign w:val="center"/>
          </w:tcPr>
          <w:p>
            <w:pPr>
              <w:spacing w:line="320" w:lineRule="exact"/>
              <w:rPr>
                <w:color w:val="auto"/>
                <w:szCs w:val="21"/>
                <w:highlight w:val="none"/>
              </w:rPr>
            </w:pPr>
            <w:r>
              <w:rPr>
                <w:rFonts w:hint="eastAsia"/>
                <w:color w:val="auto"/>
                <w:highlight w:val="none"/>
                <w:u w:val="single"/>
              </w:rPr>
              <w:t>近三</w:t>
            </w:r>
            <w:r>
              <w:rPr>
                <w:rFonts w:hAnsi="宋体"/>
                <w:color w:val="auto"/>
                <w:highlight w:val="none"/>
              </w:rPr>
              <w:t>年</w:t>
            </w:r>
            <w:r>
              <w:rPr>
                <w:rFonts w:hint="eastAsia" w:hAnsi="宋体"/>
                <w:color w:val="auto"/>
                <w:highlight w:val="none"/>
              </w:rPr>
              <w:t>（一般为三年）</w:t>
            </w:r>
            <w:r>
              <w:rPr>
                <w:rFonts w:hAnsi="宋体"/>
                <w:color w:val="auto"/>
                <w:highlight w:val="none"/>
              </w:rPr>
              <w:t>，</w:t>
            </w:r>
            <w:r>
              <w:rPr>
                <w:color w:val="auto"/>
                <w:highlight w:val="none"/>
              </w:rPr>
              <w:t>指</w:t>
            </w:r>
            <w:r>
              <w:rPr>
                <w:rFonts w:hint="eastAsia"/>
                <w:color w:val="auto"/>
                <w:highlight w:val="none"/>
                <w:u w:val="single"/>
              </w:rPr>
              <w:t>201</w:t>
            </w:r>
            <w:r>
              <w:rPr>
                <w:color w:val="auto"/>
                <w:highlight w:val="none"/>
                <w:u w:val="single"/>
              </w:rPr>
              <w:t>7</w:t>
            </w:r>
            <w:r>
              <w:rPr>
                <w:color w:val="auto"/>
                <w:highlight w:val="none"/>
              </w:rPr>
              <w:t>年度、</w:t>
            </w:r>
            <w:r>
              <w:rPr>
                <w:rFonts w:hint="eastAsia"/>
                <w:color w:val="auto"/>
                <w:highlight w:val="none"/>
                <w:u w:val="single"/>
              </w:rPr>
              <w:t>201</w:t>
            </w:r>
            <w:r>
              <w:rPr>
                <w:color w:val="auto"/>
                <w:highlight w:val="none"/>
                <w:u w:val="single"/>
              </w:rPr>
              <w:t>8</w:t>
            </w:r>
            <w:r>
              <w:rPr>
                <w:color w:val="auto"/>
                <w:highlight w:val="none"/>
              </w:rPr>
              <w:t>年度和</w:t>
            </w:r>
            <w:r>
              <w:rPr>
                <w:rFonts w:hint="eastAsia"/>
                <w:color w:val="auto"/>
                <w:highlight w:val="none"/>
                <w:u w:val="single"/>
              </w:rPr>
              <w:t>2019</w:t>
            </w:r>
            <w:r>
              <w:rPr>
                <w:color w:val="auto"/>
                <w:highlight w:val="none"/>
              </w:rPr>
              <w:t>年度</w:t>
            </w:r>
            <w:r>
              <w:rPr>
                <w:rFonts w:hint="eastAsia"/>
                <w:color w:val="auto"/>
                <w:szCs w:val="21"/>
                <w:highlight w:val="none"/>
                <w:lang w:eastAsia="zh-CN"/>
              </w:rPr>
              <w:t>（如为联合体投标仅须由牵头人提供）</w:t>
            </w:r>
            <w:r>
              <w:rPr>
                <w:rFonts w:hint="eastAsia"/>
                <w:color w:val="auto"/>
                <w:highlight w:val="none"/>
                <w:lang w:eastAsia="zh-CN"/>
              </w:rPr>
              <w:t>【</w:t>
            </w:r>
            <w:r>
              <w:rPr>
                <w:rFonts w:hint="eastAsia"/>
                <w:color w:val="auto"/>
                <w:highlight w:val="none"/>
              </w:rPr>
              <w:t>对于从取得营业执照时间起到投标截止时间为止不足要求年数的企业，只需提交企业取得营业执照年份至所要求最近年份</w:t>
            </w:r>
            <w:r>
              <w:rPr>
                <w:rFonts w:hint="eastAsia"/>
                <w:color w:val="auto"/>
                <w:highlight w:val="none"/>
                <w:lang w:eastAsia="zh-CN"/>
              </w:rPr>
              <w:t>有效的</w:t>
            </w:r>
            <w:r>
              <w:rPr>
                <w:rFonts w:hint="eastAsia"/>
                <w:color w:val="auto"/>
                <w:highlight w:val="none"/>
              </w:rPr>
              <w:t>的财务报表</w:t>
            </w:r>
            <w:r>
              <w:rPr>
                <w:rFonts w:hint="eastAsia"/>
                <w:color w:val="auto"/>
                <w:highlight w:val="none"/>
                <w:lang w:eastAsia="zh-CN"/>
              </w:rPr>
              <w:t>】</w:t>
            </w:r>
            <w:r>
              <w:rPr>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80" w:hRule="atLeast"/>
          <w:jc w:val="center"/>
        </w:trPr>
        <w:tc>
          <w:tcPr>
            <w:tcW w:w="869" w:type="dxa"/>
            <w:noWrap/>
            <w:vAlign w:val="center"/>
          </w:tcPr>
          <w:p>
            <w:pPr>
              <w:spacing w:line="320" w:lineRule="exact"/>
              <w:jc w:val="center"/>
              <w:rPr>
                <w:color w:val="auto"/>
                <w:szCs w:val="21"/>
                <w:highlight w:val="none"/>
              </w:rPr>
            </w:pPr>
            <w:r>
              <w:rPr>
                <w:rFonts w:hint="eastAsia"/>
                <w:color w:val="auto"/>
                <w:szCs w:val="21"/>
                <w:highlight w:val="none"/>
              </w:rPr>
              <w:t>3.5.5</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近年发生的诉讼</w:t>
            </w:r>
          </w:p>
          <w:p>
            <w:pPr>
              <w:spacing w:line="320" w:lineRule="exact"/>
              <w:jc w:val="center"/>
              <w:rPr>
                <w:color w:val="auto"/>
                <w:szCs w:val="21"/>
                <w:highlight w:val="none"/>
              </w:rPr>
            </w:pPr>
            <w:r>
              <w:rPr>
                <w:rFonts w:hint="eastAsia"/>
                <w:color w:val="auto"/>
                <w:szCs w:val="21"/>
                <w:highlight w:val="none"/>
              </w:rPr>
              <w:t>及仲裁情况的</w:t>
            </w:r>
          </w:p>
          <w:p>
            <w:pPr>
              <w:spacing w:line="320" w:lineRule="exact"/>
              <w:jc w:val="center"/>
              <w:rPr>
                <w:color w:val="auto"/>
                <w:szCs w:val="21"/>
                <w:highlight w:val="none"/>
              </w:rPr>
            </w:pPr>
            <w:r>
              <w:rPr>
                <w:rFonts w:hint="eastAsia"/>
                <w:color w:val="auto"/>
                <w:szCs w:val="21"/>
                <w:highlight w:val="none"/>
              </w:rPr>
              <w:t>年份要求</w:t>
            </w:r>
          </w:p>
        </w:tc>
        <w:tc>
          <w:tcPr>
            <w:tcW w:w="6688" w:type="dxa"/>
            <w:noWrap/>
            <w:vAlign w:val="center"/>
          </w:tcPr>
          <w:p>
            <w:pPr>
              <w:spacing w:line="320" w:lineRule="exact"/>
              <w:rPr>
                <w:color w:val="auto"/>
                <w:szCs w:val="21"/>
                <w:highlight w:val="none"/>
              </w:rPr>
            </w:pPr>
            <w:r>
              <w:rPr>
                <w:rFonts w:hint="eastAsia"/>
                <w:color w:val="auto"/>
                <w:highlight w:val="none"/>
                <w:u w:val="single"/>
              </w:rPr>
              <w:t>三</w:t>
            </w:r>
            <w:r>
              <w:rPr>
                <w:rFonts w:hAnsi="宋体"/>
                <w:color w:val="auto"/>
                <w:highlight w:val="none"/>
              </w:rPr>
              <w:t>年</w:t>
            </w:r>
            <w:r>
              <w:rPr>
                <w:rFonts w:hint="eastAsia" w:hAnsi="宋体"/>
                <w:color w:val="auto"/>
                <w:highlight w:val="none"/>
              </w:rPr>
              <w:t>（一般为三年）</w:t>
            </w:r>
            <w:r>
              <w:rPr>
                <w:rFonts w:hAnsi="宋体"/>
                <w:color w:val="auto"/>
                <w:highlight w:val="none"/>
              </w:rPr>
              <w:t>，</w:t>
            </w:r>
            <w:r>
              <w:rPr>
                <w:color w:val="auto"/>
                <w:highlight w:val="none"/>
              </w:rPr>
              <w:t>指</w:t>
            </w:r>
            <w:r>
              <w:rPr>
                <w:rFonts w:hint="eastAsia"/>
                <w:color w:val="auto"/>
                <w:highlight w:val="none"/>
              </w:rPr>
              <w:t>诉讼及仲裁判决时间</w:t>
            </w:r>
            <w:r>
              <w:rPr>
                <w:color w:val="auto"/>
                <w:highlight w:val="none"/>
              </w:rPr>
              <w:t>至</w:t>
            </w:r>
            <w:r>
              <w:rPr>
                <w:rFonts w:hint="eastAsia"/>
                <w:color w:val="auto"/>
                <w:highlight w:val="none"/>
              </w:rPr>
              <w:t>投标截止时间</w:t>
            </w:r>
            <w:r>
              <w:rPr>
                <w:color w:val="auto"/>
                <w:highlight w:val="none"/>
              </w:rPr>
              <w:t>止</w:t>
            </w:r>
            <w:r>
              <w:rPr>
                <w:rFonts w:hint="eastAsia"/>
                <w:color w:val="auto"/>
                <w:highlight w:val="none"/>
              </w:rPr>
              <w:t>不超过三年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61"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3.6</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是否允许递交</w:t>
            </w:r>
          </w:p>
          <w:p>
            <w:pPr>
              <w:spacing w:line="320" w:lineRule="exact"/>
              <w:jc w:val="center"/>
              <w:rPr>
                <w:color w:val="auto"/>
                <w:szCs w:val="21"/>
                <w:highlight w:val="none"/>
              </w:rPr>
            </w:pPr>
            <w:r>
              <w:rPr>
                <w:rFonts w:hint="eastAsia"/>
                <w:color w:val="auto"/>
                <w:szCs w:val="21"/>
                <w:highlight w:val="none"/>
              </w:rPr>
              <w:t>备选投标方案</w:t>
            </w:r>
          </w:p>
        </w:tc>
        <w:tc>
          <w:tcPr>
            <w:tcW w:w="6688" w:type="dxa"/>
            <w:noWrap/>
            <w:vAlign w:val="center"/>
          </w:tcPr>
          <w:p>
            <w:pPr>
              <w:spacing w:line="320" w:lineRule="exact"/>
              <w:rPr>
                <w:color w:val="auto"/>
                <w:szCs w:val="21"/>
                <w:highlight w:val="none"/>
              </w:rPr>
            </w:pPr>
            <w:r>
              <w:rPr>
                <w:rFonts w:hint="eastAsia" w:hAnsi="宋体"/>
                <w:b/>
                <w:color w:val="auto"/>
                <w:highlight w:val="none"/>
              </w:rPr>
              <w:t>☑</w:t>
            </w:r>
            <w:r>
              <w:rPr>
                <w:rFonts w:hint="eastAsia"/>
                <w:color w:val="auto"/>
                <w:szCs w:val="21"/>
                <w:highlight w:val="none"/>
              </w:rPr>
              <w:t>不允许</w:t>
            </w:r>
          </w:p>
          <w:p>
            <w:pPr>
              <w:spacing w:line="320" w:lineRule="exact"/>
              <w:rPr>
                <w:color w:val="auto"/>
                <w:szCs w:val="21"/>
                <w:highlight w:val="none"/>
              </w:rPr>
            </w:pPr>
            <w:r>
              <w:rPr>
                <w:rFonts w:hint="eastAsia" w:hAnsi="宋体"/>
                <w:b/>
                <w:color w:val="auto"/>
                <w:highlight w:val="none"/>
              </w:rPr>
              <w:t>□</w:t>
            </w:r>
            <w:r>
              <w:rPr>
                <w:rFonts w:hint="eastAsia" w:hAnsi="宋体"/>
                <w:color w:val="auto"/>
                <w:highlight w:val="none"/>
              </w:rPr>
              <w:t>允许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096"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3.7.4</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签字和（或）</w:t>
            </w:r>
          </w:p>
          <w:p>
            <w:pPr>
              <w:spacing w:line="320" w:lineRule="exact"/>
              <w:jc w:val="center"/>
              <w:rPr>
                <w:color w:val="auto"/>
                <w:szCs w:val="21"/>
                <w:highlight w:val="none"/>
              </w:rPr>
            </w:pPr>
            <w:r>
              <w:rPr>
                <w:rFonts w:hint="eastAsia"/>
                <w:color w:val="auto"/>
                <w:szCs w:val="21"/>
                <w:highlight w:val="none"/>
              </w:rPr>
              <w:t>盖章要求</w:t>
            </w:r>
          </w:p>
        </w:tc>
        <w:tc>
          <w:tcPr>
            <w:tcW w:w="6688" w:type="dxa"/>
            <w:noWrap/>
            <w:vAlign w:val="center"/>
          </w:tcPr>
          <w:p>
            <w:pPr>
              <w:spacing w:line="320" w:lineRule="exact"/>
              <w:rPr>
                <w:rFonts w:hint="default" w:eastAsia="宋体"/>
                <w:color w:val="auto"/>
                <w:szCs w:val="21"/>
                <w:highlight w:val="none"/>
                <w:lang w:val="en-US" w:eastAsia="zh-CN"/>
              </w:rPr>
            </w:pPr>
            <w:r>
              <w:rPr>
                <w:rFonts w:hint="eastAsia"/>
                <w:color w:val="auto"/>
                <w:highlight w:val="none"/>
              </w:rPr>
              <w:t>投标文件正本与副本均由投标人在规定的相关位置加盖法人单位公章，法定代表人或其委托代理人签署或加盖印鉴。联合体投标时联合体各成员均应在投标文件的相关位置加盖法人单位公章，法定代表人或其委托代理人签署或加盖印鉴(除有特别注明联合体各方均应盖章外，只需盖联合体牵头方印章)。投标文件未经投标人盖章和法定代表人或其委托代理人签署或加盖印鉴的作废标处理。</w:t>
            </w:r>
            <w:r>
              <w:rPr>
                <w:rFonts w:hint="eastAsia"/>
                <w:b/>
                <w:bCs/>
                <w:color w:val="auto"/>
                <w:highlight w:val="none"/>
                <w:lang w:val="en-US" w:eastAsia="zh-CN"/>
              </w:rPr>
              <w:t>投标文件副本可为正本签字、盖章后的复印件，如文件中与此处不同，按此处执行。正本和副本不一致时，以正本为准！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3.7.5</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投标文件</w:t>
            </w:r>
          </w:p>
          <w:p>
            <w:pPr>
              <w:spacing w:line="320" w:lineRule="exact"/>
              <w:jc w:val="center"/>
              <w:rPr>
                <w:color w:val="auto"/>
                <w:szCs w:val="21"/>
                <w:highlight w:val="none"/>
              </w:rPr>
            </w:pPr>
            <w:r>
              <w:rPr>
                <w:rFonts w:hint="eastAsia"/>
                <w:color w:val="auto"/>
                <w:szCs w:val="21"/>
                <w:highlight w:val="none"/>
              </w:rPr>
              <w:t>正副本份数</w:t>
            </w:r>
          </w:p>
        </w:tc>
        <w:tc>
          <w:tcPr>
            <w:tcW w:w="6688" w:type="dxa"/>
            <w:noWrap/>
            <w:vAlign w:val="center"/>
          </w:tcPr>
          <w:p>
            <w:pPr>
              <w:spacing w:line="320" w:lineRule="exact"/>
              <w:rPr>
                <w:color w:val="auto"/>
                <w:szCs w:val="21"/>
                <w:highlight w:val="none"/>
              </w:rPr>
            </w:pPr>
            <w:r>
              <w:rPr>
                <w:rFonts w:hint="eastAsia"/>
                <w:color w:val="auto"/>
                <w:szCs w:val="21"/>
                <w:highlight w:val="none"/>
              </w:rPr>
              <w:t>正本一份，副本</w:t>
            </w:r>
            <w:r>
              <w:rPr>
                <w:rFonts w:hint="eastAsia"/>
                <w:color w:val="auto"/>
                <w:szCs w:val="21"/>
                <w:highlight w:val="none"/>
                <w:u w:val="single"/>
              </w:rPr>
              <w:t>肆</w:t>
            </w:r>
            <w:r>
              <w:rPr>
                <w:rFonts w:hint="eastAsia"/>
                <w:color w:val="auto"/>
                <w:szCs w:val="21"/>
                <w:highlight w:val="none"/>
              </w:rPr>
              <w:t>份，另递交</w:t>
            </w:r>
            <w:r>
              <w:rPr>
                <w:rFonts w:hint="eastAsia"/>
                <w:color w:val="auto"/>
                <w:szCs w:val="21"/>
                <w:highlight w:val="none"/>
                <w:u w:val="single"/>
              </w:rPr>
              <w:t>一</w:t>
            </w:r>
            <w:r>
              <w:rPr>
                <w:rFonts w:hint="eastAsia"/>
                <w:color w:val="auto"/>
                <w:szCs w:val="21"/>
                <w:highlight w:val="none"/>
              </w:rPr>
              <w:t>份电子版投标文件，以</w:t>
            </w:r>
            <w:r>
              <w:rPr>
                <w:rFonts w:hint="eastAsia" w:hAnsi="宋体"/>
                <w:b/>
                <w:color w:val="auto"/>
                <w:highlight w:val="none"/>
              </w:rPr>
              <w:t>U</w:t>
            </w:r>
            <w:r>
              <w:rPr>
                <w:rFonts w:hint="eastAsia"/>
                <w:color w:val="auto"/>
                <w:szCs w:val="21"/>
                <w:highlight w:val="none"/>
              </w:rPr>
              <w:t>盘或光盘形式递交，不允许递交软盘。应确保纸质文本与电子版文件一致。正本和副本不一致时，以正本为准。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548" w:hRule="atLeast"/>
          <w:jc w:val="center"/>
        </w:trPr>
        <w:tc>
          <w:tcPr>
            <w:tcW w:w="869" w:type="dxa"/>
            <w:tcBorders>
              <w:bottom w:val="single" w:color="auto" w:sz="4" w:space="0"/>
            </w:tcBorders>
            <w:noWrap/>
            <w:vAlign w:val="center"/>
          </w:tcPr>
          <w:p>
            <w:pPr>
              <w:spacing w:line="360" w:lineRule="auto"/>
              <w:jc w:val="center"/>
              <w:rPr>
                <w:color w:val="auto"/>
                <w:szCs w:val="21"/>
                <w:highlight w:val="none"/>
              </w:rPr>
            </w:pPr>
            <w:r>
              <w:rPr>
                <w:rFonts w:hint="eastAsia"/>
                <w:color w:val="auto"/>
                <w:szCs w:val="21"/>
                <w:highlight w:val="none"/>
              </w:rPr>
              <w:t>3.7.6</w:t>
            </w:r>
          </w:p>
        </w:tc>
        <w:tc>
          <w:tcPr>
            <w:tcW w:w="1851" w:type="dxa"/>
            <w:tcBorders>
              <w:bottom w:val="single" w:color="auto" w:sz="4" w:space="0"/>
            </w:tcBorders>
            <w:noWrap/>
            <w:vAlign w:val="center"/>
          </w:tcPr>
          <w:p>
            <w:pPr>
              <w:spacing w:line="320" w:lineRule="exact"/>
              <w:jc w:val="center"/>
              <w:rPr>
                <w:color w:val="auto"/>
                <w:szCs w:val="21"/>
                <w:highlight w:val="none"/>
              </w:rPr>
            </w:pPr>
            <w:r>
              <w:rPr>
                <w:rFonts w:hint="eastAsia"/>
                <w:color w:val="auto"/>
                <w:szCs w:val="21"/>
                <w:highlight w:val="none"/>
              </w:rPr>
              <w:t>装订要求</w:t>
            </w:r>
          </w:p>
          <w:p>
            <w:pPr>
              <w:spacing w:line="320" w:lineRule="exact"/>
              <w:jc w:val="center"/>
              <w:rPr>
                <w:color w:val="auto"/>
                <w:szCs w:val="21"/>
                <w:highlight w:val="none"/>
              </w:rPr>
            </w:pPr>
          </w:p>
        </w:tc>
        <w:tc>
          <w:tcPr>
            <w:tcW w:w="6688" w:type="dxa"/>
            <w:tcBorders>
              <w:bottom w:val="single" w:color="auto" w:sz="4" w:space="0"/>
            </w:tcBorders>
            <w:noWrap/>
            <w:vAlign w:val="center"/>
          </w:tcPr>
          <w:p>
            <w:pPr>
              <w:spacing w:line="320" w:lineRule="exact"/>
              <w:rPr>
                <w:color w:val="auto"/>
                <w:szCs w:val="21"/>
                <w:highlight w:val="none"/>
                <w:u w:val="single"/>
              </w:rPr>
            </w:pPr>
            <w:r>
              <w:rPr>
                <w:rFonts w:hint="eastAsia"/>
                <w:color w:val="auto"/>
                <w:szCs w:val="21"/>
                <w:highlight w:val="none"/>
              </w:rPr>
              <w:t>按照投标人须知规定的投标文件组成内容，投标文件应按以下要求装订：</w:t>
            </w:r>
          </w:p>
          <w:p>
            <w:pPr>
              <w:spacing w:line="320" w:lineRule="exact"/>
              <w:rPr>
                <w:b/>
                <w:color w:val="auto"/>
                <w:highlight w:val="none"/>
                <w:u w:val="single"/>
              </w:rPr>
            </w:pPr>
            <w:r>
              <w:rPr>
                <w:rFonts w:hint="eastAsia"/>
                <w:color w:val="auto"/>
                <w:szCs w:val="21"/>
                <w:highlight w:val="none"/>
              </w:rPr>
              <w:t>分册装订，共分</w:t>
            </w:r>
            <w:r>
              <w:rPr>
                <w:rFonts w:hint="eastAsia"/>
                <w:color w:val="auto"/>
                <w:szCs w:val="21"/>
                <w:highlight w:val="none"/>
                <w:u w:val="single"/>
              </w:rPr>
              <w:t>5</w:t>
            </w:r>
            <w:r>
              <w:rPr>
                <w:rFonts w:hint="eastAsia"/>
                <w:color w:val="auto"/>
                <w:szCs w:val="21"/>
                <w:highlight w:val="none"/>
              </w:rPr>
              <w:t>册，分别为</w:t>
            </w:r>
            <w:r>
              <w:rPr>
                <w:rFonts w:hint="eastAsia" w:hAnsi="宋体"/>
                <w:b/>
                <w:color w:val="auto"/>
                <w:highlight w:val="none"/>
                <w:u w:val="single"/>
              </w:rPr>
              <w:t>☑资格审查  ☑</w:t>
            </w:r>
            <w:r>
              <w:rPr>
                <w:rFonts w:hint="eastAsia"/>
                <w:b/>
                <w:color w:val="auto"/>
                <w:szCs w:val="21"/>
                <w:highlight w:val="none"/>
                <w:u w:val="single"/>
              </w:rPr>
              <w:t xml:space="preserve">商务标   </w:t>
            </w:r>
            <w:r>
              <w:rPr>
                <w:rFonts w:hint="eastAsia" w:hAnsi="宋体"/>
                <w:b/>
                <w:color w:val="auto"/>
                <w:highlight w:val="none"/>
                <w:u w:val="single"/>
              </w:rPr>
              <w:t>☑</w:t>
            </w:r>
            <w:r>
              <w:rPr>
                <w:rFonts w:hint="eastAsia"/>
                <w:b/>
                <w:color w:val="auto"/>
                <w:highlight w:val="none"/>
                <w:u w:val="single"/>
              </w:rPr>
              <w:t>技术标</w:t>
            </w:r>
          </w:p>
          <w:p>
            <w:pPr>
              <w:spacing w:line="320" w:lineRule="exact"/>
              <w:rPr>
                <w:b/>
                <w:color w:val="auto"/>
                <w:szCs w:val="21"/>
                <w:highlight w:val="none"/>
                <w:u w:val="single"/>
              </w:rPr>
            </w:pPr>
            <w:r>
              <w:rPr>
                <w:rFonts w:hint="eastAsia"/>
                <w:b/>
                <w:color w:val="auto"/>
                <w:szCs w:val="21"/>
                <w:highlight w:val="none"/>
                <w:u w:val="single"/>
              </w:rPr>
              <w:t>☑设计标</w:t>
            </w:r>
            <w:r>
              <w:rPr>
                <w:rFonts w:hint="eastAsia" w:hAnsi="宋体"/>
                <w:b/>
                <w:color w:val="auto"/>
                <w:highlight w:val="none"/>
                <w:u w:val="single"/>
              </w:rPr>
              <w:t>☑资信业绩</w:t>
            </w:r>
          </w:p>
          <w:p>
            <w:pPr>
              <w:spacing w:line="320" w:lineRule="exact"/>
              <w:rPr>
                <w:b/>
                <w:color w:val="auto"/>
                <w:szCs w:val="21"/>
                <w:highlight w:val="none"/>
                <w:u w:val="single"/>
              </w:rPr>
            </w:pPr>
            <w:r>
              <w:rPr>
                <w:rFonts w:hint="eastAsia" w:hAnsi="宋体"/>
                <w:color w:val="auto"/>
                <w:highlight w:val="none"/>
              </w:rPr>
              <w:t>投标文件每册装订应牢固、不易拆散和换页，不得采用活页装订。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00" w:hRule="atLeast"/>
          <w:jc w:val="center"/>
        </w:trPr>
        <w:tc>
          <w:tcPr>
            <w:tcW w:w="869" w:type="dxa"/>
            <w:tcBorders>
              <w:top w:val="single" w:color="auto" w:sz="4" w:space="0"/>
            </w:tcBorders>
            <w:noWrap/>
            <w:vAlign w:val="center"/>
          </w:tcPr>
          <w:p>
            <w:pPr>
              <w:spacing w:line="360" w:lineRule="auto"/>
              <w:jc w:val="center"/>
              <w:rPr>
                <w:color w:val="auto"/>
                <w:szCs w:val="21"/>
                <w:highlight w:val="none"/>
              </w:rPr>
            </w:pPr>
            <w:r>
              <w:rPr>
                <w:rFonts w:hint="eastAsia"/>
                <w:color w:val="auto"/>
                <w:szCs w:val="21"/>
                <w:highlight w:val="none"/>
              </w:rPr>
              <w:t>4.1.1</w:t>
            </w:r>
          </w:p>
        </w:tc>
        <w:tc>
          <w:tcPr>
            <w:tcW w:w="1851" w:type="dxa"/>
            <w:tcBorders>
              <w:top w:val="single" w:color="auto" w:sz="4" w:space="0"/>
            </w:tcBorders>
            <w:noWrap/>
            <w:vAlign w:val="center"/>
          </w:tcPr>
          <w:p>
            <w:pPr>
              <w:spacing w:line="320" w:lineRule="exact"/>
              <w:jc w:val="center"/>
              <w:rPr>
                <w:color w:val="auto"/>
                <w:szCs w:val="21"/>
                <w:highlight w:val="none"/>
              </w:rPr>
            </w:pPr>
            <w:r>
              <w:rPr>
                <w:rFonts w:hint="eastAsia"/>
                <w:color w:val="auto"/>
                <w:szCs w:val="21"/>
                <w:highlight w:val="none"/>
              </w:rPr>
              <w:t>包装密封要求</w:t>
            </w:r>
          </w:p>
        </w:tc>
        <w:tc>
          <w:tcPr>
            <w:tcW w:w="6688" w:type="dxa"/>
            <w:tcBorders>
              <w:top w:val="single" w:color="auto" w:sz="4" w:space="0"/>
            </w:tcBorders>
            <w:noWrap/>
            <w:vAlign w:val="center"/>
          </w:tcPr>
          <w:p>
            <w:pPr>
              <w:spacing w:line="320" w:lineRule="exact"/>
              <w:rPr>
                <w:b/>
                <w:color w:val="auto"/>
                <w:highlight w:val="none"/>
                <w:u w:val="single"/>
              </w:rPr>
            </w:pPr>
            <w:r>
              <w:rPr>
                <w:color w:val="auto"/>
                <w:highlight w:val="none"/>
              </w:rPr>
              <w:t>投标人应将所有投标文件</w:t>
            </w:r>
            <w:r>
              <w:rPr>
                <w:rFonts w:hint="eastAsia"/>
                <w:color w:val="auto"/>
                <w:highlight w:val="none"/>
              </w:rPr>
              <w:t>的</w:t>
            </w:r>
            <w:r>
              <w:rPr>
                <w:rFonts w:hint="eastAsia" w:hAnsi="宋体"/>
                <w:b/>
                <w:color w:val="auto"/>
                <w:highlight w:val="none"/>
                <w:u w:val="single"/>
              </w:rPr>
              <w:t>☑资格审查  ☑</w:t>
            </w:r>
            <w:r>
              <w:rPr>
                <w:rFonts w:hint="eastAsia"/>
                <w:b/>
                <w:color w:val="auto"/>
                <w:szCs w:val="21"/>
                <w:highlight w:val="none"/>
                <w:u w:val="single"/>
              </w:rPr>
              <w:t xml:space="preserve">商务标   </w:t>
            </w:r>
            <w:r>
              <w:rPr>
                <w:rFonts w:hint="eastAsia" w:hAnsi="宋体"/>
                <w:b/>
                <w:color w:val="auto"/>
                <w:highlight w:val="none"/>
                <w:u w:val="single"/>
              </w:rPr>
              <w:t>☑</w:t>
            </w:r>
            <w:r>
              <w:rPr>
                <w:rFonts w:hint="eastAsia"/>
                <w:b/>
                <w:color w:val="auto"/>
                <w:highlight w:val="none"/>
                <w:u w:val="single"/>
              </w:rPr>
              <w:t>技术标</w:t>
            </w:r>
          </w:p>
          <w:p>
            <w:pPr>
              <w:spacing w:line="320" w:lineRule="exact"/>
              <w:rPr>
                <w:rFonts w:ascii="宋体" w:hAnsi="宋体"/>
                <w:b/>
                <w:color w:val="auto"/>
                <w:highlight w:val="none"/>
              </w:rPr>
            </w:pPr>
            <w:r>
              <w:rPr>
                <w:rFonts w:hint="eastAsia" w:hAnsi="宋体"/>
                <w:b/>
                <w:color w:val="auto"/>
                <w:highlight w:val="none"/>
                <w:u w:val="single"/>
              </w:rPr>
              <w:t>☑</w:t>
            </w:r>
            <w:r>
              <w:rPr>
                <w:rFonts w:hint="eastAsia"/>
                <w:b/>
                <w:color w:val="auto"/>
                <w:szCs w:val="21"/>
                <w:highlight w:val="none"/>
                <w:u w:val="single"/>
              </w:rPr>
              <w:t>设计标</w:t>
            </w:r>
            <w:r>
              <w:rPr>
                <w:rFonts w:hint="eastAsia" w:hAnsi="宋体"/>
                <w:b/>
                <w:color w:val="auto"/>
                <w:highlight w:val="none"/>
                <w:u w:val="single"/>
              </w:rPr>
              <w:t>☑资信业绩   ☑ 投标文件电子版</w:t>
            </w:r>
            <w:r>
              <w:rPr>
                <w:rFonts w:hint="eastAsia" w:hAnsi="宋体"/>
                <w:color w:val="auto"/>
                <w:highlight w:val="none"/>
              </w:rPr>
              <w:t>正本及副本</w:t>
            </w:r>
            <w:r>
              <w:rPr>
                <w:rFonts w:hint="eastAsia"/>
                <w:color w:val="auto"/>
                <w:highlight w:val="none"/>
              </w:rPr>
              <w:t>分别</w:t>
            </w:r>
            <w:r>
              <w:rPr>
                <w:rFonts w:hint="eastAsia" w:hAnsi="宋体"/>
                <w:color w:val="auto"/>
                <w:highlight w:val="none"/>
              </w:rPr>
              <w:t>装在六个投标文件密封袋中</w:t>
            </w:r>
            <w:r>
              <w:rPr>
                <w:rFonts w:hint="eastAsia" w:ascii="宋体" w:hAnsi="宋体"/>
                <w:color w:val="auto"/>
                <w:highlight w:val="none"/>
              </w:rPr>
              <w:t>，其中，每册的正本和副本统一装在一个密封袋中，</w:t>
            </w:r>
            <w:r>
              <w:rPr>
                <w:color w:val="auto"/>
                <w:highlight w:val="none"/>
              </w:rPr>
              <w:t>密封袋上清楚地标明“</w:t>
            </w:r>
            <w:r>
              <w:rPr>
                <w:rFonts w:hint="eastAsia"/>
                <w:color w:val="auto"/>
                <w:highlight w:val="none"/>
              </w:rPr>
              <w:t>资格审查</w:t>
            </w:r>
            <w:r>
              <w:rPr>
                <w:color w:val="auto"/>
                <w:highlight w:val="none"/>
              </w:rPr>
              <w:t>”或“商务</w:t>
            </w:r>
            <w:r>
              <w:rPr>
                <w:rFonts w:hint="eastAsia"/>
                <w:color w:val="auto"/>
                <w:highlight w:val="none"/>
              </w:rPr>
              <w:t>标</w:t>
            </w:r>
            <w:r>
              <w:rPr>
                <w:color w:val="auto"/>
                <w:highlight w:val="none"/>
              </w:rPr>
              <w:t>”或“</w:t>
            </w:r>
            <w:r>
              <w:rPr>
                <w:rFonts w:hint="eastAsia"/>
                <w:color w:val="auto"/>
                <w:highlight w:val="none"/>
              </w:rPr>
              <w:t>技术标</w:t>
            </w:r>
            <w:r>
              <w:rPr>
                <w:color w:val="auto"/>
                <w:highlight w:val="none"/>
              </w:rPr>
              <w:t>”</w:t>
            </w:r>
            <w:r>
              <w:rPr>
                <w:rFonts w:hint="eastAsia"/>
                <w:color w:val="auto"/>
                <w:highlight w:val="none"/>
              </w:rPr>
              <w:t>或</w:t>
            </w:r>
            <w:r>
              <w:rPr>
                <w:rFonts w:hint="eastAsia" w:hAnsi="宋体"/>
                <w:color w:val="auto"/>
                <w:highlight w:val="none"/>
              </w:rPr>
              <w:t>“设计标”或</w:t>
            </w:r>
            <w:r>
              <w:rPr>
                <w:color w:val="auto"/>
                <w:highlight w:val="none"/>
              </w:rPr>
              <w:t>“</w:t>
            </w:r>
            <w:r>
              <w:rPr>
                <w:rFonts w:hint="eastAsia"/>
                <w:color w:val="auto"/>
                <w:highlight w:val="none"/>
              </w:rPr>
              <w:t>资信业绩</w:t>
            </w:r>
            <w:r>
              <w:rPr>
                <w:color w:val="auto"/>
                <w:highlight w:val="none"/>
              </w:rPr>
              <w:t>”</w:t>
            </w:r>
            <w:r>
              <w:rPr>
                <w:rFonts w:hint="eastAsia" w:hAnsi="宋体"/>
                <w:color w:val="auto"/>
                <w:highlight w:val="none"/>
              </w:rPr>
              <w:t>及“电子版文件”</w:t>
            </w:r>
            <w:r>
              <w:rPr>
                <w:rFonts w:hint="eastAsia" w:ascii="宋体" w:hAnsi="宋体"/>
                <w:b/>
                <w:color w:val="auto"/>
                <w:highlight w:val="none"/>
              </w:rPr>
              <w:t>。</w:t>
            </w:r>
          </w:p>
          <w:p>
            <w:pPr>
              <w:spacing w:line="320" w:lineRule="exact"/>
              <w:ind w:firstLine="413" w:firstLineChars="196"/>
              <w:rPr>
                <w:rFonts w:ascii="宋体" w:hAnsi="宋体"/>
                <w:b/>
                <w:color w:val="auto"/>
                <w:highlight w:val="none"/>
              </w:rPr>
            </w:pPr>
            <w:r>
              <w:rPr>
                <w:rFonts w:ascii="宋体" w:hAnsi="宋体"/>
                <w:b/>
                <w:color w:val="auto"/>
                <w:highlight w:val="none"/>
              </w:rPr>
              <w:t>投标文件密封袋的封口处应加贴封条并加盖</w:t>
            </w:r>
            <w:r>
              <w:rPr>
                <w:rFonts w:hint="eastAsia" w:ascii="宋体" w:hAnsi="宋体"/>
                <w:b/>
                <w:color w:val="auto"/>
                <w:highlight w:val="none"/>
              </w:rPr>
              <w:t>投标单位公章或密封章。</w:t>
            </w:r>
          </w:p>
          <w:p>
            <w:pPr>
              <w:spacing w:line="320" w:lineRule="exact"/>
              <w:rPr>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10"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4.1.2</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封套上写明</w:t>
            </w:r>
          </w:p>
        </w:tc>
        <w:tc>
          <w:tcPr>
            <w:tcW w:w="6688" w:type="dxa"/>
            <w:noWrap/>
            <w:vAlign w:val="center"/>
          </w:tcPr>
          <w:p>
            <w:pPr>
              <w:spacing w:line="320" w:lineRule="exact"/>
              <w:rPr>
                <w:color w:val="auto"/>
                <w:highlight w:val="none"/>
              </w:rPr>
            </w:pPr>
            <w:r>
              <w:rPr>
                <w:rFonts w:hint="eastAsia"/>
                <w:color w:val="auto"/>
                <w:highlight w:val="none"/>
              </w:rPr>
              <w:t>招标人地址：</w:t>
            </w:r>
            <w:r>
              <w:rPr>
                <w:rFonts w:hint="eastAsia"/>
                <w:color w:val="auto"/>
                <w:szCs w:val="21"/>
                <w:highlight w:val="none"/>
              </w:rPr>
              <w:t>桂林市灵川县灵田镇</w:t>
            </w:r>
            <w:r>
              <w:rPr>
                <w:rFonts w:hint="eastAsia"/>
                <w:color w:val="auto"/>
                <w:highlight w:val="none"/>
              </w:rPr>
              <w:t xml:space="preserve">               </w:t>
            </w:r>
          </w:p>
          <w:p>
            <w:pPr>
              <w:spacing w:line="320" w:lineRule="exact"/>
              <w:rPr>
                <w:color w:val="auto"/>
                <w:highlight w:val="none"/>
              </w:rPr>
            </w:pPr>
            <w:r>
              <w:rPr>
                <w:rFonts w:hint="eastAsia"/>
                <w:color w:val="auto"/>
                <w:highlight w:val="none"/>
              </w:rPr>
              <w:t>招标人名称：</w:t>
            </w:r>
            <w:r>
              <w:rPr>
                <w:rFonts w:hint="eastAsia"/>
                <w:color w:val="auto"/>
                <w:szCs w:val="21"/>
                <w:highlight w:val="none"/>
              </w:rPr>
              <w:t>桂林电子科技大学</w:t>
            </w:r>
            <w:r>
              <w:rPr>
                <w:rFonts w:hint="eastAsia"/>
                <w:color w:val="auto"/>
                <w:highlight w:val="none"/>
              </w:rPr>
              <w:t xml:space="preserve">               </w:t>
            </w:r>
          </w:p>
          <w:p>
            <w:pPr>
              <w:spacing w:line="320" w:lineRule="exact"/>
              <w:rPr>
                <w:color w:val="auto"/>
                <w:highlight w:val="none"/>
              </w:rPr>
            </w:pPr>
            <w:r>
              <w:rPr>
                <w:rFonts w:hint="eastAsia"/>
                <w:color w:val="auto"/>
                <w:szCs w:val="21"/>
                <w:highlight w:val="none"/>
              </w:rPr>
              <w:t>桂林电子科技大学建筑与交通工程学院结构实验室附属设备基础项目工程总承包</w:t>
            </w:r>
            <w:r>
              <w:rPr>
                <w:rFonts w:hint="eastAsia"/>
                <w:color w:val="auto"/>
                <w:highlight w:val="none"/>
              </w:rPr>
              <w:t>（项目名称）投标文件</w:t>
            </w:r>
          </w:p>
          <w:p>
            <w:pPr>
              <w:spacing w:line="320" w:lineRule="exact"/>
              <w:rPr>
                <w:color w:val="auto"/>
                <w:highlight w:val="none"/>
              </w:rPr>
            </w:pPr>
            <w:r>
              <w:rPr>
                <w:rFonts w:hint="eastAsia"/>
                <w:color w:val="auto"/>
                <w:highlight w:val="none"/>
              </w:rPr>
              <w:t>在2021年</w:t>
            </w:r>
            <w:r>
              <w:rPr>
                <w:rFonts w:hint="eastAsia"/>
                <w:color w:val="auto"/>
                <w:highlight w:val="none"/>
                <w:lang w:val="en-US" w:eastAsia="zh-CN"/>
              </w:rPr>
              <w:t>4</w:t>
            </w:r>
            <w:r>
              <w:rPr>
                <w:color w:val="auto"/>
                <w:highlight w:val="none"/>
              </w:rPr>
              <w:t>月</w:t>
            </w:r>
            <w:r>
              <w:rPr>
                <w:rFonts w:hint="eastAsia"/>
                <w:color w:val="auto"/>
                <w:highlight w:val="none"/>
                <w:lang w:val="en-US" w:eastAsia="zh-CN"/>
              </w:rPr>
              <w:t>20</w:t>
            </w:r>
            <w:r>
              <w:rPr>
                <w:color w:val="auto"/>
                <w:highlight w:val="none"/>
              </w:rPr>
              <w:t>日</w:t>
            </w:r>
            <w:r>
              <w:rPr>
                <w:rFonts w:hint="eastAsia"/>
                <w:color w:val="auto"/>
                <w:highlight w:val="none"/>
                <w:lang w:val="en-US" w:eastAsia="zh-CN"/>
              </w:rPr>
              <w:t>9</w:t>
            </w:r>
            <w:r>
              <w:rPr>
                <w:color w:val="auto"/>
                <w:highlight w:val="none"/>
              </w:rPr>
              <w:t>时</w:t>
            </w:r>
            <w:r>
              <w:rPr>
                <w:rFonts w:hint="eastAsia"/>
                <w:color w:val="auto"/>
                <w:highlight w:val="none"/>
                <w:lang w:val="en-US" w:eastAsia="zh-CN"/>
              </w:rPr>
              <w:t>30</w:t>
            </w:r>
            <w:r>
              <w:rPr>
                <w:color w:val="auto"/>
                <w:highlight w:val="none"/>
              </w:rPr>
              <w:t>分</w:t>
            </w:r>
            <w:r>
              <w:rPr>
                <w:rFonts w:hint="eastAsia"/>
                <w:color w:val="auto"/>
                <w:highlight w:val="none"/>
              </w:rPr>
              <w:t>前不得开启</w:t>
            </w:r>
          </w:p>
          <w:p>
            <w:pPr>
              <w:spacing w:line="320" w:lineRule="exact"/>
              <w:rPr>
                <w:color w:val="auto"/>
                <w:highlight w:val="none"/>
              </w:rPr>
            </w:pPr>
            <w:r>
              <w:rPr>
                <w:rFonts w:hint="eastAsia"/>
                <w:color w:val="auto"/>
                <w:highlight w:val="none"/>
              </w:rPr>
              <w:t xml:space="preserve">投标人地址：               </w:t>
            </w:r>
          </w:p>
          <w:p>
            <w:pPr>
              <w:spacing w:line="320" w:lineRule="exact"/>
              <w:rPr>
                <w:color w:val="auto"/>
                <w:szCs w:val="21"/>
                <w:highlight w:val="none"/>
                <w:u w:val="single"/>
              </w:rPr>
            </w:pPr>
            <w:r>
              <w:rPr>
                <w:rFonts w:hint="eastAsia"/>
                <w:color w:val="auto"/>
                <w:highlight w:val="none"/>
              </w:rPr>
              <w:t xml:space="preserve">投标人名称：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848"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4.2.2</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递交投标文件</w:t>
            </w:r>
          </w:p>
          <w:p>
            <w:pPr>
              <w:spacing w:line="360" w:lineRule="exact"/>
              <w:jc w:val="center"/>
              <w:rPr>
                <w:color w:val="auto"/>
                <w:szCs w:val="21"/>
                <w:highlight w:val="none"/>
              </w:rPr>
            </w:pPr>
            <w:r>
              <w:rPr>
                <w:rFonts w:hint="eastAsia"/>
                <w:color w:val="auto"/>
                <w:szCs w:val="21"/>
                <w:highlight w:val="none"/>
              </w:rPr>
              <w:t>地点</w:t>
            </w:r>
          </w:p>
        </w:tc>
        <w:tc>
          <w:tcPr>
            <w:tcW w:w="6688" w:type="dxa"/>
            <w:noWrap/>
            <w:vAlign w:val="center"/>
          </w:tcPr>
          <w:p>
            <w:pPr>
              <w:spacing w:line="360" w:lineRule="exact"/>
              <w:rPr>
                <w:color w:val="auto"/>
                <w:szCs w:val="21"/>
                <w:highlight w:val="none"/>
                <w:u w:val="single"/>
              </w:rPr>
            </w:pPr>
            <w:r>
              <w:rPr>
                <w:rFonts w:ascii="宋体" w:hAnsi="宋体"/>
                <w:b/>
                <w:color w:val="auto"/>
                <w:highlight w:val="none"/>
              </w:rPr>
              <w:t>桂林市公共资源交易中心（临桂区西城中路69</w:t>
            </w:r>
            <w:r>
              <w:rPr>
                <w:rFonts w:hint="eastAsia" w:ascii="宋体" w:hAnsi="宋体"/>
                <w:b/>
                <w:color w:val="auto"/>
                <w:highlight w:val="none"/>
              </w:rPr>
              <w:t>号</w:t>
            </w:r>
            <w:r>
              <w:rPr>
                <w:rFonts w:ascii="宋体" w:hAnsi="宋体"/>
                <w:b/>
                <w:color w:val="auto"/>
                <w:highlight w:val="none"/>
              </w:rPr>
              <w:t>创业大厦西辅楼）四楼交易大厅</w:t>
            </w:r>
            <w:r>
              <w:rPr>
                <w:rFonts w:hint="eastAsia" w:ascii="宋体" w:hAnsi="宋体"/>
                <w:b/>
                <w:color w:val="auto"/>
                <w:highlight w:val="none"/>
                <w:lang w:val="en-US" w:eastAsia="zh-CN"/>
              </w:rPr>
              <w:t>5</w:t>
            </w:r>
            <w:r>
              <w:rPr>
                <w:rFonts w:ascii="宋体" w:hAnsi="宋体"/>
                <w:b/>
                <w:color w:val="auto"/>
                <w:highlight w:val="none"/>
              </w:rPr>
              <w:t>号开标室。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17"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4.2.3</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是否退还</w:t>
            </w:r>
          </w:p>
          <w:p>
            <w:pPr>
              <w:spacing w:line="320" w:lineRule="exact"/>
              <w:jc w:val="center"/>
              <w:rPr>
                <w:color w:val="auto"/>
                <w:szCs w:val="21"/>
                <w:highlight w:val="none"/>
              </w:rPr>
            </w:pPr>
            <w:r>
              <w:rPr>
                <w:rFonts w:hint="eastAsia"/>
                <w:color w:val="auto"/>
                <w:szCs w:val="21"/>
                <w:highlight w:val="none"/>
              </w:rPr>
              <w:t>投标文件</w:t>
            </w:r>
          </w:p>
        </w:tc>
        <w:tc>
          <w:tcPr>
            <w:tcW w:w="6688" w:type="dxa"/>
            <w:noWrap/>
            <w:vAlign w:val="center"/>
          </w:tcPr>
          <w:p>
            <w:pPr>
              <w:spacing w:line="320" w:lineRule="exact"/>
              <w:rPr>
                <w:rFonts w:hAnsi="宋体"/>
                <w:b/>
                <w:color w:val="auto"/>
                <w:highlight w:val="none"/>
              </w:rPr>
            </w:pPr>
            <w:r>
              <w:rPr>
                <w:rFonts w:hint="eastAsia" w:hAnsi="宋体"/>
                <w:b/>
                <w:color w:val="auto"/>
                <w:highlight w:val="none"/>
              </w:rPr>
              <w:t>☑</w:t>
            </w:r>
            <w:r>
              <w:rPr>
                <w:rFonts w:hint="eastAsia" w:hAnsi="宋体"/>
                <w:color w:val="auto"/>
                <w:highlight w:val="none"/>
              </w:rPr>
              <w:t>否</w:t>
            </w:r>
          </w:p>
          <w:p>
            <w:pPr>
              <w:spacing w:line="320" w:lineRule="exact"/>
              <w:rPr>
                <w:color w:val="auto"/>
                <w:szCs w:val="21"/>
                <w:highlight w:val="none"/>
              </w:rPr>
            </w:pPr>
            <w:r>
              <w:rPr>
                <w:rFonts w:hint="eastAsia" w:ascii="MS Mincho" w:hAnsi="MS Mincho" w:cs="MS Mincho"/>
                <w:b/>
                <w:color w:val="auto"/>
                <w:highlight w:val="none"/>
              </w:rPr>
              <w:t>□</w:t>
            </w:r>
            <w:r>
              <w:rPr>
                <w:rFonts w:hint="eastAsia" w:hAnsi="宋体"/>
                <w:color w:val="auto"/>
                <w:highlight w:val="none"/>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2010"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5.1</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开标时间和地点</w:t>
            </w:r>
          </w:p>
        </w:tc>
        <w:tc>
          <w:tcPr>
            <w:tcW w:w="6688" w:type="dxa"/>
            <w:noWrap/>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开标时间：</w:t>
            </w:r>
            <w:r>
              <w:rPr>
                <w:rFonts w:hint="eastAsia" w:ascii="宋体" w:hAnsi="宋体"/>
                <w:color w:val="auto"/>
                <w:szCs w:val="21"/>
                <w:highlight w:val="none"/>
                <w:u w:val="single"/>
              </w:rPr>
              <w:t>同投标截止时间。</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开标地点：</w:t>
            </w:r>
            <w:r>
              <w:rPr>
                <w:rFonts w:hint="eastAsia" w:ascii="宋体" w:hAnsi="宋体"/>
                <w:color w:val="auto"/>
                <w:szCs w:val="21"/>
                <w:highlight w:val="none"/>
                <w:u w:val="single"/>
              </w:rPr>
              <w:t>同投标文件递交地点。</w:t>
            </w:r>
          </w:p>
          <w:p>
            <w:pPr>
              <w:rPr>
                <w:color w:val="auto"/>
                <w:szCs w:val="21"/>
                <w:highlight w:val="none"/>
                <w:u w:val="single"/>
              </w:rPr>
            </w:pPr>
            <w:r>
              <w:rPr>
                <w:rFonts w:hint="eastAsia" w:ascii="宋体" w:hAnsi="宋体"/>
                <w:b/>
                <w:color w:val="auto"/>
                <w:szCs w:val="21"/>
                <w:highlight w:val="none"/>
              </w:rPr>
              <w:t>签到手续：</w:t>
            </w:r>
            <w:r>
              <w:rPr>
                <w:rFonts w:hint="eastAsia" w:ascii="宋体" w:hAnsi="宋体"/>
                <w:color w:val="auto"/>
                <w:szCs w:val="21"/>
                <w:highlight w:val="none"/>
                <w:u w:val="single"/>
              </w:rPr>
              <w:t>投标人的法定代表人或其委托代理人携带（1）本人身份证原件（2）授权委托书原件；（3）如果为联合体投标的还需提供由联合体各方盖章的联合体协议书</w:t>
            </w:r>
            <w:r>
              <w:rPr>
                <w:rFonts w:hint="eastAsia" w:ascii="宋体" w:hAnsi="宋体"/>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19" w:hRule="atLeast"/>
          <w:jc w:val="center"/>
        </w:trPr>
        <w:tc>
          <w:tcPr>
            <w:tcW w:w="869" w:type="dxa"/>
            <w:noWrap/>
            <w:vAlign w:val="center"/>
          </w:tcPr>
          <w:p>
            <w:pPr>
              <w:spacing w:line="360" w:lineRule="exact"/>
              <w:jc w:val="center"/>
              <w:rPr>
                <w:color w:val="auto"/>
                <w:szCs w:val="21"/>
                <w:highlight w:val="none"/>
              </w:rPr>
            </w:pPr>
            <w:r>
              <w:rPr>
                <w:color w:val="auto"/>
                <w:szCs w:val="21"/>
                <w:highlight w:val="none"/>
              </w:rPr>
              <w:t>5.2</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开标程序</w:t>
            </w:r>
          </w:p>
        </w:tc>
        <w:tc>
          <w:tcPr>
            <w:tcW w:w="6688" w:type="dxa"/>
            <w:noWrap/>
            <w:vAlign w:val="center"/>
          </w:tcPr>
          <w:p>
            <w:pPr>
              <w:rPr>
                <w:color w:val="auto"/>
                <w:highlight w:val="none"/>
              </w:rPr>
            </w:pPr>
            <w:r>
              <w:rPr>
                <w:rFonts w:ascii="宋体" w:hAnsi="宋体"/>
                <w:color w:val="auto"/>
                <w:highlight w:val="none"/>
              </w:rPr>
              <w:t>开标顺序：随机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57"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6.1.1</w:t>
            </w:r>
          </w:p>
        </w:tc>
        <w:tc>
          <w:tcPr>
            <w:tcW w:w="1851" w:type="dxa"/>
            <w:noWrap/>
            <w:vAlign w:val="center"/>
          </w:tcPr>
          <w:p>
            <w:pPr>
              <w:spacing w:line="320" w:lineRule="exact"/>
              <w:jc w:val="center"/>
              <w:rPr>
                <w:color w:val="auto"/>
                <w:szCs w:val="21"/>
                <w:highlight w:val="none"/>
              </w:rPr>
            </w:pPr>
            <w:r>
              <w:rPr>
                <w:rFonts w:hint="eastAsia"/>
                <w:color w:val="auto"/>
                <w:szCs w:val="21"/>
                <w:highlight w:val="none"/>
              </w:rPr>
              <w:t>评标委员会的</w:t>
            </w:r>
          </w:p>
          <w:p>
            <w:pPr>
              <w:spacing w:line="320" w:lineRule="exact"/>
              <w:jc w:val="center"/>
              <w:rPr>
                <w:color w:val="auto"/>
                <w:szCs w:val="21"/>
                <w:highlight w:val="none"/>
              </w:rPr>
            </w:pPr>
            <w:r>
              <w:rPr>
                <w:rFonts w:hint="eastAsia"/>
                <w:color w:val="auto"/>
                <w:szCs w:val="21"/>
                <w:highlight w:val="none"/>
              </w:rPr>
              <w:t>组建</w:t>
            </w:r>
          </w:p>
        </w:tc>
        <w:tc>
          <w:tcPr>
            <w:tcW w:w="6688" w:type="dxa"/>
            <w:noWrap/>
            <w:vAlign w:val="center"/>
          </w:tcPr>
          <w:p>
            <w:pPr>
              <w:spacing w:line="360" w:lineRule="auto"/>
              <w:rPr>
                <w:rFonts w:ascii="宋体" w:hAnsi="宋体"/>
                <w:color w:val="auto"/>
                <w:kern w:val="0"/>
                <w:highlight w:val="none"/>
              </w:rPr>
            </w:pPr>
            <w:r>
              <w:rPr>
                <w:rFonts w:hint="eastAsia" w:ascii="宋体" w:hAnsi="宋体"/>
                <w:b/>
                <w:color w:val="auto"/>
                <w:kern w:val="0"/>
                <w:szCs w:val="21"/>
                <w:highlight w:val="none"/>
              </w:rPr>
              <w:t>评标委员会构成：</w:t>
            </w:r>
            <w:r>
              <w:rPr>
                <w:rFonts w:hint="eastAsia" w:ascii="宋体" w:hAnsi="宋体"/>
                <w:color w:val="auto"/>
                <w:kern w:val="0"/>
                <w:highlight w:val="none"/>
              </w:rPr>
              <w:t>:</w:t>
            </w:r>
            <w:r>
              <w:rPr>
                <w:rFonts w:ascii="宋体" w:hAnsi="宋体"/>
                <w:color w:val="auto"/>
                <w:kern w:val="0"/>
                <w:highlight w:val="none"/>
                <w:u w:val="single"/>
              </w:rPr>
              <w:t>7</w:t>
            </w:r>
            <w:r>
              <w:rPr>
                <w:rFonts w:hint="eastAsia" w:ascii="宋体" w:hAnsi="宋体"/>
                <w:color w:val="auto"/>
                <w:kern w:val="0"/>
                <w:highlight w:val="none"/>
                <w:u w:val="single"/>
              </w:rPr>
              <w:t>人</w:t>
            </w:r>
            <w:r>
              <w:rPr>
                <w:rFonts w:hint="eastAsia" w:ascii="宋体" w:hAnsi="宋体"/>
                <w:color w:val="auto"/>
                <w:kern w:val="0"/>
                <w:szCs w:val="21"/>
                <w:highlight w:val="none"/>
              </w:rPr>
              <w:t>；</w:t>
            </w:r>
            <w:r>
              <w:rPr>
                <w:rFonts w:hint="eastAsia" w:ascii="宋体" w:hAnsi="宋体"/>
                <w:color w:val="auto"/>
                <w:kern w:val="0"/>
                <w:highlight w:val="none"/>
              </w:rPr>
              <w:t>其中，招标人代表</w:t>
            </w:r>
            <w:r>
              <w:rPr>
                <w:rFonts w:ascii="宋体" w:hAnsi="宋体"/>
                <w:color w:val="auto"/>
                <w:kern w:val="0"/>
                <w:highlight w:val="none"/>
                <w:u w:val="single"/>
              </w:rPr>
              <w:t>2</w:t>
            </w:r>
            <w:r>
              <w:rPr>
                <w:rFonts w:hint="eastAsia" w:ascii="宋体" w:hAnsi="宋体"/>
                <w:color w:val="auto"/>
                <w:kern w:val="0"/>
                <w:szCs w:val="21"/>
                <w:highlight w:val="none"/>
              </w:rPr>
              <w:t>人，专家</w:t>
            </w:r>
            <w:r>
              <w:rPr>
                <w:rFonts w:ascii="宋体" w:hAnsi="宋体"/>
                <w:color w:val="auto"/>
                <w:kern w:val="0"/>
                <w:szCs w:val="21"/>
                <w:highlight w:val="none"/>
                <w:u w:val="single"/>
              </w:rPr>
              <w:t>5</w:t>
            </w:r>
            <w:r>
              <w:rPr>
                <w:rFonts w:hint="eastAsia" w:ascii="宋体" w:hAnsi="宋体"/>
                <w:color w:val="auto"/>
                <w:kern w:val="0"/>
                <w:highlight w:val="none"/>
              </w:rPr>
              <w:t>人。</w:t>
            </w:r>
          </w:p>
          <w:p>
            <w:pPr>
              <w:spacing w:line="360" w:lineRule="auto"/>
              <w:rPr>
                <w:rFonts w:ascii="宋体" w:hAnsi="宋体"/>
                <w:color w:val="auto"/>
                <w:highlight w:val="none"/>
              </w:rPr>
            </w:pPr>
            <w:r>
              <w:rPr>
                <w:rFonts w:hint="eastAsia" w:ascii="宋体" w:hAnsi="宋体"/>
                <w:color w:val="auto"/>
                <w:highlight w:val="none"/>
              </w:rPr>
              <w:t>评标专家的分类：分技术、经济类</w:t>
            </w:r>
          </w:p>
          <w:p>
            <w:pPr>
              <w:spacing w:line="360" w:lineRule="auto"/>
              <w:rPr>
                <w:rFonts w:ascii="宋体" w:hAnsi="宋体"/>
                <w:color w:val="auto"/>
                <w:highlight w:val="none"/>
              </w:rPr>
            </w:pPr>
            <w:r>
              <w:rPr>
                <w:rFonts w:hint="eastAsia" w:ascii="宋体" w:hAnsi="宋体"/>
                <w:color w:val="auto"/>
                <w:highlight w:val="none"/>
              </w:rPr>
              <w:t>其中：</w:t>
            </w:r>
          </w:p>
          <w:p>
            <w:pPr>
              <w:pStyle w:val="42"/>
              <w:numPr>
                <w:ilvl w:val="0"/>
                <w:numId w:val="2"/>
              </w:numPr>
              <w:spacing w:line="360" w:lineRule="auto"/>
              <w:ind w:firstLineChars="0"/>
              <w:rPr>
                <w:rFonts w:cs="宋体"/>
                <w:color w:val="auto"/>
                <w:szCs w:val="21"/>
                <w:highlight w:val="none"/>
                <w:lang w:val="zh-CN"/>
              </w:rPr>
            </w:pPr>
            <w:r>
              <w:rPr>
                <w:rFonts w:hint="eastAsia" w:cs="宋体"/>
                <w:color w:val="auto"/>
                <w:szCs w:val="21"/>
                <w:highlight w:val="none"/>
                <w:lang w:val="zh-CN"/>
              </w:rPr>
              <w:t>招标人代表</w:t>
            </w:r>
            <w:r>
              <w:rPr>
                <w:rFonts w:hint="eastAsia" w:cs="宋体"/>
                <w:color w:val="auto"/>
                <w:szCs w:val="21"/>
                <w:highlight w:val="none"/>
              </w:rPr>
              <w:t>施工</w:t>
            </w:r>
            <w:r>
              <w:rPr>
                <w:rFonts w:hint="eastAsia" w:cs="宋体"/>
                <w:color w:val="auto"/>
                <w:szCs w:val="21"/>
                <w:highlight w:val="none"/>
                <w:lang w:val="zh-CN"/>
              </w:rPr>
              <w:t>技术类</w:t>
            </w:r>
            <w:r>
              <w:rPr>
                <w:rFonts w:hint="eastAsia" w:cs="宋体"/>
                <w:color w:val="auto"/>
                <w:szCs w:val="21"/>
                <w:highlight w:val="none"/>
              </w:rPr>
              <w:t>1</w:t>
            </w:r>
            <w:r>
              <w:rPr>
                <w:rFonts w:hint="eastAsia" w:cs="宋体"/>
                <w:color w:val="auto"/>
                <w:szCs w:val="21"/>
                <w:highlight w:val="none"/>
                <w:lang w:val="zh-CN"/>
              </w:rPr>
              <w:t>人、</w:t>
            </w:r>
            <w:r>
              <w:rPr>
                <w:rFonts w:hint="eastAsia" w:cs="宋体"/>
                <w:color w:val="auto"/>
                <w:szCs w:val="21"/>
                <w:highlight w:val="none"/>
              </w:rPr>
              <w:t>设计</w:t>
            </w:r>
            <w:r>
              <w:rPr>
                <w:rFonts w:hint="eastAsia" w:cs="宋体"/>
                <w:color w:val="auto"/>
                <w:szCs w:val="21"/>
                <w:highlight w:val="none"/>
                <w:lang w:val="zh-CN"/>
              </w:rPr>
              <w:t>类</w:t>
            </w:r>
            <w:r>
              <w:rPr>
                <w:rFonts w:cs="宋体"/>
                <w:color w:val="auto"/>
                <w:szCs w:val="21"/>
                <w:highlight w:val="none"/>
              </w:rPr>
              <w:t>1</w:t>
            </w:r>
            <w:r>
              <w:rPr>
                <w:rFonts w:hint="eastAsia" w:cs="宋体"/>
                <w:color w:val="auto"/>
                <w:szCs w:val="21"/>
                <w:highlight w:val="none"/>
                <w:lang w:val="zh-CN"/>
              </w:rPr>
              <w:t>人；</w:t>
            </w:r>
          </w:p>
          <w:p>
            <w:pPr>
              <w:pStyle w:val="42"/>
              <w:numPr>
                <w:ilvl w:val="0"/>
                <w:numId w:val="2"/>
              </w:numPr>
              <w:spacing w:line="360" w:lineRule="auto"/>
              <w:ind w:firstLineChars="0"/>
              <w:rPr>
                <w:rFonts w:ascii="宋体" w:hAnsi="宋体"/>
                <w:color w:val="auto"/>
                <w:highlight w:val="none"/>
              </w:rPr>
            </w:pPr>
            <w:r>
              <w:rPr>
                <w:rFonts w:hint="eastAsia" w:ascii="宋体" w:hAnsi="宋体"/>
                <w:color w:val="auto"/>
                <w:highlight w:val="none"/>
              </w:rPr>
              <w:t>技术类专家</w:t>
            </w:r>
            <w:r>
              <w:rPr>
                <w:rFonts w:ascii="宋体" w:hAnsi="宋体"/>
                <w:color w:val="auto"/>
                <w:highlight w:val="none"/>
              </w:rPr>
              <w:t>5</w:t>
            </w:r>
            <w:r>
              <w:rPr>
                <w:rFonts w:hint="eastAsia" w:ascii="宋体" w:hAnsi="宋体"/>
                <w:color w:val="auto"/>
                <w:highlight w:val="none"/>
              </w:rPr>
              <w:t>人（设计类专家1人，施工技术类专家</w:t>
            </w:r>
            <w:r>
              <w:rPr>
                <w:rFonts w:ascii="宋体" w:hAnsi="宋体"/>
                <w:color w:val="auto"/>
                <w:highlight w:val="none"/>
              </w:rPr>
              <w:t>2</w:t>
            </w:r>
            <w:r>
              <w:rPr>
                <w:rFonts w:hint="eastAsia" w:ascii="宋体" w:hAnsi="宋体"/>
                <w:color w:val="auto"/>
                <w:highlight w:val="none"/>
              </w:rPr>
              <w:t>人）、经济类专家2人。</w:t>
            </w:r>
          </w:p>
          <w:p>
            <w:pPr>
              <w:rPr>
                <w:b/>
                <w:color w:val="auto"/>
                <w:szCs w:val="21"/>
                <w:highlight w:val="none"/>
                <w:u w:val="single"/>
              </w:rPr>
            </w:pPr>
            <w:r>
              <w:rPr>
                <w:rFonts w:hint="eastAsia" w:ascii="宋体" w:hAnsi="宋体"/>
                <w:color w:val="auto"/>
                <w:highlight w:val="none"/>
              </w:rPr>
              <w:t>评标专家确定方式：</w:t>
            </w:r>
            <w:r>
              <w:rPr>
                <w:rFonts w:ascii="宋体" w:hAnsi="宋体"/>
                <w:color w:val="auto"/>
                <w:highlight w:val="none"/>
              </w:rPr>
              <w:t>开标前从</w:t>
            </w:r>
            <w:r>
              <w:rPr>
                <w:rFonts w:hint="eastAsia" w:ascii="宋体" w:hAnsi="宋体"/>
                <w:color w:val="auto"/>
                <w:highlight w:val="none"/>
              </w:rPr>
              <w:t>广西政采云专家库中抽取。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57"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6.5</w:t>
            </w:r>
          </w:p>
        </w:tc>
        <w:tc>
          <w:tcPr>
            <w:tcW w:w="1851" w:type="dxa"/>
            <w:noWrap/>
            <w:vAlign w:val="center"/>
          </w:tcPr>
          <w:p>
            <w:pPr>
              <w:spacing w:line="320" w:lineRule="exact"/>
              <w:jc w:val="center"/>
              <w:rPr>
                <w:color w:val="auto"/>
                <w:szCs w:val="21"/>
                <w:highlight w:val="none"/>
              </w:rPr>
            </w:pPr>
            <w:r>
              <w:rPr>
                <w:color w:val="auto"/>
                <w:highlight w:val="none"/>
              </w:rPr>
              <w:t>评标资料封存方式</w:t>
            </w:r>
          </w:p>
        </w:tc>
        <w:tc>
          <w:tcPr>
            <w:tcW w:w="6688" w:type="dxa"/>
            <w:noWrap/>
            <w:vAlign w:val="center"/>
          </w:tcPr>
          <w:p>
            <w:pPr>
              <w:spacing w:line="360" w:lineRule="auto"/>
              <w:rPr>
                <w:color w:val="auto"/>
                <w:highlight w:val="none"/>
              </w:rPr>
            </w:pPr>
            <w:r>
              <w:rPr>
                <w:rFonts w:hint="eastAsia"/>
                <w:color w:val="auto"/>
                <w:highlight w:val="none"/>
              </w:rPr>
              <w:t>☑</w:t>
            </w:r>
            <w:r>
              <w:rPr>
                <w:color w:val="auto"/>
                <w:highlight w:val="none"/>
              </w:rPr>
              <w:t>在</w:t>
            </w:r>
            <w:r>
              <w:rPr>
                <w:rFonts w:hint="eastAsia"/>
                <w:color w:val="auto"/>
                <w:highlight w:val="none"/>
              </w:rPr>
              <w:t>交易中心</w:t>
            </w:r>
            <w:r>
              <w:rPr>
                <w:color w:val="auto"/>
                <w:highlight w:val="none"/>
              </w:rPr>
              <w:t>封存</w:t>
            </w:r>
          </w:p>
          <w:p>
            <w:pPr>
              <w:spacing w:line="320" w:lineRule="exact"/>
              <w:rPr>
                <w:b/>
                <w:color w:val="auto"/>
                <w:szCs w:val="21"/>
                <w:highlight w:val="none"/>
              </w:rPr>
            </w:pPr>
            <w:r>
              <w:rPr>
                <w:rFonts w:hint="eastAsia"/>
                <w:color w:val="auto"/>
                <w:highlight w:val="none"/>
              </w:rPr>
              <w:t>□当地招投标监督管理部门封存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57"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6.5.1（3）</w:t>
            </w:r>
          </w:p>
        </w:tc>
        <w:tc>
          <w:tcPr>
            <w:tcW w:w="1851" w:type="dxa"/>
            <w:noWrap/>
            <w:vAlign w:val="center"/>
          </w:tcPr>
          <w:p>
            <w:pPr>
              <w:spacing w:line="320" w:lineRule="exact"/>
              <w:jc w:val="center"/>
              <w:rPr>
                <w:color w:val="auto"/>
                <w:szCs w:val="21"/>
                <w:highlight w:val="none"/>
              </w:rPr>
            </w:pPr>
            <w:r>
              <w:rPr>
                <w:color w:val="auto"/>
                <w:highlight w:val="none"/>
              </w:rPr>
              <w:t>封存的其它材料</w:t>
            </w:r>
          </w:p>
        </w:tc>
        <w:tc>
          <w:tcPr>
            <w:tcW w:w="6688" w:type="dxa"/>
            <w:noWrap/>
            <w:vAlign w:val="center"/>
          </w:tcPr>
          <w:p>
            <w:pPr>
              <w:spacing w:line="320" w:lineRule="exact"/>
              <w:rPr>
                <w:b/>
                <w:color w:val="auto"/>
                <w:szCs w:val="21"/>
                <w:highlight w:val="none"/>
              </w:rPr>
            </w:pPr>
            <w:r>
              <w:rPr>
                <w:rFonts w:hint="eastAsia"/>
                <w:b/>
                <w:color w:val="auto"/>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245" w:hRule="atLeast"/>
          <w:jc w:val="center"/>
        </w:trPr>
        <w:tc>
          <w:tcPr>
            <w:tcW w:w="869" w:type="dxa"/>
            <w:tcBorders>
              <w:bottom w:val="single" w:color="auto" w:sz="4" w:space="0"/>
            </w:tcBorders>
            <w:noWrap/>
            <w:vAlign w:val="center"/>
          </w:tcPr>
          <w:p>
            <w:pPr>
              <w:spacing w:line="360" w:lineRule="auto"/>
              <w:jc w:val="center"/>
              <w:rPr>
                <w:color w:val="auto"/>
                <w:szCs w:val="21"/>
                <w:highlight w:val="none"/>
              </w:rPr>
            </w:pPr>
            <w:r>
              <w:rPr>
                <w:rFonts w:hint="eastAsia"/>
                <w:color w:val="auto"/>
                <w:szCs w:val="21"/>
                <w:highlight w:val="none"/>
              </w:rPr>
              <w:t>7.1</w:t>
            </w:r>
          </w:p>
        </w:tc>
        <w:tc>
          <w:tcPr>
            <w:tcW w:w="1851" w:type="dxa"/>
            <w:tcBorders>
              <w:bottom w:val="single" w:color="auto" w:sz="4" w:space="0"/>
            </w:tcBorders>
            <w:noWrap/>
            <w:vAlign w:val="center"/>
          </w:tcPr>
          <w:p>
            <w:pPr>
              <w:spacing w:line="320" w:lineRule="exact"/>
              <w:jc w:val="center"/>
              <w:rPr>
                <w:color w:val="auto"/>
                <w:szCs w:val="21"/>
                <w:highlight w:val="none"/>
              </w:rPr>
            </w:pPr>
            <w:r>
              <w:rPr>
                <w:rFonts w:hint="eastAsia"/>
                <w:color w:val="auto"/>
                <w:szCs w:val="21"/>
                <w:highlight w:val="none"/>
              </w:rPr>
              <w:t>是否授权评标委员会确定中标人</w:t>
            </w:r>
          </w:p>
        </w:tc>
        <w:tc>
          <w:tcPr>
            <w:tcW w:w="6688" w:type="dxa"/>
            <w:tcBorders>
              <w:bottom w:val="single" w:color="auto" w:sz="4" w:space="0"/>
            </w:tcBorders>
            <w:noWrap/>
            <w:vAlign w:val="center"/>
          </w:tcPr>
          <w:p>
            <w:pPr>
              <w:spacing w:line="320" w:lineRule="exact"/>
              <w:rPr>
                <w:color w:val="auto"/>
                <w:szCs w:val="21"/>
                <w:highlight w:val="none"/>
              </w:rPr>
            </w:pPr>
            <w:r>
              <w:rPr>
                <w:rFonts w:hint="eastAsia" w:hAnsi="宋体"/>
                <w:b/>
                <w:color w:val="auto"/>
                <w:highlight w:val="none"/>
              </w:rPr>
              <w:t>□</w:t>
            </w:r>
            <w:r>
              <w:rPr>
                <w:rFonts w:hint="eastAsia" w:hAnsi="宋体"/>
                <w:color w:val="auto"/>
                <w:highlight w:val="none"/>
              </w:rPr>
              <w:t>是</w:t>
            </w:r>
          </w:p>
          <w:p>
            <w:pPr>
              <w:spacing w:line="320" w:lineRule="exact"/>
              <w:rPr>
                <w:color w:val="auto"/>
                <w:szCs w:val="21"/>
                <w:highlight w:val="none"/>
              </w:rPr>
            </w:pPr>
            <w:r>
              <w:rPr>
                <w:rFonts w:hint="eastAsia" w:hAnsi="宋体"/>
                <w:b/>
                <w:color w:val="auto"/>
                <w:highlight w:val="none"/>
              </w:rPr>
              <w:t>☑</w:t>
            </w:r>
            <w:r>
              <w:rPr>
                <w:rFonts w:hint="eastAsia"/>
                <w:color w:val="auto"/>
                <w:szCs w:val="21"/>
                <w:highlight w:val="none"/>
              </w:rPr>
              <w:t>否，推荐的中标候选人数</w:t>
            </w:r>
            <w:r>
              <w:rPr>
                <w:rFonts w:hint="eastAsia"/>
                <w:color w:val="auto"/>
                <w:szCs w:val="21"/>
                <w:highlight w:val="none"/>
                <w:u w:val="single"/>
              </w:rPr>
              <w:t xml:space="preserve">3名 </w:t>
            </w:r>
            <w:r>
              <w:rPr>
                <w:rFonts w:hint="eastAsia"/>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2779" w:hRule="atLeast"/>
          <w:jc w:val="center"/>
        </w:trPr>
        <w:tc>
          <w:tcPr>
            <w:tcW w:w="869" w:type="dxa"/>
            <w:noWrap/>
            <w:vAlign w:val="center"/>
          </w:tcPr>
          <w:p>
            <w:pPr>
              <w:spacing w:line="360" w:lineRule="exact"/>
              <w:jc w:val="center"/>
              <w:rPr>
                <w:color w:val="auto"/>
                <w:szCs w:val="21"/>
                <w:highlight w:val="none"/>
              </w:rPr>
            </w:pPr>
            <w:r>
              <w:rPr>
                <w:color w:val="auto"/>
                <w:szCs w:val="21"/>
                <w:highlight w:val="none"/>
              </w:rPr>
              <w:t>7.</w:t>
            </w:r>
            <w:r>
              <w:rPr>
                <w:rFonts w:hint="eastAsia"/>
                <w:color w:val="auto"/>
                <w:szCs w:val="21"/>
                <w:highlight w:val="none"/>
              </w:rPr>
              <w:t>3</w:t>
            </w:r>
            <w:r>
              <w:rPr>
                <w:color w:val="auto"/>
                <w:szCs w:val="21"/>
                <w:highlight w:val="none"/>
              </w:rPr>
              <w:t>.1</w:t>
            </w:r>
          </w:p>
        </w:tc>
        <w:tc>
          <w:tcPr>
            <w:tcW w:w="1851" w:type="dxa"/>
            <w:noWrap/>
            <w:vAlign w:val="center"/>
          </w:tcPr>
          <w:p>
            <w:pPr>
              <w:spacing w:line="360" w:lineRule="exact"/>
              <w:jc w:val="center"/>
              <w:rPr>
                <w:color w:val="auto"/>
                <w:szCs w:val="21"/>
                <w:highlight w:val="none"/>
              </w:rPr>
            </w:pPr>
            <w:r>
              <w:rPr>
                <w:rFonts w:hint="eastAsia"/>
                <w:color w:val="auto"/>
                <w:szCs w:val="21"/>
                <w:highlight w:val="none"/>
              </w:rPr>
              <w:t>履约保证金</w:t>
            </w:r>
          </w:p>
        </w:tc>
        <w:tc>
          <w:tcPr>
            <w:tcW w:w="6688" w:type="dxa"/>
            <w:tcBorders>
              <w:bottom w:val="single" w:color="auto" w:sz="4" w:space="0"/>
            </w:tcBorders>
            <w:noWrap/>
            <w:vAlign w:val="center"/>
          </w:tcPr>
          <w:p>
            <w:pPr>
              <w:spacing w:line="360" w:lineRule="exact"/>
              <w:rPr>
                <w:color w:val="auto"/>
                <w:szCs w:val="21"/>
                <w:highlight w:val="none"/>
              </w:rPr>
            </w:pPr>
            <w:r>
              <w:rPr>
                <w:rFonts w:hint="eastAsia"/>
                <w:color w:val="auto"/>
                <w:highlight w:val="none"/>
              </w:rPr>
              <w:t>☑</w:t>
            </w:r>
            <w:r>
              <w:rPr>
                <w:color w:val="auto"/>
                <w:highlight w:val="none"/>
              </w:rPr>
              <w:t>是</w:t>
            </w:r>
            <w:r>
              <w:rPr>
                <w:rFonts w:hint="eastAsia"/>
                <w:color w:val="auto"/>
                <w:szCs w:val="21"/>
                <w:highlight w:val="none"/>
              </w:rPr>
              <w:t>履约保证金的金额：</w:t>
            </w:r>
            <w:r>
              <w:rPr>
                <w:rFonts w:hint="eastAsia"/>
                <w:color w:val="auto"/>
                <w:szCs w:val="21"/>
                <w:highlight w:val="none"/>
                <w:u w:val="single"/>
              </w:rPr>
              <w:t>合同价款扣除发包人材料价款、暂估专业工程、暂列金额后的</w:t>
            </w:r>
            <w:r>
              <w:rPr>
                <w:rFonts w:ascii="宋体" w:hAnsi="宋体"/>
                <w:color w:val="auto"/>
                <w:highlight w:val="none"/>
                <w:u w:val="single"/>
              </w:rPr>
              <w:t>5</w:t>
            </w:r>
            <w:r>
              <w:rPr>
                <w:rFonts w:hint="eastAsia" w:ascii="宋体" w:hAnsi="宋体"/>
                <w:color w:val="auto"/>
                <w:szCs w:val="21"/>
                <w:highlight w:val="none"/>
                <w:u w:val="single"/>
              </w:rPr>
              <w:t>%</w:t>
            </w:r>
            <w:r>
              <w:rPr>
                <w:rFonts w:eastAsia="楷体_GB2312"/>
                <w:color w:val="auto"/>
                <w:szCs w:val="21"/>
                <w:highlight w:val="none"/>
              </w:rPr>
              <w:t>【</w:t>
            </w:r>
            <w:r>
              <w:rPr>
                <w:rFonts w:eastAsia="楷体_GB2312"/>
                <w:color w:val="auto"/>
                <w:highlight w:val="none"/>
              </w:rPr>
              <w:t>备注：上限为合同价款扣除发包人材料价款、暂估专业工程、暂列金额后的</w:t>
            </w:r>
            <w:r>
              <w:rPr>
                <w:rFonts w:hint="eastAsia" w:eastAsia="楷体_GB2312"/>
                <w:color w:val="auto"/>
                <w:highlight w:val="none"/>
              </w:rPr>
              <w:t>5</w:t>
            </w:r>
            <w:r>
              <w:rPr>
                <w:rFonts w:eastAsia="楷体_GB2312"/>
                <w:color w:val="auto"/>
                <w:highlight w:val="none"/>
              </w:rPr>
              <w:t>%</w:t>
            </w:r>
            <w:r>
              <w:rPr>
                <w:rFonts w:eastAsia="楷体_GB2312"/>
                <w:color w:val="auto"/>
                <w:szCs w:val="21"/>
                <w:highlight w:val="none"/>
              </w:rPr>
              <w:t>】</w:t>
            </w:r>
            <w:r>
              <w:rPr>
                <w:rFonts w:hint="eastAsia"/>
                <w:color w:val="auto"/>
                <w:szCs w:val="21"/>
                <w:highlight w:val="none"/>
              </w:rPr>
              <w:t>。</w:t>
            </w:r>
          </w:p>
          <w:p>
            <w:pPr>
              <w:spacing w:line="360" w:lineRule="auto"/>
              <w:rPr>
                <w:rFonts w:eastAsia="楷体_GB2312"/>
                <w:b/>
                <w:color w:val="auto"/>
                <w:highlight w:val="none"/>
              </w:rPr>
            </w:pPr>
            <w:r>
              <w:rPr>
                <w:rFonts w:hint="eastAsia"/>
                <w:color w:val="auto"/>
                <w:szCs w:val="21"/>
                <w:highlight w:val="none"/>
              </w:rPr>
              <w:t>履约保证金的形式：</w:t>
            </w:r>
            <w:r>
              <w:rPr>
                <w:rFonts w:hint="eastAsia"/>
                <w:color w:val="auto"/>
                <w:highlight w:val="none"/>
              </w:rPr>
              <w:t>可以银行保函、现金、工程担保或保证保险等形式</w:t>
            </w:r>
            <w:r>
              <w:rPr>
                <w:rFonts w:eastAsia="楷体_GB2312"/>
                <w:color w:val="auto"/>
                <w:szCs w:val="21"/>
                <w:highlight w:val="none"/>
              </w:rPr>
              <w:t>【</w:t>
            </w:r>
            <w:r>
              <w:rPr>
                <w:rFonts w:eastAsia="楷体_GB2312"/>
                <w:color w:val="auto"/>
                <w:highlight w:val="none"/>
              </w:rPr>
              <w:t>备注：</w:t>
            </w:r>
            <w:r>
              <w:rPr>
                <w:rFonts w:hint="eastAsia" w:eastAsia="楷体_GB2312"/>
                <w:color w:val="auto"/>
                <w:highlight w:val="none"/>
              </w:rPr>
              <w:t>严禁要求中标人只能以现金方式提交保证金的行为</w:t>
            </w:r>
            <w:r>
              <w:rPr>
                <w:rFonts w:eastAsia="楷体_GB2312"/>
                <w:color w:val="auto"/>
                <w:szCs w:val="21"/>
                <w:highlight w:val="none"/>
              </w:rPr>
              <w:t>】</w:t>
            </w:r>
          </w:p>
          <w:p>
            <w:pPr>
              <w:spacing w:line="360" w:lineRule="exact"/>
              <w:rPr>
                <w:color w:val="auto"/>
                <w:szCs w:val="21"/>
                <w:highlight w:val="none"/>
              </w:rPr>
            </w:pPr>
            <w:r>
              <w:rPr>
                <w:rFonts w:hint="eastAsia"/>
                <w:color w:val="auto"/>
                <w:szCs w:val="21"/>
                <w:highlight w:val="none"/>
              </w:rPr>
              <w:t>履约保证金的缴纳方式：</w:t>
            </w:r>
            <w:r>
              <w:rPr>
                <w:rFonts w:hint="eastAsia"/>
                <w:color w:val="auto"/>
                <w:highlight w:val="none"/>
              </w:rPr>
              <w:t>在收到中标通知书后，中标人须在</w:t>
            </w:r>
            <w:r>
              <w:rPr>
                <w:color w:val="auto"/>
                <w:highlight w:val="none"/>
                <w:u w:val="single"/>
              </w:rPr>
              <w:t>签订合同前</w:t>
            </w:r>
            <w:r>
              <w:rPr>
                <w:rFonts w:hint="eastAsia"/>
                <w:color w:val="auto"/>
                <w:highlight w:val="none"/>
              </w:rPr>
              <w:t>向招标人提交履约保证金，否则招标人将取消其中标资格。</w:t>
            </w:r>
            <w:r>
              <w:rPr>
                <w:color w:val="auto"/>
                <w:szCs w:val="21"/>
                <w:highlight w:val="none"/>
              </w:rPr>
              <w:t>履约</w:t>
            </w:r>
            <w:r>
              <w:rPr>
                <w:rFonts w:hint="eastAsia"/>
                <w:color w:val="auto"/>
                <w:szCs w:val="21"/>
                <w:highlight w:val="none"/>
              </w:rPr>
              <w:t>保证金的有效期必须涵盖工程</w:t>
            </w:r>
            <w:r>
              <w:rPr>
                <w:color w:val="auto"/>
                <w:szCs w:val="21"/>
                <w:highlight w:val="none"/>
              </w:rPr>
              <w:t>竣工验收合格</w:t>
            </w:r>
            <w:r>
              <w:rPr>
                <w:rFonts w:hint="eastAsia"/>
                <w:color w:val="auto"/>
                <w:szCs w:val="21"/>
                <w:highlight w:val="none"/>
              </w:rPr>
              <w:t>且完成验收整改后、承包人向发包人移交竣工资料手续的时间段。</w:t>
            </w:r>
          </w:p>
          <w:p>
            <w:pPr>
              <w:spacing w:line="360" w:lineRule="exact"/>
              <w:ind w:firstLine="420" w:firstLineChars="200"/>
              <w:rPr>
                <w:color w:val="auto"/>
                <w:szCs w:val="21"/>
                <w:highlight w:val="none"/>
              </w:rPr>
            </w:pPr>
            <w:r>
              <w:rPr>
                <w:rFonts w:hint="eastAsia"/>
                <w:color w:val="auto"/>
                <w:szCs w:val="21"/>
                <w:highlight w:val="none"/>
              </w:rPr>
              <w:t>联合体中标的，其履约保证金由联合体任一方提交。</w:t>
            </w:r>
          </w:p>
          <w:p>
            <w:pPr>
              <w:spacing w:line="360" w:lineRule="exact"/>
              <w:rPr>
                <w:color w:val="auto"/>
                <w:szCs w:val="21"/>
                <w:highlight w:val="none"/>
              </w:rPr>
            </w:pPr>
            <w:r>
              <w:rPr>
                <w:rFonts w:hint="eastAsia"/>
                <w:color w:val="auto"/>
                <w:highlight w:val="none"/>
              </w:rPr>
              <w:t>□</w:t>
            </w:r>
            <w:r>
              <w:rPr>
                <w:color w:val="auto"/>
                <w:highlight w:val="none"/>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865"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8.1</w:t>
            </w:r>
          </w:p>
        </w:tc>
        <w:tc>
          <w:tcPr>
            <w:tcW w:w="1851" w:type="dxa"/>
            <w:noWrap/>
            <w:vAlign w:val="center"/>
          </w:tcPr>
          <w:p>
            <w:pPr>
              <w:spacing w:line="360" w:lineRule="exact"/>
              <w:rPr>
                <w:color w:val="auto"/>
                <w:szCs w:val="21"/>
                <w:highlight w:val="none"/>
              </w:rPr>
            </w:pPr>
            <w:r>
              <w:rPr>
                <w:rFonts w:hint="eastAsia"/>
                <w:color w:val="auto"/>
                <w:szCs w:val="21"/>
                <w:highlight w:val="none"/>
              </w:rPr>
              <w:t>中标人信息查询</w:t>
            </w:r>
          </w:p>
        </w:tc>
        <w:tc>
          <w:tcPr>
            <w:tcW w:w="6688" w:type="dxa"/>
            <w:tcBorders>
              <w:bottom w:val="single" w:color="auto" w:sz="4" w:space="0"/>
            </w:tcBorders>
            <w:noWrap/>
            <w:vAlign w:val="center"/>
          </w:tcPr>
          <w:p>
            <w:pPr>
              <w:spacing w:line="360" w:lineRule="exact"/>
              <w:rPr>
                <w:color w:val="auto"/>
                <w:szCs w:val="21"/>
                <w:highlight w:val="none"/>
              </w:rPr>
            </w:pPr>
            <w:r>
              <w:rPr>
                <w:rFonts w:hint="eastAsia" w:ascii="宋体" w:hAnsi="宋体" w:cs="宋体"/>
                <w:color w:val="auto"/>
                <w:kern w:val="0"/>
                <w:sz w:val="20"/>
                <w:szCs w:val="20"/>
                <w:highlight w:val="none"/>
                <w:lang w:bidi="ar"/>
              </w:rPr>
              <w:t>根</w:t>
            </w:r>
            <w:r>
              <w:rPr>
                <w:rFonts w:hint="eastAsia"/>
                <w:color w:val="auto"/>
                <w:szCs w:val="21"/>
                <w:highlight w:val="none"/>
              </w:rPr>
              <w:t xml:space="preserve">据《关于做好政府采购有关信用主体标识码登记及在政府采购活动 </w:t>
            </w:r>
          </w:p>
          <w:p>
            <w:pPr>
              <w:spacing w:line="360" w:lineRule="exact"/>
              <w:rPr>
                <w:color w:val="auto"/>
                <w:szCs w:val="21"/>
                <w:highlight w:val="none"/>
              </w:rPr>
            </w:pPr>
            <w:r>
              <w:rPr>
                <w:rFonts w:hint="eastAsia"/>
                <w:color w:val="auto"/>
                <w:szCs w:val="21"/>
                <w:highlight w:val="none"/>
              </w:rPr>
              <w:t xml:space="preserve">中查询使用信用记录有关问题的通知》桂财采〔2016〕37号的通知， </w:t>
            </w:r>
          </w:p>
          <w:p>
            <w:pPr>
              <w:spacing w:line="360" w:lineRule="exact"/>
              <w:rPr>
                <w:color w:val="auto"/>
                <w:szCs w:val="21"/>
                <w:highlight w:val="none"/>
              </w:rPr>
            </w:pPr>
            <w:r>
              <w:rPr>
                <w:rFonts w:hint="eastAsia"/>
                <w:color w:val="auto"/>
                <w:szCs w:val="21"/>
                <w:highlight w:val="none"/>
              </w:rPr>
              <w:t xml:space="preserve">采购代理机构对中标人进行信用查询： </w:t>
            </w:r>
          </w:p>
          <w:p>
            <w:pPr>
              <w:spacing w:line="360" w:lineRule="exact"/>
              <w:rPr>
                <w:color w:val="auto"/>
                <w:szCs w:val="21"/>
                <w:highlight w:val="none"/>
              </w:rPr>
            </w:pPr>
            <w:r>
              <w:rPr>
                <w:rFonts w:hint="eastAsia"/>
                <w:color w:val="auto"/>
                <w:szCs w:val="21"/>
                <w:highlight w:val="none"/>
              </w:rPr>
              <w:t xml:space="preserve">（1）查询渠道：“信用中国”网站(www.creditchina.gov.cn)、中 </w:t>
            </w:r>
          </w:p>
          <w:p>
            <w:pPr>
              <w:spacing w:line="360" w:lineRule="exact"/>
              <w:rPr>
                <w:color w:val="auto"/>
                <w:szCs w:val="21"/>
                <w:highlight w:val="none"/>
              </w:rPr>
            </w:pPr>
            <w:r>
              <w:rPr>
                <w:rFonts w:hint="eastAsia"/>
                <w:color w:val="auto"/>
                <w:szCs w:val="21"/>
                <w:highlight w:val="none"/>
              </w:rPr>
              <w:t xml:space="preserve">国政府采购网(www.ccgp.gov.cn)等； </w:t>
            </w:r>
          </w:p>
          <w:p>
            <w:pPr>
              <w:spacing w:line="360" w:lineRule="exact"/>
              <w:rPr>
                <w:color w:val="auto"/>
                <w:szCs w:val="21"/>
                <w:highlight w:val="none"/>
              </w:rPr>
            </w:pPr>
            <w:r>
              <w:rPr>
                <w:rFonts w:hint="eastAsia"/>
                <w:color w:val="auto"/>
                <w:szCs w:val="21"/>
                <w:highlight w:val="none"/>
              </w:rPr>
              <w:t xml:space="preserve">（2）查询截止时点：中标通知书发出前； </w:t>
            </w:r>
          </w:p>
          <w:p>
            <w:pPr>
              <w:spacing w:line="360" w:lineRule="exact"/>
              <w:rPr>
                <w:color w:val="auto"/>
                <w:szCs w:val="21"/>
                <w:highlight w:val="none"/>
              </w:rPr>
            </w:pPr>
            <w:r>
              <w:rPr>
                <w:rFonts w:hint="eastAsia"/>
                <w:color w:val="auto"/>
                <w:szCs w:val="21"/>
                <w:highlight w:val="none"/>
              </w:rPr>
              <w:t xml:space="preserve">（3）信用信息查询记录和证据留存方式：在查询网站中直接打印查 </w:t>
            </w:r>
          </w:p>
          <w:p>
            <w:pPr>
              <w:spacing w:line="360" w:lineRule="exact"/>
              <w:rPr>
                <w:color w:val="auto"/>
                <w:szCs w:val="21"/>
                <w:highlight w:val="none"/>
              </w:rPr>
            </w:pPr>
            <w:r>
              <w:rPr>
                <w:rFonts w:hint="eastAsia"/>
                <w:color w:val="auto"/>
                <w:szCs w:val="21"/>
                <w:highlight w:val="none"/>
              </w:rPr>
              <w:t xml:space="preserve">询记录，打印材料作为采购活动资料保存。 </w:t>
            </w:r>
          </w:p>
          <w:p>
            <w:pPr>
              <w:spacing w:line="360" w:lineRule="exact"/>
              <w:rPr>
                <w:color w:val="auto"/>
                <w:szCs w:val="21"/>
                <w:highlight w:val="none"/>
              </w:rPr>
            </w:pPr>
            <w:r>
              <w:rPr>
                <w:rFonts w:hint="eastAsia"/>
                <w:color w:val="auto"/>
                <w:szCs w:val="21"/>
                <w:highlight w:val="none"/>
              </w:rPr>
              <w:t xml:space="preserve">（4）信用信息使用规则：对在“信用中国”网站 </w:t>
            </w:r>
          </w:p>
          <w:p>
            <w:pPr>
              <w:spacing w:line="360" w:lineRule="exact"/>
              <w:rPr>
                <w:color w:val="auto"/>
                <w:szCs w:val="21"/>
                <w:highlight w:val="none"/>
              </w:rPr>
            </w:pPr>
            <w:r>
              <w:rPr>
                <w:rFonts w:hint="eastAsia"/>
                <w:color w:val="auto"/>
                <w:szCs w:val="21"/>
                <w:highlight w:val="none"/>
              </w:rPr>
              <w:t xml:space="preserve">(www.creditchina.gov.cn)、中国政府采购网(www.ccgp.gov.cn)等 </w:t>
            </w:r>
          </w:p>
          <w:p>
            <w:pPr>
              <w:spacing w:line="360" w:lineRule="exact"/>
              <w:rPr>
                <w:color w:val="auto"/>
                <w:szCs w:val="21"/>
                <w:highlight w:val="none"/>
              </w:rPr>
            </w:pPr>
            <w:r>
              <w:rPr>
                <w:rFonts w:hint="eastAsia"/>
                <w:color w:val="auto"/>
                <w:szCs w:val="21"/>
                <w:highlight w:val="none"/>
              </w:rPr>
              <w:t xml:space="preserve">渠道列入失信被执行人、重大税收违法案件当事人名单、政府采购严 </w:t>
            </w:r>
          </w:p>
          <w:p>
            <w:pPr>
              <w:spacing w:line="360" w:lineRule="exact"/>
              <w:rPr>
                <w:color w:val="auto"/>
                <w:szCs w:val="21"/>
                <w:highlight w:val="none"/>
              </w:rPr>
            </w:pPr>
            <w:r>
              <w:rPr>
                <w:rFonts w:hint="eastAsia"/>
                <w:color w:val="auto"/>
                <w:szCs w:val="21"/>
                <w:highlight w:val="none"/>
              </w:rPr>
              <w:t xml:space="preserve">重违法失信行为记录名单及其他不符合《中华人民共和国政府采购 </w:t>
            </w:r>
          </w:p>
          <w:p>
            <w:pPr>
              <w:spacing w:line="360" w:lineRule="exact"/>
              <w:rPr>
                <w:color w:val="auto"/>
                <w:szCs w:val="21"/>
                <w:highlight w:val="none"/>
              </w:rPr>
            </w:pPr>
            <w:r>
              <w:rPr>
                <w:rFonts w:hint="eastAsia"/>
                <w:color w:val="auto"/>
                <w:szCs w:val="21"/>
                <w:highlight w:val="none"/>
              </w:rPr>
              <w:t xml:space="preserve">法》第二十二条规定条件的供应商，不得参与政府采购活动，取消其 </w:t>
            </w:r>
          </w:p>
          <w:p>
            <w:pPr>
              <w:spacing w:line="360" w:lineRule="exact"/>
              <w:rPr>
                <w:color w:val="auto"/>
                <w:szCs w:val="21"/>
                <w:highlight w:val="none"/>
              </w:rPr>
            </w:pPr>
            <w:r>
              <w:rPr>
                <w:rFonts w:hint="eastAsia"/>
                <w:color w:val="auto"/>
                <w:szCs w:val="21"/>
                <w:highlight w:val="none"/>
              </w:rPr>
              <w:t xml:space="preserve">中标候选人资格。采购人依法按照评标报告中评标委员会推荐中标候 </w:t>
            </w:r>
          </w:p>
          <w:p>
            <w:pPr>
              <w:spacing w:line="360" w:lineRule="exact"/>
              <w:rPr>
                <w:color w:val="auto"/>
                <w:szCs w:val="21"/>
                <w:highlight w:val="none"/>
              </w:rPr>
            </w:pPr>
            <w:r>
              <w:rPr>
                <w:rFonts w:hint="eastAsia"/>
                <w:color w:val="auto"/>
                <w:szCs w:val="21"/>
                <w:highlight w:val="none"/>
              </w:rPr>
              <w:t xml:space="preserve">选人排序表确定排名第二的中标候选人为中标供应商或者重新组织 </w:t>
            </w:r>
          </w:p>
          <w:p>
            <w:pPr>
              <w:spacing w:line="360" w:lineRule="exact"/>
              <w:rPr>
                <w:color w:val="auto"/>
                <w:highlight w:val="none"/>
              </w:rPr>
            </w:pPr>
            <w:r>
              <w:rPr>
                <w:rFonts w:hint="eastAsia"/>
                <w:color w:val="auto"/>
                <w:szCs w:val="21"/>
                <w:highlight w:val="none"/>
              </w:rPr>
              <w:t>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10</w:t>
            </w:r>
          </w:p>
        </w:tc>
        <w:tc>
          <w:tcPr>
            <w:tcW w:w="8539" w:type="dxa"/>
            <w:gridSpan w:val="2"/>
            <w:noWrap/>
            <w:vAlign w:val="center"/>
          </w:tcPr>
          <w:p>
            <w:pPr>
              <w:spacing w:line="360" w:lineRule="exact"/>
              <w:rPr>
                <w:color w:val="auto"/>
                <w:highlight w:val="none"/>
              </w:rPr>
            </w:pPr>
            <w:r>
              <w:rPr>
                <w:rFonts w:hint="eastAsia"/>
                <w:color w:val="auto"/>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10.1</w:t>
            </w:r>
          </w:p>
        </w:tc>
        <w:tc>
          <w:tcPr>
            <w:tcW w:w="1851" w:type="dxa"/>
            <w:noWrap/>
            <w:vAlign w:val="center"/>
          </w:tcPr>
          <w:p>
            <w:pPr>
              <w:spacing w:line="360" w:lineRule="exact"/>
              <w:rPr>
                <w:color w:val="auto"/>
                <w:szCs w:val="21"/>
                <w:highlight w:val="none"/>
              </w:rPr>
            </w:pPr>
            <w:r>
              <w:rPr>
                <w:rFonts w:hint="eastAsia" w:ascii="宋体" w:hAnsi="宋体"/>
                <w:color w:val="auto"/>
                <w:highlight w:val="none"/>
              </w:rPr>
              <w:t>农民工工资保证金</w:t>
            </w:r>
          </w:p>
        </w:tc>
        <w:tc>
          <w:tcPr>
            <w:tcW w:w="6688" w:type="dxa"/>
            <w:tcBorders>
              <w:bottom w:val="single" w:color="auto" w:sz="4" w:space="0"/>
            </w:tcBorders>
            <w:noWrap/>
            <w:vAlign w:val="center"/>
          </w:tcPr>
          <w:p>
            <w:pPr>
              <w:spacing w:line="360" w:lineRule="exact"/>
              <w:rPr>
                <w:color w:val="auto"/>
                <w:highlight w:val="none"/>
              </w:rPr>
            </w:pPr>
            <w:r>
              <w:rPr>
                <w:rFonts w:hint="eastAsia" w:ascii="宋体" w:hAnsi="宋体"/>
                <w:color w:val="auto"/>
                <w:highlight w:val="none"/>
              </w:rPr>
              <w:t>按桂劳社发[2009]50号执行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10.2</w:t>
            </w:r>
          </w:p>
        </w:tc>
        <w:tc>
          <w:tcPr>
            <w:tcW w:w="8539" w:type="dxa"/>
            <w:gridSpan w:val="2"/>
            <w:noWrap/>
            <w:vAlign w:val="center"/>
          </w:tcPr>
          <w:p>
            <w:pPr>
              <w:spacing w:line="360" w:lineRule="exact"/>
              <w:rPr>
                <w:color w:val="auto"/>
                <w:highlight w:val="none"/>
              </w:rPr>
            </w:pPr>
            <w:r>
              <w:rPr>
                <w:color w:val="auto"/>
                <w:highlight w:val="none"/>
              </w:rPr>
              <w:t>投标文件电子版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p>
        </w:tc>
        <w:tc>
          <w:tcPr>
            <w:tcW w:w="1851" w:type="dxa"/>
            <w:noWrap/>
            <w:vAlign w:val="center"/>
          </w:tcPr>
          <w:p>
            <w:pPr>
              <w:spacing w:line="360" w:lineRule="exact"/>
              <w:jc w:val="center"/>
              <w:rPr>
                <w:color w:val="auto"/>
                <w:szCs w:val="21"/>
                <w:highlight w:val="none"/>
              </w:rPr>
            </w:pPr>
            <w:r>
              <w:rPr>
                <w:color w:val="auto"/>
                <w:highlight w:val="none"/>
              </w:rPr>
              <w:t>投标人在递交投标文件时，同时递交投标文件电子版</w:t>
            </w:r>
          </w:p>
        </w:tc>
        <w:tc>
          <w:tcPr>
            <w:tcW w:w="6688" w:type="dxa"/>
            <w:tcBorders>
              <w:bottom w:val="single" w:color="auto" w:sz="4" w:space="0"/>
            </w:tcBorders>
            <w:noWrap/>
            <w:vAlign w:val="center"/>
          </w:tcPr>
          <w:p>
            <w:pPr>
              <w:spacing w:line="360" w:lineRule="auto"/>
              <w:jc w:val="left"/>
              <w:rPr>
                <w:color w:val="auto"/>
                <w:highlight w:val="none"/>
              </w:rPr>
            </w:pPr>
            <w:r>
              <w:rPr>
                <w:color w:val="auto"/>
                <w:highlight w:val="none"/>
              </w:rPr>
              <w:t>投标文件电子版内容：</w:t>
            </w:r>
            <w:r>
              <w:rPr>
                <w:rFonts w:hint="eastAsia"/>
                <w:color w:val="auto"/>
                <w:highlight w:val="none"/>
                <w:u w:val="single"/>
              </w:rPr>
              <w:t>全套投标文件</w:t>
            </w:r>
            <w:r>
              <w:rPr>
                <w:color w:val="auto"/>
                <w:highlight w:val="none"/>
              </w:rPr>
              <w:t>。</w:t>
            </w:r>
          </w:p>
          <w:p>
            <w:pPr>
              <w:spacing w:line="360" w:lineRule="auto"/>
              <w:jc w:val="left"/>
              <w:rPr>
                <w:color w:val="auto"/>
                <w:highlight w:val="none"/>
                <w:u w:val="single"/>
              </w:rPr>
            </w:pPr>
            <w:r>
              <w:rPr>
                <w:color w:val="auto"/>
                <w:highlight w:val="none"/>
              </w:rPr>
              <w:t>投标文件电子版份数：</w:t>
            </w:r>
            <w:r>
              <w:rPr>
                <w:rFonts w:hint="eastAsia"/>
                <w:color w:val="auto"/>
                <w:highlight w:val="none"/>
                <w:u w:val="single"/>
              </w:rPr>
              <w:t>1</w:t>
            </w:r>
            <w:r>
              <w:rPr>
                <w:color w:val="auto"/>
                <w:highlight w:val="none"/>
              </w:rPr>
              <w:t>份。</w:t>
            </w:r>
          </w:p>
          <w:p>
            <w:pPr>
              <w:spacing w:line="360" w:lineRule="auto"/>
              <w:jc w:val="left"/>
              <w:rPr>
                <w:color w:val="auto"/>
                <w:highlight w:val="none"/>
                <w:u w:val="single"/>
              </w:rPr>
            </w:pPr>
            <w:r>
              <w:rPr>
                <w:color w:val="auto"/>
                <w:highlight w:val="none"/>
              </w:rPr>
              <w:t>投标文件电子版形式：</w:t>
            </w:r>
            <w:r>
              <w:rPr>
                <w:rFonts w:hint="eastAsia"/>
                <w:color w:val="auto"/>
                <w:highlight w:val="none"/>
                <w:u w:val="single"/>
              </w:rPr>
              <w:t>Word文档或PDF格式</w:t>
            </w:r>
            <w:r>
              <w:rPr>
                <w:color w:val="auto"/>
                <w:highlight w:val="none"/>
              </w:rPr>
              <w:t>。</w:t>
            </w:r>
          </w:p>
          <w:p>
            <w:pPr>
              <w:spacing w:line="360" w:lineRule="exact"/>
              <w:rPr>
                <w:color w:val="auto"/>
                <w:highlight w:val="none"/>
              </w:rPr>
            </w:pPr>
            <w:r>
              <w:rPr>
                <w:rFonts w:hint="eastAsia"/>
                <w:color w:val="auto"/>
                <w:highlight w:val="none"/>
              </w:rPr>
              <w:t>投标文件电子版包封、密封、标识要求：同前述4.1.1款和4.1.2款要求。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10.3</w:t>
            </w:r>
          </w:p>
        </w:tc>
        <w:tc>
          <w:tcPr>
            <w:tcW w:w="8539" w:type="dxa"/>
            <w:gridSpan w:val="2"/>
            <w:noWrap/>
            <w:vAlign w:val="center"/>
          </w:tcPr>
          <w:p>
            <w:pPr>
              <w:spacing w:line="360" w:lineRule="exact"/>
              <w:rPr>
                <w:color w:val="auto"/>
                <w:highlight w:val="none"/>
              </w:rPr>
            </w:pPr>
            <w:r>
              <w:rPr>
                <w:color w:val="auto"/>
                <w:highlight w:val="none"/>
              </w:rPr>
              <w:t>知识产权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p>
        </w:tc>
        <w:tc>
          <w:tcPr>
            <w:tcW w:w="8539" w:type="dxa"/>
            <w:gridSpan w:val="2"/>
            <w:noWrap/>
            <w:vAlign w:val="center"/>
          </w:tcPr>
          <w:p>
            <w:pPr>
              <w:spacing w:line="360" w:lineRule="exact"/>
              <w:rPr>
                <w:color w:val="auto"/>
                <w:highlight w:val="none"/>
              </w:rPr>
            </w:pPr>
            <w:r>
              <w:rPr>
                <w:color w:val="auto"/>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10.4</w:t>
            </w:r>
          </w:p>
        </w:tc>
        <w:tc>
          <w:tcPr>
            <w:tcW w:w="8539" w:type="dxa"/>
            <w:gridSpan w:val="2"/>
            <w:noWrap/>
            <w:vAlign w:val="center"/>
          </w:tcPr>
          <w:p>
            <w:pPr>
              <w:spacing w:line="360" w:lineRule="exact"/>
              <w:rPr>
                <w:color w:val="auto"/>
                <w:highlight w:val="none"/>
              </w:rPr>
            </w:pPr>
            <w:r>
              <w:rPr>
                <w:color w:val="auto"/>
                <w:highlight w:val="none"/>
              </w:rPr>
              <w:t>同义词语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p>
        </w:tc>
        <w:tc>
          <w:tcPr>
            <w:tcW w:w="8539" w:type="dxa"/>
            <w:gridSpan w:val="2"/>
            <w:noWrap/>
            <w:vAlign w:val="center"/>
          </w:tcPr>
          <w:p>
            <w:pPr>
              <w:spacing w:line="360" w:lineRule="exact"/>
              <w:rPr>
                <w:color w:val="auto"/>
                <w:highlight w:val="none"/>
              </w:rPr>
            </w:pPr>
            <w:r>
              <w:rPr>
                <w:color w:val="auto"/>
                <w:highlight w:val="none"/>
              </w:rPr>
              <w:t>构成招标文件组成部分的“通用合同条款”</w:t>
            </w:r>
            <w:r>
              <w:rPr>
                <w:rFonts w:hint="eastAsia"/>
                <w:color w:val="auto"/>
                <w:highlight w:val="none"/>
              </w:rPr>
              <w:t>合同协议书、</w:t>
            </w:r>
            <w:r>
              <w:rPr>
                <w:color w:val="auto"/>
                <w:highlight w:val="none"/>
              </w:rPr>
              <w:t>“通用合同条款”、“专用合同条款”、“</w:t>
            </w:r>
            <w:r>
              <w:rPr>
                <w:rFonts w:hint="eastAsia"/>
                <w:color w:val="auto"/>
                <w:highlight w:val="none"/>
              </w:rPr>
              <w:t>发包人要求</w:t>
            </w:r>
            <w:r>
              <w:rPr>
                <w:color w:val="auto"/>
                <w:highlight w:val="none"/>
              </w:rPr>
              <w:t>”和“</w:t>
            </w:r>
            <w:r>
              <w:rPr>
                <w:rFonts w:hint="eastAsia"/>
                <w:color w:val="auto"/>
                <w:highlight w:val="none"/>
              </w:rPr>
              <w:t>发包人提供的资料</w:t>
            </w:r>
            <w:r>
              <w:rPr>
                <w:color w:val="auto"/>
                <w:highlight w:val="none"/>
              </w:rPr>
              <w:t>”等章节中出现的措辞“发包人”和“承包人”，在招标投标阶段应当分别按“招标人”和“投标人”进行理解。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10.5</w:t>
            </w:r>
          </w:p>
        </w:tc>
        <w:tc>
          <w:tcPr>
            <w:tcW w:w="8539" w:type="dxa"/>
            <w:gridSpan w:val="2"/>
            <w:noWrap/>
            <w:vAlign w:val="center"/>
          </w:tcPr>
          <w:p>
            <w:pPr>
              <w:spacing w:line="360" w:lineRule="exact"/>
              <w:rPr>
                <w:color w:val="auto"/>
                <w:highlight w:val="none"/>
              </w:rPr>
            </w:pPr>
            <w:r>
              <w:rPr>
                <w:color w:val="auto"/>
                <w:highlight w:val="none"/>
              </w:rPr>
              <w:t>招标人补充的其他内容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10.5.1</w:t>
            </w:r>
          </w:p>
        </w:tc>
        <w:tc>
          <w:tcPr>
            <w:tcW w:w="1851" w:type="dxa"/>
            <w:noWrap/>
            <w:vAlign w:val="center"/>
          </w:tcPr>
          <w:p>
            <w:pPr>
              <w:spacing w:line="360" w:lineRule="exact"/>
              <w:rPr>
                <w:color w:val="auto"/>
                <w:highlight w:val="none"/>
              </w:rPr>
            </w:pPr>
            <w:r>
              <w:rPr>
                <w:rFonts w:hint="eastAsia" w:ascii="宋体" w:hAnsi="宋体"/>
                <w:color w:val="auto"/>
                <w:szCs w:val="21"/>
                <w:highlight w:val="none"/>
              </w:rPr>
              <w:t>对投标人要求</w:t>
            </w:r>
          </w:p>
        </w:tc>
        <w:tc>
          <w:tcPr>
            <w:tcW w:w="6688" w:type="dxa"/>
            <w:noWrap/>
            <w:vAlign w:val="center"/>
          </w:tcPr>
          <w:p>
            <w:pPr>
              <w:spacing w:line="360" w:lineRule="exact"/>
              <w:rPr>
                <w:color w:val="auto"/>
                <w:highlight w:val="none"/>
              </w:rPr>
            </w:pPr>
            <w:r>
              <w:rPr>
                <w:rFonts w:hint="eastAsia" w:ascii="宋体" w:hAnsi="宋体"/>
                <w:color w:val="auto"/>
                <w:szCs w:val="21"/>
                <w:highlight w:val="none"/>
              </w:rPr>
              <w:t>通过初步评审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10.5.2</w:t>
            </w:r>
          </w:p>
        </w:tc>
        <w:tc>
          <w:tcPr>
            <w:tcW w:w="1851" w:type="dxa"/>
            <w:noWrap/>
            <w:vAlign w:val="center"/>
          </w:tcPr>
          <w:p>
            <w:pPr>
              <w:spacing w:line="360" w:lineRule="exact"/>
              <w:rPr>
                <w:color w:val="auto"/>
                <w:highlight w:val="none"/>
              </w:rPr>
            </w:pPr>
            <w:r>
              <w:rPr>
                <w:rFonts w:hint="eastAsia" w:ascii="宋体" w:hAnsi="宋体"/>
                <w:color w:val="auto"/>
                <w:szCs w:val="21"/>
                <w:highlight w:val="none"/>
              </w:rPr>
              <w:t>安全要求</w:t>
            </w:r>
          </w:p>
        </w:tc>
        <w:tc>
          <w:tcPr>
            <w:tcW w:w="6688" w:type="dxa"/>
            <w:noWrap/>
            <w:vAlign w:val="center"/>
          </w:tcPr>
          <w:p>
            <w:pPr>
              <w:spacing w:line="360" w:lineRule="auto"/>
              <w:rPr>
                <w:rFonts w:ascii="宋体" w:hAnsi="宋体"/>
                <w:color w:val="auto"/>
                <w:szCs w:val="21"/>
                <w:highlight w:val="none"/>
              </w:rPr>
            </w:pPr>
            <w:r>
              <w:rPr>
                <w:rFonts w:hint="eastAsia" w:ascii="宋体" w:hAnsi="宋体"/>
                <w:color w:val="auto"/>
                <w:szCs w:val="21"/>
                <w:highlight w:val="none"/>
              </w:rPr>
              <w:t>(1)不发生人身轻伤及以上事故；</w:t>
            </w:r>
          </w:p>
          <w:p>
            <w:pPr>
              <w:spacing w:line="360" w:lineRule="auto"/>
              <w:rPr>
                <w:rFonts w:ascii="宋体" w:hAnsi="宋体"/>
                <w:color w:val="auto"/>
                <w:szCs w:val="21"/>
                <w:highlight w:val="none"/>
              </w:rPr>
            </w:pPr>
            <w:r>
              <w:rPr>
                <w:rFonts w:hint="eastAsia" w:ascii="宋体" w:hAnsi="宋体"/>
                <w:color w:val="auto"/>
                <w:szCs w:val="21"/>
                <w:highlight w:val="none"/>
              </w:rPr>
              <w:t>(2)不发生人员责任的一般机械、设备事故；</w:t>
            </w:r>
          </w:p>
          <w:p>
            <w:pPr>
              <w:spacing w:line="360" w:lineRule="auto"/>
              <w:rPr>
                <w:rFonts w:ascii="宋体" w:hAnsi="宋体"/>
                <w:color w:val="auto"/>
                <w:szCs w:val="21"/>
                <w:highlight w:val="none"/>
              </w:rPr>
            </w:pPr>
            <w:r>
              <w:rPr>
                <w:rFonts w:hint="eastAsia" w:ascii="宋体" w:hAnsi="宋体"/>
                <w:color w:val="auto"/>
                <w:szCs w:val="21"/>
                <w:highlight w:val="none"/>
              </w:rPr>
              <w:t>(3)不发生人员责任的一般及以上的火灾事故；</w:t>
            </w:r>
          </w:p>
          <w:p>
            <w:pPr>
              <w:spacing w:line="360" w:lineRule="auto"/>
              <w:rPr>
                <w:rFonts w:ascii="宋体" w:hAnsi="宋体"/>
                <w:color w:val="auto"/>
                <w:szCs w:val="21"/>
                <w:highlight w:val="none"/>
              </w:rPr>
            </w:pPr>
            <w:r>
              <w:rPr>
                <w:rFonts w:hint="eastAsia" w:ascii="宋体" w:hAnsi="宋体"/>
                <w:color w:val="auto"/>
                <w:szCs w:val="21"/>
                <w:highlight w:val="none"/>
              </w:rPr>
              <w:t>(4)不发生负同责及以上的一般交通事故；；</w:t>
            </w:r>
          </w:p>
          <w:p>
            <w:pPr>
              <w:spacing w:line="360" w:lineRule="auto"/>
              <w:rPr>
                <w:rFonts w:ascii="宋体" w:hAnsi="宋体"/>
                <w:color w:val="auto"/>
                <w:szCs w:val="21"/>
                <w:highlight w:val="none"/>
              </w:rPr>
            </w:pPr>
            <w:r>
              <w:rPr>
                <w:rFonts w:hint="eastAsia" w:ascii="宋体" w:hAnsi="宋体"/>
                <w:color w:val="auto"/>
                <w:szCs w:val="21"/>
                <w:highlight w:val="none"/>
              </w:rPr>
              <w:t>(5)安全设施标准、行为规范、施工有序、环境整洁；</w:t>
            </w:r>
          </w:p>
          <w:p>
            <w:pPr>
              <w:spacing w:line="360" w:lineRule="auto"/>
              <w:rPr>
                <w:rFonts w:ascii="宋体" w:hAnsi="宋体"/>
                <w:color w:val="auto"/>
                <w:szCs w:val="21"/>
                <w:highlight w:val="none"/>
              </w:rPr>
            </w:pPr>
            <w:r>
              <w:rPr>
                <w:rFonts w:hint="eastAsia" w:ascii="宋体" w:hAnsi="宋体"/>
                <w:color w:val="auto"/>
                <w:szCs w:val="21"/>
                <w:highlight w:val="none"/>
              </w:rPr>
              <w:t>(6)创国内安全文明施工一流水平，完成工程建设达标投产目标。</w:t>
            </w:r>
          </w:p>
          <w:p>
            <w:pPr>
              <w:spacing w:line="360" w:lineRule="exact"/>
              <w:rPr>
                <w:color w:val="auto"/>
                <w:highlight w:val="none"/>
              </w:rPr>
            </w:pPr>
            <w:r>
              <w:rPr>
                <w:rFonts w:hint="eastAsia" w:ascii="宋体" w:hAnsi="宋体"/>
                <w:color w:val="auto"/>
                <w:szCs w:val="21"/>
                <w:highlight w:val="none"/>
              </w:rPr>
              <w:t>(7)不得破坏拟改扩建建筑物之基础与主体结构安全。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rPr>
                <w:color w:val="auto"/>
                <w:szCs w:val="21"/>
                <w:highlight w:val="none"/>
              </w:rPr>
            </w:pPr>
            <w:r>
              <w:rPr>
                <w:rFonts w:hint="eastAsia"/>
                <w:color w:val="auto"/>
                <w:szCs w:val="21"/>
                <w:highlight w:val="none"/>
              </w:rPr>
              <w:t>10.5.3</w:t>
            </w:r>
          </w:p>
        </w:tc>
        <w:tc>
          <w:tcPr>
            <w:tcW w:w="1851" w:type="dxa"/>
            <w:noWrap/>
            <w:vAlign w:val="center"/>
          </w:tcPr>
          <w:p>
            <w:pPr>
              <w:spacing w:line="360" w:lineRule="exact"/>
              <w:rPr>
                <w:color w:val="auto"/>
                <w:highlight w:val="none"/>
              </w:rPr>
            </w:pPr>
            <w:r>
              <w:rPr>
                <w:rFonts w:hint="eastAsia" w:ascii="宋体" w:hAnsi="宋体"/>
                <w:color w:val="auto"/>
                <w:szCs w:val="21"/>
                <w:highlight w:val="none"/>
              </w:rPr>
              <w:t>保密事项</w:t>
            </w:r>
          </w:p>
        </w:tc>
        <w:tc>
          <w:tcPr>
            <w:tcW w:w="6688" w:type="dxa"/>
            <w:noWrap/>
            <w:vAlign w:val="center"/>
          </w:tcPr>
          <w:p>
            <w:pPr>
              <w:spacing w:line="360" w:lineRule="exact"/>
              <w:rPr>
                <w:rFonts w:ascii="宋体" w:hAnsi="宋体"/>
                <w:color w:val="auto"/>
                <w:szCs w:val="21"/>
                <w:highlight w:val="none"/>
              </w:rPr>
            </w:pPr>
            <w:r>
              <w:rPr>
                <w:rFonts w:hint="eastAsia" w:ascii="宋体" w:hAnsi="宋体"/>
                <w:color w:val="auto"/>
                <w:szCs w:val="21"/>
                <w:highlight w:val="none"/>
              </w:rPr>
              <w:t>当事人一方对在投标过程中、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等责任。当事人为履行合同所需要的信息，另一方应予以提供。确定中标人后，须签订保密协议，作为合同附件</w:t>
            </w:r>
            <w:r>
              <w:rPr>
                <w:rFonts w:ascii="宋体" w:hAnsi="宋体"/>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0" w:hRule="atLeast"/>
          <w:jc w:val="center"/>
        </w:trPr>
        <w:tc>
          <w:tcPr>
            <w:tcW w:w="869" w:type="dxa"/>
            <w:noWrap/>
            <w:vAlign w:val="center"/>
          </w:tcPr>
          <w:p>
            <w:pPr>
              <w:spacing w:line="360" w:lineRule="exact"/>
              <w:rPr>
                <w:color w:val="auto"/>
                <w:szCs w:val="21"/>
                <w:highlight w:val="none"/>
              </w:rPr>
            </w:pPr>
            <w:r>
              <w:rPr>
                <w:rFonts w:hint="eastAsia"/>
                <w:color w:val="auto"/>
                <w:szCs w:val="21"/>
                <w:highlight w:val="none"/>
              </w:rPr>
              <w:t>10.5.4</w:t>
            </w:r>
          </w:p>
        </w:tc>
        <w:tc>
          <w:tcPr>
            <w:tcW w:w="1851" w:type="dxa"/>
            <w:noWrap/>
            <w:vAlign w:val="center"/>
          </w:tcPr>
          <w:p>
            <w:pPr>
              <w:spacing w:line="360" w:lineRule="exact"/>
              <w:rPr>
                <w:color w:val="auto"/>
                <w:highlight w:val="none"/>
              </w:rPr>
            </w:pPr>
            <w:r>
              <w:rPr>
                <w:rFonts w:hint="eastAsia" w:ascii="宋体" w:hAnsi="宋体"/>
                <w:color w:val="auto"/>
                <w:szCs w:val="21"/>
                <w:highlight w:val="none"/>
              </w:rPr>
              <w:t>投标人综合评估得分相同时排序确定</w:t>
            </w:r>
          </w:p>
        </w:tc>
        <w:tc>
          <w:tcPr>
            <w:tcW w:w="6688" w:type="dxa"/>
            <w:noWrap/>
            <w:vAlign w:val="center"/>
          </w:tcPr>
          <w:p>
            <w:pPr>
              <w:spacing w:line="360" w:lineRule="exact"/>
              <w:rPr>
                <w:rFonts w:ascii="宋体" w:hAnsi="宋体"/>
                <w:color w:val="auto"/>
                <w:szCs w:val="21"/>
                <w:highlight w:val="none"/>
              </w:rPr>
            </w:pPr>
            <w:r>
              <w:rPr>
                <w:rFonts w:ascii="宋体" w:hAnsi="宋体"/>
                <w:color w:val="auto"/>
                <w:szCs w:val="21"/>
                <w:highlight w:val="none"/>
              </w:rPr>
              <w:t>综合评分相等时，</w:t>
            </w:r>
            <w:r>
              <w:rPr>
                <w:rFonts w:hint="eastAsia" w:ascii="宋体" w:hAnsi="宋体"/>
                <w:color w:val="auto"/>
                <w:szCs w:val="21"/>
                <w:highlight w:val="none"/>
              </w:rPr>
              <w:t>以设计标得</w:t>
            </w:r>
            <w:r>
              <w:rPr>
                <w:rFonts w:ascii="宋体" w:hAnsi="宋体"/>
                <w:color w:val="auto"/>
                <w:szCs w:val="21"/>
                <w:highlight w:val="none"/>
              </w:rPr>
              <w:t>分高的优先；</w:t>
            </w:r>
            <w:r>
              <w:rPr>
                <w:rFonts w:hint="eastAsia" w:ascii="宋体" w:hAnsi="宋体"/>
                <w:color w:val="auto"/>
                <w:szCs w:val="21"/>
                <w:highlight w:val="none"/>
              </w:rPr>
              <w:t>设计标得</w:t>
            </w:r>
            <w:r>
              <w:rPr>
                <w:rFonts w:ascii="宋体" w:hAnsi="宋体"/>
                <w:color w:val="auto"/>
                <w:szCs w:val="21"/>
                <w:highlight w:val="none"/>
              </w:rPr>
              <w:t>分也相</w:t>
            </w:r>
            <w:r>
              <w:rPr>
                <w:rFonts w:hint="eastAsia" w:ascii="宋体" w:hAnsi="宋体"/>
                <w:color w:val="auto"/>
                <w:szCs w:val="21"/>
                <w:highlight w:val="none"/>
              </w:rPr>
              <w:t>等</w:t>
            </w:r>
            <w:r>
              <w:rPr>
                <w:rFonts w:ascii="宋体" w:hAnsi="宋体"/>
                <w:color w:val="auto"/>
                <w:szCs w:val="21"/>
                <w:highlight w:val="none"/>
              </w:rPr>
              <w:t>的，以投标报价低的优先；投标价也相等时，由评标委员会采用记名投票</w:t>
            </w:r>
            <w:r>
              <w:rPr>
                <w:rFonts w:hint="eastAsia" w:ascii="宋体" w:hAnsi="宋体"/>
                <w:color w:val="auto"/>
                <w:szCs w:val="21"/>
                <w:highlight w:val="none"/>
              </w:rPr>
              <w:t>方式</w:t>
            </w:r>
            <w:r>
              <w:rPr>
                <w:rFonts w:ascii="宋体" w:hAnsi="宋体"/>
                <w:color w:val="auto"/>
                <w:szCs w:val="21"/>
                <w:highlight w:val="none"/>
              </w:rPr>
              <w:t>确定。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rPr>
                <w:color w:val="auto"/>
                <w:szCs w:val="21"/>
                <w:highlight w:val="none"/>
              </w:rPr>
            </w:pPr>
            <w:r>
              <w:rPr>
                <w:rFonts w:hint="eastAsia"/>
                <w:color w:val="auto"/>
                <w:szCs w:val="21"/>
                <w:highlight w:val="none"/>
              </w:rPr>
              <w:t>10.5.5</w:t>
            </w:r>
          </w:p>
        </w:tc>
        <w:tc>
          <w:tcPr>
            <w:tcW w:w="1851" w:type="dxa"/>
            <w:noWrap/>
            <w:vAlign w:val="center"/>
          </w:tcPr>
          <w:p>
            <w:pPr>
              <w:spacing w:line="360" w:lineRule="exact"/>
              <w:rPr>
                <w:color w:val="auto"/>
                <w:highlight w:val="none"/>
              </w:rPr>
            </w:pPr>
            <w:r>
              <w:rPr>
                <w:rFonts w:hint="eastAsia" w:ascii="宋体" w:hAnsi="宋体"/>
                <w:color w:val="auto"/>
                <w:szCs w:val="21"/>
                <w:highlight w:val="none"/>
              </w:rPr>
              <w:t>总承包服务费</w:t>
            </w:r>
          </w:p>
        </w:tc>
        <w:tc>
          <w:tcPr>
            <w:tcW w:w="6688" w:type="dxa"/>
            <w:noWrap/>
            <w:vAlign w:val="center"/>
          </w:tcPr>
          <w:p>
            <w:pPr>
              <w:spacing w:line="360" w:lineRule="exact"/>
              <w:rPr>
                <w:rFonts w:ascii="宋体" w:hAnsi="宋体"/>
                <w:color w:val="auto"/>
                <w:szCs w:val="21"/>
                <w:highlight w:val="none"/>
              </w:rPr>
            </w:pPr>
            <w:r>
              <w:rPr>
                <w:rFonts w:hint="eastAsia" w:ascii="宋体" w:hAnsi="宋体"/>
                <w:color w:val="auto"/>
                <w:szCs w:val="21"/>
                <w:highlight w:val="none"/>
              </w:rPr>
              <w:t>本项目不计总承包服务费。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rPr>
                <w:color w:val="auto"/>
                <w:szCs w:val="21"/>
                <w:highlight w:val="none"/>
              </w:rPr>
            </w:pPr>
            <w:r>
              <w:rPr>
                <w:rFonts w:hint="eastAsia"/>
                <w:color w:val="auto"/>
                <w:szCs w:val="21"/>
                <w:highlight w:val="none"/>
              </w:rPr>
              <w:t>10.5.6</w:t>
            </w:r>
          </w:p>
        </w:tc>
        <w:tc>
          <w:tcPr>
            <w:tcW w:w="1851" w:type="dxa"/>
            <w:noWrap/>
            <w:vAlign w:val="center"/>
          </w:tcPr>
          <w:p>
            <w:pPr>
              <w:spacing w:line="360" w:lineRule="auto"/>
              <w:rPr>
                <w:color w:val="auto"/>
                <w:highlight w:val="none"/>
              </w:rPr>
            </w:pPr>
            <w:r>
              <w:rPr>
                <w:rFonts w:hint="eastAsia" w:ascii="宋体" w:hAnsi="宋体"/>
                <w:color w:val="auto"/>
                <w:szCs w:val="21"/>
                <w:highlight w:val="none"/>
              </w:rPr>
              <w:t>投标人承诺</w:t>
            </w:r>
          </w:p>
        </w:tc>
        <w:tc>
          <w:tcPr>
            <w:tcW w:w="6688" w:type="dxa"/>
            <w:noWrap/>
            <w:vAlign w:val="center"/>
          </w:tcPr>
          <w:p>
            <w:pPr>
              <w:spacing w:line="360" w:lineRule="auto"/>
              <w:rPr>
                <w:rFonts w:ascii="宋体" w:hAnsi="宋体"/>
                <w:color w:val="auto"/>
                <w:szCs w:val="21"/>
                <w:highlight w:val="none"/>
              </w:rPr>
            </w:pPr>
            <w:r>
              <w:rPr>
                <w:rFonts w:hint="eastAsia" w:ascii="宋体" w:hAnsi="宋体"/>
                <w:color w:val="auto"/>
                <w:szCs w:val="21"/>
                <w:highlight w:val="none"/>
              </w:rPr>
              <w:t>按第七章“投标文件格式”规定的格式和最低要求，递交“投标人承诺书”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rPr>
                <w:color w:val="auto"/>
                <w:szCs w:val="21"/>
                <w:highlight w:val="none"/>
              </w:rPr>
            </w:pPr>
            <w:r>
              <w:rPr>
                <w:rFonts w:hint="eastAsia"/>
                <w:color w:val="auto"/>
                <w:szCs w:val="21"/>
                <w:highlight w:val="none"/>
              </w:rPr>
              <w:t>10.5.7</w:t>
            </w:r>
          </w:p>
        </w:tc>
        <w:tc>
          <w:tcPr>
            <w:tcW w:w="1851" w:type="dxa"/>
            <w:noWrap/>
            <w:vAlign w:val="center"/>
          </w:tcPr>
          <w:p>
            <w:pPr>
              <w:spacing w:line="360" w:lineRule="exact"/>
              <w:rPr>
                <w:color w:val="auto"/>
                <w:highlight w:val="none"/>
              </w:rPr>
            </w:pPr>
            <w:r>
              <w:rPr>
                <w:rFonts w:hint="eastAsia" w:ascii="宋体" w:hAnsi="宋体"/>
                <w:color w:val="auto"/>
                <w:szCs w:val="21"/>
                <w:highlight w:val="none"/>
              </w:rPr>
              <w:t>转借资质、串标、围标、抢标等处理</w:t>
            </w:r>
          </w:p>
        </w:tc>
        <w:tc>
          <w:tcPr>
            <w:tcW w:w="6688" w:type="dxa"/>
            <w:noWrap/>
            <w:vAlign w:val="center"/>
          </w:tcPr>
          <w:p>
            <w:pPr>
              <w:spacing w:line="360" w:lineRule="auto"/>
              <w:rPr>
                <w:rFonts w:ascii="宋体" w:hAnsi="宋体"/>
                <w:color w:val="auto"/>
                <w:szCs w:val="21"/>
                <w:highlight w:val="none"/>
              </w:rPr>
            </w:pPr>
            <w:r>
              <w:rPr>
                <w:rFonts w:hint="eastAsia" w:ascii="宋体" w:hAnsi="宋体"/>
                <w:color w:val="auto"/>
                <w:szCs w:val="21"/>
                <w:highlight w:val="none"/>
              </w:rPr>
              <w:t>如发现投标人有下列现象：</w:t>
            </w:r>
          </w:p>
          <w:p>
            <w:pPr>
              <w:spacing w:line="360" w:lineRule="auto"/>
              <w:rPr>
                <w:rFonts w:ascii="宋体" w:hAnsi="宋体"/>
                <w:color w:val="auto"/>
                <w:szCs w:val="21"/>
                <w:highlight w:val="none"/>
              </w:rPr>
            </w:pPr>
            <w:r>
              <w:rPr>
                <w:rFonts w:hint="eastAsia" w:ascii="宋体" w:hAnsi="宋体"/>
                <w:color w:val="auto"/>
                <w:szCs w:val="21"/>
                <w:highlight w:val="none"/>
              </w:rPr>
              <w:t>①弄虚作假、隐瞒事实真相骗取中标等行为；</w:t>
            </w:r>
          </w:p>
          <w:p>
            <w:pPr>
              <w:spacing w:line="360" w:lineRule="auto"/>
              <w:rPr>
                <w:rFonts w:ascii="宋体" w:hAnsi="宋体"/>
                <w:color w:val="auto"/>
                <w:szCs w:val="21"/>
                <w:highlight w:val="none"/>
              </w:rPr>
            </w:pPr>
            <w:r>
              <w:rPr>
                <w:rFonts w:hint="eastAsia" w:ascii="宋体" w:hAnsi="宋体"/>
                <w:color w:val="auto"/>
                <w:szCs w:val="21"/>
                <w:highlight w:val="none"/>
              </w:rPr>
              <w:t>②转借资质；</w:t>
            </w:r>
          </w:p>
          <w:p>
            <w:pPr>
              <w:spacing w:line="360" w:lineRule="auto"/>
              <w:rPr>
                <w:rFonts w:ascii="宋体" w:hAnsi="宋体"/>
                <w:color w:val="auto"/>
                <w:szCs w:val="21"/>
                <w:highlight w:val="none"/>
              </w:rPr>
            </w:pPr>
            <w:r>
              <w:rPr>
                <w:rFonts w:hint="eastAsia" w:ascii="宋体" w:hAnsi="宋体"/>
                <w:color w:val="auto"/>
                <w:szCs w:val="21"/>
                <w:highlight w:val="none"/>
              </w:rPr>
              <w:t>③串通投标、围标、抢标或有行贿行为骗取中标。</w:t>
            </w:r>
          </w:p>
          <w:p>
            <w:pPr>
              <w:spacing w:line="360" w:lineRule="auto"/>
              <w:rPr>
                <w:rFonts w:ascii="宋体" w:hAnsi="宋体"/>
                <w:color w:val="auto"/>
                <w:szCs w:val="21"/>
                <w:highlight w:val="none"/>
              </w:rPr>
            </w:pPr>
            <w:r>
              <w:rPr>
                <w:rFonts w:hint="eastAsia" w:ascii="宋体" w:hAnsi="宋体"/>
                <w:color w:val="auto"/>
                <w:szCs w:val="21"/>
                <w:highlight w:val="none"/>
              </w:rPr>
              <w:t>招标人将：</w:t>
            </w:r>
          </w:p>
          <w:p>
            <w:pPr>
              <w:spacing w:line="360" w:lineRule="auto"/>
              <w:rPr>
                <w:rFonts w:ascii="宋体" w:hAnsi="宋体"/>
                <w:color w:val="auto"/>
                <w:szCs w:val="21"/>
                <w:highlight w:val="none"/>
              </w:rPr>
            </w:pPr>
            <w:r>
              <w:rPr>
                <w:rFonts w:hint="eastAsia" w:ascii="宋体" w:hAnsi="宋体"/>
                <w:color w:val="auto"/>
                <w:szCs w:val="21"/>
                <w:highlight w:val="none"/>
              </w:rPr>
              <w:t>（1）招标期间发现投标人有上述现象，已交纳的投标保证金不予退还，对招标人造成损失超过投标保证金金额的，超过部分予以赔偿；</w:t>
            </w:r>
          </w:p>
          <w:p>
            <w:pPr>
              <w:spacing w:line="360" w:lineRule="auto"/>
              <w:rPr>
                <w:rFonts w:ascii="宋体" w:hAnsi="宋体"/>
                <w:color w:val="auto"/>
                <w:szCs w:val="21"/>
                <w:highlight w:val="none"/>
              </w:rPr>
            </w:pPr>
            <w:r>
              <w:rPr>
                <w:rFonts w:hint="eastAsia" w:ascii="宋体" w:hAnsi="宋体"/>
                <w:color w:val="auto"/>
                <w:szCs w:val="21"/>
                <w:highlight w:val="none"/>
              </w:rPr>
              <w:t>（2）签署合同协议书后招标人发现中标人有借资质现象，中标人履约担保不予退还，并将借资质的中标人驱逐出场，由借出资质单位按照投标文件承诺的要求进场施工，工期不予顺延；</w:t>
            </w:r>
          </w:p>
          <w:p>
            <w:pPr>
              <w:spacing w:line="360" w:lineRule="exact"/>
              <w:rPr>
                <w:rFonts w:ascii="宋体" w:hAnsi="宋体"/>
                <w:color w:val="auto"/>
                <w:szCs w:val="21"/>
                <w:highlight w:val="none"/>
              </w:rPr>
            </w:pPr>
            <w:r>
              <w:rPr>
                <w:rFonts w:hint="eastAsia" w:ascii="宋体" w:hAnsi="宋体"/>
                <w:color w:val="auto"/>
                <w:szCs w:val="21"/>
                <w:highlight w:val="none"/>
              </w:rPr>
              <w:t>（3）尽管业主已作出如上处理，但不能免除有上述现象投标人应负的任何法律责任。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10.5.9</w:t>
            </w:r>
          </w:p>
        </w:tc>
        <w:tc>
          <w:tcPr>
            <w:tcW w:w="8539" w:type="dxa"/>
            <w:gridSpan w:val="2"/>
            <w:noWrap/>
            <w:vAlign w:val="center"/>
          </w:tcPr>
          <w:p>
            <w:pPr>
              <w:spacing w:line="360" w:lineRule="exact"/>
              <w:rPr>
                <w:rFonts w:ascii="微软雅黑" w:hAnsi="微软雅黑" w:eastAsia="微软雅黑"/>
                <w:color w:val="auto"/>
                <w:szCs w:val="21"/>
                <w:highlight w:val="none"/>
                <w:shd w:val="clear" w:color="auto" w:fill="FFFFFF"/>
              </w:rPr>
            </w:pPr>
            <w:r>
              <w:rPr>
                <w:rFonts w:hint="eastAsia"/>
                <w:color w:val="auto"/>
                <w:highlight w:val="none"/>
              </w:rPr>
              <w:t>类似业绩：指投标人（或联合体成员中施工单位或设计单位</w:t>
            </w:r>
            <w:r>
              <w:rPr>
                <w:rFonts w:hint="eastAsia" w:ascii="宋体" w:hAnsi="宋体"/>
                <w:color w:val="auto"/>
                <w:highlight w:val="none"/>
              </w:rPr>
              <w:t>）完成</w:t>
            </w:r>
            <w:r>
              <w:rPr>
                <w:rFonts w:hint="eastAsia" w:ascii="宋体" w:hAnsi="宋体"/>
                <w:color w:val="auto"/>
                <w:szCs w:val="21"/>
                <w:highlight w:val="none"/>
                <w:shd w:val="clear" w:color="auto" w:fill="FFFFFF"/>
              </w:rPr>
              <w:t>的结构实验反力墙或反力台座设计或施工的工程业绩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69" w:type="dxa"/>
            <w:noWrap/>
            <w:vAlign w:val="center"/>
          </w:tcPr>
          <w:p>
            <w:pPr>
              <w:spacing w:line="360" w:lineRule="exact"/>
              <w:jc w:val="center"/>
              <w:rPr>
                <w:color w:val="auto"/>
                <w:szCs w:val="21"/>
                <w:highlight w:val="none"/>
              </w:rPr>
            </w:pPr>
            <w:r>
              <w:rPr>
                <w:rFonts w:hint="eastAsia"/>
                <w:color w:val="auto"/>
                <w:szCs w:val="21"/>
                <w:highlight w:val="none"/>
              </w:rPr>
              <w:t>10.5.1</w:t>
            </w:r>
            <w:r>
              <w:rPr>
                <w:color w:val="auto"/>
                <w:szCs w:val="21"/>
                <w:highlight w:val="none"/>
              </w:rPr>
              <w:t>0</w:t>
            </w:r>
          </w:p>
        </w:tc>
        <w:tc>
          <w:tcPr>
            <w:tcW w:w="8539" w:type="dxa"/>
            <w:gridSpan w:val="2"/>
            <w:noWrap/>
            <w:vAlign w:val="center"/>
          </w:tcPr>
          <w:p>
            <w:pPr>
              <w:spacing w:line="360" w:lineRule="exact"/>
              <w:rPr>
                <w:color w:val="auto"/>
                <w:highlight w:val="none"/>
              </w:rPr>
            </w:pPr>
            <w:r>
              <w:rPr>
                <w:rFonts w:hint="eastAsia"/>
                <w:color w:val="auto"/>
                <w:highlight w:val="none"/>
              </w:rPr>
              <w:t>类似业绩年份要求：2</w:t>
            </w:r>
            <w:r>
              <w:rPr>
                <w:color w:val="auto"/>
                <w:highlight w:val="none"/>
              </w:rPr>
              <w:t>015</w:t>
            </w:r>
            <w:r>
              <w:rPr>
                <w:rFonts w:hint="eastAsia"/>
                <w:color w:val="auto"/>
                <w:highlight w:val="none"/>
              </w:rPr>
              <w:t>年1月1日</w:t>
            </w:r>
            <w:r>
              <w:rPr>
                <w:color w:val="auto"/>
                <w:highlight w:val="none"/>
              </w:rPr>
              <w:t>至今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307" w:hRule="atLeast"/>
          <w:jc w:val="center"/>
        </w:trPr>
        <w:tc>
          <w:tcPr>
            <w:tcW w:w="869" w:type="dxa"/>
            <w:noWrap/>
            <w:vAlign w:val="center"/>
          </w:tcPr>
          <w:p>
            <w:pPr>
              <w:spacing w:line="360" w:lineRule="auto"/>
              <w:jc w:val="center"/>
              <w:rPr>
                <w:color w:val="auto"/>
                <w:szCs w:val="21"/>
                <w:highlight w:val="none"/>
              </w:rPr>
            </w:pPr>
            <w:r>
              <w:rPr>
                <w:rFonts w:hint="eastAsia"/>
                <w:color w:val="auto"/>
                <w:szCs w:val="21"/>
                <w:highlight w:val="none"/>
              </w:rPr>
              <w:t>10.5.11</w:t>
            </w:r>
          </w:p>
        </w:tc>
        <w:tc>
          <w:tcPr>
            <w:tcW w:w="1851" w:type="dxa"/>
            <w:noWrap/>
            <w:vAlign w:val="center"/>
          </w:tcPr>
          <w:p>
            <w:pPr>
              <w:spacing w:line="320" w:lineRule="exact"/>
              <w:jc w:val="center"/>
              <w:rPr>
                <w:color w:val="auto"/>
                <w:szCs w:val="21"/>
                <w:highlight w:val="none"/>
              </w:rPr>
            </w:pPr>
            <w:r>
              <w:rPr>
                <w:color w:val="auto"/>
                <w:highlight w:val="none"/>
              </w:rPr>
              <w:t>招标代理服务费的计算与收取</w:t>
            </w:r>
          </w:p>
        </w:tc>
        <w:tc>
          <w:tcPr>
            <w:tcW w:w="6688" w:type="dxa"/>
            <w:noWrap/>
            <w:vAlign w:val="center"/>
          </w:tcPr>
          <w:p>
            <w:pPr>
              <w:spacing w:line="360" w:lineRule="auto"/>
              <w:rPr>
                <w:color w:val="auto"/>
                <w:highlight w:val="none"/>
              </w:rPr>
            </w:pPr>
            <w:r>
              <w:rPr>
                <w:rFonts w:hint="eastAsia" w:ascii="MS Mincho" w:hAnsi="MS Mincho" w:eastAsia="MS Mincho" w:cs="MS Mincho"/>
                <w:color w:val="auto"/>
                <w:highlight w:val="none"/>
              </w:rPr>
              <w:t>☑</w:t>
            </w:r>
            <w:r>
              <w:rPr>
                <w:color w:val="auto"/>
                <w:highlight w:val="none"/>
              </w:rPr>
              <w:t>招标人支付</w:t>
            </w:r>
            <w:r>
              <w:rPr>
                <w:rFonts w:hint="eastAsia"/>
                <w:color w:val="auto"/>
                <w:highlight w:val="none"/>
              </w:rPr>
              <w:t>【备注：</w:t>
            </w:r>
            <w:r>
              <w:rPr>
                <w:rFonts w:hint="eastAsia" w:ascii="宋体" w:hAnsi="宋体"/>
                <w:color w:val="auto"/>
                <w:szCs w:val="21"/>
                <w:highlight w:val="none"/>
              </w:rPr>
              <w:t>国有投资和使用国有资金的项目在建设项目费用组成中已包含招标代理服务费的，应选择由招标人支付</w:t>
            </w:r>
            <w:r>
              <w:rPr>
                <w:rFonts w:hint="eastAsia"/>
                <w:color w:val="auto"/>
                <w:highlight w:val="none"/>
              </w:rPr>
              <w:t>】</w:t>
            </w:r>
          </w:p>
          <w:p>
            <w:pPr>
              <w:spacing w:line="320" w:lineRule="exact"/>
              <w:rPr>
                <w:color w:val="auto"/>
                <w:szCs w:val="21"/>
                <w:highlight w:val="none"/>
              </w:rPr>
            </w:pPr>
            <w:r>
              <w:rPr>
                <w:rFonts w:hint="eastAsia"/>
                <w:color w:val="auto"/>
                <w:highlight w:val="none"/>
              </w:rPr>
              <w:t>□</w:t>
            </w:r>
            <w:r>
              <w:rPr>
                <w:color w:val="auto"/>
                <w:highlight w:val="none"/>
              </w:rPr>
              <w:t>中标人支付。具体为：根据招标人与代理人签订的《建设工程招标代理合同》，本项目委托招标代理服务费按计取，由中标人在领取中标通知书时，一次性向招标代理机构支付。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53" w:hRule="atLeast"/>
          <w:jc w:val="center"/>
        </w:trPr>
        <w:tc>
          <w:tcPr>
            <w:tcW w:w="869" w:type="dxa"/>
            <w:noWrap/>
            <w:vAlign w:val="center"/>
          </w:tcPr>
          <w:p>
            <w:pPr>
              <w:widowControl/>
              <w:jc w:val="center"/>
              <w:rPr>
                <w:rFonts w:ascii="宋体" w:hAnsi="宋体"/>
                <w:color w:val="auto"/>
                <w:kern w:val="0"/>
                <w:szCs w:val="21"/>
                <w:highlight w:val="none"/>
              </w:rPr>
            </w:pPr>
            <w:r>
              <w:rPr>
                <w:rFonts w:hint="eastAsia"/>
                <w:color w:val="auto"/>
                <w:szCs w:val="21"/>
                <w:highlight w:val="none"/>
              </w:rPr>
              <w:t>11</w:t>
            </w:r>
          </w:p>
        </w:tc>
        <w:tc>
          <w:tcPr>
            <w:tcW w:w="1851" w:type="dxa"/>
            <w:noWrap/>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备注</w:t>
            </w:r>
          </w:p>
        </w:tc>
        <w:tc>
          <w:tcPr>
            <w:tcW w:w="6688" w:type="dxa"/>
            <w:noWrap/>
            <w:vAlign w:val="center"/>
          </w:tcPr>
          <w:p>
            <w:pPr>
              <w:pStyle w:val="7"/>
              <w:ind w:right="304" w:rightChars="145"/>
              <w:rPr>
                <w:rFonts w:ascii="宋体" w:hAnsi="宋体"/>
                <w:color w:val="auto"/>
                <w:kern w:val="0"/>
                <w:szCs w:val="21"/>
                <w:highlight w:val="none"/>
              </w:rPr>
            </w:pPr>
          </w:p>
        </w:tc>
      </w:tr>
    </w:tbl>
    <w:p>
      <w:pPr>
        <w:spacing w:line="360" w:lineRule="auto"/>
        <w:ind w:firstLine="420" w:firstLineChars="200"/>
        <w:rPr>
          <w:rFonts w:eastAsia="楷体_GB2312"/>
          <w:color w:val="auto"/>
          <w:szCs w:val="21"/>
          <w:highlight w:val="none"/>
        </w:rPr>
      </w:pPr>
    </w:p>
    <w:p>
      <w:pPr>
        <w:pStyle w:val="3"/>
        <w:jc w:val="center"/>
        <w:rPr>
          <w:color w:val="auto"/>
          <w:highlight w:val="none"/>
        </w:rPr>
      </w:pPr>
      <w:bookmarkStart w:id="90" w:name="_Toc419320099"/>
      <w:bookmarkStart w:id="91" w:name="_Toc419321135"/>
      <w:bookmarkStart w:id="92" w:name="_Toc19034619"/>
      <w:bookmarkStart w:id="93" w:name="_Toc282958588"/>
      <w:bookmarkStart w:id="94" w:name="_Toc396778057"/>
      <w:bookmarkStart w:id="95" w:name="_Toc419364226"/>
      <w:bookmarkStart w:id="96" w:name="_Toc390874928"/>
      <w:bookmarkStart w:id="97" w:name="_Toc419363502"/>
      <w:bookmarkStart w:id="98" w:name="_Toc433988569"/>
      <w:bookmarkStart w:id="99" w:name="_Toc491277154"/>
      <w:bookmarkStart w:id="100" w:name="_Toc414553652"/>
      <w:bookmarkStart w:id="101" w:name="_Toc390874898"/>
      <w:bookmarkStart w:id="102" w:name="_Toc283196390"/>
      <w:bookmarkStart w:id="103" w:name="_Toc282823812"/>
      <w:bookmarkStart w:id="104" w:name="_Toc275437765"/>
      <w:r>
        <w:rPr>
          <w:rFonts w:hint="eastAsia"/>
          <w:color w:val="auto"/>
          <w:highlight w:val="none"/>
        </w:rPr>
        <w:t>投标人须知正文部分</w:t>
      </w:r>
      <w:bookmarkEnd w:id="90"/>
      <w:bookmarkEnd w:id="91"/>
      <w:bookmarkEnd w:id="92"/>
      <w:bookmarkEnd w:id="93"/>
      <w:bookmarkEnd w:id="94"/>
      <w:bookmarkEnd w:id="95"/>
      <w:bookmarkEnd w:id="96"/>
      <w:bookmarkEnd w:id="97"/>
      <w:bookmarkEnd w:id="98"/>
      <w:bookmarkEnd w:id="99"/>
      <w:bookmarkEnd w:id="100"/>
      <w:bookmarkEnd w:id="101"/>
      <w:bookmarkEnd w:id="102"/>
    </w:p>
    <w:bookmarkEnd w:id="103"/>
    <w:bookmarkEnd w:id="104"/>
    <w:p>
      <w:pPr>
        <w:pStyle w:val="2"/>
        <w:spacing w:line="360" w:lineRule="auto"/>
        <w:rPr>
          <w:rFonts w:ascii="宋体" w:hAnsi="宋体" w:eastAsia="宋体"/>
          <w:color w:val="auto"/>
          <w:sz w:val="24"/>
          <w:szCs w:val="24"/>
          <w:highlight w:val="none"/>
        </w:rPr>
      </w:pPr>
      <w:bookmarkStart w:id="105" w:name="_Toc414553653"/>
      <w:bookmarkStart w:id="106" w:name="_Toc419363503"/>
      <w:bookmarkStart w:id="107" w:name="_Toc433988570"/>
      <w:bookmarkStart w:id="108" w:name="_Toc19034620"/>
      <w:bookmarkStart w:id="109" w:name="_Toc283128904"/>
      <w:bookmarkStart w:id="110" w:name="_Toc419320100"/>
      <w:bookmarkStart w:id="111" w:name="_Toc419321136"/>
      <w:bookmarkStart w:id="112" w:name="_Toc419364227"/>
      <w:bookmarkStart w:id="113" w:name="_Toc396778058"/>
      <w:r>
        <w:rPr>
          <w:rFonts w:hint="eastAsia" w:ascii="宋体" w:hAnsi="宋体" w:eastAsia="宋体"/>
          <w:color w:val="auto"/>
          <w:sz w:val="24"/>
          <w:szCs w:val="24"/>
          <w:highlight w:val="none"/>
        </w:rPr>
        <w:t>1．总则</w:t>
      </w:r>
      <w:bookmarkEnd w:id="105"/>
      <w:bookmarkEnd w:id="106"/>
      <w:bookmarkEnd w:id="107"/>
      <w:bookmarkEnd w:id="108"/>
      <w:bookmarkEnd w:id="109"/>
      <w:bookmarkEnd w:id="110"/>
      <w:bookmarkEnd w:id="111"/>
      <w:bookmarkEnd w:id="112"/>
      <w:bookmarkEnd w:id="113"/>
    </w:p>
    <w:p>
      <w:pPr>
        <w:pStyle w:val="4"/>
        <w:spacing w:before="120" w:beforeLines="50" w:after="120" w:afterLines="50" w:line="360" w:lineRule="auto"/>
        <w:rPr>
          <w:rFonts w:ascii="宋体" w:hAnsi="宋体"/>
          <w:color w:val="auto"/>
          <w:kern w:val="0"/>
          <w:sz w:val="21"/>
          <w:szCs w:val="21"/>
          <w:highlight w:val="none"/>
        </w:rPr>
      </w:pPr>
      <w:bookmarkStart w:id="114" w:name="_Toc19034621"/>
      <w:bookmarkStart w:id="115" w:name="_Toc419364228"/>
      <w:bookmarkStart w:id="116" w:name="_Toc282843637"/>
      <w:bookmarkStart w:id="117" w:name="_Toc433988571"/>
      <w:bookmarkStart w:id="118" w:name="_Toc282823813"/>
      <w:bookmarkStart w:id="119" w:name="_Toc419320101"/>
      <w:bookmarkStart w:id="120" w:name="_Toc419321137"/>
      <w:bookmarkStart w:id="121" w:name="_Toc419363504"/>
      <w:r>
        <w:rPr>
          <w:rFonts w:hint="eastAsia" w:ascii="宋体" w:hAnsi="宋体"/>
          <w:color w:val="auto"/>
          <w:kern w:val="0"/>
          <w:sz w:val="21"/>
          <w:szCs w:val="21"/>
          <w:highlight w:val="none"/>
        </w:rPr>
        <w:t>1.1 项目概况</w:t>
      </w:r>
      <w:bookmarkEnd w:id="114"/>
      <w:bookmarkEnd w:id="115"/>
      <w:bookmarkEnd w:id="116"/>
      <w:bookmarkEnd w:id="117"/>
      <w:bookmarkEnd w:id="118"/>
      <w:bookmarkEnd w:id="119"/>
      <w:bookmarkEnd w:id="120"/>
      <w:bookmarkEnd w:id="121"/>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1.1.1 根据《中华人民共和国招标投标法》、《中华人民共和国招标投标法实施条例》等有关法律、法规和规章的规定，本招标项目己具备招标条件，现对该项目进行工程总承包招标。</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1.1.2招标人：见投标人须知前附表。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1.1.3招标代理机构：见投标人须知前附表。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1.1.4招标项目名称</w:t>
      </w:r>
      <w:r>
        <w:rPr>
          <w:rFonts w:hint="eastAsia"/>
          <w:color w:val="auto"/>
          <w:szCs w:val="21"/>
          <w:highlight w:val="none"/>
        </w:rPr>
        <w:t>及项目招标编号</w:t>
      </w:r>
      <w:r>
        <w:rPr>
          <w:rFonts w:hint="eastAsia" w:ascii="宋体" w:hAnsi="宋体"/>
          <w:color w:val="auto"/>
          <w:szCs w:val="21"/>
          <w:highlight w:val="none"/>
        </w:rPr>
        <w:t>：见投标人须知前附表。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1.1.5项目建设地点：见投标人须知前附表。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1.1.6项目建设规模：见投标人须知前附表。</w:t>
      </w:r>
    </w:p>
    <w:p>
      <w:pPr>
        <w:pStyle w:val="4"/>
        <w:spacing w:before="120" w:beforeLines="50" w:after="120" w:afterLines="50" w:line="360" w:lineRule="auto"/>
        <w:rPr>
          <w:rFonts w:ascii="宋体" w:hAnsi="宋体"/>
          <w:color w:val="auto"/>
          <w:kern w:val="0"/>
          <w:sz w:val="21"/>
          <w:szCs w:val="21"/>
          <w:highlight w:val="none"/>
        </w:rPr>
      </w:pPr>
      <w:bookmarkStart w:id="122" w:name="_Toc282823814"/>
      <w:bookmarkStart w:id="123" w:name="_Toc419321138"/>
      <w:bookmarkStart w:id="124" w:name="_Toc419364229"/>
      <w:bookmarkStart w:id="125" w:name="_Toc282843638"/>
      <w:bookmarkStart w:id="126" w:name="_Toc19034622"/>
      <w:bookmarkStart w:id="127" w:name="_Toc419363505"/>
      <w:bookmarkStart w:id="128" w:name="_Toc433988572"/>
      <w:bookmarkStart w:id="129" w:name="_Toc419320102"/>
      <w:r>
        <w:rPr>
          <w:rFonts w:hint="eastAsia" w:ascii="宋体" w:hAnsi="宋体"/>
          <w:color w:val="auto"/>
          <w:kern w:val="0"/>
          <w:sz w:val="21"/>
          <w:szCs w:val="21"/>
          <w:highlight w:val="none"/>
        </w:rPr>
        <w:t>1.2 资金来源和落实情况</w:t>
      </w:r>
      <w:bookmarkEnd w:id="122"/>
      <w:bookmarkEnd w:id="123"/>
      <w:bookmarkEnd w:id="124"/>
      <w:bookmarkEnd w:id="125"/>
      <w:bookmarkEnd w:id="126"/>
      <w:bookmarkEnd w:id="127"/>
      <w:bookmarkEnd w:id="128"/>
      <w:bookmarkEnd w:id="129"/>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1.2.1 资金来源及比例：见投标人须知前附表。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1.2.2 资金落实情况：见投标人须知前附表。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1.2.3 本招标项目的增值税计税方法：</w:t>
      </w:r>
      <w:r>
        <w:rPr>
          <w:rFonts w:ascii="宋体" w:hAnsi="宋体"/>
          <w:color w:val="auto"/>
          <w:szCs w:val="21"/>
          <w:highlight w:val="none"/>
        </w:rPr>
        <w:t>见“投标人须知前附表”。</w:t>
      </w:r>
    </w:p>
    <w:p>
      <w:pPr>
        <w:pStyle w:val="4"/>
        <w:spacing w:before="120" w:beforeLines="50" w:after="120" w:afterLines="50" w:line="360" w:lineRule="auto"/>
        <w:rPr>
          <w:rFonts w:ascii="宋体" w:hAnsi="宋体"/>
          <w:color w:val="auto"/>
          <w:kern w:val="0"/>
          <w:sz w:val="21"/>
          <w:szCs w:val="21"/>
          <w:highlight w:val="none"/>
        </w:rPr>
      </w:pPr>
      <w:bookmarkStart w:id="130" w:name="_Toc282823815"/>
      <w:bookmarkStart w:id="131" w:name="_Toc282843639"/>
      <w:bookmarkStart w:id="132" w:name="_Toc19034623"/>
      <w:bookmarkStart w:id="133" w:name="_Toc419363506"/>
      <w:bookmarkStart w:id="134" w:name="_Toc419321139"/>
      <w:bookmarkStart w:id="135" w:name="_Toc419364230"/>
      <w:bookmarkStart w:id="136" w:name="_Toc433988573"/>
      <w:bookmarkStart w:id="137" w:name="_Toc419320103"/>
      <w:r>
        <w:rPr>
          <w:rFonts w:hint="eastAsia" w:ascii="宋体" w:hAnsi="宋体"/>
          <w:color w:val="auto"/>
          <w:kern w:val="0"/>
          <w:sz w:val="21"/>
          <w:szCs w:val="21"/>
          <w:highlight w:val="none"/>
        </w:rPr>
        <w:t>1.3 招标范围、计划工期和质量</w:t>
      </w:r>
      <w:bookmarkEnd w:id="130"/>
      <w:bookmarkEnd w:id="131"/>
      <w:r>
        <w:rPr>
          <w:rFonts w:hint="eastAsia" w:ascii="宋体" w:hAnsi="宋体"/>
          <w:color w:val="auto"/>
          <w:kern w:val="0"/>
          <w:sz w:val="21"/>
          <w:szCs w:val="21"/>
          <w:highlight w:val="none"/>
        </w:rPr>
        <w:t>要求</w:t>
      </w:r>
      <w:bookmarkEnd w:id="132"/>
      <w:bookmarkEnd w:id="133"/>
      <w:bookmarkEnd w:id="134"/>
      <w:bookmarkEnd w:id="135"/>
      <w:bookmarkEnd w:id="136"/>
      <w:bookmarkEnd w:id="137"/>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1.3.1 招标范围：见投标人须知前附表。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1.3.2 计划工期：见投标人须知前附表。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1.3.3 质量要求：见投标人须知前附表。</w:t>
      </w:r>
    </w:p>
    <w:p>
      <w:pPr>
        <w:pStyle w:val="4"/>
        <w:spacing w:before="120" w:beforeLines="50" w:after="120" w:afterLines="50" w:line="360" w:lineRule="auto"/>
        <w:rPr>
          <w:rFonts w:ascii="宋体" w:hAnsi="宋体"/>
          <w:color w:val="auto"/>
          <w:kern w:val="0"/>
          <w:sz w:val="21"/>
          <w:szCs w:val="21"/>
          <w:highlight w:val="none"/>
        </w:rPr>
      </w:pPr>
      <w:bookmarkStart w:id="138" w:name="_Toc282823817"/>
      <w:bookmarkStart w:id="139" w:name="_Toc419320104"/>
      <w:bookmarkStart w:id="140" w:name="_Toc282843641"/>
      <w:bookmarkStart w:id="141" w:name="_Toc419363507"/>
      <w:bookmarkStart w:id="142" w:name="_Toc19034624"/>
      <w:bookmarkStart w:id="143" w:name="_Toc419364231"/>
      <w:bookmarkStart w:id="144" w:name="_Toc419321140"/>
      <w:bookmarkStart w:id="145" w:name="_Toc433988574"/>
      <w:r>
        <w:rPr>
          <w:rFonts w:hint="eastAsia" w:ascii="宋体" w:hAnsi="宋体"/>
          <w:color w:val="auto"/>
          <w:kern w:val="0"/>
          <w:sz w:val="21"/>
          <w:szCs w:val="21"/>
          <w:highlight w:val="none"/>
        </w:rPr>
        <w:t>1.4 投标人资格要求</w:t>
      </w:r>
      <w:bookmarkEnd w:id="138"/>
      <w:bookmarkEnd w:id="139"/>
      <w:bookmarkEnd w:id="140"/>
      <w:bookmarkEnd w:id="141"/>
      <w:bookmarkEnd w:id="142"/>
      <w:bookmarkEnd w:id="143"/>
      <w:bookmarkEnd w:id="144"/>
      <w:bookmarkEnd w:id="145"/>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1.4.1 投标人应具备承担本招标项目资质条件、能力和信誉。</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（1）资质条件：见投标人须知前附表；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（2）主要负责人要求：见投标人须知前附表；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（3）信誉要求：见投标人须知前附表；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（4）财务要求：见投标人须知前附表；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（5）施工机械设备：见投标人须知前附表；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（6）项目管理机构及人员：见投标人须知前附表；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（7）其他要求：见投标人须知前附表；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1.4.2 投标人须知前附表规定接受联合体投标的，除应符合本章第1.4.1项和投标人须知前附表的要求外，还应遵守以下规定：</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（1）联合体各方应按招标文件提供的格式签订联合体协议书，明确联合体牵头人和各方权利义务；</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（2）联合体投标人的设计资质以负责设计内容的成员单位的设计资质及等级为准，联合体投标人的施工资质以负责施工内容的成员单位的施工总承包资质及等级为准。</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（3）联合体各方不得再以自己名义单独或参加其他联合体在同一标段中投标。</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1.4.3 是否要求采用装配式技术：见投标人须知前附表。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1.4.4 是否要求采用建筑信息模型（BIM）技术：见投标人须知前附表。</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1.4.5 投标人不得存在下列情形之一：</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）为招标人不具有独立法人资格的附属机构（单位）；</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（2）为本招标项目的监理人；</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（3）为本招标项目的代建人；</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（4）为本招标项目的项目管理单位；</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（5）为本招标项目的前期咨询单位；</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（6）为本招标项目提供招标代理、造价咨询服务的；</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（7）被责令停业或整顿的；</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（8）被暂停或取消投标资格的；</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（9）财产被接管或基本账户被冻结的；</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（10）在最近三年内有骗取中标或严重违约或重大工程质量问题的；</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（11）与本标段的监理人或代建人或招标代理机构同为一个法定代表人的；</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（12）与本标段的监理人或代建人或招标代理机构相互控股或参股的；</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（13）与本标段的监理人或代建人或招标代理机构相互任职或工作的；</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（14）其他与招标人存在利益关系且可能影响招标公正性的。</w:t>
      </w:r>
    </w:p>
    <w:p>
      <w:pPr>
        <w:pStyle w:val="4"/>
        <w:spacing w:before="120" w:beforeLines="50" w:after="120" w:afterLines="50" w:line="360" w:lineRule="auto"/>
        <w:rPr>
          <w:rFonts w:ascii="宋体" w:hAnsi="宋体"/>
          <w:color w:val="auto"/>
          <w:kern w:val="0"/>
          <w:sz w:val="21"/>
          <w:szCs w:val="21"/>
          <w:highlight w:val="none"/>
        </w:rPr>
      </w:pPr>
      <w:bookmarkStart w:id="146" w:name="_Toc282823819"/>
      <w:bookmarkStart w:id="147" w:name="_Toc282843643"/>
      <w:bookmarkStart w:id="148" w:name="_Toc419364232"/>
      <w:bookmarkStart w:id="149" w:name="_Toc19034625"/>
      <w:bookmarkStart w:id="150" w:name="_Toc419320105"/>
      <w:bookmarkStart w:id="151" w:name="_Toc419321141"/>
      <w:bookmarkStart w:id="152" w:name="_Toc419363508"/>
      <w:bookmarkStart w:id="153" w:name="_Toc433988575"/>
      <w:r>
        <w:rPr>
          <w:rFonts w:hint="eastAsia" w:ascii="宋体" w:hAnsi="宋体"/>
          <w:color w:val="auto"/>
          <w:kern w:val="0"/>
          <w:sz w:val="21"/>
          <w:szCs w:val="21"/>
          <w:highlight w:val="none"/>
        </w:rPr>
        <w:t>1.5 费用承担</w:t>
      </w:r>
      <w:bookmarkEnd w:id="146"/>
      <w:bookmarkEnd w:id="147"/>
      <w:r>
        <w:rPr>
          <w:rFonts w:hint="eastAsia" w:ascii="宋体" w:hAnsi="宋体"/>
          <w:color w:val="auto"/>
          <w:kern w:val="0"/>
          <w:sz w:val="21"/>
          <w:szCs w:val="21"/>
          <w:highlight w:val="none"/>
        </w:rPr>
        <w:t>和设计成果补偿</w:t>
      </w:r>
      <w:bookmarkEnd w:id="148"/>
      <w:bookmarkEnd w:id="149"/>
      <w:bookmarkEnd w:id="150"/>
      <w:bookmarkEnd w:id="151"/>
      <w:bookmarkEnd w:id="152"/>
      <w:bookmarkEnd w:id="153"/>
    </w:p>
    <w:p>
      <w:pPr>
        <w:spacing w:line="400" w:lineRule="exact"/>
        <w:ind w:firstLine="357" w:firstLineChars="170"/>
        <w:rPr>
          <w:rFonts w:ascii="宋体" w:hAnsi="宋体"/>
          <w:color w:val="auto"/>
          <w:szCs w:val="21"/>
          <w:highlight w:val="none"/>
        </w:rPr>
      </w:pPr>
      <w:r>
        <w:rPr>
          <w:rFonts w:ascii="宋体" w:hAnsi="宋体"/>
          <w:color w:val="auto"/>
          <w:szCs w:val="21"/>
          <w:highlight w:val="none"/>
        </w:rPr>
        <w:t xml:space="preserve">1.5.1 </w:t>
      </w:r>
      <w:r>
        <w:rPr>
          <w:rFonts w:hint="eastAsia" w:ascii="宋体" w:hAnsi="宋体"/>
          <w:color w:val="auto"/>
          <w:szCs w:val="21"/>
          <w:highlight w:val="none"/>
        </w:rPr>
        <w:t>投标人准备和参加投标活动发生的费用自理。</w:t>
      </w:r>
    </w:p>
    <w:p>
      <w:pPr>
        <w:spacing w:line="400" w:lineRule="exact"/>
        <w:ind w:firstLine="357" w:firstLineChars="170"/>
        <w:rPr>
          <w:rFonts w:ascii="宋体" w:hAnsi="宋体"/>
          <w:color w:val="auto"/>
          <w:szCs w:val="21"/>
          <w:highlight w:val="none"/>
        </w:rPr>
      </w:pPr>
      <w:r>
        <w:rPr>
          <w:rFonts w:ascii="宋体" w:hAnsi="宋体"/>
          <w:color w:val="auto"/>
          <w:szCs w:val="21"/>
          <w:highlight w:val="none"/>
        </w:rPr>
        <w:t xml:space="preserve">1.5.2 </w:t>
      </w:r>
      <w:r>
        <w:rPr>
          <w:rFonts w:hint="eastAsia" w:ascii="宋体" w:hAnsi="宋体"/>
          <w:color w:val="auto"/>
          <w:szCs w:val="21"/>
          <w:highlight w:val="none"/>
        </w:rPr>
        <w:t>招标人对符合招标文件规定的未中标人的设计成果进行补偿的，按投标人须知前附表规定给予补偿，并有权免费使用未中标人设计成果。招标人对符合招标文件规定的未中标人的设计成果不进行补偿的，招标人使用未中标人设计成果的，应征得该投标人同意，并支付使用费。</w:t>
      </w:r>
    </w:p>
    <w:p>
      <w:pPr>
        <w:pStyle w:val="4"/>
        <w:spacing w:before="120" w:beforeLines="50" w:after="120" w:afterLines="50" w:line="360" w:lineRule="auto"/>
        <w:rPr>
          <w:rFonts w:ascii="宋体" w:hAnsi="宋体"/>
          <w:color w:val="auto"/>
          <w:kern w:val="0"/>
          <w:sz w:val="21"/>
          <w:szCs w:val="21"/>
          <w:highlight w:val="none"/>
        </w:rPr>
      </w:pPr>
      <w:bookmarkStart w:id="154" w:name="_Toc282823820"/>
      <w:bookmarkStart w:id="155" w:name="_Toc419321142"/>
      <w:bookmarkStart w:id="156" w:name="_Toc419363509"/>
      <w:bookmarkStart w:id="157" w:name="_Toc282843644"/>
      <w:bookmarkStart w:id="158" w:name="_Toc419364233"/>
      <w:bookmarkStart w:id="159" w:name="_Toc433988576"/>
      <w:bookmarkStart w:id="160" w:name="_Toc19034626"/>
      <w:bookmarkStart w:id="161" w:name="_Toc419320106"/>
      <w:r>
        <w:rPr>
          <w:rFonts w:hint="eastAsia" w:ascii="宋体" w:hAnsi="宋体"/>
          <w:color w:val="auto"/>
          <w:kern w:val="0"/>
          <w:sz w:val="21"/>
          <w:szCs w:val="21"/>
          <w:highlight w:val="none"/>
        </w:rPr>
        <w:t>1.6 保密</w:t>
      </w:r>
      <w:bookmarkEnd w:id="154"/>
      <w:bookmarkEnd w:id="155"/>
      <w:bookmarkEnd w:id="156"/>
      <w:bookmarkEnd w:id="157"/>
      <w:bookmarkEnd w:id="158"/>
      <w:bookmarkEnd w:id="159"/>
      <w:bookmarkEnd w:id="160"/>
      <w:bookmarkEnd w:id="161"/>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参与招标投标活动的各方应对招标文件和投标文件中的商业和技术等秘密保密，违者应对由此造成的后果承担法律责任。</w:t>
      </w:r>
    </w:p>
    <w:p>
      <w:pPr>
        <w:pStyle w:val="4"/>
        <w:spacing w:before="120" w:beforeLines="50" w:after="120" w:afterLines="50" w:line="360" w:lineRule="auto"/>
        <w:rPr>
          <w:rFonts w:ascii="宋体" w:hAnsi="宋体"/>
          <w:color w:val="auto"/>
          <w:kern w:val="0"/>
          <w:sz w:val="21"/>
          <w:szCs w:val="21"/>
          <w:highlight w:val="none"/>
        </w:rPr>
      </w:pPr>
      <w:bookmarkStart w:id="162" w:name="_Toc419363510"/>
      <w:bookmarkStart w:id="163" w:name="_Toc419364234"/>
      <w:bookmarkStart w:id="164" w:name="_Toc419320107"/>
      <w:bookmarkStart w:id="165" w:name="_Toc282843645"/>
      <w:bookmarkStart w:id="166" w:name="_Toc419321143"/>
      <w:bookmarkStart w:id="167" w:name="_Toc433988577"/>
      <w:bookmarkStart w:id="168" w:name="_Toc282823821"/>
      <w:bookmarkStart w:id="169" w:name="_Toc19034627"/>
      <w:r>
        <w:rPr>
          <w:rFonts w:hint="eastAsia" w:ascii="宋体" w:hAnsi="宋体"/>
          <w:color w:val="auto"/>
          <w:kern w:val="0"/>
          <w:sz w:val="21"/>
          <w:szCs w:val="21"/>
          <w:highlight w:val="none"/>
        </w:rPr>
        <w:t>1.7 语言文字</w:t>
      </w:r>
      <w:bookmarkEnd w:id="162"/>
      <w:bookmarkEnd w:id="163"/>
      <w:bookmarkEnd w:id="164"/>
      <w:bookmarkEnd w:id="165"/>
      <w:bookmarkEnd w:id="166"/>
      <w:bookmarkEnd w:id="167"/>
      <w:bookmarkEnd w:id="168"/>
      <w:bookmarkEnd w:id="169"/>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除专用术语外，与招标投标有关的语言均使用中文。必要时专用术语应附有中文注释。</w:t>
      </w:r>
    </w:p>
    <w:p>
      <w:pPr>
        <w:pStyle w:val="4"/>
        <w:spacing w:before="120" w:beforeLines="50" w:after="120" w:afterLines="50" w:line="360" w:lineRule="auto"/>
        <w:rPr>
          <w:rFonts w:ascii="宋体" w:hAnsi="宋体"/>
          <w:color w:val="auto"/>
          <w:kern w:val="0"/>
          <w:sz w:val="21"/>
          <w:szCs w:val="21"/>
          <w:highlight w:val="none"/>
        </w:rPr>
      </w:pPr>
      <w:bookmarkStart w:id="170" w:name="_Toc282823822"/>
      <w:bookmarkStart w:id="171" w:name="_Toc419320108"/>
      <w:bookmarkStart w:id="172" w:name="_Toc19034628"/>
      <w:bookmarkStart w:id="173" w:name="_Toc282843646"/>
      <w:bookmarkStart w:id="174" w:name="_Toc419364235"/>
      <w:bookmarkStart w:id="175" w:name="_Toc433988578"/>
      <w:bookmarkStart w:id="176" w:name="_Toc419363511"/>
      <w:bookmarkStart w:id="177" w:name="_Toc419321144"/>
      <w:r>
        <w:rPr>
          <w:rFonts w:hint="eastAsia" w:ascii="宋体" w:hAnsi="宋体"/>
          <w:color w:val="auto"/>
          <w:kern w:val="0"/>
          <w:sz w:val="21"/>
          <w:szCs w:val="21"/>
          <w:highlight w:val="none"/>
        </w:rPr>
        <w:t>1.8 计量单位</w:t>
      </w:r>
      <w:bookmarkEnd w:id="170"/>
      <w:bookmarkEnd w:id="171"/>
      <w:bookmarkEnd w:id="172"/>
      <w:bookmarkEnd w:id="173"/>
      <w:bookmarkEnd w:id="174"/>
      <w:bookmarkEnd w:id="175"/>
      <w:bookmarkEnd w:id="176"/>
      <w:bookmarkEnd w:id="177"/>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所有计量均采用中华人民共和国法定计量单位。</w:t>
      </w:r>
    </w:p>
    <w:p>
      <w:pPr>
        <w:pStyle w:val="4"/>
        <w:spacing w:before="120" w:beforeLines="50" w:after="120" w:afterLines="50" w:line="360" w:lineRule="auto"/>
        <w:rPr>
          <w:rFonts w:ascii="宋体" w:hAnsi="宋体"/>
          <w:color w:val="auto"/>
          <w:kern w:val="0"/>
          <w:sz w:val="21"/>
          <w:szCs w:val="21"/>
          <w:highlight w:val="none"/>
        </w:rPr>
      </w:pPr>
      <w:bookmarkStart w:id="178" w:name="_Toc282843647"/>
      <w:bookmarkStart w:id="179" w:name="_Toc419320109"/>
      <w:bookmarkStart w:id="180" w:name="_Toc419363512"/>
      <w:bookmarkStart w:id="181" w:name="_Toc19034629"/>
      <w:bookmarkStart w:id="182" w:name="_Toc419364236"/>
      <w:bookmarkStart w:id="183" w:name="_Toc282823823"/>
      <w:bookmarkStart w:id="184" w:name="_Toc433988579"/>
      <w:bookmarkStart w:id="185" w:name="_Toc419321145"/>
      <w:r>
        <w:rPr>
          <w:rFonts w:hint="eastAsia" w:ascii="宋体" w:hAnsi="宋体"/>
          <w:color w:val="auto"/>
          <w:kern w:val="0"/>
          <w:sz w:val="21"/>
          <w:szCs w:val="21"/>
          <w:highlight w:val="none"/>
        </w:rPr>
        <w:t>1.9 踏勘现场</w:t>
      </w:r>
      <w:bookmarkEnd w:id="178"/>
      <w:bookmarkEnd w:id="179"/>
      <w:bookmarkEnd w:id="180"/>
      <w:bookmarkEnd w:id="181"/>
      <w:bookmarkEnd w:id="182"/>
      <w:bookmarkEnd w:id="183"/>
      <w:bookmarkEnd w:id="184"/>
      <w:bookmarkEnd w:id="185"/>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1.9.1</w:t>
      </w:r>
      <w:r>
        <w:rPr>
          <w:rFonts w:hint="eastAsia"/>
          <w:color w:val="auto"/>
          <w:szCs w:val="21"/>
          <w:highlight w:val="none"/>
        </w:rPr>
        <w:t>投标人须知前附表规定组织踏勘现场的，招标人按投标人须知前附表规定的时间、地点组织投标人踏勘项目现场</w:t>
      </w:r>
      <w:r>
        <w:rPr>
          <w:rFonts w:hint="eastAsia" w:ascii="宋体" w:hAnsi="宋体"/>
          <w:color w:val="auto"/>
          <w:szCs w:val="21"/>
          <w:highlight w:val="none"/>
        </w:rPr>
        <w:t>。</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1.9.2 投标人踏勘现场发生的费用自理。</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1.9.3 除招标人的原因外，投标人自行负责在踏勘现场中所发生的人员伤亡和财产损失。</w:t>
      </w:r>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1.9.4 招标人在踏勘现场中介绍的工程场地和相关的周边环境情况，供投标人在编制投标文件时参考，招标人不对投标人据此作出的判断和决策负责。</w:t>
      </w:r>
    </w:p>
    <w:p>
      <w:pPr>
        <w:pStyle w:val="4"/>
        <w:spacing w:before="120" w:beforeLines="50" w:after="120" w:afterLines="50" w:line="360" w:lineRule="auto"/>
        <w:rPr>
          <w:rFonts w:ascii="宋体" w:hAnsi="宋体"/>
          <w:color w:val="auto"/>
          <w:kern w:val="0"/>
          <w:sz w:val="21"/>
          <w:szCs w:val="21"/>
          <w:highlight w:val="none"/>
        </w:rPr>
      </w:pPr>
      <w:bookmarkStart w:id="186" w:name="_Toc419320110"/>
      <w:bookmarkStart w:id="187" w:name="_Toc433988580"/>
      <w:bookmarkStart w:id="188" w:name="_Toc19034630"/>
      <w:bookmarkStart w:id="189" w:name="_Toc282823824"/>
      <w:bookmarkStart w:id="190" w:name="_Toc419364237"/>
      <w:bookmarkStart w:id="191" w:name="_Toc419321146"/>
      <w:bookmarkStart w:id="192" w:name="_Toc419363513"/>
      <w:bookmarkStart w:id="193" w:name="_Toc282843648"/>
      <w:r>
        <w:rPr>
          <w:rFonts w:hint="eastAsia" w:ascii="宋体" w:hAnsi="宋体"/>
          <w:color w:val="auto"/>
          <w:kern w:val="0"/>
          <w:sz w:val="21"/>
          <w:szCs w:val="21"/>
          <w:highlight w:val="none"/>
        </w:rPr>
        <w:t>1.10 投标预备会</w:t>
      </w:r>
      <w:bookmarkEnd w:id="186"/>
      <w:bookmarkEnd w:id="187"/>
      <w:bookmarkEnd w:id="188"/>
      <w:bookmarkEnd w:id="189"/>
      <w:bookmarkEnd w:id="190"/>
      <w:bookmarkEnd w:id="191"/>
      <w:bookmarkEnd w:id="192"/>
      <w:bookmarkEnd w:id="193"/>
    </w:p>
    <w:p>
      <w:pPr>
        <w:spacing w:line="400" w:lineRule="exact"/>
        <w:ind w:firstLine="357" w:firstLineChars="170"/>
        <w:rPr>
          <w:rFonts w:ascii="宋体" w:hAnsi="宋体"/>
          <w:color w:val="auto"/>
          <w:szCs w:val="21"/>
          <w:highlight w:val="none"/>
        </w:rPr>
      </w:pPr>
      <w:r>
        <w:rPr>
          <w:rFonts w:ascii="宋体" w:hAnsi="宋体"/>
          <w:color w:val="auto"/>
          <w:szCs w:val="21"/>
          <w:highlight w:val="none"/>
        </w:rPr>
        <w:t xml:space="preserve">1.10.1 </w:t>
      </w:r>
      <w:r>
        <w:rPr>
          <w:rFonts w:hint="eastAsia" w:ascii="宋体" w:hAnsi="宋体"/>
          <w:color w:val="auto"/>
          <w:szCs w:val="21"/>
          <w:highlight w:val="none"/>
        </w:rPr>
        <w:t>投标人须知前附表规定召开投标预备会的，招标人按投标人须知前附表规定的时间和地点召开投标预备会，澄清投标人提出的问题。</w:t>
      </w:r>
    </w:p>
    <w:p>
      <w:pPr>
        <w:spacing w:line="400" w:lineRule="exact"/>
        <w:ind w:firstLine="357" w:firstLineChars="170"/>
        <w:rPr>
          <w:rFonts w:ascii="宋体" w:hAnsi="宋体"/>
          <w:color w:val="auto"/>
          <w:szCs w:val="21"/>
          <w:highlight w:val="none"/>
        </w:rPr>
      </w:pPr>
      <w:r>
        <w:rPr>
          <w:rFonts w:ascii="宋体" w:hAnsi="宋体"/>
          <w:color w:val="auto"/>
          <w:szCs w:val="21"/>
          <w:highlight w:val="none"/>
        </w:rPr>
        <w:t xml:space="preserve">1.10.2 </w:t>
      </w:r>
      <w:r>
        <w:rPr>
          <w:rFonts w:hint="eastAsia" w:ascii="宋体" w:hAnsi="宋体"/>
          <w:color w:val="auto"/>
          <w:szCs w:val="21"/>
          <w:highlight w:val="none"/>
        </w:rPr>
        <w:t>投标人应在投标人须知前附表规定的时间前，以书面形式将提出的问题送达招标人，以便招标人在会议期间澄清。</w:t>
      </w:r>
    </w:p>
    <w:p>
      <w:pPr>
        <w:spacing w:line="400" w:lineRule="exact"/>
        <w:ind w:firstLine="357" w:firstLineChars="170"/>
        <w:rPr>
          <w:rFonts w:ascii="宋体" w:hAnsi="宋体"/>
          <w:color w:val="auto"/>
          <w:szCs w:val="21"/>
          <w:highlight w:val="none"/>
        </w:rPr>
      </w:pPr>
      <w:r>
        <w:rPr>
          <w:rFonts w:ascii="宋体" w:hAnsi="宋体"/>
          <w:color w:val="auto"/>
          <w:szCs w:val="21"/>
          <w:highlight w:val="none"/>
        </w:rPr>
        <w:t xml:space="preserve">1.10.3 </w:t>
      </w:r>
      <w:r>
        <w:rPr>
          <w:rFonts w:hint="eastAsia" w:ascii="宋体" w:hAnsi="宋体"/>
          <w:color w:val="auto"/>
          <w:szCs w:val="21"/>
          <w:highlight w:val="none"/>
        </w:rPr>
        <w:t>投标预备会后，招标人在投标人须知前附表规定的时间内，将对投标人所提问题的澄清，以书面方式通知所有购买招标文件的投标人。该澄清内容为招标文件的组成部分。</w:t>
      </w:r>
    </w:p>
    <w:p>
      <w:pPr>
        <w:pStyle w:val="4"/>
        <w:spacing w:before="120" w:beforeLines="50" w:after="120" w:afterLines="50" w:line="360" w:lineRule="auto"/>
        <w:rPr>
          <w:rFonts w:ascii="宋体" w:hAnsi="宋体"/>
          <w:color w:val="auto"/>
          <w:kern w:val="0"/>
          <w:sz w:val="21"/>
          <w:szCs w:val="21"/>
          <w:highlight w:val="none"/>
        </w:rPr>
      </w:pPr>
      <w:bookmarkStart w:id="194" w:name="_Toc19034631"/>
      <w:bookmarkStart w:id="195" w:name="_Toc419364238"/>
      <w:bookmarkStart w:id="196" w:name="_Toc419363514"/>
      <w:bookmarkStart w:id="197" w:name="_Toc282843649"/>
      <w:bookmarkStart w:id="198" w:name="_Toc419320111"/>
      <w:bookmarkStart w:id="199" w:name="_Toc419321147"/>
      <w:bookmarkStart w:id="200" w:name="_Toc282823825"/>
      <w:bookmarkStart w:id="201" w:name="_Toc433988581"/>
      <w:r>
        <w:rPr>
          <w:rFonts w:hint="eastAsia" w:ascii="宋体" w:hAnsi="宋体"/>
          <w:color w:val="auto"/>
          <w:kern w:val="0"/>
          <w:sz w:val="21"/>
          <w:szCs w:val="21"/>
          <w:highlight w:val="none"/>
        </w:rPr>
        <w:t>1.11 分包</w:t>
      </w:r>
      <w:bookmarkEnd w:id="194"/>
      <w:bookmarkEnd w:id="195"/>
      <w:bookmarkEnd w:id="196"/>
      <w:bookmarkEnd w:id="197"/>
      <w:bookmarkEnd w:id="198"/>
      <w:bookmarkEnd w:id="199"/>
      <w:bookmarkEnd w:id="200"/>
      <w:bookmarkEnd w:id="201"/>
    </w:p>
    <w:p>
      <w:pPr>
        <w:spacing w:line="400" w:lineRule="exact"/>
        <w:ind w:firstLine="357" w:firstLineChars="170"/>
        <w:rPr>
          <w:rFonts w:ascii="宋体" w:hAnsi="宋体"/>
          <w:color w:val="auto"/>
          <w:szCs w:val="21"/>
          <w:highlight w:val="none"/>
        </w:rPr>
      </w:pPr>
      <w:bookmarkStart w:id="202" w:name="_Toc282843650"/>
      <w:bookmarkStart w:id="203" w:name="_Toc282823826"/>
      <w:r>
        <w:rPr>
          <w:rFonts w:hint="eastAsia" w:ascii="宋体" w:hAnsi="宋体"/>
          <w:color w:val="auto"/>
          <w:szCs w:val="21"/>
          <w:highlight w:val="none"/>
        </w:rPr>
        <w:t>1.11.1投标人须知前附表规定应由分包人实施的非主体、非关键性工作，投标人应当按照第五章“发包人要求”的规定提供分包人候选名单及其相应资料。</w:t>
      </w:r>
    </w:p>
    <w:p>
      <w:pPr>
        <w:spacing w:line="400" w:lineRule="exact"/>
        <w:ind w:firstLine="357" w:firstLineChars="170"/>
        <w:rPr>
          <w:color w:val="auto"/>
          <w:highlight w:val="none"/>
        </w:rPr>
      </w:pPr>
      <w:r>
        <w:rPr>
          <w:rFonts w:hint="eastAsia" w:ascii="宋体" w:hAnsi="宋体"/>
          <w:color w:val="auto"/>
          <w:szCs w:val="21"/>
          <w:highlight w:val="none"/>
        </w:rPr>
        <w:t>1.11.2 投标人拟在中标后将中标项目的部分非主体、非关键性工作进行分包的，应符合投标人须知前附表规定的分包内容、分包金额和资质要求等限制性条件。</w:t>
      </w:r>
    </w:p>
    <w:p>
      <w:pPr>
        <w:pStyle w:val="4"/>
        <w:spacing w:before="120" w:beforeLines="50" w:after="120" w:afterLines="50" w:line="360" w:lineRule="auto"/>
        <w:rPr>
          <w:rFonts w:ascii="宋体" w:hAnsi="宋体"/>
          <w:color w:val="auto"/>
          <w:kern w:val="0"/>
          <w:sz w:val="21"/>
          <w:szCs w:val="21"/>
          <w:highlight w:val="none"/>
        </w:rPr>
      </w:pPr>
      <w:bookmarkStart w:id="204" w:name="_Toc419363515"/>
      <w:bookmarkStart w:id="205" w:name="_Toc419320112"/>
      <w:bookmarkStart w:id="206" w:name="_Toc419364239"/>
      <w:bookmarkStart w:id="207" w:name="_Toc19034632"/>
      <w:bookmarkStart w:id="208" w:name="_Toc433988582"/>
      <w:bookmarkStart w:id="209" w:name="_Toc419321148"/>
      <w:r>
        <w:rPr>
          <w:rFonts w:hint="eastAsia" w:ascii="宋体" w:hAnsi="宋体"/>
          <w:color w:val="auto"/>
          <w:kern w:val="0"/>
          <w:sz w:val="21"/>
          <w:szCs w:val="21"/>
          <w:highlight w:val="none"/>
        </w:rPr>
        <w:t>1.12 偏离</w:t>
      </w:r>
      <w:bookmarkEnd w:id="202"/>
      <w:bookmarkEnd w:id="203"/>
      <w:bookmarkEnd w:id="204"/>
      <w:bookmarkEnd w:id="205"/>
      <w:bookmarkEnd w:id="206"/>
      <w:bookmarkEnd w:id="207"/>
      <w:bookmarkEnd w:id="208"/>
      <w:bookmarkEnd w:id="209"/>
    </w:p>
    <w:p>
      <w:pPr>
        <w:spacing w:line="400" w:lineRule="exact"/>
        <w:ind w:firstLine="357" w:firstLineChars="170"/>
        <w:rPr>
          <w:rFonts w:ascii="宋体" w:hAnsi="宋体"/>
          <w:color w:val="auto"/>
          <w:szCs w:val="21"/>
          <w:highlight w:val="none"/>
        </w:rPr>
      </w:pPr>
      <w:r>
        <w:rPr>
          <w:rFonts w:hint="eastAsia" w:ascii="宋体" w:hAnsi="宋体"/>
          <w:color w:val="auto"/>
          <w:szCs w:val="21"/>
          <w:highlight w:val="none"/>
        </w:rPr>
        <w:t>投标人须知前附表允许投标文件偏离招标文件某些要求的，偏离应当符合招标文件规定的偏离范围和幅度。</w:t>
      </w:r>
    </w:p>
    <w:p>
      <w:pPr>
        <w:pStyle w:val="2"/>
        <w:spacing w:line="360" w:lineRule="auto"/>
        <w:rPr>
          <w:rFonts w:ascii="宋体" w:hAnsi="宋体" w:eastAsia="宋体"/>
          <w:color w:val="auto"/>
          <w:sz w:val="24"/>
          <w:szCs w:val="24"/>
          <w:highlight w:val="none"/>
        </w:rPr>
      </w:pPr>
      <w:bookmarkStart w:id="210" w:name="_Toc433988583"/>
      <w:bookmarkStart w:id="211" w:name="_Toc396778059"/>
      <w:bookmarkStart w:id="212" w:name="_Toc419321149"/>
      <w:bookmarkStart w:id="213" w:name="_Toc283128905"/>
      <w:bookmarkStart w:id="214" w:name="_Toc419363516"/>
      <w:bookmarkStart w:id="215" w:name="_Toc19034633"/>
      <w:bookmarkStart w:id="216" w:name="_Toc282823827"/>
      <w:bookmarkStart w:id="217" w:name="_Toc419364240"/>
      <w:bookmarkStart w:id="218" w:name="_Toc419320113"/>
      <w:bookmarkStart w:id="219" w:name="_Toc414553654"/>
      <w:r>
        <w:rPr>
          <w:rFonts w:ascii="宋体" w:hAnsi="宋体" w:eastAsia="宋体"/>
          <w:color w:val="auto"/>
          <w:sz w:val="24"/>
          <w:szCs w:val="24"/>
          <w:highlight w:val="none"/>
        </w:rPr>
        <w:t>2</w:t>
      </w:r>
      <w:r>
        <w:rPr>
          <w:rFonts w:hint="eastAsia" w:ascii="宋体" w:hAnsi="宋体" w:eastAsia="宋体"/>
          <w:color w:val="auto"/>
          <w:sz w:val="24"/>
          <w:szCs w:val="24"/>
          <w:highlight w:val="none"/>
        </w:rPr>
        <w:t>．招标文件</w:t>
      </w:r>
      <w:bookmarkEnd w:id="210"/>
      <w:bookmarkEnd w:id="211"/>
      <w:bookmarkEnd w:id="212"/>
      <w:bookmarkEnd w:id="213"/>
      <w:bookmarkEnd w:id="214"/>
      <w:bookmarkEnd w:id="215"/>
      <w:bookmarkEnd w:id="216"/>
      <w:bookmarkEnd w:id="217"/>
      <w:bookmarkEnd w:id="218"/>
      <w:bookmarkEnd w:id="219"/>
    </w:p>
    <w:p>
      <w:pPr>
        <w:pStyle w:val="4"/>
        <w:spacing w:before="120" w:beforeLines="50" w:after="120" w:afterLines="50" w:line="360" w:lineRule="auto"/>
        <w:rPr>
          <w:rFonts w:ascii="宋体" w:hAnsi="宋体"/>
          <w:color w:val="auto"/>
          <w:kern w:val="0"/>
          <w:sz w:val="21"/>
          <w:szCs w:val="21"/>
          <w:highlight w:val="none"/>
        </w:rPr>
      </w:pPr>
      <w:bookmarkStart w:id="220" w:name="_Toc419363517"/>
      <w:bookmarkStart w:id="221" w:name="_Toc19034634"/>
      <w:bookmarkStart w:id="222" w:name="_Toc419320114"/>
      <w:bookmarkStart w:id="223" w:name="_Toc419321150"/>
      <w:bookmarkStart w:id="224" w:name="_Toc419364241"/>
      <w:bookmarkStart w:id="225" w:name="_Toc433988584"/>
      <w:r>
        <w:rPr>
          <w:rFonts w:ascii="宋体" w:hAnsi="宋体"/>
          <w:color w:val="auto"/>
          <w:kern w:val="0"/>
          <w:sz w:val="21"/>
          <w:szCs w:val="21"/>
          <w:highlight w:val="none"/>
        </w:rPr>
        <w:t xml:space="preserve">2.1 </w:t>
      </w:r>
      <w:r>
        <w:rPr>
          <w:rFonts w:hint="eastAsia" w:ascii="宋体" w:hAnsi="宋体"/>
          <w:color w:val="auto"/>
          <w:kern w:val="0"/>
          <w:sz w:val="21"/>
          <w:szCs w:val="21"/>
          <w:highlight w:val="none"/>
        </w:rPr>
        <w:t>招标文件的组成</w:t>
      </w:r>
      <w:bookmarkEnd w:id="220"/>
      <w:bookmarkEnd w:id="221"/>
      <w:bookmarkEnd w:id="222"/>
      <w:bookmarkEnd w:id="223"/>
      <w:bookmarkEnd w:id="224"/>
      <w:bookmarkEnd w:id="225"/>
    </w:p>
    <w:p>
      <w:pPr>
        <w:spacing w:line="400" w:lineRule="exact"/>
        <w:ind w:firstLine="420" w:firstLineChars="200"/>
        <w:jc w:val="left"/>
        <w:rPr>
          <w:color w:val="auto"/>
          <w:szCs w:val="21"/>
          <w:highlight w:val="none"/>
        </w:rPr>
      </w:pPr>
      <w:r>
        <w:rPr>
          <w:rFonts w:hint="eastAsia"/>
          <w:color w:val="auto"/>
          <w:szCs w:val="21"/>
          <w:highlight w:val="none"/>
        </w:rPr>
        <w:t>本招标文件包括：</w:t>
      </w:r>
    </w:p>
    <w:p>
      <w:pPr>
        <w:autoSpaceDE w:val="0"/>
        <w:autoSpaceDN w:val="0"/>
        <w:adjustRightInd w:val="0"/>
        <w:spacing w:line="400" w:lineRule="exact"/>
        <w:ind w:firstLine="359" w:firstLineChars="171"/>
        <w:jc w:val="left"/>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1</w:t>
      </w:r>
      <w:r>
        <w:rPr>
          <w:rFonts w:hint="eastAsia" w:ascii="宋体" w:hAnsi="宋体"/>
          <w:bCs/>
          <w:color w:val="auto"/>
          <w:szCs w:val="21"/>
          <w:highlight w:val="none"/>
        </w:rPr>
        <w:t>）招标公告（或投标邀请函）；</w:t>
      </w:r>
    </w:p>
    <w:p>
      <w:pPr>
        <w:autoSpaceDE w:val="0"/>
        <w:autoSpaceDN w:val="0"/>
        <w:adjustRightInd w:val="0"/>
        <w:spacing w:line="400" w:lineRule="exact"/>
        <w:ind w:firstLine="359" w:firstLineChars="171"/>
        <w:jc w:val="left"/>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2</w:t>
      </w:r>
      <w:r>
        <w:rPr>
          <w:rFonts w:hint="eastAsia" w:ascii="宋体" w:hAnsi="宋体"/>
          <w:bCs/>
          <w:color w:val="auto"/>
          <w:szCs w:val="21"/>
          <w:highlight w:val="none"/>
        </w:rPr>
        <w:t>）投标人须知；</w:t>
      </w:r>
    </w:p>
    <w:p>
      <w:pPr>
        <w:autoSpaceDE w:val="0"/>
        <w:autoSpaceDN w:val="0"/>
        <w:adjustRightInd w:val="0"/>
        <w:spacing w:line="400" w:lineRule="exact"/>
        <w:ind w:firstLine="359" w:firstLineChars="171"/>
        <w:jc w:val="left"/>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3</w:t>
      </w:r>
      <w:r>
        <w:rPr>
          <w:rFonts w:hint="eastAsia" w:ascii="宋体" w:hAnsi="宋体"/>
          <w:bCs/>
          <w:color w:val="auto"/>
          <w:szCs w:val="21"/>
          <w:highlight w:val="none"/>
        </w:rPr>
        <w:t>）评标办法；</w:t>
      </w:r>
    </w:p>
    <w:p>
      <w:pPr>
        <w:autoSpaceDE w:val="0"/>
        <w:autoSpaceDN w:val="0"/>
        <w:adjustRightInd w:val="0"/>
        <w:spacing w:line="400" w:lineRule="exact"/>
        <w:ind w:firstLine="359" w:firstLineChars="171"/>
        <w:jc w:val="left"/>
        <w:rPr>
          <w:rFonts w:ascii="宋体" w:hAnsi="宋体"/>
          <w:bCs/>
          <w:color w:val="auto"/>
          <w:szCs w:val="21"/>
          <w:highlight w:val="none"/>
        </w:rPr>
      </w:pPr>
      <w:r>
        <w:rPr>
          <w:rFonts w:hint="eastAsia" w:ascii="宋体" w:hAnsi="宋体"/>
          <w:bCs/>
          <w:color w:val="auto"/>
          <w:szCs w:val="21"/>
          <w:highlight w:val="none"/>
        </w:rPr>
        <w:t>（4）合同条款及格式；</w:t>
      </w:r>
    </w:p>
    <w:p>
      <w:pPr>
        <w:autoSpaceDE w:val="0"/>
        <w:autoSpaceDN w:val="0"/>
        <w:adjustRightInd w:val="0"/>
        <w:spacing w:line="400" w:lineRule="exact"/>
        <w:ind w:firstLine="359" w:firstLineChars="171"/>
        <w:jc w:val="left"/>
        <w:rPr>
          <w:rFonts w:ascii="宋体" w:hAnsi="宋体"/>
          <w:bCs/>
          <w:color w:val="auto"/>
          <w:szCs w:val="21"/>
          <w:highlight w:val="none"/>
        </w:rPr>
      </w:pPr>
      <w:r>
        <w:rPr>
          <w:rFonts w:hint="eastAsia" w:ascii="宋体" w:hAnsi="宋体"/>
          <w:bCs/>
          <w:color w:val="auto"/>
          <w:szCs w:val="21"/>
          <w:highlight w:val="none"/>
        </w:rPr>
        <w:t>（5）发包人要求；</w:t>
      </w:r>
    </w:p>
    <w:p>
      <w:pPr>
        <w:autoSpaceDE w:val="0"/>
        <w:autoSpaceDN w:val="0"/>
        <w:adjustRightInd w:val="0"/>
        <w:spacing w:line="400" w:lineRule="exact"/>
        <w:ind w:firstLine="359" w:firstLineChars="171"/>
        <w:jc w:val="left"/>
        <w:rPr>
          <w:rFonts w:ascii="宋体" w:hAnsi="宋体"/>
          <w:bCs/>
          <w:color w:val="auto"/>
          <w:szCs w:val="21"/>
          <w:highlight w:val="none"/>
        </w:rPr>
      </w:pPr>
      <w:r>
        <w:rPr>
          <w:rFonts w:hint="eastAsia" w:ascii="宋体" w:hAnsi="宋体"/>
          <w:bCs/>
          <w:color w:val="auto"/>
          <w:szCs w:val="21"/>
          <w:highlight w:val="none"/>
        </w:rPr>
        <w:t>（6）发包人提供的资料和条件；</w:t>
      </w:r>
    </w:p>
    <w:p>
      <w:pPr>
        <w:autoSpaceDE w:val="0"/>
        <w:autoSpaceDN w:val="0"/>
        <w:adjustRightInd w:val="0"/>
        <w:spacing w:line="400" w:lineRule="exact"/>
        <w:ind w:firstLine="359" w:firstLineChars="171"/>
        <w:jc w:val="left"/>
        <w:rPr>
          <w:rFonts w:ascii="宋体" w:hAnsi="宋体"/>
          <w:bCs/>
          <w:color w:val="auto"/>
          <w:szCs w:val="21"/>
          <w:highlight w:val="none"/>
        </w:rPr>
      </w:pPr>
      <w:r>
        <w:rPr>
          <w:rFonts w:hint="eastAsia" w:ascii="宋体" w:hAnsi="宋体"/>
          <w:bCs/>
          <w:color w:val="auto"/>
          <w:szCs w:val="21"/>
          <w:highlight w:val="none"/>
        </w:rPr>
        <w:t>（7）投标文件格式；</w:t>
      </w:r>
    </w:p>
    <w:p>
      <w:pPr>
        <w:autoSpaceDE w:val="0"/>
        <w:autoSpaceDN w:val="0"/>
        <w:adjustRightInd w:val="0"/>
        <w:spacing w:line="400" w:lineRule="exact"/>
        <w:ind w:firstLine="359" w:firstLineChars="171"/>
        <w:jc w:val="left"/>
        <w:rPr>
          <w:rFonts w:ascii="宋体" w:hAnsi="宋体"/>
          <w:bCs/>
          <w:color w:val="auto"/>
          <w:szCs w:val="21"/>
          <w:highlight w:val="none"/>
        </w:rPr>
      </w:pPr>
      <w:r>
        <w:rPr>
          <w:rFonts w:hint="eastAsia" w:ascii="宋体" w:hAnsi="宋体"/>
          <w:bCs/>
          <w:color w:val="auto"/>
          <w:szCs w:val="21"/>
          <w:highlight w:val="none"/>
        </w:rPr>
        <w:t>（8）投标人须知前附表规定的其他资料。</w:t>
      </w:r>
    </w:p>
    <w:p>
      <w:pPr>
        <w:autoSpaceDE w:val="0"/>
        <w:autoSpaceDN w:val="0"/>
        <w:adjustRightInd w:val="0"/>
        <w:spacing w:line="400" w:lineRule="exact"/>
        <w:ind w:firstLine="359" w:firstLineChars="171"/>
        <w:jc w:val="left"/>
        <w:rPr>
          <w:rFonts w:ascii="宋体" w:hAnsi="宋体" w:cs="仿宋_GB2312"/>
          <w:color w:val="auto"/>
          <w:kern w:val="0"/>
          <w:szCs w:val="21"/>
          <w:highlight w:val="none"/>
        </w:rPr>
      </w:pPr>
      <w:r>
        <w:rPr>
          <w:rFonts w:hint="eastAsia" w:ascii="宋体" w:hAnsi="宋体" w:cs="仿宋_GB2312"/>
          <w:color w:val="auto"/>
          <w:kern w:val="0"/>
          <w:szCs w:val="21"/>
          <w:highlight w:val="none"/>
        </w:rPr>
        <w:t>根据本章第</w:t>
      </w:r>
      <w:r>
        <w:rPr>
          <w:rFonts w:ascii="宋体" w:hAnsi="宋体" w:cs="TimesNewRomanPSMT"/>
          <w:color w:val="auto"/>
          <w:kern w:val="0"/>
          <w:szCs w:val="21"/>
          <w:highlight w:val="none"/>
        </w:rPr>
        <w:t xml:space="preserve">1.10 </w:t>
      </w:r>
      <w:r>
        <w:rPr>
          <w:rFonts w:hint="eastAsia" w:ascii="宋体" w:hAnsi="宋体" w:cs="仿宋_GB2312"/>
          <w:color w:val="auto"/>
          <w:kern w:val="0"/>
          <w:szCs w:val="21"/>
          <w:highlight w:val="none"/>
        </w:rPr>
        <w:t>款、第</w:t>
      </w:r>
      <w:r>
        <w:rPr>
          <w:rFonts w:ascii="宋体" w:hAnsi="宋体" w:cs="TimesNewRomanPSMT"/>
          <w:color w:val="auto"/>
          <w:kern w:val="0"/>
          <w:szCs w:val="21"/>
          <w:highlight w:val="none"/>
        </w:rPr>
        <w:t xml:space="preserve">2.2 </w:t>
      </w:r>
      <w:r>
        <w:rPr>
          <w:rFonts w:hint="eastAsia" w:ascii="宋体" w:hAnsi="宋体" w:cs="仿宋_GB2312"/>
          <w:color w:val="auto"/>
          <w:kern w:val="0"/>
          <w:szCs w:val="21"/>
          <w:highlight w:val="none"/>
        </w:rPr>
        <w:t>款和第</w:t>
      </w:r>
      <w:r>
        <w:rPr>
          <w:rFonts w:ascii="宋体" w:hAnsi="宋体" w:cs="TimesNewRomanPSMT"/>
          <w:color w:val="auto"/>
          <w:kern w:val="0"/>
          <w:szCs w:val="21"/>
          <w:highlight w:val="none"/>
        </w:rPr>
        <w:t xml:space="preserve">2.3 </w:t>
      </w:r>
      <w:r>
        <w:rPr>
          <w:rFonts w:hint="eastAsia" w:ascii="宋体" w:hAnsi="宋体" w:cs="仿宋_GB2312"/>
          <w:color w:val="auto"/>
          <w:kern w:val="0"/>
          <w:szCs w:val="21"/>
          <w:highlight w:val="none"/>
        </w:rPr>
        <w:t>款对招标文件所作的澄清、修改，构成招标文件的组成部分。</w:t>
      </w:r>
    </w:p>
    <w:p>
      <w:pPr>
        <w:pStyle w:val="4"/>
        <w:spacing w:before="120" w:beforeLines="50" w:after="120" w:afterLines="50" w:line="360" w:lineRule="auto"/>
        <w:rPr>
          <w:rFonts w:ascii="宋体" w:hAnsi="宋体"/>
          <w:color w:val="auto"/>
          <w:kern w:val="0"/>
          <w:sz w:val="21"/>
          <w:szCs w:val="21"/>
          <w:highlight w:val="none"/>
        </w:rPr>
      </w:pPr>
      <w:bookmarkStart w:id="226" w:name="_Toc419321151"/>
      <w:bookmarkStart w:id="227" w:name="_Toc419364242"/>
      <w:bookmarkStart w:id="228" w:name="_Toc433988585"/>
      <w:bookmarkStart w:id="229" w:name="_Toc19034635"/>
      <w:bookmarkStart w:id="230" w:name="_Toc419363518"/>
      <w:bookmarkStart w:id="231" w:name="_Toc419320115"/>
      <w:r>
        <w:rPr>
          <w:rFonts w:ascii="宋体" w:hAnsi="宋体"/>
          <w:color w:val="auto"/>
          <w:kern w:val="0"/>
          <w:sz w:val="21"/>
          <w:szCs w:val="21"/>
          <w:highlight w:val="none"/>
        </w:rPr>
        <w:t xml:space="preserve">2.2 </w:t>
      </w:r>
      <w:r>
        <w:rPr>
          <w:rFonts w:hint="eastAsia" w:ascii="宋体" w:hAnsi="宋体"/>
          <w:color w:val="auto"/>
          <w:kern w:val="0"/>
          <w:sz w:val="21"/>
          <w:szCs w:val="21"/>
          <w:highlight w:val="none"/>
        </w:rPr>
        <w:t>招标文件的澄清</w:t>
      </w:r>
      <w:bookmarkEnd w:id="226"/>
      <w:bookmarkEnd w:id="227"/>
      <w:bookmarkEnd w:id="228"/>
      <w:bookmarkEnd w:id="229"/>
      <w:bookmarkEnd w:id="230"/>
      <w:bookmarkEnd w:id="231"/>
    </w:p>
    <w:p>
      <w:pPr>
        <w:spacing w:line="400" w:lineRule="exact"/>
        <w:ind w:firstLine="420" w:firstLineChars="200"/>
        <w:jc w:val="left"/>
        <w:rPr>
          <w:color w:val="auto"/>
          <w:szCs w:val="21"/>
          <w:highlight w:val="none"/>
        </w:rPr>
      </w:pPr>
      <w:r>
        <w:rPr>
          <w:color w:val="auto"/>
          <w:szCs w:val="21"/>
          <w:highlight w:val="none"/>
        </w:rPr>
        <w:t>2.2.1</w:t>
      </w:r>
      <w:r>
        <w:rPr>
          <w:rFonts w:hint="eastAsia"/>
          <w:color w:val="auto"/>
          <w:szCs w:val="21"/>
          <w:highlight w:val="none"/>
        </w:rPr>
        <w:t>投标人应仔细阅读和检查招标文件的全部内容。如发现缺页或附件不全，应及时向招标人提出，以便补齐。如有疑问，应在投标人须知前附表规定的</w:t>
      </w:r>
      <w:bookmarkStart w:id="1937" w:name="_GoBack"/>
      <w:r>
        <w:rPr>
          <w:rFonts w:hint="eastAsia"/>
          <w:color w:val="auto"/>
          <w:szCs w:val="21"/>
          <w:highlight w:val="none"/>
        </w:rPr>
        <w:t>时间</w:t>
      </w:r>
      <w:bookmarkEnd w:id="1937"/>
      <w:r>
        <w:rPr>
          <w:rFonts w:hint="eastAsia"/>
          <w:color w:val="auto"/>
          <w:szCs w:val="21"/>
          <w:highlight w:val="none"/>
        </w:rPr>
        <w:t>前以书面形式（包括信函、电报、传真等可以有形地表现所载内容的形式，下同），要求招标人对招标文件予以澄清。</w:t>
      </w:r>
    </w:p>
    <w:p>
      <w:pPr>
        <w:spacing w:line="400" w:lineRule="exact"/>
        <w:ind w:firstLine="420" w:firstLineChars="200"/>
        <w:jc w:val="left"/>
        <w:rPr>
          <w:color w:val="auto"/>
          <w:szCs w:val="21"/>
          <w:highlight w:val="none"/>
        </w:rPr>
      </w:pPr>
      <w:r>
        <w:rPr>
          <w:color w:val="auto"/>
          <w:szCs w:val="21"/>
          <w:highlight w:val="none"/>
        </w:rPr>
        <w:t>2.2.2</w:t>
      </w:r>
      <w:r>
        <w:rPr>
          <w:rFonts w:hint="eastAsia"/>
          <w:color w:val="auto"/>
          <w:szCs w:val="21"/>
          <w:highlight w:val="none"/>
        </w:rPr>
        <w:t>招标文件的澄清以书面形式发给所有购买招标文件的投标人，但不指明澄清问题的来源。澄清发出的时间距投标人须知前附表规定的投标截止时间不足</w:t>
      </w:r>
      <w:r>
        <w:rPr>
          <w:color w:val="auto"/>
          <w:szCs w:val="21"/>
          <w:highlight w:val="none"/>
        </w:rPr>
        <w:t xml:space="preserve">15 </w:t>
      </w:r>
      <w:r>
        <w:rPr>
          <w:rFonts w:hint="eastAsia"/>
          <w:color w:val="auto"/>
          <w:szCs w:val="21"/>
          <w:highlight w:val="none"/>
        </w:rPr>
        <w:t>天可能影响投标文件编制的，相应延长投标截止时间。</w:t>
      </w:r>
    </w:p>
    <w:p>
      <w:pPr>
        <w:spacing w:line="400" w:lineRule="exact"/>
        <w:ind w:firstLine="420" w:firstLineChars="200"/>
        <w:jc w:val="left"/>
        <w:rPr>
          <w:color w:val="auto"/>
          <w:szCs w:val="21"/>
          <w:highlight w:val="none"/>
        </w:rPr>
      </w:pPr>
      <w:r>
        <w:rPr>
          <w:color w:val="auto"/>
          <w:szCs w:val="21"/>
          <w:highlight w:val="none"/>
        </w:rPr>
        <w:t xml:space="preserve">2.2.3 </w:t>
      </w:r>
      <w:r>
        <w:rPr>
          <w:rFonts w:hint="eastAsia"/>
          <w:color w:val="auto"/>
          <w:szCs w:val="21"/>
          <w:highlight w:val="none"/>
        </w:rPr>
        <w:t>投标人在收到澄清后，</w:t>
      </w:r>
      <w:r>
        <w:rPr>
          <w:color w:val="auto"/>
          <w:szCs w:val="21"/>
          <w:highlight w:val="none"/>
        </w:rPr>
        <w:t>应按</w:t>
      </w:r>
      <w:r>
        <w:rPr>
          <w:rFonts w:hint="eastAsia"/>
          <w:color w:val="auto"/>
          <w:szCs w:val="21"/>
          <w:highlight w:val="none"/>
        </w:rPr>
        <w:t>“</w:t>
      </w:r>
      <w:r>
        <w:rPr>
          <w:color w:val="auto"/>
          <w:szCs w:val="21"/>
          <w:highlight w:val="none"/>
        </w:rPr>
        <w:t>投标人须知前附表</w:t>
      </w:r>
      <w:r>
        <w:rPr>
          <w:rFonts w:hint="eastAsia"/>
          <w:color w:val="auto"/>
          <w:szCs w:val="21"/>
          <w:highlight w:val="none"/>
        </w:rPr>
        <w:t>”2.2.3</w:t>
      </w:r>
      <w:r>
        <w:rPr>
          <w:color w:val="auto"/>
          <w:szCs w:val="21"/>
          <w:highlight w:val="none"/>
        </w:rPr>
        <w:t>规定的形式确认已收到该澄清</w:t>
      </w:r>
      <w:r>
        <w:rPr>
          <w:rFonts w:hint="eastAsia"/>
          <w:color w:val="auto"/>
          <w:szCs w:val="21"/>
          <w:highlight w:val="none"/>
        </w:rPr>
        <w:t>。</w:t>
      </w:r>
    </w:p>
    <w:p>
      <w:pPr>
        <w:pStyle w:val="4"/>
        <w:spacing w:before="120" w:beforeLines="50" w:after="120" w:afterLines="50" w:line="360" w:lineRule="auto"/>
        <w:rPr>
          <w:rFonts w:ascii="宋体" w:hAnsi="宋体"/>
          <w:color w:val="auto"/>
          <w:kern w:val="0"/>
          <w:sz w:val="21"/>
          <w:szCs w:val="21"/>
          <w:highlight w:val="none"/>
        </w:rPr>
      </w:pPr>
      <w:bookmarkStart w:id="232" w:name="_Toc19034636"/>
      <w:bookmarkStart w:id="233" w:name="_Toc419320116"/>
      <w:bookmarkStart w:id="234" w:name="_Toc433988586"/>
      <w:bookmarkStart w:id="235" w:name="_Toc419364243"/>
      <w:bookmarkStart w:id="236" w:name="_Toc419363519"/>
      <w:bookmarkStart w:id="237" w:name="_Toc419321152"/>
      <w:r>
        <w:rPr>
          <w:rFonts w:ascii="宋体" w:hAnsi="宋体"/>
          <w:color w:val="auto"/>
          <w:kern w:val="0"/>
          <w:sz w:val="21"/>
          <w:szCs w:val="21"/>
          <w:highlight w:val="none"/>
        </w:rPr>
        <w:t xml:space="preserve">2.3 </w:t>
      </w:r>
      <w:r>
        <w:rPr>
          <w:rFonts w:hint="eastAsia" w:ascii="宋体" w:hAnsi="宋体"/>
          <w:color w:val="auto"/>
          <w:kern w:val="0"/>
          <w:sz w:val="21"/>
          <w:szCs w:val="21"/>
          <w:highlight w:val="none"/>
        </w:rPr>
        <w:t>招标文件的修改</w:t>
      </w:r>
      <w:bookmarkEnd w:id="232"/>
      <w:bookmarkEnd w:id="233"/>
      <w:bookmarkEnd w:id="234"/>
      <w:bookmarkEnd w:id="235"/>
      <w:bookmarkEnd w:id="236"/>
      <w:bookmarkEnd w:id="237"/>
    </w:p>
    <w:p>
      <w:pPr>
        <w:spacing w:line="400" w:lineRule="exact"/>
        <w:ind w:firstLine="420" w:firstLineChars="200"/>
        <w:jc w:val="left"/>
        <w:rPr>
          <w:color w:val="auto"/>
          <w:szCs w:val="21"/>
          <w:highlight w:val="none"/>
        </w:rPr>
      </w:pPr>
      <w:r>
        <w:rPr>
          <w:color w:val="auto"/>
          <w:szCs w:val="21"/>
          <w:highlight w:val="none"/>
        </w:rPr>
        <w:t>2.3.1</w:t>
      </w:r>
      <w:r>
        <w:rPr>
          <w:rFonts w:hint="eastAsia"/>
          <w:color w:val="auto"/>
          <w:szCs w:val="21"/>
          <w:highlight w:val="none"/>
        </w:rPr>
        <w:t>招标人可以书面形式修改招标文件，并通知所有已购买招标文件的投标人。修改招标文件的时间距投标人须知前附表规定的投标截止时间不足</w:t>
      </w:r>
      <w:r>
        <w:rPr>
          <w:color w:val="auto"/>
          <w:szCs w:val="21"/>
          <w:highlight w:val="none"/>
        </w:rPr>
        <w:t xml:space="preserve">15 </w:t>
      </w:r>
      <w:r>
        <w:rPr>
          <w:rFonts w:hint="eastAsia"/>
          <w:color w:val="auto"/>
          <w:szCs w:val="21"/>
          <w:highlight w:val="none"/>
        </w:rPr>
        <w:t>天，并且修改内容影响投标文件编制的，将相应延长投标截止时间。</w:t>
      </w:r>
    </w:p>
    <w:p>
      <w:pPr>
        <w:spacing w:line="400" w:lineRule="exact"/>
        <w:ind w:firstLine="420" w:firstLineChars="200"/>
        <w:jc w:val="left"/>
        <w:rPr>
          <w:color w:val="auto"/>
          <w:szCs w:val="21"/>
          <w:highlight w:val="none"/>
        </w:rPr>
      </w:pPr>
      <w:r>
        <w:rPr>
          <w:color w:val="auto"/>
          <w:szCs w:val="21"/>
          <w:highlight w:val="none"/>
        </w:rPr>
        <w:t xml:space="preserve">2.3.2 </w:t>
      </w:r>
      <w:r>
        <w:rPr>
          <w:rFonts w:hint="eastAsia"/>
          <w:color w:val="auto"/>
          <w:szCs w:val="21"/>
          <w:highlight w:val="none"/>
        </w:rPr>
        <w:t>投标人收到修改内容后，应按投标人须知前附表</w:t>
      </w:r>
      <w:r>
        <w:rPr>
          <w:color w:val="auto"/>
          <w:szCs w:val="21"/>
          <w:highlight w:val="none"/>
        </w:rPr>
        <w:t>”2.2.3规定的澄清文件确认</w:t>
      </w:r>
      <w:r>
        <w:rPr>
          <w:rFonts w:hint="eastAsia"/>
          <w:color w:val="auto"/>
          <w:szCs w:val="21"/>
          <w:highlight w:val="none"/>
        </w:rPr>
        <w:t>的</w:t>
      </w:r>
      <w:r>
        <w:rPr>
          <w:color w:val="auto"/>
          <w:szCs w:val="21"/>
          <w:highlight w:val="none"/>
        </w:rPr>
        <w:t>相同形式</w:t>
      </w:r>
      <w:r>
        <w:rPr>
          <w:rFonts w:hint="eastAsia"/>
          <w:color w:val="auto"/>
          <w:szCs w:val="21"/>
          <w:highlight w:val="none"/>
        </w:rPr>
        <w:t>，</w:t>
      </w:r>
      <w:r>
        <w:rPr>
          <w:color w:val="auto"/>
          <w:szCs w:val="21"/>
          <w:highlight w:val="none"/>
        </w:rPr>
        <w:t>确认已收到该</w:t>
      </w:r>
      <w:r>
        <w:rPr>
          <w:rFonts w:hint="eastAsia"/>
          <w:color w:val="auto"/>
          <w:szCs w:val="21"/>
          <w:highlight w:val="none"/>
        </w:rPr>
        <w:t>修改。</w:t>
      </w:r>
    </w:p>
    <w:p>
      <w:pPr>
        <w:spacing w:line="400" w:lineRule="exact"/>
        <w:ind w:firstLine="420" w:firstLineChars="200"/>
        <w:jc w:val="left"/>
        <w:rPr>
          <w:color w:val="auto"/>
          <w:szCs w:val="21"/>
          <w:highlight w:val="none"/>
        </w:rPr>
      </w:pPr>
      <w:r>
        <w:rPr>
          <w:color w:val="auto"/>
          <w:szCs w:val="21"/>
          <w:highlight w:val="none"/>
        </w:rPr>
        <w:t>2.3.</w:t>
      </w:r>
      <w:r>
        <w:rPr>
          <w:rFonts w:hint="eastAsia"/>
          <w:color w:val="auto"/>
          <w:szCs w:val="21"/>
          <w:highlight w:val="none"/>
        </w:rPr>
        <w:t>3</w:t>
      </w:r>
      <w:r>
        <w:rPr>
          <w:color w:val="auto"/>
          <w:szCs w:val="21"/>
          <w:highlight w:val="none"/>
        </w:rPr>
        <w:t>为使投标人在编制投标文件时有充分的时间对招标文件的修改、补充等内容进行研究并做出响应，招标人可酌情延长提交投标文件的截止时间，具体时间在招标文件的修改、补充等通知中予以明确</w:t>
      </w:r>
      <w:r>
        <w:rPr>
          <w:rFonts w:hint="eastAsia"/>
          <w:color w:val="auto"/>
          <w:szCs w:val="21"/>
          <w:highlight w:val="none"/>
        </w:rPr>
        <w:t>。</w:t>
      </w:r>
    </w:p>
    <w:p>
      <w:pPr>
        <w:spacing w:line="400" w:lineRule="exact"/>
        <w:ind w:firstLine="420" w:firstLineChars="200"/>
        <w:jc w:val="left"/>
        <w:rPr>
          <w:color w:val="auto"/>
          <w:szCs w:val="21"/>
          <w:highlight w:val="none"/>
        </w:rPr>
      </w:pPr>
      <w:r>
        <w:rPr>
          <w:color w:val="auto"/>
          <w:szCs w:val="21"/>
          <w:highlight w:val="none"/>
        </w:rPr>
        <w:t>2.3.</w:t>
      </w:r>
      <w:r>
        <w:rPr>
          <w:rFonts w:hint="eastAsia"/>
          <w:color w:val="auto"/>
          <w:szCs w:val="21"/>
          <w:highlight w:val="none"/>
        </w:rPr>
        <w:t>4</w:t>
      </w:r>
      <w:r>
        <w:rPr>
          <w:color w:val="auto"/>
          <w:szCs w:val="21"/>
          <w:highlight w:val="none"/>
        </w:rPr>
        <w:t>招标文件的修改或补充报招投标监督管理部门备案后，发送给所有获得招标文件的投标人。招标文件的修改内容作为招标文件的组成部分，具有约束作用</w:t>
      </w:r>
      <w:r>
        <w:rPr>
          <w:rFonts w:hint="eastAsia"/>
          <w:color w:val="auto"/>
          <w:szCs w:val="21"/>
          <w:highlight w:val="none"/>
        </w:rPr>
        <w:t>。</w:t>
      </w:r>
    </w:p>
    <w:p>
      <w:pPr>
        <w:pStyle w:val="2"/>
        <w:spacing w:line="360" w:lineRule="auto"/>
        <w:rPr>
          <w:rFonts w:ascii="宋体" w:hAnsi="宋体" w:eastAsia="宋体"/>
          <w:color w:val="auto"/>
          <w:sz w:val="24"/>
          <w:szCs w:val="24"/>
          <w:highlight w:val="none"/>
        </w:rPr>
      </w:pPr>
      <w:bookmarkStart w:id="238" w:name="_Toc19034637"/>
      <w:bookmarkStart w:id="239" w:name="_Toc419320117"/>
      <w:bookmarkStart w:id="240" w:name="_Toc419321153"/>
      <w:bookmarkStart w:id="241" w:name="_Toc283128906"/>
      <w:bookmarkStart w:id="242" w:name="_Toc282823828"/>
      <w:bookmarkStart w:id="243" w:name="_Toc414553655"/>
      <w:bookmarkStart w:id="244" w:name="_Toc419363520"/>
      <w:bookmarkStart w:id="245" w:name="_Toc433988587"/>
      <w:bookmarkStart w:id="246" w:name="_Toc396778060"/>
      <w:bookmarkStart w:id="247" w:name="_Toc419364244"/>
      <w:r>
        <w:rPr>
          <w:rFonts w:ascii="宋体" w:hAnsi="宋体" w:eastAsia="宋体"/>
          <w:color w:val="auto"/>
          <w:sz w:val="24"/>
          <w:szCs w:val="24"/>
          <w:highlight w:val="none"/>
        </w:rPr>
        <w:t>3</w:t>
      </w:r>
      <w:r>
        <w:rPr>
          <w:rFonts w:hint="eastAsia" w:ascii="宋体" w:hAnsi="宋体" w:eastAsia="宋体"/>
          <w:color w:val="auto"/>
          <w:sz w:val="24"/>
          <w:szCs w:val="24"/>
          <w:highlight w:val="none"/>
        </w:rPr>
        <w:t>．投标文件</w:t>
      </w:r>
      <w:bookmarkEnd w:id="238"/>
      <w:bookmarkEnd w:id="239"/>
      <w:bookmarkEnd w:id="240"/>
      <w:bookmarkEnd w:id="241"/>
      <w:bookmarkEnd w:id="242"/>
      <w:bookmarkEnd w:id="243"/>
      <w:bookmarkEnd w:id="244"/>
      <w:bookmarkEnd w:id="245"/>
      <w:bookmarkEnd w:id="246"/>
      <w:bookmarkEnd w:id="247"/>
    </w:p>
    <w:p>
      <w:pPr>
        <w:pStyle w:val="4"/>
        <w:spacing w:before="120" w:beforeLines="50" w:after="120" w:afterLines="50" w:line="360" w:lineRule="auto"/>
        <w:rPr>
          <w:rFonts w:ascii="宋体" w:hAnsi="宋体"/>
          <w:color w:val="auto"/>
          <w:kern w:val="0"/>
          <w:sz w:val="21"/>
          <w:szCs w:val="21"/>
          <w:highlight w:val="none"/>
        </w:rPr>
      </w:pPr>
      <w:bookmarkStart w:id="248" w:name="_Toc19034638"/>
      <w:bookmarkStart w:id="249" w:name="_Toc419364245"/>
      <w:bookmarkStart w:id="250" w:name="_Toc433988588"/>
      <w:bookmarkStart w:id="251" w:name="_Toc419320118"/>
      <w:bookmarkStart w:id="252" w:name="_Toc419363521"/>
      <w:bookmarkStart w:id="253" w:name="_Toc419321154"/>
      <w:r>
        <w:rPr>
          <w:rFonts w:ascii="宋体" w:hAnsi="宋体"/>
          <w:color w:val="auto"/>
          <w:kern w:val="0"/>
          <w:sz w:val="21"/>
          <w:szCs w:val="21"/>
          <w:highlight w:val="none"/>
        </w:rPr>
        <w:t xml:space="preserve">3.1 </w:t>
      </w:r>
      <w:r>
        <w:rPr>
          <w:rFonts w:hint="eastAsia" w:ascii="宋体" w:hAnsi="宋体"/>
          <w:color w:val="auto"/>
          <w:kern w:val="0"/>
          <w:sz w:val="21"/>
          <w:szCs w:val="21"/>
          <w:highlight w:val="none"/>
        </w:rPr>
        <w:t>投标文件的组成</w:t>
      </w:r>
      <w:bookmarkEnd w:id="248"/>
      <w:bookmarkEnd w:id="249"/>
      <w:bookmarkEnd w:id="250"/>
      <w:bookmarkEnd w:id="251"/>
      <w:bookmarkEnd w:id="252"/>
      <w:bookmarkEnd w:id="253"/>
    </w:p>
    <w:p>
      <w:pPr>
        <w:spacing w:line="400" w:lineRule="exact"/>
        <w:ind w:firstLine="525" w:firstLineChars="250"/>
        <w:rPr>
          <w:color w:val="auto"/>
          <w:szCs w:val="21"/>
          <w:highlight w:val="none"/>
        </w:rPr>
      </w:pPr>
      <w:r>
        <w:rPr>
          <w:color w:val="auto"/>
          <w:szCs w:val="21"/>
          <w:highlight w:val="none"/>
        </w:rPr>
        <w:t xml:space="preserve">3.1.1 </w:t>
      </w:r>
      <w:r>
        <w:rPr>
          <w:rFonts w:hint="eastAsia"/>
          <w:color w:val="auto"/>
          <w:szCs w:val="21"/>
          <w:highlight w:val="none"/>
        </w:rPr>
        <w:t>投标文件应包括下列内容：</w:t>
      </w:r>
    </w:p>
    <w:p>
      <w:pPr>
        <w:spacing w:line="400" w:lineRule="exact"/>
        <w:ind w:firstLine="525" w:firstLineChars="250"/>
        <w:rPr>
          <w:rFonts w:hAnsi="宋体"/>
          <w:color w:val="auto"/>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eq \o\ac(□,√)</w:instrText>
      </w:r>
      <w:r>
        <w:rPr>
          <w:rFonts w:hint="eastAsia" w:ascii="宋体" w:hAnsi="宋体"/>
          <w:color w:val="auto"/>
          <w:szCs w:val="21"/>
          <w:highlight w:val="none"/>
        </w:rPr>
        <w:fldChar w:fldCharType="end"/>
      </w:r>
      <w:r>
        <w:rPr>
          <w:rFonts w:hint="eastAsia" w:hAnsi="宋体"/>
          <w:color w:val="auto"/>
          <w:highlight w:val="none"/>
        </w:rPr>
        <w:t>资格审查: 具体材料见投标人须知前附表；</w:t>
      </w:r>
    </w:p>
    <w:p>
      <w:pPr>
        <w:spacing w:line="400" w:lineRule="exact"/>
        <w:ind w:firstLine="525" w:firstLineChars="250"/>
        <w:rPr>
          <w:rFonts w:hAnsi="宋体"/>
          <w:color w:val="auto"/>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eq \o\ac(□,√)</w:instrText>
      </w:r>
      <w:r>
        <w:rPr>
          <w:rFonts w:hint="eastAsia" w:ascii="宋体" w:hAnsi="宋体"/>
          <w:color w:val="auto"/>
          <w:szCs w:val="21"/>
          <w:highlight w:val="none"/>
        </w:rPr>
        <w:fldChar w:fldCharType="end"/>
      </w:r>
      <w:r>
        <w:rPr>
          <w:rFonts w:hint="eastAsia" w:hAnsi="宋体"/>
          <w:color w:val="auto"/>
          <w:highlight w:val="none"/>
        </w:rPr>
        <w:t>商务标：具体材料见投标人须知前附表；</w:t>
      </w:r>
    </w:p>
    <w:p>
      <w:pPr>
        <w:spacing w:line="400" w:lineRule="exact"/>
        <w:ind w:firstLine="525" w:firstLineChars="250"/>
        <w:rPr>
          <w:color w:val="auto"/>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eq \o\ac(□,√)</w:instrText>
      </w:r>
      <w:r>
        <w:rPr>
          <w:rFonts w:hint="eastAsia" w:ascii="宋体" w:hAnsi="宋体"/>
          <w:color w:val="auto"/>
          <w:szCs w:val="21"/>
          <w:highlight w:val="none"/>
        </w:rPr>
        <w:fldChar w:fldCharType="end"/>
      </w:r>
      <w:r>
        <w:rPr>
          <w:rFonts w:hint="eastAsia" w:hAnsi="宋体"/>
          <w:color w:val="auto"/>
          <w:highlight w:val="none"/>
        </w:rPr>
        <w:t>技术标</w:t>
      </w:r>
      <w:r>
        <w:rPr>
          <w:rFonts w:hint="eastAsia"/>
          <w:color w:val="auto"/>
          <w:highlight w:val="none"/>
        </w:rPr>
        <w:t>：具体材料见投标人须知前附表；</w:t>
      </w:r>
    </w:p>
    <w:p>
      <w:pPr>
        <w:spacing w:line="400" w:lineRule="exact"/>
        <w:ind w:firstLine="525" w:firstLineChars="250"/>
        <w:rPr>
          <w:color w:val="auto"/>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eq \o\ac(□,√)</w:instrText>
      </w:r>
      <w:r>
        <w:rPr>
          <w:rFonts w:hint="eastAsia" w:ascii="宋体" w:hAnsi="宋体"/>
          <w:color w:val="auto"/>
          <w:szCs w:val="21"/>
          <w:highlight w:val="none"/>
        </w:rPr>
        <w:fldChar w:fldCharType="end"/>
      </w:r>
      <w:r>
        <w:rPr>
          <w:rFonts w:hint="eastAsia" w:ascii="宋体" w:hAnsi="宋体"/>
          <w:color w:val="auto"/>
          <w:szCs w:val="21"/>
          <w:highlight w:val="none"/>
        </w:rPr>
        <w:t>设计标：</w:t>
      </w:r>
      <w:r>
        <w:rPr>
          <w:rFonts w:hint="eastAsia"/>
          <w:color w:val="auto"/>
          <w:highlight w:val="none"/>
        </w:rPr>
        <w:t>具体材料见投标人须知前附表；</w:t>
      </w:r>
    </w:p>
    <w:p>
      <w:pPr>
        <w:spacing w:line="400" w:lineRule="exact"/>
        <w:ind w:firstLine="525" w:firstLineChars="250"/>
        <w:rPr>
          <w:color w:val="auto"/>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eq \o\ac(□,√)</w:instrText>
      </w:r>
      <w:r>
        <w:rPr>
          <w:rFonts w:hint="eastAsia" w:ascii="宋体" w:hAnsi="宋体"/>
          <w:color w:val="auto"/>
          <w:szCs w:val="21"/>
          <w:highlight w:val="none"/>
        </w:rPr>
        <w:fldChar w:fldCharType="end"/>
      </w:r>
      <w:r>
        <w:rPr>
          <w:rFonts w:hint="eastAsia"/>
          <w:color w:val="auto"/>
          <w:highlight w:val="none"/>
        </w:rPr>
        <w:t>资信业绩：</w:t>
      </w:r>
      <w:r>
        <w:rPr>
          <w:rFonts w:hint="eastAsia" w:hAnsi="宋体"/>
          <w:color w:val="auto"/>
          <w:highlight w:val="none"/>
        </w:rPr>
        <w:t>具体材料见投标人须知前附表；</w:t>
      </w:r>
    </w:p>
    <w:p>
      <w:pPr>
        <w:spacing w:line="400" w:lineRule="exact"/>
        <w:ind w:firstLine="525" w:firstLineChars="250"/>
        <w:rPr>
          <w:color w:val="auto"/>
          <w:highlight w:val="none"/>
        </w:rPr>
      </w:pPr>
      <w:r>
        <w:rPr>
          <w:rFonts w:hint="eastAsia"/>
          <w:color w:val="auto"/>
          <w:highlight w:val="none"/>
        </w:rPr>
        <w:t xml:space="preserve">3.1.2 </w:t>
      </w:r>
      <w:r>
        <w:rPr>
          <w:color w:val="auto"/>
          <w:szCs w:val="21"/>
          <w:highlight w:val="none"/>
        </w:rPr>
        <w:t>“投标人须知前附表”规定不接受联合体投标的，或投标人没有组成联合体的，投标文件不包括本章第3.1.1（</w:t>
      </w:r>
      <w:r>
        <w:rPr>
          <w:rFonts w:hint="eastAsia"/>
          <w:color w:val="auto"/>
          <w:szCs w:val="21"/>
          <w:highlight w:val="none"/>
        </w:rPr>
        <w:t>1</w:t>
      </w:r>
      <w:r>
        <w:rPr>
          <w:color w:val="auto"/>
          <w:szCs w:val="21"/>
          <w:highlight w:val="none"/>
        </w:rPr>
        <w:t>）</w:t>
      </w:r>
      <w:r>
        <w:rPr>
          <w:rFonts w:hint="eastAsia"/>
          <w:color w:val="auto"/>
          <w:szCs w:val="21"/>
          <w:highlight w:val="none"/>
        </w:rPr>
        <w:t>中</w:t>
      </w:r>
      <w:r>
        <w:rPr>
          <w:color w:val="auto"/>
          <w:szCs w:val="21"/>
          <w:highlight w:val="none"/>
        </w:rPr>
        <w:t>所指的联合体协议书。</w:t>
      </w:r>
    </w:p>
    <w:p>
      <w:pPr>
        <w:spacing w:line="400" w:lineRule="exact"/>
        <w:ind w:firstLine="525" w:firstLineChars="250"/>
        <w:rPr>
          <w:color w:val="auto"/>
          <w:highlight w:val="none"/>
        </w:rPr>
      </w:pPr>
      <w:r>
        <w:rPr>
          <w:color w:val="auto"/>
          <w:highlight w:val="none"/>
        </w:rPr>
        <w:t>3.1.</w:t>
      </w:r>
      <w:r>
        <w:rPr>
          <w:rFonts w:hint="eastAsia"/>
          <w:color w:val="auto"/>
          <w:highlight w:val="none"/>
        </w:rPr>
        <w:t>3 投标人没有组成联合体的，投标文件不包括本章第</w:t>
      </w:r>
      <w:r>
        <w:rPr>
          <w:color w:val="auto"/>
          <w:highlight w:val="none"/>
        </w:rPr>
        <w:t>3.1.</w:t>
      </w:r>
      <w:r>
        <w:rPr>
          <w:rFonts w:hint="eastAsia"/>
          <w:color w:val="auto"/>
          <w:highlight w:val="none"/>
        </w:rPr>
        <w:t>4～3.1.8款的内容。</w:t>
      </w:r>
    </w:p>
    <w:p>
      <w:pPr>
        <w:spacing w:line="400" w:lineRule="exact"/>
        <w:ind w:firstLine="525" w:firstLineChars="250"/>
        <w:rPr>
          <w:color w:val="auto"/>
          <w:highlight w:val="none"/>
        </w:rPr>
      </w:pPr>
      <w:r>
        <w:rPr>
          <w:rFonts w:hint="eastAsia"/>
          <w:color w:val="auto"/>
          <w:highlight w:val="none"/>
        </w:rPr>
        <w:t xml:space="preserve">3.1.4 </w:t>
      </w:r>
      <w:r>
        <w:rPr>
          <w:color w:val="auto"/>
          <w:highlight w:val="none"/>
        </w:rPr>
        <w:t>组成联合体投标时</w:t>
      </w:r>
      <w:r>
        <w:rPr>
          <w:rFonts w:hint="eastAsia"/>
          <w:color w:val="auto"/>
          <w:highlight w:val="none"/>
        </w:rPr>
        <w:t>资格要求：见投标人须知前附表。</w:t>
      </w:r>
    </w:p>
    <w:p>
      <w:pPr>
        <w:spacing w:line="400" w:lineRule="exact"/>
        <w:ind w:firstLine="525" w:firstLineChars="250"/>
        <w:rPr>
          <w:color w:val="auto"/>
          <w:highlight w:val="none"/>
        </w:rPr>
      </w:pPr>
      <w:r>
        <w:rPr>
          <w:rFonts w:hint="eastAsia"/>
          <w:color w:val="auto"/>
          <w:highlight w:val="none"/>
        </w:rPr>
        <w:t xml:space="preserve">3.1.5 </w:t>
      </w:r>
      <w:r>
        <w:rPr>
          <w:color w:val="auto"/>
          <w:highlight w:val="none"/>
        </w:rPr>
        <w:t>联合体</w:t>
      </w:r>
      <w:r>
        <w:rPr>
          <w:rFonts w:hint="eastAsia"/>
          <w:color w:val="auto"/>
          <w:highlight w:val="none"/>
        </w:rPr>
        <w:t>参加投标，</w:t>
      </w:r>
      <w:r>
        <w:rPr>
          <w:color w:val="auto"/>
          <w:highlight w:val="none"/>
        </w:rPr>
        <w:t>各方</w:t>
      </w:r>
      <w:r>
        <w:rPr>
          <w:rFonts w:hint="eastAsia"/>
          <w:color w:val="auto"/>
          <w:highlight w:val="none"/>
        </w:rPr>
        <w:t>必须</w:t>
      </w:r>
      <w:r>
        <w:rPr>
          <w:color w:val="auto"/>
          <w:highlight w:val="none"/>
        </w:rPr>
        <w:t>签订联合体协议</w:t>
      </w:r>
      <w:r>
        <w:rPr>
          <w:rFonts w:hint="eastAsia"/>
          <w:color w:val="auto"/>
          <w:highlight w:val="none"/>
        </w:rPr>
        <w:t>，在协议中应明确各方在联合体中的责任、承担任务量，</w:t>
      </w:r>
      <w:r>
        <w:rPr>
          <w:color w:val="auto"/>
          <w:highlight w:val="none"/>
        </w:rPr>
        <w:t>联合体协议书应随投标文件提交</w:t>
      </w:r>
      <w:r>
        <w:rPr>
          <w:rFonts w:hint="eastAsia"/>
          <w:color w:val="auto"/>
          <w:highlight w:val="none"/>
        </w:rPr>
        <w:t>。</w:t>
      </w:r>
    </w:p>
    <w:p>
      <w:pPr>
        <w:spacing w:line="400" w:lineRule="exact"/>
        <w:ind w:firstLine="525" w:firstLineChars="250"/>
        <w:rPr>
          <w:color w:val="auto"/>
          <w:highlight w:val="none"/>
        </w:rPr>
      </w:pPr>
      <w:r>
        <w:rPr>
          <w:rFonts w:hint="eastAsia"/>
          <w:color w:val="auto"/>
          <w:highlight w:val="none"/>
        </w:rPr>
        <w:t xml:space="preserve">3.1.6 </w:t>
      </w:r>
      <w:r>
        <w:rPr>
          <w:color w:val="auto"/>
          <w:highlight w:val="none"/>
        </w:rPr>
        <w:t>联合体各方签订联合体协议后，不得再以自己名义单独投标，也不得组成新的联合体或参加其他联合体投标。</w:t>
      </w:r>
    </w:p>
    <w:p>
      <w:pPr>
        <w:spacing w:line="400" w:lineRule="exact"/>
        <w:ind w:firstLine="525" w:firstLineChars="250"/>
        <w:rPr>
          <w:color w:val="auto"/>
          <w:highlight w:val="none"/>
        </w:rPr>
      </w:pPr>
      <w:r>
        <w:rPr>
          <w:rFonts w:hint="eastAsia"/>
          <w:color w:val="auto"/>
          <w:highlight w:val="none"/>
        </w:rPr>
        <w:t xml:space="preserve">3.1.7 </w:t>
      </w:r>
      <w:r>
        <w:rPr>
          <w:color w:val="auto"/>
          <w:highlight w:val="none"/>
        </w:rPr>
        <w:t>联合体牵头人为投标邀请函中的被邀请人</w:t>
      </w:r>
      <w:r>
        <w:rPr>
          <w:rFonts w:hint="eastAsia"/>
          <w:color w:val="auto"/>
          <w:highlight w:val="none"/>
        </w:rPr>
        <w:t>（邀请招标时）</w:t>
      </w:r>
      <w:r>
        <w:rPr>
          <w:color w:val="auto"/>
          <w:highlight w:val="none"/>
        </w:rPr>
        <w:t>，联合体牵头人负责投标和合同实施阶段的主办、协调工作，并应当向招标人提交由所有联合体成员法定代表人签署的授权书。</w:t>
      </w:r>
    </w:p>
    <w:p>
      <w:pPr>
        <w:spacing w:line="400" w:lineRule="exact"/>
        <w:ind w:firstLine="525" w:firstLineChars="250"/>
        <w:rPr>
          <w:color w:val="auto"/>
          <w:highlight w:val="none"/>
        </w:rPr>
      </w:pPr>
      <w:r>
        <w:rPr>
          <w:rFonts w:hint="eastAsia"/>
          <w:color w:val="auto"/>
          <w:highlight w:val="none"/>
        </w:rPr>
        <w:t xml:space="preserve">3.1.8 </w:t>
      </w:r>
      <w:r>
        <w:rPr>
          <w:color w:val="auto"/>
          <w:highlight w:val="none"/>
        </w:rPr>
        <w:t>联合体中标的，联合体</w:t>
      </w:r>
      <w:r>
        <w:rPr>
          <w:rFonts w:hint="eastAsia"/>
          <w:color w:val="auto"/>
          <w:highlight w:val="none"/>
        </w:rPr>
        <w:t>各方应共同</w:t>
      </w:r>
      <w:r>
        <w:rPr>
          <w:color w:val="auto"/>
          <w:highlight w:val="none"/>
        </w:rPr>
        <w:t>与</w:t>
      </w:r>
      <w:r>
        <w:rPr>
          <w:rFonts w:hint="eastAsia"/>
          <w:color w:val="auto"/>
          <w:highlight w:val="none"/>
        </w:rPr>
        <w:t>招标人</w:t>
      </w:r>
      <w:r>
        <w:rPr>
          <w:color w:val="auto"/>
          <w:highlight w:val="none"/>
        </w:rPr>
        <w:t>签订合同，</w:t>
      </w:r>
      <w:r>
        <w:rPr>
          <w:rFonts w:hint="eastAsia"/>
          <w:color w:val="auto"/>
          <w:highlight w:val="none"/>
        </w:rPr>
        <w:t>就中标项目</w:t>
      </w:r>
      <w:r>
        <w:rPr>
          <w:color w:val="auto"/>
          <w:highlight w:val="none"/>
        </w:rPr>
        <w:t>向</w:t>
      </w:r>
      <w:r>
        <w:rPr>
          <w:rFonts w:hint="eastAsia"/>
          <w:color w:val="auto"/>
          <w:highlight w:val="none"/>
        </w:rPr>
        <w:t>招标人</w:t>
      </w:r>
      <w:r>
        <w:rPr>
          <w:color w:val="auto"/>
          <w:highlight w:val="none"/>
        </w:rPr>
        <w:t>承担连带责任。</w:t>
      </w:r>
    </w:p>
    <w:p>
      <w:pPr>
        <w:pStyle w:val="4"/>
        <w:spacing w:before="120" w:beforeLines="50" w:after="120" w:afterLines="50" w:line="360" w:lineRule="auto"/>
        <w:rPr>
          <w:rFonts w:ascii="宋体" w:hAnsi="宋体"/>
          <w:color w:val="auto"/>
          <w:kern w:val="0"/>
          <w:sz w:val="21"/>
          <w:szCs w:val="21"/>
          <w:highlight w:val="none"/>
        </w:rPr>
      </w:pPr>
      <w:bookmarkStart w:id="254" w:name="_Toc419320119"/>
      <w:bookmarkStart w:id="255" w:name="_Toc419364246"/>
      <w:bookmarkStart w:id="256" w:name="_Toc433988589"/>
      <w:bookmarkStart w:id="257" w:name="_Toc419321155"/>
      <w:bookmarkStart w:id="258" w:name="_Toc419363522"/>
      <w:bookmarkStart w:id="259" w:name="_Toc19034639"/>
      <w:r>
        <w:rPr>
          <w:rFonts w:ascii="宋体" w:hAnsi="宋体"/>
          <w:color w:val="auto"/>
          <w:kern w:val="0"/>
          <w:sz w:val="21"/>
          <w:szCs w:val="21"/>
          <w:highlight w:val="none"/>
        </w:rPr>
        <w:t xml:space="preserve">3.2 </w:t>
      </w:r>
      <w:r>
        <w:rPr>
          <w:rFonts w:hint="eastAsia" w:ascii="宋体" w:hAnsi="宋体"/>
          <w:color w:val="auto"/>
          <w:kern w:val="0"/>
          <w:sz w:val="21"/>
          <w:szCs w:val="21"/>
          <w:highlight w:val="none"/>
        </w:rPr>
        <w:t>投标报价</w:t>
      </w:r>
      <w:bookmarkEnd w:id="254"/>
      <w:bookmarkEnd w:id="255"/>
      <w:bookmarkEnd w:id="256"/>
      <w:bookmarkEnd w:id="257"/>
      <w:bookmarkEnd w:id="258"/>
      <w:bookmarkEnd w:id="259"/>
    </w:p>
    <w:p>
      <w:pPr>
        <w:spacing w:line="400" w:lineRule="exact"/>
        <w:ind w:firstLine="525" w:firstLineChars="250"/>
        <w:rPr>
          <w:color w:val="auto"/>
          <w:highlight w:val="none"/>
        </w:rPr>
      </w:pPr>
      <w:r>
        <w:rPr>
          <w:color w:val="auto"/>
          <w:highlight w:val="none"/>
        </w:rPr>
        <w:t>3.2.1</w:t>
      </w:r>
      <w:r>
        <w:rPr>
          <w:rFonts w:hint="eastAsia"/>
          <w:color w:val="auto"/>
          <w:highlight w:val="none"/>
        </w:rPr>
        <w:t xml:space="preserve"> 投标人应按第七章“投标文件格式”的要求填写投标函；</w:t>
      </w:r>
    </w:p>
    <w:p>
      <w:pPr>
        <w:spacing w:line="400" w:lineRule="exact"/>
        <w:ind w:firstLine="525" w:firstLineChars="250"/>
        <w:rPr>
          <w:color w:val="auto"/>
          <w:highlight w:val="none"/>
        </w:rPr>
      </w:pPr>
      <w:r>
        <w:rPr>
          <w:rFonts w:hint="eastAsia"/>
          <w:color w:val="auto"/>
          <w:highlight w:val="none"/>
        </w:rPr>
        <w:t>3.2.2投标人应充分了解施工场地的位置、周边环境、道路、装卸、保管、安装限制以及影响投标报价的其他要素。投标人根据投标设计，结合市场情况进行投标报价。</w:t>
      </w:r>
    </w:p>
    <w:p>
      <w:pPr>
        <w:spacing w:line="400" w:lineRule="exact"/>
        <w:ind w:firstLine="525" w:firstLineChars="250"/>
        <w:rPr>
          <w:color w:val="auto"/>
          <w:highlight w:val="none"/>
        </w:rPr>
      </w:pPr>
      <w:r>
        <w:rPr>
          <w:color w:val="auto"/>
          <w:highlight w:val="none"/>
        </w:rPr>
        <w:t>3.2.</w:t>
      </w:r>
      <w:r>
        <w:rPr>
          <w:rFonts w:hint="eastAsia"/>
          <w:color w:val="auto"/>
          <w:highlight w:val="none"/>
        </w:rPr>
        <w:t>3投标人在投标截止时间前修改投标函中的投标报价总额，应同时修改投标文件“投资估算表”、或“投资概算汇总表”中的相应报价。投标报价总额为各分项金额之和，此修改须符合本章第</w:t>
      </w:r>
      <w:r>
        <w:rPr>
          <w:color w:val="auto"/>
          <w:highlight w:val="none"/>
        </w:rPr>
        <w:t xml:space="preserve">4.3 </w:t>
      </w:r>
      <w:r>
        <w:rPr>
          <w:rFonts w:hint="eastAsia"/>
          <w:color w:val="auto"/>
          <w:highlight w:val="none"/>
        </w:rPr>
        <w:t>款的有关要求。</w:t>
      </w:r>
    </w:p>
    <w:p>
      <w:pPr>
        <w:spacing w:line="400" w:lineRule="exact"/>
        <w:ind w:firstLine="525" w:firstLineChars="250"/>
        <w:rPr>
          <w:color w:val="auto"/>
          <w:highlight w:val="none"/>
        </w:rPr>
      </w:pPr>
      <w:r>
        <w:rPr>
          <w:rFonts w:hint="eastAsia"/>
          <w:color w:val="auto"/>
          <w:highlight w:val="none"/>
        </w:rPr>
        <w:t>3.2.4 招标人设有最高投标限价的，投标人的投标报价不得超过最高投标限价，最高投标限价或其计算方法在投标人须知前附表中载明。</w:t>
      </w:r>
    </w:p>
    <w:p>
      <w:pPr>
        <w:spacing w:line="400" w:lineRule="exact"/>
        <w:ind w:firstLine="525" w:firstLineChars="250"/>
        <w:rPr>
          <w:color w:val="auto"/>
          <w:highlight w:val="none"/>
        </w:rPr>
      </w:pPr>
      <w:r>
        <w:rPr>
          <w:rFonts w:hint="eastAsia"/>
          <w:color w:val="auto"/>
          <w:highlight w:val="none"/>
        </w:rPr>
        <w:t>3.2.5 投标报价的其他要求见标投人须知前附表。</w:t>
      </w:r>
    </w:p>
    <w:p>
      <w:pPr>
        <w:pStyle w:val="4"/>
        <w:spacing w:before="120" w:beforeLines="50" w:after="120" w:afterLines="50" w:line="360" w:lineRule="auto"/>
        <w:rPr>
          <w:rFonts w:ascii="宋体" w:hAnsi="宋体"/>
          <w:color w:val="auto"/>
          <w:kern w:val="0"/>
          <w:sz w:val="21"/>
          <w:szCs w:val="21"/>
          <w:highlight w:val="none"/>
        </w:rPr>
      </w:pPr>
      <w:bookmarkStart w:id="260" w:name="_Toc419364247"/>
      <w:bookmarkStart w:id="261" w:name="_Toc419320120"/>
      <w:bookmarkStart w:id="262" w:name="_Toc419321156"/>
      <w:bookmarkStart w:id="263" w:name="_Toc433988590"/>
      <w:bookmarkStart w:id="264" w:name="_Toc19034640"/>
      <w:bookmarkStart w:id="265" w:name="_Toc419363523"/>
      <w:r>
        <w:rPr>
          <w:rFonts w:ascii="宋体" w:hAnsi="宋体"/>
          <w:color w:val="auto"/>
          <w:kern w:val="0"/>
          <w:sz w:val="21"/>
          <w:szCs w:val="21"/>
          <w:highlight w:val="none"/>
        </w:rPr>
        <w:t xml:space="preserve">3.3 </w:t>
      </w:r>
      <w:r>
        <w:rPr>
          <w:rFonts w:hint="eastAsia" w:ascii="宋体" w:hAnsi="宋体"/>
          <w:color w:val="auto"/>
          <w:kern w:val="0"/>
          <w:sz w:val="21"/>
          <w:szCs w:val="21"/>
          <w:highlight w:val="none"/>
        </w:rPr>
        <w:t>投标有效期</w:t>
      </w:r>
      <w:bookmarkEnd w:id="260"/>
      <w:bookmarkEnd w:id="261"/>
      <w:bookmarkEnd w:id="262"/>
      <w:bookmarkEnd w:id="263"/>
      <w:bookmarkEnd w:id="264"/>
      <w:bookmarkEnd w:id="265"/>
    </w:p>
    <w:p>
      <w:pPr>
        <w:autoSpaceDE w:val="0"/>
        <w:autoSpaceDN w:val="0"/>
        <w:adjustRightInd w:val="0"/>
        <w:spacing w:line="400" w:lineRule="exact"/>
        <w:ind w:firstLine="359" w:firstLineChars="171"/>
        <w:jc w:val="left"/>
        <w:rPr>
          <w:rFonts w:ascii="宋体" w:hAnsi="宋体" w:cs="仿宋_GB2312"/>
          <w:color w:val="auto"/>
          <w:kern w:val="0"/>
          <w:szCs w:val="21"/>
          <w:highlight w:val="none"/>
        </w:rPr>
      </w:pPr>
      <w:r>
        <w:rPr>
          <w:rFonts w:ascii="宋体" w:hAnsi="宋体" w:cs="仿宋_GB2312"/>
          <w:color w:val="auto"/>
          <w:kern w:val="0"/>
          <w:szCs w:val="21"/>
          <w:highlight w:val="none"/>
        </w:rPr>
        <w:t xml:space="preserve">3.3.1 </w:t>
      </w:r>
      <w:r>
        <w:rPr>
          <w:rFonts w:hint="eastAsia" w:ascii="宋体" w:hAnsi="宋体" w:cs="仿宋_GB2312"/>
          <w:color w:val="auto"/>
          <w:kern w:val="0"/>
          <w:szCs w:val="21"/>
          <w:highlight w:val="none"/>
        </w:rPr>
        <w:t>在投标人须知前附表规定的投标有效期内，投标人不得要求撤销或修改其投标文件。</w:t>
      </w:r>
    </w:p>
    <w:p>
      <w:pPr>
        <w:autoSpaceDE w:val="0"/>
        <w:autoSpaceDN w:val="0"/>
        <w:adjustRightInd w:val="0"/>
        <w:spacing w:line="400" w:lineRule="exact"/>
        <w:ind w:firstLine="359" w:firstLineChars="171"/>
        <w:jc w:val="left"/>
        <w:rPr>
          <w:rFonts w:ascii="宋体" w:hAnsi="宋体" w:cs="仿宋_GB2312"/>
          <w:color w:val="auto"/>
          <w:kern w:val="0"/>
          <w:szCs w:val="21"/>
          <w:highlight w:val="none"/>
        </w:rPr>
      </w:pPr>
      <w:r>
        <w:rPr>
          <w:rFonts w:ascii="宋体" w:hAnsi="宋体" w:cs="仿宋_GB2312"/>
          <w:color w:val="auto"/>
          <w:kern w:val="0"/>
          <w:szCs w:val="21"/>
          <w:highlight w:val="none"/>
        </w:rPr>
        <w:t>3.3.2</w:t>
      </w:r>
      <w:r>
        <w:rPr>
          <w:rFonts w:hint="eastAsia" w:ascii="宋体" w:hAnsi="宋体" w:cs="仿宋_GB2312"/>
          <w:color w:val="auto"/>
          <w:kern w:val="0"/>
          <w:szCs w:val="21"/>
          <w:highlight w:val="none"/>
        </w:rPr>
        <w:t xml:space="preserve"> 在投标有效期内，投标人撤销或修改其投标文件的，应承担招标文件和法律规定的责任。</w:t>
      </w:r>
    </w:p>
    <w:p>
      <w:pPr>
        <w:autoSpaceDE w:val="0"/>
        <w:autoSpaceDN w:val="0"/>
        <w:adjustRightInd w:val="0"/>
        <w:spacing w:line="400" w:lineRule="exact"/>
        <w:ind w:firstLine="359" w:firstLineChars="171"/>
        <w:jc w:val="left"/>
        <w:rPr>
          <w:rFonts w:ascii="宋体" w:hAnsi="宋体" w:cs="仿宋_GB2312"/>
          <w:color w:val="auto"/>
          <w:kern w:val="0"/>
          <w:szCs w:val="21"/>
          <w:highlight w:val="none"/>
        </w:rPr>
      </w:pPr>
      <w:r>
        <w:rPr>
          <w:rFonts w:hint="eastAsia" w:ascii="宋体" w:hAnsi="宋体" w:cs="仿宋_GB2312"/>
          <w:color w:val="auto"/>
          <w:kern w:val="0"/>
          <w:szCs w:val="21"/>
          <w:highlight w:val="none"/>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spacing w:before="120" w:beforeLines="50" w:after="120" w:afterLines="50" w:line="360" w:lineRule="auto"/>
        <w:rPr>
          <w:rFonts w:ascii="宋体" w:hAnsi="宋体"/>
          <w:color w:val="auto"/>
          <w:kern w:val="0"/>
          <w:sz w:val="21"/>
          <w:szCs w:val="21"/>
          <w:highlight w:val="none"/>
        </w:rPr>
      </w:pPr>
      <w:bookmarkStart w:id="266" w:name="_Toc419364248"/>
      <w:bookmarkStart w:id="267" w:name="_Toc419320121"/>
      <w:bookmarkStart w:id="268" w:name="_Toc419321157"/>
      <w:bookmarkStart w:id="269" w:name="_Toc433988591"/>
      <w:bookmarkStart w:id="270" w:name="_Toc19034641"/>
      <w:bookmarkStart w:id="271" w:name="_Toc419363524"/>
      <w:r>
        <w:rPr>
          <w:rFonts w:ascii="宋体" w:hAnsi="宋体"/>
          <w:color w:val="auto"/>
          <w:kern w:val="0"/>
          <w:sz w:val="21"/>
          <w:szCs w:val="21"/>
          <w:highlight w:val="none"/>
        </w:rPr>
        <w:t xml:space="preserve">3.4 </w:t>
      </w:r>
      <w:r>
        <w:rPr>
          <w:rFonts w:hint="eastAsia" w:ascii="宋体" w:hAnsi="宋体"/>
          <w:color w:val="auto"/>
          <w:kern w:val="0"/>
          <w:sz w:val="21"/>
          <w:szCs w:val="21"/>
          <w:highlight w:val="none"/>
        </w:rPr>
        <w:t xml:space="preserve"> 投标保证金</w:t>
      </w:r>
      <w:bookmarkEnd w:id="266"/>
      <w:bookmarkEnd w:id="267"/>
      <w:bookmarkEnd w:id="268"/>
      <w:bookmarkEnd w:id="269"/>
      <w:bookmarkEnd w:id="270"/>
      <w:bookmarkEnd w:id="271"/>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3.4.1 </w:t>
      </w:r>
      <w:r>
        <w:rPr>
          <w:rFonts w:hint="eastAsia" w:ascii="宋体" w:hAnsi="宋体" w:cs="TimesNewRomanPSMT"/>
          <w:color w:val="auto"/>
          <w:kern w:val="0"/>
          <w:szCs w:val="21"/>
          <w:highlight w:val="none"/>
        </w:rPr>
        <w:t>投标人在递交投标文件的同时，应按投标人须知前附表规定的金额、缴纳形式和第七章“投标文件格式”规定的投标保证金格式递交投标保证金，并作为其投标文件的组成部分。联合体投标的，其投标保证金由联合体的任一方递交，并应符合投标人须知前附表的规定。</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3.4.2 </w:t>
      </w:r>
      <w:r>
        <w:rPr>
          <w:rFonts w:hint="eastAsia" w:ascii="宋体" w:hAnsi="宋体" w:cs="TimesNewRomanPSMT"/>
          <w:color w:val="auto"/>
          <w:kern w:val="0"/>
          <w:szCs w:val="21"/>
          <w:highlight w:val="none"/>
        </w:rPr>
        <w:t>投标人不按本章第</w:t>
      </w:r>
      <w:r>
        <w:rPr>
          <w:rFonts w:ascii="宋体" w:hAnsi="宋体" w:cs="TimesNewRomanPSMT"/>
          <w:color w:val="auto"/>
          <w:kern w:val="0"/>
          <w:szCs w:val="21"/>
          <w:highlight w:val="none"/>
        </w:rPr>
        <w:t xml:space="preserve">3.4.1 </w:t>
      </w:r>
      <w:r>
        <w:rPr>
          <w:rFonts w:hint="eastAsia" w:ascii="宋体" w:hAnsi="宋体" w:cs="TimesNewRomanPSMT"/>
          <w:color w:val="auto"/>
          <w:kern w:val="0"/>
          <w:szCs w:val="21"/>
          <w:highlight w:val="none"/>
        </w:rPr>
        <w:t>项要求提交投标保证金的，评标委员会将否决其投标。</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3.4.3对未中标人交纳的投标保证金</w:t>
      </w:r>
      <w:r>
        <w:rPr>
          <w:rFonts w:hint="eastAsia" w:ascii="宋体" w:hAnsi="宋体" w:cs="TimesNewRomanPSMT"/>
          <w:color w:val="auto"/>
          <w:kern w:val="0"/>
          <w:szCs w:val="21"/>
          <w:highlight w:val="none"/>
        </w:rPr>
        <w:t>（保函原件）</w:t>
      </w:r>
      <w:r>
        <w:rPr>
          <w:rFonts w:ascii="宋体" w:hAnsi="宋体" w:cs="TimesNewRomanPSMT"/>
          <w:color w:val="auto"/>
          <w:kern w:val="0"/>
          <w:szCs w:val="21"/>
          <w:highlight w:val="none"/>
        </w:rPr>
        <w:t>应当于中标通知书发出之日起5日内退回；对中标人交纳的投标保证金</w:t>
      </w:r>
      <w:r>
        <w:rPr>
          <w:rFonts w:hint="eastAsia" w:ascii="宋体" w:hAnsi="宋体" w:cs="TimesNewRomanPSMT"/>
          <w:color w:val="auto"/>
          <w:kern w:val="0"/>
          <w:szCs w:val="21"/>
          <w:highlight w:val="none"/>
        </w:rPr>
        <w:t>（保函原件）</w:t>
      </w:r>
      <w:r>
        <w:rPr>
          <w:rFonts w:ascii="宋体" w:hAnsi="宋体" w:cs="TimesNewRomanPSMT"/>
          <w:color w:val="auto"/>
          <w:kern w:val="0"/>
          <w:szCs w:val="21"/>
          <w:highlight w:val="none"/>
        </w:rPr>
        <w:t>应当于合同签订之日起5日内退回。</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3.4.4 </w:t>
      </w:r>
      <w:r>
        <w:rPr>
          <w:rFonts w:hint="eastAsia" w:ascii="宋体" w:hAnsi="宋体" w:cs="TimesNewRomanPSMT"/>
          <w:color w:val="auto"/>
          <w:kern w:val="0"/>
          <w:szCs w:val="21"/>
          <w:highlight w:val="none"/>
        </w:rPr>
        <w:t>有下列情形之一的，投标保证金将不予退还：</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w:t>
      </w:r>
      <w:r>
        <w:rPr>
          <w:rFonts w:ascii="宋体" w:hAnsi="宋体" w:cs="TimesNewRomanPSMT"/>
          <w:color w:val="auto"/>
          <w:kern w:val="0"/>
          <w:szCs w:val="21"/>
          <w:highlight w:val="none"/>
        </w:rPr>
        <w:t>1</w:t>
      </w:r>
      <w:r>
        <w:rPr>
          <w:rFonts w:hint="eastAsia" w:ascii="宋体" w:hAnsi="宋体" w:cs="TimesNewRomanPSMT"/>
          <w:color w:val="auto"/>
          <w:kern w:val="0"/>
          <w:szCs w:val="21"/>
          <w:highlight w:val="none"/>
        </w:rPr>
        <w:t>）投标人在规定的投标有效期内撤销或修改其投标文件；</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w:t>
      </w:r>
      <w:r>
        <w:rPr>
          <w:rFonts w:ascii="宋体" w:hAnsi="宋体" w:cs="TimesNewRomanPSMT"/>
          <w:color w:val="auto"/>
          <w:kern w:val="0"/>
          <w:szCs w:val="21"/>
          <w:highlight w:val="none"/>
        </w:rPr>
        <w:t>2</w:t>
      </w:r>
      <w:r>
        <w:rPr>
          <w:rFonts w:hint="eastAsia" w:ascii="宋体" w:hAnsi="宋体" w:cs="TimesNewRomanPSMT"/>
          <w:color w:val="auto"/>
          <w:kern w:val="0"/>
          <w:szCs w:val="21"/>
          <w:highlight w:val="none"/>
        </w:rPr>
        <w:t>）中标人在收到中标通知书后，无正当理由拒签合同协议书或未按招标文件规定提交履约担保。</w:t>
      </w:r>
    </w:p>
    <w:p>
      <w:pPr>
        <w:autoSpaceDE w:val="0"/>
        <w:autoSpaceDN w:val="0"/>
        <w:adjustRightInd w:val="0"/>
        <w:spacing w:line="400" w:lineRule="exact"/>
        <w:jc w:val="left"/>
        <w:rPr>
          <w:rFonts w:ascii="宋体" w:hAnsi="宋体" w:cs="TimesNewRomanPSMT"/>
          <w:color w:val="auto"/>
          <w:kern w:val="0"/>
          <w:szCs w:val="21"/>
          <w:highlight w:val="none"/>
        </w:rPr>
      </w:pPr>
    </w:p>
    <w:p>
      <w:pPr>
        <w:pStyle w:val="4"/>
        <w:spacing w:before="120" w:beforeLines="50" w:after="120" w:afterLines="50" w:line="360" w:lineRule="auto"/>
        <w:rPr>
          <w:rFonts w:ascii="宋体" w:hAnsi="宋体"/>
          <w:color w:val="auto"/>
          <w:kern w:val="0"/>
          <w:sz w:val="21"/>
          <w:szCs w:val="21"/>
          <w:highlight w:val="none"/>
        </w:rPr>
      </w:pPr>
      <w:bookmarkStart w:id="272" w:name="_Toc419320123"/>
      <w:bookmarkStart w:id="273" w:name="_Toc433988593"/>
      <w:bookmarkStart w:id="274" w:name="_Toc419363526"/>
      <w:bookmarkStart w:id="275" w:name="_Toc19034642"/>
      <w:bookmarkStart w:id="276" w:name="_Toc419364250"/>
      <w:bookmarkStart w:id="277" w:name="_Toc419321159"/>
      <w:r>
        <w:rPr>
          <w:rFonts w:hint="eastAsia" w:ascii="宋体" w:hAnsi="宋体"/>
          <w:color w:val="auto"/>
          <w:kern w:val="0"/>
          <w:sz w:val="21"/>
          <w:szCs w:val="21"/>
          <w:highlight w:val="none"/>
        </w:rPr>
        <w:t>3.5 资格审查资料（适用于未进行资格预审的）</w:t>
      </w:r>
      <w:bookmarkEnd w:id="272"/>
      <w:bookmarkEnd w:id="273"/>
      <w:bookmarkEnd w:id="274"/>
      <w:bookmarkEnd w:id="275"/>
      <w:bookmarkEnd w:id="276"/>
      <w:bookmarkEnd w:id="277"/>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3.5.1 </w:t>
      </w:r>
      <w:r>
        <w:rPr>
          <w:rFonts w:hint="eastAsia" w:ascii="宋体" w:hAnsi="宋体" w:cs="TimesNewRomanPSMT"/>
          <w:color w:val="auto"/>
          <w:kern w:val="0"/>
          <w:szCs w:val="21"/>
          <w:highlight w:val="none"/>
        </w:rPr>
        <w:t>“投标人基本情况表”应附投标人营业执照副本、资质证书副本和安全生产许可证等材料的复印件。</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3.5.2 </w:t>
      </w:r>
      <w:r>
        <w:rPr>
          <w:rFonts w:hint="eastAsia" w:ascii="宋体" w:hAnsi="宋体" w:cs="TimesNewRomanPSMT"/>
          <w:color w:val="auto"/>
          <w:kern w:val="0"/>
          <w:szCs w:val="21"/>
          <w:highlight w:val="none"/>
        </w:rPr>
        <w:t>“近年财务状况表”应附资产负债表、现金流量表、利润表的复印件，具体年份要求见投标人须知前附表。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3.5.</w:t>
      </w:r>
      <w:r>
        <w:rPr>
          <w:rFonts w:hint="eastAsia" w:ascii="宋体" w:hAnsi="宋体" w:cs="TimesNewRomanPSMT"/>
          <w:color w:val="auto"/>
          <w:kern w:val="0"/>
          <w:szCs w:val="21"/>
          <w:highlight w:val="none"/>
        </w:rPr>
        <w:t>3“近年完成的类似工程总承包项目情况表”应附中标通知书或合同协议书或工程接收证书（工程竣工验收证书）复印件；“近年完成的类似工程设计项目情况表”应附中标通知书或合同协议书或发包人出具的证明文件；“近年完成的类似施工项目情况表”应附中标通知书或合同协议书</w:t>
      </w:r>
      <w:r>
        <w:rPr>
          <w:rFonts w:hint="eastAsia" w:ascii="宋体" w:hAnsi="宋体" w:cs="TimesNewRomanPSMT"/>
          <w:color w:val="auto"/>
          <w:kern w:val="0"/>
          <w:szCs w:val="21"/>
          <w:highlight w:val="none"/>
          <w:lang w:eastAsia="zh-CN"/>
        </w:rPr>
        <w:t>或</w:t>
      </w:r>
      <w:r>
        <w:rPr>
          <w:rFonts w:hint="eastAsia" w:ascii="宋体" w:hAnsi="宋体" w:cs="TimesNewRomanPSMT"/>
          <w:color w:val="auto"/>
          <w:kern w:val="0"/>
          <w:szCs w:val="21"/>
          <w:highlight w:val="none"/>
        </w:rPr>
        <w:t>工程接收证书（工程竣工验收证书）复印件。具体年份要求见投标人须知前附表，每张表格只填写一个项目，并标明序号。</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3.5.4 </w:t>
      </w:r>
      <w:r>
        <w:rPr>
          <w:rFonts w:hint="eastAsia" w:ascii="宋体" w:hAnsi="宋体" w:cs="TimesNewRomanPSMT"/>
          <w:color w:val="auto"/>
          <w:kern w:val="0"/>
          <w:szCs w:val="21"/>
          <w:highlight w:val="none"/>
        </w:rPr>
        <w:t>“正在实施和新承接的项目情况表”应附中标通知书或合同协议书复印件。每张表格只填写一个项目，并标明序号。</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3.5.5 </w:t>
      </w:r>
      <w:r>
        <w:rPr>
          <w:rFonts w:hint="eastAsia" w:ascii="宋体" w:hAnsi="宋体" w:cs="TimesNewRomanPSMT"/>
          <w:color w:val="auto"/>
          <w:kern w:val="0"/>
          <w:szCs w:val="21"/>
          <w:highlight w:val="none"/>
        </w:rPr>
        <w:t>“近年发生的重大诉讼及仲裁情况”应说明相关情况，并附法院或仲裁机构作出的判决、裁决等有关法律文书复印件，具体年份要求见投标人须知前附表。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3.5.6</w:t>
      </w:r>
      <w:r>
        <w:rPr>
          <w:rFonts w:hint="eastAsia" w:ascii="宋体" w:hAnsi="宋体" w:cs="TimesNewRomanPSMT"/>
          <w:color w:val="auto"/>
          <w:kern w:val="0"/>
          <w:szCs w:val="21"/>
          <w:highlight w:val="none"/>
        </w:rPr>
        <w:t xml:space="preserve"> 联合体投标的，本章第</w:t>
      </w:r>
      <w:r>
        <w:rPr>
          <w:rFonts w:ascii="宋体" w:hAnsi="宋体" w:cs="TimesNewRomanPSMT"/>
          <w:color w:val="auto"/>
          <w:kern w:val="0"/>
          <w:szCs w:val="21"/>
          <w:highlight w:val="none"/>
        </w:rPr>
        <w:t xml:space="preserve">3.5.1 </w:t>
      </w:r>
      <w:r>
        <w:rPr>
          <w:rFonts w:hint="eastAsia" w:ascii="宋体" w:hAnsi="宋体" w:cs="TimesNewRomanPSMT"/>
          <w:color w:val="auto"/>
          <w:kern w:val="0"/>
          <w:szCs w:val="21"/>
          <w:highlight w:val="none"/>
        </w:rPr>
        <w:t>项至第</w:t>
      </w:r>
      <w:r>
        <w:rPr>
          <w:rFonts w:ascii="宋体" w:hAnsi="宋体" w:cs="TimesNewRomanPSMT"/>
          <w:color w:val="auto"/>
          <w:kern w:val="0"/>
          <w:szCs w:val="21"/>
          <w:highlight w:val="none"/>
        </w:rPr>
        <w:t xml:space="preserve">3.5.5 </w:t>
      </w:r>
      <w:r>
        <w:rPr>
          <w:rFonts w:hint="eastAsia" w:ascii="宋体" w:hAnsi="宋体" w:cs="TimesNewRomanPSMT"/>
          <w:color w:val="auto"/>
          <w:kern w:val="0"/>
          <w:szCs w:val="21"/>
          <w:highlight w:val="none"/>
        </w:rPr>
        <w:t>项规定的表格和资料应包括联合体各方相关情况。</w:t>
      </w:r>
    </w:p>
    <w:p>
      <w:pPr>
        <w:pStyle w:val="4"/>
        <w:spacing w:before="120" w:beforeLines="50" w:after="120" w:afterLines="50" w:line="360" w:lineRule="auto"/>
        <w:rPr>
          <w:rFonts w:ascii="宋体" w:hAnsi="宋体"/>
          <w:color w:val="auto"/>
          <w:kern w:val="0"/>
          <w:sz w:val="21"/>
          <w:szCs w:val="21"/>
          <w:highlight w:val="none"/>
        </w:rPr>
      </w:pPr>
      <w:bookmarkStart w:id="278" w:name="_Toc419363527"/>
      <w:bookmarkStart w:id="279" w:name="_Toc419321160"/>
      <w:bookmarkStart w:id="280" w:name="_Toc19034643"/>
      <w:bookmarkStart w:id="281" w:name="_Toc419320124"/>
      <w:bookmarkStart w:id="282" w:name="_Toc433988594"/>
      <w:bookmarkStart w:id="283" w:name="_Toc419364251"/>
      <w:r>
        <w:rPr>
          <w:rFonts w:ascii="宋体" w:hAnsi="宋体"/>
          <w:color w:val="auto"/>
          <w:kern w:val="0"/>
          <w:sz w:val="21"/>
          <w:szCs w:val="21"/>
          <w:highlight w:val="none"/>
        </w:rPr>
        <w:t xml:space="preserve">3.6 </w:t>
      </w:r>
      <w:r>
        <w:rPr>
          <w:rFonts w:hint="eastAsia" w:ascii="宋体" w:hAnsi="宋体"/>
          <w:color w:val="auto"/>
          <w:kern w:val="0"/>
          <w:sz w:val="21"/>
          <w:szCs w:val="21"/>
          <w:highlight w:val="none"/>
        </w:rPr>
        <w:t>备选投标方案</w:t>
      </w:r>
      <w:bookmarkEnd w:id="278"/>
      <w:bookmarkEnd w:id="279"/>
      <w:bookmarkEnd w:id="280"/>
      <w:bookmarkEnd w:id="281"/>
      <w:bookmarkEnd w:id="282"/>
      <w:bookmarkEnd w:id="283"/>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spacing w:before="120" w:beforeLines="50" w:after="120" w:afterLines="50" w:line="360" w:lineRule="auto"/>
        <w:rPr>
          <w:rFonts w:ascii="宋体" w:hAnsi="宋体"/>
          <w:color w:val="auto"/>
          <w:kern w:val="0"/>
          <w:sz w:val="21"/>
          <w:szCs w:val="21"/>
          <w:highlight w:val="none"/>
        </w:rPr>
      </w:pPr>
      <w:bookmarkStart w:id="284" w:name="_Toc419364252"/>
      <w:bookmarkStart w:id="285" w:name="_Toc419363528"/>
      <w:bookmarkStart w:id="286" w:name="_Toc419321161"/>
      <w:bookmarkStart w:id="287" w:name="_Toc419320125"/>
      <w:bookmarkStart w:id="288" w:name="_Toc433988595"/>
      <w:bookmarkStart w:id="289" w:name="_Toc19034644"/>
      <w:r>
        <w:rPr>
          <w:rFonts w:ascii="宋体" w:hAnsi="宋体"/>
          <w:color w:val="auto"/>
          <w:kern w:val="0"/>
          <w:sz w:val="21"/>
          <w:szCs w:val="21"/>
          <w:highlight w:val="none"/>
        </w:rPr>
        <w:t xml:space="preserve">3.7 </w:t>
      </w:r>
      <w:r>
        <w:rPr>
          <w:rFonts w:hint="eastAsia" w:ascii="宋体" w:hAnsi="宋体"/>
          <w:color w:val="auto"/>
          <w:kern w:val="0"/>
          <w:sz w:val="21"/>
          <w:szCs w:val="21"/>
          <w:highlight w:val="none"/>
        </w:rPr>
        <w:t>投标文件的编制</w:t>
      </w:r>
      <w:bookmarkEnd w:id="284"/>
      <w:bookmarkEnd w:id="285"/>
      <w:bookmarkEnd w:id="286"/>
      <w:bookmarkEnd w:id="287"/>
      <w:bookmarkEnd w:id="288"/>
      <w:bookmarkEnd w:id="289"/>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3.7.1 </w:t>
      </w:r>
      <w:r>
        <w:rPr>
          <w:rFonts w:hint="eastAsia" w:ascii="宋体" w:hAnsi="宋体" w:cs="TimesNewRomanPSMT"/>
          <w:color w:val="auto"/>
          <w:kern w:val="0"/>
          <w:szCs w:val="21"/>
          <w:highlight w:val="none"/>
        </w:rPr>
        <w:t>投标文件应按</w:t>
      </w:r>
      <w:r>
        <w:rPr>
          <w:rFonts w:hint="eastAsia" w:ascii="宋体" w:hAnsi="宋体" w:cs="TimesNewRomanPSMT"/>
          <w:b/>
          <w:color w:val="auto"/>
          <w:kern w:val="0"/>
          <w:szCs w:val="21"/>
          <w:highlight w:val="none"/>
        </w:rPr>
        <w:t>第七章</w:t>
      </w:r>
      <w:r>
        <w:rPr>
          <w:rFonts w:hint="eastAsia" w:ascii="宋体" w:hAnsi="宋体" w:cs="TimesNewRomanPSMT"/>
          <w:color w:val="auto"/>
          <w:kern w:val="0"/>
          <w:szCs w:val="21"/>
          <w:highlight w:val="none"/>
        </w:rPr>
        <w:t>“投标文件格式”进行编写，如有必要，可以增加附页，作为投标文件的组成部分。其中，投标函附录在满足招标文件实质性要求的基础上，可以提出比招标文件要求更有利于招标人的承诺。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3.7.2 </w:t>
      </w:r>
      <w:r>
        <w:rPr>
          <w:rFonts w:hint="eastAsia" w:ascii="宋体" w:hAnsi="宋体" w:cs="TimesNewRomanPSMT"/>
          <w:color w:val="auto"/>
          <w:kern w:val="0"/>
          <w:szCs w:val="21"/>
          <w:highlight w:val="none"/>
        </w:rPr>
        <w:t>投标文件应当对招标文件有关工期、投标有效期、质量要求、技术的要求、招标范围等实质性内容作出响应。</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3.7.3</w:t>
      </w:r>
      <w:r>
        <w:rPr>
          <w:rFonts w:hint="eastAsia" w:ascii="宋体" w:hAnsi="宋体" w:cs="仿宋_GB2312"/>
          <w:color w:val="auto"/>
          <w:kern w:val="0"/>
          <w:szCs w:val="21"/>
          <w:highlight w:val="none"/>
        </w:rPr>
        <w:t>投标文件应用不褪色的</w:t>
      </w:r>
      <w:r>
        <w:rPr>
          <w:rFonts w:ascii="宋体" w:hAnsi="宋体" w:cs="仿宋_GB2312"/>
          <w:color w:val="auto"/>
          <w:kern w:val="0"/>
          <w:szCs w:val="21"/>
          <w:highlight w:val="none"/>
        </w:rPr>
        <w:t>印刷纸或复印纸</w:t>
      </w:r>
      <w:r>
        <w:rPr>
          <w:rFonts w:hint="eastAsia" w:ascii="宋体" w:hAnsi="宋体" w:cs="仿宋_GB2312"/>
          <w:color w:val="auto"/>
          <w:kern w:val="0"/>
          <w:szCs w:val="21"/>
          <w:highlight w:val="none"/>
        </w:rPr>
        <w:t>打印或复印，并由</w:t>
      </w:r>
      <w:r>
        <w:rPr>
          <w:rFonts w:hint="eastAsia" w:ascii="宋体" w:hAnsi="宋体" w:cs="TimesNewRomanPSMT"/>
          <w:color w:val="auto"/>
          <w:kern w:val="0"/>
          <w:szCs w:val="21"/>
          <w:highlight w:val="none"/>
        </w:rPr>
        <w:t>投标人的法定代表人或其授权的委托代理人签字或盖单位章。投标人的法定代表人授权代理人签字的，投标文件应附法定代表人签署的授权委托书。投标文件应尽量避免涂改、行间插字或删除。如果出现上述情况，改动之处应加盖单位章或由投标人的法定代表人或其授权的代理人签字确认。</w:t>
      </w:r>
    </w:p>
    <w:p>
      <w:pPr>
        <w:autoSpaceDE w:val="0"/>
        <w:autoSpaceDN w:val="0"/>
        <w:adjustRightInd w:val="0"/>
        <w:spacing w:line="400" w:lineRule="exact"/>
        <w:ind w:firstLine="359" w:firstLineChars="171"/>
        <w:jc w:val="left"/>
        <w:rPr>
          <w:rFonts w:ascii="宋体" w:hAnsi="宋体" w:cs="仿宋_GB2312"/>
          <w:color w:val="auto"/>
          <w:kern w:val="0"/>
          <w:szCs w:val="21"/>
          <w:highlight w:val="none"/>
        </w:rPr>
      </w:pPr>
      <w:r>
        <w:rPr>
          <w:rFonts w:hint="eastAsia" w:ascii="宋体" w:hAnsi="宋体" w:cs="TimesNewRomanPSMT"/>
          <w:color w:val="auto"/>
          <w:kern w:val="0"/>
          <w:szCs w:val="21"/>
          <w:highlight w:val="none"/>
        </w:rPr>
        <w:t>3.7.4签字或盖章的具体要求见投标人须知前附表。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3.7.</w:t>
      </w:r>
      <w:r>
        <w:rPr>
          <w:rFonts w:hint="eastAsia" w:ascii="宋体" w:hAnsi="宋体" w:cs="TimesNewRomanPSMT"/>
          <w:color w:val="auto"/>
          <w:kern w:val="0"/>
          <w:szCs w:val="21"/>
          <w:highlight w:val="none"/>
        </w:rPr>
        <w:t>5投标文件正本一份</w:t>
      </w:r>
      <w:r>
        <w:rPr>
          <w:rFonts w:ascii="宋体" w:hAnsi="宋体" w:cs="TimesNewRomanPSMT"/>
          <w:color w:val="auto"/>
          <w:kern w:val="0"/>
          <w:szCs w:val="21"/>
          <w:highlight w:val="none"/>
        </w:rPr>
        <w:t xml:space="preserve">, </w:t>
      </w:r>
      <w:r>
        <w:rPr>
          <w:rFonts w:hint="eastAsia" w:ascii="宋体" w:hAnsi="宋体" w:cs="TimesNewRomanPSMT"/>
          <w:color w:val="auto"/>
          <w:kern w:val="0"/>
          <w:szCs w:val="21"/>
          <w:highlight w:val="none"/>
        </w:rPr>
        <w:t>副本份数见投标人须知前附表。正本和副本的封面上应清楚地标记“正本”或“副本”的字样。当副本和正本不一致时，以正本为准。</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3.7.</w:t>
      </w:r>
      <w:r>
        <w:rPr>
          <w:rFonts w:hint="eastAsia" w:ascii="宋体" w:hAnsi="宋体" w:cs="TimesNewRomanPSMT"/>
          <w:color w:val="auto"/>
          <w:kern w:val="0"/>
          <w:szCs w:val="21"/>
          <w:highlight w:val="none"/>
        </w:rPr>
        <w:t>6投标文件的正本与副本应分别装订成册，并编制目录，具体装订要求见投标人须知前附表规定。</w:t>
      </w:r>
    </w:p>
    <w:p>
      <w:pPr>
        <w:pStyle w:val="2"/>
        <w:spacing w:line="360" w:lineRule="auto"/>
        <w:rPr>
          <w:rFonts w:ascii="宋体" w:hAnsi="宋体" w:eastAsia="宋体"/>
          <w:color w:val="auto"/>
          <w:sz w:val="24"/>
          <w:szCs w:val="24"/>
          <w:highlight w:val="none"/>
        </w:rPr>
      </w:pPr>
      <w:bookmarkStart w:id="290" w:name="_Toc414553656"/>
      <w:bookmarkStart w:id="291" w:name="_Toc419364253"/>
      <w:bookmarkStart w:id="292" w:name="_Toc419320126"/>
      <w:bookmarkStart w:id="293" w:name="_Toc419363529"/>
      <w:bookmarkStart w:id="294" w:name="_Toc19034645"/>
      <w:bookmarkStart w:id="295" w:name="_Toc419321162"/>
      <w:bookmarkStart w:id="296" w:name="_Toc396778061"/>
      <w:bookmarkStart w:id="297" w:name="_Toc433988596"/>
      <w:bookmarkStart w:id="298" w:name="_Toc282823829"/>
      <w:r>
        <w:rPr>
          <w:rFonts w:ascii="宋体" w:hAnsi="宋体" w:eastAsia="宋体"/>
          <w:color w:val="auto"/>
          <w:sz w:val="24"/>
          <w:szCs w:val="24"/>
          <w:highlight w:val="none"/>
        </w:rPr>
        <w:t>4</w:t>
      </w:r>
      <w:r>
        <w:rPr>
          <w:rFonts w:hint="eastAsia" w:ascii="宋体" w:hAnsi="宋体" w:eastAsia="宋体"/>
          <w:color w:val="auto"/>
          <w:sz w:val="24"/>
          <w:szCs w:val="24"/>
          <w:highlight w:val="none"/>
        </w:rPr>
        <w:t>．投标</w:t>
      </w:r>
      <w:bookmarkEnd w:id="290"/>
      <w:bookmarkEnd w:id="291"/>
      <w:bookmarkEnd w:id="292"/>
      <w:bookmarkEnd w:id="293"/>
      <w:bookmarkEnd w:id="294"/>
      <w:bookmarkEnd w:id="295"/>
      <w:bookmarkEnd w:id="296"/>
      <w:bookmarkEnd w:id="297"/>
      <w:bookmarkEnd w:id="298"/>
    </w:p>
    <w:p>
      <w:pPr>
        <w:pStyle w:val="4"/>
        <w:spacing w:before="120" w:beforeLines="50" w:after="120" w:afterLines="50" w:line="360" w:lineRule="auto"/>
        <w:rPr>
          <w:rFonts w:ascii="宋体" w:hAnsi="宋体"/>
          <w:color w:val="auto"/>
          <w:kern w:val="0"/>
          <w:sz w:val="21"/>
          <w:szCs w:val="21"/>
          <w:highlight w:val="none"/>
        </w:rPr>
      </w:pPr>
      <w:bookmarkStart w:id="299" w:name="_Toc433988597"/>
      <w:bookmarkStart w:id="300" w:name="_Toc419363530"/>
      <w:bookmarkStart w:id="301" w:name="_Toc419321163"/>
      <w:bookmarkStart w:id="302" w:name="_Toc419364254"/>
      <w:bookmarkStart w:id="303" w:name="_Toc19034646"/>
      <w:bookmarkStart w:id="304" w:name="_Toc419320127"/>
      <w:r>
        <w:rPr>
          <w:rFonts w:ascii="宋体" w:hAnsi="宋体"/>
          <w:color w:val="auto"/>
          <w:kern w:val="0"/>
          <w:sz w:val="21"/>
          <w:szCs w:val="21"/>
          <w:highlight w:val="none"/>
        </w:rPr>
        <w:t xml:space="preserve">4.1 </w:t>
      </w:r>
      <w:r>
        <w:rPr>
          <w:rFonts w:hint="eastAsia" w:ascii="宋体" w:hAnsi="宋体"/>
          <w:color w:val="auto"/>
          <w:kern w:val="0"/>
          <w:sz w:val="21"/>
          <w:szCs w:val="21"/>
          <w:highlight w:val="none"/>
        </w:rPr>
        <w:t>投标文件的密封和标记</w:t>
      </w:r>
      <w:bookmarkEnd w:id="299"/>
      <w:bookmarkEnd w:id="300"/>
      <w:bookmarkEnd w:id="301"/>
      <w:bookmarkEnd w:id="302"/>
      <w:bookmarkEnd w:id="303"/>
      <w:bookmarkEnd w:id="304"/>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4.1.1 </w:t>
      </w:r>
      <w:r>
        <w:rPr>
          <w:rFonts w:hint="eastAsia" w:ascii="宋体" w:hAnsi="宋体" w:cs="TimesNewRomanPSMT"/>
          <w:color w:val="auto"/>
          <w:kern w:val="0"/>
          <w:szCs w:val="21"/>
          <w:highlight w:val="none"/>
        </w:rPr>
        <w:t>投标文件包装、密封见投标人须知前附表。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4.1.2</w:t>
      </w:r>
      <w:r>
        <w:rPr>
          <w:rFonts w:hint="eastAsia" w:ascii="宋体" w:hAnsi="宋体" w:cs="TimesNewRomanPSMT"/>
          <w:color w:val="auto"/>
          <w:kern w:val="0"/>
          <w:szCs w:val="21"/>
          <w:highlight w:val="none"/>
        </w:rPr>
        <w:t xml:space="preserve"> 投标文件封套上应写明的内容见投标人须知前附表。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4.1.3 </w:t>
      </w:r>
      <w:r>
        <w:rPr>
          <w:rFonts w:hint="eastAsia" w:ascii="宋体" w:hAnsi="宋体" w:cs="TimesNewRomanPSMT"/>
          <w:color w:val="auto"/>
          <w:kern w:val="0"/>
          <w:szCs w:val="21"/>
          <w:highlight w:val="none"/>
        </w:rPr>
        <w:t>未按本章第</w:t>
      </w:r>
      <w:r>
        <w:rPr>
          <w:rFonts w:ascii="宋体" w:hAnsi="宋体" w:cs="TimesNewRomanPSMT"/>
          <w:color w:val="auto"/>
          <w:kern w:val="0"/>
          <w:szCs w:val="21"/>
          <w:highlight w:val="none"/>
        </w:rPr>
        <w:t xml:space="preserve">4.1.1 </w:t>
      </w:r>
      <w:r>
        <w:rPr>
          <w:rFonts w:hint="eastAsia" w:ascii="宋体" w:hAnsi="宋体" w:cs="TimesNewRomanPSMT"/>
          <w:color w:val="auto"/>
          <w:kern w:val="0"/>
          <w:szCs w:val="21"/>
          <w:highlight w:val="none"/>
        </w:rPr>
        <w:t>项或第</w:t>
      </w:r>
      <w:r>
        <w:rPr>
          <w:rFonts w:ascii="宋体" w:hAnsi="宋体" w:cs="TimesNewRomanPSMT"/>
          <w:color w:val="auto"/>
          <w:kern w:val="0"/>
          <w:szCs w:val="21"/>
          <w:highlight w:val="none"/>
        </w:rPr>
        <w:t xml:space="preserve">4.1.2 </w:t>
      </w:r>
      <w:r>
        <w:rPr>
          <w:rFonts w:hint="eastAsia" w:ascii="宋体" w:hAnsi="宋体" w:cs="TimesNewRomanPSMT"/>
          <w:color w:val="auto"/>
          <w:kern w:val="0"/>
          <w:szCs w:val="21"/>
          <w:highlight w:val="none"/>
        </w:rPr>
        <w:t>项要求密封和加写标记的投标文件，招标人不予受理。</w:t>
      </w:r>
    </w:p>
    <w:p>
      <w:pPr>
        <w:pStyle w:val="4"/>
        <w:spacing w:before="120" w:beforeLines="50" w:after="120" w:afterLines="50" w:line="360" w:lineRule="auto"/>
        <w:rPr>
          <w:rFonts w:ascii="宋体" w:hAnsi="宋体"/>
          <w:color w:val="auto"/>
          <w:kern w:val="0"/>
          <w:sz w:val="21"/>
          <w:szCs w:val="21"/>
          <w:highlight w:val="none"/>
        </w:rPr>
      </w:pPr>
      <w:bookmarkStart w:id="305" w:name="_Toc19034647"/>
      <w:bookmarkStart w:id="306" w:name="_Toc419320128"/>
      <w:bookmarkStart w:id="307" w:name="_Toc433988598"/>
      <w:bookmarkStart w:id="308" w:name="_Toc419364255"/>
      <w:bookmarkStart w:id="309" w:name="_Toc419321164"/>
      <w:bookmarkStart w:id="310" w:name="_Toc419363531"/>
      <w:r>
        <w:rPr>
          <w:rFonts w:ascii="宋体" w:hAnsi="宋体"/>
          <w:color w:val="auto"/>
          <w:kern w:val="0"/>
          <w:sz w:val="21"/>
          <w:szCs w:val="21"/>
          <w:highlight w:val="none"/>
        </w:rPr>
        <w:t xml:space="preserve">4.2 </w:t>
      </w:r>
      <w:r>
        <w:rPr>
          <w:rFonts w:hint="eastAsia" w:ascii="宋体" w:hAnsi="宋体"/>
          <w:color w:val="auto"/>
          <w:kern w:val="0"/>
          <w:sz w:val="21"/>
          <w:szCs w:val="21"/>
          <w:highlight w:val="none"/>
        </w:rPr>
        <w:t>投标文件的递交</w:t>
      </w:r>
      <w:bookmarkEnd w:id="305"/>
      <w:bookmarkEnd w:id="306"/>
      <w:bookmarkEnd w:id="307"/>
      <w:bookmarkEnd w:id="308"/>
      <w:bookmarkEnd w:id="309"/>
      <w:bookmarkEnd w:id="310"/>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4.2.1 </w:t>
      </w:r>
      <w:r>
        <w:rPr>
          <w:rFonts w:hint="eastAsia" w:ascii="宋体" w:hAnsi="宋体" w:cs="TimesNewRomanPSMT"/>
          <w:color w:val="auto"/>
          <w:kern w:val="0"/>
          <w:szCs w:val="21"/>
          <w:highlight w:val="none"/>
        </w:rPr>
        <w:t>投标人应在投标人须知前附表规定的投标截止时间前递交投标文件。</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4.2.2 </w:t>
      </w:r>
      <w:r>
        <w:rPr>
          <w:rFonts w:hint="eastAsia" w:ascii="宋体" w:hAnsi="宋体" w:cs="TimesNewRomanPSMT"/>
          <w:color w:val="auto"/>
          <w:kern w:val="0"/>
          <w:szCs w:val="21"/>
          <w:highlight w:val="none"/>
        </w:rPr>
        <w:t>投标人递交投标文件的地点：见投标人须知前附表。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4.2.3 </w:t>
      </w:r>
      <w:r>
        <w:rPr>
          <w:rFonts w:hint="eastAsia" w:ascii="宋体" w:hAnsi="宋体" w:cs="TimesNewRomanPSMT"/>
          <w:color w:val="auto"/>
          <w:kern w:val="0"/>
          <w:szCs w:val="21"/>
          <w:highlight w:val="none"/>
        </w:rPr>
        <w:t>除投标人须知前附表另有规定外，投标人所递交的投标文件不予退还。</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4.2.4 </w:t>
      </w:r>
      <w:r>
        <w:rPr>
          <w:rFonts w:hint="eastAsia" w:ascii="宋体" w:hAnsi="宋体" w:cs="TimesNewRomanPSMT"/>
          <w:color w:val="auto"/>
          <w:kern w:val="0"/>
          <w:szCs w:val="21"/>
          <w:highlight w:val="none"/>
        </w:rPr>
        <w:t>招标人收到投标文件后，向投标人出具签收凭证。</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4.2.5 </w:t>
      </w:r>
      <w:r>
        <w:rPr>
          <w:rFonts w:hint="eastAsia" w:ascii="宋体" w:hAnsi="宋体" w:cs="TimesNewRomanPSMT"/>
          <w:color w:val="auto"/>
          <w:kern w:val="0"/>
          <w:szCs w:val="21"/>
          <w:highlight w:val="none"/>
        </w:rPr>
        <w:t>逾期送达的或者未送达指定地点的投标文件，招标人不予受理。</w:t>
      </w:r>
    </w:p>
    <w:p>
      <w:pPr>
        <w:pStyle w:val="4"/>
        <w:spacing w:before="120" w:beforeLines="50" w:after="120" w:afterLines="50" w:line="360" w:lineRule="auto"/>
        <w:rPr>
          <w:rFonts w:ascii="宋体" w:hAnsi="宋体"/>
          <w:color w:val="auto"/>
          <w:kern w:val="0"/>
          <w:sz w:val="21"/>
          <w:szCs w:val="21"/>
          <w:highlight w:val="none"/>
        </w:rPr>
      </w:pPr>
      <w:bookmarkStart w:id="311" w:name="_Toc419320129"/>
      <w:bookmarkStart w:id="312" w:name="_Toc19034648"/>
      <w:bookmarkStart w:id="313" w:name="_Toc419364256"/>
      <w:bookmarkStart w:id="314" w:name="_Toc419363532"/>
      <w:bookmarkStart w:id="315" w:name="_Toc419321165"/>
      <w:bookmarkStart w:id="316" w:name="_Toc433988599"/>
      <w:r>
        <w:rPr>
          <w:rFonts w:ascii="宋体" w:hAnsi="宋体"/>
          <w:color w:val="auto"/>
          <w:kern w:val="0"/>
          <w:sz w:val="21"/>
          <w:szCs w:val="21"/>
          <w:highlight w:val="none"/>
        </w:rPr>
        <w:t xml:space="preserve">4.3 </w:t>
      </w:r>
      <w:r>
        <w:rPr>
          <w:rFonts w:hint="eastAsia" w:ascii="宋体" w:hAnsi="宋体"/>
          <w:color w:val="auto"/>
          <w:kern w:val="0"/>
          <w:sz w:val="21"/>
          <w:szCs w:val="21"/>
          <w:highlight w:val="none"/>
        </w:rPr>
        <w:t>投标文件的修改与撤回</w:t>
      </w:r>
      <w:bookmarkEnd w:id="311"/>
      <w:bookmarkEnd w:id="312"/>
      <w:bookmarkEnd w:id="313"/>
      <w:bookmarkEnd w:id="314"/>
      <w:bookmarkEnd w:id="315"/>
      <w:bookmarkEnd w:id="316"/>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4.3.1 </w:t>
      </w:r>
      <w:r>
        <w:rPr>
          <w:rFonts w:hint="eastAsia" w:ascii="宋体" w:hAnsi="宋体" w:cs="TimesNewRomanPSMT"/>
          <w:color w:val="auto"/>
          <w:kern w:val="0"/>
          <w:szCs w:val="21"/>
          <w:highlight w:val="none"/>
        </w:rPr>
        <w:t>在投标人须知前附表规定的投标截止时间前，投标人可以修改或撤回已递交的投标文件，但应以书面形式通知招标人。</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4.3.2 </w:t>
      </w:r>
      <w:r>
        <w:rPr>
          <w:rFonts w:hint="eastAsia" w:ascii="宋体" w:hAnsi="宋体" w:cs="TimesNewRomanPSMT"/>
          <w:color w:val="auto"/>
          <w:kern w:val="0"/>
          <w:szCs w:val="21"/>
          <w:highlight w:val="none"/>
        </w:rPr>
        <w:t>投标人修改或撤回已递交投标文件的书面通知应按照本章第</w:t>
      </w:r>
      <w:r>
        <w:rPr>
          <w:rFonts w:ascii="宋体" w:hAnsi="宋体" w:cs="TimesNewRomanPSMT"/>
          <w:color w:val="auto"/>
          <w:kern w:val="0"/>
          <w:szCs w:val="21"/>
          <w:highlight w:val="none"/>
        </w:rPr>
        <w:t xml:space="preserve">3.7.3 </w:t>
      </w:r>
      <w:r>
        <w:rPr>
          <w:rFonts w:hint="eastAsia" w:ascii="宋体" w:hAnsi="宋体" w:cs="TimesNewRomanPSMT"/>
          <w:color w:val="auto"/>
          <w:kern w:val="0"/>
          <w:szCs w:val="21"/>
          <w:highlight w:val="none"/>
        </w:rPr>
        <w:t>项的要求签字或盖章。招标人收到书面通知后，向投标人出具签收凭证。</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4.3.3 投标人撤回投标文件的，招标人自收到投标人书面撤回通知之日起5日内退还已收取的投标保证金。</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4.3.</w:t>
      </w:r>
      <w:r>
        <w:rPr>
          <w:rFonts w:hint="eastAsia" w:ascii="宋体" w:hAnsi="宋体" w:cs="TimesNewRomanPSMT"/>
          <w:color w:val="auto"/>
          <w:kern w:val="0"/>
          <w:szCs w:val="21"/>
          <w:highlight w:val="none"/>
        </w:rPr>
        <w:t>4修改的内容为投标文件的组成部分。修改的投标文件应按照本章第</w:t>
      </w:r>
      <w:r>
        <w:rPr>
          <w:rFonts w:ascii="宋体" w:hAnsi="宋体" w:cs="TimesNewRomanPSMT"/>
          <w:color w:val="auto"/>
          <w:kern w:val="0"/>
          <w:szCs w:val="21"/>
          <w:highlight w:val="none"/>
        </w:rPr>
        <w:t xml:space="preserve">3 </w:t>
      </w:r>
      <w:r>
        <w:rPr>
          <w:rFonts w:hint="eastAsia" w:ascii="宋体" w:hAnsi="宋体" w:cs="TimesNewRomanPSMT"/>
          <w:color w:val="auto"/>
          <w:kern w:val="0"/>
          <w:szCs w:val="21"/>
          <w:highlight w:val="none"/>
        </w:rPr>
        <w:t>条、第</w:t>
      </w:r>
      <w:r>
        <w:rPr>
          <w:rFonts w:ascii="宋体" w:hAnsi="宋体" w:cs="TimesNewRomanPSMT"/>
          <w:color w:val="auto"/>
          <w:kern w:val="0"/>
          <w:szCs w:val="21"/>
          <w:highlight w:val="none"/>
        </w:rPr>
        <w:t xml:space="preserve">4 </w:t>
      </w:r>
      <w:r>
        <w:rPr>
          <w:rFonts w:hint="eastAsia" w:ascii="宋体" w:hAnsi="宋体" w:cs="TimesNewRomanPSMT"/>
          <w:color w:val="auto"/>
          <w:kern w:val="0"/>
          <w:szCs w:val="21"/>
          <w:highlight w:val="none"/>
        </w:rPr>
        <w:t>条规定进行编制、密封、标记和递交，并标明“修改”字样。</w:t>
      </w:r>
    </w:p>
    <w:p>
      <w:pPr>
        <w:pStyle w:val="2"/>
        <w:spacing w:line="360" w:lineRule="auto"/>
        <w:rPr>
          <w:rFonts w:ascii="宋体" w:hAnsi="宋体" w:eastAsia="宋体"/>
          <w:color w:val="auto"/>
          <w:sz w:val="24"/>
          <w:szCs w:val="24"/>
          <w:highlight w:val="none"/>
        </w:rPr>
      </w:pPr>
      <w:bookmarkStart w:id="317" w:name="_Toc414553657"/>
      <w:bookmarkStart w:id="318" w:name="_Toc419320130"/>
      <w:bookmarkStart w:id="319" w:name="_Toc419321166"/>
      <w:bookmarkStart w:id="320" w:name="_Toc19034649"/>
      <w:bookmarkStart w:id="321" w:name="_Toc419364257"/>
      <w:bookmarkStart w:id="322" w:name="_Toc433988600"/>
      <w:bookmarkStart w:id="323" w:name="_Toc396778062"/>
      <w:bookmarkStart w:id="324" w:name="_Toc282823830"/>
      <w:bookmarkStart w:id="325" w:name="_Toc419363533"/>
      <w:r>
        <w:rPr>
          <w:rFonts w:ascii="宋体" w:hAnsi="宋体" w:eastAsia="宋体"/>
          <w:color w:val="auto"/>
          <w:sz w:val="24"/>
          <w:szCs w:val="24"/>
          <w:highlight w:val="none"/>
        </w:rPr>
        <w:t>5</w:t>
      </w:r>
      <w:r>
        <w:rPr>
          <w:rFonts w:hint="eastAsia" w:ascii="宋体" w:hAnsi="宋体" w:eastAsia="宋体"/>
          <w:color w:val="auto"/>
          <w:sz w:val="24"/>
          <w:szCs w:val="24"/>
          <w:highlight w:val="none"/>
        </w:rPr>
        <w:t>．开标</w:t>
      </w:r>
      <w:bookmarkEnd w:id="317"/>
      <w:bookmarkEnd w:id="318"/>
      <w:bookmarkEnd w:id="319"/>
      <w:bookmarkEnd w:id="320"/>
      <w:bookmarkEnd w:id="321"/>
      <w:bookmarkEnd w:id="322"/>
      <w:bookmarkEnd w:id="323"/>
      <w:bookmarkEnd w:id="324"/>
      <w:bookmarkEnd w:id="325"/>
    </w:p>
    <w:p>
      <w:pPr>
        <w:pStyle w:val="4"/>
        <w:spacing w:before="120" w:beforeLines="50" w:after="120" w:afterLines="50" w:line="360" w:lineRule="auto"/>
        <w:rPr>
          <w:rFonts w:ascii="宋体" w:hAnsi="宋体"/>
          <w:color w:val="auto"/>
          <w:kern w:val="0"/>
          <w:sz w:val="21"/>
          <w:szCs w:val="21"/>
          <w:highlight w:val="none"/>
        </w:rPr>
      </w:pPr>
      <w:bookmarkStart w:id="326" w:name="_Toc419321167"/>
      <w:bookmarkStart w:id="327" w:name="_Toc419320131"/>
      <w:bookmarkStart w:id="328" w:name="_Toc419364258"/>
      <w:bookmarkStart w:id="329" w:name="_Toc419363534"/>
      <w:bookmarkStart w:id="330" w:name="_Toc433988601"/>
      <w:bookmarkStart w:id="331" w:name="_Toc19034650"/>
      <w:r>
        <w:rPr>
          <w:rFonts w:ascii="宋体" w:hAnsi="宋体"/>
          <w:color w:val="auto"/>
          <w:kern w:val="0"/>
          <w:sz w:val="21"/>
          <w:szCs w:val="21"/>
          <w:highlight w:val="none"/>
        </w:rPr>
        <w:t xml:space="preserve">5.1 </w:t>
      </w:r>
      <w:r>
        <w:rPr>
          <w:rFonts w:hint="eastAsia" w:ascii="宋体" w:hAnsi="宋体"/>
          <w:color w:val="auto"/>
          <w:kern w:val="0"/>
          <w:sz w:val="21"/>
          <w:szCs w:val="21"/>
          <w:highlight w:val="none"/>
        </w:rPr>
        <w:t>开标时间和地点</w:t>
      </w:r>
      <w:bookmarkEnd w:id="326"/>
      <w:bookmarkEnd w:id="327"/>
      <w:bookmarkEnd w:id="328"/>
      <w:bookmarkEnd w:id="329"/>
      <w:bookmarkEnd w:id="330"/>
      <w:bookmarkEnd w:id="331"/>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bookmarkStart w:id="332" w:name="_Toc419364259"/>
      <w:bookmarkStart w:id="333" w:name="_Toc419320132"/>
      <w:bookmarkStart w:id="334" w:name="_Toc419321168"/>
      <w:bookmarkStart w:id="335" w:name="_Toc419363535"/>
      <w:bookmarkStart w:id="336" w:name="_Toc433988602"/>
      <w:r>
        <w:rPr>
          <w:rFonts w:hint="eastAsia" w:ascii="宋体" w:hAnsi="宋体" w:cs="TimesNewRomanPSMT"/>
          <w:color w:val="auto"/>
          <w:kern w:val="0"/>
          <w:szCs w:val="21"/>
          <w:highlight w:val="none"/>
        </w:rPr>
        <w:t>招标人在本章第2.2.2款规定的投标截止时间（开标时间）和“投标人须知前附表”4.2.2规定的地点公开开标，并邀请所有投标人的法定代表人或其委托代理人准时参加。参加开标的投标人代表必须是法定代表人或被授权的委托代理人，必须携带授权委托书完整有效材料（格式详见</w:t>
      </w:r>
      <w:r>
        <w:rPr>
          <w:rFonts w:hint="eastAsia" w:ascii="宋体" w:hAnsi="宋体" w:cs="TimesNewRomanPSMT"/>
          <w:color w:val="auto"/>
          <w:kern w:val="0"/>
          <w:szCs w:val="21"/>
          <w:highlight w:val="none"/>
          <w:lang w:eastAsia="zh-CN"/>
        </w:rPr>
        <w:t>第七章</w:t>
      </w:r>
      <w:r>
        <w:rPr>
          <w:rFonts w:hint="eastAsia" w:ascii="宋体" w:hAnsi="宋体" w:cs="TimesNewRomanPSMT"/>
          <w:color w:val="auto"/>
          <w:kern w:val="0"/>
          <w:szCs w:val="21"/>
          <w:highlight w:val="none"/>
          <w:lang w:val="en-US" w:eastAsia="zh-CN"/>
        </w:rPr>
        <w:t xml:space="preserve"> 投标文件格式</w:t>
      </w:r>
      <w:r>
        <w:rPr>
          <w:rFonts w:hint="eastAsia" w:ascii="宋体" w:hAnsi="宋体" w:cs="TimesNewRomanPSMT"/>
          <w:color w:val="auto"/>
          <w:kern w:val="0"/>
          <w:szCs w:val="21"/>
          <w:highlight w:val="none"/>
        </w:rPr>
        <w:t>）按时参加，在投标截止前，被授权的委托代理人本人的身份证原件（如法定代表人参加开标会时可持本人身份证原件）</w:t>
      </w:r>
      <w:r>
        <w:rPr>
          <w:rFonts w:hint="eastAsia" w:ascii="宋体" w:hAnsi="宋体"/>
          <w:color w:val="auto"/>
          <w:szCs w:val="21"/>
          <w:highlight w:val="none"/>
          <w:u w:val="single"/>
        </w:rPr>
        <w:t>）、授权委托书原件、如果为联合体投标的还需提供由联合体各方盖章的联合体协议书</w:t>
      </w:r>
      <w:r>
        <w:rPr>
          <w:rFonts w:hint="eastAsia" w:ascii="宋体" w:hAnsi="宋体" w:cs="TimesNewRomanPSMT"/>
          <w:color w:val="auto"/>
          <w:kern w:val="0"/>
          <w:szCs w:val="21"/>
          <w:highlight w:val="none"/>
        </w:rPr>
        <w:t>签到，迟到则视为自动放弃投标。在招标人按开标程序进行点名时，投标人的法定代表人或被授权的委托代理人应当向招标人提交完整有效的签到材料原件核查。</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开标会由招标人或其委托的招标代理机构主持。</w:t>
      </w:r>
    </w:p>
    <w:p>
      <w:pPr>
        <w:pStyle w:val="4"/>
        <w:spacing w:before="120" w:beforeLines="50" w:after="120" w:afterLines="50" w:line="360" w:lineRule="auto"/>
        <w:rPr>
          <w:rFonts w:ascii="宋体" w:hAnsi="宋体"/>
          <w:color w:val="auto"/>
          <w:kern w:val="0"/>
          <w:sz w:val="21"/>
          <w:szCs w:val="21"/>
          <w:highlight w:val="none"/>
        </w:rPr>
      </w:pPr>
      <w:bookmarkStart w:id="337" w:name="_Toc19034651"/>
      <w:r>
        <w:rPr>
          <w:rFonts w:ascii="宋体" w:hAnsi="宋体"/>
          <w:color w:val="auto"/>
          <w:kern w:val="0"/>
          <w:sz w:val="21"/>
          <w:szCs w:val="21"/>
          <w:highlight w:val="none"/>
        </w:rPr>
        <w:t xml:space="preserve">5.2 </w:t>
      </w:r>
      <w:r>
        <w:rPr>
          <w:rFonts w:hint="eastAsia" w:ascii="宋体" w:hAnsi="宋体"/>
          <w:color w:val="auto"/>
          <w:kern w:val="0"/>
          <w:sz w:val="21"/>
          <w:szCs w:val="21"/>
          <w:highlight w:val="none"/>
        </w:rPr>
        <w:t>开标程序</w:t>
      </w:r>
      <w:bookmarkEnd w:id="332"/>
      <w:bookmarkEnd w:id="333"/>
      <w:bookmarkEnd w:id="334"/>
      <w:bookmarkEnd w:id="335"/>
      <w:bookmarkEnd w:id="336"/>
      <w:bookmarkEnd w:id="337"/>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主持人按下列程序进行开标：</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（1）宣布开标纪律；</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（2）宣布开标人、唱标人、记录人、监标人等有关人员姓名；</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hAnsi="宋体" w:cs="宋体"/>
          <w:bCs/>
          <w:color w:val="auto"/>
          <w:highlight w:val="none"/>
        </w:rPr>
        <w:t>公布在投标截止时间前递交投标文件的投标人名称等情况；</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（4）由招标人代表和监督人员（如有）检查投标人的资格证件（包括身份证原件、授权委托书、联合体协议书等）；</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（5）各投标人代表交叉检查投标文件（光盘或纸质投标文件）的密封情况；</w:t>
      </w:r>
    </w:p>
    <w:p>
      <w:pPr>
        <w:spacing w:line="420" w:lineRule="exact"/>
        <w:ind w:firstLine="420" w:firstLineChars="200"/>
        <w:rPr>
          <w:rFonts w:ascii="宋体" w:hAnsi="宋体"/>
          <w:color w:val="auto"/>
          <w:szCs w:val="22"/>
          <w:highlight w:val="none"/>
        </w:rPr>
      </w:pPr>
      <w:r>
        <w:rPr>
          <w:rFonts w:hint="eastAsia" w:ascii="宋体" w:hAnsi="宋体"/>
          <w:color w:val="auto"/>
          <w:szCs w:val="21"/>
          <w:highlight w:val="none"/>
        </w:rPr>
        <w:t>（6）公布投标人名</w:t>
      </w:r>
      <w:r>
        <w:rPr>
          <w:rFonts w:hint="eastAsia" w:ascii="宋体" w:hAnsi="宋体"/>
          <w:color w:val="auto"/>
          <w:szCs w:val="22"/>
          <w:highlight w:val="none"/>
        </w:rPr>
        <w:t>称、标段名称、投标报价、质量目标、工期及其他内容，并记录在案；完成第（7）、</w:t>
      </w:r>
      <w:r>
        <w:rPr>
          <w:rFonts w:hint="eastAsia" w:ascii="宋体" w:hAnsi="宋体"/>
          <w:color w:val="auto"/>
          <w:szCs w:val="21"/>
          <w:highlight w:val="none"/>
        </w:rPr>
        <w:t xml:space="preserve">（8）、（9）项程序后将投标文件送评委评审； </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（7）公布招标控制价及相关内容；</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（8）投标人代表、招标人代表、监标人、记录人等有关人员在开标记录上签字确认；</w:t>
      </w:r>
    </w:p>
    <w:p>
      <w:pPr>
        <w:autoSpaceDE w:val="0"/>
        <w:autoSpaceDN w:val="0"/>
        <w:adjustRightIn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（9）开标结束。</w:t>
      </w:r>
    </w:p>
    <w:p>
      <w:pPr>
        <w:pStyle w:val="4"/>
        <w:rPr>
          <w:rFonts w:ascii="宋体" w:hAnsi="宋体"/>
          <w:color w:val="auto"/>
          <w:kern w:val="0"/>
          <w:sz w:val="21"/>
          <w:szCs w:val="21"/>
          <w:highlight w:val="none"/>
        </w:rPr>
      </w:pPr>
      <w:bookmarkStart w:id="338" w:name="_Toc465114768"/>
      <w:bookmarkStart w:id="339" w:name="_Toc19034652"/>
      <w:r>
        <w:rPr>
          <w:rFonts w:ascii="宋体" w:hAnsi="宋体"/>
          <w:color w:val="auto"/>
          <w:kern w:val="0"/>
          <w:sz w:val="21"/>
          <w:szCs w:val="21"/>
          <w:highlight w:val="none"/>
        </w:rPr>
        <w:t>5.3不予开标</w:t>
      </w:r>
      <w:bookmarkEnd w:id="338"/>
      <w:bookmarkEnd w:id="339"/>
    </w:p>
    <w:p>
      <w:pPr>
        <w:spacing w:line="360" w:lineRule="auto"/>
        <w:ind w:firstLine="420" w:firstLineChars="200"/>
        <w:rPr>
          <w:color w:val="auto"/>
          <w:szCs w:val="21"/>
          <w:highlight w:val="none"/>
        </w:rPr>
      </w:pPr>
      <w:r>
        <w:rPr>
          <w:color w:val="auto"/>
          <w:szCs w:val="21"/>
          <w:highlight w:val="none"/>
        </w:rPr>
        <w:t>符合下列情况之一的投标，招标人拒绝受理或在开标时当场</w:t>
      </w:r>
      <w:r>
        <w:rPr>
          <w:rFonts w:hint="eastAsia"/>
          <w:color w:val="auto"/>
          <w:szCs w:val="21"/>
          <w:highlight w:val="none"/>
        </w:rPr>
        <w:t>拒绝其投标</w:t>
      </w:r>
      <w:r>
        <w:rPr>
          <w:color w:val="auto"/>
          <w:szCs w:val="21"/>
          <w:highlight w:val="none"/>
        </w:rPr>
        <w:t>，不得进入评标：</w:t>
      </w:r>
    </w:p>
    <w:p>
      <w:pPr>
        <w:spacing w:line="360" w:lineRule="auto"/>
        <w:ind w:firstLine="420" w:firstLineChars="200"/>
        <w:rPr>
          <w:color w:val="auto"/>
          <w:szCs w:val="21"/>
          <w:highlight w:val="none"/>
        </w:rPr>
      </w:pPr>
      <w:r>
        <w:rPr>
          <w:color w:val="auto"/>
          <w:szCs w:val="21"/>
          <w:highlight w:val="none"/>
        </w:rPr>
        <w:t>（1）投标文件逾期送达的或者未送达指定地点的；</w:t>
      </w:r>
    </w:p>
    <w:p>
      <w:pPr>
        <w:spacing w:line="360" w:lineRule="auto"/>
        <w:ind w:firstLine="420" w:firstLineChars="200"/>
        <w:rPr>
          <w:color w:val="auto"/>
          <w:szCs w:val="21"/>
          <w:highlight w:val="none"/>
        </w:rPr>
      </w:pPr>
      <w:r>
        <w:rPr>
          <w:color w:val="auto"/>
          <w:szCs w:val="21"/>
          <w:highlight w:val="none"/>
        </w:rPr>
        <w:t>（2）</w:t>
      </w:r>
      <w:r>
        <w:rPr>
          <w:rFonts w:hint="eastAsia"/>
          <w:color w:val="auto"/>
          <w:szCs w:val="21"/>
          <w:highlight w:val="none"/>
        </w:rPr>
        <w:t>投标文件未按招标文件要求密封和标记的</w:t>
      </w:r>
      <w:r>
        <w:rPr>
          <w:color w:val="auto"/>
          <w:szCs w:val="21"/>
          <w:highlight w:val="none"/>
        </w:rPr>
        <w:t>；</w:t>
      </w:r>
    </w:p>
    <w:p>
      <w:pPr>
        <w:spacing w:line="360" w:lineRule="auto"/>
        <w:ind w:firstLine="420" w:firstLineChars="200"/>
        <w:rPr>
          <w:color w:val="auto"/>
          <w:highlight w:val="none"/>
        </w:rPr>
      </w:pPr>
      <w:r>
        <w:rPr>
          <w:color w:val="auto"/>
          <w:szCs w:val="21"/>
          <w:highlight w:val="none"/>
        </w:rPr>
        <w:t>（3）</w:t>
      </w:r>
      <w:r>
        <w:rPr>
          <w:rFonts w:hint="eastAsia" w:ascii="宋体" w:hAnsi="宋体" w:cs="TimesNewRomanPSMT"/>
          <w:color w:val="auto"/>
          <w:kern w:val="0"/>
          <w:szCs w:val="21"/>
          <w:highlight w:val="none"/>
        </w:rPr>
        <w:t>投标人法定代表人或被授权的委托代理人未按时出席开标会或开标要求的授权委托书等完整材料未通过核验的。</w:t>
      </w:r>
    </w:p>
    <w:p>
      <w:pPr>
        <w:spacing w:line="360" w:lineRule="auto"/>
        <w:ind w:firstLine="420" w:firstLineChars="200"/>
        <w:rPr>
          <w:color w:val="auto"/>
          <w:szCs w:val="21"/>
          <w:highlight w:val="none"/>
        </w:rPr>
      </w:pPr>
    </w:p>
    <w:p>
      <w:pPr>
        <w:pStyle w:val="4"/>
        <w:spacing w:before="120" w:beforeLines="50" w:after="120" w:afterLines="50" w:line="360" w:lineRule="auto"/>
        <w:rPr>
          <w:rFonts w:ascii="宋体" w:hAnsi="宋体"/>
          <w:color w:val="auto"/>
          <w:kern w:val="0"/>
          <w:sz w:val="21"/>
          <w:szCs w:val="21"/>
          <w:highlight w:val="none"/>
        </w:rPr>
      </w:pPr>
      <w:bookmarkStart w:id="340" w:name="_Toc433988603"/>
      <w:bookmarkStart w:id="341" w:name="_Toc419321169"/>
      <w:bookmarkStart w:id="342" w:name="_Toc419364260"/>
      <w:bookmarkStart w:id="343" w:name="_Toc19034654"/>
      <w:bookmarkStart w:id="344" w:name="_Toc419363536"/>
      <w:bookmarkStart w:id="345" w:name="_Toc419320133"/>
      <w:r>
        <w:rPr>
          <w:rFonts w:hint="eastAsia" w:ascii="宋体" w:hAnsi="宋体"/>
          <w:color w:val="auto"/>
          <w:kern w:val="0"/>
          <w:sz w:val="21"/>
          <w:szCs w:val="21"/>
          <w:highlight w:val="none"/>
        </w:rPr>
        <w:t>5.4 开标异议</w:t>
      </w:r>
      <w:bookmarkEnd w:id="340"/>
      <w:bookmarkEnd w:id="341"/>
      <w:bookmarkEnd w:id="342"/>
      <w:bookmarkEnd w:id="343"/>
      <w:bookmarkEnd w:id="344"/>
      <w:bookmarkEnd w:id="345"/>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投标人对开标有异议的，应当在开标现场提出，招标人当场作出答复，并制作记录。</w:t>
      </w:r>
    </w:p>
    <w:p>
      <w:pPr>
        <w:pStyle w:val="2"/>
        <w:spacing w:line="360" w:lineRule="auto"/>
        <w:rPr>
          <w:rFonts w:ascii="宋体" w:hAnsi="宋体" w:eastAsia="宋体"/>
          <w:color w:val="auto"/>
          <w:sz w:val="24"/>
          <w:szCs w:val="24"/>
          <w:highlight w:val="none"/>
        </w:rPr>
      </w:pPr>
      <w:bookmarkStart w:id="346" w:name="_Toc419364261"/>
      <w:bookmarkStart w:id="347" w:name="_Toc19034655"/>
      <w:bookmarkStart w:id="348" w:name="_Toc433988604"/>
      <w:bookmarkStart w:id="349" w:name="_Toc419320134"/>
      <w:bookmarkStart w:id="350" w:name="_Toc396778063"/>
      <w:bookmarkStart w:id="351" w:name="_Toc419321170"/>
      <w:bookmarkStart w:id="352" w:name="_Toc282823831"/>
      <w:bookmarkStart w:id="353" w:name="_Toc414553658"/>
      <w:bookmarkStart w:id="354" w:name="_Toc419363537"/>
      <w:r>
        <w:rPr>
          <w:rFonts w:ascii="宋体" w:hAnsi="宋体" w:eastAsia="宋体"/>
          <w:color w:val="auto"/>
          <w:sz w:val="24"/>
          <w:szCs w:val="24"/>
          <w:highlight w:val="none"/>
        </w:rPr>
        <w:t>6</w:t>
      </w:r>
      <w:r>
        <w:rPr>
          <w:rFonts w:hint="eastAsia" w:ascii="宋体" w:hAnsi="宋体" w:eastAsia="宋体"/>
          <w:color w:val="auto"/>
          <w:sz w:val="24"/>
          <w:szCs w:val="24"/>
          <w:highlight w:val="none"/>
        </w:rPr>
        <w:t>．评标</w:t>
      </w:r>
      <w:bookmarkEnd w:id="346"/>
      <w:bookmarkEnd w:id="347"/>
      <w:bookmarkEnd w:id="348"/>
      <w:bookmarkEnd w:id="349"/>
      <w:bookmarkEnd w:id="350"/>
      <w:bookmarkEnd w:id="351"/>
      <w:bookmarkEnd w:id="352"/>
      <w:bookmarkEnd w:id="353"/>
      <w:bookmarkEnd w:id="354"/>
    </w:p>
    <w:p>
      <w:pPr>
        <w:pStyle w:val="4"/>
        <w:spacing w:before="120" w:beforeLines="50" w:after="120" w:afterLines="50" w:line="360" w:lineRule="auto"/>
        <w:rPr>
          <w:rFonts w:ascii="宋体" w:hAnsi="宋体"/>
          <w:color w:val="auto"/>
          <w:kern w:val="0"/>
          <w:sz w:val="21"/>
          <w:szCs w:val="21"/>
          <w:highlight w:val="none"/>
        </w:rPr>
      </w:pPr>
      <w:bookmarkStart w:id="355" w:name="_Toc19034656"/>
      <w:bookmarkStart w:id="356" w:name="_Toc419363538"/>
      <w:bookmarkStart w:id="357" w:name="_Toc419364262"/>
      <w:bookmarkStart w:id="358" w:name="_Toc419320135"/>
      <w:bookmarkStart w:id="359" w:name="_Toc419321171"/>
      <w:bookmarkStart w:id="360" w:name="_Toc433988605"/>
      <w:r>
        <w:rPr>
          <w:rFonts w:ascii="宋体" w:hAnsi="宋体"/>
          <w:color w:val="auto"/>
          <w:kern w:val="0"/>
          <w:sz w:val="21"/>
          <w:szCs w:val="21"/>
          <w:highlight w:val="none"/>
        </w:rPr>
        <w:t xml:space="preserve">6.1 </w:t>
      </w:r>
      <w:r>
        <w:rPr>
          <w:rFonts w:hint="eastAsia" w:ascii="宋体" w:hAnsi="宋体"/>
          <w:color w:val="auto"/>
          <w:kern w:val="0"/>
          <w:sz w:val="21"/>
          <w:szCs w:val="21"/>
          <w:highlight w:val="none"/>
        </w:rPr>
        <w:t>评标委员会</w:t>
      </w:r>
      <w:bookmarkEnd w:id="355"/>
      <w:bookmarkEnd w:id="356"/>
      <w:bookmarkEnd w:id="357"/>
      <w:bookmarkEnd w:id="358"/>
      <w:bookmarkEnd w:id="359"/>
      <w:bookmarkEnd w:id="360"/>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6.1.1</w:t>
      </w:r>
      <w:r>
        <w:rPr>
          <w:rFonts w:hint="eastAsia" w:ascii="宋体" w:hAnsi="宋体" w:cs="TimesNewRomanPSMT"/>
          <w:color w:val="auto"/>
          <w:kern w:val="0"/>
          <w:szCs w:val="21"/>
          <w:highlight w:val="none"/>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ascii="宋体" w:hAnsi="宋体" w:cs="TimesNewRomanPSMT"/>
          <w:color w:val="auto"/>
          <w:kern w:val="0"/>
          <w:szCs w:val="21"/>
          <w:highlight w:val="none"/>
        </w:rPr>
        <w:t xml:space="preserve">6.1.2 </w:t>
      </w:r>
      <w:r>
        <w:rPr>
          <w:rFonts w:hint="eastAsia" w:ascii="宋体" w:hAnsi="宋体" w:cs="TimesNewRomanPSMT"/>
          <w:color w:val="auto"/>
          <w:kern w:val="0"/>
          <w:szCs w:val="21"/>
          <w:highlight w:val="none"/>
        </w:rPr>
        <w:t>评标委员会成员有下列情形之一的，应当回避：</w:t>
      </w:r>
    </w:p>
    <w:p>
      <w:pPr>
        <w:spacing w:line="400" w:lineRule="exact"/>
        <w:ind w:firstLine="420" w:firstLineChars="200"/>
        <w:rPr>
          <w:rFonts w:ascii="宋体" w:hAnsi="宋体" w:cs="TimesNewRomanPSMT"/>
          <w:color w:val="auto"/>
          <w:kern w:val="0"/>
          <w:szCs w:val="21"/>
          <w:highlight w:val="none"/>
        </w:rPr>
      </w:pPr>
      <w:r>
        <w:rPr>
          <w:rFonts w:hint="eastAsia" w:ascii="宋体" w:hAnsi="宋体" w:cs="TimesNewRomanPSMT"/>
          <w:color w:val="auto"/>
          <w:kern w:val="0"/>
          <w:szCs w:val="21"/>
          <w:highlight w:val="none"/>
        </w:rPr>
        <w:t>（1）投标人或者投标人主要负责人的近亲属；</w:t>
      </w:r>
    </w:p>
    <w:p>
      <w:pPr>
        <w:spacing w:line="400" w:lineRule="exact"/>
        <w:ind w:firstLine="420" w:firstLineChars="200"/>
        <w:rPr>
          <w:rFonts w:ascii="宋体" w:hAnsi="宋体" w:cs="TimesNewRomanPSMT"/>
          <w:color w:val="auto"/>
          <w:kern w:val="0"/>
          <w:szCs w:val="21"/>
          <w:highlight w:val="none"/>
        </w:rPr>
      </w:pPr>
      <w:r>
        <w:rPr>
          <w:rFonts w:hint="eastAsia" w:ascii="宋体" w:hAnsi="宋体" w:cs="TimesNewRomanPSMT"/>
          <w:color w:val="auto"/>
          <w:kern w:val="0"/>
          <w:szCs w:val="21"/>
          <w:highlight w:val="none"/>
        </w:rPr>
        <w:t>（2）招标项目主管部门或者招标投标行政监督部门的工作人员；</w:t>
      </w:r>
    </w:p>
    <w:p>
      <w:pPr>
        <w:autoSpaceDE w:val="0"/>
        <w:autoSpaceDN w:val="0"/>
        <w:adjustRightInd w:val="0"/>
        <w:spacing w:line="400" w:lineRule="exact"/>
        <w:ind w:firstLine="420" w:firstLineChars="200"/>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（3）与投标人有经济利益关系，可能影响对投标公正评审的人员；</w:t>
      </w:r>
    </w:p>
    <w:p>
      <w:pPr>
        <w:autoSpaceDE w:val="0"/>
        <w:autoSpaceDN w:val="0"/>
        <w:adjustRightInd w:val="0"/>
        <w:spacing w:line="400" w:lineRule="exact"/>
        <w:ind w:firstLine="420" w:firstLineChars="200"/>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（4）在招投标活动中从事违法行为而受过行政处罚或者刑事处罚的人员；</w:t>
      </w:r>
    </w:p>
    <w:p>
      <w:pPr>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）与投标人有其他利害关系</w:t>
      </w:r>
      <w:r>
        <w:rPr>
          <w:rFonts w:hint="eastAsia" w:ascii="宋体" w:hAnsi="宋体"/>
          <w:color w:val="auto"/>
          <w:szCs w:val="21"/>
          <w:highlight w:val="none"/>
        </w:rPr>
        <w:t>的；</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（6）为该工程提供勘察、设计、监理咨询的主要人员；</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（7）为该工程的勘察、设计人员；</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（8）为该工程招标代理、造价咨询机构的人员。</w:t>
      </w:r>
    </w:p>
    <w:p>
      <w:pPr>
        <w:pStyle w:val="4"/>
        <w:spacing w:before="120" w:beforeLines="50" w:after="120" w:afterLines="50" w:line="360" w:lineRule="auto"/>
        <w:rPr>
          <w:rFonts w:ascii="宋体" w:hAnsi="宋体"/>
          <w:color w:val="auto"/>
          <w:kern w:val="0"/>
          <w:sz w:val="21"/>
          <w:szCs w:val="21"/>
          <w:highlight w:val="none"/>
        </w:rPr>
      </w:pPr>
      <w:bookmarkStart w:id="361" w:name="_Toc419320136"/>
      <w:bookmarkStart w:id="362" w:name="_Toc19034657"/>
      <w:bookmarkStart w:id="363" w:name="_Toc433988606"/>
      <w:bookmarkStart w:id="364" w:name="_Toc419364263"/>
      <w:bookmarkStart w:id="365" w:name="_Toc419321172"/>
      <w:bookmarkStart w:id="366" w:name="_Toc419363539"/>
      <w:r>
        <w:rPr>
          <w:rFonts w:ascii="宋体" w:hAnsi="宋体"/>
          <w:color w:val="auto"/>
          <w:kern w:val="0"/>
          <w:sz w:val="21"/>
          <w:szCs w:val="21"/>
          <w:highlight w:val="none"/>
        </w:rPr>
        <w:t xml:space="preserve">6.2 </w:t>
      </w:r>
      <w:r>
        <w:rPr>
          <w:rFonts w:hint="eastAsia" w:ascii="宋体" w:hAnsi="宋体"/>
          <w:color w:val="auto"/>
          <w:kern w:val="0"/>
          <w:sz w:val="21"/>
          <w:szCs w:val="21"/>
          <w:highlight w:val="none"/>
        </w:rPr>
        <w:t>评标原则</w:t>
      </w:r>
      <w:bookmarkEnd w:id="361"/>
      <w:bookmarkEnd w:id="362"/>
      <w:bookmarkEnd w:id="363"/>
      <w:bookmarkEnd w:id="364"/>
      <w:bookmarkEnd w:id="365"/>
      <w:bookmarkEnd w:id="366"/>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评标活动遵循公平、公正、科学和择优的原则。</w:t>
      </w:r>
    </w:p>
    <w:p>
      <w:pPr>
        <w:pStyle w:val="4"/>
        <w:spacing w:before="120" w:after="120" w:line="360" w:lineRule="auto"/>
        <w:rPr>
          <w:rFonts w:ascii="宋体" w:hAnsi="宋体"/>
          <w:color w:val="auto"/>
          <w:kern w:val="0"/>
          <w:sz w:val="21"/>
          <w:szCs w:val="21"/>
          <w:highlight w:val="none"/>
        </w:rPr>
      </w:pPr>
      <w:bookmarkStart w:id="367" w:name="_Toc419363540"/>
      <w:bookmarkStart w:id="368" w:name="_Toc419321173"/>
      <w:bookmarkStart w:id="369" w:name="_Toc433988607"/>
      <w:bookmarkStart w:id="370" w:name="_Toc419364264"/>
      <w:bookmarkStart w:id="371" w:name="_Toc419320137"/>
      <w:bookmarkStart w:id="372" w:name="_Toc19034658"/>
      <w:r>
        <w:rPr>
          <w:rFonts w:ascii="宋体" w:hAnsi="宋体"/>
          <w:color w:val="auto"/>
          <w:kern w:val="0"/>
          <w:sz w:val="21"/>
          <w:szCs w:val="21"/>
          <w:highlight w:val="none"/>
        </w:rPr>
        <w:t xml:space="preserve">6.3 </w:t>
      </w:r>
      <w:r>
        <w:rPr>
          <w:rFonts w:hint="eastAsia" w:ascii="宋体" w:hAnsi="宋体"/>
          <w:color w:val="auto"/>
          <w:kern w:val="0"/>
          <w:sz w:val="21"/>
          <w:szCs w:val="21"/>
          <w:highlight w:val="none"/>
        </w:rPr>
        <w:t>评标</w:t>
      </w:r>
      <w:bookmarkEnd w:id="367"/>
      <w:bookmarkEnd w:id="368"/>
      <w:bookmarkEnd w:id="369"/>
      <w:bookmarkEnd w:id="370"/>
      <w:bookmarkEnd w:id="371"/>
      <w:r>
        <w:rPr>
          <w:rFonts w:hint="eastAsia" w:ascii="宋体" w:hAnsi="宋体"/>
          <w:color w:val="auto"/>
          <w:kern w:val="0"/>
          <w:sz w:val="21"/>
          <w:szCs w:val="21"/>
          <w:highlight w:val="none"/>
        </w:rPr>
        <w:t>方式</w:t>
      </w:r>
      <w:bookmarkEnd w:id="372"/>
    </w:p>
    <w:p>
      <w:pPr>
        <w:autoSpaceDE w:val="0"/>
        <w:autoSpaceDN w:val="0"/>
        <w:adjustRightInd w:val="0"/>
        <w:spacing w:line="400" w:lineRule="exact"/>
        <w:ind w:firstLine="359" w:firstLineChars="171"/>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评标委员会按照第三章“评标办法”规定的方法、评审因素、标准和程序对投标文件进行评审。第三章“评标办法”没有规定的方法、评审因素和标准，不作为评标依据。</w:t>
      </w:r>
    </w:p>
    <w:p>
      <w:pPr>
        <w:pStyle w:val="4"/>
        <w:spacing w:before="120" w:after="120" w:line="360" w:lineRule="auto"/>
        <w:rPr>
          <w:rFonts w:ascii="宋体" w:hAnsi="宋体"/>
          <w:color w:val="auto"/>
          <w:kern w:val="0"/>
          <w:sz w:val="21"/>
          <w:szCs w:val="21"/>
          <w:highlight w:val="none"/>
        </w:rPr>
      </w:pPr>
      <w:bookmarkStart w:id="373" w:name="_Toc19034659"/>
      <w:r>
        <w:rPr>
          <w:rFonts w:ascii="宋体" w:hAnsi="宋体"/>
          <w:color w:val="auto"/>
          <w:kern w:val="0"/>
          <w:sz w:val="21"/>
          <w:szCs w:val="21"/>
          <w:highlight w:val="none"/>
        </w:rPr>
        <w:t>6.</w:t>
      </w:r>
      <w:r>
        <w:rPr>
          <w:rFonts w:hint="eastAsia" w:ascii="宋体" w:hAnsi="宋体"/>
          <w:color w:val="auto"/>
          <w:kern w:val="0"/>
          <w:sz w:val="21"/>
          <w:szCs w:val="21"/>
          <w:highlight w:val="none"/>
        </w:rPr>
        <w:t>4评标方式</w:t>
      </w:r>
      <w:r>
        <w:rPr>
          <w:rFonts w:ascii="宋体" w:hAnsi="宋体"/>
          <w:color w:val="auto"/>
          <w:kern w:val="0"/>
          <w:sz w:val="21"/>
          <w:szCs w:val="21"/>
          <w:highlight w:val="none"/>
        </w:rPr>
        <w:t>移交评标资料</w:t>
      </w:r>
      <w:bookmarkEnd w:id="373"/>
    </w:p>
    <w:p>
      <w:pPr>
        <w:spacing w:line="360" w:lineRule="auto"/>
        <w:ind w:firstLine="420" w:firstLineChars="200"/>
        <w:rPr>
          <w:color w:val="auto"/>
          <w:szCs w:val="21"/>
          <w:highlight w:val="none"/>
        </w:rPr>
      </w:pPr>
      <w:r>
        <w:rPr>
          <w:color w:val="auto"/>
          <w:szCs w:val="21"/>
          <w:highlight w:val="none"/>
        </w:rPr>
        <w:t>评标委员会完成评标后，立即向招标人提交书面评标报告和中标候选人名单</w:t>
      </w:r>
      <w:r>
        <w:rPr>
          <w:rFonts w:hint="eastAsia"/>
          <w:color w:val="auto"/>
          <w:szCs w:val="21"/>
          <w:highlight w:val="none"/>
        </w:rPr>
        <w:t>（授权评标委员会确定中标人时为中标人名单）</w:t>
      </w:r>
      <w:r>
        <w:rPr>
          <w:color w:val="auto"/>
          <w:szCs w:val="21"/>
          <w:highlight w:val="none"/>
        </w:rPr>
        <w:t>，并同时移交所有评标</w:t>
      </w:r>
      <w:r>
        <w:rPr>
          <w:rFonts w:hint="eastAsia"/>
          <w:color w:val="auto"/>
          <w:szCs w:val="21"/>
          <w:highlight w:val="none"/>
        </w:rPr>
        <w:t>涉及</w:t>
      </w:r>
      <w:r>
        <w:rPr>
          <w:color w:val="auto"/>
          <w:szCs w:val="21"/>
          <w:highlight w:val="none"/>
        </w:rPr>
        <w:t>资料。</w:t>
      </w:r>
    </w:p>
    <w:p>
      <w:pPr>
        <w:pStyle w:val="4"/>
        <w:spacing w:before="120" w:after="120" w:line="360" w:lineRule="auto"/>
        <w:rPr>
          <w:rFonts w:ascii="宋体" w:hAnsi="宋体"/>
          <w:color w:val="auto"/>
          <w:kern w:val="0"/>
          <w:sz w:val="21"/>
          <w:szCs w:val="21"/>
          <w:highlight w:val="none"/>
        </w:rPr>
      </w:pPr>
      <w:bookmarkStart w:id="374" w:name="_Toc465114775"/>
      <w:bookmarkStart w:id="375" w:name="_Toc389065182"/>
      <w:bookmarkStart w:id="376" w:name="_Toc19034660"/>
      <w:r>
        <w:rPr>
          <w:rFonts w:ascii="宋体" w:hAnsi="宋体"/>
          <w:color w:val="auto"/>
          <w:kern w:val="0"/>
          <w:sz w:val="21"/>
          <w:szCs w:val="21"/>
          <w:highlight w:val="none"/>
        </w:rPr>
        <w:t>6.5 评标资料封存和启封</w:t>
      </w:r>
      <w:bookmarkEnd w:id="374"/>
      <w:bookmarkEnd w:id="375"/>
      <w:bookmarkEnd w:id="376"/>
    </w:p>
    <w:p>
      <w:pPr>
        <w:spacing w:line="360" w:lineRule="auto"/>
        <w:ind w:firstLine="420" w:firstLineChars="200"/>
        <w:rPr>
          <w:color w:val="auto"/>
          <w:szCs w:val="21"/>
          <w:highlight w:val="none"/>
        </w:rPr>
      </w:pPr>
      <w:bookmarkStart w:id="377" w:name="_Toc389065183"/>
      <w:bookmarkStart w:id="378" w:name="_Toc465114776"/>
      <w:r>
        <w:rPr>
          <w:color w:val="auto"/>
          <w:szCs w:val="21"/>
          <w:highlight w:val="none"/>
        </w:rPr>
        <w:t>6.5.1 评标结束至中标</w:t>
      </w:r>
      <w:r>
        <w:rPr>
          <w:rFonts w:hint="eastAsia"/>
          <w:color w:val="auto"/>
          <w:szCs w:val="21"/>
          <w:highlight w:val="none"/>
        </w:rPr>
        <w:t>通知书发放时</w:t>
      </w:r>
      <w:r>
        <w:rPr>
          <w:color w:val="auto"/>
          <w:szCs w:val="21"/>
          <w:highlight w:val="none"/>
        </w:rPr>
        <w:t>，招标人按</w:t>
      </w:r>
      <w:r>
        <w:rPr>
          <w:rFonts w:hint="eastAsia"/>
          <w:color w:val="auto"/>
          <w:szCs w:val="21"/>
          <w:highlight w:val="none"/>
        </w:rPr>
        <w:t>“</w:t>
      </w:r>
      <w:r>
        <w:rPr>
          <w:color w:val="auto"/>
          <w:szCs w:val="21"/>
          <w:highlight w:val="none"/>
        </w:rPr>
        <w:t>投标人须知前附表</w:t>
      </w:r>
      <w:r>
        <w:rPr>
          <w:rFonts w:hint="eastAsia"/>
          <w:color w:val="auto"/>
          <w:szCs w:val="21"/>
          <w:highlight w:val="none"/>
        </w:rPr>
        <w:t>”</w:t>
      </w:r>
      <w:r>
        <w:rPr>
          <w:color w:val="auto"/>
          <w:szCs w:val="21"/>
          <w:highlight w:val="none"/>
        </w:rPr>
        <w:t>规定的封存方式封存评标资料，封存资料内容包括：</w:t>
      </w:r>
    </w:p>
    <w:p>
      <w:pPr>
        <w:spacing w:line="360" w:lineRule="auto"/>
        <w:ind w:firstLine="420" w:firstLineChars="200"/>
        <w:rPr>
          <w:color w:val="auto"/>
          <w:szCs w:val="21"/>
          <w:highlight w:val="none"/>
        </w:rPr>
      </w:pPr>
      <w:r>
        <w:rPr>
          <w:color w:val="auto"/>
          <w:szCs w:val="21"/>
          <w:highlight w:val="none"/>
        </w:rPr>
        <w:t>（1）招标项目开评标资料原件：开标记录表、评标报告及其附件（含评标过程中形成的全部评标表格和清标表格）、投标人开标签到表、专家抽取申请表、专家抽取表、专家签到表、评标纪律、业主委托书。</w:t>
      </w:r>
    </w:p>
    <w:p>
      <w:pPr>
        <w:spacing w:line="360" w:lineRule="auto"/>
        <w:ind w:firstLine="420" w:firstLineChars="200"/>
        <w:rPr>
          <w:color w:val="auto"/>
          <w:szCs w:val="21"/>
          <w:highlight w:val="none"/>
        </w:rPr>
      </w:pPr>
      <w:r>
        <w:rPr>
          <w:color w:val="auto"/>
          <w:szCs w:val="21"/>
          <w:highlight w:val="none"/>
        </w:rPr>
        <w:t>（2）本项目所有投标人投标文件正本。</w:t>
      </w:r>
    </w:p>
    <w:p>
      <w:pPr>
        <w:spacing w:line="360" w:lineRule="auto"/>
        <w:ind w:firstLine="420" w:firstLineChars="200"/>
        <w:rPr>
          <w:color w:val="auto"/>
          <w:szCs w:val="21"/>
          <w:highlight w:val="none"/>
        </w:rPr>
      </w:pPr>
      <w:r>
        <w:rPr>
          <w:color w:val="auto"/>
          <w:szCs w:val="21"/>
          <w:highlight w:val="none"/>
        </w:rPr>
        <w:t>（3）</w:t>
      </w:r>
      <w:r>
        <w:rPr>
          <w:rFonts w:hint="eastAsia"/>
          <w:color w:val="auto"/>
          <w:szCs w:val="21"/>
          <w:highlight w:val="none"/>
        </w:rPr>
        <w:t>“</w:t>
      </w:r>
      <w:r>
        <w:rPr>
          <w:color w:val="auto"/>
          <w:szCs w:val="21"/>
          <w:highlight w:val="none"/>
        </w:rPr>
        <w:t>投标人须知前附表</w:t>
      </w:r>
      <w:r>
        <w:rPr>
          <w:rFonts w:hint="eastAsia"/>
          <w:color w:val="auto"/>
          <w:szCs w:val="21"/>
          <w:highlight w:val="none"/>
        </w:rPr>
        <w:t>”</w:t>
      </w:r>
      <w:r>
        <w:rPr>
          <w:color w:val="auto"/>
          <w:szCs w:val="21"/>
          <w:highlight w:val="none"/>
        </w:rPr>
        <w:t>要求封存的其它材料。</w:t>
      </w:r>
    </w:p>
    <w:p>
      <w:pPr>
        <w:spacing w:line="360" w:lineRule="auto"/>
        <w:ind w:firstLine="420" w:firstLineChars="200"/>
        <w:rPr>
          <w:color w:val="auto"/>
          <w:szCs w:val="21"/>
          <w:highlight w:val="none"/>
        </w:rPr>
      </w:pPr>
      <w:r>
        <w:rPr>
          <w:color w:val="auto"/>
          <w:szCs w:val="21"/>
          <w:highlight w:val="none"/>
        </w:rPr>
        <w:t>6.5.2 如在封存期间</w:t>
      </w:r>
      <w:r>
        <w:rPr>
          <w:rFonts w:hint="eastAsia"/>
          <w:color w:val="auto"/>
          <w:szCs w:val="21"/>
          <w:highlight w:val="none"/>
        </w:rPr>
        <w:t>处理</w:t>
      </w:r>
      <w:r>
        <w:rPr>
          <w:color w:val="auto"/>
          <w:szCs w:val="21"/>
          <w:highlight w:val="none"/>
        </w:rPr>
        <w:t>招标投标利害当事人提出异议或者投诉</w:t>
      </w:r>
      <w:r>
        <w:rPr>
          <w:rFonts w:hint="eastAsia"/>
          <w:color w:val="auto"/>
          <w:szCs w:val="21"/>
          <w:highlight w:val="none"/>
        </w:rPr>
        <w:t>时需要启封评标资料的，应按当地招投标监督管理部门规定的程序启封。</w:t>
      </w:r>
    </w:p>
    <w:p>
      <w:pPr>
        <w:spacing w:line="360" w:lineRule="auto"/>
        <w:ind w:firstLine="420" w:firstLineChars="200"/>
        <w:rPr>
          <w:color w:val="auto"/>
          <w:szCs w:val="21"/>
          <w:highlight w:val="none"/>
        </w:rPr>
      </w:pPr>
      <w:r>
        <w:rPr>
          <w:color w:val="auto"/>
          <w:szCs w:val="21"/>
          <w:highlight w:val="none"/>
        </w:rPr>
        <w:t>6.5.3 评标资料封存和启封应符合</w:t>
      </w:r>
      <w:r>
        <w:rPr>
          <w:rFonts w:hint="eastAsia"/>
          <w:color w:val="auto"/>
          <w:szCs w:val="21"/>
          <w:highlight w:val="none"/>
        </w:rPr>
        <w:t>当地招投标监督管理部门</w:t>
      </w:r>
      <w:r>
        <w:rPr>
          <w:color w:val="auto"/>
          <w:szCs w:val="21"/>
          <w:highlight w:val="none"/>
        </w:rPr>
        <w:t>的规定。</w:t>
      </w:r>
    </w:p>
    <w:bookmarkEnd w:id="377"/>
    <w:bookmarkEnd w:id="378"/>
    <w:p>
      <w:pPr>
        <w:pStyle w:val="4"/>
        <w:spacing w:before="120" w:after="120" w:line="360" w:lineRule="auto"/>
        <w:rPr>
          <w:rFonts w:ascii="宋体" w:hAnsi="宋体"/>
          <w:color w:val="auto"/>
          <w:kern w:val="0"/>
          <w:sz w:val="21"/>
          <w:highlight w:val="none"/>
        </w:rPr>
      </w:pPr>
      <w:bookmarkStart w:id="379" w:name="_Toc19034662"/>
      <w:bookmarkStart w:id="380" w:name="_Toc465114777"/>
      <w:r>
        <w:rPr>
          <w:rFonts w:ascii="宋体" w:hAnsi="宋体"/>
          <w:color w:val="auto"/>
          <w:kern w:val="0"/>
          <w:sz w:val="21"/>
          <w:highlight w:val="none"/>
        </w:rPr>
        <w:t>6.7</w:t>
      </w:r>
      <w:r>
        <w:rPr>
          <w:rFonts w:hint="eastAsia" w:ascii="宋体" w:hAnsi="宋体"/>
          <w:color w:val="auto"/>
          <w:kern w:val="0"/>
          <w:sz w:val="21"/>
          <w:highlight w:val="none"/>
        </w:rPr>
        <w:t>履约能力审查</w:t>
      </w:r>
      <w:bookmarkEnd w:id="379"/>
      <w:bookmarkEnd w:id="380"/>
    </w:p>
    <w:p>
      <w:pPr>
        <w:spacing w:line="360" w:lineRule="auto"/>
        <w:ind w:firstLine="420" w:firstLineChars="200"/>
        <w:rPr>
          <w:color w:val="auto"/>
          <w:szCs w:val="21"/>
          <w:highlight w:val="none"/>
        </w:rPr>
      </w:pPr>
      <w:r>
        <w:rPr>
          <w:rFonts w:hint="eastAsia"/>
          <w:color w:val="auto"/>
          <w:szCs w:val="21"/>
          <w:highlight w:val="none"/>
        </w:rPr>
        <w:t>在中标通知书发出前，如果中标候选人的经营、财务状况发生较大变化，可能造成不能履行合同、无法按照招标文件要求提交履约保证金等情形，不符合中标条件的，应在中标公示期及时书面告知招标人。</w:t>
      </w:r>
    </w:p>
    <w:p>
      <w:pPr>
        <w:spacing w:line="360" w:lineRule="auto"/>
        <w:ind w:firstLine="420" w:firstLineChars="200"/>
        <w:rPr>
          <w:color w:val="auto"/>
          <w:szCs w:val="21"/>
          <w:highlight w:val="none"/>
        </w:rPr>
      </w:pPr>
      <w:r>
        <w:rPr>
          <w:rFonts w:hint="eastAsia"/>
          <w:color w:val="auto"/>
          <w:highlight w:val="none"/>
        </w:rPr>
        <w:t>如招标人认为中标候选人的经营、财务状况发生较大变化或者存在违法行为可能影响其履约能力的，应当在中标通知书发出前由原评标委员会按照招标文件规定的标准和方法审查确认。</w:t>
      </w:r>
    </w:p>
    <w:p>
      <w:pPr>
        <w:pStyle w:val="2"/>
        <w:spacing w:line="360" w:lineRule="auto"/>
        <w:rPr>
          <w:rFonts w:ascii="宋体" w:hAnsi="宋体" w:eastAsia="宋体"/>
          <w:color w:val="auto"/>
          <w:sz w:val="24"/>
          <w:szCs w:val="24"/>
          <w:highlight w:val="none"/>
        </w:rPr>
      </w:pPr>
      <w:bookmarkStart w:id="381" w:name="_Toc419320138"/>
      <w:bookmarkStart w:id="382" w:name="_Toc19034663"/>
      <w:bookmarkStart w:id="383" w:name="_Toc396778064"/>
      <w:bookmarkStart w:id="384" w:name="_Toc282823832"/>
      <w:bookmarkStart w:id="385" w:name="_Toc433988608"/>
      <w:bookmarkStart w:id="386" w:name="_Toc414553659"/>
      <w:bookmarkStart w:id="387" w:name="_Toc419363541"/>
      <w:bookmarkStart w:id="388" w:name="_Toc419364265"/>
      <w:bookmarkStart w:id="389" w:name="_Toc419321174"/>
      <w:r>
        <w:rPr>
          <w:rFonts w:ascii="宋体" w:hAnsi="宋体" w:eastAsia="宋体"/>
          <w:color w:val="auto"/>
          <w:sz w:val="24"/>
          <w:szCs w:val="24"/>
          <w:highlight w:val="none"/>
        </w:rPr>
        <w:t>7</w:t>
      </w:r>
      <w:r>
        <w:rPr>
          <w:rFonts w:hint="eastAsia" w:ascii="宋体" w:hAnsi="宋体" w:eastAsia="宋体"/>
          <w:color w:val="auto"/>
          <w:sz w:val="24"/>
          <w:szCs w:val="24"/>
          <w:highlight w:val="none"/>
        </w:rPr>
        <w:t>．合同授予</w:t>
      </w:r>
      <w:bookmarkEnd w:id="381"/>
      <w:bookmarkEnd w:id="382"/>
      <w:bookmarkEnd w:id="383"/>
      <w:bookmarkEnd w:id="384"/>
      <w:bookmarkEnd w:id="385"/>
      <w:bookmarkEnd w:id="386"/>
      <w:bookmarkEnd w:id="387"/>
      <w:bookmarkEnd w:id="388"/>
      <w:bookmarkEnd w:id="389"/>
    </w:p>
    <w:p>
      <w:pPr>
        <w:widowControl/>
        <w:jc w:val="left"/>
        <w:rPr>
          <w:color w:val="auto"/>
          <w:highlight w:val="none"/>
        </w:rPr>
      </w:pPr>
      <w:bookmarkStart w:id="390" w:name="_Toc419320155"/>
      <w:bookmarkStart w:id="391" w:name="_Toc19034679"/>
      <w:bookmarkStart w:id="392" w:name="_Toc419321191"/>
      <w:bookmarkStart w:id="393" w:name="_Toc414553662"/>
      <w:bookmarkStart w:id="394" w:name="_Toc433988625"/>
      <w:bookmarkStart w:id="395" w:name="_Toc419363559"/>
      <w:bookmarkStart w:id="396" w:name="_Toc419364282"/>
      <w:r>
        <w:rPr>
          <w:rFonts w:hint="eastAsia" w:ascii="宋体" w:hAnsi="宋体" w:cs="宋体"/>
          <w:b/>
          <w:color w:val="auto"/>
          <w:kern w:val="0"/>
          <w:sz w:val="20"/>
          <w:szCs w:val="20"/>
          <w:highlight w:val="none"/>
          <w:lang w:bidi="ar"/>
        </w:rPr>
        <w:t xml:space="preserve">7 合同授予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7.1 定标方式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除投标人须知前附表规定评标委员会直接确定中标人外，招标人按照《中华人民共和国招标投标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法实施条例》第五十五的规定，依据评标委员会推荐的中标候选人确定中标人，评标委员会推荐中标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候选人的人数见投标人须知前附表。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7.2 中标通知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中标候选人公示期满无异议或者异议不成立的，招标人应当在公示期结束后，在投标人须知总则第 3.3 款规定的投标有效期内，招标人以书面形式向中标人发出中标通知书，同时在中国政府采购网、广西壮族自治区政府采购网、桂林市公共资源交易中心网发布中标结果，中标结果在网站上公布后，视同已通知所有投标人，投标人自行登陆网站查询中标结果。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7.3 履约担保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7.3.1 在签订合同前，中标人应按投标人须知前附表规定的的金额、担保形式和招标文件第四章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“合同条款及格式”规定的或者事先经过招标人书面认可的履约担保格式向招标人提交履约保证金。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联合体中标的，其履约保证金由联合体任一方提交。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7.3.2 中标人不能按本章第 7.3.1 项要求提交履约保证金的，视为放弃中标，给招标人造成的损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失的，中标人还应当予以赔偿。属于必须审批或核准的工程建设项目，上述情形须经原审批或核准部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门批准。</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7.4 签订合同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7.4.1 招标人和中标人应当在投标有效期内以及中标通知书发出之日起 25 天内，根据招标文件和中标人的投标文件订立书面合同。中标人无正当理由拒签合同的，招标人取消其中标资格；给招标人造成损失的，中标人还应当依法予以赔偿。对依法必须进行招标的项目的中标人，由有关行政监督部 门责令改正。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7.4.2 发出中标通知书后，招标人无正当理由拒签合同的，由有关行政监督部门给予警告，责令改正。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给中标人造成损失的，还应当依法赔偿损失。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8 重新招标和不再招标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8.1中标人信用信息查询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根据《关于做好政府采购有关信用主体标识码登记及在政府采购活动中查询使用信用记录有关问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题的通知》桂财采〔2016〕37 号的通知，采购代理机构对中标人进行信用查询：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（1）查询渠道：“信用中国”网站(www.creditchina.gov.cn)、中国政府采购网(www.ccgp.gov.cn)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等；</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（2）查询截止时点：中标通知书发出前；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（3）信用信息查询记录和证据留存方式：在查询网站中直接打印查询记录，打印材料作为采购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活动资料保存。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（4）信用信息使用规则：对在“信用中国”网站(www.creditchina.gov.cn)、中国政府采购网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(www.ccgp.gov.cn)等渠道列入失信被执行人、重大税收违法案件当事人名单、政府采购严重违法失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信行为记录名单及其他不符合《中华人民共和国政府采购法》第二十二条规定条件的供应商，不得参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与政府采购活动，取消其中标候选人资格。采购人依法按照评标报告中评标委员会推荐中标候选人排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序表确定排名第二的中标候选人为中标供应商或者重新组织采购。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8.2 重新招标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有下列情形之一的，招标人将重新招标：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（1）投标截止时间止，投标人少于 3 个的；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（2）经评标委员会评审后否决所有投标的；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（3）其他有关法规和文件规定的应当重新招标的情形。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8.3 不再招标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重新招标后投标人仍少于 3 个或者所有投标被否决的，属于必须审批或核准的工程建设项目，经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原审批或核准部门批准后可不再进行招标。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9 纪律和监督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9.1 对招标人或招标代理机构的纪律要求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招标人或招标代理机构不得泄漏招标投标活动中应当保密的情况和资料，不得与投标人串通损害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国家利益、社会公共利益或者他人合法权益。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9.2 对投标人的纪律要求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投标人不得相互串通投标或者与招标人串通投标，不得向招标人或者评标委员会成员行贿谋取中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标，不得以他人名义投标或者以其他方式弄虚作假骗取中标；投标人不得以任何方式干扰、影响评标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工作。有下列情形之一的，属于投标人相互串通投标：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（1）投标人之间协商投标报价等投标文件的实质性内容；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（2）投标人之间约定中标人；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（3）投标人之间约定部分投标人放弃投标或者中标；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（4）属于同一集团、协会、商会等组织成员的投标人按照该组织要求协同投标；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（5）投标人之间为谋取中标或者排斥特定投标人而采取的其他联合行动；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（6）不同投标人的投标文件由同一单位或者个人编制；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（7）不同投标人委托同一单位或者个人办理投标事宜；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（8）不同投标人的投标文件载明的项目管理成员为同一人；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（9）不同投标人的投标文件异常一致或者投标报价呈规律性差异；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（10）不同投标人的投标文件相互混装。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9.3 对评标委员会成员的纪律要求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9.4 对与评标活动有关的工作人员的纪律要求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9.5 投诉</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投标人和其他利害关系人认为本次招标活动违反法律、法规和规章规定的，可以在知道或者应当知道之日起十日内向当地招投标监督管理部门提出书面投诉。投诉事项应先提出异议而没有提出异议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的，不予受理</w:t>
      </w:r>
    </w:p>
    <w:p>
      <w:pPr>
        <w:pStyle w:val="2"/>
        <w:spacing w:before="240" w:beforeLines="100" w:after="240" w:afterLines="10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10．</w:t>
      </w:r>
      <w:r>
        <w:rPr>
          <w:rFonts w:ascii="宋体" w:hAnsi="宋体" w:eastAsia="宋体"/>
          <w:color w:val="auto"/>
          <w:sz w:val="24"/>
          <w:szCs w:val="24"/>
          <w:highlight w:val="none"/>
        </w:rPr>
        <w:t>需要补充的其他内容</w:t>
      </w:r>
      <w:bookmarkEnd w:id="390"/>
      <w:bookmarkEnd w:id="391"/>
      <w:bookmarkEnd w:id="392"/>
      <w:bookmarkEnd w:id="393"/>
      <w:bookmarkEnd w:id="394"/>
      <w:bookmarkEnd w:id="395"/>
      <w:bookmarkEnd w:id="396"/>
    </w:p>
    <w:p>
      <w:pPr>
        <w:pStyle w:val="4"/>
        <w:spacing w:before="120" w:beforeLines="50" w:after="120" w:afterLines="50" w:line="360" w:lineRule="auto"/>
        <w:rPr>
          <w:rFonts w:ascii="宋体" w:hAnsi="宋体"/>
          <w:color w:val="auto"/>
          <w:kern w:val="0"/>
          <w:sz w:val="21"/>
          <w:szCs w:val="21"/>
          <w:highlight w:val="none"/>
        </w:rPr>
      </w:pPr>
      <w:bookmarkStart w:id="397" w:name="_Toc19034680"/>
      <w:r>
        <w:rPr>
          <w:rFonts w:hint="eastAsia" w:ascii="宋体" w:hAnsi="宋体"/>
          <w:color w:val="auto"/>
          <w:kern w:val="0"/>
          <w:sz w:val="21"/>
          <w:szCs w:val="21"/>
          <w:highlight w:val="none"/>
        </w:rPr>
        <w:t>10.1 农民工工资保证金</w:t>
      </w:r>
      <w:bookmarkEnd w:id="397"/>
    </w:p>
    <w:p>
      <w:pPr>
        <w:autoSpaceDE w:val="0"/>
        <w:autoSpaceDN w:val="0"/>
        <w:adjustRightInd w:val="0"/>
        <w:spacing w:line="400" w:lineRule="exact"/>
        <w:ind w:firstLine="420" w:firstLineChars="200"/>
        <w:jc w:val="left"/>
        <w:rPr>
          <w:rFonts w:ascii="宋体" w:hAnsi="宋体" w:cs="TimesNewRomanPSMT"/>
          <w:color w:val="auto"/>
          <w:kern w:val="0"/>
          <w:szCs w:val="21"/>
          <w:highlight w:val="none"/>
        </w:rPr>
      </w:pPr>
      <w:r>
        <w:rPr>
          <w:rFonts w:hint="eastAsia" w:ascii="宋体" w:hAnsi="宋体" w:cs="TimesNewRomanPSMT"/>
          <w:color w:val="auto"/>
          <w:kern w:val="0"/>
          <w:szCs w:val="21"/>
          <w:highlight w:val="none"/>
        </w:rPr>
        <w:t>根据</w:t>
      </w:r>
      <w:r>
        <w:rPr>
          <w:rFonts w:hint="eastAsia" w:ascii="宋体" w:hAnsi="宋体"/>
          <w:color w:val="auto"/>
          <w:highlight w:val="none"/>
        </w:rPr>
        <w:t>按桂劳社发[2009]50号文件</w:t>
      </w:r>
      <w:r>
        <w:rPr>
          <w:rFonts w:hint="eastAsia" w:ascii="宋体" w:hAnsi="宋体" w:cs="TimesNewRomanPSMT"/>
          <w:color w:val="auto"/>
          <w:kern w:val="0"/>
          <w:szCs w:val="21"/>
          <w:highlight w:val="none"/>
        </w:rPr>
        <w:t>，投标人在投标时必须在投标文件中承诺，在发出中标通知书之日起7个工作日内足额将农民工工资保障金转入相关部门设立的农民工工资保障金专用帐户。如投标人的投标文件没有提交上述承诺的，视为无效投标文件，取消其投标资格。</w:t>
      </w:r>
    </w:p>
    <w:p>
      <w:pPr>
        <w:pStyle w:val="4"/>
        <w:spacing w:before="120" w:beforeLines="50" w:after="120" w:afterLines="50" w:line="360" w:lineRule="auto"/>
        <w:rPr>
          <w:rFonts w:ascii="宋体" w:hAnsi="宋体"/>
          <w:color w:val="auto"/>
          <w:kern w:val="0"/>
          <w:sz w:val="21"/>
          <w:szCs w:val="21"/>
          <w:highlight w:val="none"/>
        </w:rPr>
      </w:pPr>
      <w:bookmarkStart w:id="398" w:name="_Toc19034681"/>
      <w:r>
        <w:rPr>
          <w:rFonts w:hint="eastAsia" w:ascii="宋体" w:hAnsi="宋体"/>
          <w:color w:val="auto"/>
          <w:kern w:val="0"/>
          <w:sz w:val="21"/>
          <w:szCs w:val="21"/>
          <w:highlight w:val="none"/>
        </w:rPr>
        <w:t>10.2 投标文件电子版</w:t>
      </w:r>
      <w:bookmarkEnd w:id="398"/>
    </w:p>
    <w:p>
      <w:pPr>
        <w:autoSpaceDE w:val="0"/>
        <w:autoSpaceDN w:val="0"/>
        <w:adjustRightInd w:val="0"/>
        <w:spacing w:line="400" w:lineRule="exact"/>
        <w:ind w:firstLine="420" w:firstLineChars="200"/>
        <w:jc w:val="left"/>
        <w:rPr>
          <w:rFonts w:ascii="宋体" w:hAnsi="宋体" w:cs="TimesNewRomanPSMT"/>
          <w:color w:val="auto"/>
          <w:kern w:val="0"/>
          <w:szCs w:val="21"/>
          <w:highlight w:val="none"/>
        </w:rPr>
      </w:pPr>
      <w:r>
        <w:rPr>
          <w:color w:val="auto"/>
          <w:highlight w:val="none"/>
        </w:rPr>
        <w:t>见</w:t>
      </w:r>
      <w:r>
        <w:rPr>
          <w:rFonts w:hint="eastAsia"/>
          <w:color w:val="auto"/>
          <w:highlight w:val="none"/>
        </w:rPr>
        <w:t>“</w:t>
      </w:r>
      <w:r>
        <w:rPr>
          <w:color w:val="auto"/>
          <w:highlight w:val="none"/>
        </w:rPr>
        <w:t>投标人须知前附表</w:t>
      </w:r>
      <w:r>
        <w:rPr>
          <w:rFonts w:hint="eastAsia"/>
          <w:color w:val="auto"/>
          <w:highlight w:val="none"/>
        </w:rPr>
        <w:t>”</w:t>
      </w:r>
      <w:r>
        <w:rPr>
          <w:rFonts w:hint="eastAsia" w:ascii="宋体" w:hAnsi="宋体" w:cs="TimesNewRomanPSMT"/>
          <w:color w:val="auto"/>
          <w:kern w:val="0"/>
          <w:szCs w:val="21"/>
          <w:highlight w:val="none"/>
        </w:rPr>
        <w:t>。</w:t>
      </w:r>
    </w:p>
    <w:p>
      <w:pPr>
        <w:pStyle w:val="4"/>
        <w:spacing w:before="120" w:beforeLines="50" w:after="120" w:afterLines="50" w:line="360" w:lineRule="auto"/>
        <w:rPr>
          <w:rFonts w:ascii="宋体" w:hAnsi="宋体"/>
          <w:color w:val="auto"/>
          <w:kern w:val="0"/>
          <w:sz w:val="21"/>
          <w:szCs w:val="21"/>
          <w:highlight w:val="none"/>
        </w:rPr>
      </w:pPr>
      <w:bookmarkStart w:id="399" w:name="_Toc19034682"/>
      <w:r>
        <w:rPr>
          <w:rFonts w:hint="eastAsia" w:ascii="宋体" w:hAnsi="宋体"/>
          <w:color w:val="auto"/>
          <w:kern w:val="0"/>
          <w:sz w:val="21"/>
          <w:szCs w:val="21"/>
          <w:highlight w:val="none"/>
        </w:rPr>
        <w:t>10.3 知识产权</w:t>
      </w:r>
      <w:bookmarkEnd w:id="399"/>
    </w:p>
    <w:p>
      <w:pPr>
        <w:autoSpaceDE w:val="0"/>
        <w:autoSpaceDN w:val="0"/>
        <w:adjustRightInd w:val="0"/>
        <w:spacing w:line="400" w:lineRule="exact"/>
        <w:ind w:firstLine="420" w:firstLineChars="200"/>
        <w:jc w:val="left"/>
        <w:rPr>
          <w:rFonts w:ascii="宋体" w:hAnsi="宋体" w:cs="TimesNewRomanPSMT"/>
          <w:color w:val="auto"/>
          <w:kern w:val="0"/>
          <w:szCs w:val="21"/>
          <w:highlight w:val="none"/>
        </w:rPr>
      </w:pPr>
      <w:r>
        <w:rPr>
          <w:color w:val="auto"/>
          <w:highlight w:val="none"/>
        </w:rPr>
        <w:t>招标人对其知识产权的具体要求见</w:t>
      </w:r>
      <w:r>
        <w:rPr>
          <w:rFonts w:hint="eastAsia"/>
          <w:color w:val="auto"/>
          <w:highlight w:val="none"/>
        </w:rPr>
        <w:t>“</w:t>
      </w:r>
      <w:r>
        <w:rPr>
          <w:color w:val="auto"/>
          <w:highlight w:val="none"/>
        </w:rPr>
        <w:t>投标人须知前附表</w:t>
      </w:r>
      <w:r>
        <w:rPr>
          <w:rFonts w:hint="eastAsia"/>
          <w:color w:val="auto"/>
          <w:highlight w:val="none"/>
        </w:rPr>
        <w:t>”</w:t>
      </w:r>
      <w:r>
        <w:rPr>
          <w:rFonts w:hint="eastAsia" w:ascii="宋体" w:hAnsi="宋体" w:cs="TimesNewRomanPSMT"/>
          <w:color w:val="auto"/>
          <w:kern w:val="0"/>
          <w:szCs w:val="21"/>
          <w:highlight w:val="none"/>
        </w:rPr>
        <w:t>。</w:t>
      </w:r>
    </w:p>
    <w:p>
      <w:pPr>
        <w:autoSpaceDE w:val="0"/>
        <w:autoSpaceDN w:val="0"/>
        <w:adjustRightInd w:val="0"/>
        <w:spacing w:line="400" w:lineRule="exact"/>
        <w:ind w:firstLine="420" w:firstLineChars="200"/>
        <w:jc w:val="left"/>
        <w:rPr>
          <w:rFonts w:ascii="宋体" w:hAnsi="宋体" w:cs="TimesNewRomanPSMT"/>
          <w:color w:val="auto"/>
          <w:kern w:val="0"/>
          <w:szCs w:val="21"/>
          <w:highlight w:val="none"/>
        </w:rPr>
      </w:pPr>
    </w:p>
    <w:p>
      <w:pPr>
        <w:pStyle w:val="4"/>
        <w:spacing w:before="120" w:beforeLines="50" w:after="120" w:afterLines="50" w:line="360" w:lineRule="auto"/>
        <w:rPr>
          <w:rFonts w:ascii="宋体" w:hAnsi="宋体"/>
          <w:color w:val="auto"/>
          <w:kern w:val="0"/>
          <w:sz w:val="21"/>
          <w:szCs w:val="21"/>
          <w:highlight w:val="none"/>
        </w:rPr>
      </w:pPr>
      <w:bookmarkStart w:id="400" w:name="_Toc19034683"/>
      <w:r>
        <w:rPr>
          <w:rFonts w:hint="eastAsia" w:ascii="宋体" w:hAnsi="宋体"/>
          <w:color w:val="auto"/>
          <w:kern w:val="0"/>
          <w:sz w:val="21"/>
          <w:szCs w:val="21"/>
          <w:highlight w:val="none"/>
        </w:rPr>
        <w:t>10.4 同义词语</w:t>
      </w:r>
      <w:bookmarkEnd w:id="400"/>
    </w:p>
    <w:p>
      <w:pPr>
        <w:autoSpaceDE w:val="0"/>
        <w:autoSpaceDN w:val="0"/>
        <w:adjustRightInd w:val="0"/>
        <w:spacing w:line="400" w:lineRule="exact"/>
        <w:ind w:firstLine="420" w:firstLineChars="200"/>
        <w:jc w:val="left"/>
        <w:rPr>
          <w:rFonts w:ascii="宋体" w:hAnsi="宋体" w:cs="TimesNewRomanPSMT"/>
          <w:color w:val="auto"/>
          <w:kern w:val="0"/>
          <w:szCs w:val="21"/>
          <w:highlight w:val="none"/>
        </w:rPr>
      </w:pPr>
      <w:r>
        <w:rPr>
          <w:color w:val="auto"/>
          <w:highlight w:val="none"/>
        </w:rPr>
        <w:t>见</w:t>
      </w:r>
      <w:r>
        <w:rPr>
          <w:rFonts w:hint="eastAsia"/>
          <w:color w:val="auto"/>
          <w:highlight w:val="none"/>
        </w:rPr>
        <w:t>“</w:t>
      </w:r>
      <w:r>
        <w:rPr>
          <w:color w:val="auto"/>
          <w:highlight w:val="none"/>
        </w:rPr>
        <w:t>投标人须知前附表</w:t>
      </w:r>
      <w:r>
        <w:rPr>
          <w:rFonts w:hint="eastAsia"/>
          <w:color w:val="auto"/>
          <w:highlight w:val="none"/>
        </w:rPr>
        <w:t>”。</w:t>
      </w:r>
    </w:p>
    <w:p>
      <w:pPr>
        <w:pStyle w:val="4"/>
        <w:spacing w:before="120" w:beforeLines="50" w:after="120" w:afterLines="50" w:line="360" w:lineRule="auto"/>
        <w:rPr>
          <w:rFonts w:ascii="宋体" w:hAnsi="宋体"/>
          <w:color w:val="auto"/>
          <w:kern w:val="0"/>
          <w:sz w:val="21"/>
          <w:szCs w:val="21"/>
          <w:highlight w:val="none"/>
        </w:rPr>
      </w:pPr>
      <w:bookmarkStart w:id="401" w:name="_Toc19034684"/>
      <w:r>
        <w:rPr>
          <w:rFonts w:hint="eastAsia" w:ascii="宋体" w:hAnsi="宋体"/>
          <w:color w:val="auto"/>
          <w:kern w:val="0"/>
          <w:sz w:val="21"/>
          <w:szCs w:val="21"/>
          <w:highlight w:val="none"/>
        </w:rPr>
        <w:t>10.5 招标人补充的其他内容</w:t>
      </w:r>
      <w:bookmarkEnd w:id="401"/>
    </w:p>
    <w:p>
      <w:pPr>
        <w:autoSpaceDE w:val="0"/>
        <w:autoSpaceDN w:val="0"/>
        <w:adjustRightInd w:val="0"/>
        <w:spacing w:line="400" w:lineRule="exact"/>
        <w:ind w:firstLine="420" w:firstLineChars="200"/>
        <w:jc w:val="left"/>
        <w:rPr>
          <w:rFonts w:ascii="宋体" w:hAnsi="宋体" w:cs="TimesNewRomanPSMT"/>
          <w:color w:val="auto"/>
          <w:kern w:val="0"/>
          <w:szCs w:val="21"/>
          <w:highlight w:val="none"/>
        </w:rPr>
      </w:pPr>
      <w:r>
        <w:rPr>
          <w:color w:val="auto"/>
          <w:highlight w:val="none"/>
        </w:rPr>
        <w:t>见</w:t>
      </w:r>
      <w:r>
        <w:rPr>
          <w:rFonts w:hint="eastAsia"/>
          <w:color w:val="auto"/>
          <w:highlight w:val="none"/>
        </w:rPr>
        <w:t>“</w:t>
      </w:r>
      <w:r>
        <w:rPr>
          <w:color w:val="auto"/>
          <w:highlight w:val="none"/>
        </w:rPr>
        <w:t>投标人须知前附表</w:t>
      </w:r>
      <w:r>
        <w:rPr>
          <w:rFonts w:hint="eastAsia"/>
          <w:color w:val="auto"/>
          <w:highlight w:val="none"/>
        </w:rPr>
        <w:t>”。</w:t>
      </w:r>
    </w:p>
    <w:p>
      <w:pPr>
        <w:autoSpaceDE w:val="0"/>
        <w:autoSpaceDN w:val="0"/>
        <w:adjustRightInd w:val="0"/>
        <w:spacing w:line="400" w:lineRule="exact"/>
        <w:jc w:val="left"/>
        <w:rPr>
          <w:rFonts w:ascii="宋体" w:hAnsi="宋体" w:cs="TimesNewRomanPSMT"/>
          <w:color w:val="auto"/>
          <w:kern w:val="0"/>
          <w:szCs w:val="21"/>
          <w:highlight w:val="none"/>
        </w:rPr>
      </w:pPr>
    </w:p>
    <w:p>
      <w:pPr>
        <w:autoSpaceDE w:val="0"/>
        <w:autoSpaceDN w:val="0"/>
        <w:adjustRightInd w:val="0"/>
        <w:spacing w:line="400" w:lineRule="exact"/>
        <w:jc w:val="left"/>
        <w:rPr>
          <w:rFonts w:ascii="宋体" w:hAnsi="宋体"/>
          <w:b/>
          <w:bCs/>
          <w:color w:val="auto"/>
          <w:sz w:val="24"/>
          <w:highlight w:val="none"/>
        </w:rPr>
        <w:sectPr>
          <w:pgSz w:w="11907" w:h="16840"/>
          <w:pgMar w:top="1418" w:right="1134" w:bottom="1418" w:left="1134" w:header="851" w:footer="851" w:gutter="0"/>
          <w:cols w:space="720" w:num="1"/>
          <w:docGrid w:linePitch="312" w:charSpace="0"/>
        </w:sectPr>
      </w:pPr>
      <w:r>
        <w:rPr>
          <w:rFonts w:hint="eastAsia" w:ascii="宋体" w:hAnsi="宋体"/>
          <w:b/>
          <w:bCs/>
          <w:color w:val="auto"/>
          <w:sz w:val="24"/>
          <w:highlight w:val="none"/>
        </w:rPr>
        <w:t>11.备注</w:t>
      </w:r>
    </w:p>
    <w:p>
      <w:pPr>
        <w:rPr>
          <w:rFonts w:ascii="宋体" w:hAnsi="宋体"/>
          <w:color w:val="auto"/>
          <w:sz w:val="28"/>
          <w:szCs w:val="28"/>
          <w:highlight w:val="none"/>
        </w:rPr>
      </w:pPr>
      <w:bookmarkStart w:id="402" w:name="_Toc414553665"/>
      <w:r>
        <w:rPr>
          <w:rFonts w:ascii="宋体" w:hAnsi="宋体"/>
          <w:color w:val="auto"/>
          <w:sz w:val="28"/>
          <w:szCs w:val="28"/>
          <w:highlight w:val="none"/>
        </w:rPr>
        <w:t>附表</w:t>
      </w:r>
      <w:r>
        <w:rPr>
          <w:rFonts w:hint="eastAsia" w:ascii="宋体" w:hAnsi="宋体"/>
          <w:color w:val="auto"/>
          <w:sz w:val="28"/>
          <w:szCs w:val="28"/>
          <w:highlight w:val="none"/>
        </w:rPr>
        <w:t>一</w:t>
      </w:r>
      <w:r>
        <w:rPr>
          <w:rFonts w:ascii="宋体" w:hAnsi="宋体"/>
          <w:color w:val="auto"/>
          <w:sz w:val="28"/>
          <w:szCs w:val="28"/>
          <w:highlight w:val="none"/>
        </w:rPr>
        <w:t>：</w:t>
      </w:r>
      <w:r>
        <w:rPr>
          <w:rFonts w:hint="eastAsia" w:ascii="宋体" w:hAnsi="宋体"/>
          <w:color w:val="auto"/>
          <w:sz w:val="28"/>
          <w:szCs w:val="28"/>
          <w:highlight w:val="none"/>
        </w:rPr>
        <w:t>问题澄清通知</w:t>
      </w:r>
      <w:bookmarkEnd w:id="402"/>
    </w:p>
    <w:p>
      <w:pPr>
        <w:spacing w:line="360" w:lineRule="exact"/>
        <w:rPr>
          <w:color w:val="auto"/>
          <w:highlight w:val="none"/>
        </w:rPr>
      </w:pPr>
    </w:p>
    <w:p>
      <w:pPr>
        <w:spacing w:line="360" w:lineRule="exact"/>
        <w:rPr>
          <w:color w:val="auto"/>
          <w:highlight w:val="none"/>
        </w:rPr>
      </w:pPr>
    </w:p>
    <w:p>
      <w:pPr>
        <w:spacing w:after="156" w:afterLines="50" w:line="360" w:lineRule="exact"/>
        <w:jc w:val="center"/>
        <w:rPr>
          <w:b/>
          <w:color w:val="auto"/>
          <w:sz w:val="28"/>
          <w:szCs w:val="28"/>
          <w:highlight w:val="none"/>
        </w:rPr>
      </w:pPr>
      <w:r>
        <w:rPr>
          <w:rFonts w:hint="eastAsia"/>
          <w:b/>
          <w:color w:val="auto"/>
          <w:sz w:val="28"/>
          <w:szCs w:val="28"/>
          <w:highlight w:val="none"/>
        </w:rPr>
        <w:t>问题澄清通知</w:t>
      </w:r>
    </w:p>
    <w:p>
      <w:pPr>
        <w:spacing w:line="360" w:lineRule="exact"/>
        <w:jc w:val="center"/>
        <w:rPr>
          <w:color w:val="auto"/>
          <w:szCs w:val="21"/>
          <w:highlight w:val="none"/>
        </w:rPr>
      </w:pPr>
      <w:r>
        <w:rPr>
          <w:rFonts w:hint="eastAsia"/>
          <w:color w:val="auto"/>
          <w:szCs w:val="21"/>
          <w:highlight w:val="none"/>
        </w:rPr>
        <w:t>编号：</w:t>
      </w:r>
      <w:r>
        <w:rPr>
          <w:color w:val="auto"/>
          <w:szCs w:val="21"/>
          <w:highlight w:val="none"/>
        </w:rPr>
        <w:t>_______________</w:t>
      </w:r>
    </w:p>
    <w:p>
      <w:pPr>
        <w:spacing w:line="360" w:lineRule="exact"/>
        <w:jc w:val="center"/>
        <w:rPr>
          <w:color w:val="auto"/>
          <w:szCs w:val="21"/>
          <w:highlight w:val="none"/>
        </w:rPr>
      </w:pPr>
    </w:p>
    <w:p>
      <w:pPr>
        <w:spacing w:line="360" w:lineRule="exact"/>
        <w:rPr>
          <w:color w:val="auto"/>
          <w:szCs w:val="21"/>
          <w:highlight w:val="none"/>
          <w:u w:val="single"/>
        </w:rPr>
      </w:pPr>
    </w:p>
    <w:p>
      <w:pPr>
        <w:spacing w:line="440" w:lineRule="exact"/>
        <w:ind w:firstLine="210" w:firstLineChars="100"/>
        <w:rPr>
          <w:color w:val="auto"/>
          <w:szCs w:val="21"/>
          <w:highlight w:val="none"/>
        </w:rPr>
      </w:pPr>
      <w:r>
        <w:rPr>
          <w:rFonts w:hint="eastAsia"/>
          <w:color w:val="auto"/>
          <w:szCs w:val="21"/>
          <w:highlight w:val="none"/>
        </w:rPr>
        <w:t>（投标人名称）：</w:t>
      </w:r>
    </w:p>
    <w:p>
      <w:pPr>
        <w:spacing w:line="440" w:lineRule="exact"/>
        <w:ind w:firstLine="630" w:firstLineChars="300"/>
        <w:rPr>
          <w:color w:val="auto"/>
          <w:szCs w:val="21"/>
          <w:highlight w:val="none"/>
        </w:rPr>
      </w:pPr>
      <w:r>
        <w:rPr>
          <w:rFonts w:hint="eastAsia"/>
          <w:color w:val="auto"/>
          <w:szCs w:val="21"/>
          <w:highlight w:val="none"/>
        </w:rPr>
        <w:t>项目总承包（）招标的评标委员会，本委员会对你方的投标文件进行了仔细审查，现需你方对下列问题以书面形式予以澄清：</w:t>
      </w:r>
    </w:p>
    <w:p>
      <w:pPr>
        <w:spacing w:line="440" w:lineRule="exact"/>
        <w:ind w:firstLine="720"/>
        <w:rPr>
          <w:color w:val="auto"/>
          <w:szCs w:val="21"/>
          <w:highlight w:val="none"/>
        </w:rPr>
      </w:pPr>
      <w:r>
        <w:rPr>
          <w:color w:val="auto"/>
          <w:szCs w:val="21"/>
          <w:highlight w:val="none"/>
        </w:rPr>
        <w:t>1.</w:t>
      </w:r>
    </w:p>
    <w:p>
      <w:pPr>
        <w:spacing w:line="440" w:lineRule="exact"/>
        <w:ind w:firstLine="720"/>
        <w:rPr>
          <w:color w:val="auto"/>
          <w:szCs w:val="21"/>
          <w:highlight w:val="none"/>
        </w:rPr>
      </w:pPr>
      <w:r>
        <w:rPr>
          <w:color w:val="auto"/>
          <w:szCs w:val="21"/>
          <w:highlight w:val="none"/>
        </w:rPr>
        <w:t>2.</w:t>
      </w:r>
    </w:p>
    <w:p>
      <w:pPr>
        <w:spacing w:line="440" w:lineRule="exact"/>
        <w:ind w:firstLine="720"/>
        <w:rPr>
          <w:color w:val="auto"/>
          <w:szCs w:val="21"/>
          <w:highlight w:val="none"/>
        </w:rPr>
      </w:pPr>
    </w:p>
    <w:p>
      <w:pPr>
        <w:spacing w:line="440" w:lineRule="exact"/>
        <w:ind w:firstLine="720"/>
        <w:rPr>
          <w:color w:val="auto"/>
          <w:szCs w:val="21"/>
          <w:highlight w:val="none"/>
        </w:rPr>
      </w:pPr>
      <w:r>
        <w:rPr>
          <w:rFonts w:hint="eastAsia"/>
          <w:color w:val="auto"/>
          <w:szCs w:val="21"/>
          <w:highlight w:val="none"/>
        </w:rPr>
        <w:t>……</w:t>
      </w:r>
    </w:p>
    <w:p>
      <w:pPr>
        <w:spacing w:line="440" w:lineRule="exact"/>
        <w:ind w:firstLine="435"/>
        <w:rPr>
          <w:color w:val="auto"/>
          <w:szCs w:val="21"/>
          <w:highlight w:val="none"/>
        </w:rPr>
      </w:pPr>
      <w:r>
        <w:rPr>
          <w:rFonts w:hint="eastAsia"/>
          <w:color w:val="auto"/>
          <w:szCs w:val="21"/>
          <w:highlight w:val="none"/>
        </w:rPr>
        <w:t>请将上述问题的澄清于</w:t>
      </w:r>
      <w:r>
        <w:rPr>
          <w:color w:val="auto"/>
          <w:szCs w:val="21"/>
          <w:highlight w:val="none"/>
        </w:rPr>
        <w:t>__________</w:t>
      </w:r>
      <w:r>
        <w:rPr>
          <w:rFonts w:hint="eastAsia"/>
          <w:color w:val="auto"/>
          <w:szCs w:val="21"/>
          <w:highlight w:val="none"/>
        </w:rPr>
        <w:t>年</w:t>
      </w:r>
      <w:r>
        <w:rPr>
          <w:color w:val="auto"/>
          <w:szCs w:val="21"/>
          <w:highlight w:val="none"/>
        </w:rPr>
        <w:t>________</w:t>
      </w:r>
      <w:r>
        <w:rPr>
          <w:rFonts w:hint="eastAsia"/>
          <w:color w:val="auto"/>
          <w:szCs w:val="21"/>
          <w:highlight w:val="none"/>
        </w:rPr>
        <w:t>月</w:t>
      </w:r>
      <w:r>
        <w:rPr>
          <w:color w:val="auto"/>
          <w:szCs w:val="21"/>
          <w:highlight w:val="none"/>
        </w:rPr>
        <w:t>_______</w:t>
      </w:r>
      <w:r>
        <w:rPr>
          <w:rFonts w:hint="eastAsia"/>
          <w:color w:val="auto"/>
          <w:szCs w:val="21"/>
          <w:highlight w:val="none"/>
        </w:rPr>
        <w:t>日</w:t>
      </w:r>
      <w:r>
        <w:rPr>
          <w:color w:val="auto"/>
          <w:szCs w:val="21"/>
          <w:highlight w:val="none"/>
        </w:rPr>
        <w:t>_______</w:t>
      </w:r>
      <w:r>
        <w:rPr>
          <w:rFonts w:hint="eastAsia"/>
          <w:color w:val="auto"/>
          <w:szCs w:val="21"/>
          <w:highlight w:val="none"/>
        </w:rPr>
        <w:t>时前递交至</w:t>
      </w:r>
      <w:r>
        <w:rPr>
          <w:color w:val="auto"/>
          <w:szCs w:val="21"/>
          <w:highlight w:val="none"/>
        </w:rPr>
        <w:t>___________</w:t>
      </w:r>
      <w:r>
        <w:rPr>
          <w:rFonts w:hint="eastAsia"/>
          <w:color w:val="auto"/>
          <w:szCs w:val="21"/>
          <w:highlight w:val="none"/>
        </w:rPr>
        <w:t>（详细地址）或传真至</w:t>
      </w:r>
      <w:r>
        <w:rPr>
          <w:color w:val="auto"/>
          <w:szCs w:val="21"/>
          <w:highlight w:val="none"/>
        </w:rPr>
        <w:t>___________</w:t>
      </w:r>
      <w:r>
        <w:rPr>
          <w:rFonts w:hint="eastAsia"/>
          <w:color w:val="auto"/>
          <w:szCs w:val="21"/>
          <w:highlight w:val="none"/>
        </w:rPr>
        <w:t>（传真号码）。采用传真方式的，应在</w:t>
      </w:r>
      <w:r>
        <w:rPr>
          <w:color w:val="auto"/>
          <w:szCs w:val="21"/>
          <w:highlight w:val="none"/>
        </w:rPr>
        <w:t>___________</w:t>
      </w:r>
      <w:r>
        <w:rPr>
          <w:rFonts w:hint="eastAsia"/>
          <w:color w:val="auto"/>
          <w:szCs w:val="21"/>
          <w:highlight w:val="none"/>
        </w:rPr>
        <w:t>年</w:t>
      </w:r>
      <w:r>
        <w:rPr>
          <w:color w:val="auto"/>
          <w:szCs w:val="21"/>
          <w:highlight w:val="none"/>
        </w:rPr>
        <w:t>__________</w:t>
      </w:r>
      <w:r>
        <w:rPr>
          <w:rFonts w:hint="eastAsia"/>
          <w:color w:val="auto"/>
          <w:szCs w:val="21"/>
          <w:highlight w:val="none"/>
        </w:rPr>
        <w:t>月</w:t>
      </w:r>
      <w:r>
        <w:rPr>
          <w:color w:val="auto"/>
          <w:szCs w:val="21"/>
          <w:highlight w:val="none"/>
        </w:rPr>
        <w:t>_________</w:t>
      </w:r>
      <w:r>
        <w:rPr>
          <w:rFonts w:hint="eastAsia"/>
          <w:color w:val="auto"/>
          <w:szCs w:val="21"/>
          <w:highlight w:val="none"/>
        </w:rPr>
        <w:t>日</w:t>
      </w:r>
      <w:r>
        <w:rPr>
          <w:color w:val="auto"/>
          <w:szCs w:val="21"/>
          <w:highlight w:val="none"/>
        </w:rPr>
        <w:t>_________</w:t>
      </w:r>
      <w:r>
        <w:rPr>
          <w:rFonts w:hint="eastAsia"/>
          <w:color w:val="auto"/>
          <w:szCs w:val="21"/>
          <w:highlight w:val="none"/>
        </w:rPr>
        <w:t>时前将原件递交至</w:t>
      </w:r>
      <w:r>
        <w:rPr>
          <w:color w:val="auto"/>
          <w:szCs w:val="21"/>
          <w:highlight w:val="none"/>
        </w:rPr>
        <w:t>_____________</w:t>
      </w:r>
      <w:r>
        <w:rPr>
          <w:rFonts w:hint="eastAsia"/>
          <w:color w:val="auto"/>
          <w:szCs w:val="21"/>
          <w:highlight w:val="none"/>
        </w:rPr>
        <w:t>（详细地址）。</w:t>
      </w:r>
    </w:p>
    <w:p>
      <w:pPr>
        <w:spacing w:line="360" w:lineRule="exact"/>
        <w:ind w:firstLine="435"/>
        <w:rPr>
          <w:color w:val="auto"/>
          <w:szCs w:val="21"/>
          <w:highlight w:val="none"/>
        </w:rPr>
      </w:pPr>
    </w:p>
    <w:p>
      <w:pPr>
        <w:spacing w:line="360" w:lineRule="exact"/>
        <w:ind w:firstLine="435"/>
        <w:rPr>
          <w:color w:val="auto"/>
          <w:szCs w:val="21"/>
          <w:highlight w:val="none"/>
        </w:rPr>
      </w:pPr>
    </w:p>
    <w:p>
      <w:pPr>
        <w:spacing w:line="360" w:lineRule="exact"/>
        <w:ind w:firstLine="4214" w:firstLineChars="2007"/>
        <w:rPr>
          <w:color w:val="auto"/>
          <w:szCs w:val="21"/>
          <w:highlight w:val="none"/>
        </w:rPr>
      </w:pPr>
    </w:p>
    <w:p>
      <w:pPr>
        <w:spacing w:line="360" w:lineRule="exact"/>
        <w:ind w:firstLine="4214" w:firstLineChars="2007"/>
        <w:rPr>
          <w:color w:val="auto"/>
          <w:szCs w:val="21"/>
          <w:highlight w:val="none"/>
        </w:rPr>
      </w:pPr>
    </w:p>
    <w:p>
      <w:pPr>
        <w:spacing w:line="360" w:lineRule="exact"/>
        <w:ind w:firstLine="4214" w:firstLineChars="2007"/>
        <w:rPr>
          <w:color w:val="auto"/>
          <w:szCs w:val="21"/>
          <w:highlight w:val="none"/>
        </w:rPr>
      </w:pPr>
    </w:p>
    <w:p>
      <w:pPr>
        <w:spacing w:line="360" w:lineRule="exact"/>
        <w:ind w:firstLine="4214" w:firstLineChars="2007"/>
        <w:rPr>
          <w:color w:val="auto"/>
          <w:szCs w:val="21"/>
          <w:highlight w:val="none"/>
        </w:rPr>
      </w:pPr>
    </w:p>
    <w:p>
      <w:pPr>
        <w:spacing w:line="360" w:lineRule="exact"/>
        <w:ind w:firstLine="4214" w:firstLineChars="2007"/>
        <w:rPr>
          <w:color w:val="auto"/>
          <w:szCs w:val="21"/>
          <w:highlight w:val="none"/>
        </w:rPr>
      </w:pPr>
    </w:p>
    <w:p>
      <w:pPr>
        <w:spacing w:line="360" w:lineRule="exact"/>
        <w:ind w:firstLine="4214" w:firstLineChars="2007"/>
        <w:rPr>
          <w:color w:val="auto"/>
          <w:szCs w:val="21"/>
          <w:highlight w:val="none"/>
        </w:rPr>
      </w:pPr>
    </w:p>
    <w:p>
      <w:pPr>
        <w:spacing w:line="360" w:lineRule="exact"/>
        <w:ind w:firstLine="5145" w:firstLineChars="2450"/>
        <w:rPr>
          <w:color w:val="auto"/>
          <w:szCs w:val="21"/>
          <w:highlight w:val="none"/>
        </w:rPr>
      </w:pPr>
      <w:r>
        <w:rPr>
          <w:rFonts w:hint="eastAsia"/>
          <w:color w:val="auto"/>
          <w:szCs w:val="21"/>
          <w:highlight w:val="none"/>
        </w:rPr>
        <w:t>评标委员会：</w:t>
      </w:r>
      <w:r>
        <w:rPr>
          <w:color w:val="auto"/>
          <w:szCs w:val="21"/>
          <w:highlight w:val="none"/>
        </w:rPr>
        <w:t>________</w:t>
      </w:r>
      <w:r>
        <w:rPr>
          <w:rFonts w:hint="eastAsia"/>
          <w:color w:val="auto"/>
          <w:szCs w:val="21"/>
          <w:highlight w:val="none"/>
        </w:rPr>
        <w:t>（签字或盖章）</w:t>
      </w:r>
    </w:p>
    <w:p>
      <w:pPr>
        <w:spacing w:line="360" w:lineRule="exact"/>
        <w:ind w:firstLine="4214" w:firstLineChars="2007"/>
        <w:rPr>
          <w:color w:val="auto"/>
          <w:szCs w:val="21"/>
          <w:highlight w:val="none"/>
        </w:rPr>
      </w:pPr>
    </w:p>
    <w:p>
      <w:pPr>
        <w:spacing w:line="360" w:lineRule="exact"/>
        <w:ind w:firstLine="5985" w:firstLineChars="2850"/>
        <w:rPr>
          <w:color w:val="auto"/>
          <w:szCs w:val="21"/>
          <w:highlight w:val="none"/>
          <w:lang w:val="en-GB"/>
        </w:rPr>
      </w:pPr>
      <w:r>
        <w:rPr>
          <w:color w:val="auto"/>
          <w:szCs w:val="21"/>
          <w:highlight w:val="none"/>
        </w:rPr>
        <w:t>________</w:t>
      </w:r>
      <w:r>
        <w:rPr>
          <w:rFonts w:hint="eastAsia"/>
          <w:color w:val="auto"/>
          <w:szCs w:val="21"/>
          <w:highlight w:val="none"/>
        </w:rPr>
        <w:t>年</w:t>
      </w:r>
      <w:r>
        <w:rPr>
          <w:color w:val="auto"/>
          <w:szCs w:val="21"/>
          <w:highlight w:val="none"/>
        </w:rPr>
        <w:t>______</w:t>
      </w:r>
      <w:r>
        <w:rPr>
          <w:rFonts w:hint="eastAsia"/>
          <w:color w:val="auto"/>
          <w:szCs w:val="21"/>
          <w:highlight w:val="none"/>
        </w:rPr>
        <w:t>月</w:t>
      </w:r>
      <w:r>
        <w:rPr>
          <w:color w:val="auto"/>
          <w:szCs w:val="21"/>
          <w:highlight w:val="none"/>
        </w:rPr>
        <w:t>______</w:t>
      </w:r>
      <w:r>
        <w:rPr>
          <w:rFonts w:hint="eastAsia"/>
          <w:color w:val="auto"/>
          <w:szCs w:val="21"/>
          <w:highlight w:val="none"/>
        </w:rPr>
        <w:t>日</w:t>
      </w:r>
    </w:p>
    <w:p>
      <w:pPr>
        <w:spacing w:line="360" w:lineRule="exact"/>
        <w:ind w:firstLine="4214" w:firstLineChars="2007"/>
        <w:rPr>
          <w:color w:val="auto"/>
          <w:highlight w:val="none"/>
          <w:lang w:val="en-GB"/>
        </w:rPr>
      </w:pPr>
    </w:p>
    <w:p>
      <w:pPr>
        <w:spacing w:line="360" w:lineRule="exact"/>
        <w:ind w:firstLine="4214" w:firstLineChars="2007"/>
        <w:rPr>
          <w:color w:val="auto"/>
          <w:highlight w:val="none"/>
          <w:lang w:val="en-GB"/>
        </w:rPr>
      </w:pPr>
    </w:p>
    <w:p>
      <w:pPr>
        <w:spacing w:line="360" w:lineRule="exact"/>
        <w:ind w:firstLine="4214" w:firstLineChars="2007"/>
        <w:rPr>
          <w:color w:val="auto"/>
          <w:highlight w:val="none"/>
          <w:lang w:val="en-GB"/>
        </w:rPr>
      </w:pPr>
    </w:p>
    <w:p>
      <w:pPr>
        <w:rPr>
          <w:color w:val="auto"/>
          <w:highlight w:val="none"/>
        </w:rPr>
      </w:pPr>
      <w:r>
        <w:rPr>
          <w:color w:val="auto"/>
          <w:highlight w:val="none"/>
          <w:lang w:val="en-GB"/>
        </w:rPr>
        <w:br w:type="page"/>
      </w:r>
    </w:p>
    <w:p>
      <w:pPr>
        <w:rPr>
          <w:rFonts w:ascii="宋体" w:hAnsi="宋体"/>
          <w:color w:val="auto"/>
          <w:sz w:val="28"/>
          <w:szCs w:val="28"/>
          <w:highlight w:val="none"/>
        </w:rPr>
      </w:pPr>
      <w:bookmarkStart w:id="403" w:name="_Toc414553666"/>
      <w:r>
        <w:rPr>
          <w:rFonts w:ascii="宋体" w:hAnsi="宋体"/>
          <w:color w:val="auto"/>
          <w:sz w:val="28"/>
          <w:szCs w:val="28"/>
          <w:highlight w:val="none"/>
        </w:rPr>
        <w:t>附表</w:t>
      </w:r>
      <w:r>
        <w:rPr>
          <w:rFonts w:hint="eastAsia" w:ascii="宋体" w:hAnsi="宋体"/>
          <w:color w:val="auto"/>
          <w:sz w:val="28"/>
          <w:szCs w:val="28"/>
          <w:highlight w:val="none"/>
        </w:rPr>
        <w:t>二</w:t>
      </w:r>
      <w:r>
        <w:rPr>
          <w:rFonts w:ascii="宋体" w:hAnsi="宋体"/>
          <w:color w:val="auto"/>
          <w:sz w:val="28"/>
          <w:szCs w:val="28"/>
          <w:highlight w:val="none"/>
        </w:rPr>
        <w:t>：</w:t>
      </w:r>
      <w:r>
        <w:rPr>
          <w:rFonts w:hint="eastAsia" w:ascii="宋体" w:hAnsi="宋体"/>
          <w:color w:val="auto"/>
          <w:sz w:val="28"/>
          <w:szCs w:val="28"/>
          <w:highlight w:val="none"/>
        </w:rPr>
        <w:t>问题的澄清</w:t>
      </w:r>
      <w:bookmarkEnd w:id="403"/>
    </w:p>
    <w:p>
      <w:pPr>
        <w:tabs>
          <w:tab w:val="left" w:pos="3340"/>
        </w:tabs>
        <w:spacing w:after="156" w:afterLines="50" w:line="360" w:lineRule="exact"/>
        <w:jc w:val="center"/>
        <w:rPr>
          <w:b/>
          <w:color w:val="auto"/>
          <w:sz w:val="28"/>
          <w:szCs w:val="28"/>
          <w:highlight w:val="none"/>
        </w:rPr>
      </w:pPr>
    </w:p>
    <w:p>
      <w:pPr>
        <w:tabs>
          <w:tab w:val="left" w:pos="3340"/>
        </w:tabs>
        <w:spacing w:after="156" w:afterLines="50" w:line="360" w:lineRule="exact"/>
        <w:jc w:val="center"/>
        <w:rPr>
          <w:b/>
          <w:color w:val="auto"/>
          <w:sz w:val="28"/>
          <w:szCs w:val="28"/>
          <w:highlight w:val="none"/>
        </w:rPr>
      </w:pPr>
      <w:r>
        <w:rPr>
          <w:rFonts w:hint="eastAsia"/>
          <w:b/>
          <w:color w:val="auto"/>
          <w:sz w:val="28"/>
          <w:szCs w:val="28"/>
          <w:highlight w:val="none"/>
        </w:rPr>
        <w:t>问题的澄清</w:t>
      </w:r>
    </w:p>
    <w:p>
      <w:pPr>
        <w:tabs>
          <w:tab w:val="left" w:pos="3010"/>
        </w:tabs>
        <w:spacing w:line="360" w:lineRule="exact"/>
        <w:ind w:firstLine="3255" w:firstLineChars="1550"/>
        <w:rPr>
          <w:color w:val="auto"/>
          <w:szCs w:val="21"/>
          <w:highlight w:val="none"/>
        </w:rPr>
      </w:pPr>
    </w:p>
    <w:p>
      <w:pPr>
        <w:tabs>
          <w:tab w:val="left" w:pos="3010"/>
        </w:tabs>
        <w:spacing w:line="360" w:lineRule="exact"/>
        <w:ind w:firstLine="3255" w:firstLineChars="1550"/>
        <w:rPr>
          <w:color w:val="auto"/>
          <w:szCs w:val="21"/>
          <w:highlight w:val="none"/>
        </w:rPr>
      </w:pPr>
      <w:r>
        <w:rPr>
          <w:rFonts w:hint="eastAsia"/>
          <w:color w:val="auto"/>
          <w:szCs w:val="21"/>
          <w:highlight w:val="none"/>
        </w:rPr>
        <w:t>编号：</w:t>
      </w:r>
      <w:r>
        <w:rPr>
          <w:color w:val="auto"/>
          <w:szCs w:val="21"/>
          <w:highlight w:val="none"/>
        </w:rPr>
        <w:t>_________________</w:t>
      </w:r>
    </w:p>
    <w:p>
      <w:pPr>
        <w:tabs>
          <w:tab w:val="left" w:pos="3010"/>
        </w:tabs>
        <w:spacing w:line="360" w:lineRule="exact"/>
        <w:jc w:val="center"/>
        <w:rPr>
          <w:color w:val="auto"/>
          <w:szCs w:val="21"/>
          <w:highlight w:val="none"/>
        </w:rPr>
      </w:pPr>
    </w:p>
    <w:p>
      <w:pPr>
        <w:tabs>
          <w:tab w:val="left" w:pos="3010"/>
        </w:tabs>
        <w:spacing w:line="360" w:lineRule="exact"/>
        <w:jc w:val="center"/>
        <w:rPr>
          <w:color w:val="auto"/>
          <w:szCs w:val="21"/>
          <w:highlight w:val="none"/>
        </w:rPr>
      </w:pPr>
    </w:p>
    <w:p>
      <w:pPr>
        <w:tabs>
          <w:tab w:val="left" w:pos="3010"/>
        </w:tabs>
        <w:spacing w:line="360" w:lineRule="exact"/>
        <w:jc w:val="center"/>
        <w:rPr>
          <w:color w:val="auto"/>
          <w:szCs w:val="21"/>
          <w:highlight w:val="none"/>
        </w:rPr>
      </w:pPr>
    </w:p>
    <w:p>
      <w:pPr>
        <w:spacing w:line="440" w:lineRule="exact"/>
        <w:ind w:firstLine="420" w:firstLineChars="200"/>
        <w:rPr>
          <w:color w:val="auto"/>
          <w:szCs w:val="21"/>
          <w:highlight w:val="none"/>
        </w:rPr>
      </w:pPr>
      <w:r>
        <w:rPr>
          <w:rFonts w:hint="eastAsia"/>
          <w:color w:val="auto"/>
          <w:szCs w:val="21"/>
          <w:highlight w:val="none"/>
        </w:rPr>
        <w:t>项目 总承包（）招标评标委员会：</w:t>
      </w:r>
    </w:p>
    <w:p>
      <w:pPr>
        <w:spacing w:line="440" w:lineRule="exact"/>
        <w:ind w:firstLine="435"/>
        <w:rPr>
          <w:color w:val="auto"/>
          <w:szCs w:val="21"/>
          <w:highlight w:val="none"/>
        </w:rPr>
      </w:pPr>
      <w:r>
        <w:rPr>
          <w:rFonts w:hint="eastAsia"/>
          <w:color w:val="auto"/>
          <w:szCs w:val="21"/>
          <w:highlight w:val="none"/>
        </w:rPr>
        <w:t>问题澄清通知（编号：</w:t>
      </w:r>
      <w:r>
        <w:rPr>
          <w:color w:val="auto"/>
          <w:szCs w:val="21"/>
          <w:highlight w:val="none"/>
        </w:rPr>
        <w:t>______________</w:t>
      </w:r>
      <w:r>
        <w:rPr>
          <w:rFonts w:hint="eastAsia"/>
          <w:color w:val="auto"/>
          <w:szCs w:val="21"/>
          <w:highlight w:val="none"/>
        </w:rPr>
        <w:t>）已收悉，现澄清如下：</w:t>
      </w:r>
    </w:p>
    <w:p>
      <w:pPr>
        <w:spacing w:line="440" w:lineRule="exact"/>
        <w:ind w:firstLine="720"/>
        <w:rPr>
          <w:color w:val="auto"/>
          <w:szCs w:val="21"/>
          <w:highlight w:val="none"/>
        </w:rPr>
      </w:pPr>
      <w:r>
        <w:rPr>
          <w:color w:val="auto"/>
          <w:szCs w:val="21"/>
          <w:highlight w:val="none"/>
        </w:rPr>
        <w:t>1.</w:t>
      </w:r>
    </w:p>
    <w:p>
      <w:pPr>
        <w:spacing w:line="440" w:lineRule="exact"/>
        <w:ind w:firstLine="720"/>
        <w:rPr>
          <w:color w:val="auto"/>
          <w:szCs w:val="21"/>
          <w:highlight w:val="none"/>
        </w:rPr>
      </w:pPr>
      <w:r>
        <w:rPr>
          <w:color w:val="auto"/>
          <w:szCs w:val="21"/>
          <w:highlight w:val="none"/>
        </w:rPr>
        <w:t>2.</w:t>
      </w:r>
    </w:p>
    <w:p>
      <w:pPr>
        <w:spacing w:line="360" w:lineRule="exact"/>
        <w:ind w:firstLine="720"/>
        <w:rPr>
          <w:color w:val="auto"/>
          <w:szCs w:val="21"/>
          <w:highlight w:val="none"/>
        </w:rPr>
      </w:pPr>
    </w:p>
    <w:p>
      <w:pPr>
        <w:spacing w:line="360" w:lineRule="exact"/>
        <w:ind w:firstLine="720"/>
        <w:rPr>
          <w:color w:val="auto"/>
          <w:szCs w:val="21"/>
          <w:highlight w:val="none"/>
        </w:rPr>
      </w:pPr>
      <w:r>
        <w:rPr>
          <w:rFonts w:hint="eastAsia"/>
          <w:color w:val="auto"/>
          <w:szCs w:val="21"/>
          <w:highlight w:val="none"/>
        </w:rPr>
        <w:t>……</w:t>
      </w:r>
    </w:p>
    <w:p>
      <w:pPr>
        <w:spacing w:line="360" w:lineRule="exact"/>
        <w:ind w:firstLine="435"/>
        <w:rPr>
          <w:color w:val="auto"/>
          <w:szCs w:val="21"/>
          <w:highlight w:val="none"/>
        </w:rPr>
      </w:pPr>
    </w:p>
    <w:p>
      <w:pPr>
        <w:spacing w:line="360" w:lineRule="exact"/>
        <w:ind w:firstLine="2874"/>
        <w:rPr>
          <w:color w:val="auto"/>
          <w:szCs w:val="21"/>
          <w:highlight w:val="none"/>
        </w:rPr>
      </w:pPr>
      <w:r>
        <w:rPr>
          <w:rFonts w:hint="eastAsia"/>
          <w:color w:val="auto"/>
          <w:szCs w:val="21"/>
          <w:highlight w:val="none"/>
        </w:rPr>
        <w:t>投标人：</w:t>
      </w:r>
      <w:r>
        <w:rPr>
          <w:color w:val="auto"/>
          <w:szCs w:val="21"/>
          <w:highlight w:val="none"/>
        </w:rPr>
        <w:t>____________________</w:t>
      </w:r>
      <w:r>
        <w:rPr>
          <w:rFonts w:hint="eastAsia"/>
          <w:color w:val="auto"/>
          <w:szCs w:val="21"/>
          <w:highlight w:val="none"/>
        </w:rPr>
        <w:t>（盖单位章）</w:t>
      </w:r>
    </w:p>
    <w:p>
      <w:pPr>
        <w:spacing w:line="360" w:lineRule="exact"/>
        <w:ind w:firstLine="2874"/>
        <w:rPr>
          <w:color w:val="auto"/>
          <w:szCs w:val="21"/>
          <w:highlight w:val="none"/>
        </w:rPr>
      </w:pPr>
    </w:p>
    <w:p>
      <w:pPr>
        <w:spacing w:line="360" w:lineRule="exact"/>
        <w:ind w:firstLine="2874"/>
        <w:rPr>
          <w:color w:val="auto"/>
          <w:szCs w:val="21"/>
          <w:highlight w:val="none"/>
        </w:rPr>
      </w:pPr>
      <w:r>
        <w:rPr>
          <w:rFonts w:hint="eastAsia"/>
          <w:color w:val="auto"/>
          <w:szCs w:val="21"/>
          <w:highlight w:val="none"/>
        </w:rPr>
        <w:t>法定代表人或其授权代理人：</w:t>
      </w:r>
      <w:r>
        <w:rPr>
          <w:color w:val="auto"/>
          <w:szCs w:val="21"/>
          <w:highlight w:val="none"/>
        </w:rPr>
        <w:t>____________________</w:t>
      </w:r>
      <w:r>
        <w:rPr>
          <w:rFonts w:hint="eastAsia"/>
          <w:color w:val="auto"/>
          <w:szCs w:val="21"/>
          <w:highlight w:val="none"/>
        </w:rPr>
        <w:t>（签字或盖章）</w:t>
      </w:r>
    </w:p>
    <w:p>
      <w:pPr>
        <w:spacing w:line="360" w:lineRule="exact"/>
        <w:ind w:firstLine="2874"/>
        <w:rPr>
          <w:color w:val="auto"/>
          <w:szCs w:val="21"/>
          <w:highlight w:val="none"/>
        </w:rPr>
      </w:pPr>
    </w:p>
    <w:p>
      <w:pPr>
        <w:spacing w:line="360" w:lineRule="exact"/>
        <w:ind w:firstLine="3885" w:firstLineChars="1850"/>
        <w:rPr>
          <w:color w:val="auto"/>
          <w:highlight w:val="none"/>
        </w:rPr>
      </w:pPr>
      <w:r>
        <w:rPr>
          <w:color w:val="auto"/>
          <w:highlight w:val="none"/>
        </w:rPr>
        <w:t>___________</w:t>
      </w:r>
      <w:r>
        <w:rPr>
          <w:rFonts w:hint="eastAsia"/>
          <w:color w:val="auto"/>
          <w:highlight w:val="none"/>
        </w:rPr>
        <w:t>年</w:t>
      </w:r>
      <w:r>
        <w:rPr>
          <w:color w:val="auto"/>
          <w:highlight w:val="none"/>
        </w:rPr>
        <w:t>_______</w:t>
      </w:r>
      <w:r>
        <w:rPr>
          <w:rFonts w:hint="eastAsia"/>
          <w:color w:val="auto"/>
          <w:highlight w:val="none"/>
        </w:rPr>
        <w:t>月</w:t>
      </w:r>
      <w:r>
        <w:rPr>
          <w:color w:val="auto"/>
          <w:highlight w:val="none"/>
        </w:rPr>
        <w:t>_______</w:t>
      </w:r>
      <w:r>
        <w:rPr>
          <w:rFonts w:hint="eastAsia"/>
          <w:color w:val="auto"/>
          <w:highlight w:val="none"/>
        </w:rPr>
        <w:t>日</w:t>
      </w: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pStyle w:val="3"/>
        <w:jc w:val="center"/>
        <w:rPr>
          <w:color w:val="auto"/>
          <w:highlight w:val="none"/>
        </w:rPr>
      </w:pPr>
      <w:bookmarkStart w:id="404" w:name="_Toc419320183"/>
      <w:bookmarkStart w:id="405" w:name="_Toc419363612"/>
      <w:bookmarkStart w:id="406" w:name="_Toc419321219"/>
      <w:bookmarkStart w:id="407" w:name="_Toc419364310"/>
      <w:r>
        <w:rPr>
          <w:color w:val="auto"/>
          <w:highlight w:val="none"/>
        </w:rPr>
        <w:br w:type="page"/>
      </w:r>
      <w:bookmarkEnd w:id="404"/>
      <w:bookmarkEnd w:id="405"/>
      <w:bookmarkEnd w:id="406"/>
      <w:bookmarkEnd w:id="407"/>
      <w:bookmarkStart w:id="408" w:name="_Toc19034685"/>
      <w:bookmarkStart w:id="409" w:name="_Toc433988653"/>
      <w:r>
        <w:rPr>
          <w:color w:val="auto"/>
          <w:highlight w:val="none"/>
        </w:rPr>
        <w:t>第三章  评标办法（综合评估法）</w:t>
      </w:r>
      <w:bookmarkEnd w:id="408"/>
      <w:bookmarkEnd w:id="409"/>
    </w:p>
    <w:p>
      <w:pPr>
        <w:pStyle w:val="3"/>
        <w:jc w:val="center"/>
        <w:rPr>
          <w:color w:val="auto"/>
          <w:highlight w:val="none"/>
        </w:rPr>
      </w:pPr>
      <w:bookmarkStart w:id="410" w:name="_Toc419364311"/>
      <w:bookmarkStart w:id="411" w:name="_Toc19034686"/>
      <w:bookmarkStart w:id="412" w:name="_Toc419363613"/>
      <w:bookmarkStart w:id="413" w:name="_Toc419321220"/>
      <w:bookmarkStart w:id="414" w:name="_Toc433988654"/>
      <w:bookmarkStart w:id="415" w:name="_Toc419320184"/>
      <w:r>
        <w:rPr>
          <w:color w:val="auto"/>
          <w:highlight w:val="none"/>
        </w:rPr>
        <w:t>评标办法前附表</w:t>
      </w:r>
      <w:bookmarkEnd w:id="410"/>
      <w:bookmarkEnd w:id="411"/>
      <w:bookmarkEnd w:id="412"/>
      <w:bookmarkEnd w:id="413"/>
      <w:bookmarkEnd w:id="414"/>
      <w:bookmarkEnd w:id="415"/>
    </w:p>
    <w:tbl>
      <w:tblPr>
        <w:tblStyle w:val="22"/>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182"/>
        <w:gridCol w:w="1260"/>
        <w:gridCol w:w="449"/>
        <w:gridCol w:w="1155"/>
        <w:gridCol w:w="736"/>
        <w:gridCol w:w="681"/>
        <w:gridCol w:w="4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shd w:val="clear" w:color="auto" w:fill="E6E6E6"/>
            <w:noWrap/>
            <w:vAlign w:val="center"/>
          </w:tcPr>
          <w:p>
            <w:pPr>
              <w:spacing w:line="360" w:lineRule="auto"/>
              <w:jc w:val="center"/>
              <w:rPr>
                <w:color w:val="auto"/>
                <w:szCs w:val="21"/>
                <w:highlight w:val="none"/>
              </w:rPr>
            </w:pPr>
            <w:r>
              <w:rPr>
                <w:color w:val="auto"/>
                <w:szCs w:val="21"/>
                <w:highlight w:val="none"/>
              </w:rPr>
              <w:t>条款号</w:t>
            </w:r>
          </w:p>
        </w:tc>
        <w:tc>
          <w:tcPr>
            <w:tcW w:w="3600" w:type="dxa"/>
            <w:gridSpan w:val="4"/>
            <w:shd w:val="clear" w:color="auto" w:fill="E6E6E6"/>
            <w:noWrap/>
            <w:vAlign w:val="center"/>
          </w:tcPr>
          <w:p>
            <w:pPr>
              <w:spacing w:line="360" w:lineRule="auto"/>
              <w:jc w:val="center"/>
              <w:rPr>
                <w:color w:val="auto"/>
                <w:szCs w:val="21"/>
                <w:highlight w:val="none"/>
              </w:rPr>
            </w:pPr>
            <w:r>
              <w:rPr>
                <w:color w:val="auto"/>
                <w:szCs w:val="21"/>
                <w:highlight w:val="none"/>
              </w:rPr>
              <w:t>评审因素</w:t>
            </w:r>
          </w:p>
        </w:tc>
        <w:tc>
          <w:tcPr>
            <w:tcW w:w="5040" w:type="dxa"/>
            <w:gridSpan w:val="2"/>
            <w:shd w:val="clear" w:color="auto" w:fill="E6E6E6"/>
            <w:noWrap/>
          </w:tcPr>
          <w:p>
            <w:pPr>
              <w:spacing w:line="360" w:lineRule="auto"/>
              <w:jc w:val="center"/>
              <w:rPr>
                <w:color w:val="auto"/>
                <w:szCs w:val="21"/>
                <w:highlight w:val="none"/>
              </w:rPr>
            </w:pPr>
            <w:r>
              <w:rPr>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restart"/>
            <w:noWrap/>
            <w:vAlign w:val="center"/>
          </w:tcPr>
          <w:p>
            <w:pPr>
              <w:spacing w:line="360" w:lineRule="auto"/>
              <w:jc w:val="center"/>
              <w:rPr>
                <w:color w:val="auto"/>
                <w:szCs w:val="21"/>
                <w:highlight w:val="none"/>
              </w:rPr>
            </w:pPr>
            <w:r>
              <w:rPr>
                <w:color w:val="auto"/>
                <w:szCs w:val="21"/>
                <w:highlight w:val="none"/>
              </w:rPr>
              <w:t>2.1.1</w:t>
            </w:r>
          </w:p>
        </w:tc>
        <w:tc>
          <w:tcPr>
            <w:tcW w:w="1260" w:type="dxa"/>
            <w:vMerge w:val="restart"/>
            <w:noWrap/>
            <w:vAlign w:val="center"/>
          </w:tcPr>
          <w:p>
            <w:pPr>
              <w:spacing w:line="360" w:lineRule="auto"/>
              <w:rPr>
                <w:color w:val="auto"/>
                <w:szCs w:val="21"/>
                <w:highlight w:val="none"/>
              </w:rPr>
            </w:pPr>
            <w:r>
              <w:rPr>
                <w:color w:val="auto"/>
                <w:szCs w:val="21"/>
                <w:highlight w:val="none"/>
              </w:rPr>
              <w:t>资格评审标准</w:t>
            </w:r>
          </w:p>
        </w:tc>
        <w:tc>
          <w:tcPr>
            <w:tcW w:w="449" w:type="dxa"/>
            <w:vMerge w:val="restart"/>
            <w:noWrap/>
            <w:vAlign w:val="center"/>
          </w:tcPr>
          <w:p>
            <w:pPr>
              <w:spacing w:line="360" w:lineRule="auto"/>
              <w:rPr>
                <w:color w:val="auto"/>
                <w:szCs w:val="21"/>
                <w:highlight w:val="none"/>
              </w:rPr>
            </w:pPr>
            <w:r>
              <w:rPr>
                <w:rFonts w:hint="eastAsia"/>
                <w:color w:val="auto"/>
                <w:highlight w:val="none"/>
              </w:rPr>
              <w:t>☑</w:t>
            </w:r>
            <w:r>
              <w:rPr>
                <w:color w:val="auto"/>
                <w:szCs w:val="21"/>
                <w:highlight w:val="none"/>
              </w:rPr>
              <w:t>合格制</w:t>
            </w:r>
          </w:p>
        </w:tc>
        <w:tc>
          <w:tcPr>
            <w:tcW w:w="6931" w:type="dxa"/>
            <w:gridSpan w:val="4"/>
            <w:noWrap/>
            <w:vAlign w:val="center"/>
          </w:tcPr>
          <w:p>
            <w:pPr>
              <w:spacing w:line="360" w:lineRule="auto"/>
              <w:rPr>
                <w:color w:val="auto"/>
                <w:szCs w:val="21"/>
                <w:highlight w:val="none"/>
              </w:rPr>
            </w:pPr>
            <w:r>
              <w:rPr>
                <w:b/>
                <w:color w:val="auto"/>
                <w:szCs w:val="21"/>
                <w:highlight w:val="none"/>
              </w:rPr>
              <w:t>合格标准：缺少任何一项或有任何一项不合格者</w:t>
            </w:r>
            <w:r>
              <w:rPr>
                <w:rFonts w:hint="eastAsia"/>
                <w:b/>
                <w:color w:val="auto"/>
                <w:szCs w:val="21"/>
                <w:highlight w:val="none"/>
              </w:rPr>
              <w:t>，</w:t>
            </w:r>
            <w:r>
              <w:rPr>
                <w:b/>
                <w:color w:val="auto"/>
                <w:szCs w:val="21"/>
                <w:highlight w:val="none"/>
              </w:rPr>
              <w:t>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rPr>
                <w:color w:val="auto"/>
                <w:szCs w:val="21"/>
                <w:highlight w:val="none"/>
              </w:rPr>
            </w:pPr>
          </w:p>
        </w:tc>
        <w:tc>
          <w:tcPr>
            <w:tcW w:w="449" w:type="dxa"/>
            <w:vMerge w:val="continue"/>
            <w:noWrap/>
            <w:vAlign w:val="center"/>
          </w:tcPr>
          <w:p>
            <w:pPr>
              <w:spacing w:line="360" w:lineRule="auto"/>
              <w:rPr>
                <w:color w:val="auto"/>
                <w:szCs w:val="21"/>
                <w:highlight w:val="none"/>
              </w:rPr>
            </w:pPr>
          </w:p>
        </w:tc>
        <w:tc>
          <w:tcPr>
            <w:tcW w:w="2572" w:type="dxa"/>
            <w:gridSpan w:val="3"/>
            <w:noWrap/>
            <w:vAlign w:val="center"/>
          </w:tcPr>
          <w:p>
            <w:pPr>
              <w:spacing w:line="360" w:lineRule="auto"/>
              <w:rPr>
                <w:color w:val="auto"/>
                <w:szCs w:val="21"/>
                <w:highlight w:val="none"/>
              </w:rPr>
            </w:pPr>
            <w:r>
              <w:rPr>
                <w:color w:val="auto"/>
                <w:highlight w:val="none"/>
              </w:rPr>
              <w:t>投标文件签署</w:t>
            </w:r>
          </w:p>
        </w:tc>
        <w:tc>
          <w:tcPr>
            <w:tcW w:w="4359" w:type="dxa"/>
            <w:noWrap/>
            <w:vAlign w:val="center"/>
          </w:tcPr>
          <w:p>
            <w:pPr>
              <w:spacing w:line="360" w:lineRule="auto"/>
              <w:rPr>
                <w:color w:val="auto"/>
                <w:szCs w:val="21"/>
                <w:highlight w:val="none"/>
              </w:rPr>
            </w:pPr>
            <w:r>
              <w:rPr>
                <w:color w:val="auto"/>
                <w:szCs w:val="21"/>
                <w:highlight w:val="none"/>
              </w:rPr>
              <w:t>有效的法定代表人</w:t>
            </w:r>
            <w:r>
              <w:rPr>
                <w:rFonts w:hint="eastAsia"/>
                <w:color w:val="auto"/>
                <w:szCs w:val="21"/>
                <w:highlight w:val="none"/>
              </w:rPr>
              <w:t>身份</w:t>
            </w:r>
            <w:r>
              <w:rPr>
                <w:color w:val="auto"/>
                <w:szCs w:val="21"/>
                <w:highlight w:val="none"/>
              </w:rPr>
              <w:t>证明（附身份证复印件）或</w:t>
            </w:r>
            <w:r>
              <w:rPr>
                <w:rFonts w:hint="eastAsia"/>
                <w:color w:val="auto"/>
                <w:szCs w:val="21"/>
                <w:highlight w:val="none"/>
              </w:rPr>
              <w:t>法定代表人</w:t>
            </w:r>
            <w:r>
              <w:rPr>
                <w:color w:val="auto"/>
                <w:szCs w:val="21"/>
                <w:highlight w:val="none"/>
              </w:rPr>
              <w:t>授权委托书（附身份证复印件，授权代理时提供）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360" w:lineRule="auto"/>
              <w:rPr>
                <w:color w:val="auto"/>
                <w:szCs w:val="21"/>
                <w:highlight w:val="none"/>
              </w:rPr>
            </w:pPr>
            <w:r>
              <w:rPr>
                <w:color w:val="auto"/>
                <w:szCs w:val="21"/>
                <w:highlight w:val="none"/>
              </w:rPr>
              <w:t>营业执照</w:t>
            </w:r>
          </w:p>
        </w:tc>
        <w:tc>
          <w:tcPr>
            <w:tcW w:w="4359" w:type="dxa"/>
            <w:noWrap/>
          </w:tcPr>
          <w:p>
            <w:pPr>
              <w:spacing w:line="360" w:lineRule="auto"/>
              <w:rPr>
                <w:color w:val="auto"/>
                <w:szCs w:val="21"/>
                <w:highlight w:val="none"/>
              </w:rPr>
            </w:pPr>
            <w:r>
              <w:rPr>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360" w:lineRule="auto"/>
              <w:rPr>
                <w:color w:val="auto"/>
                <w:szCs w:val="21"/>
                <w:highlight w:val="none"/>
              </w:rPr>
            </w:pPr>
            <w:r>
              <w:rPr>
                <w:color w:val="auto"/>
                <w:szCs w:val="21"/>
                <w:highlight w:val="none"/>
              </w:rPr>
              <w:t>资质等级</w:t>
            </w:r>
          </w:p>
        </w:tc>
        <w:tc>
          <w:tcPr>
            <w:tcW w:w="4359" w:type="dxa"/>
            <w:noWrap/>
          </w:tcPr>
          <w:p>
            <w:pPr>
              <w:spacing w:line="360" w:lineRule="auto"/>
              <w:rPr>
                <w:color w:val="auto"/>
                <w:szCs w:val="21"/>
                <w:highlight w:val="none"/>
              </w:rPr>
            </w:pPr>
            <w:r>
              <w:rPr>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360" w:lineRule="auto"/>
              <w:rPr>
                <w:color w:val="auto"/>
                <w:szCs w:val="21"/>
                <w:highlight w:val="none"/>
              </w:rPr>
            </w:pPr>
            <w:r>
              <w:rPr>
                <w:color w:val="auto"/>
                <w:szCs w:val="21"/>
                <w:highlight w:val="none"/>
              </w:rPr>
              <w:t>安全生产许可证</w:t>
            </w:r>
          </w:p>
        </w:tc>
        <w:tc>
          <w:tcPr>
            <w:tcW w:w="4359" w:type="dxa"/>
            <w:noWrap/>
          </w:tcPr>
          <w:p>
            <w:pPr>
              <w:spacing w:line="360" w:lineRule="auto"/>
              <w:rPr>
                <w:color w:val="auto"/>
                <w:szCs w:val="21"/>
                <w:highlight w:val="none"/>
              </w:rPr>
            </w:pPr>
            <w:r>
              <w:rPr>
                <w:color w:val="auto"/>
                <w:szCs w:val="21"/>
                <w:highlight w:val="non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360" w:lineRule="auto"/>
              <w:rPr>
                <w:color w:val="auto"/>
                <w:szCs w:val="21"/>
                <w:highlight w:val="none"/>
              </w:rPr>
            </w:pPr>
            <w:r>
              <w:rPr>
                <w:color w:val="auto"/>
                <w:szCs w:val="21"/>
                <w:highlight w:val="none"/>
              </w:rPr>
              <w:t>财务</w:t>
            </w:r>
            <w:r>
              <w:rPr>
                <w:rFonts w:hint="eastAsia"/>
                <w:color w:val="auto"/>
                <w:szCs w:val="21"/>
                <w:highlight w:val="none"/>
              </w:rPr>
              <w:t>要求</w:t>
            </w:r>
          </w:p>
        </w:tc>
        <w:tc>
          <w:tcPr>
            <w:tcW w:w="4359" w:type="dxa"/>
            <w:noWrap/>
          </w:tcPr>
          <w:p>
            <w:pPr>
              <w:spacing w:line="360" w:lineRule="auto"/>
              <w:rPr>
                <w:color w:val="auto"/>
                <w:szCs w:val="21"/>
                <w:highlight w:val="none"/>
              </w:rPr>
            </w:pPr>
            <w:r>
              <w:rPr>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360" w:lineRule="auto"/>
              <w:rPr>
                <w:color w:val="auto"/>
                <w:szCs w:val="21"/>
                <w:highlight w:val="none"/>
              </w:rPr>
            </w:pPr>
            <w:r>
              <w:rPr>
                <w:rFonts w:hint="eastAsia"/>
                <w:color w:val="auto"/>
                <w:szCs w:val="21"/>
                <w:highlight w:val="none"/>
              </w:rPr>
              <w:t>信誉要求</w:t>
            </w:r>
          </w:p>
        </w:tc>
        <w:tc>
          <w:tcPr>
            <w:tcW w:w="4359" w:type="dxa"/>
            <w:noWrap/>
          </w:tcPr>
          <w:p>
            <w:pPr>
              <w:spacing w:line="360" w:lineRule="auto"/>
              <w:rPr>
                <w:color w:val="auto"/>
                <w:szCs w:val="21"/>
                <w:highlight w:val="none"/>
              </w:rPr>
            </w:pPr>
            <w:r>
              <w:rPr>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360" w:lineRule="auto"/>
              <w:rPr>
                <w:color w:val="auto"/>
                <w:szCs w:val="21"/>
                <w:highlight w:val="none"/>
              </w:rPr>
            </w:pPr>
            <w:r>
              <w:rPr>
                <w:rFonts w:hint="eastAsia"/>
                <w:color w:val="auto"/>
                <w:szCs w:val="21"/>
                <w:highlight w:val="none"/>
              </w:rPr>
              <w:t>项目总负责人</w:t>
            </w:r>
          </w:p>
        </w:tc>
        <w:tc>
          <w:tcPr>
            <w:tcW w:w="4359" w:type="dxa"/>
            <w:noWrap/>
          </w:tcPr>
          <w:p>
            <w:pPr>
              <w:spacing w:line="360" w:lineRule="auto"/>
              <w:rPr>
                <w:color w:val="auto"/>
                <w:szCs w:val="21"/>
                <w:highlight w:val="none"/>
              </w:rPr>
            </w:pPr>
            <w:r>
              <w:rPr>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440" w:lineRule="exact"/>
              <w:rPr>
                <w:color w:val="auto"/>
                <w:szCs w:val="21"/>
                <w:highlight w:val="none"/>
              </w:rPr>
            </w:pPr>
            <w:r>
              <w:rPr>
                <w:rFonts w:hint="eastAsia"/>
                <w:color w:val="auto"/>
                <w:szCs w:val="21"/>
                <w:highlight w:val="none"/>
              </w:rPr>
              <w:t>项目设计负责人</w:t>
            </w:r>
          </w:p>
        </w:tc>
        <w:tc>
          <w:tcPr>
            <w:tcW w:w="4359" w:type="dxa"/>
            <w:noWrap/>
            <w:vAlign w:val="center"/>
          </w:tcPr>
          <w:p>
            <w:pPr>
              <w:spacing w:line="440" w:lineRule="exact"/>
              <w:rPr>
                <w:color w:val="auto"/>
                <w:szCs w:val="21"/>
                <w:highlight w:val="none"/>
              </w:rPr>
            </w:pPr>
            <w:r>
              <w:rPr>
                <w:color w:val="auto"/>
                <w:szCs w:val="21"/>
                <w:highlight w:val="none"/>
              </w:rPr>
              <w:t>符合第二章“投标人须知”第1.4.1</w:t>
            </w:r>
            <w:r>
              <w:rPr>
                <w:rFonts w:hint="eastAsia"/>
                <w:color w:val="auto"/>
                <w:szCs w:val="21"/>
                <w:highlight w:val="none"/>
              </w:rPr>
              <w:t>项</w:t>
            </w:r>
            <w:r>
              <w:rPr>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440" w:lineRule="exact"/>
              <w:rPr>
                <w:color w:val="auto"/>
                <w:szCs w:val="21"/>
                <w:highlight w:val="none"/>
              </w:rPr>
            </w:pPr>
            <w:r>
              <w:rPr>
                <w:rFonts w:hint="eastAsia"/>
                <w:color w:val="auto"/>
                <w:szCs w:val="21"/>
                <w:highlight w:val="none"/>
              </w:rPr>
              <w:t>项目采购负责人（如有）</w:t>
            </w:r>
          </w:p>
        </w:tc>
        <w:tc>
          <w:tcPr>
            <w:tcW w:w="4359" w:type="dxa"/>
            <w:noWrap/>
            <w:vAlign w:val="center"/>
          </w:tcPr>
          <w:p>
            <w:pPr>
              <w:spacing w:line="440" w:lineRule="exact"/>
              <w:rPr>
                <w:color w:val="auto"/>
                <w:szCs w:val="21"/>
                <w:highlight w:val="none"/>
              </w:rPr>
            </w:pPr>
            <w:r>
              <w:rPr>
                <w:color w:val="auto"/>
                <w:szCs w:val="21"/>
                <w:highlight w:val="none"/>
              </w:rPr>
              <w:t>符合第二章“投标人须知”第1.4.1</w:t>
            </w:r>
            <w:r>
              <w:rPr>
                <w:rFonts w:hint="eastAsia"/>
                <w:color w:val="auto"/>
                <w:szCs w:val="21"/>
                <w:highlight w:val="none"/>
              </w:rPr>
              <w:t>项</w:t>
            </w:r>
            <w:r>
              <w:rPr>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440" w:lineRule="exact"/>
              <w:rPr>
                <w:color w:val="auto"/>
                <w:szCs w:val="21"/>
                <w:highlight w:val="none"/>
              </w:rPr>
            </w:pPr>
            <w:r>
              <w:rPr>
                <w:rFonts w:hint="eastAsia"/>
                <w:color w:val="auto"/>
                <w:szCs w:val="21"/>
                <w:highlight w:val="none"/>
              </w:rPr>
              <w:t>项目经理</w:t>
            </w:r>
          </w:p>
        </w:tc>
        <w:tc>
          <w:tcPr>
            <w:tcW w:w="4359" w:type="dxa"/>
            <w:noWrap/>
            <w:vAlign w:val="center"/>
          </w:tcPr>
          <w:p>
            <w:pPr>
              <w:spacing w:line="440" w:lineRule="exact"/>
              <w:rPr>
                <w:color w:val="auto"/>
                <w:szCs w:val="21"/>
                <w:highlight w:val="none"/>
              </w:rPr>
            </w:pPr>
            <w:r>
              <w:rPr>
                <w:color w:val="auto"/>
                <w:szCs w:val="21"/>
                <w:highlight w:val="none"/>
              </w:rPr>
              <w:t>符合第二章“投标人须知”第1.4.1</w:t>
            </w:r>
            <w:r>
              <w:rPr>
                <w:rFonts w:hint="eastAsia"/>
                <w:color w:val="auto"/>
                <w:szCs w:val="21"/>
                <w:highlight w:val="none"/>
              </w:rPr>
              <w:t>项</w:t>
            </w:r>
            <w:r>
              <w:rPr>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440" w:lineRule="exact"/>
              <w:rPr>
                <w:color w:val="auto"/>
                <w:szCs w:val="21"/>
                <w:highlight w:val="none"/>
              </w:rPr>
            </w:pPr>
            <w:r>
              <w:rPr>
                <w:rFonts w:hint="eastAsia"/>
                <w:color w:val="auto"/>
                <w:szCs w:val="21"/>
                <w:highlight w:val="none"/>
              </w:rPr>
              <w:t>项目现场施工专职安全员</w:t>
            </w:r>
          </w:p>
        </w:tc>
        <w:tc>
          <w:tcPr>
            <w:tcW w:w="4359" w:type="dxa"/>
            <w:noWrap/>
            <w:vAlign w:val="center"/>
          </w:tcPr>
          <w:p>
            <w:pPr>
              <w:spacing w:line="440" w:lineRule="exact"/>
              <w:rPr>
                <w:color w:val="auto"/>
                <w:szCs w:val="21"/>
                <w:highlight w:val="none"/>
              </w:rPr>
            </w:pPr>
            <w:r>
              <w:rPr>
                <w:color w:val="auto"/>
                <w:szCs w:val="21"/>
                <w:highlight w:val="none"/>
              </w:rPr>
              <w:t>符合第二章“投标人须知”第1.4.1</w:t>
            </w:r>
            <w:r>
              <w:rPr>
                <w:rFonts w:hint="eastAsia"/>
                <w:color w:val="auto"/>
                <w:szCs w:val="21"/>
                <w:highlight w:val="none"/>
              </w:rPr>
              <w:t>项</w:t>
            </w:r>
            <w:r>
              <w:rPr>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440" w:lineRule="exact"/>
              <w:rPr>
                <w:color w:val="auto"/>
                <w:szCs w:val="21"/>
                <w:highlight w:val="none"/>
              </w:rPr>
            </w:pPr>
            <w:r>
              <w:rPr>
                <w:color w:val="auto"/>
                <w:szCs w:val="21"/>
                <w:highlight w:val="none"/>
              </w:rPr>
              <w:t>联合体投标人</w:t>
            </w:r>
            <w:r>
              <w:rPr>
                <w:rFonts w:hint="eastAsia"/>
                <w:color w:val="auto"/>
                <w:szCs w:val="21"/>
                <w:highlight w:val="none"/>
              </w:rPr>
              <w:t>（如有）</w:t>
            </w:r>
          </w:p>
        </w:tc>
        <w:tc>
          <w:tcPr>
            <w:tcW w:w="4359" w:type="dxa"/>
            <w:noWrap/>
            <w:vAlign w:val="center"/>
          </w:tcPr>
          <w:p>
            <w:pPr>
              <w:spacing w:line="440" w:lineRule="exact"/>
              <w:rPr>
                <w:color w:val="auto"/>
                <w:szCs w:val="21"/>
                <w:highlight w:val="none"/>
              </w:rPr>
            </w:pPr>
            <w:r>
              <w:rPr>
                <w:color w:val="auto"/>
                <w:szCs w:val="21"/>
                <w:highlight w:val="none"/>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360" w:lineRule="auto"/>
              <w:rPr>
                <w:color w:val="auto"/>
                <w:szCs w:val="21"/>
                <w:highlight w:val="none"/>
              </w:rPr>
            </w:pPr>
            <w:r>
              <w:rPr>
                <w:color w:val="auto"/>
                <w:szCs w:val="21"/>
                <w:highlight w:val="none"/>
              </w:rPr>
              <w:t>投标保证金</w:t>
            </w:r>
          </w:p>
        </w:tc>
        <w:tc>
          <w:tcPr>
            <w:tcW w:w="4359" w:type="dxa"/>
            <w:noWrap/>
          </w:tcPr>
          <w:p>
            <w:pPr>
              <w:spacing w:line="360" w:lineRule="auto"/>
              <w:rPr>
                <w:color w:val="auto"/>
                <w:szCs w:val="21"/>
                <w:highlight w:val="none"/>
              </w:rPr>
            </w:pPr>
            <w:r>
              <w:rPr>
                <w:color w:val="auto"/>
                <w:szCs w:val="21"/>
                <w:highlight w:val="none"/>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1260" w:type="dxa"/>
            <w:vMerge w:val="continue"/>
            <w:noWrap/>
            <w:vAlign w:val="center"/>
          </w:tcPr>
          <w:p>
            <w:pPr>
              <w:spacing w:line="360" w:lineRule="auto"/>
              <w:jc w:val="center"/>
              <w:rPr>
                <w:color w:val="auto"/>
                <w:szCs w:val="21"/>
                <w:highlight w:val="none"/>
              </w:rPr>
            </w:pPr>
          </w:p>
        </w:tc>
        <w:tc>
          <w:tcPr>
            <w:tcW w:w="449" w:type="dxa"/>
            <w:vMerge w:val="continue"/>
            <w:noWrap/>
            <w:vAlign w:val="center"/>
          </w:tcPr>
          <w:p>
            <w:pPr>
              <w:spacing w:line="360" w:lineRule="auto"/>
              <w:jc w:val="center"/>
              <w:rPr>
                <w:color w:val="auto"/>
                <w:szCs w:val="21"/>
                <w:highlight w:val="none"/>
              </w:rPr>
            </w:pPr>
          </w:p>
        </w:tc>
        <w:tc>
          <w:tcPr>
            <w:tcW w:w="2572" w:type="dxa"/>
            <w:gridSpan w:val="3"/>
            <w:noWrap/>
            <w:vAlign w:val="center"/>
          </w:tcPr>
          <w:p>
            <w:pPr>
              <w:spacing w:line="360" w:lineRule="auto"/>
              <w:rPr>
                <w:color w:val="auto"/>
                <w:szCs w:val="21"/>
                <w:highlight w:val="none"/>
              </w:rPr>
            </w:pPr>
            <w:r>
              <w:rPr>
                <w:color w:val="auto"/>
                <w:szCs w:val="21"/>
                <w:highlight w:val="none"/>
              </w:rPr>
              <w:t>其他要求</w:t>
            </w:r>
          </w:p>
        </w:tc>
        <w:tc>
          <w:tcPr>
            <w:tcW w:w="4359" w:type="dxa"/>
            <w:noWrap/>
            <w:vAlign w:val="center"/>
          </w:tcPr>
          <w:p>
            <w:pPr>
              <w:rPr>
                <w:color w:val="auto"/>
                <w:highlight w:val="none"/>
              </w:rPr>
            </w:pPr>
            <w:r>
              <w:rPr>
                <w:color w:val="auto"/>
                <w:szCs w:val="21"/>
                <w:highlight w:val="none"/>
              </w:rPr>
              <w:t xml:space="preserve">符合第二章“投标人须知”第1.4.1项规定且按规定提交了第二章“投标人须知前附表”3.1.1项资格审查部分（ </w:t>
            </w:r>
            <w:r>
              <w:rPr>
                <w:rFonts w:hint="eastAsia"/>
                <w:color w:val="auto"/>
                <w:szCs w:val="21"/>
                <w:highlight w:val="none"/>
              </w:rPr>
              <w:t>1</w:t>
            </w:r>
            <w:r>
              <w:rPr>
                <w:color w:val="auto"/>
                <w:szCs w:val="21"/>
                <w:highlight w:val="none"/>
              </w:rPr>
              <w:t xml:space="preserve"> ）～（</w:t>
            </w:r>
            <w:r>
              <w:rPr>
                <w:rFonts w:hint="eastAsia"/>
                <w:color w:val="auto"/>
                <w:szCs w:val="21"/>
                <w:highlight w:val="none"/>
                <w:lang w:val="en-US" w:eastAsia="zh-CN"/>
              </w:rPr>
              <w:t>9</w:t>
            </w:r>
            <w:r>
              <w:rPr>
                <w:color w:val="auto"/>
                <w:szCs w:val="21"/>
                <w:highlight w:val="none"/>
              </w:rPr>
              <w:t>）项内容的。</w:t>
            </w:r>
          </w:p>
          <w:p>
            <w:pPr>
              <w:spacing w:line="360" w:lineRule="auto"/>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065" w:type="dxa"/>
            <w:gridSpan w:val="2"/>
            <w:vMerge w:val="restart"/>
            <w:noWrap/>
            <w:vAlign w:val="center"/>
          </w:tcPr>
          <w:p>
            <w:pPr>
              <w:spacing w:line="360" w:lineRule="auto"/>
              <w:jc w:val="center"/>
              <w:rPr>
                <w:color w:val="auto"/>
                <w:szCs w:val="21"/>
                <w:highlight w:val="none"/>
              </w:rPr>
            </w:pPr>
            <w:r>
              <w:rPr>
                <w:color w:val="auto"/>
                <w:szCs w:val="21"/>
                <w:highlight w:val="none"/>
              </w:rPr>
              <w:t>2.1.2</w:t>
            </w:r>
          </w:p>
        </w:tc>
        <w:tc>
          <w:tcPr>
            <w:tcW w:w="2864" w:type="dxa"/>
            <w:gridSpan w:val="3"/>
            <w:vMerge w:val="restart"/>
            <w:noWrap/>
            <w:vAlign w:val="center"/>
          </w:tcPr>
          <w:p>
            <w:pPr>
              <w:spacing w:line="360" w:lineRule="auto"/>
              <w:jc w:val="center"/>
              <w:rPr>
                <w:color w:val="auto"/>
                <w:szCs w:val="21"/>
                <w:highlight w:val="none"/>
              </w:rPr>
            </w:pPr>
            <w:r>
              <w:rPr>
                <w:color w:val="auto"/>
                <w:szCs w:val="21"/>
                <w:highlight w:val="none"/>
              </w:rPr>
              <w:t>形式</w:t>
            </w:r>
          </w:p>
          <w:p>
            <w:pPr>
              <w:spacing w:line="360" w:lineRule="auto"/>
              <w:jc w:val="center"/>
              <w:rPr>
                <w:color w:val="auto"/>
                <w:szCs w:val="21"/>
                <w:highlight w:val="none"/>
              </w:rPr>
            </w:pPr>
            <w:r>
              <w:rPr>
                <w:color w:val="auto"/>
                <w:szCs w:val="21"/>
                <w:highlight w:val="none"/>
              </w:rPr>
              <w:t>评审标准</w:t>
            </w:r>
          </w:p>
        </w:tc>
        <w:tc>
          <w:tcPr>
            <w:tcW w:w="1417" w:type="dxa"/>
            <w:gridSpan w:val="2"/>
            <w:noWrap/>
            <w:vAlign w:val="center"/>
          </w:tcPr>
          <w:p>
            <w:pPr>
              <w:rPr>
                <w:color w:val="auto"/>
                <w:szCs w:val="21"/>
                <w:highlight w:val="none"/>
              </w:rPr>
            </w:pPr>
            <w:r>
              <w:rPr>
                <w:color w:val="auto"/>
                <w:szCs w:val="21"/>
                <w:highlight w:val="none"/>
              </w:rPr>
              <w:t>投标人名称</w:t>
            </w:r>
          </w:p>
        </w:tc>
        <w:tc>
          <w:tcPr>
            <w:tcW w:w="4359" w:type="dxa"/>
            <w:noWrap/>
            <w:vAlign w:val="center"/>
          </w:tcPr>
          <w:p>
            <w:pPr>
              <w:rPr>
                <w:color w:val="auto"/>
                <w:szCs w:val="21"/>
                <w:highlight w:val="none"/>
              </w:rPr>
            </w:pPr>
            <w:r>
              <w:rPr>
                <w:color w:val="auto"/>
                <w:szCs w:val="21"/>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投标函签字盖章</w:t>
            </w:r>
          </w:p>
        </w:tc>
        <w:tc>
          <w:tcPr>
            <w:tcW w:w="4359" w:type="dxa"/>
            <w:noWrap/>
            <w:vAlign w:val="center"/>
          </w:tcPr>
          <w:p>
            <w:pPr>
              <w:spacing w:line="360" w:lineRule="auto"/>
              <w:rPr>
                <w:color w:val="auto"/>
                <w:szCs w:val="21"/>
                <w:highlight w:val="none"/>
              </w:rPr>
            </w:pPr>
            <w:r>
              <w:rPr>
                <w:color w:val="auto"/>
                <w:szCs w:val="21"/>
                <w:highlight w:val="none"/>
              </w:rPr>
              <w:t>法定代表人或其委托代理人签字或盖章及加盖</w:t>
            </w:r>
            <w:r>
              <w:rPr>
                <w:rFonts w:hint="eastAsia"/>
                <w:color w:val="auto"/>
                <w:szCs w:val="21"/>
                <w:highlight w:val="none"/>
              </w:rPr>
              <w:t>投标人</w:t>
            </w:r>
            <w:r>
              <w:rPr>
                <w:color w:val="auto"/>
                <w:szCs w:val="21"/>
                <w:highlight w:val="none"/>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投标文件格式</w:t>
            </w:r>
          </w:p>
        </w:tc>
        <w:tc>
          <w:tcPr>
            <w:tcW w:w="4359" w:type="dxa"/>
            <w:noWrap/>
            <w:vAlign w:val="center"/>
          </w:tcPr>
          <w:p>
            <w:pPr>
              <w:spacing w:line="360" w:lineRule="auto"/>
              <w:rPr>
                <w:color w:val="auto"/>
                <w:szCs w:val="21"/>
                <w:highlight w:val="none"/>
              </w:rPr>
            </w:pPr>
            <w:r>
              <w:rPr>
                <w:color w:val="auto"/>
                <w:szCs w:val="21"/>
                <w:highlight w:val="none"/>
              </w:rPr>
              <w:t>符合第</w:t>
            </w:r>
            <w:r>
              <w:rPr>
                <w:rFonts w:hint="eastAsia"/>
                <w:color w:val="auto"/>
                <w:szCs w:val="21"/>
                <w:highlight w:val="none"/>
              </w:rPr>
              <w:t>七</w:t>
            </w:r>
            <w:r>
              <w:rPr>
                <w:color w:val="auto"/>
                <w:szCs w:val="21"/>
                <w:highlight w:val="none"/>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联合体投标人</w:t>
            </w:r>
            <w:r>
              <w:rPr>
                <w:rFonts w:hint="eastAsia" w:ascii="楷体_GB2312" w:eastAsia="楷体_GB2312"/>
                <w:color w:val="auto"/>
                <w:szCs w:val="21"/>
                <w:highlight w:val="none"/>
              </w:rPr>
              <w:t>（如有）</w:t>
            </w:r>
          </w:p>
        </w:tc>
        <w:tc>
          <w:tcPr>
            <w:tcW w:w="4359" w:type="dxa"/>
            <w:noWrap/>
            <w:vAlign w:val="center"/>
          </w:tcPr>
          <w:p>
            <w:pPr>
              <w:spacing w:line="360" w:lineRule="auto"/>
              <w:rPr>
                <w:color w:val="auto"/>
                <w:szCs w:val="21"/>
                <w:highlight w:val="none"/>
              </w:rPr>
            </w:pPr>
            <w:r>
              <w:rPr>
                <w:color w:val="auto"/>
                <w:szCs w:val="21"/>
                <w:highlight w:val="none"/>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报价唯一</w:t>
            </w:r>
          </w:p>
        </w:tc>
        <w:tc>
          <w:tcPr>
            <w:tcW w:w="4359" w:type="dxa"/>
            <w:noWrap/>
            <w:vAlign w:val="center"/>
          </w:tcPr>
          <w:p>
            <w:pPr>
              <w:spacing w:line="360" w:lineRule="auto"/>
              <w:rPr>
                <w:color w:val="auto"/>
                <w:szCs w:val="21"/>
                <w:highlight w:val="none"/>
              </w:rPr>
            </w:pPr>
            <w:r>
              <w:rPr>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65" w:type="dxa"/>
            <w:gridSpan w:val="2"/>
            <w:vMerge w:val="restart"/>
            <w:noWrap/>
            <w:vAlign w:val="center"/>
          </w:tcPr>
          <w:p>
            <w:pPr>
              <w:spacing w:line="360" w:lineRule="auto"/>
              <w:jc w:val="center"/>
              <w:rPr>
                <w:color w:val="auto"/>
                <w:szCs w:val="21"/>
                <w:highlight w:val="none"/>
              </w:rPr>
            </w:pPr>
            <w:r>
              <w:rPr>
                <w:color w:val="auto"/>
                <w:szCs w:val="21"/>
                <w:highlight w:val="none"/>
              </w:rPr>
              <w:t>2.1.3</w:t>
            </w:r>
          </w:p>
        </w:tc>
        <w:tc>
          <w:tcPr>
            <w:tcW w:w="2864" w:type="dxa"/>
            <w:gridSpan w:val="3"/>
            <w:vMerge w:val="restart"/>
            <w:noWrap/>
            <w:vAlign w:val="center"/>
          </w:tcPr>
          <w:p>
            <w:pPr>
              <w:spacing w:line="360" w:lineRule="auto"/>
              <w:jc w:val="center"/>
              <w:rPr>
                <w:color w:val="auto"/>
                <w:szCs w:val="21"/>
                <w:highlight w:val="none"/>
              </w:rPr>
            </w:pPr>
            <w:r>
              <w:rPr>
                <w:color w:val="auto"/>
                <w:szCs w:val="21"/>
                <w:highlight w:val="none"/>
              </w:rPr>
              <w:t>响应性</w:t>
            </w:r>
          </w:p>
          <w:p>
            <w:pPr>
              <w:spacing w:line="360" w:lineRule="auto"/>
              <w:jc w:val="center"/>
              <w:rPr>
                <w:color w:val="auto"/>
                <w:szCs w:val="21"/>
                <w:highlight w:val="none"/>
              </w:rPr>
            </w:pPr>
            <w:r>
              <w:rPr>
                <w:color w:val="auto"/>
                <w:szCs w:val="21"/>
                <w:highlight w:val="none"/>
              </w:rPr>
              <w:t>评审标准</w:t>
            </w:r>
          </w:p>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投标内容</w:t>
            </w:r>
          </w:p>
        </w:tc>
        <w:tc>
          <w:tcPr>
            <w:tcW w:w="4359" w:type="dxa"/>
            <w:noWrap/>
            <w:vAlign w:val="center"/>
          </w:tcPr>
          <w:p>
            <w:pPr>
              <w:spacing w:line="360" w:lineRule="auto"/>
              <w:rPr>
                <w:color w:val="auto"/>
                <w:szCs w:val="21"/>
                <w:highlight w:val="none"/>
              </w:rPr>
            </w:pPr>
            <w:r>
              <w:rPr>
                <w:color w:val="auto"/>
                <w:szCs w:val="21"/>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工期</w:t>
            </w:r>
          </w:p>
        </w:tc>
        <w:tc>
          <w:tcPr>
            <w:tcW w:w="4359" w:type="dxa"/>
            <w:noWrap/>
            <w:vAlign w:val="center"/>
          </w:tcPr>
          <w:p>
            <w:pPr>
              <w:spacing w:line="360" w:lineRule="auto"/>
              <w:rPr>
                <w:color w:val="auto"/>
                <w:szCs w:val="21"/>
                <w:highlight w:val="none"/>
              </w:rPr>
            </w:pPr>
            <w:r>
              <w:rPr>
                <w:color w:val="auto"/>
                <w:szCs w:val="21"/>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工程质量</w:t>
            </w:r>
          </w:p>
        </w:tc>
        <w:tc>
          <w:tcPr>
            <w:tcW w:w="4359" w:type="dxa"/>
            <w:noWrap/>
            <w:vAlign w:val="center"/>
          </w:tcPr>
          <w:p>
            <w:pPr>
              <w:spacing w:line="360" w:lineRule="auto"/>
              <w:rPr>
                <w:color w:val="auto"/>
                <w:szCs w:val="21"/>
                <w:highlight w:val="none"/>
              </w:rPr>
            </w:pPr>
            <w:r>
              <w:rPr>
                <w:color w:val="auto"/>
                <w:szCs w:val="21"/>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投标有效期</w:t>
            </w:r>
          </w:p>
        </w:tc>
        <w:tc>
          <w:tcPr>
            <w:tcW w:w="4359" w:type="dxa"/>
            <w:noWrap/>
            <w:vAlign w:val="center"/>
          </w:tcPr>
          <w:p>
            <w:pPr>
              <w:spacing w:line="360" w:lineRule="auto"/>
              <w:rPr>
                <w:color w:val="auto"/>
                <w:szCs w:val="21"/>
                <w:highlight w:val="none"/>
              </w:rPr>
            </w:pPr>
            <w:r>
              <w:rPr>
                <w:color w:val="auto"/>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权利义务</w:t>
            </w:r>
          </w:p>
        </w:tc>
        <w:tc>
          <w:tcPr>
            <w:tcW w:w="4359" w:type="dxa"/>
            <w:noWrap/>
            <w:vAlign w:val="center"/>
          </w:tcPr>
          <w:p>
            <w:pPr>
              <w:spacing w:line="360" w:lineRule="auto"/>
              <w:rPr>
                <w:color w:val="auto"/>
                <w:szCs w:val="21"/>
                <w:highlight w:val="none"/>
              </w:rPr>
            </w:pPr>
            <w:r>
              <w:rPr>
                <w:color w:val="auto"/>
                <w:szCs w:val="21"/>
                <w:highlight w:val="none"/>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技术标准和要求</w:t>
            </w:r>
          </w:p>
        </w:tc>
        <w:tc>
          <w:tcPr>
            <w:tcW w:w="4359" w:type="dxa"/>
            <w:noWrap/>
            <w:vAlign w:val="center"/>
          </w:tcPr>
          <w:p>
            <w:pPr>
              <w:spacing w:line="360" w:lineRule="auto"/>
              <w:rPr>
                <w:color w:val="auto"/>
                <w:szCs w:val="21"/>
                <w:highlight w:val="none"/>
              </w:rPr>
            </w:pPr>
            <w:r>
              <w:rPr>
                <w:color w:val="auto"/>
                <w:szCs w:val="21"/>
                <w:highlight w:val="none"/>
              </w:rPr>
              <w:t>符合第</w:t>
            </w:r>
            <w:r>
              <w:rPr>
                <w:rFonts w:hint="eastAsia"/>
                <w:color w:val="auto"/>
                <w:szCs w:val="21"/>
                <w:highlight w:val="none"/>
              </w:rPr>
              <w:t>五</w:t>
            </w:r>
            <w:r>
              <w:rPr>
                <w:color w:val="auto"/>
                <w:szCs w:val="21"/>
                <w:highlight w:val="none"/>
              </w:rPr>
              <w:t>章 “</w:t>
            </w:r>
            <w:r>
              <w:rPr>
                <w:rFonts w:hint="eastAsia"/>
                <w:color w:val="auto"/>
                <w:szCs w:val="21"/>
                <w:highlight w:val="none"/>
              </w:rPr>
              <w:t>发包人要求</w:t>
            </w:r>
            <w:r>
              <w:rPr>
                <w:color w:val="auto"/>
                <w:szCs w:val="21"/>
                <w:highlight w:val="none"/>
              </w:rPr>
              <w:t>”</w:t>
            </w:r>
            <w:r>
              <w:rPr>
                <w:rFonts w:hint="eastAsia"/>
                <w:color w:val="auto"/>
                <w:szCs w:val="21"/>
                <w:highlight w:val="none"/>
              </w:rPr>
              <w:t>相关</w:t>
            </w:r>
            <w:r>
              <w:rPr>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投标价格</w:t>
            </w:r>
          </w:p>
        </w:tc>
        <w:tc>
          <w:tcPr>
            <w:tcW w:w="4359" w:type="dxa"/>
            <w:noWrap/>
            <w:vAlign w:val="center"/>
          </w:tcPr>
          <w:p>
            <w:pPr>
              <w:rPr>
                <w:color w:val="auto"/>
                <w:highlight w:val="none"/>
              </w:rPr>
            </w:pPr>
            <w:r>
              <w:rPr>
                <w:color w:val="auto"/>
                <w:szCs w:val="21"/>
                <w:highlight w:val="none"/>
              </w:rPr>
              <w:t>低于（含等于）招标人公布的招标控制价或无本章附件B否决投标条件</w:t>
            </w:r>
            <w:r>
              <w:rPr>
                <w:rFonts w:hint="eastAsia"/>
                <w:color w:val="auto"/>
                <w:szCs w:val="21"/>
                <w:highlight w:val="none"/>
              </w:rPr>
              <w:t>的相应</w:t>
            </w:r>
            <w:r>
              <w:rPr>
                <w:color w:val="auto"/>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065" w:type="dxa"/>
            <w:gridSpan w:val="2"/>
            <w:vMerge w:val="continue"/>
            <w:noWrap/>
            <w:vAlign w:val="center"/>
          </w:tcPr>
          <w:p>
            <w:pPr>
              <w:spacing w:line="360" w:lineRule="auto"/>
              <w:jc w:val="center"/>
              <w:rPr>
                <w:color w:val="auto"/>
                <w:szCs w:val="21"/>
                <w:highlight w:val="none"/>
              </w:rPr>
            </w:pPr>
          </w:p>
        </w:tc>
        <w:tc>
          <w:tcPr>
            <w:tcW w:w="2864" w:type="dxa"/>
            <w:gridSpan w:val="3"/>
            <w:vMerge w:val="continue"/>
            <w:noWrap/>
            <w:vAlign w:val="center"/>
          </w:tcPr>
          <w:p>
            <w:pPr>
              <w:spacing w:line="360" w:lineRule="auto"/>
              <w:jc w:val="center"/>
              <w:rPr>
                <w:color w:val="auto"/>
                <w:szCs w:val="21"/>
                <w:highlight w:val="none"/>
              </w:rPr>
            </w:pPr>
          </w:p>
        </w:tc>
        <w:tc>
          <w:tcPr>
            <w:tcW w:w="1417" w:type="dxa"/>
            <w:gridSpan w:val="2"/>
            <w:noWrap/>
            <w:vAlign w:val="center"/>
          </w:tcPr>
          <w:p>
            <w:pPr>
              <w:spacing w:line="360" w:lineRule="auto"/>
              <w:rPr>
                <w:color w:val="auto"/>
                <w:szCs w:val="21"/>
                <w:highlight w:val="none"/>
              </w:rPr>
            </w:pPr>
            <w:r>
              <w:rPr>
                <w:color w:val="auto"/>
                <w:szCs w:val="21"/>
                <w:highlight w:val="none"/>
              </w:rPr>
              <w:t>分包计划</w:t>
            </w:r>
            <w:r>
              <w:rPr>
                <w:rFonts w:hint="eastAsia"/>
                <w:color w:val="auto"/>
                <w:szCs w:val="21"/>
                <w:highlight w:val="none"/>
              </w:rPr>
              <w:t>（如有）</w:t>
            </w:r>
          </w:p>
        </w:tc>
        <w:tc>
          <w:tcPr>
            <w:tcW w:w="4359" w:type="dxa"/>
            <w:noWrap/>
            <w:vAlign w:val="center"/>
          </w:tcPr>
          <w:p>
            <w:pPr>
              <w:spacing w:line="360" w:lineRule="auto"/>
              <w:rPr>
                <w:color w:val="auto"/>
                <w:highlight w:val="none"/>
              </w:rPr>
            </w:pPr>
            <w:r>
              <w:rPr>
                <w:color w:val="auto"/>
                <w:szCs w:val="21"/>
                <w:highlight w:val="none"/>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65" w:type="dxa"/>
            <w:gridSpan w:val="2"/>
            <w:noWrap/>
            <w:vAlign w:val="center"/>
          </w:tcPr>
          <w:p>
            <w:pPr>
              <w:spacing w:line="360" w:lineRule="auto"/>
              <w:jc w:val="center"/>
              <w:rPr>
                <w:color w:val="auto"/>
                <w:szCs w:val="21"/>
                <w:highlight w:val="none"/>
              </w:rPr>
            </w:pPr>
            <w:r>
              <w:rPr>
                <w:rFonts w:hint="eastAsia"/>
                <w:b/>
                <w:color w:val="auto"/>
                <w:szCs w:val="21"/>
                <w:highlight w:val="none"/>
              </w:rPr>
              <w:t>2.2</w:t>
            </w:r>
          </w:p>
        </w:tc>
        <w:tc>
          <w:tcPr>
            <w:tcW w:w="2864" w:type="dxa"/>
            <w:gridSpan w:val="3"/>
            <w:noWrap/>
            <w:vAlign w:val="center"/>
          </w:tcPr>
          <w:p>
            <w:pPr>
              <w:spacing w:line="360" w:lineRule="auto"/>
              <w:jc w:val="center"/>
              <w:rPr>
                <w:color w:val="auto"/>
                <w:szCs w:val="21"/>
                <w:highlight w:val="none"/>
              </w:rPr>
            </w:pPr>
            <w:r>
              <w:rPr>
                <w:rFonts w:hint="eastAsia"/>
                <w:color w:val="auto"/>
                <w:szCs w:val="21"/>
                <w:highlight w:val="none"/>
              </w:rPr>
              <w:t>详细评审</w:t>
            </w:r>
          </w:p>
        </w:tc>
        <w:tc>
          <w:tcPr>
            <w:tcW w:w="5776" w:type="dxa"/>
            <w:gridSpan w:val="3"/>
            <w:noWrap/>
            <w:vAlign w:val="center"/>
          </w:tcPr>
          <w:p>
            <w:pPr>
              <w:spacing w:line="360" w:lineRule="auto"/>
              <w:rPr>
                <w:color w:val="auto"/>
                <w:szCs w:val="21"/>
                <w:highlight w:val="none"/>
              </w:rPr>
            </w:pPr>
            <w:r>
              <w:rPr>
                <w:rFonts w:hint="eastAsia"/>
                <w:b/>
                <w:color w:val="auto"/>
                <w:szCs w:val="21"/>
                <w:highlight w:val="none"/>
              </w:rPr>
              <w:t>通过资格审查的合格投标人，只有通过了形式性评审和响应性评审，才能进入详细评审程序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065" w:type="dxa"/>
            <w:gridSpan w:val="2"/>
            <w:noWrap/>
            <w:vAlign w:val="center"/>
          </w:tcPr>
          <w:p>
            <w:pPr>
              <w:spacing w:line="360" w:lineRule="auto"/>
              <w:jc w:val="center"/>
              <w:rPr>
                <w:color w:val="auto"/>
                <w:szCs w:val="21"/>
                <w:highlight w:val="none"/>
              </w:rPr>
            </w:pPr>
            <w:r>
              <w:rPr>
                <w:color w:val="auto"/>
                <w:szCs w:val="21"/>
                <w:highlight w:val="none"/>
              </w:rPr>
              <w:t>2.2.1</w:t>
            </w:r>
          </w:p>
        </w:tc>
        <w:tc>
          <w:tcPr>
            <w:tcW w:w="2864" w:type="dxa"/>
            <w:gridSpan w:val="3"/>
            <w:noWrap/>
            <w:vAlign w:val="center"/>
          </w:tcPr>
          <w:p>
            <w:pPr>
              <w:spacing w:line="360" w:lineRule="auto"/>
              <w:jc w:val="center"/>
              <w:rPr>
                <w:color w:val="auto"/>
                <w:szCs w:val="21"/>
                <w:highlight w:val="none"/>
              </w:rPr>
            </w:pPr>
            <w:r>
              <w:rPr>
                <w:rFonts w:hint="eastAsia"/>
                <w:color w:val="auto"/>
                <w:szCs w:val="21"/>
                <w:highlight w:val="none"/>
              </w:rPr>
              <w:t>详细评审内容</w:t>
            </w:r>
          </w:p>
        </w:tc>
        <w:tc>
          <w:tcPr>
            <w:tcW w:w="1417" w:type="dxa"/>
            <w:gridSpan w:val="2"/>
            <w:noWrap/>
            <w:vAlign w:val="center"/>
          </w:tcPr>
          <w:p>
            <w:pPr>
              <w:spacing w:line="360" w:lineRule="auto"/>
              <w:rPr>
                <w:color w:val="auto"/>
                <w:szCs w:val="21"/>
                <w:highlight w:val="none"/>
              </w:rPr>
            </w:pPr>
            <w:r>
              <w:rPr>
                <w:color w:val="auto"/>
                <w:szCs w:val="21"/>
                <w:highlight w:val="none"/>
              </w:rPr>
              <w:t>分值构成（总分100分</w:t>
            </w:r>
          </w:p>
        </w:tc>
        <w:tc>
          <w:tcPr>
            <w:tcW w:w="4359" w:type="dxa"/>
            <w:noWrap/>
          </w:tcPr>
          <w:p>
            <w:pPr>
              <w:spacing w:line="440" w:lineRule="exact"/>
              <w:rPr>
                <w:color w:val="auto"/>
                <w:szCs w:val="21"/>
                <w:highlight w:val="none"/>
              </w:rPr>
            </w:pPr>
            <w:r>
              <w:rPr>
                <w:rFonts w:hint="eastAsia"/>
                <w:color w:val="auto"/>
                <w:szCs w:val="21"/>
                <w:highlight w:val="none"/>
              </w:rPr>
              <w:t>资信业绩</w:t>
            </w:r>
            <w:r>
              <w:rPr>
                <w:rFonts w:hint="eastAsia"/>
                <w:color w:val="auto"/>
                <w:szCs w:val="21"/>
                <w:highlight w:val="none"/>
                <w:u w:val="single"/>
              </w:rPr>
              <w:t>（</w:t>
            </w:r>
            <w:r>
              <w:rPr>
                <w:color w:val="auto"/>
                <w:szCs w:val="21"/>
                <w:highlight w:val="none"/>
                <w:u w:val="single"/>
              </w:rPr>
              <w:t>15</w:t>
            </w:r>
            <w:r>
              <w:rPr>
                <w:rFonts w:hint="eastAsia"/>
                <w:color w:val="auto"/>
                <w:szCs w:val="21"/>
                <w:highlight w:val="none"/>
                <w:u w:val="single"/>
              </w:rPr>
              <w:t>）</w:t>
            </w:r>
            <w:r>
              <w:rPr>
                <w:rFonts w:hint="eastAsia"/>
                <w:color w:val="auto"/>
                <w:szCs w:val="21"/>
                <w:highlight w:val="none"/>
              </w:rPr>
              <w:t>分</w:t>
            </w:r>
          </w:p>
          <w:p>
            <w:pPr>
              <w:spacing w:line="440" w:lineRule="exact"/>
              <w:rPr>
                <w:color w:val="auto"/>
                <w:szCs w:val="21"/>
                <w:highlight w:val="none"/>
              </w:rPr>
            </w:pPr>
            <w:r>
              <w:rPr>
                <w:rFonts w:hint="eastAsia"/>
                <w:color w:val="auto"/>
                <w:szCs w:val="21"/>
                <w:highlight w:val="none"/>
              </w:rPr>
              <w:t>商务标</w:t>
            </w:r>
            <w:r>
              <w:rPr>
                <w:rFonts w:hint="eastAsia"/>
                <w:color w:val="auto"/>
                <w:szCs w:val="21"/>
                <w:highlight w:val="none"/>
                <w:u w:val="single"/>
              </w:rPr>
              <w:t>（20）</w:t>
            </w:r>
            <w:r>
              <w:rPr>
                <w:rFonts w:hint="eastAsia"/>
                <w:color w:val="auto"/>
                <w:szCs w:val="21"/>
                <w:highlight w:val="none"/>
              </w:rPr>
              <w:t>分</w:t>
            </w:r>
          </w:p>
          <w:p>
            <w:pPr>
              <w:spacing w:line="440" w:lineRule="exact"/>
              <w:rPr>
                <w:color w:val="auto"/>
                <w:szCs w:val="21"/>
                <w:highlight w:val="none"/>
              </w:rPr>
            </w:pPr>
            <w:r>
              <w:rPr>
                <w:rFonts w:hint="eastAsia"/>
                <w:color w:val="auto"/>
                <w:szCs w:val="21"/>
                <w:highlight w:val="none"/>
              </w:rPr>
              <w:t>工程总承包工作大纲</w:t>
            </w:r>
            <w:r>
              <w:rPr>
                <w:rFonts w:hint="eastAsia"/>
                <w:color w:val="auto"/>
                <w:szCs w:val="21"/>
                <w:highlight w:val="none"/>
                <w:u w:val="single"/>
              </w:rPr>
              <w:t>（</w:t>
            </w:r>
            <w:r>
              <w:rPr>
                <w:color w:val="auto"/>
                <w:szCs w:val="21"/>
                <w:highlight w:val="none"/>
                <w:u w:val="single"/>
              </w:rPr>
              <w:t>25</w:t>
            </w:r>
            <w:r>
              <w:rPr>
                <w:rFonts w:hint="eastAsia"/>
                <w:color w:val="auto"/>
                <w:szCs w:val="21"/>
                <w:highlight w:val="none"/>
                <w:u w:val="single"/>
              </w:rPr>
              <w:t>）</w:t>
            </w:r>
            <w:r>
              <w:rPr>
                <w:rFonts w:hint="eastAsia"/>
                <w:color w:val="auto"/>
                <w:szCs w:val="21"/>
                <w:highlight w:val="none"/>
              </w:rPr>
              <w:t>分</w:t>
            </w:r>
          </w:p>
          <w:p>
            <w:pPr>
              <w:spacing w:line="440" w:lineRule="exact"/>
              <w:rPr>
                <w:color w:val="auto"/>
                <w:szCs w:val="21"/>
                <w:highlight w:val="none"/>
              </w:rPr>
            </w:pPr>
            <w:r>
              <w:rPr>
                <w:rFonts w:hint="eastAsia"/>
                <w:color w:val="auto"/>
                <w:szCs w:val="21"/>
                <w:highlight w:val="none"/>
              </w:rPr>
              <w:t>施工组织设计</w:t>
            </w:r>
            <w:r>
              <w:rPr>
                <w:rFonts w:hint="eastAsia"/>
                <w:color w:val="auto"/>
                <w:szCs w:val="21"/>
                <w:highlight w:val="none"/>
                <w:u w:val="single"/>
              </w:rPr>
              <w:t>（10）</w:t>
            </w:r>
            <w:r>
              <w:rPr>
                <w:rFonts w:hint="eastAsia"/>
                <w:color w:val="auto"/>
                <w:szCs w:val="21"/>
                <w:highlight w:val="none"/>
              </w:rPr>
              <w:t>分</w:t>
            </w:r>
          </w:p>
          <w:p>
            <w:pPr>
              <w:spacing w:line="440" w:lineRule="exact"/>
              <w:rPr>
                <w:color w:val="auto"/>
                <w:szCs w:val="21"/>
                <w:highlight w:val="none"/>
              </w:rPr>
            </w:pPr>
            <w:r>
              <w:rPr>
                <w:rFonts w:hint="eastAsia"/>
                <w:color w:val="auto"/>
                <w:szCs w:val="21"/>
                <w:highlight w:val="none"/>
              </w:rPr>
              <w:t>设计标</w:t>
            </w:r>
            <w:r>
              <w:rPr>
                <w:rFonts w:hint="eastAsia"/>
                <w:color w:val="auto"/>
                <w:szCs w:val="21"/>
                <w:highlight w:val="none"/>
                <w:u w:val="single"/>
              </w:rPr>
              <w:t>（</w:t>
            </w:r>
            <w:r>
              <w:rPr>
                <w:color w:val="auto"/>
                <w:szCs w:val="21"/>
                <w:highlight w:val="none"/>
                <w:u w:val="single"/>
              </w:rPr>
              <w:t>30</w:t>
            </w:r>
            <w:r>
              <w:rPr>
                <w:rFonts w:hint="eastAsia"/>
                <w:color w:val="auto"/>
                <w:szCs w:val="21"/>
                <w:highlight w:val="none"/>
                <w:u w:val="single"/>
              </w:rPr>
              <w:t>）</w:t>
            </w:r>
            <w:r>
              <w:rPr>
                <w:rFonts w:hint="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65" w:type="dxa"/>
            <w:gridSpan w:val="2"/>
            <w:noWrap/>
            <w:vAlign w:val="center"/>
          </w:tcPr>
          <w:p>
            <w:pPr>
              <w:spacing w:line="360" w:lineRule="auto"/>
              <w:jc w:val="center"/>
              <w:rPr>
                <w:color w:val="auto"/>
                <w:szCs w:val="21"/>
                <w:highlight w:val="none"/>
              </w:rPr>
            </w:pPr>
            <w:r>
              <w:rPr>
                <w:rFonts w:hint="eastAsia"/>
                <w:color w:val="auto"/>
                <w:szCs w:val="21"/>
                <w:highlight w:val="none"/>
              </w:rPr>
              <w:t>2.2.2</w:t>
            </w:r>
          </w:p>
        </w:tc>
        <w:tc>
          <w:tcPr>
            <w:tcW w:w="2864" w:type="dxa"/>
            <w:gridSpan w:val="3"/>
            <w:noWrap/>
            <w:vAlign w:val="center"/>
          </w:tcPr>
          <w:p>
            <w:pPr>
              <w:spacing w:line="360" w:lineRule="auto"/>
              <w:jc w:val="center"/>
              <w:rPr>
                <w:color w:val="auto"/>
                <w:szCs w:val="21"/>
                <w:highlight w:val="none"/>
              </w:rPr>
            </w:pPr>
            <w:r>
              <w:rPr>
                <w:rFonts w:hint="eastAsia"/>
                <w:color w:val="auto"/>
                <w:szCs w:val="21"/>
                <w:highlight w:val="none"/>
              </w:rPr>
              <w:t>评标基准价计算方法</w:t>
            </w:r>
          </w:p>
        </w:tc>
        <w:tc>
          <w:tcPr>
            <w:tcW w:w="5776" w:type="dxa"/>
            <w:gridSpan w:val="3"/>
            <w:noWrap/>
          </w:tcPr>
          <w:p>
            <w:pPr>
              <w:spacing w:line="440" w:lineRule="exact"/>
              <w:rPr>
                <w:color w:val="auto"/>
                <w:szCs w:val="21"/>
                <w:highlight w:val="none"/>
              </w:rPr>
            </w:pPr>
            <w:r>
              <w:rPr>
                <w:color w:val="auto"/>
                <w:szCs w:val="21"/>
                <w:highlight w:val="none"/>
              </w:rPr>
              <w:t>（1）有效报价范围：为投标总价低于或等于招标控制价，通过资格评审、形式评审、响应性评审且技术标</w:t>
            </w:r>
            <w:r>
              <w:rPr>
                <w:rFonts w:hint="eastAsia"/>
                <w:color w:val="auto"/>
                <w:szCs w:val="21"/>
                <w:highlight w:val="none"/>
              </w:rPr>
              <w:t>评审</w:t>
            </w:r>
            <w:r>
              <w:rPr>
                <w:color w:val="auto"/>
                <w:szCs w:val="21"/>
                <w:highlight w:val="none"/>
              </w:rPr>
              <w:t>合格，经评标委员会审定不存在严重不平衡、不合理、不低于其企业成本</w:t>
            </w:r>
            <w:r>
              <w:rPr>
                <w:rFonts w:hint="eastAsia"/>
                <w:color w:val="auto"/>
                <w:szCs w:val="21"/>
                <w:highlight w:val="none"/>
              </w:rPr>
              <w:t>的</w:t>
            </w:r>
            <w:r>
              <w:rPr>
                <w:color w:val="auto"/>
                <w:szCs w:val="21"/>
                <w:highlight w:val="none"/>
              </w:rPr>
              <w:t>投标人投标总价。</w:t>
            </w:r>
          </w:p>
          <w:p>
            <w:pPr>
              <w:spacing w:line="440" w:lineRule="exact"/>
              <w:rPr>
                <w:color w:val="auto"/>
                <w:szCs w:val="21"/>
                <w:highlight w:val="none"/>
              </w:rPr>
            </w:pPr>
            <w:r>
              <w:rPr>
                <w:color w:val="auto"/>
                <w:szCs w:val="21"/>
                <w:highlight w:val="none"/>
              </w:rPr>
              <w:t>（2）将有效报价范围内的投标人，按其</w:t>
            </w:r>
            <w:r>
              <w:rPr>
                <w:rFonts w:hint="eastAsia"/>
                <w:color w:val="auto"/>
                <w:szCs w:val="21"/>
                <w:highlight w:val="none"/>
              </w:rPr>
              <w:t>投标报价</w:t>
            </w:r>
            <w:r>
              <w:rPr>
                <w:color w:val="auto"/>
                <w:szCs w:val="21"/>
                <w:highlight w:val="none"/>
              </w:rPr>
              <w:t>由低到高的顺序依次排出名次。</w:t>
            </w:r>
          </w:p>
          <w:p>
            <w:pPr>
              <w:spacing w:line="360" w:lineRule="auto"/>
              <w:rPr>
                <w:color w:val="auto"/>
                <w:szCs w:val="21"/>
                <w:highlight w:val="none"/>
              </w:rPr>
            </w:pPr>
            <w:r>
              <w:rPr>
                <w:color w:val="auto"/>
                <w:szCs w:val="21"/>
                <w:highlight w:val="none"/>
              </w:rPr>
              <w:t>（3）有效报价的投标人在10家以上的，</w:t>
            </w:r>
            <w:r>
              <w:rPr>
                <w:rFonts w:hint="eastAsia"/>
                <w:bCs/>
                <w:color w:val="auto"/>
                <w:szCs w:val="21"/>
                <w:highlight w:val="none"/>
              </w:rPr>
              <w:t>从最高的</w:t>
            </w:r>
            <w:r>
              <w:rPr>
                <w:rFonts w:hint="eastAsia"/>
                <w:color w:val="auto"/>
                <w:szCs w:val="21"/>
                <w:highlight w:val="none"/>
              </w:rPr>
              <w:t>投标报价</w:t>
            </w:r>
            <w:r>
              <w:rPr>
                <w:rFonts w:hint="eastAsia"/>
                <w:bCs/>
                <w:color w:val="auto"/>
                <w:szCs w:val="21"/>
                <w:highlight w:val="none"/>
              </w:rPr>
              <w:t>开始</w:t>
            </w:r>
            <w:r>
              <w:rPr>
                <w:color w:val="auto"/>
                <w:szCs w:val="21"/>
                <w:highlight w:val="none"/>
              </w:rPr>
              <w:t>去掉n家投标报价和</w:t>
            </w:r>
            <w:r>
              <w:rPr>
                <w:rFonts w:hint="eastAsia"/>
                <w:bCs/>
                <w:color w:val="auto"/>
                <w:szCs w:val="21"/>
                <w:highlight w:val="none"/>
              </w:rPr>
              <w:t>从最低的</w:t>
            </w:r>
            <w:r>
              <w:rPr>
                <w:rFonts w:hint="eastAsia"/>
                <w:color w:val="auto"/>
                <w:szCs w:val="21"/>
                <w:highlight w:val="none"/>
              </w:rPr>
              <w:t>投标报价</w:t>
            </w:r>
            <w:r>
              <w:rPr>
                <w:rFonts w:hint="eastAsia"/>
                <w:bCs/>
                <w:color w:val="auto"/>
                <w:szCs w:val="21"/>
                <w:highlight w:val="none"/>
              </w:rPr>
              <w:t>开始去掉</w:t>
            </w:r>
            <w:r>
              <w:rPr>
                <w:color w:val="auto"/>
                <w:szCs w:val="21"/>
                <w:highlight w:val="none"/>
              </w:rPr>
              <w:t>n家</w:t>
            </w:r>
            <w:r>
              <w:rPr>
                <w:rFonts w:hint="eastAsia"/>
                <w:color w:val="auto"/>
                <w:szCs w:val="21"/>
                <w:highlight w:val="none"/>
              </w:rPr>
              <w:t>或</w:t>
            </w:r>
            <w:r>
              <w:rPr>
                <w:color w:val="auto"/>
                <w:szCs w:val="21"/>
                <w:highlight w:val="none"/>
              </w:rPr>
              <w:t>n-1</w:t>
            </w:r>
            <w:r>
              <w:rPr>
                <w:rFonts w:hint="eastAsia"/>
                <w:color w:val="auto"/>
                <w:szCs w:val="21"/>
                <w:highlight w:val="none"/>
              </w:rPr>
              <w:t>家</w:t>
            </w:r>
            <w:r>
              <w:rPr>
                <w:color w:val="auto"/>
                <w:szCs w:val="21"/>
                <w:highlight w:val="none"/>
              </w:rPr>
              <w:t>（</w:t>
            </w:r>
            <w:r>
              <w:rPr>
                <w:rFonts w:hint="eastAsia"/>
                <w:color w:val="auto"/>
                <w:szCs w:val="21"/>
                <w:highlight w:val="none"/>
              </w:rPr>
              <w:t>有效报价范围内投标人家数</w:t>
            </w:r>
            <w:r>
              <w:rPr>
                <w:color w:val="auto"/>
                <w:szCs w:val="21"/>
                <w:highlight w:val="none"/>
              </w:rPr>
              <w:t>为奇数</w:t>
            </w:r>
            <w:r>
              <w:rPr>
                <w:rFonts w:hint="eastAsia"/>
                <w:color w:val="auto"/>
                <w:szCs w:val="21"/>
                <w:highlight w:val="none"/>
              </w:rPr>
              <w:t>时</w:t>
            </w:r>
            <w:r>
              <w:rPr>
                <w:color w:val="auto"/>
                <w:szCs w:val="21"/>
                <w:highlight w:val="none"/>
              </w:rPr>
              <w:t>取n-1家）投标报价后（当出现两个或两个以上相同投标报价时，一并去掉），取10家（如不足10家，按实际家数计取）投标人</w:t>
            </w:r>
            <w:r>
              <w:rPr>
                <w:rFonts w:hint="eastAsia"/>
                <w:color w:val="auto"/>
                <w:szCs w:val="21"/>
                <w:highlight w:val="none"/>
              </w:rPr>
              <w:t>投标报价</w:t>
            </w:r>
            <w:r>
              <w:rPr>
                <w:color w:val="auto"/>
                <w:szCs w:val="21"/>
                <w:highlight w:val="none"/>
              </w:rPr>
              <w:t>进入</w:t>
            </w:r>
            <w:r>
              <w:rPr>
                <w:rFonts w:hint="eastAsia"/>
                <w:color w:val="auto"/>
                <w:szCs w:val="21"/>
                <w:highlight w:val="none"/>
              </w:rPr>
              <w:t>评标基准价</w:t>
            </w:r>
            <w:r>
              <w:rPr>
                <w:color w:val="auto"/>
                <w:szCs w:val="21"/>
                <w:highlight w:val="none"/>
              </w:rPr>
              <w:t>计算范围，再取其中的有效报价的</w:t>
            </w:r>
            <w:r>
              <w:rPr>
                <w:rFonts w:hint="eastAsia"/>
                <w:color w:val="auto"/>
                <w:szCs w:val="21"/>
                <w:highlight w:val="none"/>
              </w:rPr>
              <w:t>算术</w:t>
            </w:r>
            <w:r>
              <w:rPr>
                <w:color w:val="auto"/>
                <w:szCs w:val="21"/>
                <w:highlight w:val="none"/>
              </w:rPr>
              <w:t>平均值作为</w:t>
            </w:r>
            <w:r>
              <w:rPr>
                <w:rFonts w:hint="eastAsia"/>
                <w:color w:val="auto"/>
                <w:szCs w:val="21"/>
                <w:highlight w:val="none"/>
              </w:rPr>
              <w:t>评标基准价</w:t>
            </w:r>
            <w:r>
              <w:rPr>
                <w:color w:val="auto"/>
                <w:szCs w:val="21"/>
                <w:highlight w:val="none"/>
              </w:rPr>
              <w:t>；有效报价的投标人在10家（含10家）以下的，将全部有效报价的算术平均值作为</w:t>
            </w:r>
            <w:r>
              <w:rPr>
                <w:rFonts w:hint="eastAsia"/>
                <w:color w:val="auto"/>
                <w:szCs w:val="21"/>
                <w:highlight w:val="none"/>
              </w:rPr>
              <w:t>评标基准价</w:t>
            </w:r>
            <w:r>
              <w:rPr>
                <w:color w:val="auto"/>
                <w:szCs w:val="21"/>
                <w:highlight w:val="none"/>
              </w:rPr>
              <w:t>。</w:t>
            </w:r>
            <w:r>
              <w:rPr>
                <w:rFonts w:hint="eastAsia"/>
                <w:bCs/>
                <w:color w:val="auto"/>
                <w:szCs w:val="21"/>
                <w:highlight w:val="none"/>
              </w:rPr>
              <w:t>n</w:t>
            </w:r>
            <w:r>
              <w:rPr>
                <w:bCs/>
                <w:color w:val="auto"/>
                <w:szCs w:val="21"/>
                <w:highlight w:val="none"/>
              </w:rPr>
              <w:t>=（有效报价范围的投标人家数－10）/2，n为四舍五入取整数。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65" w:type="dxa"/>
            <w:gridSpan w:val="2"/>
            <w:noWrap/>
            <w:vAlign w:val="center"/>
          </w:tcPr>
          <w:p>
            <w:pPr>
              <w:spacing w:line="360" w:lineRule="auto"/>
              <w:jc w:val="center"/>
              <w:rPr>
                <w:color w:val="auto"/>
                <w:szCs w:val="21"/>
                <w:highlight w:val="none"/>
              </w:rPr>
            </w:pPr>
            <w:r>
              <w:rPr>
                <w:rFonts w:hint="eastAsia"/>
                <w:color w:val="auto"/>
                <w:szCs w:val="21"/>
                <w:highlight w:val="none"/>
              </w:rPr>
              <w:t>2.2.3</w:t>
            </w:r>
          </w:p>
        </w:tc>
        <w:tc>
          <w:tcPr>
            <w:tcW w:w="2864" w:type="dxa"/>
            <w:gridSpan w:val="3"/>
            <w:noWrap/>
            <w:vAlign w:val="center"/>
          </w:tcPr>
          <w:p>
            <w:pPr>
              <w:spacing w:line="360" w:lineRule="auto"/>
              <w:jc w:val="center"/>
              <w:rPr>
                <w:color w:val="auto"/>
                <w:szCs w:val="21"/>
                <w:highlight w:val="none"/>
              </w:rPr>
            </w:pPr>
            <w:r>
              <w:rPr>
                <w:rFonts w:hint="eastAsia"/>
                <w:color w:val="auto"/>
                <w:szCs w:val="21"/>
                <w:highlight w:val="none"/>
              </w:rPr>
              <w:t>投标报价的偏差率计算方式</w:t>
            </w:r>
          </w:p>
        </w:tc>
        <w:tc>
          <w:tcPr>
            <w:tcW w:w="5776" w:type="dxa"/>
            <w:gridSpan w:val="3"/>
            <w:noWrap/>
          </w:tcPr>
          <w:p>
            <w:pPr>
              <w:spacing w:line="440" w:lineRule="exact"/>
              <w:rPr>
                <w:color w:val="auto"/>
                <w:szCs w:val="21"/>
                <w:highlight w:val="none"/>
              </w:rPr>
            </w:pPr>
            <w:r>
              <w:rPr>
                <w:rFonts w:hint="eastAsia"/>
                <w:color w:val="auto"/>
                <w:szCs w:val="21"/>
                <w:highlight w:val="none"/>
              </w:rPr>
              <w:t>偏差率</w:t>
            </w:r>
            <w:r>
              <w:rPr>
                <w:color w:val="auto"/>
                <w:szCs w:val="21"/>
                <w:highlight w:val="none"/>
              </w:rPr>
              <w:t>=100% ×（投标人报</w:t>
            </w:r>
            <w:r>
              <w:rPr>
                <w:rFonts w:ascii="宋体" w:hAnsi="宋体"/>
                <w:color w:val="auto"/>
                <w:szCs w:val="21"/>
                <w:highlight w:val="none"/>
              </w:rPr>
              <w:t>价</w:t>
            </w:r>
            <w:r>
              <w:rPr>
                <w:rFonts w:hint="eastAsia" w:ascii="宋体" w:hAnsi="宋体"/>
                <w:color w:val="auto"/>
                <w:szCs w:val="21"/>
                <w:highlight w:val="none"/>
              </w:rPr>
              <w:t>－</w:t>
            </w:r>
            <w:r>
              <w:rPr>
                <w:color w:val="auto"/>
                <w:szCs w:val="21"/>
                <w:highlight w:val="none"/>
              </w:rPr>
              <w:t>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65" w:type="dxa"/>
            <w:gridSpan w:val="2"/>
            <w:noWrap/>
            <w:vAlign w:val="center"/>
          </w:tcPr>
          <w:p>
            <w:pPr>
              <w:spacing w:line="360" w:lineRule="auto"/>
              <w:jc w:val="center"/>
              <w:rPr>
                <w:b/>
                <w:color w:val="auto"/>
                <w:szCs w:val="21"/>
                <w:highlight w:val="none"/>
              </w:rPr>
            </w:pPr>
            <w:r>
              <w:rPr>
                <w:rFonts w:hint="eastAsia"/>
                <w:b/>
                <w:color w:val="auto"/>
                <w:szCs w:val="21"/>
                <w:highlight w:val="none"/>
              </w:rPr>
              <w:t>条款号</w:t>
            </w:r>
          </w:p>
        </w:tc>
        <w:tc>
          <w:tcPr>
            <w:tcW w:w="2864" w:type="dxa"/>
            <w:gridSpan w:val="3"/>
            <w:noWrap/>
            <w:vAlign w:val="center"/>
          </w:tcPr>
          <w:p>
            <w:pPr>
              <w:spacing w:line="360" w:lineRule="auto"/>
              <w:jc w:val="center"/>
              <w:rPr>
                <w:b/>
                <w:color w:val="auto"/>
                <w:szCs w:val="21"/>
                <w:highlight w:val="none"/>
              </w:rPr>
            </w:pPr>
            <w:r>
              <w:rPr>
                <w:rFonts w:hint="eastAsia"/>
                <w:b/>
                <w:color w:val="auto"/>
                <w:szCs w:val="21"/>
                <w:highlight w:val="none"/>
              </w:rPr>
              <w:t>评分因素（偏差率）</w:t>
            </w:r>
          </w:p>
        </w:tc>
        <w:tc>
          <w:tcPr>
            <w:tcW w:w="5776" w:type="dxa"/>
            <w:gridSpan w:val="3"/>
            <w:noWrap/>
          </w:tcPr>
          <w:p>
            <w:pPr>
              <w:spacing w:line="440" w:lineRule="exact"/>
              <w:rPr>
                <w:b/>
                <w:color w:val="auto"/>
                <w:szCs w:val="21"/>
                <w:highlight w:val="none"/>
              </w:rPr>
            </w:pPr>
            <w:r>
              <w:rPr>
                <w:rFonts w:hint="eastAsia"/>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vMerge w:val="restart"/>
            <w:noWrap/>
            <w:vAlign w:val="center"/>
          </w:tcPr>
          <w:p>
            <w:pPr>
              <w:spacing w:line="360" w:lineRule="auto"/>
              <w:jc w:val="center"/>
              <w:rPr>
                <w:color w:val="auto"/>
                <w:szCs w:val="21"/>
                <w:highlight w:val="none"/>
              </w:rPr>
            </w:pPr>
            <w:r>
              <w:rPr>
                <w:rFonts w:hint="eastAsia"/>
                <w:color w:val="auto"/>
                <w:szCs w:val="21"/>
                <w:highlight w:val="none"/>
              </w:rPr>
              <w:t>2.2.4（1）</w:t>
            </w:r>
          </w:p>
        </w:tc>
        <w:tc>
          <w:tcPr>
            <w:tcW w:w="1182" w:type="dxa"/>
            <w:vMerge w:val="restart"/>
            <w:noWrap/>
            <w:vAlign w:val="center"/>
          </w:tcPr>
          <w:p>
            <w:pPr>
              <w:spacing w:line="360" w:lineRule="auto"/>
              <w:jc w:val="center"/>
              <w:rPr>
                <w:color w:val="auto"/>
                <w:szCs w:val="21"/>
                <w:highlight w:val="none"/>
              </w:rPr>
            </w:pPr>
            <w:r>
              <w:rPr>
                <w:rFonts w:hint="eastAsia"/>
                <w:color w:val="auto"/>
                <w:szCs w:val="21"/>
                <w:highlight w:val="none"/>
              </w:rPr>
              <w:t>工程总承包工作大纲评分标准（满分</w:t>
            </w:r>
            <w:r>
              <w:rPr>
                <w:color w:val="auto"/>
                <w:szCs w:val="21"/>
                <w:highlight w:val="none"/>
              </w:rPr>
              <w:t>25</w:t>
            </w:r>
            <w:r>
              <w:rPr>
                <w:rFonts w:hint="eastAsia" w:ascii="宋体" w:hAnsi="宋体"/>
                <w:color w:val="auto"/>
                <w:szCs w:val="21"/>
                <w:highlight w:val="none"/>
              </w:rPr>
              <w:t>分）</w:t>
            </w:r>
          </w:p>
        </w:tc>
        <w:tc>
          <w:tcPr>
            <w:tcW w:w="2864" w:type="dxa"/>
            <w:gridSpan w:val="3"/>
            <w:noWrap/>
            <w:vAlign w:val="center"/>
          </w:tcPr>
          <w:p>
            <w:pPr>
              <w:spacing w:line="360" w:lineRule="exact"/>
              <w:jc w:val="center"/>
              <w:rPr>
                <w:color w:val="auto"/>
                <w:szCs w:val="21"/>
                <w:highlight w:val="none"/>
              </w:rPr>
            </w:pPr>
            <w:r>
              <w:rPr>
                <w:rFonts w:hint="eastAsia"/>
                <w:color w:val="auto"/>
                <w:szCs w:val="21"/>
                <w:highlight w:val="none"/>
              </w:rPr>
              <w:t>总体实施方案</w:t>
            </w:r>
            <w:r>
              <w:rPr>
                <w:rFonts w:hint="eastAsia"/>
                <w:color w:val="auto"/>
                <w:highlight w:val="none"/>
              </w:rPr>
              <w:t>（</w:t>
            </w:r>
            <w:r>
              <w:rPr>
                <w:color w:val="auto"/>
                <w:highlight w:val="none"/>
              </w:rPr>
              <w:t>3</w:t>
            </w:r>
            <w:r>
              <w:rPr>
                <w:rFonts w:hint="eastAsia"/>
                <w:color w:val="auto"/>
                <w:highlight w:val="none"/>
              </w:rPr>
              <w:t>分）</w:t>
            </w:r>
          </w:p>
        </w:tc>
        <w:tc>
          <w:tcPr>
            <w:tcW w:w="5776" w:type="dxa"/>
            <w:gridSpan w:val="3"/>
            <w:noWrap/>
            <w:vAlign w:val="center"/>
          </w:tcPr>
          <w:p>
            <w:pPr>
              <w:spacing w:line="360" w:lineRule="exact"/>
              <w:rPr>
                <w:color w:val="auto"/>
                <w:szCs w:val="21"/>
                <w:highlight w:val="none"/>
              </w:rPr>
            </w:pPr>
            <w:r>
              <w:rPr>
                <w:rFonts w:hint="eastAsia"/>
                <w:color w:val="auto"/>
                <w:szCs w:val="21"/>
                <w:highlight w:val="none"/>
              </w:rPr>
              <w:t>主要结合投标人提供的总体实施方案是否能够满足本项目的总体建设要求，各目标是否切实可行，科学合理进行评定。</w:t>
            </w:r>
          </w:p>
          <w:p>
            <w:pPr>
              <w:pStyle w:val="7"/>
              <w:spacing w:line="360" w:lineRule="exact"/>
              <w:rPr>
                <w:color w:val="auto"/>
                <w:highlight w:val="none"/>
              </w:rPr>
            </w:pPr>
            <w:r>
              <w:rPr>
                <w:rFonts w:hint="eastAsia" w:ascii="宋体" w:hAnsi="宋体"/>
                <w:bCs/>
                <w:color w:val="auto"/>
                <w:szCs w:val="21"/>
                <w:highlight w:val="none"/>
              </w:rPr>
              <w:t>评分：差得0～0.</w:t>
            </w:r>
            <w:r>
              <w:rPr>
                <w:rFonts w:ascii="宋体" w:hAnsi="宋体"/>
                <w:bCs/>
                <w:color w:val="auto"/>
                <w:szCs w:val="21"/>
                <w:highlight w:val="none"/>
              </w:rPr>
              <w:t>7</w:t>
            </w:r>
            <w:r>
              <w:rPr>
                <w:rFonts w:hint="eastAsia" w:ascii="宋体" w:hAnsi="宋体"/>
                <w:bCs/>
                <w:color w:val="auto"/>
                <w:szCs w:val="21"/>
                <w:highlight w:val="none"/>
              </w:rPr>
              <w:t>分，中得0.</w:t>
            </w:r>
            <w:r>
              <w:rPr>
                <w:rFonts w:ascii="宋体" w:hAnsi="宋体"/>
                <w:bCs/>
                <w:color w:val="auto"/>
                <w:szCs w:val="21"/>
                <w:highlight w:val="none"/>
              </w:rPr>
              <w:t>8</w:t>
            </w:r>
            <w:r>
              <w:rPr>
                <w:rFonts w:hint="eastAsia" w:ascii="宋体" w:hAnsi="宋体"/>
                <w:bCs/>
                <w:color w:val="auto"/>
                <w:szCs w:val="21"/>
                <w:highlight w:val="none"/>
              </w:rPr>
              <w:t>～</w:t>
            </w:r>
            <w:r>
              <w:rPr>
                <w:rFonts w:ascii="宋体" w:hAnsi="宋体"/>
                <w:bCs/>
                <w:color w:val="auto"/>
                <w:szCs w:val="21"/>
                <w:highlight w:val="none"/>
              </w:rPr>
              <w:t>1</w:t>
            </w:r>
            <w:r>
              <w:rPr>
                <w:rFonts w:hint="eastAsia" w:ascii="宋体" w:hAnsi="宋体"/>
                <w:bCs/>
                <w:color w:val="auto"/>
                <w:szCs w:val="21"/>
                <w:highlight w:val="none"/>
              </w:rPr>
              <w:t>.</w:t>
            </w:r>
            <w:r>
              <w:rPr>
                <w:rFonts w:ascii="宋体" w:hAnsi="宋体"/>
                <w:bCs/>
                <w:color w:val="auto"/>
                <w:szCs w:val="21"/>
                <w:highlight w:val="none"/>
              </w:rPr>
              <w:t>4</w:t>
            </w:r>
            <w:r>
              <w:rPr>
                <w:rFonts w:hint="eastAsia" w:ascii="宋体" w:hAnsi="宋体"/>
                <w:bCs/>
                <w:color w:val="auto"/>
                <w:szCs w:val="21"/>
                <w:highlight w:val="none"/>
              </w:rPr>
              <w:t>分，良得</w:t>
            </w:r>
            <w:r>
              <w:rPr>
                <w:rFonts w:ascii="宋体" w:hAnsi="宋体"/>
                <w:bCs/>
                <w:color w:val="auto"/>
                <w:szCs w:val="21"/>
                <w:highlight w:val="none"/>
              </w:rPr>
              <w:t>1</w:t>
            </w:r>
            <w:r>
              <w:rPr>
                <w:rFonts w:hint="eastAsia" w:ascii="宋体" w:hAnsi="宋体"/>
                <w:bCs/>
                <w:color w:val="auto"/>
                <w:szCs w:val="21"/>
                <w:highlight w:val="none"/>
              </w:rPr>
              <w:t>.</w:t>
            </w:r>
            <w:r>
              <w:rPr>
                <w:rFonts w:ascii="宋体" w:hAnsi="宋体"/>
                <w:bCs/>
                <w:color w:val="auto"/>
                <w:szCs w:val="21"/>
                <w:highlight w:val="none"/>
              </w:rPr>
              <w:t>5</w:t>
            </w:r>
            <w:r>
              <w:rPr>
                <w:rFonts w:hint="eastAsia" w:ascii="宋体" w:hAnsi="宋体"/>
                <w:bCs/>
                <w:color w:val="auto"/>
                <w:szCs w:val="21"/>
                <w:highlight w:val="none"/>
              </w:rPr>
              <w:t>～</w:t>
            </w:r>
            <w:r>
              <w:rPr>
                <w:rFonts w:ascii="宋体" w:hAnsi="宋体"/>
                <w:bCs/>
                <w:color w:val="auto"/>
                <w:szCs w:val="21"/>
                <w:highlight w:val="none"/>
              </w:rPr>
              <w:t>2</w:t>
            </w:r>
            <w:r>
              <w:rPr>
                <w:rFonts w:hint="eastAsia" w:ascii="宋体" w:hAnsi="宋体"/>
                <w:bCs/>
                <w:color w:val="auto"/>
                <w:szCs w:val="21"/>
                <w:highlight w:val="none"/>
              </w:rPr>
              <w:t>.4分，优得</w:t>
            </w:r>
            <w:r>
              <w:rPr>
                <w:rFonts w:ascii="宋体" w:hAnsi="宋体"/>
                <w:bCs/>
                <w:color w:val="auto"/>
                <w:szCs w:val="21"/>
                <w:highlight w:val="none"/>
              </w:rPr>
              <w:t>2</w:t>
            </w:r>
            <w:r>
              <w:rPr>
                <w:rFonts w:hint="eastAsia" w:ascii="宋体" w:hAnsi="宋体"/>
                <w:bCs/>
                <w:color w:val="auto"/>
                <w:szCs w:val="21"/>
                <w:highlight w:val="none"/>
              </w:rPr>
              <w:t>.5～</w:t>
            </w:r>
            <w:r>
              <w:rPr>
                <w:rFonts w:ascii="宋体" w:hAnsi="宋体"/>
                <w:bCs/>
                <w:color w:val="auto"/>
                <w:szCs w:val="21"/>
                <w:highlight w:val="none"/>
              </w:rPr>
              <w:t>3</w:t>
            </w:r>
            <w:r>
              <w:rPr>
                <w:rFonts w:hint="eastAsia" w:ascii="宋体" w:hAnsi="宋体"/>
                <w:bCs/>
                <w:color w:val="auto"/>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spacing w:line="360" w:lineRule="exact"/>
              <w:jc w:val="center"/>
              <w:rPr>
                <w:color w:val="auto"/>
                <w:szCs w:val="21"/>
                <w:highlight w:val="none"/>
              </w:rPr>
            </w:pPr>
            <w:r>
              <w:rPr>
                <w:rFonts w:hint="eastAsia"/>
                <w:color w:val="auto"/>
                <w:szCs w:val="21"/>
                <w:highlight w:val="none"/>
              </w:rPr>
              <w:t>项目实施要点</w:t>
            </w:r>
            <w:r>
              <w:rPr>
                <w:rFonts w:hint="eastAsia"/>
                <w:color w:val="auto"/>
                <w:highlight w:val="none"/>
              </w:rPr>
              <w:t>（</w:t>
            </w:r>
            <w:r>
              <w:rPr>
                <w:color w:val="auto"/>
                <w:highlight w:val="none"/>
              </w:rPr>
              <w:t>8</w:t>
            </w:r>
            <w:r>
              <w:rPr>
                <w:rFonts w:hint="eastAsia"/>
                <w:color w:val="auto"/>
                <w:highlight w:val="none"/>
              </w:rPr>
              <w:t>分）</w:t>
            </w:r>
          </w:p>
        </w:tc>
        <w:tc>
          <w:tcPr>
            <w:tcW w:w="5776" w:type="dxa"/>
            <w:gridSpan w:val="3"/>
            <w:noWrap/>
            <w:vAlign w:val="center"/>
          </w:tcPr>
          <w:p>
            <w:pPr>
              <w:spacing w:line="360" w:lineRule="exact"/>
              <w:rPr>
                <w:color w:val="auto"/>
                <w:szCs w:val="21"/>
                <w:highlight w:val="none"/>
              </w:rPr>
            </w:pPr>
            <w:r>
              <w:rPr>
                <w:rFonts w:hint="eastAsia"/>
                <w:color w:val="auto"/>
                <w:szCs w:val="21"/>
                <w:highlight w:val="none"/>
              </w:rPr>
              <w:t>根据实施要点，包括设计实施要点、采购实施要点、施工实施要点、试运行实施要点等。结合本项目特点，切合实际，先进可行，具有可操作性进行评定。</w:t>
            </w:r>
          </w:p>
          <w:p>
            <w:pPr>
              <w:pStyle w:val="7"/>
              <w:spacing w:line="360" w:lineRule="exact"/>
              <w:rPr>
                <w:color w:val="auto"/>
                <w:highlight w:val="none"/>
              </w:rPr>
            </w:pPr>
            <w:r>
              <w:rPr>
                <w:rFonts w:hint="eastAsia" w:ascii="宋体" w:hAnsi="宋体"/>
                <w:bCs/>
                <w:color w:val="auto"/>
                <w:szCs w:val="21"/>
                <w:highlight w:val="none"/>
              </w:rPr>
              <w:t>评分：差得0～</w:t>
            </w:r>
            <w:r>
              <w:rPr>
                <w:rFonts w:ascii="宋体" w:hAnsi="宋体"/>
                <w:bCs/>
                <w:color w:val="auto"/>
                <w:szCs w:val="21"/>
                <w:highlight w:val="none"/>
              </w:rPr>
              <w:t>2</w:t>
            </w:r>
            <w:r>
              <w:rPr>
                <w:rFonts w:hint="eastAsia" w:ascii="宋体" w:hAnsi="宋体"/>
                <w:bCs/>
                <w:color w:val="auto"/>
                <w:szCs w:val="21"/>
                <w:highlight w:val="none"/>
              </w:rPr>
              <w:t>.0分，中得</w:t>
            </w:r>
            <w:r>
              <w:rPr>
                <w:rFonts w:ascii="宋体" w:hAnsi="宋体"/>
                <w:bCs/>
                <w:color w:val="auto"/>
                <w:szCs w:val="21"/>
                <w:highlight w:val="none"/>
              </w:rPr>
              <w:t>2</w:t>
            </w:r>
            <w:r>
              <w:rPr>
                <w:rFonts w:hint="eastAsia" w:ascii="宋体" w:hAnsi="宋体"/>
                <w:bCs/>
                <w:color w:val="auto"/>
                <w:szCs w:val="21"/>
                <w:highlight w:val="none"/>
              </w:rPr>
              <w:t>.1～</w:t>
            </w:r>
            <w:r>
              <w:rPr>
                <w:rFonts w:ascii="宋体" w:hAnsi="宋体"/>
                <w:bCs/>
                <w:color w:val="auto"/>
                <w:szCs w:val="21"/>
                <w:highlight w:val="none"/>
              </w:rPr>
              <w:t>4.0</w:t>
            </w:r>
            <w:r>
              <w:rPr>
                <w:rFonts w:hint="eastAsia" w:ascii="宋体" w:hAnsi="宋体"/>
                <w:bCs/>
                <w:color w:val="auto"/>
                <w:szCs w:val="21"/>
                <w:highlight w:val="none"/>
              </w:rPr>
              <w:t>分，良得</w:t>
            </w:r>
            <w:r>
              <w:rPr>
                <w:rFonts w:ascii="宋体" w:hAnsi="宋体"/>
                <w:bCs/>
                <w:color w:val="auto"/>
                <w:szCs w:val="21"/>
                <w:highlight w:val="none"/>
              </w:rPr>
              <w:t>4.1</w:t>
            </w:r>
            <w:r>
              <w:rPr>
                <w:rFonts w:hint="eastAsia" w:ascii="宋体" w:hAnsi="宋体"/>
                <w:bCs/>
                <w:color w:val="auto"/>
                <w:szCs w:val="21"/>
                <w:highlight w:val="none"/>
              </w:rPr>
              <w:t>～</w:t>
            </w:r>
            <w:r>
              <w:rPr>
                <w:rFonts w:ascii="宋体" w:hAnsi="宋体"/>
                <w:bCs/>
                <w:color w:val="auto"/>
                <w:szCs w:val="21"/>
                <w:highlight w:val="none"/>
              </w:rPr>
              <w:t>6.0</w:t>
            </w:r>
            <w:r>
              <w:rPr>
                <w:rFonts w:hint="eastAsia" w:ascii="宋体" w:hAnsi="宋体"/>
                <w:bCs/>
                <w:color w:val="auto"/>
                <w:szCs w:val="21"/>
                <w:highlight w:val="none"/>
              </w:rPr>
              <w:t>分，优得</w:t>
            </w:r>
            <w:r>
              <w:rPr>
                <w:rFonts w:ascii="宋体" w:hAnsi="宋体"/>
                <w:bCs/>
                <w:color w:val="auto"/>
                <w:szCs w:val="21"/>
                <w:highlight w:val="none"/>
              </w:rPr>
              <w:t>6</w:t>
            </w:r>
            <w:r>
              <w:rPr>
                <w:rFonts w:hint="eastAsia" w:ascii="宋体" w:hAnsi="宋体"/>
                <w:bCs/>
                <w:color w:val="auto"/>
                <w:szCs w:val="21"/>
                <w:highlight w:val="none"/>
              </w:rPr>
              <w:t>.</w:t>
            </w:r>
            <w:r>
              <w:rPr>
                <w:rFonts w:ascii="宋体" w:hAnsi="宋体"/>
                <w:bCs/>
                <w:color w:val="auto"/>
                <w:szCs w:val="21"/>
                <w:highlight w:val="none"/>
              </w:rPr>
              <w:t>1</w:t>
            </w:r>
            <w:r>
              <w:rPr>
                <w:rFonts w:hint="eastAsia" w:ascii="宋体" w:hAnsi="宋体"/>
                <w:bCs/>
                <w:color w:val="auto"/>
                <w:szCs w:val="21"/>
                <w:highlight w:val="none"/>
              </w:rPr>
              <w:t>～</w:t>
            </w:r>
            <w:r>
              <w:rPr>
                <w:rFonts w:ascii="宋体" w:hAnsi="宋体"/>
                <w:bCs/>
                <w:color w:val="auto"/>
                <w:szCs w:val="21"/>
                <w:highlight w:val="none"/>
              </w:rPr>
              <w:t>8</w:t>
            </w:r>
            <w:r>
              <w:rPr>
                <w:rFonts w:hint="eastAsia" w:ascii="宋体" w:hAnsi="宋体"/>
                <w:bCs/>
                <w:color w:val="auto"/>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spacing w:line="360" w:lineRule="exact"/>
              <w:jc w:val="center"/>
              <w:rPr>
                <w:color w:val="auto"/>
                <w:szCs w:val="21"/>
                <w:highlight w:val="none"/>
              </w:rPr>
            </w:pPr>
            <w:r>
              <w:rPr>
                <w:rFonts w:hint="eastAsia"/>
                <w:color w:val="auto"/>
                <w:szCs w:val="21"/>
                <w:highlight w:val="none"/>
              </w:rPr>
              <w:t>项目管理要点</w:t>
            </w:r>
            <w:r>
              <w:rPr>
                <w:rFonts w:hint="eastAsia"/>
                <w:color w:val="auto"/>
                <w:highlight w:val="none"/>
              </w:rPr>
              <w:t>（7分）</w:t>
            </w:r>
          </w:p>
        </w:tc>
        <w:tc>
          <w:tcPr>
            <w:tcW w:w="5776" w:type="dxa"/>
            <w:gridSpan w:val="3"/>
            <w:noWrap/>
            <w:vAlign w:val="center"/>
          </w:tcPr>
          <w:p>
            <w:pPr>
              <w:spacing w:line="360" w:lineRule="exact"/>
              <w:rPr>
                <w:color w:val="auto"/>
                <w:szCs w:val="21"/>
                <w:highlight w:val="none"/>
              </w:rPr>
            </w:pPr>
            <w:r>
              <w:rPr>
                <w:rFonts w:hint="eastAsia"/>
                <w:color w:val="auto"/>
                <w:szCs w:val="21"/>
                <w:highlight w:val="none"/>
              </w:rPr>
              <w:t>根据管理目标是否明确，切合实际，先进可行，具有可操作性。包括：合同管理要点、资源管理要点、质量控制要点、进度控制要点、费用估算及控制要点、安全管理要点、职业健康管理要点、环境管理要点、沟通和协调管理要点、财务管理要点、风险管理要点、文件及信息管理要点、报告制度等进行评定。</w:t>
            </w:r>
          </w:p>
          <w:p>
            <w:pPr>
              <w:pStyle w:val="7"/>
              <w:spacing w:line="360" w:lineRule="exact"/>
              <w:rPr>
                <w:color w:val="auto"/>
                <w:highlight w:val="none"/>
              </w:rPr>
            </w:pPr>
            <w:r>
              <w:rPr>
                <w:rFonts w:hint="eastAsia" w:ascii="宋体" w:hAnsi="宋体"/>
                <w:bCs/>
                <w:color w:val="auto"/>
                <w:szCs w:val="21"/>
                <w:highlight w:val="none"/>
              </w:rPr>
              <w:t>评分：差得0～1.0分，中得1.1～1.9分，良得2～5.4分，优得5.5～7.0分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spacing w:line="360" w:lineRule="exact"/>
              <w:jc w:val="center"/>
              <w:rPr>
                <w:color w:val="auto"/>
                <w:szCs w:val="21"/>
                <w:highlight w:val="none"/>
              </w:rPr>
            </w:pPr>
            <w:r>
              <w:rPr>
                <w:rFonts w:hint="eastAsia" w:ascii="宋体" w:hAnsi="宋体"/>
                <w:color w:val="auto"/>
                <w:szCs w:val="21"/>
                <w:highlight w:val="none"/>
              </w:rPr>
              <w:t>设计及施工的配合</w:t>
            </w:r>
            <w:r>
              <w:rPr>
                <w:rFonts w:hint="eastAsia"/>
                <w:color w:val="auto"/>
                <w:highlight w:val="none"/>
              </w:rPr>
              <w:t>（</w:t>
            </w:r>
            <w:r>
              <w:rPr>
                <w:color w:val="auto"/>
                <w:highlight w:val="none"/>
              </w:rPr>
              <w:t>3</w:t>
            </w:r>
            <w:r>
              <w:rPr>
                <w:rFonts w:hint="eastAsia"/>
                <w:color w:val="auto"/>
                <w:highlight w:val="none"/>
              </w:rPr>
              <w:t>分）</w:t>
            </w:r>
          </w:p>
        </w:tc>
        <w:tc>
          <w:tcPr>
            <w:tcW w:w="5776" w:type="dxa"/>
            <w:gridSpan w:val="3"/>
            <w:noWrap/>
            <w:vAlign w:val="center"/>
          </w:tcPr>
          <w:p>
            <w:pPr>
              <w:spacing w:line="360" w:lineRule="exact"/>
              <w:rPr>
                <w:color w:val="auto"/>
                <w:szCs w:val="21"/>
                <w:highlight w:val="none"/>
              </w:rPr>
            </w:pPr>
            <w:r>
              <w:rPr>
                <w:rFonts w:hint="eastAsia" w:ascii="宋体" w:hAnsi="宋体" w:cs="Arial"/>
                <w:color w:val="auto"/>
                <w:szCs w:val="21"/>
                <w:highlight w:val="none"/>
              </w:rPr>
              <w:t>根据协调配合计划</w:t>
            </w:r>
            <w:r>
              <w:rPr>
                <w:rFonts w:hint="eastAsia" w:ascii="宋体" w:hAnsi="宋体"/>
                <w:color w:val="auto"/>
                <w:szCs w:val="21"/>
                <w:highlight w:val="none"/>
              </w:rPr>
              <w:t>切合实际，满足项目实施需要，</w:t>
            </w:r>
            <w:r>
              <w:rPr>
                <w:rFonts w:hint="eastAsia" w:ascii="宋体" w:hAnsi="宋体" w:cs="Arial"/>
                <w:color w:val="auto"/>
                <w:szCs w:val="21"/>
                <w:highlight w:val="none"/>
              </w:rPr>
              <w:t>协调配合计划的</w:t>
            </w:r>
            <w:r>
              <w:rPr>
                <w:rFonts w:hint="eastAsia" w:ascii="宋体" w:hAnsi="宋体"/>
                <w:color w:val="auto"/>
                <w:szCs w:val="21"/>
                <w:highlight w:val="none"/>
              </w:rPr>
              <w:t>可操作性</w:t>
            </w:r>
            <w:r>
              <w:rPr>
                <w:rFonts w:hint="eastAsia"/>
                <w:color w:val="auto"/>
                <w:szCs w:val="21"/>
                <w:highlight w:val="none"/>
              </w:rPr>
              <w:t>等进行评定。</w:t>
            </w:r>
          </w:p>
          <w:p>
            <w:pPr>
              <w:pStyle w:val="7"/>
              <w:spacing w:line="360" w:lineRule="exact"/>
              <w:rPr>
                <w:color w:val="auto"/>
                <w:highlight w:val="none"/>
              </w:rPr>
            </w:pPr>
            <w:r>
              <w:rPr>
                <w:rFonts w:hint="eastAsia" w:ascii="宋体" w:hAnsi="宋体"/>
                <w:bCs/>
                <w:color w:val="auto"/>
                <w:szCs w:val="21"/>
                <w:highlight w:val="none"/>
              </w:rPr>
              <w:t>评分：差得0～0.</w:t>
            </w:r>
            <w:r>
              <w:rPr>
                <w:rFonts w:ascii="宋体" w:hAnsi="宋体"/>
                <w:bCs/>
                <w:color w:val="auto"/>
                <w:szCs w:val="21"/>
                <w:highlight w:val="none"/>
              </w:rPr>
              <w:t>5</w:t>
            </w:r>
            <w:r>
              <w:rPr>
                <w:rFonts w:hint="eastAsia" w:ascii="宋体" w:hAnsi="宋体"/>
                <w:bCs/>
                <w:color w:val="auto"/>
                <w:szCs w:val="21"/>
                <w:highlight w:val="none"/>
              </w:rPr>
              <w:t>分，中得0.</w:t>
            </w:r>
            <w:r>
              <w:rPr>
                <w:rFonts w:ascii="宋体" w:hAnsi="宋体"/>
                <w:bCs/>
                <w:color w:val="auto"/>
                <w:szCs w:val="21"/>
                <w:highlight w:val="none"/>
              </w:rPr>
              <w:t>5</w:t>
            </w:r>
            <w:r>
              <w:rPr>
                <w:rFonts w:hint="eastAsia" w:ascii="宋体" w:hAnsi="宋体"/>
                <w:bCs/>
                <w:color w:val="auto"/>
                <w:szCs w:val="21"/>
                <w:highlight w:val="none"/>
              </w:rPr>
              <w:t>～</w:t>
            </w:r>
            <w:r>
              <w:rPr>
                <w:rFonts w:ascii="宋体" w:hAnsi="宋体"/>
                <w:bCs/>
                <w:color w:val="auto"/>
                <w:szCs w:val="21"/>
                <w:highlight w:val="none"/>
              </w:rPr>
              <w:t>1.0</w:t>
            </w:r>
            <w:r>
              <w:rPr>
                <w:rFonts w:hint="eastAsia" w:ascii="宋体" w:hAnsi="宋体"/>
                <w:bCs/>
                <w:color w:val="auto"/>
                <w:szCs w:val="21"/>
                <w:highlight w:val="none"/>
              </w:rPr>
              <w:t>分，良得</w:t>
            </w:r>
            <w:r>
              <w:rPr>
                <w:rFonts w:ascii="宋体" w:hAnsi="宋体"/>
                <w:bCs/>
                <w:color w:val="auto"/>
                <w:szCs w:val="21"/>
                <w:highlight w:val="none"/>
              </w:rPr>
              <w:t>1.1</w:t>
            </w:r>
            <w:r>
              <w:rPr>
                <w:rFonts w:hint="eastAsia" w:ascii="宋体" w:hAnsi="宋体"/>
                <w:bCs/>
                <w:color w:val="auto"/>
                <w:szCs w:val="21"/>
                <w:highlight w:val="none"/>
              </w:rPr>
              <w:t>～</w:t>
            </w:r>
            <w:r>
              <w:rPr>
                <w:rFonts w:ascii="宋体" w:hAnsi="宋体"/>
                <w:bCs/>
                <w:color w:val="auto"/>
                <w:szCs w:val="21"/>
                <w:highlight w:val="none"/>
              </w:rPr>
              <w:t>2.0</w:t>
            </w:r>
            <w:r>
              <w:rPr>
                <w:rFonts w:hint="eastAsia" w:ascii="宋体" w:hAnsi="宋体"/>
                <w:bCs/>
                <w:color w:val="auto"/>
                <w:szCs w:val="21"/>
                <w:highlight w:val="none"/>
              </w:rPr>
              <w:t>分，优得</w:t>
            </w:r>
            <w:r>
              <w:rPr>
                <w:rFonts w:ascii="宋体" w:hAnsi="宋体"/>
                <w:bCs/>
                <w:color w:val="auto"/>
                <w:szCs w:val="21"/>
                <w:highlight w:val="none"/>
              </w:rPr>
              <w:t>2</w:t>
            </w:r>
            <w:r>
              <w:rPr>
                <w:rFonts w:hint="eastAsia" w:ascii="宋体" w:hAnsi="宋体"/>
                <w:bCs/>
                <w:color w:val="auto"/>
                <w:szCs w:val="21"/>
                <w:highlight w:val="none"/>
              </w:rPr>
              <w:t>.</w:t>
            </w:r>
            <w:r>
              <w:rPr>
                <w:rFonts w:ascii="宋体" w:hAnsi="宋体"/>
                <w:bCs/>
                <w:color w:val="auto"/>
                <w:szCs w:val="21"/>
                <w:highlight w:val="none"/>
              </w:rPr>
              <w:t>1</w:t>
            </w:r>
            <w:r>
              <w:rPr>
                <w:rFonts w:hint="eastAsia" w:ascii="宋体" w:hAnsi="宋体"/>
                <w:bCs/>
                <w:color w:val="auto"/>
                <w:szCs w:val="21"/>
                <w:highlight w:val="none"/>
              </w:rPr>
              <w:t>～</w:t>
            </w:r>
            <w:r>
              <w:rPr>
                <w:rFonts w:ascii="宋体" w:hAnsi="宋体"/>
                <w:bCs/>
                <w:color w:val="auto"/>
                <w:szCs w:val="21"/>
                <w:highlight w:val="none"/>
              </w:rPr>
              <w:t>3</w:t>
            </w:r>
            <w:r>
              <w:rPr>
                <w:rFonts w:hint="eastAsia" w:ascii="宋体" w:hAnsi="宋体"/>
                <w:bCs/>
                <w:color w:val="auto"/>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spacing w:line="360" w:lineRule="exact"/>
              <w:jc w:val="center"/>
              <w:rPr>
                <w:color w:val="auto"/>
                <w:szCs w:val="21"/>
                <w:highlight w:val="none"/>
              </w:rPr>
            </w:pPr>
            <w:r>
              <w:rPr>
                <w:rFonts w:hint="eastAsia"/>
                <w:color w:val="auto"/>
                <w:szCs w:val="21"/>
                <w:highlight w:val="none"/>
              </w:rPr>
              <w:t>项目管理机构配备</w:t>
            </w:r>
            <w:r>
              <w:rPr>
                <w:rFonts w:hint="eastAsia"/>
                <w:color w:val="auto"/>
                <w:highlight w:val="none"/>
              </w:rPr>
              <w:t>（</w:t>
            </w:r>
            <w:r>
              <w:rPr>
                <w:color w:val="auto"/>
                <w:highlight w:val="none"/>
              </w:rPr>
              <w:t>4</w:t>
            </w:r>
            <w:r>
              <w:rPr>
                <w:rFonts w:hint="eastAsia"/>
                <w:color w:val="auto"/>
                <w:highlight w:val="none"/>
              </w:rPr>
              <w:t>分）</w:t>
            </w:r>
          </w:p>
        </w:tc>
        <w:tc>
          <w:tcPr>
            <w:tcW w:w="5776" w:type="dxa"/>
            <w:gridSpan w:val="3"/>
            <w:noWrap/>
            <w:vAlign w:val="center"/>
          </w:tcPr>
          <w:p>
            <w:pPr>
              <w:pStyle w:val="7"/>
              <w:spacing w:line="312" w:lineRule="auto"/>
              <w:rPr>
                <w:color w:val="auto"/>
                <w:szCs w:val="21"/>
                <w:highlight w:val="none"/>
              </w:rPr>
            </w:pPr>
            <w:r>
              <w:rPr>
                <w:rFonts w:hint="eastAsia"/>
                <w:color w:val="auto"/>
                <w:szCs w:val="21"/>
                <w:highlight w:val="none"/>
              </w:rPr>
              <w:t>（1）项目总负责人：具有</w:t>
            </w:r>
            <w:r>
              <w:rPr>
                <w:rFonts w:hint="eastAsia"/>
                <w:color w:val="auto"/>
                <w:highlight w:val="none"/>
              </w:rPr>
              <w:t>壹级</w:t>
            </w:r>
            <w:r>
              <w:rPr>
                <w:rFonts w:hint="eastAsia"/>
                <w:color w:val="auto"/>
                <w:szCs w:val="21"/>
                <w:highlight w:val="none"/>
              </w:rPr>
              <w:t>注册建筑师或</w:t>
            </w:r>
            <w:r>
              <w:rPr>
                <w:rFonts w:hint="eastAsia"/>
                <w:color w:val="auto"/>
                <w:highlight w:val="none"/>
              </w:rPr>
              <w:t>壹级</w:t>
            </w:r>
            <w:r>
              <w:rPr>
                <w:rFonts w:hint="eastAsia"/>
                <w:color w:val="auto"/>
                <w:szCs w:val="21"/>
                <w:highlight w:val="none"/>
              </w:rPr>
              <w:t>注册结构师或</w:t>
            </w:r>
            <w:r>
              <w:rPr>
                <w:rFonts w:hint="eastAsia"/>
                <w:color w:val="auto"/>
                <w:highlight w:val="none"/>
              </w:rPr>
              <w:t>壹级</w:t>
            </w:r>
            <w:r>
              <w:rPr>
                <w:rFonts w:hint="eastAsia"/>
                <w:color w:val="auto"/>
                <w:szCs w:val="21"/>
                <w:highlight w:val="none"/>
              </w:rPr>
              <w:t>（建筑工程专业）注册建造师的执业资格，得</w:t>
            </w:r>
            <w:r>
              <w:rPr>
                <w:color w:val="auto"/>
                <w:szCs w:val="21"/>
                <w:highlight w:val="none"/>
              </w:rPr>
              <w:t>1</w:t>
            </w:r>
            <w:r>
              <w:rPr>
                <w:rFonts w:hint="eastAsia"/>
                <w:color w:val="auto"/>
                <w:szCs w:val="21"/>
                <w:highlight w:val="none"/>
              </w:rPr>
              <w:t>分。</w:t>
            </w:r>
          </w:p>
          <w:p>
            <w:pPr>
              <w:pStyle w:val="7"/>
              <w:spacing w:line="312" w:lineRule="auto"/>
              <w:rPr>
                <w:color w:val="auto"/>
                <w:szCs w:val="21"/>
                <w:highlight w:val="none"/>
              </w:rPr>
            </w:pPr>
            <w:r>
              <w:rPr>
                <w:rFonts w:hint="eastAsia"/>
                <w:color w:val="auto"/>
                <w:szCs w:val="21"/>
                <w:highlight w:val="none"/>
              </w:rPr>
              <w:t>（2）项目设计负责人：具有</w:t>
            </w:r>
            <w:r>
              <w:rPr>
                <w:rFonts w:hint="eastAsia"/>
                <w:color w:val="auto"/>
                <w:highlight w:val="none"/>
              </w:rPr>
              <w:t>壹级</w:t>
            </w:r>
            <w:r>
              <w:rPr>
                <w:rFonts w:hint="eastAsia"/>
                <w:color w:val="auto"/>
                <w:szCs w:val="21"/>
                <w:highlight w:val="none"/>
              </w:rPr>
              <w:t>注册建筑师或</w:t>
            </w:r>
            <w:r>
              <w:rPr>
                <w:rFonts w:hint="eastAsia"/>
                <w:color w:val="auto"/>
                <w:highlight w:val="none"/>
              </w:rPr>
              <w:t>壹级</w:t>
            </w:r>
            <w:r>
              <w:rPr>
                <w:rFonts w:hint="eastAsia"/>
                <w:color w:val="auto"/>
                <w:szCs w:val="21"/>
                <w:highlight w:val="none"/>
              </w:rPr>
              <w:t>注册结构师执业资格，且具</w:t>
            </w:r>
            <w:r>
              <w:rPr>
                <w:color w:val="auto"/>
                <w:szCs w:val="21"/>
                <w:highlight w:val="none"/>
              </w:rPr>
              <w:t>有</w:t>
            </w:r>
            <w:r>
              <w:rPr>
                <w:rFonts w:hint="eastAsia"/>
                <w:b/>
                <w:bCs/>
                <w:color w:val="auto"/>
                <w:szCs w:val="21"/>
                <w:highlight w:val="none"/>
              </w:rPr>
              <w:t>中级及以上</w:t>
            </w:r>
            <w:r>
              <w:rPr>
                <w:rFonts w:hint="eastAsia"/>
                <w:color w:val="auto"/>
                <w:szCs w:val="21"/>
                <w:highlight w:val="none"/>
              </w:rPr>
              <w:t>职称的，得</w:t>
            </w:r>
            <w:r>
              <w:rPr>
                <w:color w:val="auto"/>
                <w:szCs w:val="21"/>
                <w:highlight w:val="none"/>
              </w:rPr>
              <w:t>1</w:t>
            </w:r>
            <w:r>
              <w:rPr>
                <w:rFonts w:hint="eastAsia"/>
                <w:color w:val="auto"/>
                <w:szCs w:val="21"/>
                <w:highlight w:val="none"/>
              </w:rPr>
              <w:t>分。</w:t>
            </w:r>
          </w:p>
          <w:p>
            <w:pPr>
              <w:pStyle w:val="7"/>
              <w:spacing w:line="312" w:lineRule="auto"/>
              <w:rPr>
                <w:color w:val="auto"/>
                <w:szCs w:val="21"/>
                <w:highlight w:val="none"/>
              </w:rPr>
            </w:pPr>
            <w:r>
              <w:rPr>
                <w:rFonts w:hint="eastAsia"/>
                <w:color w:val="auto"/>
                <w:szCs w:val="21"/>
                <w:highlight w:val="none"/>
              </w:rPr>
              <w:t>（3）项目经理：具有二级及以上（建筑工程专业）注册建造师执业资格，建筑施工企业项目负责人安全生产考核合格证书，得</w:t>
            </w:r>
            <w:r>
              <w:rPr>
                <w:color w:val="auto"/>
                <w:szCs w:val="21"/>
                <w:highlight w:val="none"/>
              </w:rPr>
              <w:t>1</w:t>
            </w:r>
            <w:r>
              <w:rPr>
                <w:rFonts w:hint="eastAsia"/>
                <w:color w:val="auto"/>
                <w:szCs w:val="21"/>
                <w:highlight w:val="none"/>
              </w:rPr>
              <w:t>分。</w:t>
            </w:r>
          </w:p>
          <w:p>
            <w:pPr>
              <w:pStyle w:val="7"/>
              <w:spacing w:line="312" w:lineRule="auto"/>
              <w:rPr>
                <w:color w:val="auto"/>
                <w:szCs w:val="21"/>
                <w:highlight w:val="none"/>
              </w:rPr>
            </w:pPr>
            <w:r>
              <w:rPr>
                <w:rFonts w:hint="eastAsia"/>
                <w:color w:val="auto"/>
                <w:szCs w:val="21"/>
                <w:highlight w:val="none"/>
              </w:rPr>
              <w:t>（4）项目现场施工专职安全员：具有专职安全员安全生产考核合格证书（C类），得0.4分。</w:t>
            </w:r>
          </w:p>
          <w:p>
            <w:pPr>
              <w:spacing w:line="360" w:lineRule="exact"/>
              <w:rPr>
                <w:color w:val="auto"/>
                <w:szCs w:val="21"/>
                <w:highlight w:val="none"/>
              </w:rPr>
            </w:pPr>
            <w:r>
              <w:rPr>
                <w:rFonts w:hint="eastAsia"/>
                <w:color w:val="auto"/>
                <w:szCs w:val="21"/>
                <w:highlight w:val="none"/>
              </w:rPr>
              <w:t>（5）项目管理机构其他人员：技术负责人具有高级及以上职称的得0.</w:t>
            </w:r>
            <w:r>
              <w:rPr>
                <w:color w:val="auto"/>
                <w:szCs w:val="21"/>
                <w:highlight w:val="none"/>
              </w:rPr>
              <w:t>6</w:t>
            </w:r>
            <w:r>
              <w:rPr>
                <w:rFonts w:hint="eastAsia"/>
                <w:color w:val="auto"/>
                <w:szCs w:val="21"/>
                <w:highlight w:val="none"/>
              </w:rPr>
              <w:t>分，施工员、质检员、材料员、安全员均具有上岗证书的得0.</w:t>
            </w:r>
            <w:r>
              <w:rPr>
                <w:color w:val="auto"/>
                <w:szCs w:val="21"/>
                <w:highlight w:val="none"/>
              </w:rPr>
              <w:t>6</w:t>
            </w:r>
            <w:r>
              <w:rPr>
                <w:rFonts w:hint="eastAsia"/>
                <w:color w:val="auto"/>
                <w:szCs w:val="21"/>
                <w:highlight w:val="none"/>
              </w:rPr>
              <w:t>分（缺任何一项的不得分）【注：须附相应人员职称证书或上岗证书的复印件，否则，评审时不予承认】。</w:t>
            </w:r>
          </w:p>
          <w:p>
            <w:pPr>
              <w:pStyle w:val="7"/>
              <w:rPr>
                <w:color w:val="auto"/>
                <w:highlight w:val="none"/>
              </w:rPr>
            </w:pPr>
            <w:r>
              <w:rPr>
                <w:rFonts w:hint="eastAsia"/>
                <w:color w:val="auto"/>
                <w:highlight w:val="none"/>
              </w:rPr>
              <w:t>以</w:t>
            </w:r>
            <w:r>
              <w:rPr>
                <w:color w:val="auto"/>
                <w:highlight w:val="none"/>
              </w:rPr>
              <w:t>上人员不能为同一人；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883" w:type="dxa"/>
            <w:vMerge w:val="restart"/>
            <w:noWrap/>
            <w:vAlign w:val="center"/>
          </w:tcPr>
          <w:p>
            <w:pPr>
              <w:spacing w:line="360" w:lineRule="auto"/>
              <w:jc w:val="center"/>
              <w:rPr>
                <w:color w:val="auto"/>
                <w:szCs w:val="21"/>
                <w:highlight w:val="none"/>
              </w:rPr>
            </w:pPr>
            <w:r>
              <w:rPr>
                <w:rFonts w:hint="eastAsia"/>
                <w:color w:val="auto"/>
                <w:szCs w:val="21"/>
                <w:highlight w:val="none"/>
              </w:rPr>
              <w:t>2.2.4（2）</w:t>
            </w:r>
          </w:p>
        </w:tc>
        <w:tc>
          <w:tcPr>
            <w:tcW w:w="1182" w:type="dxa"/>
            <w:vMerge w:val="restart"/>
            <w:noWrap/>
            <w:vAlign w:val="center"/>
          </w:tcPr>
          <w:p>
            <w:pPr>
              <w:spacing w:line="360" w:lineRule="auto"/>
              <w:jc w:val="center"/>
              <w:rPr>
                <w:color w:val="auto"/>
                <w:szCs w:val="21"/>
                <w:highlight w:val="none"/>
              </w:rPr>
            </w:pPr>
            <w:r>
              <w:rPr>
                <w:rFonts w:hint="eastAsia" w:ascii="宋体" w:hAnsi="宋体"/>
                <w:color w:val="auto"/>
                <w:szCs w:val="21"/>
                <w:highlight w:val="none"/>
              </w:rPr>
              <w:t>施工组织设计评分标准</w:t>
            </w:r>
            <w:r>
              <w:rPr>
                <w:rFonts w:hint="eastAsia"/>
                <w:color w:val="auto"/>
                <w:szCs w:val="21"/>
                <w:highlight w:val="none"/>
              </w:rPr>
              <w:t>（满分10分）</w:t>
            </w:r>
          </w:p>
        </w:tc>
        <w:tc>
          <w:tcPr>
            <w:tcW w:w="2864" w:type="dxa"/>
            <w:gridSpan w:val="3"/>
            <w:noWrap/>
            <w:vAlign w:val="center"/>
          </w:tcPr>
          <w:p>
            <w:pPr>
              <w:spacing w:line="360" w:lineRule="exact"/>
              <w:rPr>
                <w:color w:val="auto"/>
                <w:kern w:val="0"/>
                <w:szCs w:val="21"/>
                <w:highlight w:val="none"/>
              </w:rPr>
            </w:pPr>
            <w:r>
              <w:rPr>
                <w:color w:val="auto"/>
                <w:kern w:val="0"/>
                <w:szCs w:val="21"/>
                <w:highlight w:val="none"/>
              </w:rPr>
              <w:t>主要施工方法</w:t>
            </w:r>
          </w:p>
          <w:p>
            <w:pPr>
              <w:spacing w:line="360" w:lineRule="exact"/>
              <w:rPr>
                <w:color w:val="auto"/>
                <w:highlight w:val="none"/>
              </w:rPr>
            </w:pPr>
            <w:r>
              <w:rPr>
                <w:rFonts w:hint="eastAsia"/>
                <w:color w:val="auto"/>
                <w:highlight w:val="none"/>
              </w:rPr>
              <w:t>（</w:t>
            </w:r>
            <w:r>
              <w:rPr>
                <w:color w:val="auto"/>
                <w:highlight w:val="none"/>
              </w:rPr>
              <w:t>2</w:t>
            </w:r>
            <w:r>
              <w:rPr>
                <w:rFonts w:hint="eastAsia"/>
                <w:color w:val="auto"/>
                <w:highlight w:val="none"/>
              </w:rPr>
              <w:t>分）</w:t>
            </w:r>
          </w:p>
        </w:tc>
        <w:tc>
          <w:tcPr>
            <w:tcW w:w="5776" w:type="dxa"/>
            <w:gridSpan w:val="3"/>
            <w:noWrap/>
            <w:vAlign w:val="center"/>
          </w:tcPr>
          <w:p>
            <w:pPr>
              <w:widowControl/>
              <w:spacing w:line="360" w:lineRule="exact"/>
              <w:rPr>
                <w:color w:val="auto"/>
                <w:kern w:val="0"/>
                <w:szCs w:val="21"/>
                <w:highlight w:val="none"/>
              </w:rPr>
            </w:pPr>
            <w:r>
              <w:rPr>
                <w:color w:val="auto"/>
                <w:kern w:val="0"/>
                <w:szCs w:val="21"/>
                <w:highlight w:val="none"/>
              </w:rPr>
              <w:t>各主要分部施工方法符合项目实际，须有详尽的施工技术方案，工艺先进、方法科学合理、可行，能指导具体施工并确保安全。</w:t>
            </w:r>
          </w:p>
          <w:p>
            <w:pPr>
              <w:pStyle w:val="7"/>
              <w:widowControl/>
              <w:spacing w:line="360" w:lineRule="exact"/>
              <w:rPr>
                <w:color w:val="auto"/>
                <w:highlight w:val="none"/>
              </w:rPr>
            </w:pPr>
            <w:r>
              <w:rPr>
                <w:rFonts w:hint="eastAsia" w:ascii="宋体" w:hAnsi="宋体"/>
                <w:bCs/>
                <w:color w:val="auto"/>
                <w:szCs w:val="21"/>
                <w:highlight w:val="none"/>
              </w:rPr>
              <w:t>评分：差得0～0.</w:t>
            </w:r>
            <w:r>
              <w:rPr>
                <w:rFonts w:ascii="宋体" w:hAnsi="宋体"/>
                <w:bCs/>
                <w:color w:val="auto"/>
                <w:szCs w:val="21"/>
                <w:highlight w:val="none"/>
              </w:rPr>
              <w:t>3</w:t>
            </w:r>
            <w:r>
              <w:rPr>
                <w:rFonts w:hint="eastAsia" w:ascii="宋体" w:hAnsi="宋体"/>
                <w:bCs/>
                <w:color w:val="auto"/>
                <w:szCs w:val="21"/>
                <w:highlight w:val="none"/>
              </w:rPr>
              <w:t>分，中得0.</w:t>
            </w:r>
            <w:r>
              <w:rPr>
                <w:rFonts w:ascii="宋体" w:hAnsi="宋体"/>
                <w:bCs/>
                <w:color w:val="auto"/>
                <w:szCs w:val="21"/>
                <w:highlight w:val="none"/>
              </w:rPr>
              <w:t>4</w:t>
            </w:r>
            <w:r>
              <w:rPr>
                <w:rFonts w:hint="eastAsia" w:ascii="宋体" w:hAnsi="宋体"/>
                <w:bCs/>
                <w:color w:val="auto"/>
                <w:szCs w:val="21"/>
                <w:highlight w:val="none"/>
              </w:rPr>
              <w:t>～0.</w:t>
            </w:r>
            <w:r>
              <w:rPr>
                <w:rFonts w:ascii="宋体" w:hAnsi="宋体"/>
                <w:bCs/>
                <w:color w:val="auto"/>
                <w:szCs w:val="21"/>
                <w:highlight w:val="none"/>
              </w:rPr>
              <w:t>7</w:t>
            </w:r>
            <w:r>
              <w:rPr>
                <w:rFonts w:hint="eastAsia" w:ascii="宋体" w:hAnsi="宋体"/>
                <w:bCs/>
                <w:color w:val="auto"/>
                <w:szCs w:val="21"/>
                <w:highlight w:val="none"/>
              </w:rPr>
              <w:t>分，良得</w:t>
            </w:r>
            <w:r>
              <w:rPr>
                <w:rFonts w:ascii="宋体" w:hAnsi="宋体"/>
                <w:bCs/>
                <w:color w:val="auto"/>
                <w:szCs w:val="21"/>
                <w:highlight w:val="none"/>
              </w:rPr>
              <w:t>0.8</w:t>
            </w:r>
            <w:r>
              <w:rPr>
                <w:rFonts w:hint="eastAsia" w:ascii="宋体" w:hAnsi="宋体"/>
                <w:bCs/>
                <w:color w:val="auto"/>
                <w:szCs w:val="21"/>
                <w:highlight w:val="none"/>
              </w:rPr>
              <w:t>～</w:t>
            </w:r>
            <w:r>
              <w:rPr>
                <w:rFonts w:ascii="宋体" w:hAnsi="宋体"/>
                <w:bCs/>
                <w:color w:val="auto"/>
                <w:szCs w:val="21"/>
                <w:highlight w:val="none"/>
              </w:rPr>
              <w:t>1.3</w:t>
            </w:r>
            <w:r>
              <w:rPr>
                <w:rFonts w:hint="eastAsia" w:ascii="宋体" w:hAnsi="宋体"/>
                <w:bCs/>
                <w:color w:val="auto"/>
                <w:szCs w:val="21"/>
                <w:highlight w:val="none"/>
              </w:rPr>
              <w:t>分，优得</w:t>
            </w:r>
            <w:r>
              <w:rPr>
                <w:rFonts w:ascii="宋体" w:hAnsi="宋体"/>
                <w:bCs/>
                <w:color w:val="auto"/>
                <w:szCs w:val="21"/>
                <w:highlight w:val="none"/>
              </w:rPr>
              <w:t>1.4</w:t>
            </w:r>
            <w:r>
              <w:rPr>
                <w:rFonts w:hint="eastAsia" w:ascii="宋体" w:hAnsi="宋体"/>
                <w:bCs/>
                <w:color w:val="auto"/>
                <w:szCs w:val="21"/>
                <w:highlight w:val="none"/>
              </w:rPr>
              <w:t>～</w:t>
            </w:r>
            <w:r>
              <w:rPr>
                <w:rFonts w:ascii="宋体" w:hAnsi="宋体"/>
                <w:bCs/>
                <w:color w:val="auto"/>
                <w:szCs w:val="21"/>
                <w:highlight w:val="none"/>
              </w:rPr>
              <w:t>2</w:t>
            </w:r>
            <w:r>
              <w:rPr>
                <w:rFonts w:hint="eastAsia" w:ascii="宋体" w:hAnsi="宋体"/>
                <w:bCs/>
                <w:color w:val="auto"/>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widowControl/>
              <w:spacing w:line="360" w:lineRule="exact"/>
              <w:rPr>
                <w:color w:val="auto"/>
                <w:szCs w:val="21"/>
                <w:highlight w:val="none"/>
              </w:rPr>
            </w:pPr>
            <w:r>
              <w:rPr>
                <w:color w:val="auto"/>
                <w:kern w:val="0"/>
                <w:szCs w:val="21"/>
                <w:highlight w:val="none"/>
              </w:rPr>
              <w:t>拟投入的主要物资计划</w:t>
            </w:r>
            <w:r>
              <w:rPr>
                <w:rFonts w:hint="eastAsia"/>
                <w:color w:val="auto"/>
                <w:highlight w:val="none"/>
              </w:rPr>
              <w:t>（1分）</w:t>
            </w:r>
          </w:p>
        </w:tc>
        <w:tc>
          <w:tcPr>
            <w:tcW w:w="5776" w:type="dxa"/>
            <w:gridSpan w:val="3"/>
            <w:noWrap/>
            <w:vAlign w:val="center"/>
          </w:tcPr>
          <w:p>
            <w:pPr>
              <w:widowControl/>
              <w:spacing w:line="360" w:lineRule="exact"/>
              <w:rPr>
                <w:color w:val="auto"/>
                <w:kern w:val="0"/>
                <w:szCs w:val="21"/>
                <w:highlight w:val="none"/>
              </w:rPr>
            </w:pPr>
            <w:r>
              <w:rPr>
                <w:color w:val="auto"/>
                <w:kern w:val="0"/>
                <w:szCs w:val="21"/>
                <w:highlight w:val="none"/>
              </w:rPr>
              <w:t>投入的施工材料有详细的组织计划且计划周密，数量、选型配置、进场时间安排合理，满足施工需要。</w:t>
            </w:r>
          </w:p>
          <w:p>
            <w:pPr>
              <w:pStyle w:val="7"/>
              <w:widowControl/>
              <w:spacing w:line="360" w:lineRule="exact"/>
              <w:rPr>
                <w:color w:val="auto"/>
                <w:highlight w:val="none"/>
              </w:rPr>
            </w:pPr>
            <w:r>
              <w:rPr>
                <w:rFonts w:hint="eastAsia" w:ascii="宋体" w:hAnsi="宋体"/>
                <w:bCs/>
                <w:color w:val="auto"/>
                <w:szCs w:val="21"/>
                <w:highlight w:val="none"/>
              </w:rPr>
              <w:t>评分：差得0～0.25分，中得0.26～0.5分，良得0.51～0.75分，优得0.76～1.0分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widowControl/>
              <w:spacing w:line="360" w:lineRule="exact"/>
              <w:rPr>
                <w:color w:val="auto"/>
                <w:szCs w:val="21"/>
                <w:highlight w:val="none"/>
              </w:rPr>
            </w:pPr>
            <w:r>
              <w:rPr>
                <w:color w:val="auto"/>
                <w:kern w:val="0"/>
                <w:szCs w:val="21"/>
                <w:highlight w:val="none"/>
              </w:rPr>
              <w:t>拟投入的主要施工机械、设备计划</w:t>
            </w:r>
            <w:r>
              <w:rPr>
                <w:rFonts w:hint="eastAsia"/>
                <w:color w:val="auto"/>
                <w:highlight w:val="none"/>
              </w:rPr>
              <w:t>（1分）</w:t>
            </w:r>
          </w:p>
        </w:tc>
        <w:tc>
          <w:tcPr>
            <w:tcW w:w="5776" w:type="dxa"/>
            <w:gridSpan w:val="3"/>
            <w:noWrap/>
            <w:vAlign w:val="center"/>
          </w:tcPr>
          <w:p>
            <w:pPr>
              <w:widowControl/>
              <w:spacing w:line="360" w:lineRule="exact"/>
              <w:rPr>
                <w:color w:val="auto"/>
                <w:kern w:val="0"/>
                <w:szCs w:val="21"/>
                <w:highlight w:val="none"/>
              </w:rPr>
            </w:pPr>
            <w:r>
              <w:rPr>
                <w:color w:val="auto"/>
                <w:kern w:val="0"/>
                <w:szCs w:val="21"/>
                <w:highlight w:val="none"/>
              </w:rPr>
              <w:t>投入的施工机械、设备、机具有详细的组织计划且计划周密，设备数量、选型配置、进场时间安排合理，满足施工需要。</w:t>
            </w:r>
          </w:p>
          <w:p>
            <w:pPr>
              <w:pStyle w:val="7"/>
              <w:widowControl/>
              <w:spacing w:line="360" w:lineRule="exact"/>
              <w:rPr>
                <w:color w:val="auto"/>
                <w:highlight w:val="none"/>
              </w:rPr>
            </w:pPr>
            <w:r>
              <w:rPr>
                <w:rFonts w:hint="eastAsia" w:ascii="宋体" w:hAnsi="宋体"/>
                <w:bCs/>
                <w:color w:val="auto"/>
                <w:szCs w:val="21"/>
                <w:highlight w:val="none"/>
              </w:rPr>
              <w:t>评分：差得0～0.25分，中得0.26～0.5分，良得0.51～0.75分，优得0.76～1.0分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widowControl/>
              <w:spacing w:line="360" w:lineRule="exact"/>
              <w:rPr>
                <w:color w:val="auto"/>
                <w:szCs w:val="21"/>
                <w:highlight w:val="none"/>
              </w:rPr>
            </w:pPr>
            <w:r>
              <w:rPr>
                <w:color w:val="auto"/>
                <w:kern w:val="0"/>
                <w:szCs w:val="21"/>
                <w:highlight w:val="none"/>
              </w:rPr>
              <w:t>劳动力安排计划</w:t>
            </w:r>
            <w:r>
              <w:rPr>
                <w:rFonts w:hint="eastAsia"/>
                <w:color w:val="auto"/>
                <w:highlight w:val="none"/>
              </w:rPr>
              <w:t>（1分）</w:t>
            </w:r>
          </w:p>
        </w:tc>
        <w:tc>
          <w:tcPr>
            <w:tcW w:w="5776" w:type="dxa"/>
            <w:gridSpan w:val="3"/>
            <w:noWrap/>
            <w:vAlign w:val="center"/>
          </w:tcPr>
          <w:p>
            <w:pPr>
              <w:widowControl/>
              <w:spacing w:line="360" w:lineRule="exact"/>
              <w:rPr>
                <w:color w:val="auto"/>
                <w:kern w:val="0"/>
                <w:szCs w:val="21"/>
                <w:highlight w:val="none"/>
              </w:rPr>
            </w:pPr>
            <w:r>
              <w:rPr>
                <w:color w:val="auto"/>
                <w:kern w:val="0"/>
                <w:szCs w:val="21"/>
                <w:highlight w:val="none"/>
              </w:rPr>
              <w:t>各主要施工工序应有详细周密的劳动力安排计划，有各工种劳动力安排计划，劳动力投入合理，满足施工需要。</w:t>
            </w:r>
          </w:p>
          <w:p>
            <w:pPr>
              <w:pStyle w:val="7"/>
              <w:widowControl/>
              <w:spacing w:line="360" w:lineRule="exact"/>
              <w:rPr>
                <w:color w:val="auto"/>
                <w:highlight w:val="none"/>
              </w:rPr>
            </w:pPr>
            <w:r>
              <w:rPr>
                <w:rFonts w:hint="eastAsia" w:ascii="宋体" w:hAnsi="宋体"/>
                <w:bCs/>
                <w:color w:val="auto"/>
                <w:szCs w:val="21"/>
                <w:highlight w:val="none"/>
              </w:rPr>
              <w:t>评分：差得0～0.25分，中得0.26～0.5分，良得0.51～0.75分，优得0.76～1.0分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widowControl/>
              <w:spacing w:line="360" w:lineRule="exact"/>
              <w:rPr>
                <w:color w:val="auto"/>
                <w:kern w:val="0"/>
                <w:szCs w:val="21"/>
                <w:highlight w:val="none"/>
              </w:rPr>
            </w:pPr>
            <w:r>
              <w:rPr>
                <w:color w:val="auto"/>
                <w:kern w:val="0"/>
                <w:szCs w:val="21"/>
                <w:highlight w:val="none"/>
              </w:rPr>
              <w:t>确保工程质量的技术组织措施</w:t>
            </w:r>
            <w:r>
              <w:rPr>
                <w:rFonts w:hint="eastAsia"/>
                <w:color w:val="auto"/>
                <w:highlight w:val="none"/>
              </w:rPr>
              <w:t>（1分）</w:t>
            </w:r>
          </w:p>
        </w:tc>
        <w:tc>
          <w:tcPr>
            <w:tcW w:w="5776" w:type="dxa"/>
            <w:gridSpan w:val="3"/>
            <w:noWrap/>
            <w:vAlign w:val="center"/>
          </w:tcPr>
          <w:p>
            <w:pPr>
              <w:widowControl/>
              <w:spacing w:line="360" w:lineRule="exact"/>
              <w:rPr>
                <w:color w:val="auto"/>
                <w:kern w:val="0"/>
                <w:szCs w:val="21"/>
                <w:highlight w:val="none"/>
              </w:rPr>
            </w:pPr>
            <w:r>
              <w:rPr>
                <w:color w:val="auto"/>
                <w:kern w:val="0"/>
                <w:szCs w:val="21"/>
                <w:highlight w:val="none"/>
              </w:rPr>
              <w:t>应有专门的质量技术管理班子和制度，且人员配备合理，制度健全。主要工序应有质量技术保证措施和手段，自控体系完整，能有效保证技术质量，达到承诺的质量标准。</w:t>
            </w:r>
          </w:p>
          <w:p>
            <w:pPr>
              <w:pStyle w:val="7"/>
              <w:widowControl/>
              <w:spacing w:line="360" w:lineRule="exact"/>
              <w:rPr>
                <w:color w:val="auto"/>
                <w:highlight w:val="none"/>
              </w:rPr>
            </w:pPr>
            <w:r>
              <w:rPr>
                <w:rFonts w:hint="eastAsia" w:ascii="宋体" w:hAnsi="宋体"/>
                <w:bCs/>
                <w:color w:val="auto"/>
                <w:szCs w:val="21"/>
                <w:highlight w:val="none"/>
              </w:rPr>
              <w:t>评分：差得0～0.25分，中得0.26～0.5分，良得0.51～0.75分，优得0.76～1.0分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widowControl/>
              <w:spacing w:line="360" w:lineRule="exact"/>
              <w:rPr>
                <w:color w:val="auto"/>
                <w:kern w:val="0"/>
                <w:szCs w:val="21"/>
                <w:highlight w:val="none"/>
              </w:rPr>
            </w:pPr>
            <w:r>
              <w:rPr>
                <w:color w:val="auto"/>
                <w:kern w:val="0"/>
                <w:szCs w:val="21"/>
                <w:highlight w:val="none"/>
              </w:rPr>
              <w:t>确保安全生产的技术组织措施</w:t>
            </w:r>
            <w:r>
              <w:rPr>
                <w:rFonts w:hint="eastAsia"/>
                <w:color w:val="auto"/>
                <w:highlight w:val="none"/>
              </w:rPr>
              <w:t>（1分）</w:t>
            </w:r>
          </w:p>
        </w:tc>
        <w:tc>
          <w:tcPr>
            <w:tcW w:w="5776" w:type="dxa"/>
            <w:gridSpan w:val="3"/>
            <w:noWrap/>
            <w:vAlign w:val="center"/>
          </w:tcPr>
          <w:p>
            <w:pPr>
              <w:widowControl/>
              <w:spacing w:line="360" w:lineRule="exact"/>
              <w:rPr>
                <w:color w:val="auto"/>
                <w:kern w:val="0"/>
                <w:szCs w:val="21"/>
                <w:highlight w:val="none"/>
              </w:rPr>
            </w:pPr>
            <w:r>
              <w:rPr>
                <w:color w:val="auto"/>
                <w:kern w:val="0"/>
                <w:szCs w:val="21"/>
                <w:highlight w:val="none"/>
              </w:rPr>
              <w:t>应有专门的安全管理人员和制度，且人员配备合理，制度健全，各道工序安全技术措施针对性强，符合实际且满足有关安全技术标准要求。现场防火、应急救援、社会治安安全措施得力。</w:t>
            </w:r>
          </w:p>
          <w:p>
            <w:pPr>
              <w:pStyle w:val="7"/>
              <w:widowControl/>
              <w:spacing w:line="360" w:lineRule="exact"/>
              <w:rPr>
                <w:color w:val="auto"/>
                <w:highlight w:val="none"/>
              </w:rPr>
            </w:pPr>
            <w:r>
              <w:rPr>
                <w:rFonts w:hint="eastAsia" w:ascii="宋体" w:hAnsi="宋体"/>
                <w:bCs/>
                <w:color w:val="auto"/>
                <w:szCs w:val="21"/>
                <w:highlight w:val="none"/>
              </w:rPr>
              <w:t>评分：差得0～0.25分，中得0.26～0.5分，良得0.51～0.75分，优得0.76～1.0分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widowControl/>
              <w:spacing w:line="360" w:lineRule="exact"/>
              <w:rPr>
                <w:color w:val="auto"/>
                <w:szCs w:val="21"/>
                <w:highlight w:val="none"/>
              </w:rPr>
            </w:pPr>
            <w:r>
              <w:rPr>
                <w:color w:val="auto"/>
                <w:kern w:val="0"/>
                <w:szCs w:val="21"/>
                <w:highlight w:val="none"/>
              </w:rPr>
              <w:t>确保工期的技术组织措施</w:t>
            </w:r>
            <w:r>
              <w:rPr>
                <w:rFonts w:hint="eastAsia"/>
                <w:color w:val="auto"/>
                <w:highlight w:val="none"/>
              </w:rPr>
              <w:t>（1分）</w:t>
            </w:r>
          </w:p>
        </w:tc>
        <w:tc>
          <w:tcPr>
            <w:tcW w:w="5776" w:type="dxa"/>
            <w:gridSpan w:val="3"/>
            <w:noWrap/>
            <w:vAlign w:val="center"/>
          </w:tcPr>
          <w:p>
            <w:pPr>
              <w:widowControl/>
              <w:spacing w:line="360" w:lineRule="exact"/>
              <w:rPr>
                <w:color w:val="auto"/>
                <w:kern w:val="0"/>
                <w:szCs w:val="21"/>
                <w:highlight w:val="none"/>
              </w:rPr>
            </w:pPr>
            <w:r>
              <w:rPr>
                <w:color w:val="auto"/>
                <w:kern w:val="0"/>
                <w:szCs w:val="21"/>
                <w:highlight w:val="none"/>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pPr>
              <w:pStyle w:val="7"/>
              <w:widowControl/>
              <w:spacing w:line="360" w:lineRule="exact"/>
              <w:rPr>
                <w:color w:val="auto"/>
                <w:highlight w:val="none"/>
              </w:rPr>
            </w:pPr>
            <w:r>
              <w:rPr>
                <w:rFonts w:hint="eastAsia" w:ascii="宋体" w:hAnsi="宋体"/>
                <w:bCs/>
                <w:color w:val="auto"/>
                <w:szCs w:val="21"/>
                <w:highlight w:val="none"/>
              </w:rPr>
              <w:t>评分：差得0～0.25分，中得0.26～0.5分，良得0.51～0.75分，优得0.76～1.0分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widowControl/>
              <w:spacing w:line="360" w:lineRule="exact"/>
              <w:rPr>
                <w:color w:val="auto"/>
                <w:szCs w:val="21"/>
                <w:highlight w:val="none"/>
              </w:rPr>
            </w:pPr>
            <w:r>
              <w:rPr>
                <w:color w:val="auto"/>
                <w:kern w:val="0"/>
                <w:szCs w:val="21"/>
                <w:highlight w:val="none"/>
              </w:rPr>
              <w:t>确保文明施工的技术组织措施</w:t>
            </w:r>
            <w:r>
              <w:rPr>
                <w:rFonts w:hint="eastAsia"/>
                <w:color w:val="auto"/>
                <w:highlight w:val="none"/>
              </w:rPr>
              <w:t>（1分）</w:t>
            </w:r>
          </w:p>
        </w:tc>
        <w:tc>
          <w:tcPr>
            <w:tcW w:w="5776" w:type="dxa"/>
            <w:gridSpan w:val="3"/>
            <w:noWrap/>
            <w:vAlign w:val="center"/>
          </w:tcPr>
          <w:p>
            <w:pPr>
              <w:widowControl/>
              <w:spacing w:line="360" w:lineRule="exact"/>
              <w:rPr>
                <w:color w:val="auto"/>
                <w:kern w:val="0"/>
                <w:szCs w:val="21"/>
                <w:highlight w:val="none"/>
              </w:rPr>
            </w:pPr>
            <w:r>
              <w:rPr>
                <w:color w:val="auto"/>
                <w:kern w:val="0"/>
                <w:szCs w:val="21"/>
                <w:highlight w:val="none"/>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w:t>
            </w:r>
          </w:p>
          <w:p>
            <w:pPr>
              <w:pStyle w:val="7"/>
              <w:widowControl/>
              <w:spacing w:line="360" w:lineRule="exact"/>
              <w:rPr>
                <w:color w:val="auto"/>
                <w:highlight w:val="none"/>
              </w:rPr>
            </w:pPr>
            <w:r>
              <w:rPr>
                <w:rFonts w:hint="eastAsia" w:ascii="宋体" w:hAnsi="宋体"/>
                <w:bCs/>
                <w:color w:val="auto"/>
                <w:szCs w:val="21"/>
                <w:highlight w:val="none"/>
              </w:rPr>
              <w:t>评分：差得0～0.25分，中得0.26～0.5分，良得0.51～0.75分，优得0.76～1.0分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883" w:type="dxa"/>
            <w:vMerge w:val="continue"/>
            <w:noWrap/>
            <w:vAlign w:val="center"/>
          </w:tcPr>
          <w:p>
            <w:pPr>
              <w:spacing w:line="360" w:lineRule="auto"/>
              <w:jc w:val="center"/>
              <w:rPr>
                <w:color w:val="auto"/>
                <w:szCs w:val="21"/>
                <w:highlight w:val="none"/>
              </w:rPr>
            </w:pPr>
          </w:p>
        </w:tc>
        <w:tc>
          <w:tcPr>
            <w:tcW w:w="1182" w:type="dxa"/>
            <w:vMerge w:val="continue"/>
            <w:noWrap/>
            <w:vAlign w:val="center"/>
          </w:tcPr>
          <w:p>
            <w:pPr>
              <w:spacing w:line="360" w:lineRule="auto"/>
              <w:jc w:val="center"/>
              <w:rPr>
                <w:color w:val="auto"/>
                <w:szCs w:val="21"/>
                <w:highlight w:val="none"/>
              </w:rPr>
            </w:pPr>
          </w:p>
        </w:tc>
        <w:tc>
          <w:tcPr>
            <w:tcW w:w="2864" w:type="dxa"/>
            <w:gridSpan w:val="3"/>
            <w:noWrap/>
            <w:vAlign w:val="center"/>
          </w:tcPr>
          <w:p>
            <w:pPr>
              <w:widowControl/>
              <w:spacing w:line="360" w:lineRule="exact"/>
              <w:rPr>
                <w:color w:val="auto"/>
                <w:szCs w:val="21"/>
                <w:highlight w:val="none"/>
              </w:rPr>
            </w:pPr>
            <w:r>
              <w:rPr>
                <w:color w:val="auto"/>
                <w:kern w:val="0"/>
                <w:szCs w:val="21"/>
                <w:highlight w:val="none"/>
              </w:rPr>
              <w:t>工程施工的重点和难点及保证措施</w:t>
            </w:r>
            <w:r>
              <w:rPr>
                <w:rFonts w:hint="eastAsia"/>
                <w:color w:val="auto"/>
                <w:highlight w:val="none"/>
              </w:rPr>
              <w:t>（1分）</w:t>
            </w:r>
          </w:p>
        </w:tc>
        <w:tc>
          <w:tcPr>
            <w:tcW w:w="5776" w:type="dxa"/>
            <w:gridSpan w:val="3"/>
            <w:noWrap/>
            <w:vAlign w:val="center"/>
          </w:tcPr>
          <w:p>
            <w:pPr>
              <w:widowControl/>
              <w:spacing w:line="360" w:lineRule="exact"/>
              <w:rPr>
                <w:color w:val="auto"/>
                <w:kern w:val="0"/>
                <w:szCs w:val="21"/>
                <w:highlight w:val="none"/>
              </w:rPr>
            </w:pPr>
            <w:r>
              <w:rPr>
                <w:color w:val="auto"/>
                <w:kern w:val="0"/>
                <w:szCs w:val="21"/>
                <w:highlight w:val="none"/>
              </w:rPr>
              <w:t>针对本工程的特点，阐述本工程的重点和难点，解决重点和难点问题的方法是否合理。</w:t>
            </w:r>
          </w:p>
          <w:p>
            <w:pPr>
              <w:pStyle w:val="7"/>
              <w:widowControl/>
              <w:spacing w:line="360" w:lineRule="exact"/>
              <w:rPr>
                <w:color w:val="auto"/>
                <w:highlight w:val="none"/>
              </w:rPr>
            </w:pPr>
            <w:r>
              <w:rPr>
                <w:rFonts w:hint="eastAsia" w:ascii="宋体" w:hAnsi="宋体"/>
                <w:bCs/>
                <w:color w:val="auto"/>
                <w:szCs w:val="21"/>
                <w:highlight w:val="none"/>
              </w:rPr>
              <w:t>评分：差得0～0.25分，中得0.26～0.5分，良得0.51～0.75分，优得0.76～1.0分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noWrap/>
            <w:vAlign w:val="center"/>
          </w:tcPr>
          <w:p>
            <w:pPr>
              <w:spacing w:line="360" w:lineRule="auto"/>
              <w:jc w:val="center"/>
              <w:rPr>
                <w:color w:val="auto"/>
                <w:szCs w:val="21"/>
                <w:highlight w:val="none"/>
              </w:rPr>
            </w:pPr>
            <w:r>
              <w:rPr>
                <w:color w:val="auto"/>
                <w:szCs w:val="21"/>
                <w:highlight w:val="none"/>
              </w:rPr>
              <w:t>2.2.4</w:t>
            </w:r>
            <w:r>
              <w:rPr>
                <w:rFonts w:hint="eastAsia"/>
                <w:color w:val="auto"/>
                <w:szCs w:val="21"/>
                <w:highlight w:val="none"/>
              </w:rPr>
              <w:t>（3）</w:t>
            </w:r>
          </w:p>
        </w:tc>
        <w:tc>
          <w:tcPr>
            <w:tcW w:w="1182" w:type="dxa"/>
            <w:noWrap/>
            <w:vAlign w:val="center"/>
          </w:tcPr>
          <w:p>
            <w:pPr>
              <w:spacing w:line="360" w:lineRule="auto"/>
              <w:jc w:val="center"/>
              <w:rPr>
                <w:color w:val="auto"/>
                <w:szCs w:val="21"/>
                <w:highlight w:val="none"/>
              </w:rPr>
            </w:pPr>
            <w:r>
              <w:rPr>
                <w:rFonts w:hint="eastAsia"/>
                <w:color w:val="auto"/>
                <w:szCs w:val="21"/>
                <w:highlight w:val="none"/>
              </w:rPr>
              <w:t>资信业绩评分标准（满分</w:t>
            </w:r>
            <w:r>
              <w:rPr>
                <w:rFonts w:ascii="宋体" w:hAnsi="宋体"/>
                <w:color w:val="auto"/>
                <w:szCs w:val="21"/>
                <w:highlight w:val="none"/>
              </w:rPr>
              <w:t>15</w:t>
            </w:r>
            <w:r>
              <w:rPr>
                <w:rFonts w:hint="eastAsia" w:ascii="宋体" w:hAnsi="宋体"/>
                <w:color w:val="auto"/>
                <w:szCs w:val="21"/>
                <w:highlight w:val="none"/>
              </w:rPr>
              <w:t>分）</w:t>
            </w:r>
          </w:p>
        </w:tc>
        <w:tc>
          <w:tcPr>
            <w:tcW w:w="2864" w:type="dxa"/>
            <w:gridSpan w:val="3"/>
            <w:noWrap/>
            <w:vAlign w:val="center"/>
          </w:tcPr>
          <w:p>
            <w:pPr>
              <w:spacing w:line="440" w:lineRule="exact"/>
              <w:rPr>
                <w:color w:val="auto"/>
                <w:szCs w:val="21"/>
                <w:highlight w:val="none"/>
              </w:rPr>
            </w:pPr>
            <w:r>
              <w:rPr>
                <w:color w:val="auto"/>
                <w:szCs w:val="21"/>
                <w:highlight w:val="none"/>
              </w:rPr>
              <w:t>业绩</w:t>
            </w:r>
          </w:p>
        </w:tc>
        <w:tc>
          <w:tcPr>
            <w:tcW w:w="5776" w:type="dxa"/>
            <w:gridSpan w:val="3"/>
            <w:noWrap/>
            <w:vAlign w:val="center"/>
          </w:tcPr>
          <w:p>
            <w:pPr>
              <w:pStyle w:val="7"/>
              <w:rPr>
                <w:color w:val="auto"/>
                <w:highlight w:val="none"/>
              </w:rPr>
            </w:pPr>
            <w:r>
              <w:rPr>
                <w:rFonts w:hint="eastAsia"/>
                <w:color w:val="auto"/>
                <w:highlight w:val="none"/>
              </w:rPr>
              <w:t>类似业绩（满分</w:t>
            </w:r>
            <w:r>
              <w:rPr>
                <w:color w:val="auto"/>
                <w:highlight w:val="none"/>
              </w:rPr>
              <w:t>15</w:t>
            </w:r>
            <w:r>
              <w:rPr>
                <w:rFonts w:hint="eastAsia"/>
                <w:color w:val="auto"/>
                <w:highlight w:val="none"/>
              </w:rPr>
              <w:t>分）</w:t>
            </w:r>
          </w:p>
          <w:p>
            <w:pPr>
              <w:pStyle w:val="7"/>
              <w:rPr>
                <w:rFonts w:ascii="宋体" w:hAnsi="宋体" w:cs="宋体"/>
                <w:color w:val="auto"/>
                <w:highlight w:val="none"/>
              </w:rPr>
            </w:pPr>
            <w:r>
              <w:rPr>
                <w:rFonts w:hint="eastAsia"/>
                <w:color w:val="auto"/>
                <w:highlight w:val="none"/>
              </w:rPr>
              <w:t>（1）项</w:t>
            </w:r>
            <w:r>
              <w:rPr>
                <w:color w:val="auto"/>
                <w:highlight w:val="none"/>
              </w:rPr>
              <w:t>目业绩</w:t>
            </w:r>
            <w:r>
              <w:rPr>
                <w:rFonts w:hint="eastAsia"/>
                <w:color w:val="auto"/>
                <w:highlight w:val="none"/>
              </w:rPr>
              <w:t>（</w:t>
            </w:r>
            <w:r>
              <w:rPr>
                <w:color w:val="auto"/>
                <w:highlight w:val="none"/>
              </w:rPr>
              <w:t>满</w:t>
            </w:r>
            <w:r>
              <w:rPr>
                <w:rFonts w:hint="eastAsia"/>
                <w:color w:val="auto"/>
                <w:highlight w:val="none"/>
              </w:rPr>
              <w:t>分</w:t>
            </w:r>
            <w:r>
              <w:rPr>
                <w:color w:val="auto"/>
                <w:highlight w:val="none"/>
              </w:rPr>
              <w:t>6</w:t>
            </w:r>
            <w:r>
              <w:rPr>
                <w:rFonts w:hint="eastAsia"/>
                <w:color w:val="auto"/>
                <w:highlight w:val="none"/>
              </w:rPr>
              <w:t>分）。</w:t>
            </w:r>
            <w:r>
              <w:rPr>
                <w:rFonts w:hint="eastAsia" w:ascii="宋体" w:hAnsi="宋体" w:cs="宋体"/>
                <w:color w:val="auto"/>
                <w:highlight w:val="none"/>
              </w:rPr>
              <w:t>201</w:t>
            </w:r>
            <w:r>
              <w:rPr>
                <w:rFonts w:ascii="宋体" w:hAnsi="宋体" w:cs="宋体"/>
                <w:color w:val="auto"/>
                <w:highlight w:val="none"/>
              </w:rPr>
              <w:t>5</w:t>
            </w:r>
            <w:r>
              <w:rPr>
                <w:rFonts w:hint="eastAsia" w:ascii="宋体" w:hAnsi="宋体" w:cs="宋体"/>
                <w:color w:val="auto"/>
                <w:highlight w:val="none"/>
              </w:rPr>
              <w:t>年1月1日至今承担过类似工程业绩，每</w:t>
            </w:r>
            <w:r>
              <w:rPr>
                <w:rFonts w:ascii="宋体" w:hAnsi="宋体" w:cs="宋体"/>
                <w:color w:val="auto"/>
                <w:highlight w:val="none"/>
              </w:rPr>
              <w:t>个</w:t>
            </w:r>
            <w:r>
              <w:rPr>
                <w:rFonts w:hint="eastAsia" w:ascii="宋体" w:hAnsi="宋体" w:cs="宋体"/>
                <w:color w:val="auto"/>
                <w:highlight w:val="none"/>
              </w:rPr>
              <w:t>项</w:t>
            </w:r>
            <w:r>
              <w:rPr>
                <w:rFonts w:ascii="宋体" w:hAnsi="宋体" w:cs="宋体"/>
                <w:color w:val="auto"/>
                <w:highlight w:val="none"/>
              </w:rPr>
              <w:t>目</w:t>
            </w:r>
            <w:r>
              <w:rPr>
                <w:rFonts w:hint="eastAsia" w:ascii="宋体" w:hAnsi="宋体" w:cs="宋体"/>
                <w:color w:val="auto"/>
                <w:highlight w:val="none"/>
              </w:rPr>
              <w:t>得</w:t>
            </w:r>
            <w:r>
              <w:rPr>
                <w:rFonts w:ascii="宋体" w:hAnsi="宋体" w:cs="宋体"/>
                <w:color w:val="auto"/>
                <w:highlight w:val="none"/>
              </w:rPr>
              <w:t>3</w:t>
            </w:r>
            <w:r>
              <w:rPr>
                <w:rFonts w:hint="eastAsia" w:ascii="宋体" w:hAnsi="宋体" w:cs="宋体"/>
                <w:color w:val="auto"/>
                <w:highlight w:val="none"/>
              </w:rPr>
              <w:t>分。</w:t>
            </w:r>
          </w:p>
          <w:p>
            <w:pPr>
              <w:pStyle w:val="7"/>
              <w:rPr>
                <w:rFonts w:ascii="宋体" w:hAnsi="宋体" w:cs="宋体"/>
                <w:color w:val="auto"/>
                <w:highlight w:val="none"/>
              </w:rPr>
            </w:pPr>
            <w:r>
              <w:rPr>
                <w:rFonts w:hint="eastAsia" w:ascii="宋体" w:hAnsi="宋体" w:cs="宋体"/>
                <w:color w:val="auto"/>
                <w:highlight w:val="none"/>
              </w:rPr>
              <w:t>（2）项目总负责人业绩（满分</w:t>
            </w:r>
            <w:r>
              <w:rPr>
                <w:rFonts w:ascii="宋体" w:hAnsi="宋体" w:cs="宋体"/>
                <w:color w:val="auto"/>
                <w:highlight w:val="none"/>
              </w:rPr>
              <w:t>3</w:t>
            </w:r>
            <w:r>
              <w:rPr>
                <w:rFonts w:hint="eastAsia" w:ascii="宋体" w:hAnsi="宋体" w:cs="宋体"/>
                <w:color w:val="auto"/>
                <w:highlight w:val="none"/>
              </w:rPr>
              <w:t>分）。201</w:t>
            </w:r>
            <w:r>
              <w:rPr>
                <w:rFonts w:ascii="宋体" w:hAnsi="宋体" w:cs="宋体"/>
                <w:color w:val="auto"/>
                <w:highlight w:val="none"/>
              </w:rPr>
              <w:t>5</w:t>
            </w:r>
            <w:r>
              <w:rPr>
                <w:rFonts w:hint="eastAsia" w:ascii="宋体" w:hAnsi="宋体" w:cs="宋体"/>
                <w:color w:val="auto"/>
                <w:highlight w:val="none"/>
              </w:rPr>
              <w:t>年1月1日至今承担过类似工程业绩，每个项目得</w:t>
            </w:r>
            <w:r>
              <w:rPr>
                <w:rFonts w:ascii="宋体" w:hAnsi="宋体" w:cs="宋体"/>
                <w:color w:val="auto"/>
                <w:highlight w:val="none"/>
              </w:rPr>
              <w:t>3</w:t>
            </w:r>
            <w:r>
              <w:rPr>
                <w:rFonts w:hint="eastAsia" w:ascii="宋体" w:hAnsi="宋体" w:cs="宋体"/>
                <w:color w:val="auto"/>
                <w:highlight w:val="none"/>
              </w:rPr>
              <w:t>分。</w:t>
            </w:r>
          </w:p>
          <w:p>
            <w:pPr>
              <w:pStyle w:val="7"/>
              <w:rPr>
                <w:rFonts w:ascii="宋体" w:hAnsi="宋体" w:cs="宋体"/>
                <w:color w:val="auto"/>
                <w:highlight w:val="none"/>
              </w:rPr>
            </w:pPr>
            <w:r>
              <w:rPr>
                <w:rFonts w:hint="eastAsia" w:ascii="宋体" w:hAnsi="宋体" w:cs="宋体"/>
                <w:color w:val="auto"/>
                <w:highlight w:val="none"/>
              </w:rPr>
              <w:t>（3）项目设计负责人业绩（满分</w:t>
            </w:r>
            <w:r>
              <w:rPr>
                <w:rFonts w:ascii="宋体" w:hAnsi="宋体" w:cs="宋体"/>
                <w:color w:val="auto"/>
                <w:highlight w:val="none"/>
              </w:rPr>
              <w:t>3</w:t>
            </w:r>
            <w:r>
              <w:rPr>
                <w:rFonts w:hint="eastAsia" w:ascii="宋体" w:hAnsi="宋体" w:cs="宋体"/>
                <w:color w:val="auto"/>
                <w:highlight w:val="none"/>
              </w:rPr>
              <w:t>分）。201</w:t>
            </w:r>
            <w:r>
              <w:rPr>
                <w:rFonts w:ascii="宋体" w:hAnsi="宋体" w:cs="宋体"/>
                <w:color w:val="auto"/>
                <w:highlight w:val="none"/>
              </w:rPr>
              <w:t>5</w:t>
            </w:r>
            <w:r>
              <w:rPr>
                <w:rFonts w:hint="eastAsia" w:ascii="宋体" w:hAnsi="宋体" w:cs="宋体"/>
                <w:color w:val="auto"/>
                <w:highlight w:val="none"/>
              </w:rPr>
              <w:t>年1月1日至今承担过类似工程业绩，每个项目得</w:t>
            </w:r>
            <w:r>
              <w:rPr>
                <w:rFonts w:ascii="宋体" w:hAnsi="宋体" w:cs="宋体"/>
                <w:color w:val="auto"/>
                <w:highlight w:val="none"/>
              </w:rPr>
              <w:t>3</w:t>
            </w:r>
            <w:r>
              <w:rPr>
                <w:rFonts w:hint="eastAsia" w:ascii="宋体" w:hAnsi="宋体" w:cs="宋体"/>
                <w:color w:val="auto"/>
                <w:highlight w:val="none"/>
              </w:rPr>
              <w:t>分。</w:t>
            </w:r>
          </w:p>
          <w:p>
            <w:pPr>
              <w:pStyle w:val="7"/>
              <w:rPr>
                <w:rFonts w:ascii="宋体" w:hAnsi="宋体" w:cs="宋体"/>
                <w:color w:val="auto"/>
                <w:highlight w:val="none"/>
              </w:rPr>
            </w:pPr>
            <w:r>
              <w:rPr>
                <w:rFonts w:hint="eastAsia" w:ascii="宋体" w:hAnsi="宋体" w:cs="宋体"/>
                <w:color w:val="auto"/>
                <w:highlight w:val="none"/>
              </w:rPr>
              <w:t>（4）项目经理业绩（满分</w:t>
            </w:r>
            <w:r>
              <w:rPr>
                <w:rFonts w:ascii="宋体" w:hAnsi="宋体" w:cs="宋体"/>
                <w:color w:val="auto"/>
                <w:highlight w:val="none"/>
              </w:rPr>
              <w:t>3</w:t>
            </w:r>
            <w:r>
              <w:rPr>
                <w:rFonts w:hint="eastAsia" w:ascii="宋体" w:hAnsi="宋体" w:cs="宋体"/>
                <w:color w:val="auto"/>
                <w:highlight w:val="none"/>
              </w:rPr>
              <w:t>分）。201</w:t>
            </w:r>
            <w:r>
              <w:rPr>
                <w:rFonts w:ascii="宋体" w:hAnsi="宋体" w:cs="宋体"/>
                <w:color w:val="auto"/>
                <w:highlight w:val="none"/>
              </w:rPr>
              <w:t>5</w:t>
            </w:r>
            <w:r>
              <w:rPr>
                <w:rFonts w:hint="eastAsia" w:ascii="宋体" w:hAnsi="宋体" w:cs="宋体"/>
                <w:color w:val="auto"/>
                <w:highlight w:val="none"/>
              </w:rPr>
              <w:t>年1月1日至今承担过类似工程业绩，每个项目得</w:t>
            </w:r>
            <w:r>
              <w:rPr>
                <w:rFonts w:ascii="宋体" w:hAnsi="宋体" w:cs="宋体"/>
                <w:color w:val="auto"/>
                <w:highlight w:val="none"/>
              </w:rPr>
              <w:t>3</w:t>
            </w:r>
            <w:r>
              <w:rPr>
                <w:rFonts w:hint="eastAsia" w:ascii="宋体" w:hAnsi="宋体" w:cs="宋体"/>
                <w:color w:val="auto"/>
                <w:highlight w:val="none"/>
              </w:rPr>
              <w:t>分。</w:t>
            </w:r>
          </w:p>
          <w:p>
            <w:pPr>
              <w:pStyle w:val="7"/>
              <w:rPr>
                <w:color w:val="auto"/>
                <w:highlight w:val="none"/>
              </w:rPr>
            </w:pPr>
            <w:r>
              <w:rPr>
                <w:rFonts w:hint="eastAsia"/>
                <w:color w:val="auto"/>
                <w:highlight w:val="none"/>
              </w:rPr>
              <w:t>以上</w:t>
            </w:r>
            <w:r>
              <w:rPr>
                <w:color w:val="auto"/>
                <w:highlight w:val="none"/>
              </w:rPr>
              <w:t>业绩</w:t>
            </w:r>
            <w:r>
              <w:rPr>
                <w:rFonts w:hint="eastAsia"/>
                <w:color w:val="auto"/>
                <w:highlight w:val="none"/>
              </w:rPr>
              <w:t>须提供加盖单位公章的合同</w:t>
            </w:r>
            <w:r>
              <w:rPr>
                <w:rFonts w:hint="eastAsia"/>
                <w:color w:val="auto"/>
                <w:highlight w:val="none"/>
                <w:lang w:eastAsia="zh-CN"/>
              </w:rPr>
              <w:t>或</w:t>
            </w:r>
            <w:r>
              <w:rPr>
                <w:rFonts w:hint="eastAsia"/>
                <w:color w:val="auto"/>
                <w:highlight w:val="none"/>
              </w:rPr>
              <w:t>中标通知书的复印件，不能提供的不得分。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3" w:type="dxa"/>
            <w:noWrap/>
            <w:vAlign w:val="center"/>
          </w:tcPr>
          <w:p>
            <w:pPr>
              <w:spacing w:line="440" w:lineRule="exact"/>
              <w:jc w:val="center"/>
              <w:rPr>
                <w:color w:val="auto"/>
                <w:szCs w:val="21"/>
                <w:highlight w:val="none"/>
              </w:rPr>
            </w:pPr>
            <w:r>
              <w:rPr>
                <w:color w:val="auto"/>
                <w:szCs w:val="21"/>
                <w:highlight w:val="none"/>
              </w:rPr>
              <w:t>2.2.4</w:t>
            </w:r>
            <w:r>
              <w:rPr>
                <w:rFonts w:hint="eastAsia"/>
                <w:color w:val="auto"/>
                <w:szCs w:val="21"/>
                <w:highlight w:val="none"/>
              </w:rPr>
              <w:t>（4）</w:t>
            </w:r>
          </w:p>
        </w:tc>
        <w:tc>
          <w:tcPr>
            <w:tcW w:w="1182" w:type="dxa"/>
            <w:noWrap/>
            <w:vAlign w:val="center"/>
          </w:tcPr>
          <w:p>
            <w:pPr>
              <w:spacing w:line="440" w:lineRule="exact"/>
              <w:jc w:val="center"/>
              <w:rPr>
                <w:color w:val="auto"/>
                <w:szCs w:val="21"/>
                <w:highlight w:val="none"/>
              </w:rPr>
            </w:pPr>
            <w:r>
              <w:rPr>
                <w:rFonts w:hint="eastAsia"/>
                <w:color w:val="auto"/>
                <w:szCs w:val="21"/>
                <w:highlight w:val="none"/>
              </w:rPr>
              <w:t>商务标</w:t>
            </w:r>
            <w:r>
              <w:rPr>
                <w:color w:val="auto"/>
                <w:szCs w:val="21"/>
                <w:highlight w:val="none"/>
              </w:rPr>
              <w:t>评分标准</w:t>
            </w:r>
            <w:r>
              <w:rPr>
                <w:rFonts w:hint="eastAsia"/>
                <w:color w:val="auto"/>
                <w:szCs w:val="21"/>
                <w:highlight w:val="none"/>
              </w:rPr>
              <w:t>（满分20</w:t>
            </w:r>
            <w:r>
              <w:rPr>
                <w:rFonts w:hint="eastAsia" w:ascii="宋体" w:hAnsi="宋体"/>
                <w:color w:val="auto"/>
                <w:szCs w:val="21"/>
                <w:highlight w:val="none"/>
              </w:rPr>
              <w:t>分）</w:t>
            </w:r>
          </w:p>
        </w:tc>
        <w:tc>
          <w:tcPr>
            <w:tcW w:w="2864" w:type="dxa"/>
            <w:gridSpan w:val="3"/>
            <w:noWrap/>
            <w:vAlign w:val="center"/>
          </w:tcPr>
          <w:p>
            <w:pPr>
              <w:spacing w:line="420" w:lineRule="atLeast"/>
              <w:rPr>
                <w:color w:val="auto"/>
                <w:szCs w:val="21"/>
                <w:highlight w:val="none"/>
              </w:rPr>
            </w:pPr>
            <w:r>
              <w:rPr>
                <w:color w:val="auto"/>
                <w:szCs w:val="21"/>
                <w:highlight w:val="none"/>
              </w:rPr>
              <w:t>偏差率</w:t>
            </w:r>
          </w:p>
        </w:tc>
        <w:tc>
          <w:tcPr>
            <w:tcW w:w="5776" w:type="dxa"/>
            <w:gridSpan w:val="3"/>
            <w:noWrap/>
          </w:tcPr>
          <w:p>
            <w:pPr>
              <w:spacing w:line="440" w:lineRule="exact"/>
              <w:rPr>
                <w:color w:val="auto"/>
                <w:highlight w:val="none"/>
              </w:rPr>
            </w:pPr>
            <w:r>
              <w:rPr>
                <w:color w:val="auto"/>
                <w:highlight w:val="none"/>
              </w:rPr>
              <w:t>（1）评分时以</w:t>
            </w:r>
            <w:r>
              <w:rPr>
                <w:rFonts w:hint="eastAsia"/>
                <w:color w:val="auto"/>
                <w:highlight w:val="none"/>
              </w:rPr>
              <w:t>投标报价的评标基准价</w:t>
            </w:r>
            <w:r>
              <w:rPr>
                <w:color w:val="auto"/>
                <w:highlight w:val="none"/>
              </w:rPr>
              <w:t>为最高分</w:t>
            </w:r>
            <w:r>
              <w:rPr>
                <w:rFonts w:hint="eastAsia"/>
                <w:color w:val="auto"/>
                <w:highlight w:val="none"/>
              </w:rPr>
              <w:t>100</w:t>
            </w:r>
            <w:r>
              <w:rPr>
                <w:color w:val="auto"/>
                <w:highlight w:val="none"/>
              </w:rPr>
              <w:t>分，采用内插法计算，投标人报价每高于</w:t>
            </w:r>
            <w:r>
              <w:rPr>
                <w:rFonts w:hint="eastAsia"/>
                <w:color w:val="auto"/>
                <w:highlight w:val="none"/>
              </w:rPr>
              <w:t>评标基准价</w:t>
            </w:r>
            <w:r>
              <w:rPr>
                <w:color w:val="auto"/>
                <w:highlight w:val="none"/>
              </w:rPr>
              <w:t>1％的扣</w:t>
            </w:r>
            <w:r>
              <w:rPr>
                <w:rFonts w:hint="eastAsia"/>
                <w:color w:val="auto"/>
                <w:highlight w:val="none"/>
              </w:rPr>
              <w:t>1.5</w:t>
            </w:r>
            <w:r>
              <w:rPr>
                <w:color w:val="auto"/>
                <w:highlight w:val="none"/>
              </w:rPr>
              <w:t>分，每低于</w:t>
            </w:r>
            <w:r>
              <w:rPr>
                <w:rFonts w:hint="eastAsia"/>
                <w:color w:val="auto"/>
                <w:highlight w:val="none"/>
              </w:rPr>
              <w:t>评标基准</w:t>
            </w:r>
            <w:r>
              <w:rPr>
                <w:color w:val="auto"/>
                <w:highlight w:val="none"/>
              </w:rPr>
              <w:t>价1％的扣</w:t>
            </w:r>
            <w:r>
              <w:rPr>
                <w:rFonts w:hint="eastAsia"/>
                <w:color w:val="auto"/>
                <w:highlight w:val="none"/>
              </w:rPr>
              <w:t>1.0</w:t>
            </w:r>
            <w:r>
              <w:rPr>
                <w:color w:val="auto"/>
                <w:highlight w:val="none"/>
              </w:rPr>
              <w:t>分</w:t>
            </w:r>
            <w:r>
              <w:rPr>
                <w:rFonts w:hint="eastAsia"/>
                <w:color w:val="auto"/>
                <w:highlight w:val="none"/>
              </w:rPr>
              <w:t>，计算出投标人的投标报价得分</w:t>
            </w:r>
            <w:r>
              <w:rPr>
                <w:color w:val="auto"/>
                <w:highlight w:val="none"/>
              </w:rPr>
              <w:t>。</w:t>
            </w:r>
          </w:p>
          <w:p>
            <w:pPr>
              <w:spacing w:line="440" w:lineRule="exact"/>
              <w:rPr>
                <w:color w:val="auto"/>
                <w:highlight w:val="none"/>
              </w:rPr>
            </w:pPr>
            <w:r>
              <w:rPr>
                <w:color w:val="auto"/>
                <w:highlight w:val="none"/>
              </w:rPr>
              <w:t>（2）有效报价投标人的商务标得分=该投标人的</w:t>
            </w:r>
            <w:r>
              <w:rPr>
                <w:rFonts w:hint="eastAsia"/>
                <w:color w:val="auto"/>
                <w:highlight w:val="none"/>
              </w:rPr>
              <w:t>投标报价</w:t>
            </w:r>
            <w:r>
              <w:rPr>
                <w:color w:val="auto"/>
                <w:highlight w:val="none"/>
              </w:rPr>
              <w:t>得分×</w:t>
            </w:r>
            <w:r>
              <w:rPr>
                <w:rFonts w:hint="eastAsia"/>
                <w:color w:val="auto"/>
                <w:highlight w:val="none"/>
              </w:rPr>
              <w:t>20%</w:t>
            </w:r>
            <w:r>
              <w:rPr>
                <w:color w:val="auto"/>
                <w:highlight w:val="none"/>
              </w:rPr>
              <w:t>。</w:t>
            </w:r>
          </w:p>
          <w:p>
            <w:pPr>
              <w:pStyle w:val="7"/>
              <w:rPr>
                <w:rFonts w:hint="eastAsia" w:eastAsia="宋体"/>
                <w:color w:val="auto"/>
                <w:highlight w:val="none"/>
                <w:lang w:eastAsia="zh-CN"/>
              </w:rPr>
            </w:pPr>
            <w:r>
              <w:rPr>
                <w:rFonts w:hint="eastAsia"/>
                <w:color w:val="auto"/>
                <w:szCs w:val="21"/>
                <w:highlight w:val="none"/>
                <w:lang w:eastAsia="zh-CN"/>
              </w:rPr>
              <w:t>（</w:t>
            </w:r>
            <w:r>
              <w:rPr>
                <w:rFonts w:hint="eastAsia"/>
                <w:color w:val="auto"/>
                <w:szCs w:val="21"/>
                <w:highlight w:val="none"/>
                <w:lang w:val="en-US" w:eastAsia="zh-CN"/>
              </w:rPr>
              <w:t>3</w:t>
            </w:r>
            <w:r>
              <w:rPr>
                <w:rFonts w:hint="eastAsia"/>
                <w:color w:val="auto"/>
                <w:szCs w:val="21"/>
                <w:highlight w:val="none"/>
                <w:lang w:eastAsia="zh-CN"/>
              </w:rPr>
              <w:t>）适用招标投标法的政府采购工程建设项目，采用综合评估法但未采用低价优先法计算价格分的，若投标单位为小微企业，评标时应当在采用原报价进行评分的基础上增加其价格得分的5%作为其价格分。（小微企业商务标得分即使是满分也应当享受政策优惠，再给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jc w:val="center"/>
        </w:trPr>
        <w:tc>
          <w:tcPr>
            <w:tcW w:w="883" w:type="dxa"/>
            <w:vMerge w:val="restart"/>
            <w:noWrap/>
          </w:tcPr>
          <w:p>
            <w:pPr>
              <w:spacing w:line="440" w:lineRule="exact"/>
              <w:rPr>
                <w:color w:val="auto"/>
                <w:szCs w:val="21"/>
                <w:highlight w:val="none"/>
              </w:rPr>
            </w:pPr>
            <w:r>
              <w:rPr>
                <w:color w:val="auto"/>
                <w:szCs w:val="21"/>
                <w:highlight w:val="none"/>
              </w:rPr>
              <w:t>2.2.4</w:t>
            </w:r>
            <w:r>
              <w:rPr>
                <w:rFonts w:hint="eastAsia"/>
                <w:color w:val="auto"/>
                <w:szCs w:val="21"/>
                <w:highlight w:val="none"/>
              </w:rPr>
              <w:t>（5）</w:t>
            </w:r>
          </w:p>
          <w:p>
            <w:pPr>
              <w:rPr>
                <w:color w:val="auto"/>
                <w:highlight w:val="none"/>
              </w:rPr>
            </w:pPr>
          </w:p>
          <w:p>
            <w:pPr>
              <w:spacing w:line="440" w:lineRule="exact"/>
              <w:rPr>
                <w:color w:val="auto"/>
                <w:szCs w:val="21"/>
                <w:highlight w:val="none"/>
              </w:rPr>
            </w:pPr>
          </w:p>
        </w:tc>
        <w:tc>
          <w:tcPr>
            <w:tcW w:w="1182" w:type="dxa"/>
            <w:vMerge w:val="restart"/>
            <w:noWrap/>
            <w:vAlign w:val="center"/>
          </w:tcPr>
          <w:p>
            <w:pPr>
              <w:rPr>
                <w:color w:val="auto"/>
                <w:highlight w:val="none"/>
              </w:rPr>
            </w:pPr>
            <w:r>
              <w:rPr>
                <w:rFonts w:hint="eastAsia"/>
                <w:b/>
                <w:color w:val="auto"/>
                <w:szCs w:val="21"/>
                <w:highlight w:val="none"/>
              </w:rPr>
              <w:t>设计标评分标准（</w:t>
            </w:r>
            <w:r>
              <w:rPr>
                <w:b/>
                <w:color w:val="auto"/>
                <w:szCs w:val="21"/>
                <w:highlight w:val="none"/>
              </w:rPr>
              <w:t>3</w:t>
            </w:r>
            <w:r>
              <w:rPr>
                <w:rFonts w:hint="eastAsia"/>
                <w:b/>
                <w:color w:val="auto"/>
                <w:szCs w:val="21"/>
                <w:highlight w:val="none"/>
              </w:rPr>
              <w:t>0分）</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440" w:lineRule="exact"/>
              <w:rPr>
                <w:color w:val="auto"/>
                <w:szCs w:val="21"/>
                <w:highlight w:val="none"/>
              </w:rPr>
            </w:pPr>
          </w:p>
        </w:tc>
        <w:tc>
          <w:tcPr>
            <w:tcW w:w="2864" w:type="dxa"/>
            <w:gridSpan w:val="3"/>
            <w:noWrap/>
            <w:vAlign w:val="center"/>
          </w:tcPr>
          <w:p>
            <w:pPr>
              <w:spacing w:line="440" w:lineRule="exact"/>
              <w:jc w:val="center"/>
              <w:rPr>
                <w:color w:val="auto"/>
                <w:highlight w:val="none"/>
              </w:rPr>
            </w:pPr>
          </w:p>
          <w:p>
            <w:pPr>
              <w:spacing w:line="360" w:lineRule="auto"/>
              <w:jc w:val="center"/>
              <w:rPr>
                <w:color w:val="auto"/>
                <w:szCs w:val="21"/>
                <w:highlight w:val="none"/>
              </w:rPr>
            </w:pPr>
            <w:r>
              <w:rPr>
                <w:rFonts w:hint="eastAsia"/>
                <w:color w:val="auto"/>
                <w:szCs w:val="21"/>
                <w:highlight w:val="none"/>
              </w:rPr>
              <w:t>总</w:t>
            </w:r>
            <w:r>
              <w:rPr>
                <w:color w:val="auto"/>
                <w:szCs w:val="21"/>
                <w:highlight w:val="none"/>
              </w:rPr>
              <w:t>平</w:t>
            </w:r>
            <w:r>
              <w:rPr>
                <w:rFonts w:hint="eastAsia"/>
                <w:color w:val="auto"/>
                <w:szCs w:val="21"/>
                <w:highlight w:val="none"/>
              </w:rPr>
              <w:t>方案设计（</w:t>
            </w:r>
            <w:r>
              <w:rPr>
                <w:color w:val="auto"/>
                <w:szCs w:val="21"/>
                <w:highlight w:val="none"/>
              </w:rPr>
              <w:t>5</w:t>
            </w:r>
            <w:r>
              <w:rPr>
                <w:rFonts w:hint="eastAsia"/>
                <w:color w:val="auto"/>
                <w:szCs w:val="21"/>
                <w:highlight w:val="none"/>
              </w:rPr>
              <w:t>分）</w:t>
            </w:r>
          </w:p>
          <w:p>
            <w:pPr>
              <w:spacing w:line="360" w:lineRule="auto"/>
              <w:jc w:val="center"/>
              <w:rPr>
                <w:color w:val="auto"/>
                <w:szCs w:val="21"/>
                <w:highlight w:val="none"/>
              </w:rPr>
            </w:pPr>
          </w:p>
        </w:tc>
        <w:tc>
          <w:tcPr>
            <w:tcW w:w="5776" w:type="dxa"/>
            <w:gridSpan w:val="3"/>
            <w:noWrap/>
            <w:vAlign w:val="center"/>
          </w:tcPr>
          <w:p>
            <w:pPr>
              <w:spacing w:line="360" w:lineRule="auto"/>
              <w:rPr>
                <w:color w:val="auto"/>
                <w:highlight w:val="none"/>
              </w:rPr>
            </w:pPr>
            <w:r>
              <w:rPr>
                <w:color w:val="auto"/>
                <w:highlight w:val="none"/>
              </w:rPr>
              <w:t xml:space="preserve">1. </w:t>
            </w:r>
            <w:r>
              <w:rPr>
                <w:rFonts w:hint="eastAsia"/>
                <w:color w:val="auto"/>
                <w:highlight w:val="none"/>
              </w:rPr>
              <w:t>优（</w:t>
            </w:r>
            <w:r>
              <w:rPr>
                <w:rFonts w:hint="eastAsia"/>
                <w:color w:val="auto"/>
                <w:highlight w:val="none"/>
                <w:lang w:val="en-US" w:eastAsia="zh-CN"/>
              </w:rPr>
              <w:t>4.1-</w:t>
            </w:r>
            <w:r>
              <w:rPr>
                <w:color w:val="auto"/>
                <w:highlight w:val="none"/>
              </w:rPr>
              <w:t>5</w:t>
            </w:r>
            <w:r>
              <w:rPr>
                <w:rFonts w:hint="eastAsia"/>
                <w:color w:val="auto"/>
                <w:highlight w:val="none"/>
              </w:rPr>
              <w:t>分）：总体说明内容全面、详细，能清晰表达设计内容，完全切合实际，完全符合规范要求。</w:t>
            </w:r>
          </w:p>
          <w:p>
            <w:pPr>
              <w:spacing w:line="360" w:lineRule="auto"/>
              <w:rPr>
                <w:color w:val="auto"/>
                <w:highlight w:val="none"/>
              </w:rPr>
            </w:pPr>
            <w:r>
              <w:rPr>
                <w:color w:val="auto"/>
                <w:highlight w:val="none"/>
              </w:rPr>
              <w:t xml:space="preserve">2. </w:t>
            </w:r>
            <w:r>
              <w:rPr>
                <w:rFonts w:hint="eastAsia"/>
                <w:color w:val="auto"/>
                <w:highlight w:val="none"/>
              </w:rPr>
              <w:t>良（</w:t>
            </w:r>
            <w:r>
              <w:rPr>
                <w:rFonts w:hint="eastAsia"/>
                <w:color w:val="auto"/>
                <w:highlight w:val="none"/>
                <w:lang w:val="en-US" w:eastAsia="zh-CN"/>
              </w:rPr>
              <w:t>3.1</w:t>
            </w:r>
            <w:r>
              <w:rPr>
                <w:color w:val="auto"/>
                <w:highlight w:val="none"/>
              </w:rPr>
              <w:t>-4</w:t>
            </w:r>
            <w:r>
              <w:rPr>
                <w:rFonts w:hint="eastAsia"/>
                <w:color w:val="auto"/>
                <w:highlight w:val="none"/>
                <w:lang w:val="en-US" w:eastAsia="zh-CN"/>
              </w:rPr>
              <w:t>.0</w:t>
            </w:r>
            <w:r>
              <w:rPr>
                <w:rFonts w:hint="eastAsia"/>
                <w:color w:val="auto"/>
                <w:highlight w:val="none"/>
              </w:rPr>
              <w:t>分）：总体说明内容较全面、详细，能较清楚表达设计内容，基本符合实际，基本符合规范要求。</w:t>
            </w:r>
          </w:p>
          <w:p>
            <w:pPr>
              <w:spacing w:line="360" w:lineRule="auto"/>
              <w:rPr>
                <w:color w:val="auto"/>
                <w:highlight w:val="none"/>
              </w:rPr>
            </w:pPr>
            <w:r>
              <w:rPr>
                <w:color w:val="auto"/>
                <w:highlight w:val="none"/>
              </w:rPr>
              <w:t xml:space="preserve">3. </w:t>
            </w:r>
            <w:r>
              <w:rPr>
                <w:rFonts w:hint="eastAsia"/>
                <w:color w:val="auto"/>
                <w:highlight w:val="none"/>
              </w:rPr>
              <w:t>中（</w:t>
            </w:r>
            <w:r>
              <w:rPr>
                <w:color w:val="auto"/>
                <w:highlight w:val="none"/>
              </w:rPr>
              <w:t>1</w:t>
            </w:r>
            <w:r>
              <w:rPr>
                <w:rFonts w:hint="eastAsia"/>
                <w:color w:val="auto"/>
                <w:highlight w:val="none"/>
                <w:lang w:val="en-US" w:eastAsia="zh-CN"/>
              </w:rPr>
              <w:t>.6</w:t>
            </w:r>
            <w:r>
              <w:rPr>
                <w:color w:val="auto"/>
                <w:highlight w:val="none"/>
              </w:rPr>
              <w:t>-</w:t>
            </w:r>
            <w:r>
              <w:rPr>
                <w:rFonts w:hint="eastAsia"/>
                <w:color w:val="auto"/>
                <w:highlight w:val="none"/>
                <w:lang w:val="en-US" w:eastAsia="zh-CN"/>
              </w:rPr>
              <w:t>3.0</w:t>
            </w:r>
            <w:r>
              <w:rPr>
                <w:rFonts w:hint="eastAsia"/>
                <w:color w:val="auto"/>
                <w:highlight w:val="none"/>
              </w:rPr>
              <w:t>分）：总体说明内容初略，简单，不能全面表达设计内容，不太切合实际，不完全符合规范要求。</w:t>
            </w:r>
          </w:p>
          <w:p>
            <w:pPr>
              <w:spacing w:line="360" w:lineRule="auto"/>
              <w:rPr>
                <w:color w:val="auto"/>
                <w:highlight w:val="none"/>
              </w:rPr>
            </w:pPr>
            <w:r>
              <w:rPr>
                <w:color w:val="auto"/>
                <w:highlight w:val="none"/>
              </w:rPr>
              <w:t xml:space="preserve">4. </w:t>
            </w:r>
            <w:r>
              <w:rPr>
                <w:rFonts w:hint="eastAsia"/>
                <w:color w:val="auto"/>
                <w:highlight w:val="none"/>
              </w:rPr>
              <w:t>差（</w:t>
            </w:r>
            <w:r>
              <w:rPr>
                <w:color w:val="auto"/>
                <w:highlight w:val="none"/>
              </w:rPr>
              <w:t>0</w:t>
            </w:r>
            <w:r>
              <w:rPr>
                <w:rFonts w:hint="eastAsia"/>
                <w:color w:val="auto"/>
                <w:highlight w:val="none"/>
                <w:lang w:val="en-US" w:eastAsia="zh-CN"/>
              </w:rPr>
              <w:t>-1.5</w:t>
            </w:r>
            <w:r>
              <w:rPr>
                <w:rFonts w:hint="eastAsia"/>
                <w:color w:val="auto"/>
                <w:highlight w:val="none"/>
              </w:rPr>
              <w:t>分）：总体说明内容不全，不能表达设计内容，不符合实际，不符合规范要求。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0" w:hRule="atLeast"/>
          <w:jc w:val="center"/>
        </w:trPr>
        <w:tc>
          <w:tcPr>
            <w:tcW w:w="883" w:type="dxa"/>
            <w:vMerge w:val="continue"/>
            <w:noWrap/>
          </w:tcPr>
          <w:p>
            <w:pPr>
              <w:spacing w:line="440" w:lineRule="exact"/>
              <w:jc w:val="center"/>
              <w:rPr>
                <w:color w:val="auto"/>
                <w:szCs w:val="21"/>
                <w:highlight w:val="none"/>
              </w:rPr>
            </w:pPr>
          </w:p>
        </w:tc>
        <w:tc>
          <w:tcPr>
            <w:tcW w:w="1182" w:type="dxa"/>
            <w:vMerge w:val="continue"/>
            <w:noWrap/>
            <w:vAlign w:val="center"/>
          </w:tcPr>
          <w:p>
            <w:pPr>
              <w:spacing w:line="440" w:lineRule="exact"/>
              <w:jc w:val="center"/>
              <w:rPr>
                <w:color w:val="auto"/>
                <w:szCs w:val="21"/>
                <w:highlight w:val="none"/>
              </w:rPr>
            </w:pPr>
          </w:p>
        </w:tc>
        <w:tc>
          <w:tcPr>
            <w:tcW w:w="2864" w:type="dxa"/>
            <w:gridSpan w:val="3"/>
            <w:noWrap/>
            <w:vAlign w:val="center"/>
          </w:tcPr>
          <w:p>
            <w:pPr>
              <w:spacing w:line="440" w:lineRule="exact"/>
              <w:jc w:val="center"/>
              <w:rPr>
                <w:rFonts w:ascii="宋体" w:hAnsi="宋体"/>
                <w:bCs/>
                <w:color w:val="auto"/>
                <w:szCs w:val="21"/>
                <w:highlight w:val="none"/>
              </w:rPr>
            </w:pPr>
            <w:r>
              <w:rPr>
                <w:rFonts w:hint="eastAsia" w:ascii="宋体" w:hAnsi="宋体"/>
                <w:color w:val="auto"/>
                <w:highlight w:val="none"/>
              </w:rPr>
              <w:t>构</w:t>
            </w:r>
            <w:r>
              <w:rPr>
                <w:rFonts w:ascii="宋体" w:hAnsi="宋体"/>
                <w:color w:val="auto"/>
                <w:highlight w:val="none"/>
              </w:rPr>
              <w:t>筑</w:t>
            </w:r>
            <w:r>
              <w:rPr>
                <w:rFonts w:hint="eastAsia" w:ascii="宋体" w:hAnsi="宋体"/>
                <w:color w:val="auto"/>
                <w:highlight w:val="none"/>
              </w:rPr>
              <w:t>物方案设计（</w:t>
            </w:r>
            <w:r>
              <w:rPr>
                <w:rFonts w:ascii="宋体" w:hAnsi="宋体"/>
                <w:color w:val="auto"/>
                <w:highlight w:val="none"/>
              </w:rPr>
              <w:t>20</w:t>
            </w:r>
            <w:r>
              <w:rPr>
                <w:rFonts w:hint="eastAsia" w:ascii="宋体" w:hAnsi="宋体"/>
                <w:color w:val="auto"/>
                <w:highlight w:val="none"/>
              </w:rPr>
              <w:t>分）</w:t>
            </w:r>
          </w:p>
          <w:p>
            <w:pPr>
              <w:spacing w:line="360" w:lineRule="auto"/>
              <w:jc w:val="center"/>
              <w:rPr>
                <w:rFonts w:ascii="宋体" w:hAnsi="宋体"/>
                <w:bCs/>
                <w:color w:val="auto"/>
                <w:szCs w:val="21"/>
                <w:highlight w:val="none"/>
              </w:rPr>
            </w:pPr>
          </w:p>
        </w:tc>
        <w:tc>
          <w:tcPr>
            <w:tcW w:w="5776" w:type="dxa"/>
            <w:gridSpan w:val="3"/>
            <w:noWrap/>
            <w:vAlign w:val="center"/>
          </w:tcPr>
          <w:p>
            <w:pPr>
              <w:spacing w:line="340" w:lineRule="exact"/>
              <w:rPr>
                <w:color w:val="auto"/>
                <w:szCs w:val="21"/>
                <w:highlight w:val="none"/>
              </w:rPr>
            </w:pPr>
            <w:r>
              <w:rPr>
                <w:color w:val="auto"/>
                <w:szCs w:val="21"/>
                <w:highlight w:val="none"/>
              </w:rPr>
              <w:t xml:space="preserve">1. </w:t>
            </w:r>
            <w:r>
              <w:rPr>
                <w:rFonts w:hint="eastAsia"/>
                <w:color w:val="auto"/>
                <w:szCs w:val="21"/>
                <w:highlight w:val="none"/>
              </w:rPr>
              <w:t>优（</w:t>
            </w:r>
            <w:r>
              <w:rPr>
                <w:color w:val="auto"/>
                <w:szCs w:val="21"/>
                <w:highlight w:val="none"/>
              </w:rPr>
              <w:t>15.1-20</w:t>
            </w:r>
            <w:r>
              <w:rPr>
                <w:rFonts w:hint="eastAsia"/>
                <w:color w:val="auto"/>
                <w:szCs w:val="21"/>
                <w:highlight w:val="none"/>
              </w:rPr>
              <w:t>分）：设计图纸完善（包括</w:t>
            </w:r>
            <w:r>
              <w:rPr>
                <w:rFonts w:hint="eastAsia" w:ascii="宋体" w:hAnsi="宋体"/>
                <w:bCs/>
                <w:color w:val="auto"/>
                <w:szCs w:val="21"/>
                <w:highlight w:val="none"/>
              </w:rPr>
              <w:t>反力</w:t>
            </w:r>
            <w:r>
              <w:rPr>
                <w:rFonts w:ascii="宋体" w:hAnsi="宋体"/>
                <w:bCs/>
                <w:color w:val="auto"/>
                <w:szCs w:val="21"/>
                <w:highlight w:val="none"/>
              </w:rPr>
              <w:t>墙与试验台座的</w:t>
            </w:r>
            <w:r>
              <w:rPr>
                <w:rFonts w:hint="eastAsia" w:ascii="宋体" w:hAnsi="宋体"/>
                <w:bCs/>
                <w:color w:val="auto"/>
                <w:szCs w:val="21"/>
                <w:highlight w:val="none"/>
              </w:rPr>
              <w:t>布局及功能图</w:t>
            </w:r>
            <w:r>
              <w:rPr>
                <w:rFonts w:hint="eastAsia"/>
                <w:color w:val="auto"/>
                <w:szCs w:val="21"/>
                <w:highlight w:val="none"/>
              </w:rPr>
              <w:t>、</w:t>
            </w:r>
            <w:r>
              <w:rPr>
                <w:rFonts w:hint="eastAsia" w:ascii="宋体" w:hAnsi="宋体"/>
                <w:bCs/>
                <w:color w:val="auto"/>
                <w:szCs w:val="21"/>
                <w:highlight w:val="none"/>
              </w:rPr>
              <w:t>反力</w:t>
            </w:r>
            <w:r>
              <w:rPr>
                <w:rFonts w:ascii="宋体" w:hAnsi="宋体"/>
                <w:bCs/>
                <w:color w:val="auto"/>
                <w:szCs w:val="21"/>
                <w:highlight w:val="none"/>
              </w:rPr>
              <w:t>墙内部</w:t>
            </w:r>
            <w:r>
              <w:rPr>
                <w:rFonts w:hint="eastAsia" w:ascii="宋体" w:hAnsi="宋体"/>
                <w:bCs/>
                <w:color w:val="auto"/>
                <w:szCs w:val="21"/>
                <w:highlight w:val="none"/>
              </w:rPr>
              <w:t>空</w:t>
            </w:r>
            <w:r>
              <w:rPr>
                <w:rFonts w:ascii="宋体" w:hAnsi="宋体"/>
                <w:bCs/>
                <w:color w:val="auto"/>
                <w:szCs w:val="21"/>
                <w:highlight w:val="none"/>
              </w:rPr>
              <w:t>间</w:t>
            </w:r>
            <w:r>
              <w:rPr>
                <w:rFonts w:hint="eastAsia"/>
                <w:color w:val="auto"/>
                <w:szCs w:val="21"/>
                <w:highlight w:val="none"/>
              </w:rPr>
              <w:t>分析图、</w:t>
            </w:r>
            <w:r>
              <w:rPr>
                <w:rFonts w:hint="eastAsia" w:ascii="宋体" w:hAnsi="宋体"/>
                <w:bCs/>
                <w:color w:val="auto"/>
                <w:szCs w:val="21"/>
                <w:highlight w:val="none"/>
              </w:rPr>
              <w:t>反力</w:t>
            </w:r>
            <w:r>
              <w:rPr>
                <w:rFonts w:ascii="宋体" w:hAnsi="宋体"/>
                <w:bCs/>
                <w:color w:val="auto"/>
                <w:szCs w:val="21"/>
                <w:highlight w:val="none"/>
              </w:rPr>
              <w:t>墙</w:t>
            </w:r>
            <w:r>
              <w:rPr>
                <w:rFonts w:hint="eastAsia" w:ascii="宋体" w:hAnsi="宋体"/>
                <w:bCs/>
                <w:color w:val="auto"/>
                <w:szCs w:val="21"/>
                <w:highlight w:val="none"/>
              </w:rPr>
              <w:t>安装设计</w:t>
            </w:r>
            <w:r>
              <w:rPr>
                <w:rFonts w:hint="eastAsia"/>
                <w:color w:val="auto"/>
                <w:szCs w:val="21"/>
                <w:highlight w:val="none"/>
              </w:rPr>
              <w:t>图等），内容齐全，功能布局非常合理，完全符合实际，满足</w:t>
            </w:r>
            <w:r>
              <w:rPr>
                <w:rFonts w:ascii="宋体" w:hAnsi="宋体"/>
                <w:bCs/>
                <w:color w:val="auto"/>
                <w:szCs w:val="21"/>
                <w:highlight w:val="none"/>
              </w:rPr>
              <w:t>结构试验</w:t>
            </w:r>
            <w:r>
              <w:rPr>
                <w:rFonts w:hint="eastAsia" w:ascii="宋体" w:hAnsi="宋体"/>
                <w:bCs/>
                <w:color w:val="auto"/>
                <w:szCs w:val="21"/>
                <w:highlight w:val="none"/>
              </w:rPr>
              <w:t>的功能</w:t>
            </w:r>
            <w:r>
              <w:rPr>
                <w:rFonts w:ascii="宋体" w:hAnsi="宋体"/>
                <w:bCs/>
                <w:color w:val="auto"/>
                <w:szCs w:val="21"/>
                <w:highlight w:val="none"/>
              </w:rPr>
              <w:t>要求</w:t>
            </w:r>
            <w:r>
              <w:rPr>
                <w:rFonts w:hint="eastAsia" w:ascii="宋体" w:hAnsi="宋体"/>
                <w:bCs/>
                <w:color w:val="auto"/>
                <w:szCs w:val="21"/>
                <w:highlight w:val="none"/>
              </w:rPr>
              <w:t>、</w:t>
            </w:r>
            <w:r>
              <w:rPr>
                <w:rFonts w:ascii="宋体" w:hAnsi="宋体"/>
                <w:bCs/>
                <w:color w:val="auto"/>
                <w:szCs w:val="21"/>
                <w:highlight w:val="none"/>
              </w:rPr>
              <w:t>试</w:t>
            </w:r>
            <w:r>
              <w:rPr>
                <w:rFonts w:hint="eastAsia" w:ascii="宋体" w:hAnsi="宋体"/>
                <w:bCs/>
                <w:color w:val="auto"/>
                <w:szCs w:val="21"/>
                <w:highlight w:val="none"/>
              </w:rPr>
              <w:t>件</w:t>
            </w:r>
            <w:r>
              <w:rPr>
                <w:rFonts w:ascii="宋体" w:hAnsi="宋体"/>
                <w:bCs/>
                <w:color w:val="auto"/>
                <w:szCs w:val="21"/>
                <w:highlight w:val="none"/>
              </w:rPr>
              <w:t>安装</w:t>
            </w:r>
            <w:r>
              <w:rPr>
                <w:rFonts w:hint="eastAsia" w:ascii="宋体" w:hAnsi="宋体"/>
                <w:bCs/>
                <w:color w:val="auto"/>
                <w:szCs w:val="21"/>
                <w:highlight w:val="none"/>
              </w:rPr>
              <w:t>需</w:t>
            </w:r>
            <w:r>
              <w:rPr>
                <w:rFonts w:ascii="宋体" w:hAnsi="宋体"/>
                <w:bCs/>
                <w:color w:val="auto"/>
                <w:szCs w:val="21"/>
                <w:highlight w:val="none"/>
              </w:rPr>
              <w:t>求</w:t>
            </w:r>
            <w:r>
              <w:rPr>
                <w:rFonts w:hint="eastAsia" w:ascii="宋体" w:hAnsi="宋体"/>
                <w:bCs/>
                <w:color w:val="auto"/>
                <w:szCs w:val="21"/>
                <w:highlight w:val="none"/>
              </w:rPr>
              <w:t>、人</w:t>
            </w:r>
            <w:r>
              <w:rPr>
                <w:rFonts w:ascii="宋体" w:hAnsi="宋体"/>
                <w:bCs/>
                <w:color w:val="auto"/>
                <w:szCs w:val="21"/>
                <w:highlight w:val="none"/>
              </w:rPr>
              <w:t>员通行</w:t>
            </w:r>
            <w:r>
              <w:rPr>
                <w:rFonts w:hint="eastAsia" w:ascii="宋体" w:hAnsi="宋体"/>
                <w:bCs/>
                <w:color w:val="auto"/>
                <w:szCs w:val="21"/>
                <w:highlight w:val="none"/>
              </w:rPr>
              <w:t>要求</w:t>
            </w:r>
            <w:r>
              <w:rPr>
                <w:rFonts w:hint="eastAsia"/>
                <w:color w:val="auto"/>
                <w:szCs w:val="21"/>
                <w:highlight w:val="none"/>
              </w:rPr>
              <w:t>，</w:t>
            </w:r>
            <w:r>
              <w:rPr>
                <w:rFonts w:hint="eastAsia"/>
                <w:color w:val="auto"/>
                <w:highlight w:val="none"/>
              </w:rPr>
              <w:t>满足建筑与</w:t>
            </w:r>
            <w:r>
              <w:rPr>
                <w:color w:val="auto"/>
                <w:highlight w:val="none"/>
              </w:rPr>
              <w:t>交通工程学院实验功能的需求</w:t>
            </w:r>
            <w:r>
              <w:rPr>
                <w:rFonts w:hint="eastAsia"/>
                <w:color w:val="auto"/>
                <w:highlight w:val="none"/>
              </w:rPr>
              <w:t>。</w:t>
            </w:r>
          </w:p>
          <w:p>
            <w:pPr>
              <w:spacing w:line="440" w:lineRule="exact"/>
              <w:rPr>
                <w:color w:val="auto"/>
                <w:szCs w:val="21"/>
                <w:highlight w:val="none"/>
              </w:rPr>
            </w:pPr>
            <w:r>
              <w:rPr>
                <w:color w:val="auto"/>
                <w:szCs w:val="21"/>
                <w:highlight w:val="none"/>
              </w:rPr>
              <w:t xml:space="preserve">2. </w:t>
            </w:r>
            <w:r>
              <w:rPr>
                <w:rFonts w:hint="eastAsia"/>
                <w:color w:val="auto"/>
                <w:szCs w:val="21"/>
                <w:highlight w:val="none"/>
              </w:rPr>
              <w:t>良（</w:t>
            </w:r>
            <w:r>
              <w:rPr>
                <w:color w:val="auto"/>
                <w:szCs w:val="21"/>
                <w:highlight w:val="none"/>
              </w:rPr>
              <w:t>10.1-15</w:t>
            </w:r>
            <w:r>
              <w:rPr>
                <w:rFonts w:hint="eastAsia"/>
                <w:color w:val="auto"/>
                <w:szCs w:val="21"/>
                <w:highlight w:val="none"/>
              </w:rPr>
              <w:t>分）：设计图纸比较完善（包括</w:t>
            </w:r>
            <w:r>
              <w:rPr>
                <w:rFonts w:hint="eastAsia" w:ascii="宋体" w:hAnsi="宋体"/>
                <w:bCs/>
                <w:color w:val="auto"/>
                <w:szCs w:val="21"/>
                <w:highlight w:val="none"/>
              </w:rPr>
              <w:t>反力</w:t>
            </w:r>
            <w:r>
              <w:rPr>
                <w:rFonts w:ascii="宋体" w:hAnsi="宋体"/>
                <w:bCs/>
                <w:color w:val="auto"/>
                <w:szCs w:val="21"/>
                <w:highlight w:val="none"/>
              </w:rPr>
              <w:t>墙与试验台座的</w:t>
            </w:r>
            <w:r>
              <w:rPr>
                <w:rFonts w:hint="eastAsia" w:ascii="宋体" w:hAnsi="宋体"/>
                <w:bCs/>
                <w:color w:val="auto"/>
                <w:szCs w:val="21"/>
                <w:highlight w:val="none"/>
              </w:rPr>
              <w:t>布局及功能图</w:t>
            </w:r>
            <w:r>
              <w:rPr>
                <w:rFonts w:hint="eastAsia"/>
                <w:color w:val="auto"/>
                <w:szCs w:val="21"/>
                <w:highlight w:val="none"/>
              </w:rPr>
              <w:t>、</w:t>
            </w:r>
            <w:r>
              <w:rPr>
                <w:rFonts w:hint="eastAsia" w:ascii="宋体" w:hAnsi="宋体"/>
                <w:bCs/>
                <w:color w:val="auto"/>
                <w:szCs w:val="21"/>
                <w:highlight w:val="none"/>
              </w:rPr>
              <w:t>反力</w:t>
            </w:r>
            <w:r>
              <w:rPr>
                <w:rFonts w:ascii="宋体" w:hAnsi="宋体"/>
                <w:bCs/>
                <w:color w:val="auto"/>
                <w:szCs w:val="21"/>
                <w:highlight w:val="none"/>
              </w:rPr>
              <w:t>墙内部</w:t>
            </w:r>
            <w:r>
              <w:rPr>
                <w:rFonts w:hint="eastAsia" w:ascii="宋体" w:hAnsi="宋体"/>
                <w:bCs/>
                <w:color w:val="auto"/>
                <w:szCs w:val="21"/>
                <w:highlight w:val="none"/>
              </w:rPr>
              <w:t>空</w:t>
            </w:r>
            <w:r>
              <w:rPr>
                <w:rFonts w:ascii="宋体" w:hAnsi="宋体"/>
                <w:bCs/>
                <w:color w:val="auto"/>
                <w:szCs w:val="21"/>
                <w:highlight w:val="none"/>
              </w:rPr>
              <w:t>间</w:t>
            </w:r>
            <w:r>
              <w:rPr>
                <w:rFonts w:hint="eastAsia"/>
                <w:color w:val="auto"/>
                <w:szCs w:val="21"/>
                <w:highlight w:val="none"/>
              </w:rPr>
              <w:t>分析图、</w:t>
            </w:r>
            <w:r>
              <w:rPr>
                <w:rFonts w:hint="eastAsia" w:ascii="宋体" w:hAnsi="宋体"/>
                <w:bCs/>
                <w:color w:val="auto"/>
                <w:szCs w:val="21"/>
                <w:highlight w:val="none"/>
              </w:rPr>
              <w:t>反力</w:t>
            </w:r>
            <w:r>
              <w:rPr>
                <w:rFonts w:ascii="宋体" w:hAnsi="宋体"/>
                <w:bCs/>
                <w:color w:val="auto"/>
                <w:szCs w:val="21"/>
                <w:highlight w:val="none"/>
              </w:rPr>
              <w:t>墙</w:t>
            </w:r>
            <w:r>
              <w:rPr>
                <w:rFonts w:hint="eastAsia" w:ascii="宋体" w:hAnsi="宋体"/>
                <w:bCs/>
                <w:color w:val="auto"/>
                <w:szCs w:val="21"/>
                <w:highlight w:val="none"/>
              </w:rPr>
              <w:t>安装设计</w:t>
            </w:r>
            <w:r>
              <w:rPr>
                <w:rFonts w:hint="eastAsia"/>
                <w:color w:val="auto"/>
                <w:szCs w:val="21"/>
                <w:highlight w:val="none"/>
              </w:rPr>
              <w:t>图等），内容较齐全，功能布局较合理，比较符合实际，基本满足</w:t>
            </w:r>
            <w:r>
              <w:rPr>
                <w:rFonts w:ascii="宋体" w:hAnsi="宋体"/>
                <w:bCs/>
                <w:color w:val="auto"/>
                <w:szCs w:val="21"/>
                <w:highlight w:val="none"/>
              </w:rPr>
              <w:t>结构试验</w:t>
            </w:r>
            <w:r>
              <w:rPr>
                <w:rFonts w:hint="eastAsia" w:ascii="宋体" w:hAnsi="宋体"/>
                <w:bCs/>
                <w:color w:val="auto"/>
                <w:szCs w:val="21"/>
                <w:highlight w:val="none"/>
              </w:rPr>
              <w:t>的功能</w:t>
            </w:r>
            <w:r>
              <w:rPr>
                <w:rFonts w:ascii="宋体" w:hAnsi="宋体"/>
                <w:bCs/>
                <w:color w:val="auto"/>
                <w:szCs w:val="21"/>
                <w:highlight w:val="none"/>
              </w:rPr>
              <w:t>要求</w:t>
            </w:r>
            <w:r>
              <w:rPr>
                <w:rFonts w:hint="eastAsia" w:ascii="宋体" w:hAnsi="宋体"/>
                <w:bCs/>
                <w:color w:val="auto"/>
                <w:szCs w:val="21"/>
                <w:highlight w:val="none"/>
              </w:rPr>
              <w:t>、</w:t>
            </w:r>
            <w:r>
              <w:rPr>
                <w:rFonts w:ascii="宋体" w:hAnsi="宋体"/>
                <w:bCs/>
                <w:color w:val="auto"/>
                <w:szCs w:val="21"/>
                <w:highlight w:val="none"/>
              </w:rPr>
              <w:t>试</w:t>
            </w:r>
            <w:r>
              <w:rPr>
                <w:rFonts w:hint="eastAsia" w:ascii="宋体" w:hAnsi="宋体"/>
                <w:bCs/>
                <w:color w:val="auto"/>
                <w:szCs w:val="21"/>
                <w:highlight w:val="none"/>
              </w:rPr>
              <w:t>件</w:t>
            </w:r>
            <w:r>
              <w:rPr>
                <w:rFonts w:ascii="宋体" w:hAnsi="宋体"/>
                <w:bCs/>
                <w:color w:val="auto"/>
                <w:szCs w:val="21"/>
                <w:highlight w:val="none"/>
              </w:rPr>
              <w:t>安装</w:t>
            </w:r>
            <w:r>
              <w:rPr>
                <w:rFonts w:hint="eastAsia" w:ascii="宋体" w:hAnsi="宋体"/>
                <w:bCs/>
                <w:color w:val="auto"/>
                <w:szCs w:val="21"/>
                <w:highlight w:val="none"/>
              </w:rPr>
              <w:t>需</w:t>
            </w:r>
            <w:r>
              <w:rPr>
                <w:rFonts w:ascii="宋体" w:hAnsi="宋体"/>
                <w:bCs/>
                <w:color w:val="auto"/>
                <w:szCs w:val="21"/>
                <w:highlight w:val="none"/>
              </w:rPr>
              <w:t>求</w:t>
            </w:r>
            <w:r>
              <w:rPr>
                <w:rFonts w:hint="eastAsia" w:ascii="宋体" w:hAnsi="宋体"/>
                <w:bCs/>
                <w:color w:val="auto"/>
                <w:szCs w:val="21"/>
                <w:highlight w:val="none"/>
              </w:rPr>
              <w:t>、人</w:t>
            </w:r>
            <w:r>
              <w:rPr>
                <w:rFonts w:ascii="宋体" w:hAnsi="宋体"/>
                <w:bCs/>
                <w:color w:val="auto"/>
                <w:szCs w:val="21"/>
                <w:highlight w:val="none"/>
              </w:rPr>
              <w:t>员通行</w:t>
            </w:r>
            <w:r>
              <w:rPr>
                <w:rFonts w:hint="eastAsia" w:ascii="宋体" w:hAnsi="宋体"/>
                <w:bCs/>
                <w:color w:val="auto"/>
                <w:szCs w:val="21"/>
                <w:highlight w:val="none"/>
              </w:rPr>
              <w:t>要求</w:t>
            </w:r>
            <w:r>
              <w:rPr>
                <w:rFonts w:hint="eastAsia"/>
                <w:color w:val="auto"/>
                <w:szCs w:val="21"/>
                <w:highlight w:val="none"/>
              </w:rPr>
              <w:t>，</w:t>
            </w:r>
            <w:r>
              <w:rPr>
                <w:rFonts w:hint="eastAsia"/>
                <w:color w:val="auto"/>
                <w:highlight w:val="none"/>
              </w:rPr>
              <w:t>基本满足建筑与</w:t>
            </w:r>
            <w:r>
              <w:rPr>
                <w:color w:val="auto"/>
                <w:highlight w:val="none"/>
              </w:rPr>
              <w:t>交通工程学院实验功能的需求</w:t>
            </w:r>
            <w:r>
              <w:rPr>
                <w:rFonts w:hint="eastAsia"/>
                <w:color w:val="auto"/>
                <w:highlight w:val="none"/>
              </w:rPr>
              <w:t>。</w:t>
            </w:r>
          </w:p>
          <w:p>
            <w:pPr>
              <w:spacing w:line="340" w:lineRule="exact"/>
              <w:rPr>
                <w:color w:val="auto"/>
                <w:szCs w:val="21"/>
                <w:highlight w:val="none"/>
              </w:rPr>
            </w:pPr>
            <w:r>
              <w:rPr>
                <w:color w:val="auto"/>
                <w:szCs w:val="21"/>
                <w:highlight w:val="none"/>
              </w:rPr>
              <w:t xml:space="preserve">3. </w:t>
            </w:r>
            <w:r>
              <w:rPr>
                <w:rFonts w:hint="eastAsia"/>
                <w:color w:val="auto"/>
                <w:szCs w:val="21"/>
                <w:highlight w:val="none"/>
              </w:rPr>
              <w:t>中（</w:t>
            </w:r>
            <w:r>
              <w:rPr>
                <w:color w:val="auto"/>
                <w:szCs w:val="21"/>
                <w:highlight w:val="none"/>
              </w:rPr>
              <w:t>5.1-10</w:t>
            </w:r>
            <w:r>
              <w:rPr>
                <w:rFonts w:hint="eastAsia"/>
                <w:color w:val="auto"/>
                <w:szCs w:val="21"/>
                <w:highlight w:val="none"/>
              </w:rPr>
              <w:t>分）：设计图纸基本完善（包括</w:t>
            </w:r>
            <w:r>
              <w:rPr>
                <w:rFonts w:hint="eastAsia" w:ascii="宋体" w:hAnsi="宋体"/>
                <w:bCs/>
                <w:color w:val="auto"/>
                <w:szCs w:val="21"/>
                <w:highlight w:val="none"/>
              </w:rPr>
              <w:t>反力</w:t>
            </w:r>
            <w:r>
              <w:rPr>
                <w:rFonts w:ascii="宋体" w:hAnsi="宋体"/>
                <w:bCs/>
                <w:color w:val="auto"/>
                <w:szCs w:val="21"/>
                <w:highlight w:val="none"/>
              </w:rPr>
              <w:t>墙与试验台座的</w:t>
            </w:r>
            <w:r>
              <w:rPr>
                <w:rFonts w:hint="eastAsia" w:ascii="宋体" w:hAnsi="宋体"/>
                <w:bCs/>
                <w:color w:val="auto"/>
                <w:szCs w:val="21"/>
                <w:highlight w:val="none"/>
              </w:rPr>
              <w:t>布局及功能图</w:t>
            </w:r>
            <w:r>
              <w:rPr>
                <w:rFonts w:hint="eastAsia"/>
                <w:color w:val="auto"/>
                <w:szCs w:val="21"/>
                <w:highlight w:val="none"/>
              </w:rPr>
              <w:t>、</w:t>
            </w:r>
            <w:r>
              <w:rPr>
                <w:rFonts w:hint="eastAsia" w:ascii="宋体" w:hAnsi="宋体"/>
                <w:bCs/>
                <w:color w:val="auto"/>
                <w:szCs w:val="21"/>
                <w:highlight w:val="none"/>
              </w:rPr>
              <w:t>反力</w:t>
            </w:r>
            <w:r>
              <w:rPr>
                <w:rFonts w:ascii="宋体" w:hAnsi="宋体"/>
                <w:bCs/>
                <w:color w:val="auto"/>
                <w:szCs w:val="21"/>
                <w:highlight w:val="none"/>
              </w:rPr>
              <w:t>墙内部</w:t>
            </w:r>
            <w:r>
              <w:rPr>
                <w:rFonts w:hint="eastAsia" w:ascii="宋体" w:hAnsi="宋体"/>
                <w:bCs/>
                <w:color w:val="auto"/>
                <w:szCs w:val="21"/>
                <w:highlight w:val="none"/>
              </w:rPr>
              <w:t>空</w:t>
            </w:r>
            <w:r>
              <w:rPr>
                <w:rFonts w:ascii="宋体" w:hAnsi="宋体"/>
                <w:bCs/>
                <w:color w:val="auto"/>
                <w:szCs w:val="21"/>
                <w:highlight w:val="none"/>
              </w:rPr>
              <w:t>间</w:t>
            </w:r>
            <w:r>
              <w:rPr>
                <w:rFonts w:hint="eastAsia"/>
                <w:color w:val="auto"/>
                <w:szCs w:val="21"/>
                <w:highlight w:val="none"/>
              </w:rPr>
              <w:t>分析图、</w:t>
            </w:r>
            <w:r>
              <w:rPr>
                <w:rFonts w:hint="eastAsia" w:ascii="宋体" w:hAnsi="宋体"/>
                <w:bCs/>
                <w:color w:val="auto"/>
                <w:szCs w:val="21"/>
                <w:highlight w:val="none"/>
              </w:rPr>
              <w:t>反力</w:t>
            </w:r>
            <w:r>
              <w:rPr>
                <w:rFonts w:ascii="宋体" w:hAnsi="宋体"/>
                <w:bCs/>
                <w:color w:val="auto"/>
                <w:szCs w:val="21"/>
                <w:highlight w:val="none"/>
              </w:rPr>
              <w:t>墙</w:t>
            </w:r>
            <w:r>
              <w:rPr>
                <w:rFonts w:hint="eastAsia" w:ascii="宋体" w:hAnsi="宋体"/>
                <w:bCs/>
                <w:color w:val="auto"/>
                <w:szCs w:val="21"/>
                <w:highlight w:val="none"/>
              </w:rPr>
              <w:t>安装设计</w:t>
            </w:r>
            <w:r>
              <w:rPr>
                <w:rFonts w:hint="eastAsia"/>
                <w:color w:val="auto"/>
                <w:szCs w:val="21"/>
                <w:highlight w:val="none"/>
              </w:rPr>
              <w:t>图等），内容基本齐全，功能布局基本合理，比较符合实际，不能完全满足</w:t>
            </w:r>
            <w:r>
              <w:rPr>
                <w:rFonts w:ascii="宋体" w:hAnsi="宋体"/>
                <w:bCs/>
                <w:color w:val="auto"/>
                <w:szCs w:val="21"/>
                <w:highlight w:val="none"/>
              </w:rPr>
              <w:t>结构试验</w:t>
            </w:r>
            <w:r>
              <w:rPr>
                <w:rFonts w:hint="eastAsia" w:ascii="宋体" w:hAnsi="宋体"/>
                <w:bCs/>
                <w:color w:val="auto"/>
                <w:szCs w:val="21"/>
                <w:highlight w:val="none"/>
              </w:rPr>
              <w:t>的功能</w:t>
            </w:r>
            <w:r>
              <w:rPr>
                <w:rFonts w:ascii="宋体" w:hAnsi="宋体"/>
                <w:bCs/>
                <w:color w:val="auto"/>
                <w:szCs w:val="21"/>
                <w:highlight w:val="none"/>
              </w:rPr>
              <w:t>要求</w:t>
            </w:r>
            <w:r>
              <w:rPr>
                <w:rFonts w:hint="eastAsia" w:ascii="宋体" w:hAnsi="宋体"/>
                <w:bCs/>
                <w:color w:val="auto"/>
                <w:szCs w:val="21"/>
                <w:highlight w:val="none"/>
              </w:rPr>
              <w:t>、</w:t>
            </w:r>
            <w:r>
              <w:rPr>
                <w:rFonts w:ascii="宋体" w:hAnsi="宋体"/>
                <w:bCs/>
                <w:color w:val="auto"/>
                <w:szCs w:val="21"/>
                <w:highlight w:val="none"/>
              </w:rPr>
              <w:t>试</w:t>
            </w:r>
            <w:r>
              <w:rPr>
                <w:rFonts w:hint="eastAsia" w:ascii="宋体" w:hAnsi="宋体"/>
                <w:bCs/>
                <w:color w:val="auto"/>
                <w:szCs w:val="21"/>
                <w:highlight w:val="none"/>
              </w:rPr>
              <w:t>件</w:t>
            </w:r>
            <w:r>
              <w:rPr>
                <w:rFonts w:ascii="宋体" w:hAnsi="宋体"/>
                <w:bCs/>
                <w:color w:val="auto"/>
                <w:szCs w:val="21"/>
                <w:highlight w:val="none"/>
              </w:rPr>
              <w:t>安装</w:t>
            </w:r>
            <w:r>
              <w:rPr>
                <w:rFonts w:hint="eastAsia" w:ascii="宋体" w:hAnsi="宋体"/>
                <w:bCs/>
                <w:color w:val="auto"/>
                <w:szCs w:val="21"/>
                <w:highlight w:val="none"/>
              </w:rPr>
              <w:t>需</w:t>
            </w:r>
            <w:r>
              <w:rPr>
                <w:rFonts w:ascii="宋体" w:hAnsi="宋体"/>
                <w:bCs/>
                <w:color w:val="auto"/>
                <w:szCs w:val="21"/>
                <w:highlight w:val="none"/>
              </w:rPr>
              <w:t>求</w:t>
            </w:r>
            <w:r>
              <w:rPr>
                <w:rFonts w:hint="eastAsia" w:ascii="宋体" w:hAnsi="宋体"/>
                <w:bCs/>
                <w:color w:val="auto"/>
                <w:szCs w:val="21"/>
                <w:highlight w:val="none"/>
              </w:rPr>
              <w:t>、人</w:t>
            </w:r>
            <w:r>
              <w:rPr>
                <w:rFonts w:ascii="宋体" w:hAnsi="宋体"/>
                <w:bCs/>
                <w:color w:val="auto"/>
                <w:szCs w:val="21"/>
                <w:highlight w:val="none"/>
              </w:rPr>
              <w:t>员通行</w:t>
            </w:r>
            <w:r>
              <w:rPr>
                <w:rFonts w:hint="eastAsia" w:ascii="宋体" w:hAnsi="宋体"/>
                <w:bCs/>
                <w:color w:val="auto"/>
                <w:szCs w:val="21"/>
                <w:highlight w:val="none"/>
              </w:rPr>
              <w:t>要求</w:t>
            </w:r>
            <w:r>
              <w:rPr>
                <w:rFonts w:hint="eastAsia"/>
                <w:color w:val="auto"/>
                <w:szCs w:val="21"/>
                <w:highlight w:val="none"/>
              </w:rPr>
              <w:t>，不能完全满足</w:t>
            </w:r>
            <w:r>
              <w:rPr>
                <w:rFonts w:hint="eastAsia"/>
                <w:color w:val="auto"/>
                <w:highlight w:val="none"/>
              </w:rPr>
              <w:t>满足建筑与</w:t>
            </w:r>
            <w:r>
              <w:rPr>
                <w:color w:val="auto"/>
                <w:highlight w:val="none"/>
              </w:rPr>
              <w:t>交通工程学院实验功能的需求</w:t>
            </w:r>
            <w:r>
              <w:rPr>
                <w:rFonts w:hint="eastAsia"/>
                <w:color w:val="auto"/>
                <w:highlight w:val="none"/>
              </w:rPr>
              <w:t>。</w:t>
            </w:r>
          </w:p>
          <w:p>
            <w:pPr>
              <w:spacing w:line="360" w:lineRule="auto"/>
              <w:rPr>
                <w:rFonts w:ascii="宋体" w:hAnsi="宋体"/>
                <w:bCs/>
                <w:color w:val="auto"/>
                <w:szCs w:val="21"/>
                <w:highlight w:val="none"/>
              </w:rPr>
            </w:pPr>
            <w:r>
              <w:rPr>
                <w:color w:val="auto"/>
                <w:szCs w:val="21"/>
                <w:highlight w:val="none"/>
              </w:rPr>
              <w:t xml:space="preserve">4. </w:t>
            </w:r>
            <w:r>
              <w:rPr>
                <w:rFonts w:hint="eastAsia"/>
                <w:color w:val="auto"/>
                <w:szCs w:val="21"/>
                <w:highlight w:val="none"/>
              </w:rPr>
              <w:t>差（</w:t>
            </w:r>
            <w:r>
              <w:rPr>
                <w:color w:val="auto"/>
                <w:szCs w:val="21"/>
                <w:highlight w:val="none"/>
              </w:rPr>
              <w:t>0-5</w:t>
            </w:r>
            <w:r>
              <w:rPr>
                <w:rFonts w:hint="eastAsia"/>
                <w:color w:val="auto"/>
                <w:szCs w:val="21"/>
                <w:highlight w:val="none"/>
              </w:rPr>
              <w:t>分）：设计图纸不完善（包括</w:t>
            </w:r>
            <w:r>
              <w:rPr>
                <w:rFonts w:hint="eastAsia" w:ascii="宋体" w:hAnsi="宋体"/>
                <w:bCs/>
                <w:color w:val="auto"/>
                <w:szCs w:val="21"/>
                <w:highlight w:val="none"/>
              </w:rPr>
              <w:t>反力</w:t>
            </w:r>
            <w:r>
              <w:rPr>
                <w:rFonts w:ascii="宋体" w:hAnsi="宋体"/>
                <w:bCs/>
                <w:color w:val="auto"/>
                <w:szCs w:val="21"/>
                <w:highlight w:val="none"/>
              </w:rPr>
              <w:t>墙与试验台座的</w:t>
            </w:r>
            <w:r>
              <w:rPr>
                <w:rFonts w:hint="eastAsia" w:ascii="宋体" w:hAnsi="宋体"/>
                <w:bCs/>
                <w:color w:val="auto"/>
                <w:szCs w:val="21"/>
                <w:highlight w:val="none"/>
              </w:rPr>
              <w:t>布局及功能图</w:t>
            </w:r>
            <w:r>
              <w:rPr>
                <w:rFonts w:hint="eastAsia"/>
                <w:color w:val="auto"/>
                <w:szCs w:val="21"/>
                <w:highlight w:val="none"/>
              </w:rPr>
              <w:t>、</w:t>
            </w:r>
            <w:r>
              <w:rPr>
                <w:rFonts w:hint="eastAsia" w:ascii="宋体" w:hAnsi="宋体"/>
                <w:bCs/>
                <w:color w:val="auto"/>
                <w:szCs w:val="21"/>
                <w:highlight w:val="none"/>
              </w:rPr>
              <w:t>反力</w:t>
            </w:r>
            <w:r>
              <w:rPr>
                <w:rFonts w:ascii="宋体" w:hAnsi="宋体"/>
                <w:bCs/>
                <w:color w:val="auto"/>
                <w:szCs w:val="21"/>
                <w:highlight w:val="none"/>
              </w:rPr>
              <w:t>墙内部</w:t>
            </w:r>
            <w:r>
              <w:rPr>
                <w:rFonts w:hint="eastAsia" w:ascii="宋体" w:hAnsi="宋体"/>
                <w:bCs/>
                <w:color w:val="auto"/>
                <w:szCs w:val="21"/>
                <w:highlight w:val="none"/>
              </w:rPr>
              <w:t>空</w:t>
            </w:r>
            <w:r>
              <w:rPr>
                <w:rFonts w:ascii="宋体" w:hAnsi="宋体"/>
                <w:bCs/>
                <w:color w:val="auto"/>
                <w:szCs w:val="21"/>
                <w:highlight w:val="none"/>
              </w:rPr>
              <w:t>间</w:t>
            </w:r>
            <w:r>
              <w:rPr>
                <w:rFonts w:hint="eastAsia"/>
                <w:color w:val="auto"/>
                <w:szCs w:val="21"/>
                <w:highlight w:val="none"/>
              </w:rPr>
              <w:t>分析图、</w:t>
            </w:r>
            <w:r>
              <w:rPr>
                <w:rFonts w:hint="eastAsia" w:ascii="宋体" w:hAnsi="宋体"/>
                <w:bCs/>
                <w:color w:val="auto"/>
                <w:szCs w:val="21"/>
                <w:highlight w:val="none"/>
              </w:rPr>
              <w:t>反力</w:t>
            </w:r>
            <w:r>
              <w:rPr>
                <w:rFonts w:ascii="宋体" w:hAnsi="宋体"/>
                <w:bCs/>
                <w:color w:val="auto"/>
                <w:szCs w:val="21"/>
                <w:highlight w:val="none"/>
              </w:rPr>
              <w:t>墙</w:t>
            </w:r>
            <w:r>
              <w:rPr>
                <w:rFonts w:hint="eastAsia" w:ascii="宋体" w:hAnsi="宋体"/>
                <w:bCs/>
                <w:color w:val="auto"/>
                <w:szCs w:val="21"/>
                <w:highlight w:val="none"/>
              </w:rPr>
              <w:t>安装设计</w:t>
            </w:r>
            <w:r>
              <w:rPr>
                <w:rFonts w:hint="eastAsia"/>
                <w:color w:val="auto"/>
                <w:szCs w:val="21"/>
                <w:highlight w:val="none"/>
              </w:rPr>
              <w:t>图等），内容不齐全，功能布局基本不合理，不符合实际，不满足</w:t>
            </w:r>
            <w:r>
              <w:rPr>
                <w:rFonts w:ascii="宋体" w:hAnsi="宋体"/>
                <w:bCs/>
                <w:color w:val="auto"/>
                <w:szCs w:val="21"/>
                <w:highlight w:val="none"/>
              </w:rPr>
              <w:t>结构试验</w:t>
            </w:r>
            <w:r>
              <w:rPr>
                <w:rFonts w:hint="eastAsia" w:ascii="宋体" w:hAnsi="宋体"/>
                <w:bCs/>
                <w:color w:val="auto"/>
                <w:szCs w:val="21"/>
                <w:highlight w:val="none"/>
              </w:rPr>
              <w:t>的功能</w:t>
            </w:r>
            <w:r>
              <w:rPr>
                <w:rFonts w:ascii="宋体" w:hAnsi="宋体"/>
                <w:bCs/>
                <w:color w:val="auto"/>
                <w:szCs w:val="21"/>
                <w:highlight w:val="none"/>
              </w:rPr>
              <w:t>要求</w:t>
            </w:r>
            <w:r>
              <w:rPr>
                <w:rFonts w:hint="eastAsia" w:ascii="宋体" w:hAnsi="宋体"/>
                <w:bCs/>
                <w:color w:val="auto"/>
                <w:szCs w:val="21"/>
                <w:highlight w:val="none"/>
              </w:rPr>
              <w:t>、</w:t>
            </w:r>
            <w:r>
              <w:rPr>
                <w:rFonts w:ascii="宋体" w:hAnsi="宋体"/>
                <w:bCs/>
                <w:color w:val="auto"/>
                <w:szCs w:val="21"/>
                <w:highlight w:val="none"/>
              </w:rPr>
              <w:t>试</w:t>
            </w:r>
            <w:r>
              <w:rPr>
                <w:rFonts w:hint="eastAsia" w:ascii="宋体" w:hAnsi="宋体"/>
                <w:bCs/>
                <w:color w:val="auto"/>
                <w:szCs w:val="21"/>
                <w:highlight w:val="none"/>
              </w:rPr>
              <w:t>件</w:t>
            </w:r>
            <w:r>
              <w:rPr>
                <w:rFonts w:ascii="宋体" w:hAnsi="宋体"/>
                <w:bCs/>
                <w:color w:val="auto"/>
                <w:szCs w:val="21"/>
                <w:highlight w:val="none"/>
              </w:rPr>
              <w:t>安装</w:t>
            </w:r>
            <w:r>
              <w:rPr>
                <w:rFonts w:hint="eastAsia" w:ascii="宋体" w:hAnsi="宋体"/>
                <w:bCs/>
                <w:color w:val="auto"/>
                <w:szCs w:val="21"/>
                <w:highlight w:val="none"/>
              </w:rPr>
              <w:t>需</w:t>
            </w:r>
            <w:r>
              <w:rPr>
                <w:rFonts w:ascii="宋体" w:hAnsi="宋体"/>
                <w:bCs/>
                <w:color w:val="auto"/>
                <w:szCs w:val="21"/>
                <w:highlight w:val="none"/>
              </w:rPr>
              <w:t>求</w:t>
            </w:r>
            <w:r>
              <w:rPr>
                <w:rFonts w:hint="eastAsia" w:ascii="宋体" w:hAnsi="宋体"/>
                <w:bCs/>
                <w:color w:val="auto"/>
                <w:szCs w:val="21"/>
                <w:highlight w:val="none"/>
              </w:rPr>
              <w:t>、人</w:t>
            </w:r>
            <w:r>
              <w:rPr>
                <w:rFonts w:ascii="宋体" w:hAnsi="宋体"/>
                <w:bCs/>
                <w:color w:val="auto"/>
                <w:szCs w:val="21"/>
                <w:highlight w:val="none"/>
              </w:rPr>
              <w:t>员通行</w:t>
            </w:r>
            <w:r>
              <w:rPr>
                <w:rFonts w:hint="eastAsia" w:ascii="宋体" w:hAnsi="宋体"/>
                <w:bCs/>
                <w:color w:val="auto"/>
                <w:szCs w:val="21"/>
                <w:highlight w:val="none"/>
              </w:rPr>
              <w:t>要求</w:t>
            </w:r>
            <w:r>
              <w:rPr>
                <w:rFonts w:hint="eastAsia"/>
                <w:color w:val="auto"/>
                <w:szCs w:val="21"/>
                <w:highlight w:val="none"/>
              </w:rPr>
              <w:t>，不满足</w:t>
            </w:r>
            <w:r>
              <w:rPr>
                <w:rFonts w:hint="eastAsia"/>
                <w:color w:val="auto"/>
                <w:highlight w:val="none"/>
              </w:rPr>
              <w:t>满足建筑与</w:t>
            </w:r>
            <w:r>
              <w:rPr>
                <w:color w:val="auto"/>
                <w:highlight w:val="none"/>
              </w:rPr>
              <w:t>交通工程学院实验功能的需求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883" w:type="dxa"/>
            <w:vMerge w:val="continue"/>
            <w:noWrap/>
          </w:tcPr>
          <w:p>
            <w:pPr>
              <w:spacing w:line="440" w:lineRule="exact"/>
              <w:rPr>
                <w:color w:val="auto"/>
                <w:szCs w:val="21"/>
                <w:highlight w:val="none"/>
              </w:rPr>
            </w:pPr>
          </w:p>
        </w:tc>
        <w:tc>
          <w:tcPr>
            <w:tcW w:w="1182" w:type="dxa"/>
            <w:vMerge w:val="continue"/>
            <w:noWrap/>
          </w:tcPr>
          <w:p>
            <w:pPr>
              <w:spacing w:line="440" w:lineRule="exact"/>
              <w:rPr>
                <w:color w:val="auto"/>
                <w:szCs w:val="21"/>
                <w:highlight w:val="none"/>
              </w:rPr>
            </w:pPr>
          </w:p>
        </w:tc>
        <w:tc>
          <w:tcPr>
            <w:tcW w:w="2864" w:type="dxa"/>
            <w:gridSpan w:val="3"/>
            <w:noWrap/>
            <w:vAlign w:val="center"/>
          </w:tcPr>
          <w:p>
            <w:pPr>
              <w:adjustRightInd w:val="0"/>
              <w:snapToGrid w:val="0"/>
              <w:spacing w:line="360" w:lineRule="auto"/>
              <w:jc w:val="center"/>
              <w:rPr>
                <w:rFonts w:ascii="宋体" w:hAnsi="宋体"/>
                <w:bCs/>
                <w:color w:val="auto"/>
                <w:szCs w:val="21"/>
                <w:highlight w:val="none"/>
              </w:rPr>
            </w:pPr>
            <w:r>
              <w:rPr>
                <w:rFonts w:hint="eastAsia" w:ascii="宋体" w:hAnsi="宋体" w:cs="宋体"/>
                <w:color w:val="auto"/>
                <w:szCs w:val="21"/>
                <w:highlight w:val="none"/>
              </w:rPr>
              <w:t>建筑结构设计（</w:t>
            </w:r>
            <w:r>
              <w:rPr>
                <w:rFonts w:ascii="宋体" w:hAnsi="宋体" w:cs="宋体"/>
                <w:color w:val="auto"/>
                <w:szCs w:val="21"/>
                <w:highlight w:val="none"/>
              </w:rPr>
              <w:t>5</w:t>
            </w:r>
            <w:r>
              <w:rPr>
                <w:rFonts w:hint="eastAsia" w:ascii="宋体" w:hAnsi="宋体" w:cs="宋体"/>
                <w:color w:val="auto"/>
                <w:szCs w:val="21"/>
                <w:highlight w:val="none"/>
              </w:rPr>
              <w:t>分</w:t>
            </w:r>
            <w:r>
              <w:rPr>
                <w:rFonts w:hint="eastAsia" w:ascii="宋体" w:hAnsi="宋体"/>
                <w:color w:val="auto"/>
                <w:spacing w:val="-12"/>
                <w:szCs w:val="21"/>
                <w:highlight w:val="none"/>
              </w:rPr>
              <w:t>）</w:t>
            </w:r>
          </w:p>
        </w:tc>
        <w:tc>
          <w:tcPr>
            <w:tcW w:w="5776" w:type="dxa"/>
            <w:gridSpan w:val="3"/>
            <w:noWrap/>
            <w:vAlign w:val="center"/>
          </w:tcPr>
          <w:p>
            <w:pPr>
              <w:spacing w:line="360" w:lineRule="auto"/>
              <w:rPr>
                <w:rFonts w:ascii="宋体"/>
                <w:color w:val="auto"/>
                <w:highlight w:val="none"/>
              </w:rPr>
            </w:pPr>
            <w:r>
              <w:rPr>
                <w:color w:val="auto"/>
                <w:szCs w:val="21"/>
                <w:highlight w:val="none"/>
              </w:rPr>
              <w:t xml:space="preserve">1. </w:t>
            </w:r>
            <w:r>
              <w:rPr>
                <w:rFonts w:hint="eastAsia"/>
                <w:color w:val="auto"/>
                <w:szCs w:val="21"/>
                <w:highlight w:val="none"/>
              </w:rPr>
              <w:t>优（</w:t>
            </w:r>
            <w:r>
              <w:rPr>
                <w:color w:val="auto"/>
                <w:szCs w:val="21"/>
                <w:highlight w:val="none"/>
              </w:rPr>
              <w:t>4.1-5.0</w:t>
            </w:r>
            <w:r>
              <w:rPr>
                <w:rFonts w:hint="eastAsia"/>
                <w:color w:val="auto"/>
                <w:szCs w:val="21"/>
                <w:highlight w:val="none"/>
              </w:rPr>
              <w:t>分）：</w:t>
            </w:r>
            <w:r>
              <w:rPr>
                <w:rFonts w:hint="eastAsia" w:ascii="宋体" w:hAnsi="宋体"/>
                <w:color w:val="auto"/>
                <w:highlight w:val="none"/>
              </w:rPr>
              <w:t>图纸很完整（包括各结构平面图、结构剖面图、预埋件结构图、附属构件大样图、以及有限元分析计算书等），反力墙结构布局非常合理，效果完全符合设计任务书中技术参数的要求， 反力墙结构的力学性能指标完全满足发包人要求， 试验加载区域的设置非常明确合理， 结构配筋及预埋件构造等配置合理。</w:t>
            </w:r>
          </w:p>
          <w:p>
            <w:pPr>
              <w:spacing w:line="360" w:lineRule="auto"/>
              <w:rPr>
                <w:rFonts w:ascii="宋体"/>
                <w:color w:val="auto"/>
                <w:highlight w:val="none"/>
              </w:rPr>
            </w:pPr>
            <w:r>
              <w:rPr>
                <w:rFonts w:ascii="宋体" w:hAnsi="宋体"/>
                <w:color w:val="auto"/>
                <w:highlight w:val="none"/>
              </w:rPr>
              <w:t xml:space="preserve">2. </w:t>
            </w:r>
            <w:r>
              <w:rPr>
                <w:rFonts w:hint="eastAsia"/>
                <w:color w:val="auto"/>
                <w:szCs w:val="21"/>
                <w:highlight w:val="none"/>
              </w:rPr>
              <w:t>良（</w:t>
            </w:r>
            <w:r>
              <w:rPr>
                <w:color w:val="auto"/>
                <w:szCs w:val="21"/>
                <w:highlight w:val="none"/>
              </w:rPr>
              <w:t>3.1-4.0</w:t>
            </w:r>
            <w:r>
              <w:rPr>
                <w:rFonts w:hint="eastAsia"/>
                <w:color w:val="auto"/>
                <w:szCs w:val="21"/>
                <w:highlight w:val="none"/>
              </w:rPr>
              <w:t>分）：</w:t>
            </w:r>
            <w:r>
              <w:rPr>
                <w:rFonts w:hint="eastAsia" w:ascii="宋体" w:hAnsi="宋体"/>
                <w:color w:val="auto"/>
                <w:highlight w:val="none"/>
              </w:rPr>
              <w:t>图纸较完整（包括各结构平面图、结构剖面图、预埋件结构图、附属构件大样图、以及有限元分析计算书等），反力墙结构布局较合理，效果较符合设计任务书中技术参数的要求， 反力墙结构的力学性能指标须满足发包人要求， 试验加载区域的设置较明确合理， 结构配筋及预埋件构造等配置较合理。</w:t>
            </w:r>
          </w:p>
          <w:p>
            <w:pPr>
              <w:spacing w:line="360" w:lineRule="auto"/>
              <w:rPr>
                <w:rFonts w:ascii="宋体"/>
                <w:color w:val="auto"/>
                <w:highlight w:val="none"/>
              </w:rPr>
            </w:pPr>
            <w:r>
              <w:rPr>
                <w:color w:val="auto"/>
                <w:szCs w:val="21"/>
                <w:highlight w:val="none"/>
              </w:rPr>
              <w:t xml:space="preserve">3. </w:t>
            </w:r>
            <w:r>
              <w:rPr>
                <w:rFonts w:hint="eastAsia"/>
                <w:color w:val="auto"/>
                <w:szCs w:val="21"/>
                <w:highlight w:val="none"/>
              </w:rPr>
              <w:t>中（</w:t>
            </w:r>
            <w:r>
              <w:rPr>
                <w:color w:val="auto"/>
                <w:szCs w:val="21"/>
                <w:highlight w:val="none"/>
              </w:rPr>
              <w:t>1.6-3.0</w:t>
            </w:r>
            <w:r>
              <w:rPr>
                <w:rFonts w:hint="eastAsia"/>
                <w:color w:val="auto"/>
                <w:szCs w:val="21"/>
                <w:highlight w:val="none"/>
              </w:rPr>
              <w:t>分）：</w:t>
            </w:r>
            <w:r>
              <w:rPr>
                <w:rFonts w:hint="eastAsia" w:ascii="宋体" w:hAnsi="宋体"/>
                <w:color w:val="auto"/>
                <w:highlight w:val="none"/>
              </w:rPr>
              <w:t>图纸较完整（包括各结构平面图、结构剖面图、预埋件结构图、附属构件大样图、以及有限元分析计算书等），反力墙结构布局基本合理，效果基本符合设计任务书中技术参数的要求， 反力墙结构的力学性能指标不完全满足发包人要求， 试验加载区域的设置基本明确合理， 结构配筋及预埋件构造等配置较合理。</w:t>
            </w:r>
          </w:p>
          <w:p>
            <w:pPr>
              <w:adjustRightInd w:val="0"/>
              <w:snapToGrid w:val="0"/>
              <w:spacing w:line="360" w:lineRule="auto"/>
              <w:rPr>
                <w:rFonts w:ascii="宋体" w:hAnsi="宋体"/>
                <w:bCs/>
                <w:color w:val="auto"/>
                <w:szCs w:val="21"/>
                <w:highlight w:val="none"/>
              </w:rPr>
            </w:pPr>
            <w:r>
              <w:rPr>
                <w:rFonts w:ascii="宋体" w:hAnsi="宋体"/>
                <w:color w:val="auto"/>
                <w:highlight w:val="none"/>
              </w:rPr>
              <w:t xml:space="preserve">4. </w:t>
            </w:r>
            <w:r>
              <w:rPr>
                <w:rFonts w:hint="eastAsia" w:ascii="宋体" w:hAnsi="宋体"/>
                <w:color w:val="auto"/>
                <w:highlight w:val="none"/>
              </w:rPr>
              <w:t>差（</w:t>
            </w:r>
            <w:r>
              <w:rPr>
                <w:rFonts w:ascii="宋体"/>
                <w:color w:val="auto"/>
                <w:highlight w:val="none"/>
              </w:rPr>
              <w:t>0-1.</w:t>
            </w:r>
            <w:r>
              <w:rPr>
                <w:rFonts w:hint="eastAsia" w:ascii="宋体"/>
                <w:color w:val="auto"/>
                <w:highlight w:val="none"/>
                <w:lang w:val="en-US" w:eastAsia="zh-CN"/>
              </w:rPr>
              <w:t>5</w:t>
            </w:r>
            <w:r>
              <w:rPr>
                <w:rFonts w:hint="eastAsia" w:ascii="宋体" w:hAnsi="宋体"/>
                <w:color w:val="auto"/>
                <w:highlight w:val="none"/>
              </w:rPr>
              <w:t>分）：图纸不完整（包括各结构平面图、结构剖面图、预埋件结构图、附属构件大样图、以及有限元分析计算书等），反力墙结构布局不合理，效果不符合设计任务书中技术参数的要求， 反力墙结构的力学性能指标不满足发包人要求， 试验加载区域的设置不明确合理， 结构配筋及预埋件构造等配置不合理。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929" w:type="dxa"/>
            <w:gridSpan w:val="5"/>
            <w:noWrap/>
            <w:vAlign w:val="center"/>
          </w:tcPr>
          <w:p>
            <w:pPr>
              <w:spacing w:line="360" w:lineRule="auto"/>
              <w:jc w:val="center"/>
              <w:rPr>
                <w:color w:val="auto"/>
                <w:szCs w:val="21"/>
                <w:highlight w:val="none"/>
              </w:rPr>
            </w:pPr>
            <w:r>
              <w:rPr>
                <w:color w:val="auto"/>
                <w:szCs w:val="21"/>
                <w:highlight w:val="none"/>
              </w:rPr>
              <w:t>投标人汇总得分</w:t>
            </w:r>
          </w:p>
        </w:tc>
        <w:tc>
          <w:tcPr>
            <w:tcW w:w="5776" w:type="dxa"/>
            <w:gridSpan w:val="3"/>
            <w:noWrap/>
            <w:vAlign w:val="center"/>
          </w:tcPr>
          <w:p>
            <w:pPr>
              <w:spacing w:line="360" w:lineRule="auto"/>
              <w:rPr>
                <w:color w:val="auto"/>
                <w:szCs w:val="21"/>
                <w:highlight w:val="none"/>
              </w:rPr>
            </w:pPr>
            <w:r>
              <w:rPr>
                <w:color w:val="auto"/>
                <w:szCs w:val="21"/>
                <w:highlight w:val="none"/>
              </w:rPr>
              <w:t>投标人汇总得分=</w:t>
            </w:r>
            <w:r>
              <w:rPr>
                <w:rFonts w:hint="eastAsia"/>
                <w:color w:val="auto"/>
                <w:szCs w:val="21"/>
                <w:highlight w:val="none"/>
              </w:rPr>
              <w:t>资信业绩得分+商务标得分+工程总承包大纲+技术标得分+设计标得分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065" w:type="dxa"/>
            <w:gridSpan w:val="2"/>
            <w:noWrap/>
            <w:vAlign w:val="center"/>
          </w:tcPr>
          <w:p>
            <w:pPr>
              <w:spacing w:line="360" w:lineRule="auto"/>
              <w:jc w:val="center"/>
              <w:rPr>
                <w:color w:val="auto"/>
                <w:szCs w:val="21"/>
                <w:highlight w:val="none"/>
              </w:rPr>
            </w:pPr>
            <w:r>
              <w:rPr>
                <w:color w:val="auto"/>
                <w:szCs w:val="21"/>
                <w:highlight w:val="none"/>
              </w:rPr>
              <w:t>3</w:t>
            </w:r>
          </w:p>
        </w:tc>
        <w:tc>
          <w:tcPr>
            <w:tcW w:w="2864" w:type="dxa"/>
            <w:gridSpan w:val="3"/>
            <w:noWrap/>
            <w:vAlign w:val="center"/>
          </w:tcPr>
          <w:p>
            <w:pPr>
              <w:spacing w:line="360" w:lineRule="auto"/>
              <w:jc w:val="center"/>
              <w:rPr>
                <w:color w:val="auto"/>
                <w:szCs w:val="21"/>
                <w:highlight w:val="none"/>
              </w:rPr>
            </w:pPr>
            <w:r>
              <w:rPr>
                <w:color w:val="auto"/>
                <w:szCs w:val="21"/>
                <w:highlight w:val="none"/>
              </w:rPr>
              <w:t>评标程序</w:t>
            </w:r>
          </w:p>
        </w:tc>
        <w:tc>
          <w:tcPr>
            <w:tcW w:w="5776" w:type="dxa"/>
            <w:gridSpan w:val="3"/>
            <w:noWrap/>
            <w:vAlign w:val="center"/>
          </w:tcPr>
          <w:p>
            <w:pPr>
              <w:spacing w:line="360" w:lineRule="auto"/>
              <w:rPr>
                <w:color w:val="auto"/>
                <w:szCs w:val="21"/>
                <w:highlight w:val="none"/>
              </w:rPr>
            </w:pPr>
            <w:r>
              <w:rPr>
                <w:color w:val="auto"/>
                <w:szCs w:val="21"/>
                <w:highlight w:val="none"/>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065" w:type="dxa"/>
            <w:gridSpan w:val="2"/>
            <w:noWrap/>
            <w:vAlign w:val="center"/>
          </w:tcPr>
          <w:p>
            <w:pPr>
              <w:spacing w:line="360" w:lineRule="auto"/>
              <w:jc w:val="center"/>
              <w:rPr>
                <w:color w:val="auto"/>
                <w:szCs w:val="21"/>
                <w:highlight w:val="none"/>
              </w:rPr>
            </w:pPr>
            <w:r>
              <w:rPr>
                <w:color w:val="auto"/>
                <w:szCs w:val="21"/>
                <w:highlight w:val="none"/>
              </w:rPr>
              <w:t>3.1.2</w:t>
            </w:r>
          </w:p>
        </w:tc>
        <w:tc>
          <w:tcPr>
            <w:tcW w:w="2864" w:type="dxa"/>
            <w:gridSpan w:val="3"/>
            <w:noWrap/>
            <w:vAlign w:val="center"/>
          </w:tcPr>
          <w:p>
            <w:pPr>
              <w:spacing w:line="360" w:lineRule="auto"/>
              <w:jc w:val="center"/>
              <w:rPr>
                <w:color w:val="auto"/>
                <w:szCs w:val="21"/>
                <w:highlight w:val="none"/>
              </w:rPr>
            </w:pPr>
            <w:r>
              <w:rPr>
                <w:color w:val="auto"/>
                <w:szCs w:val="21"/>
                <w:highlight w:val="none"/>
              </w:rPr>
              <w:t>否决投标条件</w:t>
            </w:r>
          </w:p>
        </w:tc>
        <w:tc>
          <w:tcPr>
            <w:tcW w:w="5776" w:type="dxa"/>
            <w:gridSpan w:val="3"/>
            <w:noWrap/>
            <w:vAlign w:val="center"/>
          </w:tcPr>
          <w:p>
            <w:pPr>
              <w:spacing w:line="360" w:lineRule="auto"/>
              <w:rPr>
                <w:color w:val="auto"/>
                <w:szCs w:val="21"/>
                <w:highlight w:val="none"/>
              </w:rPr>
            </w:pPr>
            <w:r>
              <w:rPr>
                <w:color w:val="auto"/>
                <w:szCs w:val="21"/>
                <w:highlight w:val="none"/>
              </w:rPr>
              <w:t>详见本章附件B：否决投标条件</w:t>
            </w:r>
          </w:p>
        </w:tc>
      </w:tr>
    </w:tbl>
    <w:p>
      <w:pPr>
        <w:pStyle w:val="3"/>
        <w:jc w:val="center"/>
        <w:rPr>
          <w:color w:val="auto"/>
          <w:highlight w:val="none"/>
        </w:rPr>
      </w:pPr>
      <w:r>
        <w:rPr>
          <w:rFonts w:ascii="Arial" w:hAnsi="Arial"/>
          <w:b w:val="0"/>
          <w:bCs w:val="0"/>
          <w:color w:val="auto"/>
          <w:szCs w:val="32"/>
          <w:highlight w:val="none"/>
        </w:rPr>
        <w:br w:type="page"/>
      </w:r>
      <w:bookmarkStart w:id="416" w:name="_Toc19034687"/>
      <w:r>
        <w:rPr>
          <w:rFonts w:hint="eastAsia"/>
          <w:color w:val="auto"/>
          <w:highlight w:val="none"/>
        </w:rPr>
        <w:t>评标办法正文部分</w:t>
      </w:r>
      <w:bookmarkEnd w:id="416"/>
    </w:p>
    <w:p>
      <w:pPr>
        <w:pStyle w:val="2"/>
        <w:spacing w:line="360" w:lineRule="auto"/>
        <w:rPr>
          <w:rFonts w:ascii="宋体" w:hAnsi="宋体" w:eastAsia="宋体"/>
          <w:color w:val="auto"/>
          <w:sz w:val="24"/>
          <w:szCs w:val="24"/>
          <w:highlight w:val="none"/>
        </w:rPr>
      </w:pPr>
      <w:bookmarkStart w:id="417" w:name="_Toc419363614"/>
      <w:bookmarkStart w:id="418" w:name="_Toc419321221"/>
      <w:bookmarkStart w:id="419" w:name="_Toc419364312"/>
      <w:bookmarkStart w:id="420" w:name="_Toc433988655"/>
      <w:bookmarkStart w:id="421" w:name="_Toc19034688"/>
      <w:bookmarkStart w:id="422" w:name="_Toc419320185"/>
      <w:r>
        <w:rPr>
          <w:rFonts w:hint="eastAsia" w:ascii="宋体" w:hAnsi="宋体" w:eastAsia="宋体"/>
          <w:color w:val="auto"/>
          <w:sz w:val="24"/>
          <w:szCs w:val="24"/>
          <w:highlight w:val="none"/>
        </w:rPr>
        <w:t>1. 评标方法</w:t>
      </w:r>
      <w:bookmarkEnd w:id="417"/>
      <w:bookmarkEnd w:id="418"/>
      <w:bookmarkEnd w:id="419"/>
      <w:bookmarkEnd w:id="420"/>
      <w:bookmarkEnd w:id="421"/>
      <w:bookmarkEnd w:id="422"/>
    </w:p>
    <w:p>
      <w:pPr>
        <w:spacing w:line="400" w:lineRule="exact"/>
        <w:ind w:firstLine="420" w:firstLineChars="200"/>
        <w:rPr>
          <w:color w:val="auto"/>
          <w:highlight w:val="none"/>
        </w:rPr>
      </w:pPr>
      <w:r>
        <w:rPr>
          <w:rFonts w:hint="eastAsia"/>
          <w:color w:val="auto"/>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pPr>
        <w:pStyle w:val="2"/>
        <w:spacing w:line="360" w:lineRule="auto"/>
        <w:rPr>
          <w:rFonts w:ascii="宋体" w:hAnsi="宋体" w:eastAsia="宋体"/>
          <w:color w:val="auto"/>
          <w:sz w:val="24"/>
          <w:szCs w:val="24"/>
          <w:highlight w:val="none"/>
        </w:rPr>
      </w:pPr>
      <w:bookmarkStart w:id="423" w:name="_Toc19034689"/>
      <w:bookmarkStart w:id="424" w:name="_Toc419320186"/>
      <w:bookmarkStart w:id="425" w:name="_Toc419363615"/>
      <w:bookmarkStart w:id="426" w:name="_Toc419364313"/>
      <w:bookmarkStart w:id="427" w:name="_Toc419321222"/>
      <w:bookmarkStart w:id="428" w:name="_Toc433988656"/>
      <w:r>
        <w:rPr>
          <w:rFonts w:hint="eastAsia" w:ascii="宋体" w:hAnsi="宋体" w:eastAsia="宋体"/>
          <w:color w:val="auto"/>
          <w:sz w:val="24"/>
          <w:szCs w:val="24"/>
          <w:highlight w:val="none"/>
        </w:rPr>
        <w:t>2. 评审标准</w:t>
      </w:r>
      <w:bookmarkEnd w:id="423"/>
      <w:bookmarkEnd w:id="424"/>
      <w:bookmarkEnd w:id="425"/>
      <w:bookmarkEnd w:id="426"/>
      <w:bookmarkEnd w:id="427"/>
      <w:bookmarkEnd w:id="428"/>
    </w:p>
    <w:p>
      <w:pPr>
        <w:pStyle w:val="4"/>
        <w:rPr>
          <w:rFonts w:ascii="宋体" w:hAnsi="宋体"/>
          <w:color w:val="auto"/>
          <w:kern w:val="0"/>
          <w:sz w:val="21"/>
          <w:highlight w:val="none"/>
        </w:rPr>
      </w:pPr>
      <w:bookmarkStart w:id="429" w:name="_Toc419364314"/>
      <w:bookmarkStart w:id="430" w:name="_Toc419320187"/>
      <w:bookmarkStart w:id="431" w:name="_Toc433988657"/>
      <w:bookmarkStart w:id="432" w:name="_Toc19034690"/>
      <w:bookmarkStart w:id="433" w:name="_Toc419321223"/>
      <w:bookmarkStart w:id="434" w:name="_Toc419363616"/>
      <w:r>
        <w:rPr>
          <w:rFonts w:hint="eastAsia" w:ascii="宋体" w:hAnsi="宋体"/>
          <w:color w:val="auto"/>
          <w:kern w:val="0"/>
          <w:sz w:val="21"/>
          <w:highlight w:val="none"/>
        </w:rPr>
        <w:t>2.1 初步评审标准</w:t>
      </w:r>
      <w:bookmarkEnd w:id="429"/>
      <w:bookmarkEnd w:id="430"/>
      <w:bookmarkEnd w:id="431"/>
      <w:bookmarkEnd w:id="432"/>
      <w:bookmarkEnd w:id="433"/>
      <w:bookmarkEnd w:id="434"/>
    </w:p>
    <w:p>
      <w:pPr>
        <w:spacing w:line="400" w:lineRule="exact"/>
        <w:ind w:firstLine="420" w:firstLineChars="200"/>
        <w:rPr>
          <w:color w:val="auto"/>
          <w:highlight w:val="none"/>
        </w:rPr>
      </w:pPr>
      <w:r>
        <w:rPr>
          <w:rFonts w:hint="eastAsia"/>
          <w:color w:val="auto"/>
          <w:highlight w:val="none"/>
        </w:rPr>
        <w:t>2.1.1资格评审标准：见评标办法前附表。</w:t>
      </w:r>
    </w:p>
    <w:p>
      <w:pPr>
        <w:spacing w:line="400" w:lineRule="exact"/>
        <w:ind w:firstLine="420" w:firstLineChars="200"/>
        <w:rPr>
          <w:color w:val="auto"/>
          <w:highlight w:val="none"/>
        </w:rPr>
      </w:pPr>
      <w:r>
        <w:rPr>
          <w:rFonts w:hint="eastAsia"/>
          <w:color w:val="auto"/>
          <w:highlight w:val="none"/>
        </w:rPr>
        <w:t>2.1.2形式评审标准：见评标办法前附表。</w:t>
      </w:r>
    </w:p>
    <w:p>
      <w:pPr>
        <w:spacing w:line="400" w:lineRule="exact"/>
        <w:ind w:firstLine="420" w:firstLineChars="200"/>
        <w:rPr>
          <w:color w:val="auto"/>
          <w:highlight w:val="none"/>
        </w:rPr>
      </w:pPr>
      <w:r>
        <w:rPr>
          <w:rFonts w:hint="eastAsia"/>
          <w:color w:val="auto"/>
          <w:highlight w:val="none"/>
        </w:rPr>
        <w:t>2.1.3 响应性评审标准：见评标办法前附表。</w:t>
      </w:r>
    </w:p>
    <w:p>
      <w:pPr>
        <w:pStyle w:val="4"/>
        <w:rPr>
          <w:rFonts w:ascii="宋体" w:hAnsi="宋体"/>
          <w:color w:val="auto"/>
          <w:kern w:val="0"/>
          <w:sz w:val="21"/>
          <w:highlight w:val="none"/>
        </w:rPr>
      </w:pPr>
      <w:bookmarkStart w:id="435" w:name="_Toc419363617"/>
      <w:bookmarkStart w:id="436" w:name="_Toc419321224"/>
      <w:bookmarkStart w:id="437" w:name="_Toc419320188"/>
      <w:bookmarkStart w:id="438" w:name="_Toc19034691"/>
      <w:bookmarkStart w:id="439" w:name="_Toc433988658"/>
      <w:bookmarkStart w:id="440" w:name="_Toc419364315"/>
      <w:r>
        <w:rPr>
          <w:rFonts w:hint="eastAsia" w:ascii="宋体" w:hAnsi="宋体"/>
          <w:color w:val="auto"/>
          <w:kern w:val="0"/>
          <w:sz w:val="21"/>
          <w:highlight w:val="none"/>
        </w:rPr>
        <w:t>2.2 分值构成与评分标准</w:t>
      </w:r>
      <w:bookmarkEnd w:id="435"/>
      <w:bookmarkEnd w:id="436"/>
      <w:bookmarkEnd w:id="437"/>
      <w:bookmarkEnd w:id="438"/>
      <w:bookmarkEnd w:id="439"/>
      <w:bookmarkEnd w:id="440"/>
    </w:p>
    <w:p>
      <w:pPr>
        <w:spacing w:line="400" w:lineRule="exact"/>
        <w:ind w:firstLine="420" w:firstLineChars="200"/>
        <w:rPr>
          <w:color w:val="auto"/>
          <w:highlight w:val="none"/>
        </w:rPr>
      </w:pPr>
      <w:r>
        <w:rPr>
          <w:rFonts w:hint="eastAsia"/>
          <w:color w:val="auto"/>
          <w:highlight w:val="none"/>
        </w:rPr>
        <w:t>2.2.1 分值构成</w:t>
      </w:r>
    </w:p>
    <w:p>
      <w:pPr>
        <w:spacing w:line="440" w:lineRule="exact"/>
        <w:ind w:firstLine="420" w:firstLineChars="200"/>
        <w:rPr>
          <w:color w:val="auto"/>
          <w:szCs w:val="21"/>
          <w:highlight w:val="none"/>
        </w:rPr>
      </w:pPr>
      <w:r>
        <w:rPr>
          <w:rFonts w:hint="eastAsia"/>
          <w:color w:val="auto"/>
          <w:highlight w:val="none"/>
        </w:rPr>
        <w:t>（1）</w:t>
      </w:r>
      <w:r>
        <w:rPr>
          <w:rFonts w:hint="eastAsia"/>
          <w:color w:val="auto"/>
          <w:szCs w:val="21"/>
          <w:highlight w:val="none"/>
        </w:rPr>
        <w:t>工程总承包工作大纲</w:t>
      </w:r>
      <w:r>
        <w:rPr>
          <w:rFonts w:hint="eastAsia"/>
          <w:color w:val="auto"/>
          <w:highlight w:val="none"/>
        </w:rPr>
        <w:t>：见评标办法前附表；</w:t>
      </w:r>
    </w:p>
    <w:p>
      <w:pPr>
        <w:spacing w:line="440" w:lineRule="exact"/>
        <w:ind w:firstLine="420" w:firstLineChars="200"/>
        <w:rPr>
          <w:color w:val="auto"/>
          <w:szCs w:val="21"/>
          <w:highlight w:val="none"/>
        </w:rPr>
      </w:pPr>
      <w:r>
        <w:rPr>
          <w:rFonts w:hint="eastAsia"/>
          <w:color w:val="auto"/>
          <w:highlight w:val="none"/>
        </w:rPr>
        <w:t>（2）</w:t>
      </w:r>
      <w:r>
        <w:rPr>
          <w:rFonts w:hint="eastAsia"/>
          <w:color w:val="auto"/>
          <w:szCs w:val="21"/>
          <w:highlight w:val="none"/>
        </w:rPr>
        <w:t>施工组织设计</w:t>
      </w:r>
      <w:r>
        <w:rPr>
          <w:rFonts w:hint="eastAsia"/>
          <w:color w:val="auto"/>
          <w:highlight w:val="none"/>
        </w:rPr>
        <w:t>：见评标办法前附表；</w:t>
      </w:r>
    </w:p>
    <w:p>
      <w:pPr>
        <w:spacing w:line="440" w:lineRule="exact"/>
        <w:ind w:firstLine="420" w:firstLineChars="200"/>
        <w:rPr>
          <w:color w:val="auto"/>
          <w:szCs w:val="21"/>
          <w:highlight w:val="none"/>
        </w:rPr>
      </w:pPr>
      <w:r>
        <w:rPr>
          <w:rFonts w:hint="eastAsia"/>
          <w:color w:val="auto"/>
          <w:highlight w:val="none"/>
        </w:rPr>
        <w:t>（3）</w:t>
      </w:r>
      <w:r>
        <w:rPr>
          <w:rFonts w:hint="eastAsia"/>
          <w:color w:val="auto"/>
          <w:szCs w:val="21"/>
          <w:highlight w:val="none"/>
        </w:rPr>
        <w:t>资信业绩</w:t>
      </w:r>
      <w:r>
        <w:rPr>
          <w:rFonts w:hint="eastAsia"/>
          <w:color w:val="auto"/>
          <w:highlight w:val="none"/>
        </w:rPr>
        <w:t>：见评标办法前附表；</w:t>
      </w:r>
    </w:p>
    <w:p>
      <w:pPr>
        <w:spacing w:line="440" w:lineRule="exact"/>
        <w:ind w:firstLine="420" w:firstLineChars="200"/>
        <w:rPr>
          <w:color w:val="auto"/>
          <w:szCs w:val="21"/>
          <w:highlight w:val="none"/>
        </w:rPr>
      </w:pPr>
      <w:r>
        <w:rPr>
          <w:rFonts w:hint="eastAsia"/>
          <w:color w:val="auto"/>
          <w:highlight w:val="none"/>
        </w:rPr>
        <w:t>（4）</w:t>
      </w:r>
      <w:r>
        <w:rPr>
          <w:rFonts w:hint="eastAsia"/>
          <w:color w:val="auto"/>
          <w:szCs w:val="21"/>
          <w:highlight w:val="none"/>
        </w:rPr>
        <w:t>商务标</w:t>
      </w:r>
      <w:r>
        <w:rPr>
          <w:rFonts w:hint="eastAsia"/>
          <w:color w:val="auto"/>
          <w:highlight w:val="none"/>
        </w:rPr>
        <w:t>：见评标办法前附表；</w:t>
      </w:r>
    </w:p>
    <w:p>
      <w:pPr>
        <w:spacing w:line="400" w:lineRule="exact"/>
        <w:ind w:firstLine="420" w:firstLineChars="200"/>
        <w:rPr>
          <w:color w:val="auto"/>
          <w:highlight w:val="none"/>
        </w:rPr>
      </w:pPr>
      <w:r>
        <w:rPr>
          <w:rFonts w:hint="eastAsia"/>
          <w:color w:val="auto"/>
          <w:highlight w:val="none"/>
        </w:rPr>
        <w:t>（5）</w:t>
      </w:r>
      <w:r>
        <w:rPr>
          <w:rFonts w:hint="eastAsia"/>
          <w:color w:val="auto"/>
          <w:szCs w:val="21"/>
          <w:highlight w:val="none"/>
        </w:rPr>
        <w:t>设计标</w:t>
      </w:r>
      <w:r>
        <w:rPr>
          <w:rFonts w:hint="eastAsia"/>
          <w:color w:val="auto"/>
          <w:highlight w:val="none"/>
        </w:rPr>
        <w:t>：见评标办法前附表。</w:t>
      </w:r>
    </w:p>
    <w:p>
      <w:pPr>
        <w:spacing w:line="400" w:lineRule="exact"/>
        <w:ind w:firstLine="437"/>
        <w:rPr>
          <w:color w:val="auto"/>
          <w:szCs w:val="21"/>
          <w:highlight w:val="none"/>
        </w:rPr>
      </w:pPr>
      <w:r>
        <w:rPr>
          <w:rFonts w:hint="eastAsia"/>
          <w:color w:val="auto"/>
          <w:highlight w:val="none"/>
        </w:rPr>
        <w:t>备注：“</w:t>
      </w:r>
      <w:r>
        <w:rPr>
          <w:rFonts w:hint="eastAsia"/>
          <w:color w:val="auto"/>
          <w:szCs w:val="21"/>
          <w:highlight w:val="none"/>
        </w:rPr>
        <w:t>工程总承包工作大纲”与“施工组织设计”共同组成“技术标”，该两项得分之和即为“技术标”得分。</w:t>
      </w:r>
    </w:p>
    <w:p>
      <w:pPr>
        <w:spacing w:line="400" w:lineRule="exact"/>
        <w:ind w:firstLine="420" w:firstLineChars="200"/>
        <w:rPr>
          <w:color w:val="auto"/>
          <w:highlight w:val="none"/>
        </w:rPr>
      </w:pPr>
      <w:r>
        <w:rPr>
          <w:rFonts w:hint="eastAsia"/>
          <w:color w:val="auto"/>
          <w:highlight w:val="none"/>
        </w:rPr>
        <w:t>2.2.2 评标基准价计算</w:t>
      </w:r>
    </w:p>
    <w:p>
      <w:pPr>
        <w:spacing w:line="400" w:lineRule="exact"/>
        <w:ind w:firstLine="420" w:firstLineChars="200"/>
        <w:rPr>
          <w:color w:val="auto"/>
          <w:highlight w:val="none"/>
        </w:rPr>
      </w:pPr>
      <w:r>
        <w:rPr>
          <w:rFonts w:hint="eastAsia"/>
          <w:color w:val="auto"/>
          <w:highlight w:val="none"/>
        </w:rPr>
        <w:t>评标基准价计算方法：见评标办法前附表。</w:t>
      </w:r>
    </w:p>
    <w:p>
      <w:pPr>
        <w:spacing w:line="400" w:lineRule="exact"/>
        <w:ind w:firstLine="420" w:firstLineChars="200"/>
        <w:rPr>
          <w:color w:val="auto"/>
          <w:highlight w:val="none"/>
        </w:rPr>
      </w:pPr>
      <w:r>
        <w:rPr>
          <w:rFonts w:hint="eastAsia"/>
          <w:color w:val="auto"/>
          <w:highlight w:val="none"/>
        </w:rPr>
        <w:t>2.2.3 投标报价的偏差率计算</w:t>
      </w:r>
    </w:p>
    <w:p>
      <w:pPr>
        <w:spacing w:line="400" w:lineRule="exact"/>
        <w:ind w:firstLine="420" w:firstLineChars="200"/>
        <w:rPr>
          <w:color w:val="auto"/>
          <w:highlight w:val="none"/>
        </w:rPr>
      </w:pPr>
      <w:r>
        <w:rPr>
          <w:rFonts w:hint="eastAsia"/>
          <w:color w:val="auto"/>
          <w:highlight w:val="none"/>
        </w:rPr>
        <w:t>投标报价的偏差率计算公式：见评标办法前附表。</w:t>
      </w:r>
    </w:p>
    <w:p>
      <w:pPr>
        <w:spacing w:line="400" w:lineRule="exact"/>
        <w:ind w:firstLine="420" w:firstLineChars="200"/>
        <w:rPr>
          <w:color w:val="auto"/>
          <w:highlight w:val="none"/>
        </w:rPr>
      </w:pPr>
      <w:r>
        <w:rPr>
          <w:rFonts w:hint="eastAsia"/>
          <w:color w:val="auto"/>
          <w:highlight w:val="none"/>
        </w:rPr>
        <w:t>2.2.4 评分标准</w:t>
      </w:r>
    </w:p>
    <w:p>
      <w:pPr>
        <w:spacing w:line="400" w:lineRule="exact"/>
        <w:ind w:firstLine="420" w:firstLineChars="200"/>
        <w:rPr>
          <w:color w:val="auto"/>
          <w:highlight w:val="none"/>
        </w:rPr>
      </w:pPr>
      <w:r>
        <w:rPr>
          <w:rFonts w:hint="eastAsia"/>
          <w:color w:val="auto"/>
          <w:highlight w:val="none"/>
        </w:rPr>
        <w:t>（1）</w:t>
      </w:r>
      <w:r>
        <w:rPr>
          <w:rFonts w:hint="eastAsia"/>
          <w:color w:val="auto"/>
          <w:szCs w:val="21"/>
          <w:highlight w:val="none"/>
        </w:rPr>
        <w:t>工程总承包工作大纲</w:t>
      </w:r>
      <w:r>
        <w:rPr>
          <w:rFonts w:hint="eastAsia"/>
          <w:color w:val="auto"/>
          <w:highlight w:val="none"/>
        </w:rPr>
        <w:t>评分标准：见评标办法前附表；</w:t>
      </w:r>
    </w:p>
    <w:p>
      <w:pPr>
        <w:spacing w:line="400" w:lineRule="exact"/>
        <w:ind w:firstLine="420" w:firstLineChars="200"/>
        <w:rPr>
          <w:color w:val="auto"/>
          <w:highlight w:val="none"/>
        </w:rPr>
      </w:pPr>
      <w:r>
        <w:rPr>
          <w:rFonts w:hint="eastAsia"/>
          <w:color w:val="auto"/>
          <w:highlight w:val="none"/>
        </w:rPr>
        <w:t>（2）</w:t>
      </w:r>
      <w:r>
        <w:rPr>
          <w:rFonts w:hint="eastAsia"/>
          <w:color w:val="auto"/>
          <w:szCs w:val="21"/>
          <w:highlight w:val="none"/>
        </w:rPr>
        <w:t>施工组织设计</w:t>
      </w:r>
      <w:r>
        <w:rPr>
          <w:rFonts w:hint="eastAsia"/>
          <w:color w:val="auto"/>
          <w:highlight w:val="none"/>
        </w:rPr>
        <w:t>评分标准：见评标办法前附表；</w:t>
      </w:r>
    </w:p>
    <w:p>
      <w:pPr>
        <w:spacing w:line="400" w:lineRule="exact"/>
        <w:ind w:firstLine="420" w:firstLineChars="200"/>
        <w:rPr>
          <w:color w:val="auto"/>
          <w:highlight w:val="none"/>
        </w:rPr>
      </w:pPr>
      <w:r>
        <w:rPr>
          <w:rFonts w:hint="eastAsia"/>
          <w:color w:val="auto"/>
          <w:highlight w:val="none"/>
        </w:rPr>
        <w:t>（3）</w:t>
      </w:r>
      <w:r>
        <w:rPr>
          <w:rFonts w:hint="eastAsia"/>
          <w:color w:val="auto"/>
          <w:szCs w:val="21"/>
          <w:highlight w:val="none"/>
        </w:rPr>
        <w:t>资信业绩</w:t>
      </w:r>
      <w:r>
        <w:rPr>
          <w:rFonts w:hint="eastAsia"/>
          <w:color w:val="auto"/>
          <w:highlight w:val="none"/>
        </w:rPr>
        <w:t>评分标准：见评标办法前附表；</w:t>
      </w:r>
    </w:p>
    <w:p>
      <w:pPr>
        <w:spacing w:line="400" w:lineRule="exact"/>
        <w:ind w:firstLine="420" w:firstLineChars="200"/>
        <w:rPr>
          <w:color w:val="auto"/>
          <w:highlight w:val="none"/>
        </w:rPr>
      </w:pPr>
      <w:r>
        <w:rPr>
          <w:rFonts w:hint="eastAsia"/>
          <w:color w:val="auto"/>
          <w:highlight w:val="none"/>
        </w:rPr>
        <w:t>（4）</w:t>
      </w:r>
      <w:r>
        <w:rPr>
          <w:rFonts w:hint="eastAsia"/>
          <w:color w:val="auto"/>
          <w:szCs w:val="21"/>
          <w:highlight w:val="none"/>
        </w:rPr>
        <w:t>商务标</w:t>
      </w:r>
      <w:r>
        <w:rPr>
          <w:rFonts w:hint="eastAsia"/>
          <w:color w:val="auto"/>
          <w:highlight w:val="none"/>
        </w:rPr>
        <w:t>评分标准：见评标办法前附表；</w:t>
      </w:r>
    </w:p>
    <w:p>
      <w:pPr>
        <w:spacing w:line="400" w:lineRule="exact"/>
        <w:ind w:firstLine="420" w:firstLineChars="200"/>
        <w:rPr>
          <w:color w:val="auto"/>
          <w:highlight w:val="none"/>
        </w:rPr>
      </w:pPr>
      <w:r>
        <w:rPr>
          <w:rFonts w:hint="eastAsia"/>
          <w:color w:val="auto"/>
          <w:highlight w:val="none"/>
        </w:rPr>
        <w:t>（5）设计标评分标准：见评标办法前附表。</w:t>
      </w:r>
    </w:p>
    <w:p>
      <w:pPr>
        <w:pStyle w:val="2"/>
        <w:spacing w:line="360" w:lineRule="auto"/>
        <w:rPr>
          <w:rFonts w:ascii="宋体" w:hAnsi="宋体" w:eastAsia="宋体"/>
          <w:color w:val="auto"/>
          <w:sz w:val="24"/>
          <w:szCs w:val="24"/>
          <w:highlight w:val="none"/>
        </w:rPr>
      </w:pPr>
      <w:bookmarkStart w:id="441" w:name="_Toc419363618"/>
      <w:bookmarkStart w:id="442" w:name="_Toc419364316"/>
      <w:bookmarkStart w:id="443" w:name="_Toc433988659"/>
      <w:bookmarkStart w:id="444" w:name="_Toc19034692"/>
      <w:bookmarkStart w:id="445" w:name="_Toc419320189"/>
      <w:bookmarkStart w:id="446" w:name="_Toc419321225"/>
      <w:r>
        <w:rPr>
          <w:rFonts w:hint="eastAsia" w:ascii="宋体" w:hAnsi="宋体" w:eastAsia="宋体"/>
          <w:color w:val="auto"/>
          <w:sz w:val="24"/>
          <w:szCs w:val="24"/>
          <w:highlight w:val="none"/>
        </w:rPr>
        <w:t>3. 评标程序</w:t>
      </w:r>
      <w:bookmarkEnd w:id="441"/>
      <w:bookmarkEnd w:id="442"/>
      <w:bookmarkEnd w:id="443"/>
      <w:bookmarkEnd w:id="444"/>
      <w:bookmarkEnd w:id="445"/>
      <w:bookmarkEnd w:id="446"/>
    </w:p>
    <w:p>
      <w:pPr>
        <w:pStyle w:val="4"/>
        <w:rPr>
          <w:rFonts w:ascii="宋体" w:hAnsi="宋体"/>
          <w:color w:val="auto"/>
          <w:kern w:val="0"/>
          <w:sz w:val="21"/>
          <w:highlight w:val="none"/>
        </w:rPr>
      </w:pPr>
      <w:bookmarkStart w:id="447" w:name="_Toc419320190"/>
      <w:bookmarkStart w:id="448" w:name="_Toc419363619"/>
      <w:bookmarkStart w:id="449" w:name="_Toc419364317"/>
      <w:bookmarkStart w:id="450" w:name="_Toc433988660"/>
      <w:bookmarkStart w:id="451" w:name="_Toc19034693"/>
      <w:bookmarkStart w:id="452" w:name="_Toc419321226"/>
      <w:r>
        <w:rPr>
          <w:rFonts w:hint="eastAsia" w:ascii="宋体" w:hAnsi="宋体"/>
          <w:color w:val="auto"/>
          <w:kern w:val="0"/>
          <w:sz w:val="21"/>
          <w:highlight w:val="none"/>
        </w:rPr>
        <w:t>3.1 初步评审</w:t>
      </w:r>
      <w:bookmarkEnd w:id="447"/>
      <w:bookmarkEnd w:id="448"/>
      <w:bookmarkEnd w:id="449"/>
      <w:bookmarkEnd w:id="450"/>
      <w:bookmarkEnd w:id="451"/>
      <w:bookmarkEnd w:id="452"/>
    </w:p>
    <w:p>
      <w:pPr>
        <w:spacing w:line="400" w:lineRule="exact"/>
        <w:ind w:firstLine="420" w:firstLineChars="200"/>
        <w:rPr>
          <w:color w:val="auto"/>
          <w:highlight w:val="none"/>
        </w:rPr>
      </w:pPr>
      <w:r>
        <w:rPr>
          <w:rFonts w:hint="eastAsia"/>
          <w:color w:val="auto"/>
          <w:highlight w:val="none"/>
        </w:rPr>
        <w:t>3.1.1 评标委员会可以要求投标人提交第二章“投标人须知”第3.5.1项至第3.5.5项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color w:val="auto"/>
          <w:highlight w:val="none"/>
        </w:rPr>
      </w:pPr>
      <w:r>
        <w:rPr>
          <w:rFonts w:hint="eastAsia"/>
          <w:color w:val="auto"/>
          <w:highlight w:val="none"/>
        </w:rPr>
        <w:t>3.1.2 投标人有以下情形之一的，评标委员会应当否决其投标：</w:t>
      </w:r>
    </w:p>
    <w:p>
      <w:pPr>
        <w:spacing w:line="400" w:lineRule="exact"/>
        <w:ind w:firstLine="420" w:firstLineChars="200"/>
        <w:rPr>
          <w:color w:val="auto"/>
          <w:highlight w:val="none"/>
        </w:rPr>
      </w:pPr>
      <w:r>
        <w:rPr>
          <w:rFonts w:hint="eastAsia"/>
          <w:color w:val="auto"/>
          <w:highlight w:val="none"/>
        </w:rPr>
        <w:t>（1）第二章“投标人须知”第1.4.5项规定的任何一种情形的；</w:t>
      </w:r>
    </w:p>
    <w:p>
      <w:pPr>
        <w:spacing w:line="400" w:lineRule="exact"/>
        <w:ind w:firstLine="420" w:firstLineChars="200"/>
        <w:rPr>
          <w:color w:val="auto"/>
          <w:highlight w:val="none"/>
        </w:rPr>
      </w:pPr>
      <w:r>
        <w:rPr>
          <w:rFonts w:hint="eastAsia"/>
          <w:color w:val="auto"/>
          <w:highlight w:val="none"/>
        </w:rPr>
        <w:t>（2）串通投标或弄虚作假或有其他违法行为的；</w:t>
      </w:r>
    </w:p>
    <w:p>
      <w:pPr>
        <w:spacing w:line="400" w:lineRule="exact"/>
        <w:ind w:firstLine="420" w:firstLineChars="200"/>
        <w:rPr>
          <w:color w:val="auto"/>
          <w:highlight w:val="none"/>
        </w:rPr>
      </w:pPr>
      <w:r>
        <w:rPr>
          <w:rFonts w:hint="eastAsia"/>
          <w:color w:val="auto"/>
          <w:highlight w:val="none"/>
        </w:rPr>
        <w:t>（3）不按评标委员会要求澄清、说明或补正的。</w:t>
      </w:r>
    </w:p>
    <w:p>
      <w:pPr>
        <w:spacing w:line="400" w:lineRule="exact"/>
        <w:ind w:firstLine="420" w:firstLineChars="200"/>
        <w:rPr>
          <w:color w:val="auto"/>
          <w:highlight w:val="none"/>
        </w:rPr>
      </w:pPr>
      <w:r>
        <w:rPr>
          <w:rFonts w:hint="eastAsia"/>
          <w:color w:val="auto"/>
          <w:highlight w:val="none"/>
        </w:rPr>
        <w:t>3.1.3 投标报价有算术错误的，评标委员会按以下原则对投标报价进行修正，修正的价格经投标人书面确认后具有约束力。投标人不接受修正价格的，评标委员会应当否决其投标。</w:t>
      </w:r>
    </w:p>
    <w:p>
      <w:pPr>
        <w:spacing w:line="400" w:lineRule="exact"/>
        <w:ind w:firstLine="420" w:firstLineChars="200"/>
        <w:rPr>
          <w:color w:val="auto"/>
          <w:highlight w:val="none"/>
        </w:rPr>
      </w:pPr>
      <w:r>
        <w:rPr>
          <w:rFonts w:hint="eastAsia"/>
          <w:color w:val="auto"/>
          <w:highlight w:val="none"/>
        </w:rPr>
        <w:t>（1）投标文件中的大写金额与小写金额不一致的，以大写金额为准；</w:t>
      </w:r>
    </w:p>
    <w:p>
      <w:pPr>
        <w:spacing w:line="400" w:lineRule="exact"/>
        <w:ind w:firstLine="420" w:firstLineChars="200"/>
        <w:rPr>
          <w:color w:val="auto"/>
          <w:highlight w:val="none"/>
        </w:rPr>
      </w:pPr>
      <w:r>
        <w:rPr>
          <w:rFonts w:hint="eastAsia"/>
          <w:color w:val="auto"/>
          <w:highlight w:val="none"/>
        </w:rPr>
        <w:t>（2）总价金额与依据单价计算出的结果不一致的，以单价金额为准修正总价，但单价金额小数点有明显错误的除外。</w:t>
      </w:r>
    </w:p>
    <w:p>
      <w:pPr>
        <w:pStyle w:val="4"/>
        <w:rPr>
          <w:rFonts w:ascii="宋体" w:hAnsi="宋体"/>
          <w:color w:val="auto"/>
          <w:kern w:val="0"/>
          <w:sz w:val="21"/>
          <w:highlight w:val="none"/>
        </w:rPr>
      </w:pPr>
      <w:bookmarkStart w:id="453" w:name="_Toc419320191"/>
      <w:bookmarkStart w:id="454" w:name="_Toc433988661"/>
      <w:bookmarkStart w:id="455" w:name="_Toc19034694"/>
      <w:bookmarkStart w:id="456" w:name="_Toc419364318"/>
      <w:bookmarkStart w:id="457" w:name="_Toc419321227"/>
      <w:bookmarkStart w:id="458" w:name="_Toc419363620"/>
      <w:r>
        <w:rPr>
          <w:rFonts w:hint="eastAsia" w:ascii="宋体" w:hAnsi="宋体"/>
          <w:color w:val="auto"/>
          <w:kern w:val="0"/>
          <w:sz w:val="21"/>
          <w:highlight w:val="none"/>
        </w:rPr>
        <w:t>3.2 详细评审</w:t>
      </w:r>
      <w:bookmarkEnd w:id="453"/>
      <w:bookmarkEnd w:id="454"/>
      <w:bookmarkEnd w:id="455"/>
      <w:bookmarkEnd w:id="456"/>
      <w:bookmarkEnd w:id="457"/>
      <w:bookmarkEnd w:id="458"/>
    </w:p>
    <w:p>
      <w:pPr>
        <w:spacing w:line="400" w:lineRule="exact"/>
        <w:ind w:firstLine="420" w:firstLineChars="200"/>
        <w:rPr>
          <w:color w:val="auto"/>
          <w:highlight w:val="none"/>
        </w:rPr>
      </w:pPr>
      <w:r>
        <w:rPr>
          <w:rFonts w:hint="eastAsia"/>
          <w:color w:val="auto"/>
          <w:highlight w:val="none"/>
        </w:rPr>
        <w:t>3.2.1 评标委员会按本章第2.2款规定的量化因素和分值进行打分，并计算出综合评估得分。评标办法前附表对承包人建议书中的设计文件评审有特殊规定的，从其规定。</w:t>
      </w:r>
    </w:p>
    <w:p>
      <w:pPr>
        <w:spacing w:line="400" w:lineRule="exact"/>
        <w:ind w:firstLine="420" w:firstLineChars="200"/>
        <w:rPr>
          <w:color w:val="auto"/>
          <w:highlight w:val="none"/>
        </w:rPr>
      </w:pPr>
      <w:r>
        <w:rPr>
          <w:rFonts w:hint="eastAsia"/>
          <w:color w:val="auto"/>
          <w:highlight w:val="none"/>
        </w:rPr>
        <w:t>（1）按本章第2.2.4（1）目规定的评审因素和分值对</w:t>
      </w:r>
      <w:r>
        <w:rPr>
          <w:rFonts w:hint="eastAsia"/>
          <w:color w:val="auto"/>
          <w:szCs w:val="21"/>
          <w:highlight w:val="none"/>
        </w:rPr>
        <w:t>工程总承包工作大纲</w:t>
      </w:r>
      <w:r>
        <w:rPr>
          <w:rFonts w:hint="eastAsia"/>
          <w:color w:val="auto"/>
          <w:highlight w:val="none"/>
        </w:rPr>
        <w:t>计算出得分A；</w:t>
      </w:r>
    </w:p>
    <w:p>
      <w:pPr>
        <w:spacing w:line="400" w:lineRule="exact"/>
        <w:ind w:firstLine="420" w:firstLineChars="200"/>
        <w:rPr>
          <w:color w:val="auto"/>
          <w:highlight w:val="none"/>
        </w:rPr>
      </w:pPr>
      <w:r>
        <w:rPr>
          <w:rFonts w:hint="eastAsia"/>
          <w:color w:val="auto"/>
          <w:highlight w:val="none"/>
        </w:rPr>
        <w:t>（2）按本章第2.2.4（2）目规定的评审因素和分值对</w:t>
      </w:r>
      <w:r>
        <w:rPr>
          <w:rFonts w:hint="eastAsia"/>
          <w:color w:val="auto"/>
          <w:szCs w:val="21"/>
          <w:highlight w:val="none"/>
        </w:rPr>
        <w:t>施工组织设计</w:t>
      </w:r>
      <w:r>
        <w:rPr>
          <w:rFonts w:hint="eastAsia"/>
          <w:color w:val="auto"/>
          <w:highlight w:val="none"/>
        </w:rPr>
        <w:t>计算出得分B；</w:t>
      </w:r>
    </w:p>
    <w:p>
      <w:pPr>
        <w:spacing w:line="400" w:lineRule="exact"/>
        <w:ind w:firstLine="420" w:firstLineChars="200"/>
        <w:rPr>
          <w:color w:val="auto"/>
          <w:highlight w:val="none"/>
        </w:rPr>
      </w:pPr>
      <w:r>
        <w:rPr>
          <w:rFonts w:hint="eastAsia"/>
          <w:color w:val="auto"/>
          <w:highlight w:val="none"/>
        </w:rPr>
        <w:t>（3）按本章第2.2.4（3）目规定的评审因素和分值对</w:t>
      </w:r>
      <w:r>
        <w:rPr>
          <w:rFonts w:hint="eastAsia"/>
          <w:color w:val="auto"/>
          <w:szCs w:val="21"/>
          <w:highlight w:val="none"/>
        </w:rPr>
        <w:t>资信业绩</w:t>
      </w:r>
      <w:r>
        <w:rPr>
          <w:rFonts w:hint="eastAsia"/>
          <w:color w:val="auto"/>
          <w:highlight w:val="none"/>
        </w:rPr>
        <w:t>计算出得分C；</w:t>
      </w:r>
    </w:p>
    <w:p>
      <w:pPr>
        <w:spacing w:line="400" w:lineRule="exact"/>
        <w:ind w:firstLine="420" w:firstLineChars="200"/>
        <w:rPr>
          <w:color w:val="auto"/>
          <w:highlight w:val="none"/>
        </w:rPr>
      </w:pPr>
      <w:r>
        <w:rPr>
          <w:rFonts w:hint="eastAsia"/>
          <w:color w:val="auto"/>
          <w:highlight w:val="none"/>
        </w:rPr>
        <w:t>（4）按本章第2.2.4（4）目规定的评审因素和分值对</w:t>
      </w:r>
      <w:r>
        <w:rPr>
          <w:rFonts w:hint="eastAsia"/>
          <w:color w:val="auto"/>
          <w:szCs w:val="21"/>
          <w:highlight w:val="none"/>
        </w:rPr>
        <w:t>商务标</w:t>
      </w:r>
      <w:r>
        <w:rPr>
          <w:rFonts w:hint="eastAsia"/>
          <w:color w:val="auto"/>
          <w:highlight w:val="none"/>
        </w:rPr>
        <w:t>计算出得分D；</w:t>
      </w:r>
    </w:p>
    <w:p>
      <w:pPr>
        <w:spacing w:line="400" w:lineRule="exact"/>
        <w:ind w:firstLine="420" w:firstLineChars="200"/>
        <w:rPr>
          <w:color w:val="auto"/>
          <w:highlight w:val="none"/>
        </w:rPr>
      </w:pPr>
      <w:r>
        <w:rPr>
          <w:rFonts w:hint="eastAsia"/>
          <w:color w:val="auto"/>
          <w:highlight w:val="none"/>
        </w:rPr>
        <w:t>（5）按本章第2.2.4（5）目规定的评审因素和分值对</w:t>
      </w:r>
      <w:r>
        <w:rPr>
          <w:rFonts w:hint="eastAsia"/>
          <w:color w:val="auto"/>
          <w:szCs w:val="21"/>
          <w:highlight w:val="none"/>
        </w:rPr>
        <w:t>设计标</w:t>
      </w:r>
      <w:r>
        <w:rPr>
          <w:rFonts w:hint="eastAsia"/>
          <w:color w:val="auto"/>
          <w:highlight w:val="none"/>
        </w:rPr>
        <w:t>计算出得分E；</w:t>
      </w:r>
    </w:p>
    <w:p>
      <w:pPr>
        <w:spacing w:line="400" w:lineRule="exact"/>
        <w:ind w:firstLine="420" w:firstLineChars="200"/>
        <w:rPr>
          <w:color w:val="auto"/>
          <w:highlight w:val="none"/>
        </w:rPr>
      </w:pPr>
      <w:r>
        <w:rPr>
          <w:rFonts w:hint="eastAsia"/>
          <w:color w:val="auto"/>
          <w:highlight w:val="none"/>
        </w:rPr>
        <w:t>3.2.2 评分分值计算保留小数点后两位，小数点后第三位“四舍五入”。</w:t>
      </w:r>
    </w:p>
    <w:p>
      <w:pPr>
        <w:spacing w:line="400" w:lineRule="exact"/>
        <w:ind w:firstLine="420" w:firstLineChars="200"/>
        <w:rPr>
          <w:color w:val="auto"/>
          <w:highlight w:val="none"/>
        </w:rPr>
      </w:pPr>
      <w:r>
        <w:rPr>
          <w:rFonts w:hint="eastAsia"/>
          <w:color w:val="auto"/>
          <w:highlight w:val="none"/>
        </w:rPr>
        <w:t>3.2.3 投标人得分=A+B+C+D+E。</w:t>
      </w:r>
    </w:p>
    <w:p>
      <w:pPr>
        <w:spacing w:line="400" w:lineRule="exact"/>
        <w:ind w:firstLine="420" w:firstLineChars="200"/>
        <w:rPr>
          <w:color w:val="auto"/>
          <w:highlight w:val="none"/>
        </w:rPr>
      </w:pPr>
      <w:r>
        <w:rPr>
          <w:rFonts w:hint="eastAsia"/>
          <w:color w:val="auto"/>
          <w:highlight w:val="none"/>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pStyle w:val="4"/>
        <w:rPr>
          <w:rFonts w:ascii="宋体" w:hAnsi="宋体"/>
          <w:color w:val="auto"/>
          <w:kern w:val="0"/>
          <w:sz w:val="21"/>
          <w:highlight w:val="none"/>
        </w:rPr>
      </w:pPr>
      <w:bookmarkStart w:id="459" w:name="_Toc433988662"/>
      <w:bookmarkStart w:id="460" w:name="_Toc419321228"/>
      <w:bookmarkStart w:id="461" w:name="_Toc19034695"/>
      <w:bookmarkStart w:id="462" w:name="_Toc419363621"/>
      <w:bookmarkStart w:id="463" w:name="_Toc419320192"/>
      <w:bookmarkStart w:id="464" w:name="_Toc419364319"/>
      <w:r>
        <w:rPr>
          <w:rFonts w:hint="eastAsia" w:ascii="宋体" w:hAnsi="宋体"/>
          <w:color w:val="auto"/>
          <w:kern w:val="0"/>
          <w:sz w:val="21"/>
          <w:highlight w:val="none"/>
        </w:rPr>
        <w:t>3.3 投标文件的澄清和补正</w:t>
      </w:r>
      <w:bookmarkEnd w:id="459"/>
      <w:bookmarkEnd w:id="460"/>
      <w:bookmarkEnd w:id="461"/>
      <w:bookmarkEnd w:id="462"/>
      <w:bookmarkEnd w:id="463"/>
      <w:bookmarkEnd w:id="464"/>
    </w:p>
    <w:p>
      <w:pPr>
        <w:spacing w:line="400" w:lineRule="exact"/>
        <w:ind w:firstLine="420" w:firstLineChars="200"/>
        <w:rPr>
          <w:color w:val="auto"/>
          <w:highlight w:val="none"/>
        </w:rPr>
      </w:pPr>
      <w:r>
        <w:rPr>
          <w:rFonts w:hint="eastAsia"/>
          <w:color w:val="auto"/>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color w:val="auto"/>
          <w:highlight w:val="none"/>
        </w:rPr>
      </w:pPr>
      <w:r>
        <w:rPr>
          <w:rFonts w:hint="eastAsia"/>
          <w:color w:val="auto"/>
          <w:highlight w:val="none"/>
        </w:rPr>
        <w:t>3.3.2 澄清、说明和补正不得改变投标文件的实质性内容。投标人的书面澄清、说明和补正属于投标文件的组成部分。</w:t>
      </w:r>
    </w:p>
    <w:p>
      <w:pPr>
        <w:spacing w:line="400" w:lineRule="exact"/>
        <w:ind w:firstLine="420" w:firstLineChars="200"/>
        <w:rPr>
          <w:color w:val="auto"/>
          <w:highlight w:val="none"/>
        </w:rPr>
      </w:pPr>
      <w:r>
        <w:rPr>
          <w:rFonts w:hint="eastAsia"/>
          <w:color w:val="auto"/>
          <w:highlight w:val="none"/>
        </w:rPr>
        <w:t>3.3.3 评标委员会对投标人提交的澄清、说明或补正有疑问的，可以要求投标人进一步澄清、说明或补正，直至满足评标委员会的要求。</w:t>
      </w:r>
    </w:p>
    <w:p>
      <w:pPr>
        <w:pStyle w:val="4"/>
        <w:rPr>
          <w:rFonts w:ascii="宋体" w:hAnsi="宋体"/>
          <w:color w:val="auto"/>
          <w:kern w:val="0"/>
          <w:sz w:val="21"/>
          <w:highlight w:val="none"/>
        </w:rPr>
      </w:pPr>
      <w:bookmarkStart w:id="465" w:name="_Toc433988663"/>
      <w:bookmarkStart w:id="466" w:name="_Toc419363622"/>
      <w:bookmarkStart w:id="467" w:name="_Toc19034696"/>
      <w:bookmarkStart w:id="468" w:name="_Toc419364320"/>
      <w:bookmarkStart w:id="469" w:name="_Toc419320193"/>
      <w:bookmarkStart w:id="470" w:name="_Toc419321229"/>
      <w:r>
        <w:rPr>
          <w:rFonts w:hint="eastAsia" w:ascii="宋体" w:hAnsi="宋体"/>
          <w:color w:val="auto"/>
          <w:kern w:val="0"/>
          <w:sz w:val="21"/>
          <w:highlight w:val="none"/>
        </w:rPr>
        <w:t>3.4 评标结果</w:t>
      </w:r>
      <w:bookmarkEnd w:id="465"/>
      <w:bookmarkEnd w:id="466"/>
      <w:bookmarkEnd w:id="467"/>
      <w:bookmarkEnd w:id="468"/>
      <w:bookmarkEnd w:id="469"/>
      <w:bookmarkEnd w:id="470"/>
    </w:p>
    <w:p>
      <w:pPr>
        <w:spacing w:line="400" w:lineRule="exact"/>
        <w:ind w:firstLine="420" w:firstLineChars="200"/>
        <w:rPr>
          <w:color w:val="auto"/>
          <w:highlight w:val="none"/>
        </w:rPr>
      </w:pPr>
      <w:r>
        <w:rPr>
          <w:rFonts w:hint="eastAsia"/>
          <w:color w:val="auto"/>
          <w:highlight w:val="none"/>
        </w:rPr>
        <w:t>3.4.1 除第二章“投标人须知”前附表授权直接确定中标人外，评标委员会按照得分由高到低的顺序推荐中标候选人。</w:t>
      </w:r>
    </w:p>
    <w:p>
      <w:pPr>
        <w:spacing w:line="400" w:lineRule="exact"/>
        <w:ind w:firstLine="420" w:firstLineChars="200"/>
        <w:rPr>
          <w:color w:val="auto"/>
          <w:highlight w:val="none"/>
        </w:rPr>
      </w:pPr>
      <w:r>
        <w:rPr>
          <w:rFonts w:hint="eastAsia"/>
          <w:color w:val="auto"/>
          <w:highlight w:val="none"/>
        </w:rPr>
        <w:t>3.4.2 评标委员会完成评标后，应当向招标人提交书面评标报告。</w:t>
      </w: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spacing w:line="400" w:lineRule="exact"/>
        <w:ind w:firstLine="420" w:firstLineChars="200"/>
        <w:rPr>
          <w:color w:val="auto"/>
          <w:highlight w:val="none"/>
        </w:rPr>
      </w:pPr>
    </w:p>
    <w:p>
      <w:pPr>
        <w:pStyle w:val="3"/>
        <w:jc w:val="center"/>
        <w:rPr>
          <w:color w:val="auto"/>
          <w:highlight w:val="none"/>
        </w:rPr>
      </w:pPr>
      <w:bookmarkStart w:id="471" w:name="_Toc19034697"/>
      <w:bookmarkStart w:id="472" w:name="_Toc433988664"/>
      <w:bookmarkStart w:id="473" w:name="_Toc419321230"/>
      <w:bookmarkStart w:id="474" w:name="_Toc419363623"/>
      <w:bookmarkStart w:id="475" w:name="_Toc419364321"/>
      <w:bookmarkStart w:id="476" w:name="_Toc419320194"/>
      <w:r>
        <w:rPr>
          <w:color w:val="auto"/>
          <w:highlight w:val="none"/>
        </w:rPr>
        <w:t>附件A</w:t>
      </w:r>
      <w:r>
        <w:rPr>
          <w:rFonts w:hint="eastAsia"/>
          <w:color w:val="auto"/>
          <w:highlight w:val="none"/>
        </w:rPr>
        <w:t xml:space="preserve">  评标详细程序</w:t>
      </w:r>
      <w:bookmarkEnd w:id="471"/>
      <w:bookmarkEnd w:id="472"/>
      <w:bookmarkEnd w:id="473"/>
      <w:bookmarkEnd w:id="474"/>
      <w:bookmarkEnd w:id="475"/>
      <w:bookmarkEnd w:id="476"/>
    </w:p>
    <w:p>
      <w:pPr>
        <w:pStyle w:val="2"/>
        <w:spacing w:line="360" w:lineRule="auto"/>
        <w:rPr>
          <w:rFonts w:ascii="宋体" w:hAnsi="宋体" w:eastAsia="宋体"/>
          <w:color w:val="auto"/>
          <w:sz w:val="24"/>
          <w:szCs w:val="24"/>
          <w:highlight w:val="none"/>
        </w:rPr>
      </w:pPr>
      <w:bookmarkStart w:id="477" w:name="_Toc419364322"/>
      <w:bookmarkStart w:id="478" w:name="_Toc419321231"/>
      <w:bookmarkStart w:id="479" w:name="_Toc419320195"/>
      <w:bookmarkStart w:id="480" w:name="_Toc419363624"/>
      <w:bookmarkStart w:id="481" w:name="_Toc19034698"/>
      <w:bookmarkStart w:id="482" w:name="_Toc433988665"/>
      <w:r>
        <w:rPr>
          <w:rFonts w:ascii="宋体" w:hAnsi="宋体" w:eastAsia="宋体"/>
          <w:color w:val="auto"/>
          <w:sz w:val="24"/>
          <w:szCs w:val="24"/>
          <w:highlight w:val="none"/>
        </w:rPr>
        <w:t>A0 总  则</w:t>
      </w:r>
      <w:bookmarkEnd w:id="477"/>
      <w:bookmarkEnd w:id="478"/>
      <w:bookmarkEnd w:id="479"/>
      <w:bookmarkEnd w:id="480"/>
      <w:bookmarkEnd w:id="481"/>
      <w:bookmarkEnd w:id="482"/>
    </w:p>
    <w:p>
      <w:pPr>
        <w:spacing w:line="360" w:lineRule="auto"/>
        <w:ind w:firstLine="420" w:firstLineChars="200"/>
        <w:rPr>
          <w:color w:val="auto"/>
          <w:highlight w:val="none"/>
        </w:rPr>
      </w:pPr>
      <w:r>
        <w:rPr>
          <w:color w:val="auto"/>
          <w:highlight w:val="none"/>
        </w:rPr>
        <w:t>本附件是本章“评标办法”的组成部分，是对本章第3条所规定的评标程序的进一步细化，评标委员会应当按照本附件所规定的详细程序开展并完成评标工作。</w:t>
      </w:r>
    </w:p>
    <w:p>
      <w:pPr>
        <w:pStyle w:val="2"/>
        <w:spacing w:line="360" w:lineRule="auto"/>
        <w:rPr>
          <w:rFonts w:ascii="宋体" w:hAnsi="宋体" w:eastAsia="宋体"/>
          <w:color w:val="auto"/>
          <w:sz w:val="24"/>
          <w:szCs w:val="24"/>
          <w:highlight w:val="none"/>
        </w:rPr>
      </w:pPr>
      <w:bookmarkStart w:id="483" w:name="_Toc419320196"/>
      <w:bookmarkStart w:id="484" w:name="_Toc19034699"/>
      <w:bookmarkStart w:id="485" w:name="_Toc419364323"/>
      <w:bookmarkStart w:id="486" w:name="_Toc433988666"/>
      <w:bookmarkStart w:id="487" w:name="_Toc419363625"/>
      <w:bookmarkStart w:id="488" w:name="_Toc419321232"/>
      <w:r>
        <w:rPr>
          <w:rFonts w:ascii="宋体" w:hAnsi="宋体" w:eastAsia="宋体"/>
          <w:color w:val="auto"/>
          <w:sz w:val="24"/>
          <w:szCs w:val="24"/>
          <w:highlight w:val="none"/>
        </w:rPr>
        <w:t>A1 基本程序</w:t>
      </w:r>
      <w:bookmarkEnd w:id="483"/>
      <w:bookmarkEnd w:id="484"/>
      <w:bookmarkEnd w:id="485"/>
      <w:bookmarkEnd w:id="486"/>
      <w:bookmarkEnd w:id="487"/>
      <w:bookmarkEnd w:id="488"/>
    </w:p>
    <w:p>
      <w:pPr>
        <w:spacing w:line="360" w:lineRule="auto"/>
        <w:ind w:firstLine="420" w:firstLineChars="200"/>
        <w:rPr>
          <w:color w:val="auto"/>
          <w:highlight w:val="none"/>
        </w:rPr>
      </w:pPr>
      <w:r>
        <w:rPr>
          <w:color w:val="auto"/>
          <w:highlight w:val="none"/>
        </w:rPr>
        <w:t>评标活动将按以下五个步骤进行：</w:t>
      </w:r>
    </w:p>
    <w:p>
      <w:pPr>
        <w:spacing w:line="360" w:lineRule="auto"/>
        <w:ind w:firstLine="420" w:firstLineChars="200"/>
        <w:rPr>
          <w:color w:val="auto"/>
          <w:highlight w:val="none"/>
        </w:rPr>
      </w:pPr>
      <w:r>
        <w:rPr>
          <w:color w:val="auto"/>
          <w:highlight w:val="none"/>
        </w:rPr>
        <w:t>（1）评标准备；</w:t>
      </w:r>
    </w:p>
    <w:p>
      <w:pPr>
        <w:spacing w:line="360" w:lineRule="auto"/>
        <w:ind w:firstLine="420" w:firstLineChars="200"/>
        <w:rPr>
          <w:color w:val="auto"/>
          <w:highlight w:val="none"/>
        </w:rPr>
      </w:pPr>
      <w:r>
        <w:rPr>
          <w:color w:val="auto"/>
          <w:highlight w:val="none"/>
        </w:rPr>
        <w:t>（2）初步评审；</w:t>
      </w:r>
    </w:p>
    <w:p>
      <w:pPr>
        <w:spacing w:line="360" w:lineRule="auto"/>
        <w:ind w:firstLine="420" w:firstLineChars="200"/>
        <w:rPr>
          <w:color w:val="auto"/>
          <w:highlight w:val="none"/>
        </w:rPr>
      </w:pPr>
      <w:r>
        <w:rPr>
          <w:color w:val="auto"/>
          <w:highlight w:val="none"/>
        </w:rPr>
        <w:t>（3）详细评审；</w:t>
      </w:r>
    </w:p>
    <w:p>
      <w:pPr>
        <w:spacing w:line="360" w:lineRule="auto"/>
        <w:ind w:firstLine="420" w:firstLineChars="200"/>
        <w:rPr>
          <w:color w:val="auto"/>
          <w:highlight w:val="none"/>
        </w:rPr>
      </w:pPr>
      <w:r>
        <w:rPr>
          <w:color w:val="auto"/>
          <w:highlight w:val="none"/>
        </w:rPr>
        <w:t>（4）澄清、说明或补正；</w:t>
      </w:r>
    </w:p>
    <w:p>
      <w:pPr>
        <w:spacing w:line="360" w:lineRule="auto"/>
        <w:ind w:firstLine="420" w:firstLineChars="200"/>
        <w:rPr>
          <w:b/>
          <w:color w:val="auto"/>
          <w:szCs w:val="21"/>
          <w:highlight w:val="none"/>
        </w:rPr>
      </w:pPr>
      <w:r>
        <w:rPr>
          <w:color w:val="auto"/>
          <w:highlight w:val="none"/>
        </w:rPr>
        <w:t>（5）推荐中标候选人或者直接确定中标人及提交评标报告。</w:t>
      </w:r>
    </w:p>
    <w:p>
      <w:pPr>
        <w:pStyle w:val="2"/>
        <w:spacing w:line="360" w:lineRule="auto"/>
        <w:rPr>
          <w:rFonts w:ascii="宋体" w:hAnsi="宋体" w:eastAsia="宋体"/>
          <w:color w:val="auto"/>
          <w:sz w:val="24"/>
          <w:szCs w:val="24"/>
          <w:highlight w:val="none"/>
        </w:rPr>
      </w:pPr>
      <w:bookmarkStart w:id="489" w:name="_Toc433988667"/>
      <w:bookmarkStart w:id="490" w:name="_Toc19034700"/>
      <w:bookmarkStart w:id="491" w:name="_Toc419320197"/>
      <w:bookmarkStart w:id="492" w:name="_Toc419363626"/>
      <w:bookmarkStart w:id="493" w:name="_Toc419321233"/>
      <w:bookmarkStart w:id="494" w:name="_Toc419364324"/>
      <w:r>
        <w:rPr>
          <w:rFonts w:ascii="宋体" w:hAnsi="宋体" w:eastAsia="宋体"/>
          <w:color w:val="auto"/>
          <w:sz w:val="24"/>
          <w:szCs w:val="24"/>
          <w:highlight w:val="none"/>
        </w:rPr>
        <w:t>A2 评标准备</w:t>
      </w:r>
      <w:bookmarkEnd w:id="489"/>
      <w:bookmarkEnd w:id="490"/>
      <w:bookmarkEnd w:id="491"/>
      <w:bookmarkEnd w:id="492"/>
      <w:bookmarkEnd w:id="493"/>
      <w:bookmarkEnd w:id="494"/>
    </w:p>
    <w:p>
      <w:pPr>
        <w:spacing w:line="360" w:lineRule="auto"/>
        <w:ind w:firstLine="420" w:firstLineChars="200"/>
        <w:rPr>
          <w:rFonts w:ascii="宋体" w:hAnsi="宋体"/>
          <w:color w:val="auto"/>
          <w:szCs w:val="21"/>
          <w:highlight w:val="none"/>
        </w:rPr>
      </w:pPr>
      <w:bookmarkStart w:id="495" w:name="_Toc419363627"/>
      <w:r>
        <w:rPr>
          <w:rFonts w:ascii="宋体" w:hAnsi="宋体"/>
          <w:color w:val="auto"/>
          <w:szCs w:val="21"/>
          <w:highlight w:val="none"/>
        </w:rPr>
        <w:t>A2.1 评标委员会成员签到</w:t>
      </w:r>
      <w:bookmarkEnd w:id="495"/>
    </w:p>
    <w:p>
      <w:pPr>
        <w:spacing w:line="360" w:lineRule="auto"/>
        <w:ind w:firstLine="420" w:firstLineChars="200"/>
        <w:rPr>
          <w:rFonts w:ascii="宋体" w:hAnsi="宋体"/>
          <w:color w:val="auto"/>
          <w:szCs w:val="21"/>
          <w:highlight w:val="none"/>
        </w:rPr>
      </w:pPr>
      <w:r>
        <w:rPr>
          <w:rFonts w:ascii="宋体" w:hAnsi="宋体"/>
          <w:color w:val="auto"/>
          <w:szCs w:val="21"/>
          <w:highlight w:val="none"/>
        </w:rPr>
        <w:t>评标委员会成员到达评标现场时应在签到表上签到以证明其出席。</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评标委员会成员的随身包裹和通讯设备，交由交易中心工作人员统一保管。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A2.2 评标委员会的组建和分工</w:t>
      </w:r>
    </w:p>
    <w:p>
      <w:pPr>
        <w:spacing w:line="360" w:lineRule="auto"/>
        <w:ind w:firstLine="420" w:firstLineChars="200"/>
        <w:rPr>
          <w:color w:val="auto"/>
          <w:highlight w:val="none"/>
        </w:rPr>
      </w:pPr>
      <w:r>
        <w:rPr>
          <w:rFonts w:ascii="宋体" w:hAnsi="宋体"/>
          <w:color w:val="auto"/>
          <w:szCs w:val="21"/>
          <w:highlight w:val="none"/>
        </w:rPr>
        <w:t>评标委员会应按照投标人须知前附表第6.1</w:t>
      </w:r>
      <w:r>
        <w:rPr>
          <w:rFonts w:hint="eastAsia" w:ascii="宋体" w:hAnsi="宋体"/>
          <w:color w:val="auto"/>
          <w:szCs w:val="21"/>
          <w:highlight w:val="none"/>
        </w:rPr>
        <w:t>.1</w:t>
      </w:r>
      <w:r>
        <w:rPr>
          <w:rFonts w:ascii="宋体" w:hAnsi="宋体"/>
          <w:color w:val="auto"/>
          <w:szCs w:val="21"/>
          <w:highlight w:val="none"/>
        </w:rPr>
        <w:t>条的规定组建。首先以记名方式推选一名评标委员会主任。评标委员会主任负责评标活动的组织工作。招标人代表参加评标委员会的，应明确参加类别。</w:t>
      </w:r>
      <w:r>
        <w:rPr>
          <w:rFonts w:hint="eastAsia"/>
          <w:color w:val="auto"/>
          <w:highlight w:val="none"/>
        </w:rPr>
        <w:t>评标委员的分工按投标人须知前附表6.1.1的约定。</w:t>
      </w:r>
    </w:p>
    <w:p>
      <w:pPr>
        <w:spacing w:line="360" w:lineRule="auto"/>
        <w:ind w:firstLine="420" w:firstLineChars="200"/>
        <w:rPr>
          <w:rFonts w:ascii="宋体" w:hAnsi="宋体"/>
          <w:color w:val="auto"/>
          <w:szCs w:val="21"/>
          <w:highlight w:val="none"/>
        </w:rPr>
      </w:pPr>
      <w:bookmarkStart w:id="496" w:name="_Toc419363628"/>
      <w:r>
        <w:rPr>
          <w:rFonts w:ascii="宋体" w:hAnsi="宋体"/>
          <w:color w:val="auto"/>
          <w:szCs w:val="21"/>
          <w:highlight w:val="none"/>
        </w:rPr>
        <w:t>A2.3 熟悉文件资料</w:t>
      </w:r>
      <w:bookmarkEnd w:id="496"/>
    </w:p>
    <w:p>
      <w:pPr>
        <w:spacing w:line="360" w:lineRule="auto"/>
        <w:ind w:firstLine="420" w:firstLineChars="200"/>
        <w:rPr>
          <w:rFonts w:ascii="宋体" w:hAnsi="宋体"/>
          <w:color w:val="auto"/>
          <w:szCs w:val="21"/>
          <w:highlight w:val="none"/>
        </w:rPr>
      </w:pPr>
      <w:r>
        <w:rPr>
          <w:rFonts w:ascii="宋体" w:hAnsi="宋体"/>
          <w:color w:val="auto"/>
          <w:szCs w:val="21"/>
          <w:highlight w:val="none"/>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A2.3.2 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A2.4交易中心负责评标场地布置和评标活动的服务。</w:t>
      </w:r>
    </w:p>
    <w:p>
      <w:pPr>
        <w:pStyle w:val="2"/>
        <w:spacing w:line="360" w:lineRule="auto"/>
        <w:rPr>
          <w:rFonts w:ascii="宋体" w:hAnsi="宋体" w:eastAsia="宋体"/>
          <w:color w:val="auto"/>
          <w:sz w:val="24"/>
          <w:szCs w:val="24"/>
          <w:highlight w:val="none"/>
        </w:rPr>
      </w:pPr>
      <w:bookmarkStart w:id="497" w:name="_Toc419364325"/>
      <w:bookmarkStart w:id="498" w:name="_Toc433988668"/>
      <w:bookmarkStart w:id="499" w:name="_Toc419320198"/>
      <w:bookmarkStart w:id="500" w:name="_Toc419363629"/>
      <w:bookmarkStart w:id="501" w:name="_Toc419321234"/>
      <w:bookmarkStart w:id="502" w:name="_Toc19034701"/>
      <w:r>
        <w:rPr>
          <w:rFonts w:ascii="宋体" w:hAnsi="宋体" w:eastAsia="宋体"/>
          <w:color w:val="auto"/>
          <w:sz w:val="24"/>
          <w:szCs w:val="24"/>
          <w:highlight w:val="none"/>
        </w:rPr>
        <w:t>A3 初步评审</w:t>
      </w:r>
      <w:bookmarkEnd w:id="497"/>
      <w:bookmarkEnd w:id="498"/>
      <w:bookmarkEnd w:id="499"/>
      <w:bookmarkEnd w:id="500"/>
      <w:bookmarkEnd w:id="501"/>
      <w:bookmarkEnd w:id="502"/>
    </w:p>
    <w:p>
      <w:pPr>
        <w:spacing w:line="360" w:lineRule="auto"/>
        <w:ind w:firstLine="420" w:firstLineChars="200"/>
        <w:rPr>
          <w:rFonts w:ascii="宋体" w:hAnsi="宋体"/>
          <w:color w:val="auto"/>
          <w:highlight w:val="none"/>
        </w:rPr>
      </w:pPr>
      <w:bookmarkStart w:id="503" w:name="_Toc419363630"/>
      <w:r>
        <w:rPr>
          <w:rFonts w:ascii="宋体" w:hAnsi="宋体"/>
          <w:color w:val="auto"/>
          <w:highlight w:val="none"/>
        </w:rPr>
        <w:t>A3.</w:t>
      </w:r>
      <w:r>
        <w:rPr>
          <w:rFonts w:hint="eastAsia" w:ascii="宋体" w:hAnsi="宋体"/>
          <w:color w:val="auto"/>
          <w:highlight w:val="none"/>
        </w:rPr>
        <w:t>1</w:t>
      </w:r>
      <w:r>
        <w:rPr>
          <w:rFonts w:ascii="宋体" w:hAnsi="宋体"/>
          <w:color w:val="auto"/>
          <w:highlight w:val="none"/>
        </w:rPr>
        <w:t>资格评审</w:t>
      </w:r>
    </w:p>
    <w:p>
      <w:pPr>
        <w:spacing w:line="360" w:lineRule="auto"/>
        <w:ind w:firstLine="420" w:firstLineChars="200"/>
        <w:rPr>
          <w:rFonts w:ascii="宋体" w:hAnsi="宋体"/>
          <w:color w:val="auto"/>
          <w:highlight w:val="none"/>
        </w:rPr>
      </w:pPr>
      <w:r>
        <w:rPr>
          <w:rFonts w:ascii="宋体" w:hAnsi="宋体"/>
          <w:color w:val="auto"/>
          <w:highlight w:val="none"/>
        </w:rPr>
        <w:t>评标委员会根据“评标办法前附表”中规定的评审因素和评审标准，对投标人的投标文件进行资格评审。</w:t>
      </w:r>
      <w:bookmarkEnd w:id="503"/>
    </w:p>
    <w:p>
      <w:pPr>
        <w:spacing w:line="360" w:lineRule="auto"/>
        <w:ind w:firstLine="420" w:firstLineChars="200"/>
        <w:rPr>
          <w:rFonts w:ascii="宋体" w:hAnsi="宋体"/>
          <w:color w:val="auto"/>
          <w:highlight w:val="none"/>
        </w:rPr>
      </w:pPr>
      <w:bookmarkStart w:id="504" w:name="_Toc419363631"/>
      <w:r>
        <w:rPr>
          <w:rFonts w:ascii="宋体" w:hAnsi="宋体"/>
          <w:color w:val="auto"/>
          <w:highlight w:val="none"/>
        </w:rPr>
        <w:t>A3.</w:t>
      </w:r>
      <w:r>
        <w:rPr>
          <w:rFonts w:hint="eastAsia" w:ascii="宋体" w:hAnsi="宋体"/>
          <w:color w:val="auto"/>
          <w:highlight w:val="none"/>
        </w:rPr>
        <w:t>2</w:t>
      </w:r>
      <w:r>
        <w:rPr>
          <w:rFonts w:ascii="宋体" w:hAnsi="宋体"/>
          <w:color w:val="auto"/>
          <w:highlight w:val="none"/>
        </w:rPr>
        <w:t>形式评审</w:t>
      </w:r>
    </w:p>
    <w:p>
      <w:pPr>
        <w:spacing w:line="360" w:lineRule="auto"/>
        <w:ind w:firstLine="420" w:firstLineChars="200"/>
        <w:rPr>
          <w:rFonts w:ascii="宋体" w:hAnsi="宋体"/>
          <w:color w:val="auto"/>
          <w:highlight w:val="none"/>
        </w:rPr>
      </w:pPr>
      <w:r>
        <w:rPr>
          <w:rFonts w:ascii="宋体" w:hAnsi="宋体"/>
          <w:color w:val="auto"/>
          <w:highlight w:val="none"/>
        </w:rPr>
        <w:t>评标委员会根据“评标办法前附表”中规定的评审因素和评审标准，对投标人的投标文件进行形式评审。</w:t>
      </w:r>
      <w:bookmarkEnd w:id="504"/>
    </w:p>
    <w:p>
      <w:pPr>
        <w:spacing w:line="360" w:lineRule="auto"/>
        <w:ind w:firstLine="420" w:firstLineChars="200"/>
        <w:rPr>
          <w:rFonts w:ascii="宋体" w:hAnsi="宋体"/>
          <w:color w:val="auto"/>
          <w:highlight w:val="none"/>
        </w:rPr>
      </w:pPr>
      <w:bookmarkStart w:id="505" w:name="_Toc419363632"/>
      <w:r>
        <w:rPr>
          <w:rFonts w:ascii="宋体" w:hAnsi="宋体"/>
          <w:color w:val="auto"/>
          <w:highlight w:val="none"/>
        </w:rPr>
        <w:t>A3.3 响应性评审</w:t>
      </w:r>
      <w:bookmarkEnd w:id="505"/>
    </w:p>
    <w:p>
      <w:pPr>
        <w:spacing w:line="360" w:lineRule="auto"/>
        <w:ind w:firstLine="420" w:firstLineChars="200"/>
        <w:rPr>
          <w:rFonts w:ascii="宋体" w:hAnsi="宋体"/>
          <w:color w:val="auto"/>
          <w:highlight w:val="none"/>
        </w:rPr>
      </w:pPr>
      <w:r>
        <w:rPr>
          <w:rFonts w:ascii="宋体" w:hAnsi="宋体"/>
          <w:color w:val="auto"/>
          <w:highlight w:val="none"/>
        </w:rPr>
        <w:t>A3.3.1 评标委员会根据“评标办法前附表”中规定的评审因素和评审标准，对投标人的投标文件进行响应性评审。</w:t>
      </w:r>
    </w:p>
    <w:p>
      <w:pPr>
        <w:spacing w:line="360" w:lineRule="auto"/>
        <w:ind w:firstLine="420" w:firstLineChars="200"/>
        <w:rPr>
          <w:rFonts w:ascii="宋体" w:hAnsi="宋体"/>
          <w:color w:val="auto"/>
          <w:highlight w:val="none"/>
        </w:rPr>
      </w:pPr>
      <w:r>
        <w:rPr>
          <w:rFonts w:ascii="宋体" w:hAnsi="宋体"/>
          <w:color w:val="auto"/>
          <w:highlight w:val="none"/>
        </w:rPr>
        <w:t>A3.3.2 投标人投标总价不得超出（不含等于）招标人公布的招标控制价，凡投标人的投标总价超出招标控制价的，该投标人的投标文件不能通过响应性评审。</w:t>
      </w:r>
    </w:p>
    <w:p>
      <w:pPr>
        <w:spacing w:line="360" w:lineRule="auto"/>
        <w:ind w:firstLine="420" w:firstLineChars="200"/>
        <w:rPr>
          <w:rFonts w:ascii="宋体" w:hAnsi="宋体"/>
          <w:color w:val="auto"/>
          <w:highlight w:val="none"/>
        </w:rPr>
      </w:pPr>
      <w:r>
        <w:rPr>
          <w:rFonts w:ascii="宋体" w:hAnsi="宋体"/>
          <w:color w:val="auto"/>
          <w:highlight w:val="none"/>
        </w:rPr>
        <w:t>A3.4 判断投标是否为否决投标</w:t>
      </w:r>
    </w:p>
    <w:p>
      <w:pPr>
        <w:spacing w:line="360" w:lineRule="auto"/>
        <w:ind w:firstLine="420" w:firstLineChars="200"/>
        <w:rPr>
          <w:rFonts w:ascii="宋体" w:hAnsi="宋体"/>
          <w:color w:val="auto"/>
          <w:highlight w:val="none"/>
        </w:rPr>
      </w:pPr>
      <w:r>
        <w:rPr>
          <w:rFonts w:ascii="宋体" w:hAnsi="宋体"/>
          <w:color w:val="auto"/>
          <w:highlight w:val="none"/>
        </w:rPr>
        <w:t>A3.4.1 判断投标人的投标是否为否决投标的全部条件，在本章附件B中集中列示。</w:t>
      </w:r>
    </w:p>
    <w:p>
      <w:pPr>
        <w:spacing w:line="360" w:lineRule="auto"/>
        <w:ind w:firstLine="420" w:firstLineChars="200"/>
        <w:rPr>
          <w:rFonts w:ascii="宋体" w:hAnsi="宋体"/>
          <w:color w:val="auto"/>
          <w:highlight w:val="none"/>
        </w:rPr>
      </w:pPr>
      <w:r>
        <w:rPr>
          <w:rFonts w:ascii="宋体" w:hAnsi="宋体"/>
          <w:color w:val="auto"/>
          <w:highlight w:val="none"/>
        </w:rPr>
        <w:t>A3.4.2 本章附件B集中列示的否决投标条件不应与第二章“投标人须知”和本章正文部分包括的否决投标条件抵触，如果出现相互矛盾的情况，以第二章“投标人须知”和本章正文部分的规定为准。</w:t>
      </w:r>
    </w:p>
    <w:p>
      <w:pPr>
        <w:spacing w:line="360" w:lineRule="auto"/>
        <w:ind w:firstLine="420" w:firstLineChars="200"/>
        <w:rPr>
          <w:rFonts w:ascii="宋体" w:hAnsi="宋体"/>
          <w:color w:val="auto"/>
          <w:highlight w:val="none"/>
        </w:rPr>
      </w:pPr>
      <w:r>
        <w:rPr>
          <w:rFonts w:ascii="宋体" w:hAnsi="宋体"/>
          <w:color w:val="auto"/>
          <w:highlight w:val="none"/>
        </w:rPr>
        <w:t>A3.4.3 评标委员会在评标过程中，依据本章附件B中规定的否决投标条件判断投标人的投标是否为否决投标。</w:t>
      </w:r>
    </w:p>
    <w:p>
      <w:pPr>
        <w:spacing w:line="360" w:lineRule="auto"/>
        <w:ind w:firstLine="420" w:firstLineChars="200"/>
        <w:rPr>
          <w:rFonts w:ascii="宋体" w:hAnsi="宋体"/>
          <w:color w:val="auto"/>
          <w:highlight w:val="none"/>
        </w:rPr>
      </w:pPr>
      <w:bookmarkStart w:id="506" w:name="_Toc419363633"/>
      <w:r>
        <w:rPr>
          <w:rFonts w:ascii="宋体" w:hAnsi="宋体"/>
          <w:color w:val="auto"/>
          <w:highlight w:val="none"/>
        </w:rPr>
        <w:t>A3.</w:t>
      </w:r>
      <w:r>
        <w:rPr>
          <w:rFonts w:hint="eastAsia" w:ascii="宋体" w:hAnsi="宋体"/>
          <w:color w:val="auto"/>
          <w:highlight w:val="none"/>
        </w:rPr>
        <w:t xml:space="preserve">5 </w:t>
      </w:r>
      <w:r>
        <w:rPr>
          <w:rFonts w:ascii="宋体" w:hAnsi="宋体"/>
          <w:color w:val="auto"/>
          <w:highlight w:val="none"/>
        </w:rPr>
        <w:t>澄清、说明或补正</w:t>
      </w:r>
      <w:bookmarkEnd w:id="506"/>
    </w:p>
    <w:p>
      <w:pPr>
        <w:spacing w:line="360" w:lineRule="auto"/>
        <w:ind w:firstLine="420" w:firstLineChars="200"/>
        <w:rPr>
          <w:rFonts w:ascii="宋体" w:hAnsi="宋体"/>
          <w:color w:val="auto"/>
          <w:highlight w:val="none"/>
        </w:rPr>
      </w:pPr>
      <w:r>
        <w:rPr>
          <w:rFonts w:ascii="宋体" w:hAnsi="宋体"/>
          <w:color w:val="auto"/>
          <w:highlight w:val="none"/>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2"/>
        <w:spacing w:line="360" w:lineRule="auto"/>
        <w:rPr>
          <w:rFonts w:ascii="宋体" w:hAnsi="宋体" w:eastAsia="宋体"/>
          <w:color w:val="auto"/>
          <w:sz w:val="24"/>
          <w:szCs w:val="24"/>
          <w:highlight w:val="none"/>
        </w:rPr>
      </w:pPr>
      <w:bookmarkStart w:id="507" w:name="_Toc419364326"/>
      <w:bookmarkStart w:id="508" w:name="_Toc419321235"/>
      <w:bookmarkStart w:id="509" w:name="_Toc433988669"/>
      <w:bookmarkStart w:id="510" w:name="_Toc419363634"/>
      <w:bookmarkStart w:id="511" w:name="_Toc419320199"/>
      <w:bookmarkStart w:id="512" w:name="_Toc19034702"/>
      <w:r>
        <w:rPr>
          <w:rFonts w:ascii="宋体" w:hAnsi="宋体" w:eastAsia="宋体"/>
          <w:color w:val="auto"/>
          <w:sz w:val="24"/>
          <w:szCs w:val="24"/>
          <w:highlight w:val="none"/>
        </w:rPr>
        <w:t>A4 详细评审</w:t>
      </w:r>
      <w:bookmarkEnd w:id="507"/>
      <w:bookmarkEnd w:id="508"/>
      <w:bookmarkEnd w:id="509"/>
      <w:bookmarkEnd w:id="510"/>
      <w:bookmarkEnd w:id="511"/>
      <w:bookmarkEnd w:id="512"/>
    </w:p>
    <w:p>
      <w:pPr>
        <w:spacing w:line="360" w:lineRule="auto"/>
        <w:ind w:firstLine="420" w:firstLineChars="200"/>
        <w:rPr>
          <w:rFonts w:ascii="宋体" w:hAnsi="宋体"/>
          <w:color w:val="auto"/>
          <w:highlight w:val="none"/>
        </w:rPr>
      </w:pPr>
      <w:r>
        <w:rPr>
          <w:rFonts w:ascii="宋体" w:hAnsi="宋体"/>
          <w:color w:val="auto"/>
          <w:highlight w:val="none"/>
        </w:rPr>
        <w:t>只有通过了初步评审、被判定为合格的投标方可进入详细评审。</w:t>
      </w:r>
    </w:p>
    <w:p>
      <w:pPr>
        <w:spacing w:line="360" w:lineRule="auto"/>
        <w:ind w:firstLine="420" w:firstLineChars="200"/>
        <w:rPr>
          <w:rFonts w:ascii="宋体" w:hAnsi="宋体"/>
          <w:color w:val="auto"/>
          <w:highlight w:val="none"/>
        </w:rPr>
      </w:pPr>
      <w:r>
        <w:rPr>
          <w:rFonts w:ascii="宋体" w:hAnsi="宋体"/>
          <w:color w:val="auto"/>
          <w:highlight w:val="none"/>
        </w:rPr>
        <w:t>A4.1 对投标文件进行基础性数据分析和整理工作（清标）</w:t>
      </w:r>
    </w:p>
    <w:p>
      <w:pPr>
        <w:spacing w:line="360" w:lineRule="auto"/>
        <w:ind w:firstLine="420" w:firstLineChars="200"/>
        <w:rPr>
          <w:rFonts w:ascii="宋体" w:hAnsi="宋体"/>
          <w:color w:val="auto"/>
          <w:highlight w:val="none"/>
        </w:rPr>
      </w:pPr>
      <w:r>
        <w:rPr>
          <w:rFonts w:ascii="宋体" w:hAnsi="宋体"/>
          <w:color w:val="auto"/>
          <w:highlight w:val="none"/>
        </w:rPr>
        <w:t>【备注：根据项目情况进行设置】</w:t>
      </w:r>
    </w:p>
    <w:p>
      <w:pPr>
        <w:spacing w:line="360" w:lineRule="auto"/>
        <w:ind w:firstLine="420" w:firstLineChars="200"/>
        <w:rPr>
          <w:rFonts w:ascii="宋体" w:hAnsi="宋体"/>
          <w:color w:val="auto"/>
          <w:highlight w:val="none"/>
        </w:rPr>
      </w:pPr>
      <w:r>
        <w:rPr>
          <w:rFonts w:ascii="宋体" w:hAnsi="宋体"/>
          <w:color w:val="auto"/>
          <w:highlight w:val="none"/>
        </w:rPr>
        <w:t>A4.2 算术错误修正</w:t>
      </w:r>
    </w:p>
    <w:p>
      <w:pPr>
        <w:spacing w:line="360" w:lineRule="auto"/>
        <w:ind w:firstLine="420" w:firstLineChars="200"/>
        <w:rPr>
          <w:rFonts w:ascii="宋体" w:hAnsi="宋体"/>
          <w:color w:val="auto"/>
          <w:highlight w:val="none"/>
        </w:rPr>
      </w:pPr>
      <w:r>
        <w:rPr>
          <w:rFonts w:ascii="宋体" w:hAnsi="宋体"/>
          <w:color w:val="auto"/>
          <w:highlight w:val="none"/>
        </w:rPr>
        <w:t>评标委员会经济组评委依据本章中规定的相关原则对投标报价中存在的算术错误进行修正，并根据算术错误修正结果计算评标</w:t>
      </w:r>
      <w:r>
        <w:rPr>
          <w:rFonts w:hint="eastAsia" w:ascii="宋体" w:hAnsi="宋体"/>
          <w:color w:val="auto"/>
          <w:highlight w:val="none"/>
        </w:rPr>
        <w:t>基准</w:t>
      </w:r>
      <w:r>
        <w:rPr>
          <w:rFonts w:ascii="宋体" w:hAnsi="宋体"/>
          <w:color w:val="auto"/>
          <w:highlight w:val="none"/>
        </w:rPr>
        <w:t>价。</w:t>
      </w:r>
    </w:p>
    <w:p>
      <w:pPr>
        <w:spacing w:line="360" w:lineRule="auto"/>
        <w:ind w:firstLine="420" w:firstLineChars="200"/>
        <w:rPr>
          <w:rFonts w:ascii="宋体" w:hAnsi="宋体"/>
          <w:color w:val="auto"/>
          <w:highlight w:val="none"/>
        </w:rPr>
      </w:pPr>
      <w:bookmarkStart w:id="513" w:name="_Toc419363635"/>
      <w:r>
        <w:rPr>
          <w:rFonts w:ascii="宋体" w:hAnsi="宋体"/>
          <w:color w:val="auto"/>
          <w:highlight w:val="none"/>
        </w:rPr>
        <w:t>A4.</w:t>
      </w:r>
      <w:r>
        <w:rPr>
          <w:rFonts w:hint="eastAsia" w:ascii="宋体" w:hAnsi="宋体"/>
          <w:color w:val="auto"/>
          <w:highlight w:val="none"/>
        </w:rPr>
        <w:t>3</w:t>
      </w:r>
      <w:r>
        <w:rPr>
          <w:rFonts w:ascii="宋体" w:hAnsi="宋体"/>
          <w:color w:val="auto"/>
          <w:highlight w:val="none"/>
        </w:rPr>
        <w:t xml:space="preserve"> 详细评审的程序</w:t>
      </w:r>
      <w:bookmarkEnd w:id="513"/>
    </w:p>
    <w:p>
      <w:pPr>
        <w:spacing w:line="360" w:lineRule="auto"/>
        <w:ind w:firstLine="420" w:firstLineChars="200"/>
        <w:rPr>
          <w:rFonts w:ascii="宋体" w:hAnsi="宋体"/>
          <w:color w:val="auto"/>
          <w:highlight w:val="none"/>
        </w:rPr>
      </w:pPr>
      <w:r>
        <w:rPr>
          <w:rFonts w:ascii="宋体" w:hAnsi="宋体"/>
          <w:color w:val="auto"/>
          <w:highlight w:val="none"/>
        </w:rPr>
        <w:t>A4.</w:t>
      </w:r>
      <w:r>
        <w:rPr>
          <w:rFonts w:hint="eastAsia" w:ascii="宋体" w:hAnsi="宋体"/>
          <w:color w:val="auto"/>
          <w:highlight w:val="none"/>
        </w:rPr>
        <w:t>3</w:t>
      </w:r>
      <w:r>
        <w:rPr>
          <w:rFonts w:ascii="宋体" w:hAnsi="宋体"/>
          <w:color w:val="auto"/>
          <w:highlight w:val="none"/>
        </w:rPr>
        <w:t>.1 评标委员会按照本章第3.2款中规定的程序进行详细评审：</w:t>
      </w:r>
    </w:p>
    <w:p>
      <w:pPr>
        <w:spacing w:line="360" w:lineRule="auto"/>
        <w:ind w:firstLine="420" w:firstLineChars="200"/>
        <w:rPr>
          <w:rFonts w:ascii="宋体" w:hAnsi="宋体"/>
          <w:color w:val="auto"/>
          <w:highlight w:val="none"/>
        </w:rPr>
      </w:pPr>
      <w:r>
        <w:rPr>
          <w:rFonts w:hint="eastAsia" w:ascii="宋体" w:hAnsi="宋体"/>
          <w:color w:val="auto"/>
          <w:highlight w:val="none"/>
        </w:rPr>
        <w:t>（1）工程总承包工作大纲；</w:t>
      </w:r>
    </w:p>
    <w:p>
      <w:pPr>
        <w:spacing w:line="360" w:lineRule="auto"/>
        <w:ind w:firstLine="420" w:firstLineChars="200"/>
        <w:rPr>
          <w:rFonts w:ascii="宋体" w:hAnsi="宋体"/>
          <w:color w:val="auto"/>
          <w:highlight w:val="none"/>
        </w:rPr>
      </w:pPr>
      <w:r>
        <w:rPr>
          <w:rFonts w:hint="eastAsia" w:ascii="宋体" w:hAnsi="宋体"/>
          <w:color w:val="auto"/>
          <w:highlight w:val="none"/>
        </w:rPr>
        <w:t>（2）施工组织设计；</w:t>
      </w:r>
    </w:p>
    <w:p>
      <w:pPr>
        <w:spacing w:line="360" w:lineRule="auto"/>
        <w:ind w:firstLine="420" w:firstLineChars="200"/>
        <w:rPr>
          <w:rFonts w:ascii="宋体" w:hAnsi="宋体"/>
          <w:color w:val="auto"/>
          <w:highlight w:val="none"/>
        </w:rPr>
      </w:pPr>
      <w:r>
        <w:rPr>
          <w:rFonts w:hint="eastAsia" w:ascii="宋体" w:hAnsi="宋体"/>
          <w:color w:val="auto"/>
          <w:highlight w:val="none"/>
        </w:rPr>
        <w:t>（3）资信业绩；</w:t>
      </w:r>
    </w:p>
    <w:p>
      <w:pPr>
        <w:spacing w:line="360" w:lineRule="auto"/>
        <w:ind w:firstLine="420" w:firstLineChars="200"/>
        <w:rPr>
          <w:rFonts w:ascii="宋体" w:hAnsi="宋体"/>
          <w:color w:val="auto"/>
          <w:highlight w:val="none"/>
        </w:rPr>
      </w:pPr>
      <w:r>
        <w:rPr>
          <w:rFonts w:hint="eastAsia" w:ascii="宋体" w:hAnsi="宋体"/>
          <w:color w:val="auto"/>
          <w:highlight w:val="none"/>
        </w:rPr>
        <w:t>（4）商务标；</w:t>
      </w:r>
    </w:p>
    <w:p>
      <w:pPr>
        <w:spacing w:line="360" w:lineRule="auto"/>
        <w:ind w:firstLine="420" w:firstLineChars="200"/>
        <w:rPr>
          <w:rFonts w:ascii="宋体" w:hAnsi="宋体"/>
          <w:color w:val="auto"/>
          <w:highlight w:val="none"/>
        </w:rPr>
      </w:pPr>
      <w:r>
        <w:rPr>
          <w:rFonts w:hint="eastAsia" w:ascii="宋体" w:hAnsi="宋体"/>
          <w:color w:val="auto"/>
          <w:highlight w:val="none"/>
        </w:rPr>
        <w:t>（5）设计标：</w:t>
      </w:r>
    </w:p>
    <w:p>
      <w:pPr>
        <w:spacing w:line="360" w:lineRule="auto"/>
        <w:ind w:firstLine="420" w:firstLineChars="200"/>
        <w:rPr>
          <w:rFonts w:ascii="宋体" w:hAnsi="宋体"/>
          <w:color w:val="auto"/>
          <w:highlight w:val="none"/>
        </w:rPr>
      </w:pPr>
      <w:r>
        <w:rPr>
          <w:rFonts w:ascii="宋体" w:hAnsi="宋体"/>
          <w:color w:val="auto"/>
          <w:highlight w:val="none"/>
        </w:rPr>
        <w:t>按照“评标办法前附表”中规定的分值设定、各项评分因素、评分标准，由评标委员会的</w:t>
      </w:r>
      <w:r>
        <w:rPr>
          <w:rFonts w:hint="eastAsia" w:ascii="宋体" w:hAnsi="宋体"/>
          <w:color w:val="auto"/>
          <w:highlight w:val="none"/>
        </w:rPr>
        <w:t>相对应专业的</w:t>
      </w:r>
      <w:r>
        <w:rPr>
          <w:rFonts w:ascii="宋体" w:hAnsi="宋体"/>
          <w:color w:val="auto"/>
          <w:highlight w:val="none"/>
        </w:rPr>
        <w:t>评委进行评审和评分。</w:t>
      </w:r>
    </w:p>
    <w:p>
      <w:pPr>
        <w:spacing w:line="360" w:lineRule="auto"/>
        <w:ind w:firstLine="420" w:firstLineChars="200"/>
        <w:rPr>
          <w:rFonts w:ascii="宋体" w:hAnsi="宋体"/>
          <w:color w:val="auto"/>
          <w:highlight w:val="none"/>
        </w:rPr>
      </w:pPr>
      <w:bookmarkStart w:id="514" w:name="_Toc419363636"/>
      <w:r>
        <w:rPr>
          <w:rFonts w:ascii="宋体" w:hAnsi="宋体"/>
          <w:color w:val="auto"/>
          <w:highlight w:val="none"/>
        </w:rPr>
        <w:t>A4.</w:t>
      </w:r>
      <w:r>
        <w:rPr>
          <w:rFonts w:hint="eastAsia" w:ascii="宋体" w:hAnsi="宋体"/>
          <w:color w:val="auto"/>
          <w:highlight w:val="none"/>
        </w:rPr>
        <w:t>4</w:t>
      </w:r>
      <w:r>
        <w:rPr>
          <w:rFonts w:ascii="宋体" w:hAnsi="宋体"/>
          <w:color w:val="auto"/>
          <w:highlight w:val="none"/>
        </w:rPr>
        <w:t>澄清、说明或补正</w:t>
      </w:r>
      <w:bookmarkEnd w:id="514"/>
    </w:p>
    <w:p>
      <w:pPr>
        <w:spacing w:line="360" w:lineRule="auto"/>
        <w:ind w:firstLine="420" w:firstLineChars="200"/>
        <w:rPr>
          <w:rFonts w:ascii="宋体" w:hAnsi="宋体"/>
          <w:color w:val="auto"/>
          <w:highlight w:val="none"/>
        </w:rPr>
      </w:pPr>
      <w:r>
        <w:rPr>
          <w:rFonts w:ascii="宋体" w:hAnsi="宋体"/>
          <w:color w:val="auto"/>
          <w:highlight w:val="none"/>
        </w:rPr>
        <w:t>在评审过程中，评标委员会应当就投标文件中不明确的内容要求投标人进行澄清、说明或者补正。投标人对此以书面形式予以澄清、说明或者补正。澄清、说明或补正根据本章第3.3款的规定执行。</w:t>
      </w:r>
    </w:p>
    <w:p>
      <w:pPr>
        <w:spacing w:line="360" w:lineRule="auto"/>
        <w:ind w:firstLine="420" w:firstLineChars="200"/>
        <w:rPr>
          <w:rFonts w:ascii="宋体" w:hAnsi="宋体"/>
          <w:color w:val="auto"/>
          <w:highlight w:val="none"/>
        </w:rPr>
      </w:pPr>
      <w:bookmarkStart w:id="515" w:name="_Toc419363637"/>
      <w:r>
        <w:rPr>
          <w:rFonts w:ascii="宋体" w:hAnsi="宋体"/>
          <w:color w:val="auto"/>
          <w:highlight w:val="none"/>
        </w:rPr>
        <w:t>A4.</w:t>
      </w:r>
      <w:r>
        <w:rPr>
          <w:rFonts w:hint="eastAsia" w:ascii="宋体" w:hAnsi="宋体"/>
          <w:color w:val="auto"/>
          <w:highlight w:val="none"/>
        </w:rPr>
        <w:t>5</w:t>
      </w:r>
      <w:r>
        <w:rPr>
          <w:rFonts w:ascii="宋体" w:hAnsi="宋体"/>
          <w:color w:val="auto"/>
          <w:highlight w:val="none"/>
        </w:rPr>
        <w:t xml:space="preserve"> 汇总评分结果</w:t>
      </w:r>
      <w:bookmarkEnd w:id="515"/>
    </w:p>
    <w:p>
      <w:pPr>
        <w:spacing w:line="360" w:lineRule="auto"/>
        <w:ind w:firstLine="420" w:firstLineChars="200"/>
        <w:rPr>
          <w:rFonts w:ascii="宋体" w:hAnsi="宋体"/>
          <w:color w:val="auto"/>
          <w:highlight w:val="none"/>
        </w:rPr>
      </w:pPr>
      <w:r>
        <w:rPr>
          <w:rFonts w:ascii="宋体" w:hAnsi="宋体"/>
          <w:color w:val="auto"/>
          <w:highlight w:val="none"/>
        </w:rPr>
        <w:t>详细评审工作全部结束后，</w:t>
      </w:r>
      <w:r>
        <w:rPr>
          <w:rFonts w:hint="eastAsia" w:ascii="宋体" w:hAnsi="宋体"/>
          <w:color w:val="auto"/>
          <w:highlight w:val="none"/>
        </w:rPr>
        <w:t>汇总</w:t>
      </w:r>
      <w:r>
        <w:rPr>
          <w:rFonts w:ascii="宋体" w:hAnsi="宋体"/>
          <w:color w:val="auto"/>
          <w:highlight w:val="none"/>
        </w:rPr>
        <w:t>评标委员会各成员的详细评审评分结果，并按照详细评审最终得分由高至低的次序对投标人进行排序。</w:t>
      </w:r>
    </w:p>
    <w:p>
      <w:pPr>
        <w:pStyle w:val="2"/>
        <w:spacing w:line="360" w:lineRule="auto"/>
        <w:rPr>
          <w:rFonts w:ascii="宋体" w:hAnsi="宋体" w:eastAsia="宋体"/>
          <w:color w:val="auto"/>
          <w:sz w:val="24"/>
          <w:szCs w:val="24"/>
          <w:highlight w:val="none"/>
        </w:rPr>
      </w:pPr>
      <w:bookmarkStart w:id="516" w:name="_Toc419364327"/>
      <w:bookmarkStart w:id="517" w:name="_Toc433988670"/>
      <w:bookmarkStart w:id="518" w:name="_Toc419320200"/>
      <w:bookmarkStart w:id="519" w:name="_Toc419363638"/>
      <w:bookmarkStart w:id="520" w:name="_Toc419321236"/>
      <w:bookmarkStart w:id="521" w:name="_Toc19034703"/>
      <w:r>
        <w:rPr>
          <w:rFonts w:ascii="宋体" w:hAnsi="宋体" w:eastAsia="宋体"/>
          <w:color w:val="auto"/>
          <w:sz w:val="24"/>
          <w:szCs w:val="24"/>
          <w:highlight w:val="none"/>
        </w:rPr>
        <w:t>A5 推荐中标候选人或者直接确定中标人</w:t>
      </w:r>
      <w:bookmarkEnd w:id="516"/>
      <w:bookmarkEnd w:id="517"/>
      <w:bookmarkEnd w:id="518"/>
      <w:bookmarkEnd w:id="519"/>
      <w:bookmarkEnd w:id="520"/>
      <w:bookmarkEnd w:id="521"/>
    </w:p>
    <w:p>
      <w:pPr>
        <w:spacing w:line="360" w:lineRule="auto"/>
        <w:ind w:firstLine="420" w:firstLineChars="200"/>
        <w:rPr>
          <w:rFonts w:ascii="宋体" w:hAnsi="宋体"/>
          <w:color w:val="auto"/>
          <w:highlight w:val="none"/>
        </w:rPr>
      </w:pPr>
      <w:bookmarkStart w:id="522" w:name="_Toc419363639"/>
      <w:bookmarkStart w:id="523" w:name="_Toc433988671"/>
      <w:r>
        <w:rPr>
          <w:rFonts w:ascii="宋体" w:hAnsi="宋体"/>
          <w:color w:val="auto"/>
          <w:highlight w:val="none"/>
        </w:rPr>
        <w:t>A5.1 推荐中标候选人</w:t>
      </w:r>
      <w:bookmarkEnd w:id="522"/>
      <w:bookmarkEnd w:id="523"/>
    </w:p>
    <w:p>
      <w:pPr>
        <w:spacing w:line="360" w:lineRule="auto"/>
        <w:ind w:firstLine="420" w:firstLineChars="200"/>
        <w:rPr>
          <w:rFonts w:ascii="宋体" w:hAnsi="宋体"/>
          <w:color w:val="auto"/>
          <w:highlight w:val="none"/>
        </w:rPr>
      </w:pPr>
      <w:bookmarkStart w:id="524" w:name="_Toc433988672"/>
      <w:r>
        <w:rPr>
          <w:rFonts w:ascii="宋体" w:hAnsi="宋体"/>
          <w:color w:val="auto"/>
          <w:highlight w:val="none"/>
        </w:rPr>
        <w:t>A5.1.1 除第二章“投标人须知”前附表第7.1款授权直接确定中标人外，评标委员会在推荐中标候选人时，应遵照以下原则：</w:t>
      </w:r>
      <w:bookmarkEnd w:id="524"/>
    </w:p>
    <w:p>
      <w:pPr>
        <w:spacing w:line="360" w:lineRule="auto"/>
        <w:ind w:firstLine="420" w:firstLineChars="200"/>
        <w:rPr>
          <w:rFonts w:ascii="宋体" w:hAnsi="宋体"/>
          <w:color w:val="auto"/>
          <w:highlight w:val="none"/>
        </w:rPr>
      </w:pPr>
      <w:bookmarkStart w:id="525" w:name="_Toc433988673"/>
      <w:r>
        <w:rPr>
          <w:rFonts w:ascii="宋体" w:hAnsi="宋体"/>
          <w:color w:val="auto"/>
          <w:highlight w:val="none"/>
        </w:rPr>
        <w:t>（1）评标委员会按照最终得分由高至低的次序排列，并根据第二章“投标人须知”前附表第7.1款规定</w:t>
      </w:r>
      <w:r>
        <w:rPr>
          <w:rFonts w:hint="eastAsia" w:ascii="宋体" w:hAnsi="宋体"/>
          <w:color w:val="auto"/>
          <w:highlight w:val="none"/>
        </w:rPr>
        <w:t>及本章的规定推荐</w:t>
      </w:r>
      <w:r>
        <w:rPr>
          <w:rFonts w:ascii="宋体" w:hAnsi="宋体"/>
          <w:color w:val="auto"/>
          <w:highlight w:val="none"/>
        </w:rPr>
        <w:t>中标候选人。</w:t>
      </w:r>
      <w:bookmarkEnd w:id="525"/>
    </w:p>
    <w:p>
      <w:pPr>
        <w:spacing w:line="360" w:lineRule="auto"/>
        <w:ind w:firstLine="420" w:firstLineChars="200"/>
        <w:rPr>
          <w:color w:val="auto"/>
          <w:highlight w:val="none"/>
        </w:rPr>
      </w:pPr>
      <w:bookmarkStart w:id="526" w:name="_Toc433988674"/>
      <w:r>
        <w:rPr>
          <w:rFonts w:ascii="宋体" w:hAnsi="宋体"/>
          <w:color w:val="auto"/>
          <w:highlight w:val="none"/>
        </w:rPr>
        <w:t>（2）如果评标委员会根据本章的规定作否决投标处理后，有效投标不足三个，且少于第二章“投标人须知”前附表第7.1款规定的中标候选人数量的，，</w:t>
      </w:r>
      <w:r>
        <w:rPr>
          <w:rFonts w:hint="eastAsia"/>
          <w:color w:val="auto"/>
          <w:highlight w:val="none"/>
        </w:rPr>
        <w:t>如经</w:t>
      </w:r>
      <w:r>
        <w:rPr>
          <w:color w:val="auto"/>
          <w:highlight w:val="none"/>
        </w:rPr>
        <w:t>评标委员</w:t>
      </w:r>
      <w:r>
        <w:rPr>
          <w:rFonts w:hint="eastAsia"/>
          <w:color w:val="auto"/>
          <w:highlight w:val="none"/>
        </w:rPr>
        <w:t>会评定仍具备竞争性的，</w:t>
      </w:r>
      <w:r>
        <w:rPr>
          <w:color w:val="auto"/>
          <w:highlight w:val="none"/>
        </w:rPr>
        <w:t>可以将所有有效投标按经济标评分得分由高至低的次序作为中标候选人向招标人推荐。如果因</w:t>
      </w:r>
      <w:r>
        <w:rPr>
          <w:rFonts w:hint="eastAsia"/>
          <w:color w:val="auto"/>
          <w:highlight w:val="none"/>
        </w:rPr>
        <w:t>评标委员会否决投标后</w:t>
      </w:r>
      <w:r>
        <w:rPr>
          <w:color w:val="auto"/>
          <w:highlight w:val="none"/>
        </w:rPr>
        <w:t>有效投标不足三个</w:t>
      </w:r>
      <w:r>
        <w:rPr>
          <w:rFonts w:hint="eastAsia"/>
          <w:color w:val="auto"/>
          <w:highlight w:val="none"/>
        </w:rPr>
        <w:t>且评标委员会评定</w:t>
      </w:r>
      <w:r>
        <w:rPr>
          <w:color w:val="auto"/>
          <w:highlight w:val="none"/>
        </w:rPr>
        <w:t>明显缺乏竞争的，评标委员会可以</w:t>
      </w:r>
      <w:r>
        <w:rPr>
          <w:rFonts w:hint="eastAsia"/>
          <w:color w:val="auto"/>
          <w:highlight w:val="none"/>
        </w:rPr>
        <w:t>否决所有投标</w:t>
      </w:r>
      <w:r>
        <w:rPr>
          <w:color w:val="auto"/>
          <w:highlight w:val="none"/>
        </w:rPr>
        <w:t>。</w:t>
      </w:r>
    </w:p>
    <w:bookmarkEnd w:id="526"/>
    <w:p>
      <w:pPr>
        <w:spacing w:line="360" w:lineRule="auto"/>
        <w:ind w:firstLine="420" w:firstLineChars="200"/>
        <w:rPr>
          <w:rFonts w:ascii="宋体" w:hAnsi="宋体"/>
          <w:color w:val="auto"/>
          <w:highlight w:val="none"/>
        </w:rPr>
      </w:pPr>
      <w:bookmarkStart w:id="527" w:name="_Toc433988675"/>
      <w:r>
        <w:rPr>
          <w:rFonts w:ascii="宋体" w:hAnsi="宋体"/>
          <w:color w:val="auto"/>
          <w:highlight w:val="none"/>
        </w:rPr>
        <w:t>A5.</w:t>
      </w:r>
      <w:r>
        <w:rPr>
          <w:rFonts w:hint="eastAsia" w:ascii="宋体" w:hAnsi="宋体"/>
          <w:color w:val="auto"/>
          <w:highlight w:val="none"/>
        </w:rPr>
        <w:t>1</w:t>
      </w:r>
      <w:r>
        <w:rPr>
          <w:rFonts w:ascii="宋体" w:hAnsi="宋体"/>
          <w:color w:val="auto"/>
          <w:highlight w:val="none"/>
        </w:rPr>
        <w:t>.2 投标截止时间前递交投标文件的投标人数量少于三个或者所有投标被否决的，招标人应当依法重新招标。</w:t>
      </w:r>
      <w:bookmarkEnd w:id="527"/>
    </w:p>
    <w:p>
      <w:pPr>
        <w:spacing w:line="360" w:lineRule="auto"/>
        <w:ind w:firstLine="420" w:firstLineChars="200"/>
        <w:rPr>
          <w:rFonts w:ascii="宋体" w:hAnsi="宋体"/>
          <w:color w:val="auto"/>
          <w:highlight w:val="none"/>
        </w:rPr>
      </w:pPr>
      <w:bookmarkStart w:id="528" w:name="_Toc419363640"/>
      <w:bookmarkStart w:id="529" w:name="_Toc433988676"/>
      <w:r>
        <w:rPr>
          <w:rFonts w:ascii="宋体" w:hAnsi="宋体"/>
          <w:color w:val="auto"/>
          <w:highlight w:val="none"/>
        </w:rPr>
        <w:t>A5.2 直接确定中标人</w:t>
      </w:r>
      <w:bookmarkEnd w:id="528"/>
      <w:bookmarkEnd w:id="529"/>
    </w:p>
    <w:p>
      <w:pPr>
        <w:spacing w:line="360" w:lineRule="auto"/>
        <w:ind w:firstLine="420" w:firstLineChars="200"/>
        <w:rPr>
          <w:rFonts w:ascii="宋体" w:hAnsi="宋体"/>
          <w:color w:val="auto"/>
          <w:highlight w:val="none"/>
        </w:rPr>
      </w:pPr>
      <w:bookmarkStart w:id="530" w:name="_Toc433988677"/>
      <w:r>
        <w:rPr>
          <w:rFonts w:ascii="宋体" w:hAnsi="宋体"/>
          <w:color w:val="auto"/>
          <w:highlight w:val="none"/>
        </w:rPr>
        <w:t>第二章“投标人须知”前附表授权评标委员会直接确定中标人的，评标委员会按照最终得分由高至低的次序排列，</w:t>
      </w:r>
      <w:r>
        <w:rPr>
          <w:rFonts w:hint="eastAsia" w:ascii="宋体" w:hAnsi="宋体"/>
          <w:color w:val="auto"/>
          <w:highlight w:val="none"/>
        </w:rPr>
        <w:t>按照本章的规定直接确定</w:t>
      </w:r>
      <w:r>
        <w:rPr>
          <w:rFonts w:ascii="宋体" w:hAnsi="宋体"/>
          <w:color w:val="auto"/>
          <w:highlight w:val="none"/>
        </w:rPr>
        <w:t>中标人。</w:t>
      </w:r>
      <w:bookmarkEnd w:id="530"/>
    </w:p>
    <w:p>
      <w:pPr>
        <w:spacing w:line="360" w:lineRule="auto"/>
        <w:ind w:firstLine="420" w:firstLineChars="200"/>
        <w:rPr>
          <w:rFonts w:ascii="宋体" w:hAnsi="宋体"/>
          <w:color w:val="auto"/>
          <w:highlight w:val="none"/>
        </w:rPr>
      </w:pPr>
      <w:bookmarkStart w:id="531" w:name="_Toc419363641"/>
      <w:bookmarkStart w:id="532" w:name="_Toc433988678"/>
      <w:r>
        <w:rPr>
          <w:rFonts w:ascii="宋体" w:hAnsi="宋体"/>
          <w:color w:val="auto"/>
          <w:highlight w:val="none"/>
        </w:rPr>
        <w:t>A5.3 编制评标报告</w:t>
      </w:r>
      <w:bookmarkEnd w:id="531"/>
      <w:bookmarkEnd w:id="532"/>
    </w:p>
    <w:p>
      <w:pPr>
        <w:spacing w:line="360" w:lineRule="auto"/>
        <w:ind w:firstLine="420" w:firstLineChars="200"/>
        <w:rPr>
          <w:rFonts w:ascii="宋体" w:hAnsi="宋体"/>
          <w:color w:val="auto"/>
          <w:highlight w:val="none"/>
        </w:rPr>
      </w:pPr>
      <w:bookmarkStart w:id="533" w:name="_Toc433988679"/>
      <w:r>
        <w:rPr>
          <w:rFonts w:ascii="宋体" w:hAnsi="宋体"/>
          <w:color w:val="auto"/>
          <w:highlight w:val="none"/>
        </w:rPr>
        <w:t>评标委员会向招标人提交评标报告。评标报告应当由全体评标委员会成员签字，并于评标结束时抄送有关行政监督部门。评标报告应当包括</w:t>
      </w:r>
      <w:r>
        <w:rPr>
          <w:rFonts w:hint="eastAsia" w:ascii="宋体" w:hAnsi="宋体"/>
          <w:color w:val="auto"/>
          <w:highlight w:val="none"/>
        </w:rPr>
        <w:t>但不限于</w:t>
      </w:r>
      <w:r>
        <w:rPr>
          <w:rFonts w:ascii="宋体" w:hAnsi="宋体"/>
          <w:color w:val="auto"/>
          <w:highlight w:val="none"/>
        </w:rPr>
        <w:t>以下内容：</w:t>
      </w:r>
      <w:bookmarkEnd w:id="533"/>
    </w:p>
    <w:p>
      <w:pPr>
        <w:spacing w:line="360" w:lineRule="auto"/>
        <w:ind w:firstLine="420" w:firstLineChars="200"/>
        <w:rPr>
          <w:rFonts w:ascii="宋体" w:hAnsi="宋体"/>
          <w:color w:val="auto"/>
          <w:highlight w:val="none"/>
        </w:rPr>
      </w:pPr>
      <w:bookmarkStart w:id="534" w:name="_Toc433988680"/>
      <w:r>
        <w:rPr>
          <w:rFonts w:ascii="宋体" w:hAnsi="宋体"/>
          <w:color w:val="auto"/>
          <w:highlight w:val="none"/>
        </w:rPr>
        <w:t>（1）基本情况和数据表；</w:t>
      </w:r>
      <w:bookmarkEnd w:id="534"/>
    </w:p>
    <w:p>
      <w:pPr>
        <w:spacing w:line="360" w:lineRule="auto"/>
        <w:ind w:firstLine="420" w:firstLineChars="200"/>
        <w:rPr>
          <w:rFonts w:ascii="宋体" w:hAnsi="宋体"/>
          <w:color w:val="auto"/>
          <w:highlight w:val="none"/>
        </w:rPr>
      </w:pPr>
      <w:bookmarkStart w:id="535" w:name="_Toc433988681"/>
      <w:r>
        <w:rPr>
          <w:rFonts w:ascii="宋体" w:hAnsi="宋体"/>
          <w:color w:val="auto"/>
          <w:highlight w:val="none"/>
        </w:rPr>
        <w:t>（2）评标委员会成员名单；</w:t>
      </w:r>
      <w:bookmarkEnd w:id="535"/>
    </w:p>
    <w:p>
      <w:pPr>
        <w:spacing w:line="360" w:lineRule="auto"/>
        <w:ind w:firstLine="420" w:firstLineChars="200"/>
        <w:rPr>
          <w:rFonts w:ascii="宋体" w:hAnsi="宋体"/>
          <w:color w:val="auto"/>
          <w:highlight w:val="none"/>
        </w:rPr>
      </w:pPr>
      <w:bookmarkStart w:id="536" w:name="_Toc433988682"/>
      <w:r>
        <w:rPr>
          <w:rFonts w:ascii="宋体" w:hAnsi="宋体"/>
          <w:color w:val="auto"/>
          <w:highlight w:val="none"/>
        </w:rPr>
        <w:t>（3）开标记录；</w:t>
      </w:r>
      <w:bookmarkEnd w:id="536"/>
    </w:p>
    <w:p>
      <w:pPr>
        <w:spacing w:line="360" w:lineRule="auto"/>
        <w:ind w:firstLine="420" w:firstLineChars="200"/>
        <w:rPr>
          <w:rFonts w:ascii="宋体" w:hAnsi="宋体"/>
          <w:color w:val="auto"/>
          <w:highlight w:val="none"/>
        </w:rPr>
      </w:pPr>
      <w:bookmarkStart w:id="537" w:name="_Toc433988683"/>
      <w:r>
        <w:rPr>
          <w:rFonts w:ascii="宋体" w:hAnsi="宋体"/>
          <w:color w:val="auto"/>
          <w:highlight w:val="none"/>
        </w:rPr>
        <w:t>（4）符合要求的投标一览表；</w:t>
      </w:r>
      <w:bookmarkEnd w:id="537"/>
    </w:p>
    <w:p>
      <w:pPr>
        <w:spacing w:line="360" w:lineRule="auto"/>
        <w:ind w:firstLine="420" w:firstLineChars="200"/>
        <w:rPr>
          <w:rFonts w:ascii="宋体" w:hAnsi="宋体"/>
          <w:color w:val="auto"/>
          <w:highlight w:val="none"/>
        </w:rPr>
      </w:pPr>
      <w:bookmarkStart w:id="538" w:name="_Toc433988684"/>
      <w:r>
        <w:rPr>
          <w:rFonts w:ascii="宋体" w:hAnsi="宋体"/>
          <w:color w:val="auto"/>
          <w:highlight w:val="none"/>
        </w:rPr>
        <w:t>（5）否决投标情况说明；</w:t>
      </w:r>
      <w:bookmarkEnd w:id="538"/>
    </w:p>
    <w:p>
      <w:pPr>
        <w:spacing w:line="360" w:lineRule="auto"/>
        <w:ind w:firstLine="420" w:firstLineChars="200"/>
        <w:rPr>
          <w:rFonts w:ascii="宋体" w:hAnsi="宋体"/>
          <w:color w:val="auto"/>
          <w:highlight w:val="none"/>
        </w:rPr>
      </w:pPr>
      <w:bookmarkStart w:id="539" w:name="_Toc433988685"/>
      <w:r>
        <w:rPr>
          <w:rFonts w:ascii="宋体" w:hAnsi="宋体"/>
          <w:color w:val="auto"/>
          <w:highlight w:val="none"/>
        </w:rPr>
        <w:t>（6）评标标准、评标方法或者评标因素一览表；</w:t>
      </w:r>
      <w:bookmarkEnd w:id="539"/>
    </w:p>
    <w:p>
      <w:pPr>
        <w:spacing w:line="360" w:lineRule="auto"/>
        <w:ind w:firstLine="420" w:firstLineChars="200"/>
        <w:rPr>
          <w:rFonts w:ascii="宋体" w:hAnsi="宋体"/>
          <w:color w:val="auto"/>
          <w:highlight w:val="none"/>
        </w:rPr>
      </w:pPr>
      <w:bookmarkStart w:id="540" w:name="_Toc433988686"/>
      <w:r>
        <w:rPr>
          <w:rFonts w:ascii="宋体" w:hAnsi="宋体"/>
          <w:color w:val="auto"/>
          <w:highlight w:val="none"/>
        </w:rPr>
        <w:t>（7）经评审的价格一览表（包括评标委员会在评标过程中所形成的所有记载评标结果、结论的表格、说明、记录等文件）；</w:t>
      </w:r>
      <w:bookmarkEnd w:id="540"/>
    </w:p>
    <w:p>
      <w:pPr>
        <w:spacing w:line="360" w:lineRule="auto"/>
        <w:ind w:firstLine="420" w:firstLineChars="200"/>
        <w:rPr>
          <w:rFonts w:ascii="宋体" w:hAnsi="宋体"/>
          <w:color w:val="auto"/>
          <w:highlight w:val="none"/>
        </w:rPr>
      </w:pPr>
      <w:bookmarkStart w:id="541" w:name="_Toc419363642"/>
      <w:bookmarkStart w:id="542" w:name="_Toc433988687"/>
      <w:r>
        <w:rPr>
          <w:rFonts w:ascii="宋体" w:hAnsi="宋体"/>
          <w:color w:val="auto"/>
          <w:highlight w:val="none"/>
        </w:rPr>
        <w:t>（8）经评审的投标人排序；</w:t>
      </w:r>
      <w:bookmarkEnd w:id="541"/>
      <w:bookmarkEnd w:id="542"/>
    </w:p>
    <w:p>
      <w:pPr>
        <w:spacing w:line="360" w:lineRule="auto"/>
        <w:ind w:firstLine="420" w:firstLineChars="200"/>
        <w:rPr>
          <w:rFonts w:ascii="宋体" w:hAnsi="宋体"/>
          <w:color w:val="auto"/>
          <w:highlight w:val="none"/>
        </w:rPr>
      </w:pPr>
      <w:bookmarkStart w:id="543" w:name="_Toc433988688"/>
      <w:r>
        <w:rPr>
          <w:rFonts w:ascii="宋体" w:hAnsi="宋体"/>
          <w:color w:val="auto"/>
          <w:highlight w:val="none"/>
        </w:rPr>
        <w:t>（9）推荐的中标候选人名单（如果第二章“投标人须知”前附表授权评标委员会直接确定中标人，则为“确定的中标人”）与签订合同前要处理的事宜；</w:t>
      </w:r>
      <w:bookmarkEnd w:id="543"/>
    </w:p>
    <w:p>
      <w:pPr>
        <w:spacing w:line="360" w:lineRule="auto"/>
        <w:ind w:firstLine="420" w:firstLineChars="200"/>
        <w:rPr>
          <w:rFonts w:ascii="宋体" w:hAnsi="宋体"/>
          <w:color w:val="auto"/>
          <w:highlight w:val="none"/>
        </w:rPr>
      </w:pPr>
      <w:bookmarkStart w:id="544" w:name="_Toc433988689"/>
      <w:r>
        <w:rPr>
          <w:rFonts w:ascii="宋体" w:hAnsi="宋体"/>
          <w:color w:val="auto"/>
          <w:highlight w:val="none"/>
        </w:rPr>
        <w:t>（10）澄清、说明、补正事项纪要。</w:t>
      </w:r>
      <w:bookmarkEnd w:id="544"/>
    </w:p>
    <w:p>
      <w:pPr>
        <w:pStyle w:val="2"/>
        <w:spacing w:line="360" w:lineRule="auto"/>
        <w:rPr>
          <w:rFonts w:ascii="宋体" w:hAnsi="宋体" w:eastAsia="宋体"/>
          <w:color w:val="auto"/>
          <w:sz w:val="24"/>
          <w:szCs w:val="24"/>
          <w:highlight w:val="none"/>
        </w:rPr>
      </w:pPr>
      <w:bookmarkStart w:id="545" w:name="_Toc419321237"/>
      <w:bookmarkStart w:id="546" w:name="_Toc419364328"/>
      <w:bookmarkStart w:id="547" w:name="_Toc19034704"/>
      <w:bookmarkStart w:id="548" w:name="_Toc433988690"/>
      <w:bookmarkStart w:id="549" w:name="_Toc419320201"/>
      <w:bookmarkStart w:id="550" w:name="_Toc419363643"/>
      <w:r>
        <w:rPr>
          <w:rFonts w:ascii="宋体" w:hAnsi="宋体" w:eastAsia="宋体"/>
          <w:color w:val="auto"/>
          <w:sz w:val="24"/>
          <w:szCs w:val="24"/>
          <w:highlight w:val="none"/>
        </w:rPr>
        <w:t>A6 特殊情况的处置程序</w:t>
      </w:r>
      <w:bookmarkEnd w:id="545"/>
      <w:bookmarkEnd w:id="546"/>
      <w:bookmarkEnd w:id="547"/>
      <w:bookmarkEnd w:id="548"/>
      <w:bookmarkEnd w:id="549"/>
      <w:bookmarkEnd w:id="550"/>
    </w:p>
    <w:p>
      <w:pPr>
        <w:spacing w:line="360" w:lineRule="auto"/>
        <w:ind w:firstLine="420" w:firstLineChars="200"/>
        <w:rPr>
          <w:rFonts w:ascii="宋体" w:hAnsi="宋体"/>
          <w:color w:val="auto"/>
          <w:highlight w:val="none"/>
        </w:rPr>
      </w:pPr>
      <w:r>
        <w:rPr>
          <w:rFonts w:ascii="宋体" w:hAnsi="宋体"/>
          <w:color w:val="auto"/>
          <w:highlight w:val="none"/>
        </w:rPr>
        <w:t>A6</w:t>
      </w:r>
      <w:r>
        <w:rPr>
          <w:rFonts w:hint="eastAsia" w:ascii="宋体" w:hAnsi="宋体"/>
          <w:color w:val="auto"/>
          <w:highlight w:val="none"/>
        </w:rPr>
        <w:t>.1</w:t>
      </w:r>
      <w:r>
        <w:rPr>
          <w:rFonts w:ascii="宋体" w:hAnsi="宋体"/>
          <w:color w:val="auto"/>
          <w:highlight w:val="none"/>
        </w:rPr>
        <w:t xml:space="preserve"> 关于评标活动暂停</w:t>
      </w:r>
    </w:p>
    <w:p>
      <w:pPr>
        <w:spacing w:line="360" w:lineRule="auto"/>
        <w:ind w:firstLine="420" w:firstLineChars="200"/>
        <w:rPr>
          <w:rFonts w:ascii="宋体" w:hAnsi="宋体"/>
          <w:color w:val="auto"/>
          <w:highlight w:val="none"/>
        </w:rPr>
      </w:pPr>
      <w:r>
        <w:rPr>
          <w:rFonts w:ascii="宋体" w:hAnsi="宋体"/>
          <w:color w:val="auto"/>
          <w:highlight w:val="none"/>
        </w:rPr>
        <w:t>A6.</w:t>
      </w:r>
      <w:r>
        <w:rPr>
          <w:rFonts w:hint="eastAsia" w:ascii="宋体" w:hAnsi="宋体"/>
          <w:color w:val="auto"/>
          <w:highlight w:val="none"/>
        </w:rPr>
        <w:t>1</w:t>
      </w:r>
      <w:r>
        <w:rPr>
          <w:rFonts w:ascii="宋体" w:hAnsi="宋体"/>
          <w:color w:val="auto"/>
          <w:highlight w:val="none"/>
        </w:rPr>
        <w:t>.1 评标委员会应当执行连续评标的原则，按评标办法中规定的程序、内容、方法、标准完成全部评标工作。只有发生不可抗力导致评标工作无法继续时，评标活动方可暂停。</w:t>
      </w:r>
    </w:p>
    <w:p>
      <w:pPr>
        <w:spacing w:line="360" w:lineRule="auto"/>
        <w:ind w:firstLine="420" w:firstLineChars="200"/>
        <w:rPr>
          <w:rFonts w:ascii="宋体" w:hAnsi="宋体"/>
          <w:color w:val="auto"/>
          <w:highlight w:val="none"/>
        </w:rPr>
      </w:pPr>
      <w:r>
        <w:rPr>
          <w:rFonts w:ascii="宋体" w:hAnsi="宋体"/>
          <w:color w:val="auto"/>
          <w:highlight w:val="none"/>
        </w:rPr>
        <w:t>A6.</w:t>
      </w:r>
      <w:r>
        <w:rPr>
          <w:rFonts w:hint="eastAsia" w:ascii="宋体" w:hAnsi="宋体"/>
          <w:color w:val="auto"/>
          <w:highlight w:val="none"/>
        </w:rPr>
        <w:t>1</w:t>
      </w:r>
      <w:r>
        <w:rPr>
          <w:rFonts w:ascii="宋体" w:hAnsi="宋体"/>
          <w:color w:val="auto"/>
          <w:highlight w:val="none"/>
        </w:rPr>
        <w:t>.2 发生评标暂停情况时，评标委员会应当封存全部投标文件和评标记录，待不可抗力的影响结束且具备继续评标的条件时，由原评标委员会继续评标。</w:t>
      </w:r>
    </w:p>
    <w:p>
      <w:pPr>
        <w:spacing w:line="360" w:lineRule="auto"/>
        <w:ind w:firstLine="420" w:firstLineChars="200"/>
        <w:rPr>
          <w:rFonts w:ascii="宋体" w:hAnsi="宋体"/>
          <w:color w:val="auto"/>
          <w:highlight w:val="none"/>
        </w:rPr>
      </w:pPr>
      <w:bookmarkStart w:id="551" w:name="_Toc419363645"/>
      <w:r>
        <w:rPr>
          <w:rFonts w:ascii="宋体" w:hAnsi="宋体"/>
          <w:color w:val="auto"/>
          <w:highlight w:val="none"/>
        </w:rPr>
        <w:t>A6.</w:t>
      </w:r>
      <w:r>
        <w:rPr>
          <w:rFonts w:hint="eastAsia" w:ascii="宋体" w:hAnsi="宋体"/>
          <w:color w:val="auto"/>
          <w:highlight w:val="none"/>
        </w:rPr>
        <w:t>2</w:t>
      </w:r>
      <w:r>
        <w:rPr>
          <w:rFonts w:ascii="宋体" w:hAnsi="宋体"/>
          <w:color w:val="auto"/>
          <w:highlight w:val="none"/>
        </w:rPr>
        <w:t xml:space="preserve"> 关于评标中途更换评委</w:t>
      </w:r>
      <w:bookmarkEnd w:id="551"/>
    </w:p>
    <w:p>
      <w:pPr>
        <w:spacing w:line="360" w:lineRule="auto"/>
        <w:ind w:firstLine="420" w:firstLineChars="200"/>
        <w:rPr>
          <w:rFonts w:ascii="宋体" w:hAnsi="宋体"/>
          <w:color w:val="auto"/>
          <w:highlight w:val="none"/>
        </w:rPr>
      </w:pPr>
      <w:r>
        <w:rPr>
          <w:rFonts w:ascii="宋体" w:hAnsi="宋体"/>
          <w:color w:val="auto"/>
          <w:highlight w:val="none"/>
        </w:rPr>
        <w:t>A6.</w:t>
      </w:r>
      <w:r>
        <w:rPr>
          <w:rFonts w:hint="eastAsia" w:ascii="宋体" w:hAnsi="宋体"/>
          <w:color w:val="auto"/>
          <w:highlight w:val="none"/>
        </w:rPr>
        <w:t>2</w:t>
      </w:r>
      <w:r>
        <w:rPr>
          <w:rFonts w:ascii="宋体" w:hAnsi="宋体"/>
          <w:color w:val="auto"/>
          <w:highlight w:val="none"/>
        </w:rPr>
        <w:t>.1 除非发生下列情况之一，评标委员会成员不得在评标中途更换：</w:t>
      </w:r>
    </w:p>
    <w:p>
      <w:pPr>
        <w:spacing w:line="360" w:lineRule="auto"/>
        <w:ind w:firstLine="420" w:firstLineChars="200"/>
        <w:rPr>
          <w:rFonts w:ascii="宋体" w:hAnsi="宋体"/>
          <w:color w:val="auto"/>
          <w:highlight w:val="none"/>
        </w:rPr>
      </w:pPr>
      <w:r>
        <w:rPr>
          <w:rFonts w:ascii="宋体" w:hAnsi="宋体"/>
          <w:color w:val="auto"/>
          <w:highlight w:val="none"/>
        </w:rPr>
        <w:t>（1）因不可抗拒的客观原因，不能到场或需在评标中途退出评标活动。</w:t>
      </w:r>
    </w:p>
    <w:p>
      <w:pPr>
        <w:spacing w:line="360" w:lineRule="auto"/>
        <w:ind w:firstLine="420" w:firstLineChars="200"/>
        <w:rPr>
          <w:rFonts w:ascii="宋体" w:hAnsi="宋体"/>
          <w:color w:val="auto"/>
          <w:highlight w:val="none"/>
        </w:rPr>
      </w:pPr>
      <w:r>
        <w:rPr>
          <w:rFonts w:ascii="宋体" w:hAnsi="宋体"/>
          <w:color w:val="auto"/>
          <w:highlight w:val="none"/>
        </w:rPr>
        <w:t>（2）根据法律法规规定，某个或某几个评标委员会成员需要回避。</w:t>
      </w:r>
    </w:p>
    <w:p>
      <w:pPr>
        <w:spacing w:line="360" w:lineRule="auto"/>
        <w:ind w:firstLine="420" w:firstLineChars="200"/>
        <w:rPr>
          <w:rFonts w:ascii="宋体" w:hAnsi="宋体"/>
          <w:color w:val="auto"/>
          <w:highlight w:val="none"/>
        </w:rPr>
      </w:pPr>
      <w:r>
        <w:rPr>
          <w:rFonts w:ascii="宋体" w:hAnsi="宋体"/>
          <w:color w:val="auto"/>
          <w:highlight w:val="none"/>
        </w:rPr>
        <w:t>A6.</w:t>
      </w:r>
      <w:r>
        <w:rPr>
          <w:rFonts w:hint="eastAsia" w:ascii="宋体" w:hAnsi="宋体"/>
          <w:color w:val="auto"/>
          <w:highlight w:val="none"/>
        </w:rPr>
        <w:t>2</w:t>
      </w:r>
      <w:r>
        <w:rPr>
          <w:rFonts w:ascii="宋体" w:hAnsi="宋体"/>
          <w:color w:val="auto"/>
          <w:highlight w:val="none"/>
        </w:rPr>
        <w:t>.2 退出评标的评标委员会成员，其已完成的评标行为无效。由招标人根据本招标文件规定的评标委员会成员生产方式另行确定替代者进行评标。</w:t>
      </w:r>
    </w:p>
    <w:p>
      <w:pPr>
        <w:spacing w:line="360" w:lineRule="auto"/>
        <w:ind w:firstLine="420" w:firstLineChars="200"/>
        <w:rPr>
          <w:rFonts w:ascii="宋体" w:hAnsi="宋体"/>
          <w:color w:val="auto"/>
          <w:highlight w:val="none"/>
        </w:rPr>
      </w:pPr>
      <w:bookmarkStart w:id="552" w:name="_Toc419363646"/>
      <w:r>
        <w:rPr>
          <w:rFonts w:ascii="宋体" w:hAnsi="宋体"/>
          <w:color w:val="auto"/>
          <w:highlight w:val="none"/>
        </w:rPr>
        <w:t>A6.</w:t>
      </w:r>
      <w:r>
        <w:rPr>
          <w:rFonts w:hint="eastAsia" w:ascii="宋体" w:hAnsi="宋体"/>
          <w:color w:val="auto"/>
          <w:highlight w:val="none"/>
        </w:rPr>
        <w:t>3</w:t>
      </w:r>
      <w:r>
        <w:rPr>
          <w:rFonts w:ascii="宋体" w:hAnsi="宋体"/>
          <w:color w:val="auto"/>
          <w:highlight w:val="none"/>
        </w:rPr>
        <w:t xml:space="preserve"> 记名投票</w:t>
      </w:r>
      <w:bookmarkEnd w:id="552"/>
    </w:p>
    <w:p>
      <w:pPr>
        <w:spacing w:line="360" w:lineRule="auto"/>
        <w:ind w:firstLine="420" w:firstLineChars="200"/>
        <w:rPr>
          <w:rFonts w:ascii="宋体" w:hAnsi="宋体"/>
          <w:color w:val="auto"/>
          <w:highlight w:val="none"/>
        </w:rPr>
      </w:pPr>
      <w:r>
        <w:rPr>
          <w:rFonts w:ascii="宋体" w:hAnsi="宋体"/>
          <w:color w:val="auto"/>
          <w:highlight w:val="none"/>
        </w:rPr>
        <w:t>需评标委员会就某项定性的评审结论做出表决的，由评标委员会全体成员按照少数服从多数的原则，以记名投票方式表决。</w:t>
      </w:r>
    </w:p>
    <w:p>
      <w:pPr>
        <w:spacing w:line="360" w:lineRule="auto"/>
        <w:rPr>
          <w:color w:val="auto"/>
          <w:szCs w:val="21"/>
          <w:highlight w:val="none"/>
        </w:rPr>
      </w:pPr>
    </w:p>
    <w:p>
      <w:pPr>
        <w:pStyle w:val="3"/>
        <w:jc w:val="center"/>
        <w:rPr>
          <w:color w:val="auto"/>
          <w:highlight w:val="none"/>
        </w:rPr>
      </w:pPr>
      <w:bookmarkStart w:id="553" w:name="_Toc419364329"/>
      <w:bookmarkStart w:id="554" w:name="_Toc419363647"/>
      <w:bookmarkStart w:id="555" w:name="_Toc419320202"/>
      <w:bookmarkStart w:id="556" w:name="_Toc419321238"/>
      <w:r>
        <w:rPr>
          <w:color w:val="auto"/>
          <w:highlight w:val="none"/>
        </w:rPr>
        <w:br w:type="page"/>
      </w:r>
      <w:bookmarkStart w:id="557" w:name="_Toc19034705"/>
      <w:bookmarkStart w:id="558" w:name="_Toc433988691"/>
      <w:r>
        <w:rPr>
          <w:color w:val="auto"/>
          <w:highlight w:val="none"/>
        </w:rPr>
        <w:t>附件B否决投标条件</w:t>
      </w:r>
      <w:bookmarkEnd w:id="553"/>
      <w:bookmarkEnd w:id="554"/>
      <w:bookmarkEnd w:id="555"/>
      <w:bookmarkEnd w:id="556"/>
      <w:bookmarkEnd w:id="557"/>
      <w:bookmarkEnd w:id="558"/>
    </w:p>
    <w:p>
      <w:pPr>
        <w:pStyle w:val="2"/>
        <w:spacing w:line="360" w:lineRule="auto"/>
        <w:rPr>
          <w:rFonts w:ascii="宋体" w:hAnsi="宋体" w:eastAsia="宋体"/>
          <w:color w:val="auto"/>
          <w:sz w:val="24"/>
          <w:szCs w:val="24"/>
          <w:highlight w:val="none"/>
        </w:rPr>
      </w:pPr>
      <w:bookmarkStart w:id="559" w:name="_Toc419363648"/>
      <w:bookmarkStart w:id="560" w:name="_Toc419320203"/>
      <w:bookmarkStart w:id="561" w:name="_Toc433988692"/>
      <w:bookmarkStart w:id="562" w:name="_Toc19034706"/>
      <w:bookmarkStart w:id="563" w:name="_Toc419321239"/>
      <w:bookmarkStart w:id="564" w:name="_Toc419364330"/>
      <w:r>
        <w:rPr>
          <w:rFonts w:ascii="宋体" w:hAnsi="宋体" w:eastAsia="宋体"/>
          <w:color w:val="auto"/>
          <w:sz w:val="24"/>
          <w:szCs w:val="24"/>
          <w:highlight w:val="none"/>
        </w:rPr>
        <w:t xml:space="preserve">B0 </w:t>
      </w:r>
      <w:r>
        <w:rPr>
          <w:rFonts w:hint="eastAsia" w:ascii="宋体" w:hAnsi="宋体" w:eastAsia="宋体"/>
          <w:color w:val="auto"/>
          <w:sz w:val="24"/>
          <w:szCs w:val="24"/>
          <w:highlight w:val="none"/>
        </w:rPr>
        <w:t>总则</w:t>
      </w:r>
      <w:bookmarkEnd w:id="559"/>
      <w:bookmarkEnd w:id="560"/>
      <w:bookmarkEnd w:id="561"/>
      <w:bookmarkEnd w:id="562"/>
      <w:bookmarkEnd w:id="563"/>
      <w:bookmarkEnd w:id="564"/>
    </w:p>
    <w:p>
      <w:pPr>
        <w:spacing w:line="360" w:lineRule="auto"/>
        <w:ind w:firstLine="420" w:firstLineChars="200"/>
        <w:rPr>
          <w:color w:val="auto"/>
          <w:highlight w:val="none"/>
        </w:rPr>
      </w:pPr>
      <w:r>
        <w:rPr>
          <w:rFonts w:hint="eastAsia"/>
          <w:color w:val="auto"/>
          <w:highlight w:val="none"/>
        </w:rPr>
        <w:t>本附件所集中列示的否决投标条件，是本章</w:t>
      </w:r>
      <w:r>
        <w:rPr>
          <w:color w:val="auto"/>
          <w:highlight w:val="none"/>
        </w:rPr>
        <w:t>“</w:t>
      </w:r>
      <w:r>
        <w:rPr>
          <w:rFonts w:hint="eastAsia"/>
          <w:color w:val="auto"/>
          <w:highlight w:val="none"/>
        </w:rPr>
        <w:t>评标办法</w:t>
      </w:r>
      <w:r>
        <w:rPr>
          <w:color w:val="auto"/>
          <w:highlight w:val="none"/>
        </w:rPr>
        <w:t>”</w:t>
      </w:r>
      <w:r>
        <w:rPr>
          <w:rFonts w:hint="eastAsia"/>
          <w:color w:val="auto"/>
          <w:highlight w:val="none"/>
        </w:rPr>
        <w:t>的组成部分，是对第二章</w:t>
      </w:r>
      <w:r>
        <w:rPr>
          <w:color w:val="auto"/>
          <w:highlight w:val="none"/>
        </w:rPr>
        <w:t>“</w:t>
      </w:r>
      <w:r>
        <w:rPr>
          <w:rFonts w:hint="eastAsia"/>
          <w:color w:val="auto"/>
          <w:highlight w:val="none"/>
        </w:rPr>
        <w:t>投标人须知</w:t>
      </w:r>
      <w:r>
        <w:rPr>
          <w:color w:val="auto"/>
          <w:highlight w:val="none"/>
        </w:rPr>
        <w:t>”</w:t>
      </w:r>
      <w:r>
        <w:rPr>
          <w:rFonts w:hint="eastAsia"/>
          <w:color w:val="auto"/>
          <w:highlight w:val="none"/>
        </w:rPr>
        <w:t>和本章正文部分所规定的否决投标条件的总结和补充，如果出现相互矛盾的情况，以第二章</w:t>
      </w:r>
      <w:r>
        <w:rPr>
          <w:color w:val="auto"/>
          <w:highlight w:val="none"/>
        </w:rPr>
        <w:t>“</w:t>
      </w:r>
      <w:r>
        <w:rPr>
          <w:rFonts w:hint="eastAsia"/>
          <w:color w:val="auto"/>
          <w:highlight w:val="none"/>
        </w:rPr>
        <w:t>投标人须知</w:t>
      </w:r>
      <w:r>
        <w:rPr>
          <w:color w:val="auto"/>
          <w:highlight w:val="none"/>
        </w:rPr>
        <w:t>”</w:t>
      </w:r>
      <w:r>
        <w:rPr>
          <w:rFonts w:hint="eastAsia"/>
          <w:color w:val="auto"/>
          <w:highlight w:val="none"/>
        </w:rPr>
        <w:t>和本章正文部分的规定为准。</w:t>
      </w:r>
    </w:p>
    <w:p>
      <w:pPr>
        <w:pStyle w:val="2"/>
        <w:spacing w:line="360" w:lineRule="auto"/>
        <w:rPr>
          <w:rFonts w:ascii="宋体" w:hAnsi="宋体" w:eastAsia="宋体"/>
          <w:color w:val="auto"/>
          <w:sz w:val="24"/>
          <w:szCs w:val="24"/>
          <w:highlight w:val="none"/>
        </w:rPr>
      </w:pPr>
      <w:bookmarkStart w:id="565" w:name="_Toc433988693"/>
      <w:bookmarkStart w:id="566" w:name="_Toc419321240"/>
      <w:bookmarkStart w:id="567" w:name="_Toc419320204"/>
      <w:bookmarkStart w:id="568" w:name="_Toc419364331"/>
      <w:bookmarkStart w:id="569" w:name="_Toc19034707"/>
      <w:bookmarkStart w:id="570" w:name="_Toc419363649"/>
      <w:r>
        <w:rPr>
          <w:rFonts w:ascii="宋体" w:hAnsi="宋体" w:eastAsia="宋体"/>
          <w:color w:val="auto"/>
          <w:sz w:val="24"/>
          <w:szCs w:val="24"/>
          <w:highlight w:val="none"/>
        </w:rPr>
        <w:t xml:space="preserve">B1 </w:t>
      </w:r>
      <w:r>
        <w:rPr>
          <w:rFonts w:hint="eastAsia" w:ascii="宋体" w:hAnsi="宋体" w:eastAsia="宋体"/>
          <w:color w:val="auto"/>
          <w:sz w:val="24"/>
          <w:szCs w:val="24"/>
          <w:highlight w:val="none"/>
        </w:rPr>
        <w:t>否决投标条件</w:t>
      </w:r>
      <w:bookmarkEnd w:id="565"/>
      <w:bookmarkEnd w:id="566"/>
      <w:bookmarkEnd w:id="567"/>
      <w:bookmarkEnd w:id="568"/>
      <w:bookmarkEnd w:id="569"/>
      <w:bookmarkEnd w:id="570"/>
    </w:p>
    <w:p>
      <w:pPr>
        <w:spacing w:line="360" w:lineRule="auto"/>
        <w:ind w:firstLine="420" w:firstLineChars="200"/>
        <w:rPr>
          <w:rFonts w:ascii="宋体" w:hAnsi="宋体"/>
          <w:color w:val="auto"/>
          <w:highlight w:val="none"/>
        </w:rPr>
      </w:pPr>
      <w:r>
        <w:rPr>
          <w:rFonts w:hint="eastAsia" w:ascii="宋体" w:hAnsi="宋体"/>
          <w:color w:val="auto"/>
          <w:highlight w:val="none"/>
        </w:rPr>
        <w:t>投标人或其投标文件有下列情形之一的，其投标作否决投标处理：</w:t>
      </w:r>
    </w:p>
    <w:p>
      <w:pPr>
        <w:spacing w:line="360" w:lineRule="auto"/>
        <w:ind w:firstLine="420" w:firstLineChars="200"/>
        <w:rPr>
          <w:rFonts w:ascii="宋体" w:hAnsi="宋体"/>
          <w:color w:val="auto"/>
          <w:highlight w:val="none"/>
        </w:rPr>
      </w:pPr>
      <w:r>
        <w:rPr>
          <w:rFonts w:ascii="宋体" w:hAnsi="宋体"/>
          <w:color w:val="auto"/>
          <w:highlight w:val="none"/>
        </w:rPr>
        <w:t xml:space="preserve">B1.1 </w:t>
      </w:r>
      <w:r>
        <w:rPr>
          <w:rFonts w:hint="eastAsia" w:ascii="宋体" w:hAnsi="宋体"/>
          <w:color w:val="auto"/>
          <w:highlight w:val="none"/>
        </w:rPr>
        <w:t>有第二章</w:t>
      </w:r>
      <w:r>
        <w:rPr>
          <w:rFonts w:ascii="宋体" w:hAnsi="宋体"/>
          <w:color w:val="auto"/>
          <w:highlight w:val="none"/>
        </w:rPr>
        <w:t>“</w:t>
      </w:r>
      <w:r>
        <w:rPr>
          <w:rFonts w:hint="eastAsia" w:ascii="宋体" w:hAnsi="宋体"/>
          <w:color w:val="auto"/>
          <w:highlight w:val="none"/>
        </w:rPr>
        <w:t>投标人须知</w:t>
      </w:r>
      <w:r>
        <w:rPr>
          <w:rFonts w:ascii="宋体" w:hAnsi="宋体"/>
          <w:color w:val="auto"/>
          <w:highlight w:val="none"/>
        </w:rPr>
        <w:t>”</w:t>
      </w:r>
      <w:r>
        <w:rPr>
          <w:rFonts w:hint="eastAsia" w:ascii="宋体" w:hAnsi="宋体"/>
          <w:color w:val="auto"/>
          <w:highlight w:val="none"/>
        </w:rPr>
        <w:t>第</w:t>
      </w:r>
      <w:r>
        <w:rPr>
          <w:rFonts w:ascii="宋体" w:hAnsi="宋体"/>
          <w:color w:val="auto"/>
          <w:highlight w:val="none"/>
        </w:rPr>
        <w:t>1.4.</w:t>
      </w:r>
      <w:r>
        <w:rPr>
          <w:rFonts w:hint="eastAsia" w:ascii="宋体" w:hAnsi="宋体"/>
          <w:color w:val="auto"/>
          <w:highlight w:val="none"/>
        </w:rPr>
        <w:t>5项规定的任何一种情形的；</w:t>
      </w:r>
    </w:p>
    <w:p>
      <w:pPr>
        <w:spacing w:line="360" w:lineRule="auto"/>
        <w:ind w:firstLine="420" w:firstLineChars="200"/>
        <w:rPr>
          <w:rFonts w:ascii="宋体" w:hAnsi="宋体"/>
          <w:color w:val="auto"/>
          <w:highlight w:val="none"/>
        </w:rPr>
      </w:pPr>
      <w:r>
        <w:rPr>
          <w:rFonts w:ascii="宋体" w:hAnsi="宋体"/>
          <w:color w:val="auto"/>
          <w:highlight w:val="none"/>
        </w:rPr>
        <w:t xml:space="preserve">B1.2 </w:t>
      </w:r>
      <w:r>
        <w:rPr>
          <w:rFonts w:hint="eastAsia" w:ascii="宋体" w:hAnsi="宋体"/>
          <w:color w:val="auto"/>
          <w:highlight w:val="none"/>
        </w:rPr>
        <w:t>有串通投标或弄虚作假或有其他违法行为的；</w:t>
      </w:r>
    </w:p>
    <w:p>
      <w:pPr>
        <w:spacing w:line="360" w:lineRule="auto"/>
        <w:ind w:firstLine="420" w:firstLineChars="200"/>
        <w:rPr>
          <w:rFonts w:ascii="宋体" w:hAnsi="宋体"/>
          <w:color w:val="auto"/>
          <w:highlight w:val="none"/>
        </w:rPr>
      </w:pPr>
      <w:r>
        <w:rPr>
          <w:rFonts w:ascii="宋体" w:hAnsi="宋体"/>
          <w:color w:val="auto"/>
          <w:highlight w:val="none"/>
        </w:rPr>
        <w:t xml:space="preserve">B1.3 </w:t>
      </w:r>
      <w:r>
        <w:rPr>
          <w:rFonts w:hint="eastAsia" w:ascii="宋体" w:hAnsi="宋体"/>
          <w:color w:val="auto"/>
          <w:highlight w:val="none"/>
        </w:rPr>
        <w:t>不按评标委员会要求澄清、说明或补正的；</w:t>
      </w:r>
    </w:p>
    <w:p>
      <w:pPr>
        <w:spacing w:line="360" w:lineRule="auto"/>
        <w:ind w:firstLine="420" w:firstLineChars="200"/>
        <w:rPr>
          <w:rFonts w:ascii="宋体" w:hAnsi="宋体"/>
          <w:color w:val="auto"/>
          <w:highlight w:val="none"/>
        </w:rPr>
      </w:pPr>
      <w:r>
        <w:rPr>
          <w:rFonts w:ascii="宋体" w:hAnsi="宋体"/>
          <w:color w:val="auto"/>
          <w:highlight w:val="none"/>
        </w:rPr>
        <w:t>B1.4</w:t>
      </w:r>
      <w:r>
        <w:rPr>
          <w:rFonts w:hint="eastAsia"/>
          <w:color w:val="auto"/>
          <w:highlight w:val="none"/>
        </w:rPr>
        <w:t>在资格评审、形式评审、响应性评审中，评标委员会认定投标人的投标文件不符合</w:t>
      </w:r>
      <w:r>
        <w:rPr>
          <w:color w:val="auto"/>
          <w:highlight w:val="none"/>
        </w:rPr>
        <w:t>“</w:t>
      </w:r>
      <w:r>
        <w:rPr>
          <w:rFonts w:hint="eastAsia"/>
          <w:color w:val="auto"/>
          <w:highlight w:val="none"/>
        </w:rPr>
        <w:t>评标办法前附表</w:t>
      </w:r>
      <w:r>
        <w:rPr>
          <w:color w:val="auto"/>
          <w:highlight w:val="none"/>
        </w:rPr>
        <w:t>”</w:t>
      </w:r>
      <w:r>
        <w:rPr>
          <w:rFonts w:hint="eastAsia"/>
          <w:color w:val="auto"/>
          <w:highlight w:val="none"/>
        </w:rPr>
        <w:t>中规定的任何一项评审标准的【备注：如资格审查采用有限数量制时，资格审查的评审内容按打分制给予对应分值，无相关证明材料的给予0分，但不做否决投标处理。本条款应有此备注】</w:t>
      </w:r>
      <w:r>
        <w:rPr>
          <w:rFonts w:ascii="宋体" w:hAnsi="宋体"/>
          <w:color w:val="auto"/>
          <w:highlight w:val="none"/>
        </w:rPr>
        <w:t xml:space="preserve">； </w:t>
      </w:r>
    </w:p>
    <w:p>
      <w:pPr>
        <w:spacing w:line="360" w:lineRule="auto"/>
        <w:ind w:firstLine="420" w:firstLineChars="200"/>
        <w:rPr>
          <w:rFonts w:ascii="宋体" w:hAnsi="宋体"/>
          <w:color w:val="auto"/>
          <w:highlight w:val="none"/>
        </w:rPr>
      </w:pPr>
      <w:r>
        <w:rPr>
          <w:rFonts w:ascii="宋体" w:hAnsi="宋体"/>
          <w:color w:val="auto"/>
          <w:highlight w:val="none"/>
        </w:rPr>
        <w:t>B1.</w:t>
      </w:r>
      <w:r>
        <w:rPr>
          <w:rFonts w:hint="eastAsia" w:ascii="宋体" w:hAnsi="宋体"/>
          <w:color w:val="auto"/>
          <w:highlight w:val="none"/>
        </w:rPr>
        <w:t>5不按第二章投标须知前附表第</w:t>
      </w:r>
      <w:r>
        <w:rPr>
          <w:rFonts w:ascii="宋体" w:hAnsi="宋体"/>
          <w:color w:val="auto"/>
          <w:highlight w:val="none"/>
        </w:rPr>
        <w:t>3.1.1</w:t>
      </w:r>
      <w:r>
        <w:rPr>
          <w:rFonts w:hint="eastAsia" w:ascii="宋体" w:hAnsi="宋体"/>
          <w:color w:val="auto"/>
          <w:highlight w:val="none"/>
        </w:rPr>
        <w:t>条内容提供资料的；</w:t>
      </w:r>
    </w:p>
    <w:p>
      <w:pPr>
        <w:spacing w:line="360" w:lineRule="auto"/>
        <w:ind w:firstLine="420" w:firstLineChars="200"/>
        <w:rPr>
          <w:rFonts w:ascii="宋体" w:hAnsi="宋体"/>
          <w:color w:val="auto"/>
          <w:highlight w:val="none"/>
        </w:rPr>
      </w:pPr>
      <w:r>
        <w:rPr>
          <w:rFonts w:ascii="宋体" w:hAnsi="宋体"/>
          <w:color w:val="auto"/>
          <w:highlight w:val="none"/>
        </w:rPr>
        <w:t>B1.</w:t>
      </w:r>
      <w:r>
        <w:rPr>
          <w:rFonts w:hint="eastAsia" w:ascii="宋体" w:hAnsi="宋体"/>
          <w:color w:val="auto"/>
          <w:highlight w:val="none"/>
        </w:rPr>
        <w:t>6由委托代理人签字或盖章，但未随投标文件一起提交有效的</w:t>
      </w:r>
      <w:r>
        <w:rPr>
          <w:rFonts w:ascii="宋体" w:hAnsi="宋体"/>
          <w:color w:val="auto"/>
          <w:highlight w:val="none"/>
        </w:rPr>
        <w:t>“</w:t>
      </w:r>
      <w:r>
        <w:rPr>
          <w:rFonts w:hint="eastAsia" w:ascii="宋体" w:hAnsi="宋体"/>
          <w:color w:val="auto"/>
          <w:highlight w:val="none"/>
        </w:rPr>
        <w:t>授权委托书</w:t>
      </w:r>
      <w:r>
        <w:rPr>
          <w:rFonts w:ascii="宋体" w:hAnsi="宋体"/>
          <w:color w:val="auto"/>
          <w:highlight w:val="none"/>
        </w:rPr>
        <w:t>”</w:t>
      </w:r>
      <w:r>
        <w:rPr>
          <w:rFonts w:hint="eastAsia" w:ascii="宋体" w:hAnsi="宋体"/>
          <w:color w:val="auto"/>
          <w:highlight w:val="none"/>
        </w:rPr>
        <w:t>原件的；</w:t>
      </w:r>
    </w:p>
    <w:p>
      <w:pPr>
        <w:spacing w:line="360" w:lineRule="auto"/>
        <w:ind w:firstLine="420" w:firstLineChars="200"/>
        <w:rPr>
          <w:rFonts w:ascii="宋体" w:hAnsi="宋体"/>
          <w:color w:val="auto"/>
          <w:highlight w:val="none"/>
        </w:rPr>
      </w:pPr>
      <w:r>
        <w:rPr>
          <w:rFonts w:ascii="宋体" w:hAnsi="宋体"/>
          <w:color w:val="auto"/>
          <w:highlight w:val="none"/>
        </w:rPr>
        <w:t>B1.</w:t>
      </w:r>
      <w:r>
        <w:rPr>
          <w:rFonts w:hint="eastAsia" w:ascii="宋体" w:hAnsi="宋体"/>
          <w:color w:val="auto"/>
          <w:highlight w:val="none"/>
        </w:rPr>
        <w:t>7投标人不接受评标委员会按第三章</w:t>
      </w:r>
      <w:r>
        <w:rPr>
          <w:rFonts w:ascii="宋体" w:hAnsi="宋体"/>
          <w:color w:val="auto"/>
          <w:highlight w:val="none"/>
        </w:rPr>
        <w:t>“</w:t>
      </w:r>
      <w:r>
        <w:rPr>
          <w:rFonts w:hint="eastAsia" w:ascii="宋体" w:hAnsi="宋体"/>
          <w:color w:val="auto"/>
          <w:highlight w:val="none"/>
        </w:rPr>
        <w:t>评标办法</w:t>
      </w:r>
      <w:r>
        <w:rPr>
          <w:rFonts w:ascii="宋体" w:hAnsi="宋体"/>
          <w:color w:val="auto"/>
          <w:highlight w:val="none"/>
        </w:rPr>
        <w:t>”</w:t>
      </w:r>
      <w:r>
        <w:rPr>
          <w:rFonts w:hint="eastAsia" w:ascii="宋体" w:hAnsi="宋体"/>
          <w:color w:val="auto"/>
          <w:highlight w:val="none"/>
        </w:rPr>
        <w:t>第</w:t>
      </w:r>
      <w:r>
        <w:rPr>
          <w:rFonts w:ascii="宋体" w:hAnsi="宋体"/>
          <w:color w:val="auto"/>
          <w:highlight w:val="none"/>
        </w:rPr>
        <w:t>3.1.3</w:t>
      </w:r>
      <w:r>
        <w:rPr>
          <w:rFonts w:hint="eastAsia" w:ascii="宋体" w:hAnsi="宋体"/>
          <w:color w:val="auto"/>
          <w:highlight w:val="none"/>
        </w:rPr>
        <w:t>条的原则对投标报价进行修正的；</w:t>
      </w:r>
    </w:p>
    <w:p>
      <w:pPr>
        <w:spacing w:line="360" w:lineRule="auto"/>
        <w:ind w:firstLine="420" w:firstLineChars="200"/>
        <w:rPr>
          <w:rFonts w:ascii="宋体" w:hAnsi="宋体"/>
          <w:color w:val="auto"/>
          <w:highlight w:val="none"/>
        </w:rPr>
      </w:pPr>
      <w:bookmarkStart w:id="571" w:name="_Toc419363650"/>
      <w:r>
        <w:rPr>
          <w:rFonts w:ascii="宋体" w:hAnsi="宋体"/>
          <w:color w:val="auto"/>
          <w:highlight w:val="none"/>
        </w:rPr>
        <w:t>B1.</w:t>
      </w:r>
      <w:r>
        <w:rPr>
          <w:rFonts w:hint="eastAsia" w:ascii="宋体" w:hAnsi="宋体"/>
          <w:color w:val="auto"/>
          <w:highlight w:val="none"/>
        </w:rPr>
        <w:t>8投标人不具备独立法人资格或作为独立法人资格但就本工程提交一个以上的投标文件的；</w:t>
      </w:r>
      <w:bookmarkEnd w:id="571"/>
    </w:p>
    <w:p>
      <w:pPr>
        <w:spacing w:line="360" w:lineRule="auto"/>
        <w:ind w:firstLine="420" w:firstLineChars="200"/>
        <w:rPr>
          <w:rFonts w:ascii="宋体" w:hAnsi="宋体"/>
          <w:color w:val="auto"/>
          <w:highlight w:val="none"/>
        </w:rPr>
      </w:pPr>
      <w:r>
        <w:rPr>
          <w:rFonts w:ascii="宋体" w:hAnsi="宋体"/>
          <w:color w:val="auto"/>
          <w:highlight w:val="none"/>
        </w:rPr>
        <w:t>B1.</w:t>
      </w:r>
      <w:r>
        <w:rPr>
          <w:rFonts w:hint="eastAsia" w:ascii="宋体" w:hAnsi="宋体"/>
          <w:color w:val="auto"/>
          <w:highlight w:val="none"/>
        </w:rPr>
        <w:t>9投标文件实质上没有响应招标文件的要求的；</w:t>
      </w:r>
    </w:p>
    <w:p>
      <w:pPr>
        <w:spacing w:line="360" w:lineRule="auto"/>
        <w:ind w:firstLine="420" w:firstLineChars="200"/>
        <w:rPr>
          <w:rFonts w:ascii="宋体" w:hAnsi="宋体"/>
          <w:color w:val="auto"/>
          <w:highlight w:val="none"/>
        </w:rPr>
      </w:pPr>
      <w:r>
        <w:rPr>
          <w:rFonts w:ascii="宋体" w:hAnsi="宋体"/>
          <w:color w:val="auto"/>
          <w:highlight w:val="none"/>
        </w:rPr>
        <w:t>B1.</w:t>
      </w:r>
      <w:r>
        <w:rPr>
          <w:rFonts w:hint="eastAsia" w:ascii="宋体" w:hAnsi="宋体"/>
          <w:color w:val="auto"/>
          <w:highlight w:val="none"/>
        </w:rPr>
        <w:t>10法规规定的其他否决投标条款。</w:t>
      </w:r>
    </w:p>
    <w:p>
      <w:pPr>
        <w:pStyle w:val="38"/>
        <w:spacing w:line="360" w:lineRule="auto"/>
        <w:ind w:firstLine="420" w:firstLineChars="200"/>
        <w:rPr>
          <w:color w:val="auto"/>
          <w:highlight w:val="none"/>
        </w:rPr>
      </w:pPr>
    </w:p>
    <w:p>
      <w:pPr>
        <w:pStyle w:val="39"/>
        <w:spacing w:line="360" w:lineRule="auto"/>
        <w:rPr>
          <w:b/>
          <w:color w:val="auto"/>
          <w:highlight w:val="none"/>
        </w:rPr>
      </w:pPr>
      <w:r>
        <w:rPr>
          <w:b/>
          <w:color w:val="auto"/>
          <w:highlight w:val="none"/>
        </w:rPr>
        <w:t>备注：</w:t>
      </w:r>
    </w:p>
    <w:p>
      <w:pPr>
        <w:pStyle w:val="39"/>
        <w:spacing w:line="360" w:lineRule="auto"/>
        <w:ind w:firstLine="420" w:firstLineChars="200"/>
        <w:rPr>
          <w:color w:val="auto"/>
          <w:highlight w:val="none"/>
        </w:rPr>
      </w:pPr>
      <w:r>
        <w:rPr>
          <w:color w:val="auto"/>
          <w:highlight w:val="none"/>
        </w:rPr>
        <w:t>1、如果工程所在地</w:t>
      </w:r>
      <w:r>
        <w:rPr>
          <w:rFonts w:hint="eastAsia"/>
          <w:color w:val="auto"/>
          <w:highlight w:val="none"/>
        </w:rPr>
        <w:t>招投标监督管理部门</w:t>
      </w:r>
      <w:r>
        <w:rPr>
          <w:color w:val="auto"/>
          <w:highlight w:val="none"/>
        </w:rPr>
        <w:t>要求评标委员会对判定为否决投标的投标文件说明否决投标情况的，应增加“否决投标情况说明表”格式，否决投标情况说明应当对照招标文件规定的否决投标条件以及投标文件存在的具体问题，并在中标</w:t>
      </w:r>
      <w:r>
        <w:rPr>
          <w:rFonts w:hint="eastAsia"/>
          <w:color w:val="auto"/>
          <w:highlight w:val="none"/>
        </w:rPr>
        <w:t>候选人</w:t>
      </w:r>
      <w:r>
        <w:rPr>
          <w:color w:val="auto"/>
          <w:highlight w:val="none"/>
        </w:rPr>
        <w:t>公示时予以公开。</w:t>
      </w:r>
    </w:p>
    <w:p>
      <w:pPr>
        <w:pStyle w:val="39"/>
        <w:spacing w:line="360" w:lineRule="auto"/>
        <w:ind w:firstLine="420" w:firstLineChars="200"/>
        <w:rPr>
          <w:color w:val="auto"/>
          <w:highlight w:val="none"/>
        </w:rPr>
        <w:sectPr>
          <w:footerReference r:id="rId6" w:type="default"/>
          <w:pgSz w:w="11906" w:h="16838"/>
          <w:pgMar w:top="1246" w:right="1134" w:bottom="1418" w:left="1134" w:header="851" w:footer="992" w:gutter="0"/>
          <w:cols w:space="720" w:num="1"/>
          <w:docGrid w:type="lines" w:linePitch="312" w:charSpace="0"/>
        </w:sectPr>
      </w:pPr>
      <w:r>
        <w:rPr>
          <w:color w:val="auto"/>
          <w:highlight w:val="none"/>
        </w:rPr>
        <w:t>2、招标人可根据招标项目实际情况对上述否决投标情况进行调整，但不应与第二章“投标人须知”和本章正文部分包括的否决投标条件抵触，如果出现相互矛盾的情况，以第二章“投标人须知”和本章正文部分的规定为准。</w:t>
      </w:r>
    </w:p>
    <w:p>
      <w:pPr>
        <w:rPr>
          <w:rFonts w:ascii="宋体" w:hAnsi="宋体"/>
          <w:b/>
          <w:color w:val="auto"/>
          <w:sz w:val="28"/>
          <w:szCs w:val="28"/>
          <w:highlight w:val="none"/>
        </w:rPr>
      </w:pPr>
      <w:r>
        <w:rPr>
          <w:rFonts w:ascii="宋体" w:hAnsi="宋体"/>
          <w:b/>
          <w:color w:val="auto"/>
          <w:sz w:val="28"/>
          <w:szCs w:val="28"/>
          <w:highlight w:val="none"/>
        </w:rPr>
        <w:t>附表A－</w:t>
      </w:r>
      <w:r>
        <w:rPr>
          <w:rFonts w:hint="eastAsia" w:ascii="宋体" w:hAnsi="宋体"/>
          <w:b/>
          <w:color w:val="auto"/>
          <w:sz w:val="28"/>
          <w:szCs w:val="28"/>
          <w:highlight w:val="none"/>
        </w:rPr>
        <w:t>2</w:t>
      </w:r>
      <w:r>
        <w:rPr>
          <w:rFonts w:ascii="宋体" w:hAnsi="宋体"/>
          <w:b/>
          <w:color w:val="auto"/>
          <w:sz w:val="28"/>
          <w:szCs w:val="28"/>
          <w:highlight w:val="none"/>
        </w:rPr>
        <w:t>：</w:t>
      </w:r>
      <w:r>
        <w:rPr>
          <w:rFonts w:hint="eastAsia" w:ascii="宋体" w:hAnsi="宋体"/>
          <w:b/>
          <w:color w:val="auto"/>
          <w:sz w:val="28"/>
          <w:szCs w:val="28"/>
          <w:highlight w:val="none"/>
        </w:rPr>
        <w:t>开标记录表</w:t>
      </w:r>
    </w:p>
    <w:p>
      <w:pPr>
        <w:jc w:val="center"/>
        <w:rPr>
          <w:rFonts w:ascii="宋体" w:hAnsi="宋体"/>
          <w:b/>
          <w:color w:val="auto"/>
          <w:sz w:val="28"/>
          <w:szCs w:val="28"/>
          <w:highlight w:val="none"/>
        </w:rPr>
      </w:pPr>
      <w:r>
        <w:rPr>
          <w:rFonts w:hint="eastAsia" w:ascii="宋体" w:hAnsi="宋体"/>
          <w:b/>
          <w:color w:val="auto"/>
          <w:sz w:val="28"/>
          <w:szCs w:val="28"/>
          <w:highlight w:val="none"/>
        </w:rPr>
        <w:t>开标记录表</w:t>
      </w:r>
    </w:p>
    <w:p>
      <w:pPr>
        <w:adjustRightInd w:val="0"/>
        <w:snapToGrid w:val="0"/>
        <w:spacing w:line="420" w:lineRule="exact"/>
        <w:jc w:val="center"/>
        <w:rPr>
          <w:rFonts w:eastAsia="黑体"/>
          <w:color w:val="auto"/>
          <w:sz w:val="28"/>
          <w:szCs w:val="28"/>
          <w:highlight w:val="none"/>
        </w:rPr>
      </w:pPr>
    </w:p>
    <w:p>
      <w:pPr>
        <w:spacing w:after="72" w:afterLines="30"/>
        <w:rPr>
          <w:color w:val="auto"/>
          <w:highlight w:val="none"/>
        </w:rPr>
      </w:pPr>
      <w:r>
        <w:rPr>
          <w:color w:val="auto"/>
          <w:highlight w:val="none"/>
        </w:rPr>
        <w:t>工程名称：</w:t>
      </w:r>
      <w:r>
        <w:rPr>
          <w:rFonts w:hint="eastAsia"/>
          <w:color w:val="auto"/>
          <w:highlight w:val="none"/>
        </w:rPr>
        <w:t>（</w:t>
      </w:r>
      <w:r>
        <w:rPr>
          <w:color w:val="auto"/>
          <w:highlight w:val="none"/>
        </w:rPr>
        <w:t>项目名称</w:t>
      </w:r>
      <w:r>
        <w:rPr>
          <w:rFonts w:hint="eastAsia"/>
          <w:color w:val="auto"/>
          <w:highlight w:val="none"/>
        </w:rPr>
        <w:t>）项目招标编号：开</w:t>
      </w:r>
      <w:r>
        <w:rPr>
          <w:color w:val="auto"/>
          <w:highlight w:val="none"/>
        </w:rPr>
        <w:t>标时间：年月日</w:t>
      </w:r>
    </w:p>
    <w:p>
      <w:pPr>
        <w:spacing w:line="400" w:lineRule="exact"/>
        <w:rPr>
          <w:color w:val="auto"/>
          <w:highlight w:val="none"/>
        </w:rPr>
      </w:pPr>
      <w:r>
        <w:rPr>
          <w:rFonts w:hint="eastAsia"/>
          <w:color w:val="auto"/>
          <w:highlight w:val="none"/>
        </w:rPr>
        <w:t>招标人</w:t>
      </w:r>
      <w:r>
        <w:rPr>
          <w:color w:val="auto"/>
          <w:highlight w:val="none"/>
        </w:rPr>
        <w:t>：</w:t>
      </w:r>
      <w:r>
        <w:rPr>
          <w:rFonts w:hint="eastAsia"/>
          <w:color w:val="auto"/>
          <w:highlight w:val="none"/>
        </w:rPr>
        <w:t xml:space="preserve">         招标代理机构</w:t>
      </w:r>
      <w:r>
        <w:rPr>
          <w:color w:val="auto"/>
          <w:highlight w:val="none"/>
        </w:rPr>
        <w:t>：</w:t>
      </w:r>
    </w:p>
    <w:p>
      <w:pPr>
        <w:spacing w:line="400" w:lineRule="exact"/>
        <w:ind w:right="420" w:firstLine="4515" w:firstLineChars="2150"/>
        <w:rPr>
          <w:color w:val="auto"/>
          <w:highlight w:val="none"/>
        </w:rPr>
      </w:pPr>
    </w:p>
    <w:tbl>
      <w:tblPr>
        <w:tblStyle w:val="22"/>
        <w:tblW w:w="14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980"/>
        <w:gridCol w:w="900"/>
        <w:gridCol w:w="1080"/>
        <w:gridCol w:w="900"/>
        <w:gridCol w:w="1106"/>
        <w:gridCol w:w="1080"/>
        <w:gridCol w:w="900"/>
        <w:gridCol w:w="900"/>
        <w:gridCol w:w="900"/>
        <w:gridCol w:w="900"/>
        <w:gridCol w:w="498"/>
        <w:gridCol w:w="900"/>
        <w:gridCol w:w="90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497" w:type="dxa"/>
            <w:vMerge w:val="restart"/>
            <w:noWrap/>
            <w:vAlign w:val="center"/>
          </w:tcPr>
          <w:p>
            <w:pPr>
              <w:spacing w:line="280" w:lineRule="exact"/>
              <w:jc w:val="center"/>
              <w:rPr>
                <w:color w:val="auto"/>
                <w:szCs w:val="21"/>
                <w:highlight w:val="none"/>
              </w:rPr>
            </w:pPr>
            <w:r>
              <w:rPr>
                <w:rFonts w:hint="eastAsia"/>
                <w:color w:val="auto"/>
                <w:szCs w:val="21"/>
                <w:highlight w:val="none"/>
              </w:rPr>
              <w:t>序号</w:t>
            </w:r>
          </w:p>
        </w:tc>
        <w:tc>
          <w:tcPr>
            <w:tcW w:w="1980" w:type="dxa"/>
            <w:vMerge w:val="restart"/>
            <w:noWrap/>
            <w:vAlign w:val="center"/>
          </w:tcPr>
          <w:p>
            <w:pPr>
              <w:spacing w:line="280" w:lineRule="exact"/>
              <w:jc w:val="center"/>
              <w:rPr>
                <w:color w:val="auto"/>
                <w:szCs w:val="21"/>
                <w:highlight w:val="none"/>
              </w:rPr>
            </w:pPr>
            <w:r>
              <w:rPr>
                <w:rFonts w:hint="eastAsia"/>
                <w:color w:val="auto"/>
                <w:szCs w:val="21"/>
                <w:highlight w:val="none"/>
              </w:rPr>
              <w:t>投标单位</w:t>
            </w:r>
          </w:p>
        </w:tc>
        <w:tc>
          <w:tcPr>
            <w:tcW w:w="900" w:type="dxa"/>
            <w:vMerge w:val="restart"/>
            <w:noWrap/>
            <w:vAlign w:val="center"/>
          </w:tcPr>
          <w:p>
            <w:pPr>
              <w:spacing w:line="280" w:lineRule="exact"/>
              <w:jc w:val="center"/>
              <w:rPr>
                <w:color w:val="auto"/>
                <w:szCs w:val="21"/>
                <w:highlight w:val="none"/>
              </w:rPr>
            </w:pPr>
            <w:r>
              <w:rPr>
                <w:rFonts w:hint="eastAsia"/>
                <w:color w:val="auto"/>
                <w:szCs w:val="21"/>
                <w:highlight w:val="none"/>
              </w:rPr>
              <w:t>是否按时递交投标文件</w:t>
            </w:r>
          </w:p>
        </w:tc>
        <w:tc>
          <w:tcPr>
            <w:tcW w:w="1080" w:type="dxa"/>
            <w:vMerge w:val="restart"/>
            <w:noWrap/>
            <w:vAlign w:val="center"/>
          </w:tcPr>
          <w:p>
            <w:pPr>
              <w:spacing w:line="280" w:lineRule="exact"/>
              <w:jc w:val="center"/>
              <w:rPr>
                <w:color w:val="auto"/>
                <w:szCs w:val="21"/>
                <w:highlight w:val="none"/>
              </w:rPr>
            </w:pPr>
            <w:r>
              <w:rPr>
                <w:rFonts w:hint="eastAsia"/>
                <w:color w:val="auto"/>
                <w:szCs w:val="21"/>
                <w:highlight w:val="none"/>
              </w:rPr>
              <w:t>投标文件密封性</w:t>
            </w:r>
          </w:p>
        </w:tc>
        <w:tc>
          <w:tcPr>
            <w:tcW w:w="900" w:type="dxa"/>
            <w:vMerge w:val="restart"/>
            <w:noWrap/>
            <w:vAlign w:val="center"/>
          </w:tcPr>
          <w:p>
            <w:pPr>
              <w:spacing w:line="280" w:lineRule="exact"/>
              <w:jc w:val="center"/>
              <w:rPr>
                <w:color w:val="auto"/>
                <w:szCs w:val="21"/>
                <w:highlight w:val="none"/>
              </w:rPr>
            </w:pPr>
            <w:r>
              <w:rPr>
                <w:rFonts w:hint="eastAsia"/>
                <w:color w:val="auto"/>
                <w:szCs w:val="21"/>
                <w:highlight w:val="none"/>
              </w:rPr>
              <w:t>资格证件是否有效</w:t>
            </w:r>
          </w:p>
        </w:tc>
        <w:tc>
          <w:tcPr>
            <w:tcW w:w="1106" w:type="dxa"/>
            <w:vMerge w:val="restart"/>
            <w:noWrap/>
            <w:vAlign w:val="center"/>
          </w:tcPr>
          <w:p>
            <w:pPr>
              <w:spacing w:line="280" w:lineRule="exact"/>
              <w:jc w:val="center"/>
              <w:rPr>
                <w:color w:val="auto"/>
                <w:szCs w:val="21"/>
                <w:highlight w:val="none"/>
              </w:rPr>
            </w:pPr>
            <w:r>
              <w:rPr>
                <w:rFonts w:hint="eastAsia"/>
                <w:color w:val="auto"/>
                <w:szCs w:val="21"/>
                <w:highlight w:val="none"/>
              </w:rPr>
              <w:t>投标文件是否有效</w:t>
            </w:r>
          </w:p>
        </w:tc>
        <w:tc>
          <w:tcPr>
            <w:tcW w:w="1080" w:type="dxa"/>
            <w:vMerge w:val="restart"/>
            <w:noWrap/>
            <w:vAlign w:val="center"/>
          </w:tcPr>
          <w:p>
            <w:pPr>
              <w:spacing w:line="280" w:lineRule="exact"/>
              <w:jc w:val="center"/>
              <w:rPr>
                <w:color w:val="auto"/>
                <w:szCs w:val="21"/>
                <w:highlight w:val="none"/>
              </w:rPr>
            </w:pPr>
            <w:r>
              <w:rPr>
                <w:rFonts w:hint="eastAsia"/>
                <w:color w:val="auto"/>
                <w:szCs w:val="21"/>
                <w:highlight w:val="none"/>
              </w:rPr>
              <w:t>提交的投标保证金（万元）</w:t>
            </w:r>
          </w:p>
        </w:tc>
        <w:tc>
          <w:tcPr>
            <w:tcW w:w="3600" w:type="dxa"/>
            <w:gridSpan w:val="4"/>
            <w:noWrap/>
            <w:vAlign w:val="center"/>
          </w:tcPr>
          <w:p>
            <w:pPr>
              <w:spacing w:line="280" w:lineRule="exact"/>
              <w:jc w:val="center"/>
              <w:rPr>
                <w:color w:val="auto"/>
                <w:szCs w:val="21"/>
                <w:highlight w:val="none"/>
              </w:rPr>
            </w:pPr>
            <w:r>
              <w:rPr>
                <w:rFonts w:hint="eastAsia"/>
                <w:color w:val="auto"/>
                <w:szCs w:val="21"/>
                <w:highlight w:val="none"/>
              </w:rPr>
              <w:t>投标总报价（元）</w:t>
            </w:r>
          </w:p>
        </w:tc>
        <w:tc>
          <w:tcPr>
            <w:tcW w:w="498" w:type="dxa"/>
            <w:vMerge w:val="restart"/>
            <w:noWrap/>
            <w:vAlign w:val="center"/>
          </w:tcPr>
          <w:p>
            <w:pPr>
              <w:spacing w:line="280" w:lineRule="exact"/>
              <w:jc w:val="center"/>
              <w:rPr>
                <w:color w:val="auto"/>
                <w:szCs w:val="21"/>
                <w:highlight w:val="none"/>
              </w:rPr>
            </w:pPr>
            <w:r>
              <w:rPr>
                <w:rFonts w:hint="eastAsia"/>
                <w:color w:val="auto"/>
                <w:szCs w:val="21"/>
                <w:highlight w:val="none"/>
              </w:rPr>
              <w:t>工期</w:t>
            </w:r>
          </w:p>
        </w:tc>
        <w:tc>
          <w:tcPr>
            <w:tcW w:w="900" w:type="dxa"/>
            <w:vMerge w:val="restart"/>
            <w:noWrap/>
            <w:vAlign w:val="center"/>
          </w:tcPr>
          <w:p>
            <w:pPr>
              <w:spacing w:line="280" w:lineRule="exact"/>
              <w:jc w:val="center"/>
              <w:rPr>
                <w:rFonts w:ascii="宋体" w:hAnsi="宋体" w:cs="宋体"/>
                <w:color w:val="auto"/>
                <w:szCs w:val="21"/>
                <w:highlight w:val="none"/>
              </w:rPr>
            </w:pPr>
            <w:r>
              <w:rPr>
                <w:rFonts w:hint="eastAsia"/>
                <w:color w:val="auto"/>
                <w:szCs w:val="21"/>
                <w:highlight w:val="none"/>
              </w:rPr>
              <w:t>质量等级</w:t>
            </w:r>
          </w:p>
        </w:tc>
        <w:tc>
          <w:tcPr>
            <w:tcW w:w="900" w:type="dxa"/>
            <w:vMerge w:val="restart"/>
            <w:noWrap/>
            <w:vAlign w:val="center"/>
          </w:tcPr>
          <w:p>
            <w:pPr>
              <w:spacing w:line="280" w:lineRule="exact"/>
              <w:jc w:val="center"/>
              <w:rPr>
                <w:color w:val="auto"/>
                <w:szCs w:val="21"/>
                <w:highlight w:val="none"/>
              </w:rPr>
            </w:pPr>
            <w:r>
              <w:rPr>
                <w:rFonts w:hint="eastAsia"/>
                <w:color w:val="auto"/>
                <w:szCs w:val="21"/>
                <w:highlight w:val="none"/>
              </w:rPr>
              <w:t>备注</w:t>
            </w:r>
          </w:p>
        </w:tc>
        <w:tc>
          <w:tcPr>
            <w:tcW w:w="1122" w:type="dxa"/>
            <w:vMerge w:val="restart"/>
            <w:noWrap/>
            <w:vAlign w:val="center"/>
          </w:tcPr>
          <w:p>
            <w:pPr>
              <w:spacing w:line="280" w:lineRule="exact"/>
              <w:jc w:val="center"/>
              <w:rPr>
                <w:color w:val="auto"/>
                <w:szCs w:val="21"/>
                <w:highlight w:val="none"/>
              </w:rPr>
            </w:pPr>
            <w:r>
              <w:rPr>
                <w:rFonts w:hint="eastAsia"/>
                <w:color w:val="auto"/>
                <w:szCs w:val="21"/>
                <w:highlight w:val="none"/>
              </w:rPr>
              <w:t>投标人法定代表人或专职投标员签字确认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497" w:type="dxa"/>
            <w:vMerge w:val="continue"/>
            <w:noWrap/>
            <w:vAlign w:val="center"/>
          </w:tcPr>
          <w:p>
            <w:pPr>
              <w:spacing w:line="280" w:lineRule="exact"/>
              <w:jc w:val="center"/>
              <w:rPr>
                <w:color w:val="auto"/>
                <w:szCs w:val="21"/>
                <w:highlight w:val="none"/>
              </w:rPr>
            </w:pPr>
          </w:p>
        </w:tc>
        <w:tc>
          <w:tcPr>
            <w:tcW w:w="1980" w:type="dxa"/>
            <w:vMerge w:val="continue"/>
            <w:noWrap/>
            <w:vAlign w:val="center"/>
          </w:tcPr>
          <w:p>
            <w:pPr>
              <w:spacing w:line="280" w:lineRule="exact"/>
              <w:jc w:val="center"/>
              <w:rPr>
                <w:color w:val="auto"/>
                <w:szCs w:val="21"/>
                <w:highlight w:val="none"/>
              </w:rPr>
            </w:pPr>
          </w:p>
        </w:tc>
        <w:tc>
          <w:tcPr>
            <w:tcW w:w="900" w:type="dxa"/>
            <w:vMerge w:val="continue"/>
            <w:noWrap/>
            <w:vAlign w:val="center"/>
          </w:tcPr>
          <w:p>
            <w:pPr>
              <w:spacing w:line="280" w:lineRule="exact"/>
              <w:jc w:val="center"/>
              <w:rPr>
                <w:color w:val="auto"/>
                <w:szCs w:val="21"/>
                <w:highlight w:val="none"/>
              </w:rPr>
            </w:pPr>
          </w:p>
        </w:tc>
        <w:tc>
          <w:tcPr>
            <w:tcW w:w="1080" w:type="dxa"/>
            <w:vMerge w:val="continue"/>
            <w:noWrap/>
            <w:vAlign w:val="center"/>
          </w:tcPr>
          <w:p>
            <w:pPr>
              <w:spacing w:line="280" w:lineRule="exact"/>
              <w:jc w:val="center"/>
              <w:rPr>
                <w:color w:val="auto"/>
                <w:szCs w:val="21"/>
                <w:highlight w:val="none"/>
              </w:rPr>
            </w:pPr>
          </w:p>
        </w:tc>
        <w:tc>
          <w:tcPr>
            <w:tcW w:w="900" w:type="dxa"/>
            <w:vMerge w:val="continue"/>
            <w:noWrap/>
            <w:vAlign w:val="center"/>
          </w:tcPr>
          <w:p>
            <w:pPr>
              <w:spacing w:line="280" w:lineRule="exact"/>
              <w:jc w:val="center"/>
              <w:rPr>
                <w:color w:val="auto"/>
                <w:szCs w:val="21"/>
                <w:highlight w:val="none"/>
              </w:rPr>
            </w:pPr>
          </w:p>
        </w:tc>
        <w:tc>
          <w:tcPr>
            <w:tcW w:w="1106" w:type="dxa"/>
            <w:vMerge w:val="continue"/>
            <w:noWrap/>
            <w:vAlign w:val="center"/>
          </w:tcPr>
          <w:p>
            <w:pPr>
              <w:spacing w:line="280" w:lineRule="exact"/>
              <w:jc w:val="center"/>
              <w:rPr>
                <w:color w:val="auto"/>
                <w:szCs w:val="21"/>
                <w:highlight w:val="none"/>
              </w:rPr>
            </w:pPr>
          </w:p>
        </w:tc>
        <w:tc>
          <w:tcPr>
            <w:tcW w:w="1080" w:type="dxa"/>
            <w:vMerge w:val="continue"/>
            <w:noWrap/>
            <w:vAlign w:val="center"/>
          </w:tcPr>
          <w:p>
            <w:pPr>
              <w:spacing w:line="280" w:lineRule="exact"/>
              <w:jc w:val="center"/>
              <w:rPr>
                <w:color w:val="auto"/>
                <w:szCs w:val="21"/>
                <w:highlight w:val="none"/>
              </w:rPr>
            </w:pPr>
          </w:p>
        </w:tc>
        <w:tc>
          <w:tcPr>
            <w:tcW w:w="900" w:type="dxa"/>
            <w:noWrap/>
            <w:vAlign w:val="center"/>
          </w:tcPr>
          <w:p>
            <w:pPr>
              <w:spacing w:line="280" w:lineRule="exact"/>
              <w:jc w:val="center"/>
              <w:rPr>
                <w:color w:val="auto"/>
                <w:szCs w:val="21"/>
                <w:highlight w:val="none"/>
              </w:rPr>
            </w:pPr>
            <w:r>
              <w:rPr>
                <w:rFonts w:hint="eastAsia"/>
                <w:color w:val="auto"/>
                <w:szCs w:val="21"/>
                <w:highlight w:val="none"/>
              </w:rPr>
              <w:t>勘察费</w:t>
            </w:r>
          </w:p>
          <w:p>
            <w:pPr>
              <w:spacing w:line="280" w:lineRule="exact"/>
              <w:jc w:val="center"/>
              <w:rPr>
                <w:color w:val="auto"/>
                <w:szCs w:val="21"/>
                <w:highlight w:val="none"/>
              </w:rPr>
            </w:pPr>
            <w:r>
              <w:rPr>
                <w:rFonts w:hint="eastAsia"/>
                <w:color w:val="auto"/>
                <w:szCs w:val="21"/>
                <w:highlight w:val="none"/>
              </w:rPr>
              <w:t>报价</w:t>
            </w:r>
          </w:p>
          <w:p>
            <w:pPr>
              <w:spacing w:line="280" w:lineRule="exact"/>
              <w:jc w:val="center"/>
              <w:rPr>
                <w:color w:val="auto"/>
                <w:szCs w:val="21"/>
                <w:highlight w:val="none"/>
              </w:rPr>
            </w:pPr>
            <w:r>
              <w:rPr>
                <w:rFonts w:hint="eastAsia"/>
                <w:color w:val="auto"/>
                <w:szCs w:val="21"/>
                <w:highlight w:val="none"/>
              </w:rPr>
              <w:t>（元）</w:t>
            </w:r>
          </w:p>
        </w:tc>
        <w:tc>
          <w:tcPr>
            <w:tcW w:w="900" w:type="dxa"/>
            <w:noWrap/>
            <w:vAlign w:val="center"/>
          </w:tcPr>
          <w:p>
            <w:pPr>
              <w:spacing w:line="280" w:lineRule="exact"/>
              <w:jc w:val="center"/>
              <w:rPr>
                <w:color w:val="auto"/>
                <w:szCs w:val="21"/>
                <w:highlight w:val="none"/>
              </w:rPr>
            </w:pPr>
            <w:r>
              <w:rPr>
                <w:rFonts w:hint="eastAsia"/>
                <w:color w:val="auto"/>
                <w:szCs w:val="21"/>
                <w:highlight w:val="none"/>
              </w:rPr>
              <w:t>设计费报价</w:t>
            </w:r>
          </w:p>
          <w:p>
            <w:pPr>
              <w:spacing w:line="280" w:lineRule="exact"/>
              <w:jc w:val="center"/>
              <w:rPr>
                <w:color w:val="auto"/>
                <w:szCs w:val="21"/>
                <w:highlight w:val="none"/>
              </w:rPr>
            </w:pPr>
            <w:r>
              <w:rPr>
                <w:rFonts w:hint="eastAsia"/>
                <w:color w:val="auto"/>
                <w:szCs w:val="21"/>
                <w:highlight w:val="none"/>
              </w:rPr>
              <w:t>（元）</w:t>
            </w:r>
          </w:p>
        </w:tc>
        <w:tc>
          <w:tcPr>
            <w:tcW w:w="900" w:type="dxa"/>
            <w:noWrap/>
            <w:vAlign w:val="center"/>
          </w:tcPr>
          <w:p>
            <w:pPr>
              <w:spacing w:line="280" w:lineRule="exact"/>
              <w:jc w:val="center"/>
              <w:rPr>
                <w:color w:val="auto"/>
                <w:szCs w:val="21"/>
                <w:highlight w:val="none"/>
              </w:rPr>
            </w:pPr>
            <w:r>
              <w:rPr>
                <w:rFonts w:hint="eastAsia"/>
                <w:color w:val="auto"/>
                <w:szCs w:val="21"/>
                <w:highlight w:val="none"/>
              </w:rPr>
              <w:t xml:space="preserve">建筑安装工程费报价        </w:t>
            </w:r>
          </w:p>
          <w:p>
            <w:pPr>
              <w:spacing w:line="280" w:lineRule="exact"/>
              <w:jc w:val="center"/>
              <w:rPr>
                <w:color w:val="auto"/>
                <w:szCs w:val="21"/>
                <w:highlight w:val="none"/>
              </w:rPr>
            </w:pPr>
            <w:r>
              <w:rPr>
                <w:rFonts w:hint="eastAsia"/>
                <w:color w:val="auto"/>
                <w:szCs w:val="21"/>
                <w:highlight w:val="none"/>
              </w:rPr>
              <w:t>（元）</w:t>
            </w:r>
          </w:p>
          <w:p>
            <w:pPr>
              <w:spacing w:line="280" w:lineRule="exact"/>
              <w:jc w:val="center"/>
              <w:rPr>
                <w:color w:val="auto"/>
                <w:szCs w:val="21"/>
                <w:highlight w:val="none"/>
              </w:rPr>
            </w:pPr>
          </w:p>
        </w:tc>
        <w:tc>
          <w:tcPr>
            <w:tcW w:w="900" w:type="dxa"/>
            <w:noWrap/>
            <w:vAlign w:val="center"/>
          </w:tcPr>
          <w:p>
            <w:pPr>
              <w:spacing w:line="280" w:lineRule="exact"/>
              <w:jc w:val="center"/>
              <w:rPr>
                <w:color w:val="auto"/>
                <w:szCs w:val="21"/>
                <w:highlight w:val="none"/>
              </w:rPr>
            </w:pPr>
            <w:r>
              <w:rPr>
                <w:rFonts w:hint="eastAsia"/>
                <w:color w:val="auto"/>
                <w:szCs w:val="21"/>
                <w:highlight w:val="none"/>
              </w:rPr>
              <w:t>暂列费用报价</w:t>
            </w:r>
          </w:p>
          <w:p>
            <w:pPr>
              <w:spacing w:line="280" w:lineRule="exact"/>
              <w:jc w:val="center"/>
              <w:rPr>
                <w:color w:val="auto"/>
                <w:szCs w:val="21"/>
                <w:highlight w:val="none"/>
              </w:rPr>
            </w:pPr>
            <w:r>
              <w:rPr>
                <w:rFonts w:hint="eastAsia"/>
                <w:color w:val="auto"/>
                <w:szCs w:val="21"/>
                <w:highlight w:val="none"/>
              </w:rPr>
              <w:t>（元）</w:t>
            </w:r>
            <w:r>
              <w:rPr>
                <w:color w:val="auto"/>
                <w:szCs w:val="21"/>
                <w:highlight w:val="none"/>
              </w:rPr>
              <w:t>…</w:t>
            </w:r>
            <w:r>
              <w:rPr>
                <w:rFonts w:hint="eastAsia"/>
                <w:color w:val="auto"/>
                <w:szCs w:val="21"/>
                <w:highlight w:val="none"/>
              </w:rPr>
              <w:t>..</w:t>
            </w:r>
          </w:p>
        </w:tc>
        <w:tc>
          <w:tcPr>
            <w:tcW w:w="498" w:type="dxa"/>
            <w:vMerge w:val="continue"/>
            <w:noWrap/>
            <w:vAlign w:val="center"/>
          </w:tcPr>
          <w:p>
            <w:pPr>
              <w:spacing w:line="280" w:lineRule="exact"/>
              <w:jc w:val="center"/>
              <w:rPr>
                <w:color w:val="auto"/>
                <w:szCs w:val="21"/>
                <w:highlight w:val="none"/>
              </w:rPr>
            </w:pPr>
          </w:p>
        </w:tc>
        <w:tc>
          <w:tcPr>
            <w:tcW w:w="900" w:type="dxa"/>
            <w:vMerge w:val="continue"/>
            <w:noWrap/>
            <w:vAlign w:val="center"/>
          </w:tcPr>
          <w:p>
            <w:pPr>
              <w:spacing w:line="280" w:lineRule="exact"/>
              <w:jc w:val="center"/>
              <w:rPr>
                <w:color w:val="auto"/>
                <w:szCs w:val="21"/>
                <w:highlight w:val="none"/>
              </w:rPr>
            </w:pPr>
          </w:p>
        </w:tc>
        <w:tc>
          <w:tcPr>
            <w:tcW w:w="900" w:type="dxa"/>
            <w:vMerge w:val="continue"/>
            <w:noWrap/>
            <w:vAlign w:val="center"/>
          </w:tcPr>
          <w:p>
            <w:pPr>
              <w:spacing w:line="280" w:lineRule="exact"/>
              <w:jc w:val="center"/>
              <w:rPr>
                <w:color w:val="auto"/>
                <w:szCs w:val="21"/>
                <w:highlight w:val="none"/>
              </w:rPr>
            </w:pPr>
          </w:p>
        </w:tc>
        <w:tc>
          <w:tcPr>
            <w:tcW w:w="1122" w:type="dxa"/>
            <w:vMerge w:val="continue"/>
            <w:noWrap/>
            <w:vAlign w:val="center"/>
          </w:tcPr>
          <w:p>
            <w:pPr>
              <w:spacing w:line="28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noWrap/>
            <w:vAlign w:val="center"/>
          </w:tcPr>
          <w:p>
            <w:pPr>
              <w:spacing w:line="440" w:lineRule="exact"/>
              <w:jc w:val="center"/>
              <w:rPr>
                <w:rFonts w:eastAsia="黑体"/>
                <w:color w:val="auto"/>
                <w:highlight w:val="none"/>
              </w:rPr>
            </w:pPr>
            <w:r>
              <w:rPr>
                <w:rFonts w:eastAsia="黑体"/>
                <w:color w:val="auto"/>
                <w:highlight w:val="none"/>
              </w:rPr>
              <w:t>1</w:t>
            </w:r>
          </w:p>
        </w:tc>
        <w:tc>
          <w:tcPr>
            <w:tcW w:w="198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08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106" w:type="dxa"/>
            <w:noWrap/>
            <w:vAlign w:val="center"/>
          </w:tcPr>
          <w:p>
            <w:pPr>
              <w:spacing w:line="440" w:lineRule="exact"/>
              <w:jc w:val="center"/>
              <w:rPr>
                <w:color w:val="auto"/>
                <w:highlight w:val="none"/>
              </w:rPr>
            </w:pPr>
          </w:p>
        </w:tc>
        <w:tc>
          <w:tcPr>
            <w:tcW w:w="1080" w:type="dxa"/>
            <w:noWrap/>
            <w:vAlign w:val="center"/>
          </w:tcPr>
          <w:p>
            <w:pPr>
              <w:spacing w:line="440" w:lineRule="exact"/>
              <w:jc w:val="center"/>
              <w:rPr>
                <w:color w:val="auto"/>
                <w:highlight w:val="none"/>
              </w:rPr>
            </w:pPr>
          </w:p>
        </w:tc>
        <w:tc>
          <w:tcPr>
            <w:tcW w:w="3600" w:type="dxa"/>
            <w:gridSpan w:val="4"/>
            <w:noWrap/>
            <w:vAlign w:val="center"/>
          </w:tcPr>
          <w:p>
            <w:pPr>
              <w:spacing w:line="440" w:lineRule="exact"/>
              <w:jc w:val="center"/>
              <w:rPr>
                <w:color w:val="auto"/>
                <w:highlight w:val="none"/>
              </w:rPr>
            </w:pPr>
          </w:p>
        </w:tc>
        <w:tc>
          <w:tcPr>
            <w:tcW w:w="498"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122"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noWrap/>
            <w:vAlign w:val="center"/>
          </w:tcPr>
          <w:p>
            <w:pPr>
              <w:spacing w:line="440" w:lineRule="exact"/>
              <w:jc w:val="center"/>
              <w:rPr>
                <w:rFonts w:eastAsia="黑体"/>
                <w:color w:val="auto"/>
                <w:highlight w:val="none"/>
              </w:rPr>
            </w:pPr>
            <w:r>
              <w:rPr>
                <w:rFonts w:eastAsia="黑体"/>
                <w:color w:val="auto"/>
                <w:highlight w:val="none"/>
              </w:rPr>
              <w:t>2</w:t>
            </w:r>
          </w:p>
        </w:tc>
        <w:tc>
          <w:tcPr>
            <w:tcW w:w="198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08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106" w:type="dxa"/>
            <w:noWrap/>
            <w:vAlign w:val="center"/>
          </w:tcPr>
          <w:p>
            <w:pPr>
              <w:spacing w:line="440" w:lineRule="exact"/>
              <w:jc w:val="center"/>
              <w:rPr>
                <w:color w:val="auto"/>
                <w:highlight w:val="none"/>
              </w:rPr>
            </w:pPr>
          </w:p>
        </w:tc>
        <w:tc>
          <w:tcPr>
            <w:tcW w:w="1080" w:type="dxa"/>
            <w:noWrap/>
            <w:vAlign w:val="center"/>
          </w:tcPr>
          <w:p>
            <w:pPr>
              <w:spacing w:line="440" w:lineRule="exact"/>
              <w:jc w:val="center"/>
              <w:rPr>
                <w:color w:val="auto"/>
                <w:highlight w:val="none"/>
              </w:rPr>
            </w:pPr>
          </w:p>
        </w:tc>
        <w:tc>
          <w:tcPr>
            <w:tcW w:w="3600" w:type="dxa"/>
            <w:gridSpan w:val="4"/>
            <w:noWrap/>
            <w:vAlign w:val="center"/>
          </w:tcPr>
          <w:p>
            <w:pPr>
              <w:spacing w:line="440" w:lineRule="exact"/>
              <w:jc w:val="center"/>
              <w:rPr>
                <w:color w:val="auto"/>
                <w:highlight w:val="none"/>
              </w:rPr>
            </w:pPr>
          </w:p>
        </w:tc>
        <w:tc>
          <w:tcPr>
            <w:tcW w:w="498"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122"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noWrap/>
            <w:vAlign w:val="center"/>
          </w:tcPr>
          <w:p>
            <w:pPr>
              <w:spacing w:line="440" w:lineRule="exact"/>
              <w:jc w:val="center"/>
              <w:rPr>
                <w:rFonts w:eastAsia="黑体"/>
                <w:color w:val="auto"/>
                <w:highlight w:val="none"/>
              </w:rPr>
            </w:pPr>
            <w:r>
              <w:rPr>
                <w:rFonts w:eastAsia="黑体"/>
                <w:color w:val="auto"/>
                <w:highlight w:val="none"/>
              </w:rPr>
              <w:t>3</w:t>
            </w:r>
          </w:p>
        </w:tc>
        <w:tc>
          <w:tcPr>
            <w:tcW w:w="198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08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106" w:type="dxa"/>
            <w:noWrap/>
            <w:vAlign w:val="center"/>
          </w:tcPr>
          <w:p>
            <w:pPr>
              <w:spacing w:line="440" w:lineRule="exact"/>
              <w:jc w:val="center"/>
              <w:rPr>
                <w:color w:val="auto"/>
                <w:highlight w:val="none"/>
              </w:rPr>
            </w:pPr>
          </w:p>
        </w:tc>
        <w:tc>
          <w:tcPr>
            <w:tcW w:w="1080" w:type="dxa"/>
            <w:noWrap/>
            <w:vAlign w:val="center"/>
          </w:tcPr>
          <w:p>
            <w:pPr>
              <w:spacing w:line="440" w:lineRule="exact"/>
              <w:jc w:val="center"/>
              <w:rPr>
                <w:color w:val="auto"/>
                <w:highlight w:val="none"/>
              </w:rPr>
            </w:pPr>
          </w:p>
        </w:tc>
        <w:tc>
          <w:tcPr>
            <w:tcW w:w="3600" w:type="dxa"/>
            <w:gridSpan w:val="4"/>
            <w:noWrap/>
            <w:vAlign w:val="center"/>
          </w:tcPr>
          <w:p>
            <w:pPr>
              <w:spacing w:line="440" w:lineRule="exact"/>
              <w:jc w:val="center"/>
              <w:rPr>
                <w:color w:val="auto"/>
                <w:highlight w:val="none"/>
              </w:rPr>
            </w:pPr>
          </w:p>
        </w:tc>
        <w:tc>
          <w:tcPr>
            <w:tcW w:w="498"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122"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noWrap/>
            <w:vAlign w:val="center"/>
          </w:tcPr>
          <w:p>
            <w:pPr>
              <w:spacing w:line="440" w:lineRule="exact"/>
              <w:jc w:val="center"/>
              <w:rPr>
                <w:rFonts w:eastAsia="黑体"/>
                <w:color w:val="auto"/>
                <w:highlight w:val="none"/>
              </w:rPr>
            </w:pPr>
            <w:r>
              <w:rPr>
                <w:rFonts w:eastAsia="黑体"/>
                <w:color w:val="auto"/>
                <w:highlight w:val="none"/>
              </w:rPr>
              <w:t>4</w:t>
            </w:r>
          </w:p>
        </w:tc>
        <w:tc>
          <w:tcPr>
            <w:tcW w:w="198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08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106" w:type="dxa"/>
            <w:noWrap/>
            <w:vAlign w:val="center"/>
          </w:tcPr>
          <w:p>
            <w:pPr>
              <w:spacing w:line="440" w:lineRule="exact"/>
              <w:jc w:val="center"/>
              <w:rPr>
                <w:color w:val="auto"/>
                <w:highlight w:val="none"/>
              </w:rPr>
            </w:pPr>
          </w:p>
        </w:tc>
        <w:tc>
          <w:tcPr>
            <w:tcW w:w="1080" w:type="dxa"/>
            <w:noWrap/>
            <w:vAlign w:val="center"/>
          </w:tcPr>
          <w:p>
            <w:pPr>
              <w:spacing w:line="440" w:lineRule="exact"/>
              <w:jc w:val="center"/>
              <w:rPr>
                <w:color w:val="auto"/>
                <w:highlight w:val="none"/>
              </w:rPr>
            </w:pPr>
          </w:p>
        </w:tc>
        <w:tc>
          <w:tcPr>
            <w:tcW w:w="3600" w:type="dxa"/>
            <w:gridSpan w:val="4"/>
            <w:noWrap/>
            <w:vAlign w:val="center"/>
          </w:tcPr>
          <w:p>
            <w:pPr>
              <w:spacing w:line="440" w:lineRule="exact"/>
              <w:jc w:val="center"/>
              <w:rPr>
                <w:color w:val="auto"/>
                <w:highlight w:val="none"/>
              </w:rPr>
            </w:pPr>
          </w:p>
        </w:tc>
        <w:tc>
          <w:tcPr>
            <w:tcW w:w="498"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122"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97" w:type="dxa"/>
            <w:noWrap/>
            <w:vAlign w:val="center"/>
          </w:tcPr>
          <w:p>
            <w:pPr>
              <w:spacing w:line="440" w:lineRule="exact"/>
              <w:jc w:val="center"/>
              <w:rPr>
                <w:rFonts w:eastAsia="黑体"/>
                <w:color w:val="auto"/>
                <w:highlight w:val="none"/>
              </w:rPr>
            </w:pPr>
            <w:r>
              <w:rPr>
                <w:rFonts w:eastAsia="黑体"/>
                <w:color w:val="auto"/>
                <w:highlight w:val="none"/>
              </w:rPr>
              <w:t>7</w:t>
            </w:r>
          </w:p>
        </w:tc>
        <w:tc>
          <w:tcPr>
            <w:tcW w:w="198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08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106" w:type="dxa"/>
            <w:noWrap/>
            <w:vAlign w:val="center"/>
          </w:tcPr>
          <w:p>
            <w:pPr>
              <w:spacing w:line="440" w:lineRule="exact"/>
              <w:jc w:val="center"/>
              <w:rPr>
                <w:color w:val="auto"/>
                <w:highlight w:val="none"/>
              </w:rPr>
            </w:pPr>
          </w:p>
        </w:tc>
        <w:tc>
          <w:tcPr>
            <w:tcW w:w="1080" w:type="dxa"/>
            <w:noWrap/>
            <w:vAlign w:val="center"/>
          </w:tcPr>
          <w:p>
            <w:pPr>
              <w:spacing w:line="440" w:lineRule="exact"/>
              <w:jc w:val="center"/>
              <w:rPr>
                <w:color w:val="auto"/>
                <w:highlight w:val="none"/>
              </w:rPr>
            </w:pPr>
          </w:p>
        </w:tc>
        <w:tc>
          <w:tcPr>
            <w:tcW w:w="3600" w:type="dxa"/>
            <w:gridSpan w:val="4"/>
            <w:noWrap/>
            <w:vAlign w:val="center"/>
          </w:tcPr>
          <w:p>
            <w:pPr>
              <w:spacing w:line="440" w:lineRule="exact"/>
              <w:jc w:val="center"/>
              <w:rPr>
                <w:color w:val="auto"/>
                <w:highlight w:val="none"/>
              </w:rPr>
            </w:pPr>
          </w:p>
        </w:tc>
        <w:tc>
          <w:tcPr>
            <w:tcW w:w="498"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900" w:type="dxa"/>
            <w:noWrap/>
            <w:vAlign w:val="center"/>
          </w:tcPr>
          <w:p>
            <w:pPr>
              <w:spacing w:line="440" w:lineRule="exact"/>
              <w:jc w:val="center"/>
              <w:rPr>
                <w:color w:val="auto"/>
                <w:highlight w:val="none"/>
              </w:rPr>
            </w:pPr>
          </w:p>
        </w:tc>
        <w:tc>
          <w:tcPr>
            <w:tcW w:w="1122" w:type="dxa"/>
            <w:noWrap/>
            <w:vAlign w:val="center"/>
          </w:tcPr>
          <w:p>
            <w:pPr>
              <w:spacing w:line="440" w:lineRule="exact"/>
              <w:jc w:val="center"/>
              <w:rPr>
                <w:color w:val="auto"/>
                <w:highlight w:val="none"/>
              </w:rPr>
            </w:pPr>
          </w:p>
        </w:tc>
      </w:tr>
    </w:tbl>
    <w:p>
      <w:pPr>
        <w:spacing w:line="440" w:lineRule="exact"/>
        <w:rPr>
          <w:color w:val="auto"/>
          <w:szCs w:val="21"/>
          <w:highlight w:val="none"/>
        </w:rPr>
      </w:pPr>
      <w:r>
        <w:rPr>
          <w:rFonts w:eastAsia="楷体_GB2312"/>
          <w:color w:val="auto"/>
          <w:szCs w:val="21"/>
          <w:highlight w:val="none"/>
        </w:rPr>
        <w:t>【</w:t>
      </w:r>
      <w:r>
        <w:rPr>
          <w:rFonts w:eastAsia="楷体_GB2312"/>
          <w:color w:val="auto"/>
          <w:highlight w:val="none"/>
        </w:rPr>
        <w:t>备注：本表可根据</w:t>
      </w:r>
      <w:r>
        <w:rPr>
          <w:rFonts w:hint="eastAsia" w:eastAsia="楷体_GB2312"/>
          <w:color w:val="auto"/>
          <w:highlight w:val="none"/>
        </w:rPr>
        <w:t>实际</w:t>
      </w:r>
      <w:r>
        <w:rPr>
          <w:rFonts w:eastAsia="楷体_GB2312"/>
          <w:color w:val="auto"/>
          <w:highlight w:val="none"/>
        </w:rPr>
        <w:t>需要进行调整</w:t>
      </w:r>
      <w:r>
        <w:rPr>
          <w:rFonts w:eastAsia="楷体_GB2312"/>
          <w:color w:val="auto"/>
          <w:szCs w:val="21"/>
          <w:highlight w:val="none"/>
        </w:rPr>
        <w:t>】</w:t>
      </w:r>
      <w:r>
        <w:rPr>
          <w:rFonts w:hint="eastAsia"/>
          <w:color w:val="auto"/>
          <w:highlight w:val="none"/>
        </w:rPr>
        <w:t>　　</w:t>
      </w:r>
      <w:r>
        <w:rPr>
          <w:rFonts w:hint="eastAsia"/>
          <w:color w:val="auto"/>
          <w:szCs w:val="21"/>
          <w:highlight w:val="none"/>
        </w:rPr>
        <w:t>　</w:t>
      </w:r>
    </w:p>
    <w:p>
      <w:pPr>
        <w:spacing w:line="620" w:lineRule="exact"/>
        <w:rPr>
          <w:color w:val="auto"/>
          <w:szCs w:val="21"/>
          <w:highlight w:val="none"/>
        </w:rPr>
      </w:pPr>
      <w:r>
        <w:rPr>
          <w:color w:val="auto"/>
          <w:szCs w:val="21"/>
          <w:highlight w:val="none"/>
        </w:rPr>
        <w:t>招标人</w:t>
      </w:r>
      <w:r>
        <w:rPr>
          <w:rFonts w:hint="eastAsia"/>
          <w:color w:val="auto"/>
          <w:szCs w:val="21"/>
          <w:highlight w:val="none"/>
        </w:rPr>
        <w:t>授权</w:t>
      </w:r>
      <w:r>
        <w:rPr>
          <w:color w:val="auto"/>
          <w:szCs w:val="21"/>
          <w:highlight w:val="none"/>
        </w:rPr>
        <w:t>代表</w:t>
      </w:r>
      <w:r>
        <w:rPr>
          <w:rFonts w:hint="eastAsia"/>
          <w:color w:val="auto"/>
          <w:szCs w:val="21"/>
          <w:highlight w:val="none"/>
        </w:rPr>
        <w:t>（</w:t>
      </w:r>
      <w:r>
        <w:rPr>
          <w:rFonts w:hint="eastAsia" w:ascii="宋体" w:hAnsi="宋体"/>
          <w:color w:val="auto"/>
          <w:szCs w:val="44"/>
          <w:highlight w:val="none"/>
        </w:rPr>
        <w:t>签字）</w:t>
      </w:r>
      <w:r>
        <w:rPr>
          <w:color w:val="auto"/>
          <w:szCs w:val="21"/>
          <w:highlight w:val="none"/>
        </w:rPr>
        <w:t>：记录人</w:t>
      </w:r>
      <w:r>
        <w:rPr>
          <w:rFonts w:hint="eastAsia" w:ascii="宋体" w:hAnsi="宋体"/>
          <w:color w:val="auto"/>
          <w:szCs w:val="44"/>
          <w:highlight w:val="none"/>
        </w:rPr>
        <w:t>（签字）</w:t>
      </w:r>
      <w:r>
        <w:rPr>
          <w:color w:val="auto"/>
          <w:szCs w:val="21"/>
          <w:highlight w:val="none"/>
        </w:rPr>
        <w:t>： 监</w:t>
      </w:r>
      <w:r>
        <w:rPr>
          <w:rFonts w:hint="eastAsia"/>
          <w:color w:val="auto"/>
          <w:szCs w:val="21"/>
          <w:highlight w:val="none"/>
        </w:rPr>
        <w:t>督</w:t>
      </w:r>
      <w:r>
        <w:rPr>
          <w:color w:val="auto"/>
          <w:szCs w:val="21"/>
          <w:highlight w:val="none"/>
        </w:rPr>
        <w:t>人</w:t>
      </w:r>
      <w:r>
        <w:rPr>
          <w:rFonts w:hint="eastAsia"/>
          <w:color w:val="auto"/>
          <w:szCs w:val="21"/>
          <w:highlight w:val="none"/>
        </w:rPr>
        <w:t>员</w:t>
      </w:r>
      <w:r>
        <w:rPr>
          <w:rFonts w:hint="eastAsia" w:ascii="宋体" w:hAnsi="宋体"/>
          <w:color w:val="auto"/>
          <w:szCs w:val="44"/>
          <w:highlight w:val="none"/>
        </w:rPr>
        <w:t>（签字）</w:t>
      </w:r>
      <w:r>
        <w:rPr>
          <w:color w:val="auto"/>
          <w:szCs w:val="21"/>
          <w:highlight w:val="none"/>
        </w:rPr>
        <w:t>：</w:t>
      </w:r>
    </w:p>
    <w:p>
      <w:pPr>
        <w:rPr>
          <w:b/>
          <w:color w:val="auto"/>
          <w:highlight w:val="none"/>
        </w:rPr>
      </w:pPr>
    </w:p>
    <w:p>
      <w:pPr>
        <w:rPr>
          <w:b/>
          <w:color w:val="auto"/>
          <w:highlight w:val="none"/>
        </w:rPr>
      </w:pPr>
    </w:p>
    <w:p>
      <w:pPr>
        <w:rPr>
          <w:rFonts w:ascii="宋体" w:hAnsi="宋体"/>
          <w:b/>
          <w:color w:val="auto"/>
          <w:sz w:val="28"/>
          <w:szCs w:val="28"/>
          <w:highlight w:val="none"/>
        </w:rPr>
      </w:pPr>
    </w:p>
    <w:p>
      <w:pPr>
        <w:rPr>
          <w:rFonts w:ascii="宋体" w:hAnsi="宋体"/>
          <w:b/>
          <w:color w:val="auto"/>
          <w:sz w:val="28"/>
          <w:szCs w:val="28"/>
          <w:highlight w:val="none"/>
        </w:rPr>
      </w:pPr>
      <w:r>
        <w:rPr>
          <w:rFonts w:ascii="宋体" w:hAnsi="宋体"/>
          <w:b/>
          <w:color w:val="auto"/>
          <w:sz w:val="28"/>
          <w:szCs w:val="28"/>
          <w:highlight w:val="none"/>
        </w:rPr>
        <w:t>附表A－</w:t>
      </w:r>
      <w:r>
        <w:rPr>
          <w:rFonts w:hint="eastAsia" w:ascii="宋体" w:hAnsi="宋体"/>
          <w:b/>
          <w:color w:val="auto"/>
          <w:sz w:val="28"/>
          <w:szCs w:val="28"/>
          <w:highlight w:val="none"/>
        </w:rPr>
        <w:t>3</w:t>
      </w:r>
      <w:r>
        <w:rPr>
          <w:rFonts w:ascii="宋体" w:hAnsi="宋体"/>
          <w:b/>
          <w:color w:val="auto"/>
          <w:sz w:val="28"/>
          <w:szCs w:val="28"/>
          <w:highlight w:val="none"/>
        </w:rPr>
        <w:t>：评标委员会签到表</w:t>
      </w:r>
    </w:p>
    <w:p>
      <w:pPr>
        <w:jc w:val="center"/>
        <w:rPr>
          <w:rFonts w:ascii="宋体" w:hAnsi="宋体"/>
          <w:b/>
          <w:color w:val="auto"/>
          <w:sz w:val="28"/>
          <w:szCs w:val="28"/>
          <w:highlight w:val="none"/>
        </w:rPr>
      </w:pPr>
      <w:r>
        <w:rPr>
          <w:rFonts w:ascii="宋体" w:hAnsi="宋体"/>
          <w:b/>
          <w:color w:val="auto"/>
          <w:sz w:val="28"/>
          <w:szCs w:val="28"/>
          <w:highlight w:val="none"/>
        </w:rPr>
        <w:t>评标委员会签到表</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noWrap/>
            <w:vAlign w:val="center"/>
          </w:tcPr>
          <w:p>
            <w:pPr>
              <w:spacing w:line="440" w:lineRule="exact"/>
              <w:jc w:val="center"/>
              <w:rPr>
                <w:color w:val="auto"/>
                <w:highlight w:val="none"/>
              </w:rPr>
            </w:pPr>
            <w:r>
              <w:rPr>
                <w:color w:val="auto"/>
                <w:highlight w:val="none"/>
              </w:rPr>
              <w:t>序号</w:t>
            </w:r>
          </w:p>
        </w:tc>
        <w:tc>
          <w:tcPr>
            <w:tcW w:w="1624" w:type="dxa"/>
            <w:noWrap/>
            <w:vAlign w:val="center"/>
          </w:tcPr>
          <w:p>
            <w:pPr>
              <w:spacing w:line="440" w:lineRule="exact"/>
              <w:jc w:val="center"/>
              <w:rPr>
                <w:color w:val="auto"/>
                <w:highlight w:val="none"/>
              </w:rPr>
            </w:pPr>
            <w:r>
              <w:rPr>
                <w:color w:val="auto"/>
                <w:highlight w:val="none"/>
              </w:rPr>
              <w:t>姓名</w:t>
            </w:r>
          </w:p>
        </w:tc>
        <w:tc>
          <w:tcPr>
            <w:tcW w:w="1624" w:type="dxa"/>
            <w:noWrap/>
            <w:vAlign w:val="center"/>
          </w:tcPr>
          <w:p>
            <w:pPr>
              <w:spacing w:line="440" w:lineRule="exact"/>
              <w:jc w:val="center"/>
              <w:rPr>
                <w:color w:val="auto"/>
                <w:highlight w:val="none"/>
              </w:rPr>
            </w:pPr>
            <w:r>
              <w:rPr>
                <w:color w:val="auto"/>
                <w:highlight w:val="none"/>
              </w:rPr>
              <w:t>职称</w:t>
            </w:r>
          </w:p>
        </w:tc>
        <w:tc>
          <w:tcPr>
            <w:tcW w:w="4543" w:type="dxa"/>
            <w:noWrap/>
            <w:vAlign w:val="center"/>
          </w:tcPr>
          <w:p>
            <w:pPr>
              <w:spacing w:line="440" w:lineRule="exact"/>
              <w:jc w:val="center"/>
              <w:rPr>
                <w:color w:val="auto"/>
                <w:highlight w:val="none"/>
              </w:rPr>
            </w:pPr>
            <w:r>
              <w:rPr>
                <w:color w:val="auto"/>
                <w:highlight w:val="none"/>
              </w:rPr>
              <w:t>工作单位</w:t>
            </w:r>
          </w:p>
        </w:tc>
        <w:tc>
          <w:tcPr>
            <w:tcW w:w="1980" w:type="dxa"/>
            <w:noWrap/>
            <w:vAlign w:val="center"/>
          </w:tcPr>
          <w:p>
            <w:pPr>
              <w:spacing w:line="440" w:lineRule="exact"/>
              <w:jc w:val="center"/>
              <w:rPr>
                <w:color w:val="auto"/>
                <w:highlight w:val="none"/>
              </w:rPr>
            </w:pPr>
            <w:r>
              <w:rPr>
                <w:color w:val="auto"/>
                <w:highlight w:val="none"/>
              </w:rPr>
              <w:t>专家证号码</w:t>
            </w:r>
          </w:p>
        </w:tc>
        <w:tc>
          <w:tcPr>
            <w:tcW w:w="1912" w:type="dxa"/>
            <w:noWrap/>
            <w:vAlign w:val="center"/>
          </w:tcPr>
          <w:p>
            <w:pPr>
              <w:spacing w:line="440" w:lineRule="exact"/>
              <w:jc w:val="center"/>
              <w:rPr>
                <w:color w:val="auto"/>
                <w:highlight w:val="none"/>
              </w:rPr>
            </w:pPr>
            <w:r>
              <w:rPr>
                <w:rFonts w:hint="eastAsia"/>
                <w:color w:val="auto"/>
                <w:highlight w:val="none"/>
              </w:rPr>
              <w:t>联系电话</w:t>
            </w:r>
          </w:p>
        </w:tc>
        <w:tc>
          <w:tcPr>
            <w:tcW w:w="1688" w:type="dxa"/>
            <w:noWrap/>
            <w:vAlign w:val="center"/>
          </w:tcPr>
          <w:p>
            <w:pPr>
              <w:spacing w:line="440" w:lineRule="exact"/>
              <w:jc w:val="center"/>
              <w:rPr>
                <w:color w:val="auto"/>
                <w:highlight w:val="none"/>
              </w:rPr>
            </w:pPr>
            <w:r>
              <w:rPr>
                <w:color w:val="auto"/>
                <w:highlight w:val="none"/>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noWrap/>
            <w:vAlign w:val="center"/>
          </w:tcPr>
          <w:p>
            <w:pPr>
              <w:spacing w:line="440" w:lineRule="exact"/>
              <w:jc w:val="center"/>
              <w:rPr>
                <w:rFonts w:eastAsia="黑体"/>
                <w:color w:val="auto"/>
                <w:highlight w:val="none"/>
              </w:rPr>
            </w:pPr>
            <w:r>
              <w:rPr>
                <w:rFonts w:eastAsia="黑体"/>
                <w:color w:val="auto"/>
                <w:highlight w:val="none"/>
              </w:rPr>
              <w:t>1</w:t>
            </w:r>
          </w:p>
        </w:tc>
        <w:tc>
          <w:tcPr>
            <w:tcW w:w="1624" w:type="dxa"/>
            <w:noWrap/>
            <w:vAlign w:val="center"/>
          </w:tcPr>
          <w:p>
            <w:pPr>
              <w:spacing w:line="440" w:lineRule="exact"/>
              <w:jc w:val="center"/>
              <w:rPr>
                <w:color w:val="auto"/>
                <w:highlight w:val="none"/>
              </w:rPr>
            </w:pPr>
          </w:p>
        </w:tc>
        <w:tc>
          <w:tcPr>
            <w:tcW w:w="1624" w:type="dxa"/>
            <w:noWrap/>
            <w:vAlign w:val="center"/>
          </w:tcPr>
          <w:p>
            <w:pPr>
              <w:spacing w:line="440" w:lineRule="exact"/>
              <w:jc w:val="center"/>
              <w:rPr>
                <w:color w:val="auto"/>
                <w:highlight w:val="none"/>
              </w:rPr>
            </w:pPr>
          </w:p>
        </w:tc>
        <w:tc>
          <w:tcPr>
            <w:tcW w:w="4543" w:type="dxa"/>
            <w:noWrap/>
            <w:vAlign w:val="center"/>
          </w:tcPr>
          <w:p>
            <w:pPr>
              <w:spacing w:line="440" w:lineRule="exact"/>
              <w:jc w:val="center"/>
              <w:rPr>
                <w:color w:val="auto"/>
                <w:highlight w:val="none"/>
              </w:rPr>
            </w:pPr>
          </w:p>
        </w:tc>
        <w:tc>
          <w:tcPr>
            <w:tcW w:w="1980" w:type="dxa"/>
            <w:noWrap/>
            <w:vAlign w:val="center"/>
          </w:tcPr>
          <w:p>
            <w:pPr>
              <w:spacing w:line="440" w:lineRule="exact"/>
              <w:jc w:val="center"/>
              <w:rPr>
                <w:color w:val="auto"/>
                <w:highlight w:val="none"/>
              </w:rPr>
            </w:pPr>
          </w:p>
        </w:tc>
        <w:tc>
          <w:tcPr>
            <w:tcW w:w="1912" w:type="dxa"/>
            <w:noWrap/>
            <w:vAlign w:val="center"/>
          </w:tcPr>
          <w:p>
            <w:pPr>
              <w:spacing w:line="440" w:lineRule="exact"/>
              <w:jc w:val="center"/>
              <w:rPr>
                <w:color w:val="auto"/>
                <w:highlight w:val="none"/>
              </w:rPr>
            </w:pPr>
          </w:p>
        </w:tc>
        <w:tc>
          <w:tcPr>
            <w:tcW w:w="168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noWrap/>
            <w:vAlign w:val="center"/>
          </w:tcPr>
          <w:p>
            <w:pPr>
              <w:spacing w:line="440" w:lineRule="exact"/>
              <w:jc w:val="center"/>
              <w:rPr>
                <w:rFonts w:eastAsia="黑体"/>
                <w:color w:val="auto"/>
                <w:highlight w:val="none"/>
              </w:rPr>
            </w:pPr>
            <w:r>
              <w:rPr>
                <w:rFonts w:eastAsia="黑体"/>
                <w:color w:val="auto"/>
                <w:highlight w:val="none"/>
              </w:rPr>
              <w:t>2</w:t>
            </w:r>
          </w:p>
        </w:tc>
        <w:tc>
          <w:tcPr>
            <w:tcW w:w="1624" w:type="dxa"/>
            <w:noWrap/>
            <w:vAlign w:val="center"/>
          </w:tcPr>
          <w:p>
            <w:pPr>
              <w:spacing w:line="440" w:lineRule="exact"/>
              <w:jc w:val="center"/>
              <w:rPr>
                <w:color w:val="auto"/>
                <w:highlight w:val="none"/>
              </w:rPr>
            </w:pPr>
          </w:p>
        </w:tc>
        <w:tc>
          <w:tcPr>
            <w:tcW w:w="1624" w:type="dxa"/>
            <w:noWrap/>
            <w:vAlign w:val="center"/>
          </w:tcPr>
          <w:p>
            <w:pPr>
              <w:spacing w:line="440" w:lineRule="exact"/>
              <w:jc w:val="center"/>
              <w:rPr>
                <w:color w:val="auto"/>
                <w:highlight w:val="none"/>
              </w:rPr>
            </w:pPr>
          </w:p>
        </w:tc>
        <w:tc>
          <w:tcPr>
            <w:tcW w:w="4543" w:type="dxa"/>
            <w:noWrap/>
            <w:vAlign w:val="center"/>
          </w:tcPr>
          <w:p>
            <w:pPr>
              <w:spacing w:line="440" w:lineRule="exact"/>
              <w:jc w:val="center"/>
              <w:rPr>
                <w:color w:val="auto"/>
                <w:highlight w:val="none"/>
              </w:rPr>
            </w:pPr>
          </w:p>
        </w:tc>
        <w:tc>
          <w:tcPr>
            <w:tcW w:w="1980" w:type="dxa"/>
            <w:noWrap/>
            <w:vAlign w:val="center"/>
          </w:tcPr>
          <w:p>
            <w:pPr>
              <w:spacing w:line="440" w:lineRule="exact"/>
              <w:jc w:val="center"/>
              <w:rPr>
                <w:color w:val="auto"/>
                <w:highlight w:val="none"/>
              </w:rPr>
            </w:pPr>
          </w:p>
        </w:tc>
        <w:tc>
          <w:tcPr>
            <w:tcW w:w="1912" w:type="dxa"/>
            <w:noWrap/>
            <w:vAlign w:val="center"/>
          </w:tcPr>
          <w:p>
            <w:pPr>
              <w:spacing w:line="440" w:lineRule="exact"/>
              <w:jc w:val="center"/>
              <w:rPr>
                <w:color w:val="auto"/>
                <w:highlight w:val="none"/>
              </w:rPr>
            </w:pPr>
          </w:p>
        </w:tc>
        <w:tc>
          <w:tcPr>
            <w:tcW w:w="168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noWrap/>
            <w:vAlign w:val="center"/>
          </w:tcPr>
          <w:p>
            <w:pPr>
              <w:spacing w:line="440" w:lineRule="exact"/>
              <w:jc w:val="center"/>
              <w:rPr>
                <w:rFonts w:eastAsia="黑体"/>
                <w:color w:val="auto"/>
                <w:highlight w:val="none"/>
              </w:rPr>
            </w:pPr>
            <w:r>
              <w:rPr>
                <w:rFonts w:eastAsia="黑体"/>
                <w:color w:val="auto"/>
                <w:highlight w:val="none"/>
              </w:rPr>
              <w:t>3</w:t>
            </w:r>
          </w:p>
        </w:tc>
        <w:tc>
          <w:tcPr>
            <w:tcW w:w="1624" w:type="dxa"/>
            <w:noWrap/>
            <w:vAlign w:val="center"/>
          </w:tcPr>
          <w:p>
            <w:pPr>
              <w:spacing w:line="440" w:lineRule="exact"/>
              <w:jc w:val="center"/>
              <w:rPr>
                <w:color w:val="auto"/>
                <w:highlight w:val="none"/>
              </w:rPr>
            </w:pPr>
          </w:p>
        </w:tc>
        <w:tc>
          <w:tcPr>
            <w:tcW w:w="1624" w:type="dxa"/>
            <w:noWrap/>
            <w:vAlign w:val="center"/>
          </w:tcPr>
          <w:p>
            <w:pPr>
              <w:spacing w:line="440" w:lineRule="exact"/>
              <w:jc w:val="center"/>
              <w:rPr>
                <w:color w:val="auto"/>
                <w:highlight w:val="none"/>
              </w:rPr>
            </w:pPr>
          </w:p>
        </w:tc>
        <w:tc>
          <w:tcPr>
            <w:tcW w:w="4543" w:type="dxa"/>
            <w:noWrap/>
            <w:vAlign w:val="center"/>
          </w:tcPr>
          <w:p>
            <w:pPr>
              <w:spacing w:line="440" w:lineRule="exact"/>
              <w:jc w:val="center"/>
              <w:rPr>
                <w:color w:val="auto"/>
                <w:highlight w:val="none"/>
              </w:rPr>
            </w:pPr>
          </w:p>
        </w:tc>
        <w:tc>
          <w:tcPr>
            <w:tcW w:w="1980" w:type="dxa"/>
            <w:noWrap/>
            <w:vAlign w:val="center"/>
          </w:tcPr>
          <w:p>
            <w:pPr>
              <w:spacing w:line="440" w:lineRule="exact"/>
              <w:jc w:val="center"/>
              <w:rPr>
                <w:color w:val="auto"/>
                <w:highlight w:val="none"/>
              </w:rPr>
            </w:pPr>
          </w:p>
        </w:tc>
        <w:tc>
          <w:tcPr>
            <w:tcW w:w="1912" w:type="dxa"/>
            <w:noWrap/>
            <w:vAlign w:val="center"/>
          </w:tcPr>
          <w:p>
            <w:pPr>
              <w:spacing w:line="440" w:lineRule="exact"/>
              <w:jc w:val="center"/>
              <w:rPr>
                <w:color w:val="auto"/>
                <w:highlight w:val="none"/>
              </w:rPr>
            </w:pPr>
          </w:p>
        </w:tc>
        <w:tc>
          <w:tcPr>
            <w:tcW w:w="168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noWrap/>
            <w:vAlign w:val="center"/>
          </w:tcPr>
          <w:p>
            <w:pPr>
              <w:spacing w:line="440" w:lineRule="exact"/>
              <w:jc w:val="center"/>
              <w:rPr>
                <w:rFonts w:eastAsia="黑体"/>
                <w:color w:val="auto"/>
                <w:highlight w:val="none"/>
              </w:rPr>
            </w:pPr>
            <w:r>
              <w:rPr>
                <w:rFonts w:eastAsia="黑体"/>
                <w:color w:val="auto"/>
                <w:highlight w:val="none"/>
              </w:rPr>
              <w:t>4</w:t>
            </w:r>
          </w:p>
        </w:tc>
        <w:tc>
          <w:tcPr>
            <w:tcW w:w="1624" w:type="dxa"/>
            <w:noWrap/>
            <w:vAlign w:val="center"/>
          </w:tcPr>
          <w:p>
            <w:pPr>
              <w:spacing w:line="440" w:lineRule="exact"/>
              <w:jc w:val="center"/>
              <w:rPr>
                <w:color w:val="auto"/>
                <w:highlight w:val="none"/>
              </w:rPr>
            </w:pPr>
          </w:p>
        </w:tc>
        <w:tc>
          <w:tcPr>
            <w:tcW w:w="1624" w:type="dxa"/>
            <w:noWrap/>
            <w:vAlign w:val="center"/>
          </w:tcPr>
          <w:p>
            <w:pPr>
              <w:spacing w:line="440" w:lineRule="exact"/>
              <w:jc w:val="center"/>
              <w:rPr>
                <w:color w:val="auto"/>
                <w:highlight w:val="none"/>
              </w:rPr>
            </w:pPr>
          </w:p>
        </w:tc>
        <w:tc>
          <w:tcPr>
            <w:tcW w:w="4543" w:type="dxa"/>
            <w:noWrap/>
            <w:vAlign w:val="center"/>
          </w:tcPr>
          <w:p>
            <w:pPr>
              <w:spacing w:line="440" w:lineRule="exact"/>
              <w:jc w:val="center"/>
              <w:rPr>
                <w:color w:val="auto"/>
                <w:highlight w:val="none"/>
              </w:rPr>
            </w:pPr>
          </w:p>
        </w:tc>
        <w:tc>
          <w:tcPr>
            <w:tcW w:w="1980" w:type="dxa"/>
            <w:noWrap/>
            <w:vAlign w:val="center"/>
          </w:tcPr>
          <w:p>
            <w:pPr>
              <w:spacing w:line="440" w:lineRule="exact"/>
              <w:jc w:val="center"/>
              <w:rPr>
                <w:color w:val="auto"/>
                <w:highlight w:val="none"/>
              </w:rPr>
            </w:pPr>
          </w:p>
        </w:tc>
        <w:tc>
          <w:tcPr>
            <w:tcW w:w="1912" w:type="dxa"/>
            <w:noWrap/>
            <w:vAlign w:val="center"/>
          </w:tcPr>
          <w:p>
            <w:pPr>
              <w:spacing w:line="440" w:lineRule="exact"/>
              <w:jc w:val="center"/>
              <w:rPr>
                <w:color w:val="auto"/>
                <w:highlight w:val="none"/>
              </w:rPr>
            </w:pPr>
          </w:p>
        </w:tc>
        <w:tc>
          <w:tcPr>
            <w:tcW w:w="168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noWrap/>
            <w:vAlign w:val="center"/>
          </w:tcPr>
          <w:p>
            <w:pPr>
              <w:spacing w:line="440" w:lineRule="exact"/>
              <w:jc w:val="center"/>
              <w:rPr>
                <w:rFonts w:eastAsia="黑体"/>
                <w:color w:val="auto"/>
                <w:highlight w:val="none"/>
              </w:rPr>
            </w:pPr>
            <w:r>
              <w:rPr>
                <w:rFonts w:eastAsia="黑体"/>
                <w:color w:val="auto"/>
                <w:highlight w:val="none"/>
              </w:rPr>
              <w:t>5</w:t>
            </w:r>
          </w:p>
        </w:tc>
        <w:tc>
          <w:tcPr>
            <w:tcW w:w="1624" w:type="dxa"/>
            <w:noWrap/>
            <w:vAlign w:val="center"/>
          </w:tcPr>
          <w:p>
            <w:pPr>
              <w:spacing w:line="440" w:lineRule="exact"/>
              <w:jc w:val="center"/>
              <w:rPr>
                <w:color w:val="auto"/>
                <w:highlight w:val="none"/>
              </w:rPr>
            </w:pPr>
          </w:p>
        </w:tc>
        <w:tc>
          <w:tcPr>
            <w:tcW w:w="1624" w:type="dxa"/>
            <w:noWrap/>
            <w:vAlign w:val="center"/>
          </w:tcPr>
          <w:p>
            <w:pPr>
              <w:spacing w:line="440" w:lineRule="exact"/>
              <w:jc w:val="center"/>
              <w:rPr>
                <w:color w:val="auto"/>
                <w:highlight w:val="none"/>
              </w:rPr>
            </w:pPr>
          </w:p>
        </w:tc>
        <w:tc>
          <w:tcPr>
            <w:tcW w:w="4543" w:type="dxa"/>
            <w:noWrap/>
            <w:vAlign w:val="center"/>
          </w:tcPr>
          <w:p>
            <w:pPr>
              <w:spacing w:line="440" w:lineRule="exact"/>
              <w:jc w:val="center"/>
              <w:rPr>
                <w:color w:val="auto"/>
                <w:highlight w:val="none"/>
              </w:rPr>
            </w:pPr>
          </w:p>
        </w:tc>
        <w:tc>
          <w:tcPr>
            <w:tcW w:w="1980" w:type="dxa"/>
            <w:noWrap/>
            <w:vAlign w:val="center"/>
          </w:tcPr>
          <w:p>
            <w:pPr>
              <w:spacing w:line="440" w:lineRule="exact"/>
              <w:jc w:val="center"/>
              <w:rPr>
                <w:color w:val="auto"/>
                <w:highlight w:val="none"/>
              </w:rPr>
            </w:pPr>
          </w:p>
        </w:tc>
        <w:tc>
          <w:tcPr>
            <w:tcW w:w="1912" w:type="dxa"/>
            <w:noWrap/>
            <w:vAlign w:val="center"/>
          </w:tcPr>
          <w:p>
            <w:pPr>
              <w:spacing w:line="440" w:lineRule="exact"/>
              <w:jc w:val="center"/>
              <w:rPr>
                <w:color w:val="auto"/>
                <w:highlight w:val="none"/>
              </w:rPr>
            </w:pPr>
          </w:p>
        </w:tc>
        <w:tc>
          <w:tcPr>
            <w:tcW w:w="168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noWrap/>
            <w:vAlign w:val="center"/>
          </w:tcPr>
          <w:p>
            <w:pPr>
              <w:spacing w:line="440" w:lineRule="exact"/>
              <w:jc w:val="center"/>
              <w:rPr>
                <w:rFonts w:eastAsia="黑体"/>
                <w:color w:val="auto"/>
                <w:highlight w:val="none"/>
              </w:rPr>
            </w:pPr>
            <w:r>
              <w:rPr>
                <w:rFonts w:eastAsia="黑体"/>
                <w:color w:val="auto"/>
                <w:highlight w:val="none"/>
              </w:rPr>
              <w:t>6</w:t>
            </w:r>
          </w:p>
        </w:tc>
        <w:tc>
          <w:tcPr>
            <w:tcW w:w="1624" w:type="dxa"/>
            <w:noWrap/>
            <w:vAlign w:val="center"/>
          </w:tcPr>
          <w:p>
            <w:pPr>
              <w:spacing w:line="440" w:lineRule="exact"/>
              <w:jc w:val="center"/>
              <w:rPr>
                <w:color w:val="auto"/>
                <w:highlight w:val="none"/>
              </w:rPr>
            </w:pPr>
          </w:p>
        </w:tc>
        <w:tc>
          <w:tcPr>
            <w:tcW w:w="1624" w:type="dxa"/>
            <w:noWrap/>
            <w:vAlign w:val="center"/>
          </w:tcPr>
          <w:p>
            <w:pPr>
              <w:spacing w:line="440" w:lineRule="exact"/>
              <w:jc w:val="center"/>
              <w:rPr>
                <w:color w:val="auto"/>
                <w:highlight w:val="none"/>
              </w:rPr>
            </w:pPr>
          </w:p>
        </w:tc>
        <w:tc>
          <w:tcPr>
            <w:tcW w:w="4543" w:type="dxa"/>
            <w:noWrap/>
            <w:vAlign w:val="center"/>
          </w:tcPr>
          <w:p>
            <w:pPr>
              <w:spacing w:line="440" w:lineRule="exact"/>
              <w:jc w:val="center"/>
              <w:rPr>
                <w:color w:val="auto"/>
                <w:highlight w:val="none"/>
              </w:rPr>
            </w:pPr>
          </w:p>
        </w:tc>
        <w:tc>
          <w:tcPr>
            <w:tcW w:w="1980" w:type="dxa"/>
            <w:noWrap/>
            <w:vAlign w:val="center"/>
          </w:tcPr>
          <w:p>
            <w:pPr>
              <w:spacing w:line="440" w:lineRule="exact"/>
              <w:jc w:val="center"/>
              <w:rPr>
                <w:color w:val="auto"/>
                <w:highlight w:val="none"/>
              </w:rPr>
            </w:pPr>
          </w:p>
        </w:tc>
        <w:tc>
          <w:tcPr>
            <w:tcW w:w="1912" w:type="dxa"/>
            <w:noWrap/>
            <w:vAlign w:val="center"/>
          </w:tcPr>
          <w:p>
            <w:pPr>
              <w:spacing w:line="440" w:lineRule="exact"/>
              <w:jc w:val="center"/>
              <w:rPr>
                <w:color w:val="auto"/>
                <w:highlight w:val="none"/>
              </w:rPr>
            </w:pPr>
          </w:p>
        </w:tc>
        <w:tc>
          <w:tcPr>
            <w:tcW w:w="168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noWrap/>
            <w:vAlign w:val="center"/>
          </w:tcPr>
          <w:p>
            <w:pPr>
              <w:spacing w:line="440" w:lineRule="exact"/>
              <w:jc w:val="center"/>
              <w:rPr>
                <w:rFonts w:eastAsia="黑体"/>
                <w:color w:val="auto"/>
                <w:highlight w:val="none"/>
              </w:rPr>
            </w:pPr>
            <w:r>
              <w:rPr>
                <w:rFonts w:eastAsia="黑体"/>
                <w:color w:val="auto"/>
                <w:highlight w:val="none"/>
              </w:rPr>
              <w:t>7</w:t>
            </w:r>
          </w:p>
        </w:tc>
        <w:tc>
          <w:tcPr>
            <w:tcW w:w="1624" w:type="dxa"/>
            <w:noWrap/>
            <w:vAlign w:val="center"/>
          </w:tcPr>
          <w:p>
            <w:pPr>
              <w:spacing w:line="440" w:lineRule="exact"/>
              <w:jc w:val="center"/>
              <w:rPr>
                <w:color w:val="auto"/>
                <w:highlight w:val="none"/>
              </w:rPr>
            </w:pPr>
          </w:p>
        </w:tc>
        <w:tc>
          <w:tcPr>
            <w:tcW w:w="1624" w:type="dxa"/>
            <w:noWrap/>
            <w:vAlign w:val="center"/>
          </w:tcPr>
          <w:p>
            <w:pPr>
              <w:spacing w:line="440" w:lineRule="exact"/>
              <w:jc w:val="center"/>
              <w:rPr>
                <w:color w:val="auto"/>
                <w:highlight w:val="none"/>
              </w:rPr>
            </w:pPr>
          </w:p>
        </w:tc>
        <w:tc>
          <w:tcPr>
            <w:tcW w:w="4543" w:type="dxa"/>
            <w:noWrap/>
            <w:vAlign w:val="center"/>
          </w:tcPr>
          <w:p>
            <w:pPr>
              <w:spacing w:line="440" w:lineRule="exact"/>
              <w:jc w:val="center"/>
              <w:rPr>
                <w:color w:val="auto"/>
                <w:highlight w:val="none"/>
              </w:rPr>
            </w:pPr>
          </w:p>
        </w:tc>
        <w:tc>
          <w:tcPr>
            <w:tcW w:w="1980" w:type="dxa"/>
            <w:noWrap/>
            <w:vAlign w:val="center"/>
          </w:tcPr>
          <w:p>
            <w:pPr>
              <w:spacing w:line="440" w:lineRule="exact"/>
              <w:jc w:val="center"/>
              <w:rPr>
                <w:color w:val="auto"/>
                <w:highlight w:val="none"/>
              </w:rPr>
            </w:pPr>
          </w:p>
        </w:tc>
        <w:tc>
          <w:tcPr>
            <w:tcW w:w="1912" w:type="dxa"/>
            <w:noWrap/>
            <w:vAlign w:val="center"/>
          </w:tcPr>
          <w:p>
            <w:pPr>
              <w:spacing w:line="440" w:lineRule="exact"/>
              <w:jc w:val="center"/>
              <w:rPr>
                <w:color w:val="auto"/>
                <w:highlight w:val="none"/>
              </w:rPr>
            </w:pPr>
          </w:p>
        </w:tc>
        <w:tc>
          <w:tcPr>
            <w:tcW w:w="1688" w:type="dxa"/>
            <w:noWrap/>
            <w:vAlign w:val="center"/>
          </w:tcPr>
          <w:p>
            <w:pPr>
              <w:spacing w:line="440" w:lineRule="exact"/>
              <w:jc w:val="center"/>
              <w:rPr>
                <w:color w:val="auto"/>
                <w:highlight w:val="none"/>
              </w:rPr>
            </w:pPr>
          </w:p>
        </w:tc>
      </w:tr>
    </w:tbl>
    <w:p>
      <w:pPr>
        <w:spacing w:line="440" w:lineRule="exact"/>
        <w:rPr>
          <w:color w:val="auto"/>
          <w:highlight w:val="none"/>
        </w:rPr>
      </w:pPr>
    </w:p>
    <w:p>
      <w:pPr>
        <w:spacing w:line="440" w:lineRule="exact"/>
        <w:rPr>
          <w:rFonts w:eastAsia="黑体"/>
          <w:color w:val="auto"/>
          <w:highlight w:val="none"/>
        </w:rPr>
        <w:sectPr>
          <w:pgSz w:w="16838" w:h="11906" w:orient="landscape"/>
          <w:pgMar w:top="1440" w:right="1440" w:bottom="1440" w:left="1797" w:header="851" w:footer="851" w:gutter="0"/>
          <w:cols w:space="720" w:num="1"/>
          <w:docGrid w:linePitch="312" w:charSpace="0"/>
        </w:sectPr>
      </w:pPr>
    </w:p>
    <w:p>
      <w:pPr>
        <w:rPr>
          <w:rFonts w:ascii="宋体" w:hAnsi="宋体"/>
          <w:b/>
          <w:color w:val="auto"/>
          <w:sz w:val="28"/>
          <w:szCs w:val="28"/>
          <w:highlight w:val="none"/>
        </w:rPr>
      </w:pPr>
      <w:r>
        <w:rPr>
          <w:rFonts w:ascii="宋体" w:hAnsi="宋体"/>
          <w:b/>
          <w:color w:val="auto"/>
          <w:sz w:val="28"/>
          <w:szCs w:val="28"/>
          <w:highlight w:val="none"/>
        </w:rPr>
        <w:t>附表A-</w:t>
      </w:r>
      <w:r>
        <w:rPr>
          <w:rFonts w:hint="eastAsia" w:ascii="宋体" w:hAnsi="宋体"/>
          <w:b/>
          <w:color w:val="auto"/>
          <w:sz w:val="28"/>
          <w:szCs w:val="28"/>
          <w:highlight w:val="none"/>
        </w:rPr>
        <w:t>4</w:t>
      </w:r>
      <w:r>
        <w:rPr>
          <w:rFonts w:ascii="宋体" w:hAnsi="宋体"/>
          <w:b/>
          <w:color w:val="auto"/>
          <w:sz w:val="28"/>
          <w:szCs w:val="28"/>
          <w:highlight w:val="none"/>
        </w:rPr>
        <w:t>：资格评审记录表</w:t>
      </w:r>
    </w:p>
    <w:p>
      <w:pPr>
        <w:jc w:val="center"/>
        <w:rPr>
          <w:rFonts w:ascii="宋体" w:hAnsi="宋体"/>
          <w:b/>
          <w:color w:val="auto"/>
          <w:sz w:val="28"/>
          <w:szCs w:val="28"/>
          <w:highlight w:val="none"/>
        </w:rPr>
      </w:pPr>
      <w:r>
        <w:rPr>
          <w:rFonts w:ascii="宋体" w:hAnsi="宋体"/>
          <w:b/>
          <w:color w:val="auto"/>
          <w:sz w:val="28"/>
          <w:szCs w:val="28"/>
          <w:highlight w:val="none"/>
        </w:rPr>
        <w:t>资格评审记录表</w:t>
      </w:r>
      <w:r>
        <w:rPr>
          <w:rFonts w:hint="eastAsia" w:ascii="宋体" w:hAnsi="宋体"/>
          <w:b/>
          <w:color w:val="auto"/>
          <w:sz w:val="28"/>
          <w:szCs w:val="28"/>
          <w:highlight w:val="none"/>
        </w:rPr>
        <w:t>（合格制）</w:t>
      </w:r>
    </w:p>
    <w:p>
      <w:pPr>
        <w:spacing w:after="72" w:afterLines="30" w:line="36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625"/>
        <w:gridCol w:w="992"/>
        <w:gridCol w:w="1417"/>
        <w:gridCol w:w="1134"/>
        <w:gridCol w:w="1276"/>
        <w:gridCol w:w="1134"/>
        <w:gridCol w:w="1134"/>
        <w:gridCol w:w="1418"/>
        <w:gridCol w:w="113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color w:val="auto"/>
                <w:highlight w:val="none"/>
              </w:rPr>
              <w:t>序号</w:t>
            </w:r>
          </w:p>
        </w:tc>
        <w:tc>
          <w:tcPr>
            <w:tcW w:w="2625" w:type="dxa"/>
            <w:noWrap/>
            <w:vAlign w:val="center"/>
          </w:tcPr>
          <w:p>
            <w:pPr>
              <w:spacing w:after="72" w:afterLines="30" w:line="320" w:lineRule="exact"/>
              <w:jc w:val="center"/>
              <w:rPr>
                <w:color w:val="auto"/>
                <w:highlight w:val="none"/>
              </w:rPr>
            </w:pPr>
            <w:r>
              <w:rPr>
                <w:color w:val="auto"/>
                <w:highlight w:val="none"/>
              </w:rPr>
              <w:t>评审因素</w:t>
            </w:r>
          </w:p>
        </w:tc>
        <w:tc>
          <w:tcPr>
            <w:tcW w:w="10806" w:type="dxa"/>
            <w:gridSpan w:val="9"/>
            <w:noWrap/>
          </w:tcPr>
          <w:p>
            <w:pPr>
              <w:spacing w:after="72" w:afterLines="30" w:line="320" w:lineRule="exact"/>
              <w:jc w:val="center"/>
              <w:rPr>
                <w:color w:val="auto"/>
                <w:highlight w:val="none"/>
              </w:rPr>
            </w:pPr>
            <w:r>
              <w:rPr>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1</w:t>
            </w:r>
          </w:p>
        </w:tc>
        <w:tc>
          <w:tcPr>
            <w:tcW w:w="2625" w:type="dxa"/>
            <w:noWrap/>
            <w:vAlign w:val="center"/>
          </w:tcPr>
          <w:p>
            <w:pPr>
              <w:spacing w:after="72" w:afterLines="30" w:line="320" w:lineRule="exact"/>
              <w:jc w:val="center"/>
              <w:rPr>
                <w:color w:val="auto"/>
                <w:highlight w:val="none"/>
              </w:rPr>
            </w:pPr>
            <w:r>
              <w:rPr>
                <w:color w:val="auto"/>
                <w:highlight w:val="none"/>
              </w:rPr>
              <w:t>投标文件签署</w:t>
            </w:r>
          </w:p>
        </w:tc>
        <w:tc>
          <w:tcPr>
            <w:tcW w:w="992" w:type="dxa"/>
            <w:noWrap/>
          </w:tcPr>
          <w:p>
            <w:pPr>
              <w:spacing w:after="72" w:afterLines="30" w:line="320" w:lineRule="exact"/>
              <w:jc w:val="center"/>
              <w:rPr>
                <w:color w:val="auto"/>
                <w:highlight w:val="none"/>
              </w:rPr>
            </w:pPr>
          </w:p>
        </w:tc>
        <w:tc>
          <w:tcPr>
            <w:tcW w:w="1417" w:type="dxa"/>
            <w:noWrap/>
          </w:tcPr>
          <w:p>
            <w:pPr>
              <w:spacing w:after="72" w:afterLines="30" w:line="320" w:lineRule="exact"/>
              <w:jc w:val="center"/>
              <w:rPr>
                <w:color w:val="auto"/>
                <w:highlight w:val="none"/>
              </w:rPr>
            </w:pPr>
          </w:p>
        </w:tc>
        <w:tc>
          <w:tcPr>
            <w:tcW w:w="1134" w:type="dxa"/>
            <w:noWrap/>
          </w:tcPr>
          <w:p>
            <w:pPr>
              <w:spacing w:after="72" w:afterLines="30" w:line="320" w:lineRule="exact"/>
              <w:jc w:val="center"/>
              <w:rPr>
                <w:color w:val="auto"/>
                <w:highlight w:val="none"/>
              </w:rPr>
            </w:pPr>
          </w:p>
        </w:tc>
        <w:tc>
          <w:tcPr>
            <w:tcW w:w="1276" w:type="dxa"/>
            <w:noWrap/>
          </w:tcPr>
          <w:p>
            <w:pPr>
              <w:spacing w:after="72" w:afterLines="30" w:line="320" w:lineRule="exact"/>
              <w:jc w:val="center"/>
              <w:rPr>
                <w:color w:val="auto"/>
                <w:highlight w:val="none"/>
              </w:rPr>
            </w:pPr>
          </w:p>
        </w:tc>
        <w:tc>
          <w:tcPr>
            <w:tcW w:w="1134" w:type="dxa"/>
            <w:noWrap/>
          </w:tcPr>
          <w:p>
            <w:pPr>
              <w:spacing w:after="72" w:afterLines="30" w:line="320" w:lineRule="exact"/>
              <w:jc w:val="center"/>
              <w:rPr>
                <w:color w:val="auto"/>
                <w:highlight w:val="none"/>
              </w:rPr>
            </w:pPr>
          </w:p>
        </w:tc>
        <w:tc>
          <w:tcPr>
            <w:tcW w:w="1134" w:type="dxa"/>
            <w:noWrap/>
          </w:tcPr>
          <w:p>
            <w:pPr>
              <w:spacing w:after="72" w:afterLines="30" w:line="320" w:lineRule="exact"/>
              <w:jc w:val="center"/>
              <w:rPr>
                <w:color w:val="auto"/>
                <w:highlight w:val="none"/>
              </w:rPr>
            </w:pPr>
          </w:p>
        </w:tc>
        <w:tc>
          <w:tcPr>
            <w:tcW w:w="1418" w:type="dxa"/>
            <w:noWrap/>
          </w:tcPr>
          <w:p>
            <w:pPr>
              <w:spacing w:after="72" w:afterLines="30" w:line="320" w:lineRule="exact"/>
              <w:jc w:val="center"/>
              <w:rPr>
                <w:color w:val="auto"/>
                <w:highlight w:val="none"/>
              </w:rPr>
            </w:pPr>
          </w:p>
        </w:tc>
        <w:tc>
          <w:tcPr>
            <w:tcW w:w="1134" w:type="dxa"/>
            <w:noWrap/>
          </w:tcPr>
          <w:p>
            <w:pPr>
              <w:spacing w:after="72" w:afterLines="30" w:line="320" w:lineRule="exact"/>
              <w:jc w:val="center"/>
              <w:rPr>
                <w:color w:val="auto"/>
                <w:highlight w:val="none"/>
              </w:rPr>
            </w:pPr>
          </w:p>
        </w:tc>
        <w:tc>
          <w:tcPr>
            <w:tcW w:w="1167" w:type="dxa"/>
            <w:noWrap/>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2</w:t>
            </w:r>
          </w:p>
        </w:tc>
        <w:tc>
          <w:tcPr>
            <w:tcW w:w="2625" w:type="dxa"/>
            <w:noWrap/>
            <w:vAlign w:val="center"/>
          </w:tcPr>
          <w:p>
            <w:pPr>
              <w:spacing w:line="320" w:lineRule="exact"/>
              <w:jc w:val="center"/>
              <w:rPr>
                <w:color w:val="auto"/>
                <w:szCs w:val="21"/>
                <w:highlight w:val="none"/>
              </w:rPr>
            </w:pPr>
            <w:r>
              <w:rPr>
                <w:color w:val="auto"/>
                <w:szCs w:val="21"/>
                <w:highlight w:val="none"/>
              </w:rPr>
              <w:t>营业执照</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3</w:t>
            </w:r>
          </w:p>
        </w:tc>
        <w:tc>
          <w:tcPr>
            <w:tcW w:w="2625" w:type="dxa"/>
            <w:noWrap/>
            <w:vAlign w:val="center"/>
          </w:tcPr>
          <w:p>
            <w:pPr>
              <w:spacing w:line="320" w:lineRule="exact"/>
              <w:jc w:val="center"/>
              <w:rPr>
                <w:color w:val="auto"/>
                <w:szCs w:val="21"/>
                <w:highlight w:val="none"/>
              </w:rPr>
            </w:pPr>
            <w:r>
              <w:rPr>
                <w:color w:val="auto"/>
                <w:szCs w:val="21"/>
                <w:highlight w:val="none"/>
              </w:rPr>
              <w:t>资质等级</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4</w:t>
            </w:r>
          </w:p>
        </w:tc>
        <w:tc>
          <w:tcPr>
            <w:tcW w:w="2625" w:type="dxa"/>
            <w:noWrap/>
            <w:vAlign w:val="center"/>
          </w:tcPr>
          <w:p>
            <w:pPr>
              <w:spacing w:line="320" w:lineRule="exact"/>
              <w:jc w:val="center"/>
              <w:rPr>
                <w:color w:val="auto"/>
                <w:szCs w:val="21"/>
                <w:highlight w:val="none"/>
              </w:rPr>
            </w:pPr>
            <w:r>
              <w:rPr>
                <w:rFonts w:hint="eastAsia"/>
                <w:color w:val="auto"/>
                <w:szCs w:val="21"/>
                <w:highlight w:val="none"/>
              </w:rPr>
              <w:t>安全生产许可证</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5</w:t>
            </w:r>
          </w:p>
        </w:tc>
        <w:tc>
          <w:tcPr>
            <w:tcW w:w="2625" w:type="dxa"/>
            <w:noWrap/>
            <w:vAlign w:val="center"/>
          </w:tcPr>
          <w:p>
            <w:pPr>
              <w:spacing w:line="320" w:lineRule="exact"/>
              <w:jc w:val="center"/>
              <w:rPr>
                <w:color w:val="auto"/>
                <w:szCs w:val="21"/>
                <w:highlight w:val="none"/>
              </w:rPr>
            </w:pPr>
            <w:r>
              <w:rPr>
                <w:color w:val="auto"/>
                <w:szCs w:val="21"/>
                <w:highlight w:val="none"/>
              </w:rPr>
              <w:t>财务</w:t>
            </w:r>
            <w:r>
              <w:rPr>
                <w:rFonts w:hint="eastAsia"/>
                <w:color w:val="auto"/>
                <w:szCs w:val="21"/>
                <w:highlight w:val="none"/>
              </w:rPr>
              <w:t>要求</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6</w:t>
            </w:r>
          </w:p>
        </w:tc>
        <w:tc>
          <w:tcPr>
            <w:tcW w:w="2625" w:type="dxa"/>
            <w:noWrap/>
            <w:vAlign w:val="center"/>
          </w:tcPr>
          <w:p>
            <w:pPr>
              <w:spacing w:line="320" w:lineRule="exact"/>
              <w:jc w:val="center"/>
              <w:rPr>
                <w:color w:val="auto"/>
                <w:szCs w:val="21"/>
                <w:highlight w:val="none"/>
              </w:rPr>
            </w:pPr>
            <w:r>
              <w:rPr>
                <w:color w:val="auto"/>
                <w:szCs w:val="21"/>
                <w:highlight w:val="none"/>
              </w:rPr>
              <w:t>信誉</w:t>
            </w:r>
            <w:r>
              <w:rPr>
                <w:rFonts w:hint="eastAsia"/>
                <w:color w:val="auto"/>
                <w:szCs w:val="21"/>
                <w:highlight w:val="none"/>
              </w:rPr>
              <w:t>要求</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7</w:t>
            </w:r>
          </w:p>
        </w:tc>
        <w:tc>
          <w:tcPr>
            <w:tcW w:w="2625" w:type="dxa"/>
            <w:noWrap/>
            <w:vAlign w:val="center"/>
          </w:tcPr>
          <w:p>
            <w:pPr>
              <w:spacing w:line="320" w:lineRule="exact"/>
              <w:jc w:val="center"/>
              <w:rPr>
                <w:color w:val="auto"/>
                <w:szCs w:val="21"/>
                <w:highlight w:val="none"/>
              </w:rPr>
            </w:pPr>
            <w:r>
              <w:rPr>
                <w:color w:val="auto"/>
                <w:szCs w:val="21"/>
                <w:highlight w:val="none"/>
              </w:rPr>
              <w:t>项目</w:t>
            </w:r>
            <w:r>
              <w:rPr>
                <w:rFonts w:hint="eastAsia"/>
                <w:color w:val="auto"/>
                <w:szCs w:val="21"/>
                <w:highlight w:val="none"/>
              </w:rPr>
              <w:t>总负责人</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8</w:t>
            </w:r>
          </w:p>
        </w:tc>
        <w:tc>
          <w:tcPr>
            <w:tcW w:w="2625" w:type="dxa"/>
            <w:noWrap/>
            <w:vAlign w:val="center"/>
          </w:tcPr>
          <w:p>
            <w:pPr>
              <w:spacing w:line="320" w:lineRule="exact"/>
              <w:jc w:val="center"/>
              <w:rPr>
                <w:color w:val="auto"/>
                <w:szCs w:val="21"/>
                <w:highlight w:val="none"/>
              </w:rPr>
            </w:pPr>
            <w:r>
              <w:rPr>
                <w:rFonts w:hint="eastAsia"/>
                <w:color w:val="auto"/>
                <w:szCs w:val="21"/>
                <w:highlight w:val="none"/>
              </w:rPr>
              <w:t>项目设计负责人</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9</w:t>
            </w:r>
          </w:p>
        </w:tc>
        <w:tc>
          <w:tcPr>
            <w:tcW w:w="2625" w:type="dxa"/>
            <w:noWrap/>
            <w:vAlign w:val="center"/>
          </w:tcPr>
          <w:p>
            <w:pPr>
              <w:spacing w:line="320" w:lineRule="exact"/>
              <w:jc w:val="center"/>
              <w:rPr>
                <w:color w:val="auto"/>
                <w:szCs w:val="21"/>
                <w:highlight w:val="none"/>
              </w:rPr>
            </w:pPr>
            <w:r>
              <w:rPr>
                <w:rFonts w:hint="eastAsia"/>
                <w:color w:val="auto"/>
                <w:highlight w:val="none"/>
              </w:rPr>
              <w:t>项目采购负责人（如有）</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10</w:t>
            </w:r>
          </w:p>
        </w:tc>
        <w:tc>
          <w:tcPr>
            <w:tcW w:w="2625" w:type="dxa"/>
            <w:noWrap/>
            <w:vAlign w:val="center"/>
          </w:tcPr>
          <w:p>
            <w:pPr>
              <w:spacing w:line="320" w:lineRule="exact"/>
              <w:jc w:val="center"/>
              <w:rPr>
                <w:color w:val="auto"/>
                <w:szCs w:val="21"/>
                <w:highlight w:val="none"/>
              </w:rPr>
            </w:pPr>
            <w:r>
              <w:rPr>
                <w:rFonts w:hint="eastAsia"/>
                <w:color w:val="auto"/>
                <w:szCs w:val="21"/>
                <w:highlight w:val="none"/>
              </w:rPr>
              <w:t>项目经理</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11</w:t>
            </w:r>
          </w:p>
        </w:tc>
        <w:tc>
          <w:tcPr>
            <w:tcW w:w="2625" w:type="dxa"/>
            <w:noWrap/>
            <w:vAlign w:val="center"/>
          </w:tcPr>
          <w:p>
            <w:pPr>
              <w:spacing w:line="320" w:lineRule="exact"/>
              <w:jc w:val="center"/>
              <w:rPr>
                <w:color w:val="auto"/>
                <w:highlight w:val="none"/>
              </w:rPr>
            </w:pPr>
            <w:r>
              <w:rPr>
                <w:rFonts w:hint="eastAsia"/>
                <w:color w:val="auto"/>
                <w:highlight w:val="none"/>
              </w:rPr>
              <w:t>项目现场施工</w:t>
            </w:r>
            <w:r>
              <w:rPr>
                <w:color w:val="auto"/>
                <w:highlight w:val="none"/>
              </w:rPr>
              <w:t>专</w:t>
            </w:r>
            <w:r>
              <w:rPr>
                <w:rFonts w:hint="eastAsia"/>
                <w:color w:val="auto"/>
                <w:highlight w:val="none"/>
              </w:rPr>
              <w:t>职安全员</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12</w:t>
            </w:r>
          </w:p>
        </w:tc>
        <w:tc>
          <w:tcPr>
            <w:tcW w:w="2625" w:type="dxa"/>
            <w:noWrap/>
            <w:vAlign w:val="center"/>
          </w:tcPr>
          <w:p>
            <w:pPr>
              <w:spacing w:line="320" w:lineRule="exact"/>
              <w:jc w:val="center"/>
              <w:rPr>
                <w:color w:val="auto"/>
                <w:szCs w:val="21"/>
                <w:highlight w:val="none"/>
              </w:rPr>
            </w:pPr>
            <w:r>
              <w:rPr>
                <w:rFonts w:hint="eastAsia"/>
                <w:color w:val="auto"/>
                <w:szCs w:val="21"/>
                <w:highlight w:val="none"/>
              </w:rPr>
              <w:t>其他要求</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13</w:t>
            </w:r>
          </w:p>
        </w:tc>
        <w:tc>
          <w:tcPr>
            <w:tcW w:w="2625" w:type="dxa"/>
            <w:noWrap/>
            <w:vAlign w:val="center"/>
          </w:tcPr>
          <w:p>
            <w:pPr>
              <w:spacing w:line="320" w:lineRule="exact"/>
              <w:jc w:val="center"/>
              <w:rPr>
                <w:color w:val="auto"/>
                <w:szCs w:val="21"/>
                <w:highlight w:val="none"/>
              </w:rPr>
            </w:pPr>
            <w:r>
              <w:rPr>
                <w:color w:val="auto"/>
                <w:szCs w:val="21"/>
                <w:highlight w:val="none"/>
              </w:rPr>
              <w:t>联合体投标人</w:t>
            </w:r>
            <w:r>
              <w:rPr>
                <w:rFonts w:hint="eastAsia"/>
                <w:color w:val="auto"/>
                <w:szCs w:val="21"/>
                <w:highlight w:val="none"/>
              </w:rPr>
              <w:t>（如有）</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noWrap/>
            <w:vAlign w:val="center"/>
          </w:tcPr>
          <w:p>
            <w:pPr>
              <w:spacing w:after="72" w:afterLines="30" w:line="320" w:lineRule="exact"/>
              <w:jc w:val="center"/>
              <w:rPr>
                <w:color w:val="auto"/>
                <w:highlight w:val="none"/>
              </w:rPr>
            </w:pPr>
            <w:r>
              <w:rPr>
                <w:rFonts w:hint="eastAsia"/>
                <w:color w:val="auto"/>
                <w:highlight w:val="none"/>
              </w:rPr>
              <w:t>14</w:t>
            </w:r>
          </w:p>
        </w:tc>
        <w:tc>
          <w:tcPr>
            <w:tcW w:w="2625" w:type="dxa"/>
            <w:noWrap/>
            <w:vAlign w:val="center"/>
          </w:tcPr>
          <w:p>
            <w:pPr>
              <w:spacing w:line="320" w:lineRule="exact"/>
              <w:jc w:val="center"/>
              <w:rPr>
                <w:color w:val="auto"/>
                <w:szCs w:val="21"/>
                <w:highlight w:val="none"/>
              </w:rPr>
            </w:pPr>
            <w:r>
              <w:rPr>
                <w:rFonts w:hint="eastAsia"/>
                <w:color w:val="auto"/>
                <w:szCs w:val="21"/>
                <w:highlight w:val="none"/>
              </w:rPr>
              <w:t>投标保证金</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369" w:type="dxa"/>
            <w:gridSpan w:val="2"/>
            <w:noWrap/>
          </w:tcPr>
          <w:p>
            <w:pPr>
              <w:spacing w:after="72" w:afterLines="30" w:line="320" w:lineRule="exact"/>
              <w:jc w:val="center"/>
              <w:rPr>
                <w:color w:val="auto"/>
                <w:szCs w:val="21"/>
                <w:highlight w:val="none"/>
              </w:rPr>
            </w:pPr>
            <w:r>
              <w:rPr>
                <w:color w:val="auto"/>
                <w:szCs w:val="21"/>
                <w:highlight w:val="none"/>
              </w:rPr>
              <w:t>是否通过评审</w:t>
            </w:r>
          </w:p>
        </w:tc>
        <w:tc>
          <w:tcPr>
            <w:tcW w:w="992" w:type="dxa"/>
            <w:noWrap/>
            <w:vAlign w:val="center"/>
          </w:tcPr>
          <w:p>
            <w:pPr>
              <w:spacing w:after="72" w:afterLines="30" w:line="320" w:lineRule="exact"/>
              <w:jc w:val="center"/>
              <w:rPr>
                <w:color w:val="auto"/>
                <w:highlight w:val="none"/>
              </w:rPr>
            </w:pPr>
          </w:p>
        </w:tc>
        <w:tc>
          <w:tcPr>
            <w:tcW w:w="1417"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276"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418" w:type="dxa"/>
            <w:noWrap/>
            <w:vAlign w:val="center"/>
          </w:tcPr>
          <w:p>
            <w:pPr>
              <w:spacing w:after="72" w:afterLines="30" w:line="320" w:lineRule="exact"/>
              <w:jc w:val="center"/>
              <w:rPr>
                <w:color w:val="auto"/>
                <w:highlight w:val="none"/>
              </w:rPr>
            </w:pPr>
          </w:p>
        </w:tc>
        <w:tc>
          <w:tcPr>
            <w:tcW w:w="1134" w:type="dxa"/>
            <w:noWrap/>
            <w:vAlign w:val="center"/>
          </w:tcPr>
          <w:p>
            <w:pPr>
              <w:spacing w:after="72" w:afterLines="30" w:line="320" w:lineRule="exact"/>
              <w:jc w:val="center"/>
              <w:rPr>
                <w:color w:val="auto"/>
                <w:highlight w:val="none"/>
              </w:rPr>
            </w:pPr>
          </w:p>
        </w:tc>
        <w:tc>
          <w:tcPr>
            <w:tcW w:w="1167" w:type="dxa"/>
            <w:noWrap/>
            <w:vAlign w:val="center"/>
          </w:tcPr>
          <w:p>
            <w:pPr>
              <w:spacing w:after="72" w:afterLines="30" w:line="320" w:lineRule="exact"/>
              <w:jc w:val="center"/>
              <w:rPr>
                <w:color w:val="auto"/>
                <w:highlight w:val="none"/>
              </w:rPr>
            </w:pPr>
          </w:p>
        </w:tc>
      </w:tr>
    </w:tbl>
    <w:p>
      <w:pPr>
        <w:spacing w:line="240" w:lineRule="exact"/>
        <w:rPr>
          <w:rFonts w:eastAsia="楷体_GB2312"/>
          <w:color w:val="auto"/>
          <w:highlight w:val="none"/>
        </w:rPr>
      </w:pPr>
      <w:r>
        <w:rPr>
          <w:rFonts w:eastAsia="楷体_GB2312"/>
          <w:color w:val="auto"/>
          <w:szCs w:val="21"/>
          <w:highlight w:val="none"/>
        </w:rPr>
        <w:t>【</w:t>
      </w:r>
      <w:r>
        <w:rPr>
          <w:rFonts w:eastAsia="楷体_GB2312"/>
          <w:color w:val="auto"/>
          <w:highlight w:val="none"/>
        </w:rPr>
        <w:t>备注：根据评分办法的资格</w:t>
      </w:r>
      <w:r>
        <w:rPr>
          <w:rFonts w:hint="eastAsia" w:eastAsia="楷体_GB2312"/>
          <w:color w:val="auto"/>
          <w:highlight w:val="none"/>
        </w:rPr>
        <w:t>评审</w:t>
      </w:r>
      <w:r>
        <w:rPr>
          <w:rFonts w:eastAsia="楷体_GB2312"/>
          <w:color w:val="auto"/>
          <w:highlight w:val="none"/>
        </w:rPr>
        <w:t>标准调整本表</w:t>
      </w:r>
      <w:r>
        <w:rPr>
          <w:rFonts w:eastAsia="楷体_GB2312"/>
          <w:color w:val="auto"/>
          <w:szCs w:val="21"/>
          <w:highlight w:val="none"/>
        </w:rPr>
        <w:t>】</w:t>
      </w:r>
    </w:p>
    <w:p>
      <w:pPr>
        <w:spacing w:line="240" w:lineRule="exact"/>
        <w:rPr>
          <w:color w:val="auto"/>
          <w:highlight w:val="none"/>
        </w:rPr>
        <w:sectPr>
          <w:type w:val="continuous"/>
          <w:pgSz w:w="16840" w:h="11907" w:orient="landscape"/>
          <w:pgMar w:top="1440" w:right="1440" w:bottom="1091" w:left="1797" w:header="851" w:footer="851" w:gutter="0"/>
          <w:cols w:space="720" w:num="1"/>
          <w:docGrid w:linePitch="312" w:charSpace="0"/>
        </w:sectPr>
      </w:pPr>
      <w:r>
        <w:rPr>
          <w:rFonts w:hint="eastAsia"/>
          <w:color w:val="auto"/>
          <w:highlight w:val="none"/>
        </w:rPr>
        <w:t>评标委员会全体成员</w:t>
      </w:r>
      <w:r>
        <w:rPr>
          <w:color w:val="auto"/>
          <w:highlight w:val="none"/>
        </w:rPr>
        <w:t>签名：                                                                        日期：        年     月     日</w:t>
      </w:r>
    </w:p>
    <w:p>
      <w:pPr>
        <w:rPr>
          <w:b/>
          <w:color w:val="auto"/>
          <w:highlight w:val="none"/>
        </w:rPr>
      </w:pPr>
      <w:r>
        <w:rPr>
          <w:b/>
          <w:color w:val="auto"/>
          <w:highlight w:val="none"/>
        </w:rPr>
        <w:br w:type="page"/>
      </w:r>
      <w:r>
        <w:rPr>
          <w:rFonts w:ascii="宋体" w:hAnsi="宋体"/>
          <w:b/>
          <w:color w:val="auto"/>
          <w:sz w:val="28"/>
          <w:szCs w:val="28"/>
          <w:highlight w:val="none"/>
        </w:rPr>
        <w:t>附表A-</w:t>
      </w:r>
      <w:r>
        <w:rPr>
          <w:rFonts w:hint="eastAsia" w:ascii="宋体" w:hAnsi="宋体"/>
          <w:b/>
          <w:color w:val="auto"/>
          <w:sz w:val="28"/>
          <w:szCs w:val="28"/>
          <w:highlight w:val="none"/>
        </w:rPr>
        <w:t>5</w:t>
      </w:r>
      <w:r>
        <w:rPr>
          <w:rFonts w:ascii="宋体" w:hAnsi="宋体"/>
          <w:b/>
          <w:color w:val="auto"/>
          <w:sz w:val="28"/>
          <w:szCs w:val="28"/>
          <w:highlight w:val="none"/>
        </w:rPr>
        <w:t>：形式评审记录表</w:t>
      </w:r>
    </w:p>
    <w:p>
      <w:pPr>
        <w:jc w:val="center"/>
        <w:rPr>
          <w:rFonts w:ascii="宋体" w:hAnsi="宋体"/>
          <w:b/>
          <w:color w:val="auto"/>
          <w:sz w:val="28"/>
          <w:szCs w:val="28"/>
          <w:highlight w:val="none"/>
        </w:rPr>
      </w:pPr>
      <w:r>
        <w:rPr>
          <w:rFonts w:ascii="宋体" w:hAnsi="宋体"/>
          <w:b/>
          <w:color w:val="auto"/>
          <w:sz w:val="28"/>
          <w:szCs w:val="28"/>
          <w:highlight w:val="none"/>
        </w:rPr>
        <w:t>形式评审记录表</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12" w:type="dxa"/>
            <w:noWrap/>
            <w:vAlign w:val="center"/>
          </w:tcPr>
          <w:p>
            <w:pPr>
              <w:spacing w:after="72" w:afterLines="30" w:line="440" w:lineRule="exact"/>
              <w:jc w:val="center"/>
              <w:rPr>
                <w:color w:val="auto"/>
                <w:highlight w:val="none"/>
              </w:rPr>
            </w:pPr>
            <w:r>
              <w:rPr>
                <w:color w:val="auto"/>
                <w:highlight w:val="none"/>
              </w:rPr>
              <w:t>序号</w:t>
            </w:r>
          </w:p>
        </w:tc>
        <w:tc>
          <w:tcPr>
            <w:tcW w:w="2156" w:type="dxa"/>
            <w:noWrap/>
            <w:vAlign w:val="center"/>
          </w:tcPr>
          <w:p>
            <w:pPr>
              <w:spacing w:line="440" w:lineRule="exact"/>
              <w:jc w:val="center"/>
              <w:rPr>
                <w:color w:val="auto"/>
                <w:highlight w:val="none"/>
              </w:rPr>
            </w:pPr>
            <w:r>
              <w:rPr>
                <w:color w:val="auto"/>
                <w:highlight w:val="none"/>
              </w:rPr>
              <w:t>评审因素</w:t>
            </w:r>
          </w:p>
        </w:tc>
        <w:tc>
          <w:tcPr>
            <w:tcW w:w="10776" w:type="dxa"/>
            <w:gridSpan w:val="9"/>
            <w:noWrap/>
            <w:vAlign w:val="center"/>
          </w:tcPr>
          <w:p>
            <w:pPr>
              <w:spacing w:line="440" w:lineRule="exact"/>
              <w:jc w:val="center"/>
              <w:rPr>
                <w:color w:val="auto"/>
                <w:highlight w:val="none"/>
              </w:rPr>
            </w:pPr>
            <w:r>
              <w:rPr>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noWrap/>
            <w:vAlign w:val="center"/>
          </w:tcPr>
          <w:p>
            <w:pPr>
              <w:spacing w:line="440" w:lineRule="exact"/>
              <w:jc w:val="center"/>
              <w:rPr>
                <w:rFonts w:eastAsia="黑体"/>
                <w:color w:val="auto"/>
                <w:highlight w:val="none"/>
              </w:rPr>
            </w:pPr>
            <w:r>
              <w:rPr>
                <w:rFonts w:hint="eastAsia" w:eastAsia="黑体"/>
                <w:color w:val="auto"/>
                <w:highlight w:val="none"/>
              </w:rPr>
              <w:t>1</w:t>
            </w:r>
          </w:p>
        </w:tc>
        <w:tc>
          <w:tcPr>
            <w:tcW w:w="2156" w:type="dxa"/>
            <w:noWrap/>
            <w:vAlign w:val="center"/>
          </w:tcPr>
          <w:p>
            <w:pPr>
              <w:spacing w:line="440" w:lineRule="exact"/>
              <w:jc w:val="center"/>
              <w:rPr>
                <w:color w:val="auto"/>
                <w:szCs w:val="21"/>
                <w:highlight w:val="none"/>
              </w:rPr>
            </w:pPr>
            <w:r>
              <w:rPr>
                <w:rFonts w:hint="eastAsia"/>
                <w:color w:val="auto"/>
                <w:szCs w:val="21"/>
                <w:highlight w:val="none"/>
              </w:rPr>
              <w:t>投标人名称</w:t>
            </w: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noWrap/>
            <w:vAlign w:val="center"/>
          </w:tcPr>
          <w:p>
            <w:pPr>
              <w:spacing w:line="440" w:lineRule="exact"/>
              <w:jc w:val="center"/>
              <w:rPr>
                <w:rFonts w:eastAsia="黑体"/>
                <w:color w:val="auto"/>
                <w:highlight w:val="none"/>
              </w:rPr>
            </w:pPr>
            <w:r>
              <w:rPr>
                <w:rFonts w:hint="eastAsia" w:eastAsia="黑体"/>
                <w:color w:val="auto"/>
                <w:highlight w:val="none"/>
              </w:rPr>
              <w:t>2</w:t>
            </w:r>
          </w:p>
        </w:tc>
        <w:tc>
          <w:tcPr>
            <w:tcW w:w="2156" w:type="dxa"/>
            <w:noWrap/>
            <w:vAlign w:val="center"/>
          </w:tcPr>
          <w:p>
            <w:pPr>
              <w:spacing w:line="440" w:lineRule="exact"/>
              <w:jc w:val="center"/>
              <w:rPr>
                <w:color w:val="auto"/>
                <w:szCs w:val="21"/>
                <w:highlight w:val="none"/>
              </w:rPr>
            </w:pPr>
            <w:r>
              <w:rPr>
                <w:color w:val="auto"/>
                <w:szCs w:val="21"/>
                <w:highlight w:val="none"/>
              </w:rPr>
              <w:t>投标函签字盖章</w:t>
            </w: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noWrap/>
            <w:vAlign w:val="center"/>
          </w:tcPr>
          <w:p>
            <w:pPr>
              <w:spacing w:line="440" w:lineRule="exact"/>
              <w:jc w:val="center"/>
              <w:rPr>
                <w:rFonts w:eastAsia="黑体"/>
                <w:color w:val="auto"/>
                <w:highlight w:val="none"/>
              </w:rPr>
            </w:pPr>
            <w:r>
              <w:rPr>
                <w:rFonts w:hint="eastAsia" w:eastAsia="黑体"/>
                <w:color w:val="auto"/>
                <w:highlight w:val="none"/>
              </w:rPr>
              <w:t>3</w:t>
            </w:r>
          </w:p>
        </w:tc>
        <w:tc>
          <w:tcPr>
            <w:tcW w:w="2156" w:type="dxa"/>
            <w:noWrap/>
            <w:vAlign w:val="center"/>
          </w:tcPr>
          <w:p>
            <w:pPr>
              <w:spacing w:line="440" w:lineRule="exact"/>
              <w:jc w:val="center"/>
              <w:rPr>
                <w:color w:val="auto"/>
                <w:szCs w:val="21"/>
                <w:highlight w:val="none"/>
              </w:rPr>
            </w:pPr>
            <w:r>
              <w:rPr>
                <w:color w:val="auto"/>
                <w:szCs w:val="21"/>
                <w:highlight w:val="none"/>
              </w:rPr>
              <w:t>投标文件格式</w:t>
            </w: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noWrap/>
            <w:vAlign w:val="center"/>
          </w:tcPr>
          <w:p>
            <w:pPr>
              <w:spacing w:line="440" w:lineRule="exact"/>
              <w:jc w:val="center"/>
              <w:rPr>
                <w:rFonts w:eastAsia="黑体"/>
                <w:color w:val="auto"/>
                <w:highlight w:val="none"/>
              </w:rPr>
            </w:pPr>
            <w:r>
              <w:rPr>
                <w:rFonts w:hint="eastAsia" w:eastAsia="黑体"/>
                <w:color w:val="auto"/>
                <w:highlight w:val="none"/>
              </w:rPr>
              <w:t>4</w:t>
            </w:r>
          </w:p>
        </w:tc>
        <w:tc>
          <w:tcPr>
            <w:tcW w:w="2156" w:type="dxa"/>
            <w:noWrap/>
            <w:vAlign w:val="center"/>
          </w:tcPr>
          <w:p>
            <w:pPr>
              <w:spacing w:line="440" w:lineRule="exact"/>
              <w:jc w:val="center"/>
              <w:rPr>
                <w:color w:val="auto"/>
                <w:szCs w:val="21"/>
                <w:highlight w:val="none"/>
              </w:rPr>
            </w:pPr>
            <w:r>
              <w:rPr>
                <w:color w:val="auto"/>
                <w:szCs w:val="21"/>
                <w:highlight w:val="none"/>
              </w:rPr>
              <w:t>联合体投标人</w:t>
            </w: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noWrap/>
            <w:vAlign w:val="center"/>
          </w:tcPr>
          <w:p>
            <w:pPr>
              <w:spacing w:line="440" w:lineRule="exact"/>
              <w:jc w:val="center"/>
              <w:rPr>
                <w:rFonts w:eastAsia="黑体"/>
                <w:color w:val="auto"/>
                <w:highlight w:val="none"/>
              </w:rPr>
            </w:pPr>
            <w:r>
              <w:rPr>
                <w:rFonts w:hint="eastAsia" w:eastAsia="黑体"/>
                <w:color w:val="auto"/>
                <w:highlight w:val="none"/>
              </w:rPr>
              <w:t>5</w:t>
            </w:r>
          </w:p>
        </w:tc>
        <w:tc>
          <w:tcPr>
            <w:tcW w:w="2156" w:type="dxa"/>
            <w:noWrap/>
            <w:vAlign w:val="center"/>
          </w:tcPr>
          <w:p>
            <w:pPr>
              <w:spacing w:line="440" w:lineRule="exact"/>
              <w:jc w:val="center"/>
              <w:rPr>
                <w:color w:val="auto"/>
                <w:szCs w:val="21"/>
                <w:highlight w:val="none"/>
              </w:rPr>
            </w:pPr>
            <w:r>
              <w:rPr>
                <w:color w:val="auto"/>
                <w:szCs w:val="21"/>
                <w:highlight w:val="none"/>
              </w:rPr>
              <w:t>报价唯一</w:t>
            </w: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noWrap/>
            <w:vAlign w:val="center"/>
          </w:tcPr>
          <w:p>
            <w:pPr>
              <w:spacing w:line="440" w:lineRule="exact"/>
              <w:jc w:val="center"/>
              <w:rPr>
                <w:rFonts w:eastAsia="黑体"/>
                <w:color w:val="auto"/>
                <w:highlight w:val="none"/>
              </w:rPr>
            </w:pPr>
            <w:r>
              <w:rPr>
                <w:rFonts w:hint="eastAsia" w:eastAsia="黑体"/>
                <w:color w:val="auto"/>
                <w:highlight w:val="none"/>
              </w:rPr>
              <w:t>6</w:t>
            </w:r>
          </w:p>
        </w:tc>
        <w:tc>
          <w:tcPr>
            <w:tcW w:w="2156" w:type="dxa"/>
            <w:noWrap/>
            <w:vAlign w:val="center"/>
          </w:tcPr>
          <w:p>
            <w:pPr>
              <w:spacing w:line="440" w:lineRule="exact"/>
              <w:jc w:val="center"/>
              <w:rPr>
                <w:color w:val="auto"/>
                <w:szCs w:val="21"/>
                <w:highlight w:val="none"/>
              </w:rPr>
            </w:pPr>
            <w:r>
              <w:rPr>
                <w:color w:val="auto"/>
                <w:szCs w:val="21"/>
                <w:highlight w:val="none"/>
              </w:rPr>
              <w:t>……</w:t>
            </w: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noWrap/>
            <w:vAlign w:val="center"/>
          </w:tcPr>
          <w:p>
            <w:pPr>
              <w:spacing w:line="440" w:lineRule="exact"/>
              <w:jc w:val="center"/>
              <w:rPr>
                <w:rFonts w:eastAsia="黑体"/>
                <w:color w:val="auto"/>
                <w:highlight w:val="none"/>
              </w:rPr>
            </w:pPr>
          </w:p>
        </w:tc>
        <w:tc>
          <w:tcPr>
            <w:tcW w:w="2156" w:type="dxa"/>
            <w:noWrap/>
            <w:vAlign w:val="center"/>
          </w:tcPr>
          <w:p>
            <w:pPr>
              <w:spacing w:line="440" w:lineRule="exact"/>
              <w:jc w:val="center"/>
              <w:rPr>
                <w:color w:val="auto"/>
                <w:highlight w:val="none"/>
              </w:rPr>
            </w:pPr>
            <w:r>
              <w:rPr>
                <w:color w:val="auto"/>
                <w:highlight w:val="none"/>
              </w:rPr>
              <w:t>是否通过评审</w:t>
            </w: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7" w:type="dxa"/>
            <w:noWrap/>
            <w:vAlign w:val="center"/>
          </w:tcPr>
          <w:p>
            <w:pPr>
              <w:spacing w:line="440" w:lineRule="exact"/>
              <w:jc w:val="center"/>
              <w:rPr>
                <w:color w:val="auto"/>
                <w:highlight w:val="none"/>
              </w:rPr>
            </w:pPr>
          </w:p>
        </w:tc>
        <w:tc>
          <w:tcPr>
            <w:tcW w:w="1198" w:type="dxa"/>
            <w:noWrap/>
            <w:vAlign w:val="center"/>
          </w:tcPr>
          <w:p>
            <w:pPr>
              <w:spacing w:line="440" w:lineRule="exact"/>
              <w:jc w:val="center"/>
              <w:rPr>
                <w:color w:val="auto"/>
                <w:highlight w:val="none"/>
              </w:rPr>
            </w:pPr>
          </w:p>
        </w:tc>
      </w:tr>
    </w:tbl>
    <w:p>
      <w:pPr>
        <w:spacing w:line="440" w:lineRule="exact"/>
        <w:rPr>
          <w:rFonts w:eastAsia="楷体_GB2312"/>
          <w:color w:val="auto"/>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p>
    <w:p>
      <w:pPr>
        <w:spacing w:line="440" w:lineRule="exact"/>
        <w:rPr>
          <w:color w:val="auto"/>
          <w:highlight w:val="none"/>
        </w:rPr>
      </w:pPr>
      <w:r>
        <w:rPr>
          <w:rFonts w:hint="eastAsia"/>
          <w:color w:val="auto"/>
          <w:highlight w:val="none"/>
        </w:rPr>
        <w:t>评标委员会全体成员</w:t>
      </w:r>
      <w:r>
        <w:rPr>
          <w:color w:val="auto"/>
          <w:highlight w:val="none"/>
        </w:rPr>
        <w:t>签名：                                                                        日期：        年     月     日</w:t>
      </w:r>
    </w:p>
    <w:p>
      <w:pPr>
        <w:rPr>
          <w:b/>
          <w:color w:val="auto"/>
          <w:highlight w:val="none"/>
        </w:rPr>
      </w:pPr>
      <w:r>
        <w:rPr>
          <w:color w:val="auto"/>
          <w:highlight w:val="none"/>
        </w:rPr>
        <w:br w:type="page"/>
      </w:r>
      <w:r>
        <w:rPr>
          <w:rFonts w:ascii="宋体" w:hAnsi="宋体"/>
          <w:b/>
          <w:color w:val="auto"/>
          <w:sz w:val="28"/>
          <w:szCs w:val="28"/>
          <w:highlight w:val="none"/>
        </w:rPr>
        <w:t>附表A-</w:t>
      </w:r>
      <w:r>
        <w:rPr>
          <w:rFonts w:hint="eastAsia" w:ascii="宋体" w:hAnsi="宋体"/>
          <w:b/>
          <w:color w:val="auto"/>
          <w:sz w:val="28"/>
          <w:szCs w:val="28"/>
          <w:highlight w:val="none"/>
        </w:rPr>
        <w:t>6</w:t>
      </w:r>
      <w:r>
        <w:rPr>
          <w:rFonts w:ascii="宋体" w:hAnsi="宋体"/>
          <w:b/>
          <w:color w:val="auto"/>
          <w:sz w:val="28"/>
          <w:szCs w:val="28"/>
          <w:highlight w:val="none"/>
        </w:rPr>
        <w:t>：响应性评审记录表</w:t>
      </w:r>
    </w:p>
    <w:p>
      <w:pPr>
        <w:jc w:val="center"/>
        <w:rPr>
          <w:rFonts w:ascii="宋体" w:hAnsi="宋体"/>
          <w:b/>
          <w:color w:val="auto"/>
          <w:sz w:val="28"/>
          <w:szCs w:val="28"/>
          <w:highlight w:val="none"/>
        </w:rPr>
      </w:pPr>
      <w:r>
        <w:rPr>
          <w:rFonts w:ascii="宋体" w:hAnsi="宋体"/>
          <w:b/>
          <w:color w:val="auto"/>
          <w:sz w:val="28"/>
          <w:szCs w:val="28"/>
          <w:highlight w:val="none"/>
        </w:rPr>
        <w:t>响应性评审记录表</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noWrap/>
            <w:vAlign w:val="center"/>
          </w:tcPr>
          <w:p>
            <w:pPr>
              <w:spacing w:after="72" w:afterLines="30" w:line="440" w:lineRule="exact"/>
              <w:jc w:val="center"/>
              <w:rPr>
                <w:color w:val="auto"/>
                <w:highlight w:val="none"/>
              </w:rPr>
            </w:pPr>
            <w:r>
              <w:rPr>
                <w:color w:val="auto"/>
                <w:highlight w:val="none"/>
              </w:rPr>
              <w:t>序号</w:t>
            </w:r>
          </w:p>
        </w:tc>
        <w:tc>
          <w:tcPr>
            <w:tcW w:w="2156" w:type="dxa"/>
            <w:vMerge w:val="restart"/>
            <w:noWrap/>
            <w:vAlign w:val="center"/>
          </w:tcPr>
          <w:p>
            <w:pPr>
              <w:jc w:val="center"/>
              <w:rPr>
                <w:color w:val="auto"/>
                <w:highlight w:val="none"/>
              </w:rPr>
            </w:pPr>
            <w:r>
              <w:rPr>
                <w:color w:val="auto"/>
                <w:highlight w:val="none"/>
              </w:rPr>
              <w:t>评审因素</w:t>
            </w:r>
          </w:p>
        </w:tc>
        <w:tc>
          <w:tcPr>
            <w:tcW w:w="10776" w:type="dxa"/>
            <w:gridSpan w:val="9"/>
            <w:noWrap/>
            <w:vAlign w:val="center"/>
          </w:tcPr>
          <w:p>
            <w:pPr>
              <w:jc w:val="center"/>
              <w:rPr>
                <w:color w:val="auto"/>
                <w:highlight w:val="none"/>
              </w:rPr>
            </w:pPr>
            <w:r>
              <w:rPr>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noWrap/>
            <w:vAlign w:val="center"/>
          </w:tcPr>
          <w:p>
            <w:pPr>
              <w:spacing w:after="72" w:afterLines="30" w:line="320" w:lineRule="exact"/>
              <w:jc w:val="center"/>
              <w:rPr>
                <w:color w:val="auto"/>
                <w:highlight w:val="none"/>
              </w:rPr>
            </w:pPr>
          </w:p>
        </w:tc>
        <w:tc>
          <w:tcPr>
            <w:tcW w:w="2156" w:type="dxa"/>
            <w:vMerge w:val="continue"/>
            <w:noWrap/>
            <w:vAlign w:val="center"/>
          </w:tcPr>
          <w:p>
            <w:pPr>
              <w:spacing w:line="440" w:lineRule="exact"/>
              <w:jc w:val="center"/>
              <w:rPr>
                <w:color w:val="auto"/>
                <w:szCs w:val="21"/>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1</w:t>
            </w:r>
          </w:p>
        </w:tc>
        <w:tc>
          <w:tcPr>
            <w:tcW w:w="2156" w:type="dxa"/>
            <w:noWrap/>
            <w:vAlign w:val="center"/>
          </w:tcPr>
          <w:p>
            <w:pPr>
              <w:spacing w:line="440" w:lineRule="exact"/>
              <w:jc w:val="center"/>
              <w:rPr>
                <w:color w:val="auto"/>
                <w:szCs w:val="21"/>
                <w:highlight w:val="none"/>
              </w:rPr>
            </w:pPr>
            <w:r>
              <w:rPr>
                <w:color w:val="auto"/>
                <w:szCs w:val="21"/>
                <w:highlight w:val="none"/>
              </w:rPr>
              <w:t>投标内容</w:t>
            </w: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2</w:t>
            </w:r>
          </w:p>
        </w:tc>
        <w:tc>
          <w:tcPr>
            <w:tcW w:w="2156" w:type="dxa"/>
            <w:noWrap/>
            <w:vAlign w:val="center"/>
          </w:tcPr>
          <w:p>
            <w:pPr>
              <w:spacing w:line="440" w:lineRule="exact"/>
              <w:jc w:val="center"/>
              <w:rPr>
                <w:color w:val="auto"/>
                <w:szCs w:val="21"/>
                <w:highlight w:val="none"/>
              </w:rPr>
            </w:pPr>
            <w:r>
              <w:rPr>
                <w:color w:val="auto"/>
                <w:szCs w:val="21"/>
                <w:highlight w:val="none"/>
              </w:rPr>
              <w:t>工期</w:t>
            </w: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3</w:t>
            </w:r>
          </w:p>
        </w:tc>
        <w:tc>
          <w:tcPr>
            <w:tcW w:w="2156" w:type="dxa"/>
            <w:noWrap/>
            <w:vAlign w:val="center"/>
          </w:tcPr>
          <w:p>
            <w:pPr>
              <w:spacing w:line="440" w:lineRule="exact"/>
              <w:jc w:val="center"/>
              <w:rPr>
                <w:color w:val="auto"/>
                <w:szCs w:val="21"/>
                <w:highlight w:val="none"/>
              </w:rPr>
            </w:pPr>
            <w:r>
              <w:rPr>
                <w:rFonts w:hint="eastAsia"/>
                <w:color w:val="auto"/>
                <w:szCs w:val="21"/>
                <w:highlight w:val="none"/>
              </w:rPr>
              <w:t>工程</w:t>
            </w:r>
            <w:r>
              <w:rPr>
                <w:color w:val="auto"/>
                <w:szCs w:val="21"/>
                <w:highlight w:val="none"/>
              </w:rPr>
              <w:t>质量</w:t>
            </w: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4</w:t>
            </w:r>
          </w:p>
        </w:tc>
        <w:tc>
          <w:tcPr>
            <w:tcW w:w="2156" w:type="dxa"/>
            <w:noWrap/>
            <w:vAlign w:val="center"/>
          </w:tcPr>
          <w:p>
            <w:pPr>
              <w:spacing w:line="440" w:lineRule="exact"/>
              <w:jc w:val="center"/>
              <w:rPr>
                <w:color w:val="auto"/>
                <w:szCs w:val="21"/>
                <w:highlight w:val="none"/>
              </w:rPr>
            </w:pPr>
            <w:r>
              <w:rPr>
                <w:rFonts w:hint="eastAsia"/>
                <w:color w:val="auto"/>
                <w:szCs w:val="21"/>
                <w:highlight w:val="none"/>
              </w:rPr>
              <w:t>投标有效期</w:t>
            </w: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5</w:t>
            </w:r>
          </w:p>
        </w:tc>
        <w:tc>
          <w:tcPr>
            <w:tcW w:w="2156" w:type="dxa"/>
            <w:noWrap/>
            <w:vAlign w:val="center"/>
          </w:tcPr>
          <w:p>
            <w:pPr>
              <w:spacing w:line="440" w:lineRule="exact"/>
              <w:jc w:val="center"/>
              <w:rPr>
                <w:color w:val="auto"/>
                <w:szCs w:val="21"/>
                <w:highlight w:val="none"/>
              </w:rPr>
            </w:pPr>
            <w:r>
              <w:rPr>
                <w:color w:val="auto"/>
                <w:szCs w:val="21"/>
                <w:highlight w:val="none"/>
              </w:rPr>
              <w:t>权利义务</w:t>
            </w: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6</w:t>
            </w:r>
          </w:p>
        </w:tc>
        <w:tc>
          <w:tcPr>
            <w:tcW w:w="2156" w:type="dxa"/>
            <w:noWrap/>
            <w:vAlign w:val="center"/>
          </w:tcPr>
          <w:p>
            <w:pPr>
              <w:spacing w:line="440" w:lineRule="exact"/>
              <w:jc w:val="center"/>
              <w:rPr>
                <w:color w:val="auto"/>
                <w:szCs w:val="21"/>
                <w:highlight w:val="none"/>
              </w:rPr>
            </w:pPr>
            <w:r>
              <w:rPr>
                <w:rFonts w:hint="eastAsia"/>
                <w:color w:val="auto"/>
                <w:szCs w:val="21"/>
                <w:highlight w:val="none"/>
              </w:rPr>
              <w:t>技术标准和要求</w:t>
            </w: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7</w:t>
            </w:r>
          </w:p>
        </w:tc>
        <w:tc>
          <w:tcPr>
            <w:tcW w:w="2156" w:type="dxa"/>
            <w:noWrap/>
            <w:vAlign w:val="center"/>
          </w:tcPr>
          <w:p>
            <w:pPr>
              <w:spacing w:line="440" w:lineRule="exact"/>
              <w:jc w:val="center"/>
              <w:rPr>
                <w:color w:val="auto"/>
                <w:szCs w:val="21"/>
                <w:highlight w:val="none"/>
              </w:rPr>
            </w:pPr>
            <w:r>
              <w:rPr>
                <w:rFonts w:hint="eastAsia"/>
                <w:color w:val="auto"/>
                <w:szCs w:val="21"/>
                <w:highlight w:val="none"/>
              </w:rPr>
              <w:t>投标价格</w:t>
            </w: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8</w:t>
            </w:r>
          </w:p>
        </w:tc>
        <w:tc>
          <w:tcPr>
            <w:tcW w:w="2156" w:type="dxa"/>
            <w:noWrap/>
            <w:vAlign w:val="center"/>
          </w:tcPr>
          <w:p>
            <w:pPr>
              <w:spacing w:line="440" w:lineRule="exact"/>
              <w:jc w:val="center"/>
              <w:rPr>
                <w:color w:val="auto"/>
                <w:szCs w:val="21"/>
                <w:highlight w:val="none"/>
              </w:rPr>
            </w:pPr>
            <w:r>
              <w:rPr>
                <w:rFonts w:hint="eastAsia"/>
                <w:color w:val="auto"/>
                <w:szCs w:val="21"/>
                <w:highlight w:val="none"/>
              </w:rPr>
              <w:t>分包计划（如有）</w:t>
            </w: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noWrap/>
            <w:vAlign w:val="center"/>
          </w:tcPr>
          <w:p>
            <w:pPr>
              <w:spacing w:after="72" w:afterLines="30" w:line="320" w:lineRule="exact"/>
              <w:jc w:val="center"/>
              <w:rPr>
                <w:color w:val="auto"/>
                <w:highlight w:val="none"/>
              </w:rPr>
            </w:pPr>
          </w:p>
        </w:tc>
        <w:tc>
          <w:tcPr>
            <w:tcW w:w="2156" w:type="dxa"/>
            <w:noWrap/>
            <w:vAlign w:val="center"/>
          </w:tcPr>
          <w:p>
            <w:pPr>
              <w:spacing w:line="440" w:lineRule="exact"/>
              <w:jc w:val="center"/>
              <w:rPr>
                <w:color w:val="auto"/>
                <w:szCs w:val="21"/>
                <w:highlight w:val="none"/>
              </w:rPr>
            </w:pPr>
            <w:r>
              <w:rPr>
                <w:color w:val="auto"/>
                <w:szCs w:val="21"/>
                <w:highlight w:val="none"/>
              </w:rPr>
              <w:t>……</w:t>
            </w: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noWrap/>
            <w:vAlign w:val="center"/>
          </w:tcPr>
          <w:p>
            <w:pPr>
              <w:spacing w:line="360" w:lineRule="atLeast"/>
              <w:jc w:val="center"/>
              <w:rPr>
                <w:color w:val="auto"/>
                <w:highlight w:val="none"/>
              </w:rPr>
            </w:pPr>
            <w:r>
              <w:rPr>
                <w:color w:val="auto"/>
                <w:highlight w:val="none"/>
              </w:rPr>
              <w:t>是否通过评审</w:t>
            </w: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7" w:type="dxa"/>
            <w:noWrap/>
            <w:vAlign w:val="center"/>
          </w:tcPr>
          <w:p>
            <w:pPr>
              <w:spacing w:line="360" w:lineRule="atLeast"/>
              <w:jc w:val="center"/>
              <w:rPr>
                <w:color w:val="auto"/>
                <w:highlight w:val="none"/>
              </w:rPr>
            </w:pPr>
          </w:p>
        </w:tc>
        <w:tc>
          <w:tcPr>
            <w:tcW w:w="1198" w:type="dxa"/>
            <w:noWrap/>
            <w:vAlign w:val="center"/>
          </w:tcPr>
          <w:p>
            <w:pPr>
              <w:spacing w:line="360" w:lineRule="atLeast"/>
              <w:jc w:val="center"/>
              <w:rPr>
                <w:color w:val="auto"/>
                <w:highlight w:val="none"/>
              </w:rPr>
            </w:pPr>
          </w:p>
        </w:tc>
      </w:tr>
    </w:tbl>
    <w:p>
      <w:pPr>
        <w:spacing w:line="360" w:lineRule="exact"/>
        <w:rPr>
          <w:rFonts w:eastAsia="楷体_GB2312"/>
          <w:color w:val="auto"/>
          <w:szCs w:val="44"/>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360" w:lineRule="exact"/>
        <w:rPr>
          <w:color w:val="auto"/>
          <w:highlight w:val="none"/>
        </w:rPr>
      </w:pPr>
    </w:p>
    <w:p>
      <w:pPr>
        <w:spacing w:line="360" w:lineRule="exact"/>
        <w:rPr>
          <w:color w:val="auto"/>
          <w:highlight w:val="none"/>
        </w:rPr>
      </w:pPr>
      <w:r>
        <w:rPr>
          <w:rFonts w:hint="eastAsia"/>
          <w:color w:val="auto"/>
          <w:highlight w:val="none"/>
        </w:rPr>
        <w:t>评标委员会全体成员</w:t>
      </w:r>
      <w:r>
        <w:rPr>
          <w:color w:val="auto"/>
          <w:highlight w:val="none"/>
        </w:rPr>
        <w:t>签名：                                                                        日期：        年     月     日</w:t>
      </w:r>
    </w:p>
    <w:p>
      <w:pPr>
        <w:rPr>
          <w:b/>
          <w:color w:val="auto"/>
          <w:highlight w:val="none"/>
        </w:rPr>
      </w:pPr>
      <w:r>
        <w:rPr>
          <w:rFonts w:eastAsia="黑体"/>
          <w:color w:val="auto"/>
          <w:highlight w:val="none"/>
        </w:rPr>
        <w:br w:type="page"/>
      </w:r>
      <w:r>
        <w:rPr>
          <w:rFonts w:ascii="宋体" w:hAnsi="宋体"/>
          <w:b/>
          <w:color w:val="auto"/>
          <w:sz w:val="28"/>
          <w:szCs w:val="28"/>
          <w:highlight w:val="none"/>
        </w:rPr>
        <w:t>附表A-</w:t>
      </w:r>
      <w:r>
        <w:rPr>
          <w:rFonts w:hint="eastAsia" w:ascii="宋体" w:hAnsi="宋体"/>
          <w:b/>
          <w:color w:val="auto"/>
          <w:sz w:val="28"/>
          <w:szCs w:val="28"/>
          <w:highlight w:val="none"/>
        </w:rPr>
        <w:t>7</w:t>
      </w:r>
      <w:r>
        <w:rPr>
          <w:rFonts w:ascii="宋体" w:hAnsi="宋体"/>
          <w:b/>
          <w:color w:val="auto"/>
          <w:sz w:val="28"/>
          <w:szCs w:val="28"/>
          <w:highlight w:val="none"/>
        </w:rPr>
        <w:t>：</w:t>
      </w:r>
      <w:r>
        <w:rPr>
          <w:rFonts w:hint="eastAsia" w:ascii="宋体" w:hAnsi="宋体"/>
          <w:b/>
          <w:color w:val="auto"/>
          <w:sz w:val="28"/>
          <w:szCs w:val="28"/>
          <w:highlight w:val="none"/>
        </w:rPr>
        <w:t>工程总承包工作大纲</w:t>
      </w:r>
      <w:r>
        <w:rPr>
          <w:rFonts w:ascii="宋体" w:hAnsi="宋体"/>
          <w:b/>
          <w:color w:val="auto"/>
          <w:sz w:val="28"/>
          <w:szCs w:val="28"/>
          <w:highlight w:val="none"/>
        </w:rPr>
        <w:t>评</w:t>
      </w:r>
      <w:r>
        <w:rPr>
          <w:rFonts w:hint="eastAsia" w:ascii="宋体" w:hAnsi="宋体"/>
          <w:b/>
          <w:color w:val="auto"/>
          <w:sz w:val="28"/>
          <w:szCs w:val="28"/>
          <w:highlight w:val="none"/>
        </w:rPr>
        <w:t>分</w:t>
      </w:r>
      <w:r>
        <w:rPr>
          <w:rFonts w:ascii="宋体" w:hAnsi="宋体"/>
          <w:b/>
          <w:color w:val="auto"/>
          <w:sz w:val="28"/>
          <w:szCs w:val="28"/>
          <w:highlight w:val="none"/>
        </w:rPr>
        <w:t>记录表</w:t>
      </w:r>
    </w:p>
    <w:p>
      <w:pPr>
        <w:jc w:val="center"/>
        <w:rPr>
          <w:b/>
          <w:color w:val="auto"/>
          <w:sz w:val="28"/>
          <w:szCs w:val="28"/>
          <w:highlight w:val="none"/>
        </w:rPr>
      </w:pPr>
      <w:r>
        <w:rPr>
          <w:rFonts w:hint="eastAsia" w:ascii="宋体" w:hAnsi="宋体"/>
          <w:b/>
          <w:color w:val="auto"/>
          <w:sz w:val="28"/>
          <w:szCs w:val="28"/>
          <w:highlight w:val="none"/>
        </w:rPr>
        <w:t>（一）工程总承包工作大纲</w:t>
      </w:r>
      <w:r>
        <w:rPr>
          <w:rFonts w:ascii="宋体" w:hAnsi="宋体"/>
          <w:b/>
          <w:color w:val="auto"/>
          <w:sz w:val="28"/>
          <w:szCs w:val="28"/>
          <w:highlight w:val="none"/>
        </w:rPr>
        <w:t>评</w:t>
      </w:r>
      <w:r>
        <w:rPr>
          <w:rFonts w:hint="eastAsia" w:ascii="宋体" w:hAnsi="宋体"/>
          <w:b/>
          <w:color w:val="auto"/>
          <w:sz w:val="28"/>
          <w:szCs w:val="28"/>
          <w:highlight w:val="none"/>
        </w:rPr>
        <w:t>分</w:t>
      </w:r>
      <w:r>
        <w:rPr>
          <w:rFonts w:ascii="宋体" w:hAnsi="宋体"/>
          <w:b/>
          <w:color w:val="auto"/>
          <w:sz w:val="28"/>
          <w:szCs w:val="28"/>
          <w:highlight w:val="none"/>
        </w:rPr>
        <w:t>记录表</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80"/>
        <w:gridCol w:w="1128"/>
        <w:gridCol w:w="1128"/>
        <w:gridCol w:w="1128"/>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12" w:type="dxa"/>
            <w:vMerge w:val="restart"/>
            <w:noWrap/>
            <w:vAlign w:val="center"/>
          </w:tcPr>
          <w:p>
            <w:pPr>
              <w:spacing w:line="360" w:lineRule="auto"/>
              <w:jc w:val="center"/>
              <w:rPr>
                <w:color w:val="auto"/>
                <w:highlight w:val="none"/>
              </w:rPr>
            </w:pPr>
            <w:r>
              <w:rPr>
                <w:color w:val="auto"/>
                <w:highlight w:val="none"/>
              </w:rPr>
              <w:t>序号</w:t>
            </w:r>
          </w:p>
        </w:tc>
        <w:tc>
          <w:tcPr>
            <w:tcW w:w="2780" w:type="dxa"/>
            <w:vMerge w:val="restart"/>
            <w:noWrap/>
            <w:vAlign w:val="center"/>
          </w:tcPr>
          <w:p>
            <w:pPr>
              <w:spacing w:line="360" w:lineRule="auto"/>
              <w:jc w:val="center"/>
              <w:rPr>
                <w:color w:val="auto"/>
                <w:highlight w:val="none"/>
              </w:rPr>
            </w:pPr>
            <w:r>
              <w:rPr>
                <w:color w:val="auto"/>
                <w:highlight w:val="none"/>
              </w:rPr>
              <w:t>评审因素</w:t>
            </w:r>
          </w:p>
        </w:tc>
        <w:tc>
          <w:tcPr>
            <w:tcW w:w="10152" w:type="dxa"/>
            <w:gridSpan w:val="9"/>
            <w:noWrap/>
            <w:vAlign w:val="center"/>
          </w:tcPr>
          <w:p>
            <w:pPr>
              <w:spacing w:line="360" w:lineRule="auto"/>
              <w:jc w:val="center"/>
              <w:rPr>
                <w:color w:val="auto"/>
                <w:highlight w:val="none"/>
              </w:rPr>
            </w:pPr>
            <w:r>
              <w:rPr>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noWrap/>
            <w:vAlign w:val="center"/>
          </w:tcPr>
          <w:p>
            <w:pPr>
              <w:spacing w:after="72" w:afterLines="30" w:line="320" w:lineRule="exact"/>
              <w:jc w:val="center"/>
              <w:rPr>
                <w:color w:val="auto"/>
                <w:highlight w:val="none"/>
              </w:rPr>
            </w:pPr>
          </w:p>
        </w:tc>
        <w:tc>
          <w:tcPr>
            <w:tcW w:w="2780" w:type="dxa"/>
            <w:vMerge w:val="continue"/>
            <w:noWrap/>
            <w:vAlign w:val="center"/>
          </w:tcPr>
          <w:p>
            <w:pPr>
              <w:spacing w:line="440" w:lineRule="exact"/>
              <w:jc w:val="center"/>
              <w:rPr>
                <w:color w:val="auto"/>
                <w:szCs w:val="21"/>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1</w:t>
            </w:r>
          </w:p>
        </w:tc>
        <w:tc>
          <w:tcPr>
            <w:tcW w:w="2780" w:type="dxa"/>
            <w:noWrap/>
            <w:vAlign w:val="center"/>
          </w:tcPr>
          <w:p>
            <w:pPr>
              <w:spacing w:line="440" w:lineRule="exact"/>
              <w:jc w:val="center"/>
              <w:rPr>
                <w:color w:val="auto"/>
                <w:szCs w:val="21"/>
                <w:highlight w:val="none"/>
              </w:rPr>
            </w:pPr>
            <w:r>
              <w:rPr>
                <w:rFonts w:hint="eastAsia"/>
                <w:color w:val="auto"/>
                <w:szCs w:val="21"/>
                <w:highlight w:val="none"/>
              </w:rPr>
              <w:t>总体实施方案</w:t>
            </w: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2</w:t>
            </w:r>
          </w:p>
        </w:tc>
        <w:tc>
          <w:tcPr>
            <w:tcW w:w="2780" w:type="dxa"/>
            <w:noWrap/>
            <w:vAlign w:val="center"/>
          </w:tcPr>
          <w:p>
            <w:pPr>
              <w:spacing w:line="440" w:lineRule="exact"/>
              <w:jc w:val="center"/>
              <w:rPr>
                <w:rFonts w:ascii="宋体" w:hAnsi="宋体"/>
                <w:color w:val="auto"/>
                <w:szCs w:val="21"/>
                <w:highlight w:val="none"/>
              </w:rPr>
            </w:pPr>
            <w:r>
              <w:rPr>
                <w:rFonts w:hint="eastAsia"/>
                <w:color w:val="auto"/>
                <w:szCs w:val="21"/>
                <w:highlight w:val="none"/>
              </w:rPr>
              <w:t>项目实施要点</w:t>
            </w: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3</w:t>
            </w:r>
          </w:p>
        </w:tc>
        <w:tc>
          <w:tcPr>
            <w:tcW w:w="2780" w:type="dxa"/>
            <w:noWrap/>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设计及施工的配合</w:t>
            </w: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4</w:t>
            </w:r>
          </w:p>
        </w:tc>
        <w:tc>
          <w:tcPr>
            <w:tcW w:w="2780" w:type="dxa"/>
            <w:noWrap/>
            <w:vAlign w:val="center"/>
          </w:tcPr>
          <w:p>
            <w:pPr>
              <w:spacing w:line="440" w:lineRule="exact"/>
              <w:jc w:val="center"/>
              <w:rPr>
                <w:color w:val="auto"/>
                <w:szCs w:val="21"/>
                <w:highlight w:val="none"/>
              </w:rPr>
            </w:pPr>
            <w:r>
              <w:rPr>
                <w:rFonts w:hint="eastAsia"/>
                <w:color w:val="auto"/>
                <w:szCs w:val="21"/>
                <w:highlight w:val="none"/>
              </w:rPr>
              <w:t>项目管理要点</w:t>
            </w: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noWrap/>
            <w:vAlign w:val="center"/>
          </w:tcPr>
          <w:p>
            <w:pPr>
              <w:spacing w:after="72" w:afterLines="30" w:line="320" w:lineRule="exact"/>
              <w:jc w:val="center"/>
              <w:rPr>
                <w:color w:val="auto"/>
                <w:highlight w:val="none"/>
              </w:rPr>
            </w:pPr>
            <w:r>
              <w:rPr>
                <w:rFonts w:hint="eastAsia"/>
                <w:color w:val="auto"/>
                <w:highlight w:val="none"/>
              </w:rPr>
              <w:t>5</w:t>
            </w:r>
          </w:p>
        </w:tc>
        <w:tc>
          <w:tcPr>
            <w:tcW w:w="2780" w:type="dxa"/>
            <w:noWrap/>
            <w:vAlign w:val="center"/>
          </w:tcPr>
          <w:p>
            <w:pPr>
              <w:spacing w:line="440" w:lineRule="exact"/>
              <w:jc w:val="center"/>
              <w:rPr>
                <w:color w:val="auto"/>
                <w:szCs w:val="21"/>
                <w:highlight w:val="none"/>
              </w:rPr>
            </w:pPr>
            <w:r>
              <w:rPr>
                <w:rFonts w:hint="eastAsia"/>
                <w:color w:val="auto"/>
                <w:szCs w:val="21"/>
                <w:highlight w:val="none"/>
              </w:rPr>
              <w:t>项目管理机构配备</w:t>
            </w: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92" w:type="dxa"/>
            <w:gridSpan w:val="2"/>
            <w:noWrap/>
            <w:vAlign w:val="center"/>
          </w:tcPr>
          <w:p>
            <w:pPr>
              <w:spacing w:line="360" w:lineRule="auto"/>
              <w:jc w:val="center"/>
              <w:rPr>
                <w:color w:val="auto"/>
                <w:highlight w:val="none"/>
              </w:rPr>
            </w:pPr>
            <w:r>
              <w:rPr>
                <w:color w:val="auto"/>
                <w:szCs w:val="44"/>
                <w:highlight w:val="none"/>
              </w:rPr>
              <w:t>得分合计</w:t>
            </w:r>
            <w:r>
              <w:rPr>
                <w:rFonts w:hint="eastAsia"/>
                <w:color w:val="auto"/>
                <w:szCs w:val="44"/>
                <w:highlight w:val="none"/>
              </w:rPr>
              <w:t>（</w:t>
            </w:r>
            <w:r>
              <w:rPr>
                <w:color w:val="auto"/>
                <w:szCs w:val="44"/>
                <w:highlight w:val="none"/>
              </w:rPr>
              <w:t>满分</w:t>
            </w:r>
            <w:r>
              <w:rPr>
                <w:rFonts w:hint="eastAsia"/>
                <w:color w:val="auto"/>
                <w:szCs w:val="44"/>
                <w:highlight w:val="none"/>
              </w:rPr>
              <w:t>）</w:t>
            </w: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92" w:type="dxa"/>
            <w:gridSpan w:val="2"/>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c>
          <w:tcPr>
            <w:tcW w:w="1128" w:type="dxa"/>
            <w:noWrap/>
            <w:vAlign w:val="center"/>
          </w:tcPr>
          <w:p>
            <w:pPr>
              <w:spacing w:line="360" w:lineRule="auto"/>
              <w:jc w:val="center"/>
              <w:rPr>
                <w:color w:val="auto"/>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p>
    <w:p>
      <w:pPr>
        <w:spacing w:line="440" w:lineRule="exact"/>
        <w:rPr>
          <w:color w:val="auto"/>
          <w:highlight w:val="none"/>
        </w:rPr>
      </w:pPr>
      <w:r>
        <w:rPr>
          <w:rFonts w:hint="eastAsia"/>
          <w:color w:val="auto"/>
          <w:highlight w:val="none"/>
        </w:rPr>
        <w:t>技术</w:t>
      </w:r>
      <w:r>
        <w:rPr>
          <w:color w:val="auto"/>
          <w:highlight w:val="none"/>
        </w:rPr>
        <w:t>类评委签名：                                                                        日期：        年     月     日</w:t>
      </w:r>
    </w:p>
    <w:p>
      <w:pPr>
        <w:spacing w:after="240" w:afterLines="100"/>
        <w:rPr>
          <w:color w:val="auto"/>
          <w:highlight w:val="none"/>
        </w:rPr>
      </w:pPr>
    </w:p>
    <w:p>
      <w:pPr>
        <w:spacing w:line="440" w:lineRule="exact"/>
        <w:rPr>
          <w:color w:val="auto"/>
          <w:highlight w:val="none"/>
        </w:rPr>
      </w:pPr>
    </w:p>
    <w:p>
      <w:pPr>
        <w:jc w:val="center"/>
        <w:rPr>
          <w:rFonts w:ascii="宋体" w:hAnsi="宋体"/>
          <w:b/>
          <w:color w:val="auto"/>
          <w:sz w:val="28"/>
          <w:szCs w:val="28"/>
          <w:highlight w:val="none"/>
        </w:rPr>
      </w:pPr>
      <w:r>
        <w:rPr>
          <w:rFonts w:hint="eastAsia" w:ascii="宋体" w:hAnsi="宋体"/>
          <w:b/>
          <w:color w:val="auto"/>
          <w:sz w:val="28"/>
          <w:szCs w:val="28"/>
          <w:highlight w:val="none"/>
        </w:rPr>
        <w:t>（二）工程总承包工作大纲评分汇总明细</w:t>
      </w:r>
      <w:r>
        <w:rPr>
          <w:rFonts w:ascii="宋体" w:hAnsi="宋体"/>
          <w:b/>
          <w:color w:val="auto"/>
          <w:sz w:val="28"/>
          <w:szCs w:val="28"/>
          <w:highlight w:val="none"/>
        </w:rPr>
        <w:t>表</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noWrap/>
            <w:vAlign w:val="center"/>
          </w:tcPr>
          <w:p>
            <w:pPr>
              <w:jc w:val="center"/>
              <w:rPr>
                <w:color w:val="auto"/>
                <w:highlight w:val="none"/>
              </w:rPr>
            </w:pPr>
            <w:r>
              <w:rPr>
                <w:color w:val="auto"/>
                <w:highlight w:val="none"/>
              </w:rPr>
              <w:t>评委序号和姓名</w:t>
            </w:r>
          </w:p>
        </w:tc>
        <w:tc>
          <w:tcPr>
            <w:tcW w:w="11639" w:type="dxa"/>
            <w:gridSpan w:val="7"/>
            <w:noWrap/>
            <w:vAlign w:val="center"/>
          </w:tcPr>
          <w:p>
            <w:pPr>
              <w:jc w:val="center"/>
              <w:rPr>
                <w:color w:val="auto"/>
                <w:highlight w:val="none"/>
              </w:rPr>
            </w:pPr>
            <w:r>
              <w:rPr>
                <w:color w:val="auto"/>
                <w:highlight w:val="none"/>
              </w:rPr>
              <w:t>投标人名称</w:t>
            </w:r>
            <w:r>
              <w:rPr>
                <w:rFonts w:hint="eastAsia"/>
                <w:color w:val="auto"/>
                <w:highlight w:val="none"/>
              </w:rPr>
              <w:t>（</w:t>
            </w:r>
            <w:r>
              <w:rPr>
                <w:color w:val="auto"/>
                <w:highlight w:val="none"/>
              </w:rPr>
              <w:t>或代码</w:t>
            </w:r>
            <w:r>
              <w:rPr>
                <w:rFonts w:hint="eastAsia"/>
                <w:color w:val="auto"/>
                <w:highlight w:val="none"/>
              </w:rPr>
              <w:t>）</w:t>
            </w:r>
            <w:r>
              <w:rPr>
                <w:color w:val="auto"/>
                <w:highlight w:val="none"/>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1:</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2:</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3:</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4:</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5:</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6:</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7:</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各评委评分合计</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各评委评分平均值</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p>
    <w:p>
      <w:pPr>
        <w:spacing w:after="240" w:afterLines="100"/>
        <w:rPr>
          <w:color w:val="auto"/>
          <w:highlight w:val="none"/>
        </w:rPr>
      </w:pPr>
      <w:r>
        <w:rPr>
          <w:rFonts w:hint="eastAsia"/>
          <w:color w:val="auto"/>
          <w:highlight w:val="none"/>
        </w:rPr>
        <w:t>技术</w:t>
      </w:r>
      <w:r>
        <w:rPr>
          <w:color w:val="auto"/>
          <w:highlight w:val="none"/>
        </w:rPr>
        <w:t>类</w:t>
      </w:r>
      <w:r>
        <w:rPr>
          <w:rFonts w:hint="eastAsia"/>
          <w:color w:val="auto"/>
          <w:highlight w:val="none"/>
        </w:rPr>
        <w:t>评委</w:t>
      </w:r>
      <w:r>
        <w:rPr>
          <w:color w:val="auto"/>
          <w:highlight w:val="none"/>
        </w:rPr>
        <w:t xml:space="preserve">签名：  </w:t>
      </w:r>
    </w:p>
    <w:p>
      <w:pPr>
        <w:spacing w:after="240" w:afterLines="100"/>
        <w:rPr>
          <w:color w:val="auto"/>
          <w:highlight w:val="none"/>
        </w:rPr>
      </w:pPr>
    </w:p>
    <w:p>
      <w:pPr>
        <w:spacing w:after="240" w:afterLines="100"/>
        <w:rPr>
          <w:color w:val="auto"/>
          <w:highlight w:val="none"/>
        </w:rPr>
      </w:pPr>
    </w:p>
    <w:p>
      <w:pPr>
        <w:rPr>
          <w:rFonts w:ascii="宋体" w:hAnsi="宋体"/>
          <w:b/>
          <w:color w:val="auto"/>
          <w:sz w:val="28"/>
          <w:szCs w:val="28"/>
          <w:highlight w:val="none"/>
        </w:rPr>
      </w:pPr>
      <w:r>
        <w:rPr>
          <w:rFonts w:ascii="宋体" w:hAnsi="宋体"/>
          <w:b/>
          <w:color w:val="auto"/>
          <w:sz w:val="28"/>
          <w:szCs w:val="28"/>
          <w:highlight w:val="none"/>
        </w:rPr>
        <w:t>附表A-</w:t>
      </w:r>
      <w:r>
        <w:rPr>
          <w:rFonts w:hint="eastAsia" w:ascii="宋体" w:hAnsi="宋体"/>
          <w:b/>
          <w:color w:val="auto"/>
          <w:sz w:val="28"/>
          <w:szCs w:val="28"/>
          <w:highlight w:val="none"/>
        </w:rPr>
        <w:t>8</w:t>
      </w:r>
      <w:r>
        <w:rPr>
          <w:rFonts w:ascii="宋体" w:hAnsi="宋体"/>
          <w:b/>
          <w:color w:val="auto"/>
          <w:sz w:val="28"/>
          <w:szCs w:val="28"/>
          <w:highlight w:val="none"/>
        </w:rPr>
        <w:t>：</w:t>
      </w:r>
      <w:r>
        <w:rPr>
          <w:rFonts w:hint="eastAsia" w:ascii="宋体" w:hAnsi="宋体"/>
          <w:b/>
          <w:color w:val="auto"/>
          <w:sz w:val="28"/>
          <w:szCs w:val="28"/>
          <w:highlight w:val="none"/>
        </w:rPr>
        <w:t>施工组织设计</w:t>
      </w:r>
      <w:r>
        <w:rPr>
          <w:rFonts w:ascii="宋体" w:hAnsi="宋体"/>
          <w:b/>
          <w:color w:val="auto"/>
          <w:sz w:val="28"/>
          <w:szCs w:val="28"/>
          <w:highlight w:val="none"/>
        </w:rPr>
        <w:t>评</w:t>
      </w:r>
      <w:r>
        <w:rPr>
          <w:rFonts w:hint="eastAsia" w:ascii="宋体" w:hAnsi="宋体"/>
          <w:b/>
          <w:color w:val="auto"/>
          <w:sz w:val="28"/>
          <w:szCs w:val="28"/>
          <w:highlight w:val="none"/>
        </w:rPr>
        <w:t>分</w:t>
      </w:r>
      <w:r>
        <w:rPr>
          <w:rFonts w:ascii="宋体" w:hAnsi="宋体"/>
          <w:b/>
          <w:color w:val="auto"/>
          <w:sz w:val="28"/>
          <w:szCs w:val="28"/>
          <w:highlight w:val="none"/>
        </w:rPr>
        <w:t>记录表</w:t>
      </w:r>
    </w:p>
    <w:p>
      <w:pPr>
        <w:spacing w:after="240" w:afterLines="100"/>
        <w:rPr>
          <w:color w:val="auto"/>
          <w:highlight w:val="none"/>
        </w:rPr>
        <w:sectPr>
          <w:type w:val="continuous"/>
          <w:pgSz w:w="16840" w:h="11907" w:orient="landscape"/>
          <w:pgMar w:top="1440" w:right="1440" w:bottom="1440" w:left="1797" w:header="851" w:footer="851" w:gutter="0"/>
          <w:cols w:space="720" w:num="1"/>
          <w:docGrid w:linePitch="312" w:charSpace="0"/>
        </w:sectPr>
      </w:pPr>
    </w:p>
    <w:p>
      <w:pPr>
        <w:jc w:val="center"/>
        <w:rPr>
          <w:rFonts w:ascii="宋体" w:hAnsi="宋体"/>
          <w:b/>
          <w:color w:val="auto"/>
          <w:sz w:val="28"/>
          <w:szCs w:val="28"/>
          <w:highlight w:val="none"/>
        </w:rPr>
      </w:pPr>
      <w:r>
        <w:rPr>
          <w:rFonts w:hint="eastAsia" w:ascii="宋体" w:hAnsi="宋体"/>
          <w:b/>
          <w:color w:val="auto"/>
          <w:sz w:val="28"/>
          <w:szCs w:val="28"/>
          <w:highlight w:val="none"/>
        </w:rPr>
        <w:t>（一）施工组织设计</w:t>
      </w:r>
      <w:r>
        <w:rPr>
          <w:rFonts w:ascii="宋体" w:hAnsi="宋体"/>
          <w:b/>
          <w:color w:val="auto"/>
          <w:sz w:val="28"/>
          <w:szCs w:val="28"/>
          <w:highlight w:val="none"/>
        </w:rPr>
        <w:t>评</w:t>
      </w:r>
      <w:r>
        <w:rPr>
          <w:rFonts w:hint="eastAsia" w:ascii="宋体" w:hAnsi="宋体"/>
          <w:b/>
          <w:color w:val="auto"/>
          <w:sz w:val="28"/>
          <w:szCs w:val="28"/>
          <w:highlight w:val="none"/>
        </w:rPr>
        <w:t>分</w:t>
      </w:r>
      <w:r>
        <w:rPr>
          <w:rFonts w:ascii="宋体" w:hAnsi="宋体"/>
          <w:b/>
          <w:color w:val="auto"/>
          <w:sz w:val="28"/>
          <w:szCs w:val="28"/>
          <w:highlight w:val="none"/>
        </w:rPr>
        <w:t>记录表</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3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060"/>
        <w:gridCol w:w="992"/>
        <w:gridCol w:w="1134"/>
        <w:gridCol w:w="1001"/>
        <w:gridCol w:w="1132"/>
        <w:gridCol w:w="1132"/>
        <w:gridCol w:w="1132"/>
        <w:gridCol w:w="1132"/>
        <w:gridCol w:w="113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4" w:type="dxa"/>
            <w:vMerge w:val="restart"/>
            <w:noWrap/>
            <w:vAlign w:val="center"/>
          </w:tcPr>
          <w:p>
            <w:pPr>
              <w:spacing w:line="360" w:lineRule="auto"/>
              <w:jc w:val="center"/>
              <w:rPr>
                <w:color w:val="auto"/>
                <w:highlight w:val="none"/>
              </w:rPr>
            </w:pPr>
            <w:r>
              <w:rPr>
                <w:color w:val="auto"/>
                <w:highlight w:val="none"/>
              </w:rPr>
              <w:t>序号</w:t>
            </w:r>
          </w:p>
        </w:tc>
        <w:tc>
          <w:tcPr>
            <w:tcW w:w="3060" w:type="dxa"/>
            <w:vMerge w:val="restart"/>
            <w:noWrap/>
            <w:vAlign w:val="center"/>
          </w:tcPr>
          <w:p>
            <w:pPr>
              <w:spacing w:line="360" w:lineRule="auto"/>
              <w:jc w:val="center"/>
              <w:rPr>
                <w:color w:val="auto"/>
                <w:highlight w:val="none"/>
              </w:rPr>
            </w:pPr>
            <w:r>
              <w:rPr>
                <w:color w:val="auto"/>
                <w:highlight w:val="none"/>
              </w:rPr>
              <w:t>评审因素</w:t>
            </w:r>
          </w:p>
        </w:tc>
        <w:tc>
          <w:tcPr>
            <w:tcW w:w="9920" w:type="dxa"/>
            <w:gridSpan w:val="9"/>
            <w:noWrap/>
            <w:vAlign w:val="center"/>
          </w:tcPr>
          <w:p>
            <w:pPr>
              <w:spacing w:line="360" w:lineRule="auto"/>
              <w:jc w:val="center"/>
              <w:rPr>
                <w:color w:val="auto"/>
                <w:highlight w:val="none"/>
              </w:rPr>
            </w:pPr>
            <w:r>
              <w:rPr>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Merge w:val="continue"/>
            <w:noWrap/>
            <w:vAlign w:val="center"/>
          </w:tcPr>
          <w:p>
            <w:pPr>
              <w:spacing w:line="240" w:lineRule="exact"/>
              <w:rPr>
                <w:rFonts w:ascii="宋体" w:hAnsi="宋体"/>
                <w:color w:val="auto"/>
                <w:sz w:val="18"/>
                <w:szCs w:val="18"/>
                <w:highlight w:val="none"/>
              </w:rPr>
            </w:pPr>
          </w:p>
        </w:tc>
        <w:tc>
          <w:tcPr>
            <w:tcW w:w="3060" w:type="dxa"/>
            <w:vMerge w:val="continue"/>
            <w:noWrap/>
            <w:vAlign w:val="center"/>
          </w:tcPr>
          <w:p>
            <w:pPr>
              <w:spacing w:line="240" w:lineRule="exact"/>
              <w:rPr>
                <w:rFonts w:ascii="宋体" w:hAnsi="宋体"/>
                <w:color w:val="auto"/>
                <w:sz w:val="18"/>
                <w:szCs w:val="18"/>
                <w:highlight w:val="none"/>
              </w:rPr>
            </w:pP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p>
        </w:tc>
        <w:tc>
          <w:tcPr>
            <w:tcW w:w="3060"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主要施工方法</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p>
        </w:tc>
        <w:tc>
          <w:tcPr>
            <w:tcW w:w="3060" w:type="dxa"/>
            <w:noWrap/>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拟投入的主要物资计划</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3</w:t>
            </w:r>
          </w:p>
        </w:tc>
        <w:tc>
          <w:tcPr>
            <w:tcW w:w="3060" w:type="dxa"/>
            <w:noWrap/>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拟投入的主要施工机械、设备计划</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4</w:t>
            </w:r>
          </w:p>
        </w:tc>
        <w:tc>
          <w:tcPr>
            <w:tcW w:w="3060" w:type="dxa"/>
            <w:noWrap/>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劳动力安排计划</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5</w:t>
            </w:r>
          </w:p>
        </w:tc>
        <w:tc>
          <w:tcPr>
            <w:tcW w:w="3060" w:type="dxa"/>
            <w:noWrap/>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确保工程质量的技术组织措施</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6</w:t>
            </w:r>
          </w:p>
        </w:tc>
        <w:tc>
          <w:tcPr>
            <w:tcW w:w="3060" w:type="dxa"/>
            <w:noWrap/>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确保安全生产的技术组织措施</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7</w:t>
            </w:r>
          </w:p>
        </w:tc>
        <w:tc>
          <w:tcPr>
            <w:tcW w:w="3060" w:type="dxa"/>
            <w:noWrap/>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确保工期的技术组织措施</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8</w:t>
            </w:r>
          </w:p>
        </w:tc>
        <w:tc>
          <w:tcPr>
            <w:tcW w:w="3060" w:type="dxa"/>
            <w:noWrap/>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确保文明施工的技术组织措施</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9</w:t>
            </w:r>
          </w:p>
        </w:tc>
        <w:tc>
          <w:tcPr>
            <w:tcW w:w="3060" w:type="dxa"/>
            <w:noWrap/>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工程施工的重点和难点及保证措施</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10</w:t>
            </w:r>
          </w:p>
        </w:tc>
        <w:tc>
          <w:tcPr>
            <w:tcW w:w="3060" w:type="dxa"/>
            <w:noWrap/>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施工总平面布置图</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11</w:t>
            </w:r>
          </w:p>
        </w:tc>
        <w:tc>
          <w:tcPr>
            <w:tcW w:w="3060"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装配式技术应用分析</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974" w:type="dxa"/>
            <w:gridSpan w:val="2"/>
            <w:noWrap/>
            <w:vAlign w:val="center"/>
          </w:tcPr>
          <w:p>
            <w:pPr>
              <w:spacing w:line="360" w:lineRule="auto"/>
              <w:jc w:val="center"/>
              <w:rPr>
                <w:color w:val="auto"/>
                <w:highlight w:val="none"/>
              </w:rPr>
            </w:pPr>
            <w:r>
              <w:rPr>
                <w:color w:val="auto"/>
                <w:szCs w:val="44"/>
                <w:highlight w:val="none"/>
              </w:rPr>
              <w:t>得分合计</w:t>
            </w:r>
            <w:r>
              <w:rPr>
                <w:rFonts w:hint="eastAsia"/>
                <w:color w:val="auto"/>
                <w:szCs w:val="44"/>
                <w:highlight w:val="none"/>
              </w:rPr>
              <w:t>（</w:t>
            </w:r>
            <w:r>
              <w:rPr>
                <w:color w:val="auto"/>
                <w:szCs w:val="44"/>
                <w:highlight w:val="none"/>
              </w:rPr>
              <w:t>满分</w:t>
            </w:r>
            <w:r>
              <w:rPr>
                <w:rFonts w:hint="eastAsia"/>
                <w:color w:val="auto"/>
                <w:szCs w:val="44"/>
                <w:highlight w:val="none"/>
              </w:rPr>
              <w:t>）</w:t>
            </w:r>
          </w:p>
        </w:tc>
        <w:tc>
          <w:tcPr>
            <w:tcW w:w="99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001"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r>
        <w:rPr>
          <w:color w:val="auto"/>
          <w:highlight w:val="none"/>
        </w:rPr>
        <w:t>技术类</w:t>
      </w:r>
      <w:r>
        <w:rPr>
          <w:rFonts w:hint="eastAsia"/>
          <w:color w:val="auto"/>
          <w:highlight w:val="none"/>
        </w:rPr>
        <w:t>评委</w:t>
      </w:r>
      <w:r>
        <w:rPr>
          <w:color w:val="auto"/>
          <w:highlight w:val="none"/>
        </w:rPr>
        <w:t>签名：                                                                        日期：        年     月     日</w:t>
      </w:r>
    </w:p>
    <w:p>
      <w:pPr>
        <w:rPr>
          <w:color w:val="auto"/>
          <w:highlight w:val="none"/>
        </w:rPr>
      </w:pPr>
    </w:p>
    <w:p>
      <w:pPr>
        <w:jc w:val="center"/>
        <w:rPr>
          <w:rFonts w:ascii="宋体" w:hAnsi="宋体"/>
          <w:color w:val="auto"/>
          <w:sz w:val="28"/>
          <w:szCs w:val="28"/>
          <w:highlight w:val="none"/>
        </w:rPr>
      </w:pPr>
      <w:r>
        <w:rPr>
          <w:rFonts w:hint="eastAsia"/>
          <w:b/>
          <w:color w:val="auto"/>
          <w:sz w:val="28"/>
          <w:szCs w:val="28"/>
          <w:highlight w:val="none"/>
        </w:rPr>
        <w:t>（二）施工组织设计评分汇总明细</w:t>
      </w:r>
      <w:r>
        <w:rPr>
          <w:b/>
          <w:color w:val="auto"/>
          <w:sz w:val="28"/>
          <w:szCs w:val="28"/>
          <w:highlight w:val="none"/>
        </w:rPr>
        <w:t>表</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p>
      <w:pPr>
        <w:spacing w:after="72" w:afterLines="30" w:line="440" w:lineRule="exact"/>
        <w:rPr>
          <w:color w:val="auto"/>
          <w:highlight w:val="none"/>
        </w:rPr>
      </w:pPr>
    </w:p>
    <w:tbl>
      <w:tblPr>
        <w:tblStyle w:val="22"/>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noWrap/>
            <w:vAlign w:val="center"/>
          </w:tcPr>
          <w:p>
            <w:pPr>
              <w:jc w:val="center"/>
              <w:rPr>
                <w:color w:val="auto"/>
                <w:highlight w:val="none"/>
              </w:rPr>
            </w:pPr>
            <w:r>
              <w:rPr>
                <w:color w:val="auto"/>
                <w:highlight w:val="none"/>
              </w:rPr>
              <w:t>评委序号和姓名</w:t>
            </w:r>
          </w:p>
        </w:tc>
        <w:tc>
          <w:tcPr>
            <w:tcW w:w="11639" w:type="dxa"/>
            <w:gridSpan w:val="7"/>
            <w:noWrap/>
            <w:vAlign w:val="center"/>
          </w:tcPr>
          <w:p>
            <w:pPr>
              <w:jc w:val="center"/>
              <w:rPr>
                <w:color w:val="auto"/>
                <w:highlight w:val="none"/>
              </w:rPr>
            </w:pPr>
            <w:r>
              <w:rPr>
                <w:color w:val="auto"/>
                <w:highlight w:val="none"/>
              </w:rPr>
              <w:t>投标人名称</w:t>
            </w:r>
            <w:r>
              <w:rPr>
                <w:rFonts w:hint="eastAsia"/>
                <w:color w:val="auto"/>
                <w:highlight w:val="none"/>
              </w:rPr>
              <w:t>（</w:t>
            </w:r>
            <w:r>
              <w:rPr>
                <w:color w:val="auto"/>
                <w:highlight w:val="none"/>
              </w:rPr>
              <w:t>或代码</w:t>
            </w:r>
            <w:r>
              <w:rPr>
                <w:rFonts w:hint="eastAsia"/>
                <w:color w:val="auto"/>
                <w:highlight w:val="none"/>
              </w:rPr>
              <w:t>）</w:t>
            </w:r>
            <w:r>
              <w:rPr>
                <w:color w:val="auto"/>
                <w:highlight w:val="none"/>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1:</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2:</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3:</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4:</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5:</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6:</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7:</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各评委评分合计</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各评委评分平均值</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p>
    <w:p>
      <w:pPr>
        <w:spacing w:after="240" w:afterLines="100"/>
        <w:rPr>
          <w:color w:val="auto"/>
          <w:highlight w:val="none"/>
        </w:rPr>
      </w:pPr>
      <w:r>
        <w:rPr>
          <w:rFonts w:hint="eastAsia"/>
          <w:color w:val="auto"/>
          <w:highlight w:val="none"/>
        </w:rPr>
        <w:t>全体技术</w:t>
      </w:r>
      <w:r>
        <w:rPr>
          <w:color w:val="auto"/>
          <w:highlight w:val="none"/>
        </w:rPr>
        <w:t>类</w:t>
      </w:r>
      <w:r>
        <w:rPr>
          <w:rFonts w:hint="eastAsia"/>
          <w:color w:val="auto"/>
          <w:highlight w:val="none"/>
        </w:rPr>
        <w:t>评委</w:t>
      </w:r>
      <w:r>
        <w:rPr>
          <w:color w:val="auto"/>
          <w:highlight w:val="none"/>
        </w:rPr>
        <w:t xml:space="preserve">签名：  </w:t>
      </w:r>
    </w:p>
    <w:p>
      <w:pPr>
        <w:spacing w:after="240" w:afterLines="100"/>
        <w:rPr>
          <w:color w:val="auto"/>
          <w:highlight w:val="none"/>
        </w:rPr>
      </w:pPr>
    </w:p>
    <w:p>
      <w:pPr>
        <w:spacing w:after="240" w:afterLines="100"/>
        <w:rPr>
          <w:color w:val="auto"/>
          <w:highlight w:val="none"/>
        </w:rPr>
      </w:pPr>
    </w:p>
    <w:p>
      <w:pPr>
        <w:rPr>
          <w:color w:val="auto"/>
          <w:highlight w:val="none"/>
        </w:rPr>
      </w:pPr>
    </w:p>
    <w:p>
      <w:pPr>
        <w:spacing w:line="360" w:lineRule="auto"/>
        <w:rPr>
          <w:rFonts w:ascii="宋体" w:hAnsi="宋体"/>
          <w:b/>
          <w:color w:val="auto"/>
          <w:sz w:val="28"/>
          <w:szCs w:val="28"/>
          <w:highlight w:val="none"/>
        </w:rPr>
      </w:pPr>
      <w:r>
        <w:rPr>
          <w:rFonts w:ascii="宋体" w:hAnsi="宋体"/>
          <w:b/>
          <w:color w:val="auto"/>
          <w:sz w:val="28"/>
          <w:szCs w:val="28"/>
          <w:highlight w:val="none"/>
        </w:rPr>
        <w:t>附表A-</w:t>
      </w:r>
      <w:r>
        <w:rPr>
          <w:rFonts w:hint="eastAsia" w:ascii="宋体" w:hAnsi="宋体"/>
          <w:b/>
          <w:color w:val="auto"/>
          <w:sz w:val="28"/>
          <w:szCs w:val="28"/>
          <w:highlight w:val="none"/>
        </w:rPr>
        <w:t>9</w:t>
      </w:r>
      <w:r>
        <w:rPr>
          <w:rFonts w:ascii="宋体" w:hAnsi="宋体"/>
          <w:b/>
          <w:color w:val="auto"/>
          <w:sz w:val="28"/>
          <w:szCs w:val="28"/>
          <w:highlight w:val="none"/>
        </w:rPr>
        <w:t>：</w:t>
      </w:r>
      <w:r>
        <w:rPr>
          <w:rFonts w:hint="eastAsia" w:ascii="宋体" w:hAnsi="宋体"/>
          <w:b/>
          <w:color w:val="auto"/>
          <w:sz w:val="28"/>
          <w:szCs w:val="28"/>
          <w:highlight w:val="none"/>
        </w:rPr>
        <w:t>资信业绩</w:t>
      </w:r>
      <w:r>
        <w:rPr>
          <w:rFonts w:ascii="宋体" w:hAnsi="宋体"/>
          <w:b/>
          <w:color w:val="auto"/>
          <w:sz w:val="28"/>
          <w:szCs w:val="28"/>
          <w:highlight w:val="none"/>
        </w:rPr>
        <w:t>评</w:t>
      </w:r>
      <w:r>
        <w:rPr>
          <w:rFonts w:hint="eastAsia" w:ascii="宋体" w:hAnsi="宋体"/>
          <w:b/>
          <w:color w:val="auto"/>
          <w:sz w:val="28"/>
          <w:szCs w:val="28"/>
          <w:highlight w:val="none"/>
        </w:rPr>
        <w:t>分</w:t>
      </w:r>
      <w:r>
        <w:rPr>
          <w:rFonts w:ascii="宋体" w:hAnsi="宋体"/>
          <w:b/>
          <w:color w:val="auto"/>
          <w:sz w:val="28"/>
          <w:szCs w:val="28"/>
          <w:highlight w:val="none"/>
        </w:rPr>
        <w:t>记录表</w:t>
      </w:r>
    </w:p>
    <w:p>
      <w:pPr>
        <w:spacing w:after="240" w:afterLines="100"/>
        <w:rPr>
          <w:color w:val="auto"/>
          <w:highlight w:val="none"/>
        </w:rPr>
        <w:sectPr>
          <w:type w:val="continuous"/>
          <w:pgSz w:w="16840" w:h="11907" w:orient="landscape"/>
          <w:pgMar w:top="1440" w:right="1440" w:bottom="1440" w:left="1797" w:header="851" w:footer="851" w:gutter="0"/>
          <w:cols w:space="720" w:num="1"/>
          <w:docGrid w:linePitch="312" w:charSpace="0"/>
        </w:sectPr>
      </w:pPr>
    </w:p>
    <w:p>
      <w:pPr>
        <w:jc w:val="center"/>
        <w:rPr>
          <w:b/>
          <w:color w:val="auto"/>
          <w:sz w:val="28"/>
          <w:szCs w:val="28"/>
          <w:highlight w:val="none"/>
        </w:rPr>
      </w:pPr>
      <w:bookmarkStart w:id="572" w:name="_Toc419363653"/>
      <w:r>
        <w:rPr>
          <w:rFonts w:hint="eastAsia"/>
          <w:b/>
          <w:color w:val="auto"/>
          <w:sz w:val="28"/>
          <w:szCs w:val="28"/>
          <w:highlight w:val="none"/>
        </w:rPr>
        <w:t>（一）资信业绩</w:t>
      </w:r>
      <w:r>
        <w:rPr>
          <w:b/>
          <w:color w:val="auto"/>
          <w:sz w:val="28"/>
          <w:szCs w:val="28"/>
          <w:highlight w:val="none"/>
        </w:rPr>
        <w:t>评</w:t>
      </w:r>
      <w:r>
        <w:rPr>
          <w:rFonts w:hint="eastAsia"/>
          <w:b/>
          <w:color w:val="auto"/>
          <w:sz w:val="28"/>
          <w:szCs w:val="28"/>
          <w:highlight w:val="none"/>
        </w:rPr>
        <w:t>分</w:t>
      </w:r>
      <w:r>
        <w:rPr>
          <w:b/>
          <w:color w:val="auto"/>
          <w:sz w:val="28"/>
          <w:szCs w:val="28"/>
          <w:highlight w:val="none"/>
        </w:rPr>
        <w:t>记录表</w:t>
      </w:r>
      <w:bookmarkEnd w:id="572"/>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3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791"/>
        <w:gridCol w:w="1132"/>
        <w:gridCol w:w="1132"/>
        <w:gridCol w:w="1132"/>
        <w:gridCol w:w="1132"/>
        <w:gridCol w:w="1132"/>
        <w:gridCol w:w="1132"/>
        <w:gridCol w:w="1132"/>
        <w:gridCol w:w="113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4" w:type="dxa"/>
            <w:vMerge w:val="restart"/>
            <w:noWrap/>
            <w:vAlign w:val="center"/>
          </w:tcPr>
          <w:p>
            <w:pPr>
              <w:spacing w:line="360" w:lineRule="auto"/>
              <w:jc w:val="center"/>
              <w:rPr>
                <w:color w:val="auto"/>
                <w:highlight w:val="none"/>
              </w:rPr>
            </w:pPr>
            <w:r>
              <w:rPr>
                <w:color w:val="auto"/>
                <w:highlight w:val="none"/>
              </w:rPr>
              <w:t>序号</w:t>
            </w:r>
          </w:p>
        </w:tc>
        <w:tc>
          <w:tcPr>
            <w:tcW w:w="2791" w:type="dxa"/>
            <w:vMerge w:val="restart"/>
            <w:noWrap/>
            <w:vAlign w:val="center"/>
          </w:tcPr>
          <w:p>
            <w:pPr>
              <w:spacing w:line="360" w:lineRule="auto"/>
              <w:jc w:val="center"/>
              <w:rPr>
                <w:color w:val="auto"/>
                <w:highlight w:val="none"/>
              </w:rPr>
            </w:pPr>
            <w:r>
              <w:rPr>
                <w:color w:val="auto"/>
                <w:highlight w:val="none"/>
              </w:rPr>
              <w:t>评审因素</w:t>
            </w:r>
          </w:p>
        </w:tc>
        <w:tc>
          <w:tcPr>
            <w:tcW w:w="10189" w:type="dxa"/>
            <w:gridSpan w:val="9"/>
            <w:noWrap/>
            <w:vAlign w:val="center"/>
          </w:tcPr>
          <w:p>
            <w:pPr>
              <w:spacing w:line="360" w:lineRule="auto"/>
              <w:jc w:val="center"/>
              <w:rPr>
                <w:color w:val="auto"/>
                <w:highlight w:val="none"/>
              </w:rPr>
            </w:pPr>
            <w:r>
              <w:rPr>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Merge w:val="continue"/>
            <w:noWrap/>
            <w:vAlign w:val="center"/>
          </w:tcPr>
          <w:p>
            <w:pPr>
              <w:spacing w:after="72" w:afterLines="30" w:line="320" w:lineRule="exact"/>
              <w:jc w:val="center"/>
              <w:rPr>
                <w:color w:val="auto"/>
                <w:highlight w:val="none"/>
              </w:rPr>
            </w:pPr>
          </w:p>
        </w:tc>
        <w:tc>
          <w:tcPr>
            <w:tcW w:w="2791" w:type="dxa"/>
            <w:vMerge w:val="continue"/>
            <w:noWrap/>
            <w:vAlign w:val="center"/>
          </w:tcPr>
          <w:p>
            <w:pPr>
              <w:spacing w:line="240" w:lineRule="exact"/>
              <w:rPr>
                <w:rFonts w:ascii="宋体" w:hAnsi="宋体"/>
                <w:color w:val="auto"/>
                <w:sz w:val="18"/>
                <w:szCs w:val="18"/>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p>
        </w:tc>
        <w:tc>
          <w:tcPr>
            <w:tcW w:w="2791" w:type="dxa"/>
            <w:noWrap/>
            <w:vAlign w:val="center"/>
          </w:tcPr>
          <w:p>
            <w:pPr>
              <w:spacing w:line="240" w:lineRule="exact"/>
              <w:rPr>
                <w:color w:val="auto"/>
                <w:sz w:val="18"/>
                <w:szCs w:val="18"/>
                <w:highlight w:val="none"/>
              </w:rPr>
            </w:pPr>
            <w:r>
              <w:rPr>
                <w:rFonts w:hint="eastAsia"/>
                <w:color w:val="auto"/>
                <w:sz w:val="18"/>
                <w:szCs w:val="18"/>
                <w:highlight w:val="none"/>
              </w:rPr>
              <w:t>信誉</w:t>
            </w: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p>
        </w:tc>
        <w:tc>
          <w:tcPr>
            <w:tcW w:w="2791" w:type="dxa"/>
            <w:noWrap/>
            <w:vAlign w:val="center"/>
          </w:tcPr>
          <w:p>
            <w:pPr>
              <w:spacing w:line="240" w:lineRule="exact"/>
              <w:rPr>
                <w:color w:val="auto"/>
                <w:sz w:val="18"/>
                <w:szCs w:val="18"/>
                <w:highlight w:val="none"/>
              </w:rPr>
            </w:pPr>
            <w:r>
              <w:rPr>
                <w:rFonts w:hint="eastAsia"/>
                <w:color w:val="auto"/>
                <w:sz w:val="18"/>
                <w:szCs w:val="18"/>
                <w:highlight w:val="none"/>
              </w:rPr>
              <w:t>类似项目业绩</w:t>
            </w: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3</w:t>
            </w:r>
          </w:p>
        </w:tc>
        <w:tc>
          <w:tcPr>
            <w:tcW w:w="2791" w:type="dxa"/>
            <w:noWrap/>
            <w:vAlign w:val="center"/>
          </w:tcPr>
          <w:p>
            <w:pPr>
              <w:spacing w:line="240" w:lineRule="exact"/>
              <w:rPr>
                <w:color w:val="auto"/>
                <w:sz w:val="18"/>
                <w:szCs w:val="18"/>
                <w:highlight w:val="none"/>
              </w:rPr>
            </w:pPr>
            <w:r>
              <w:rPr>
                <w:rFonts w:hint="eastAsia"/>
                <w:color w:val="auto"/>
                <w:sz w:val="18"/>
                <w:szCs w:val="18"/>
                <w:highlight w:val="none"/>
              </w:rPr>
              <w:t>项目总负责人资格及业绩</w:t>
            </w:r>
          </w:p>
          <w:p>
            <w:pPr>
              <w:spacing w:line="240" w:lineRule="exact"/>
              <w:rPr>
                <w:color w:val="auto"/>
                <w:sz w:val="18"/>
                <w:szCs w:val="18"/>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4</w:t>
            </w:r>
          </w:p>
        </w:tc>
        <w:tc>
          <w:tcPr>
            <w:tcW w:w="2791" w:type="dxa"/>
            <w:noWrap/>
            <w:vAlign w:val="center"/>
          </w:tcPr>
          <w:p>
            <w:pPr>
              <w:spacing w:line="240" w:lineRule="exact"/>
              <w:rPr>
                <w:color w:val="auto"/>
                <w:sz w:val="18"/>
                <w:szCs w:val="18"/>
                <w:highlight w:val="none"/>
              </w:rPr>
            </w:pPr>
            <w:r>
              <w:rPr>
                <w:rFonts w:hint="eastAsia"/>
                <w:color w:val="auto"/>
                <w:sz w:val="18"/>
                <w:szCs w:val="18"/>
                <w:highlight w:val="none"/>
              </w:rPr>
              <w:t>项目设计负责人资格及业绩</w:t>
            </w: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5</w:t>
            </w:r>
          </w:p>
        </w:tc>
        <w:tc>
          <w:tcPr>
            <w:tcW w:w="2791" w:type="dxa"/>
            <w:noWrap/>
            <w:vAlign w:val="center"/>
          </w:tcPr>
          <w:p>
            <w:pPr>
              <w:spacing w:line="240" w:lineRule="exact"/>
              <w:rPr>
                <w:color w:val="auto"/>
                <w:sz w:val="18"/>
                <w:szCs w:val="18"/>
                <w:highlight w:val="none"/>
              </w:rPr>
            </w:pPr>
            <w:r>
              <w:rPr>
                <w:rFonts w:hint="eastAsia"/>
                <w:color w:val="auto"/>
                <w:sz w:val="18"/>
                <w:szCs w:val="18"/>
                <w:highlight w:val="none"/>
              </w:rPr>
              <w:t>项目采购负责人资格及业绩</w:t>
            </w: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6</w:t>
            </w:r>
          </w:p>
        </w:tc>
        <w:tc>
          <w:tcPr>
            <w:tcW w:w="2791" w:type="dxa"/>
            <w:noWrap/>
            <w:vAlign w:val="center"/>
          </w:tcPr>
          <w:p>
            <w:pPr>
              <w:spacing w:line="240" w:lineRule="exact"/>
              <w:rPr>
                <w:color w:val="auto"/>
                <w:sz w:val="18"/>
                <w:szCs w:val="18"/>
                <w:highlight w:val="none"/>
              </w:rPr>
            </w:pPr>
            <w:r>
              <w:rPr>
                <w:rFonts w:hint="eastAsia"/>
                <w:color w:val="auto"/>
                <w:sz w:val="18"/>
                <w:szCs w:val="18"/>
                <w:highlight w:val="none"/>
              </w:rPr>
              <w:t>项目经理资格及业绩</w:t>
            </w: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14" w:type="dxa"/>
            <w:noWrap/>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7</w:t>
            </w:r>
          </w:p>
        </w:tc>
        <w:tc>
          <w:tcPr>
            <w:tcW w:w="2791" w:type="dxa"/>
            <w:noWrap/>
            <w:vAlign w:val="center"/>
          </w:tcPr>
          <w:p>
            <w:pPr>
              <w:spacing w:line="240" w:lineRule="exact"/>
              <w:rPr>
                <w:color w:val="auto"/>
                <w:sz w:val="18"/>
                <w:szCs w:val="18"/>
                <w:highlight w:val="none"/>
              </w:rPr>
            </w:pPr>
            <w:r>
              <w:rPr>
                <w:rFonts w:hint="eastAsia"/>
                <w:color w:val="auto"/>
                <w:sz w:val="18"/>
                <w:szCs w:val="18"/>
                <w:highlight w:val="none"/>
              </w:rPr>
              <w:t>其他主要人员资格及业绩</w:t>
            </w: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noWrap/>
            <w:vAlign w:val="center"/>
          </w:tcPr>
          <w:p>
            <w:pPr>
              <w:spacing w:line="240" w:lineRule="exact"/>
              <w:rPr>
                <w:color w:val="auto"/>
                <w:sz w:val="18"/>
                <w:szCs w:val="18"/>
                <w:highlight w:val="none"/>
              </w:rPr>
            </w:pPr>
            <w:r>
              <w:rPr>
                <w:rFonts w:hint="eastAsia"/>
                <w:color w:val="auto"/>
                <w:sz w:val="18"/>
                <w:szCs w:val="18"/>
                <w:highlight w:val="none"/>
              </w:rPr>
              <w:t>8</w:t>
            </w:r>
          </w:p>
        </w:tc>
        <w:tc>
          <w:tcPr>
            <w:tcW w:w="2791" w:type="dxa"/>
            <w:noWrap/>
            <w:vAlign w:val="center"/>
          </w:tcPr>
          <w:p>
            <w:pPr>
              <w:spacing w:line="240" w:lineRule="exact"/>
              <w:rPr>
                <w:color w:val="auto"/>
                <w:sz w:val="18"/>
                <w:szCs w:val="18"/>
                <w:highlight w:val="none"/>
              </w:rPr>
            </w:pPr>
            <w:r>
              <w:rPr>
                <w:rFonts w:hint="eastAsia"/>
                <w:color w:val="auto"/>
                <w:sz w:val="18"/>
                <w:szCs w:val="18"/>
                <w:highlight w:val="none"/>
              </w:rPr>
              <w:t>采用建筑信息模型（BIM）技术的项目业绩</w:t>
            </w: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705" w:type="dxa"/>
            <w:gridSpan w:val="2"/>
            <w:noWrap/>
            <w:vAlign w:val="center"/>
          </w:tcPr>
          <w:p>
            <w:pPr>
              <w:spacing w:line="360" w:lineRule="auto"/>
              <w:jc w:val="center"/>
              <w:rPr>
                <w:color w:val="auto"/>
                <w:highlight w:val="none"/>
              </w:rPr>
            </w:pPr>
            <w:r>
              <w:rPr>
                <w:color w:val="auto"/>
                <w:szCs w:val="44"/>
                <w:highlight w:val="none"/>
              </w:rPr>
              <w:t>得分合计</w:t>
            </w:r>
            <w:r>
              <w:rPr>
                <w:rFonts w:hint="eastAsia"/>
                <w:color w:val="auto"/>
                <w:szCs w:val="44"/>
                <w:highlight w:val="none"/>
              </w:rPr>
              <w:t>（</w:t>
            </w:r>
            <w:r>
              <w:rPr>
                <w:color w:val="auto"/>
                <w:szCs w:val="44"/>
                <w:highlight w:val="none"/>
              </w:rPr>
              <w:t>满分</w:t>
            </w:r>
            <w:r>
              <w:rPr>
                <w:rFonts w:hint="eastAsia"/>
                <w:color w:val="auto"/>
                <w:szCs w:val="44"/>
                <w:highlight w:val="none"/>
              </w:rPr>
              <w:t>）</w:t>
            </w: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705" w:type="dxa"/>
            <w:gridSpan w:val="2"/>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2" w:type="dxa"/>
            <w:noWrap/>
            <w:vAlign w:val="center"/>
          </w:tcPr>
          <w:p>
            <w:pPr>
              <w:spacing w:line="360" w:lineRule="auto"/>
              <w:jc w:val="center"/>
              <w:rPr>
                <w:color w:val="auto"/>
                <w:highlight w:val="none"/>
              </w:rPr>
            </w:pPr>
          </w:p>
        </w:tc>
        <w:tc>
          <w:tcPr>
            <w:tcW w:w="1133" w:type="dxa"/>
            <w:noWrap/>
            <w:vAlign w:val="center"/>
          </w:tcPr>
          <w:p>
            <w:pPr>
              <w:spacing w:line="360" w:lineRule="auto"/>
              <w:jc w:val="center"/>
              <w:rPr>
                <w:color w:val="auto"/>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r>
        <w:rPr>
          <w:rFonts w:hint="eastAsia"/>
          <w:color w:val="auto"/>
          <w:highlight w:val="none"/>
        </w:rPr>
        <w:t>全</w:t>
      </w:r>
      <w:r>
        <w:rPr>
          <w:color w:val="auto"/>
          <w:highlight w:val="none"/>
        </w:rPr>
        <w:t>体</w:t>
      </w:r>
      <w:r>
        <w:rPr>
          <w:rFonts w:hint="eastAsia"/>
          <w:color w:val="auto"/>
          <w:highlight w:val="none"/>
        </w:rPr>
        <w:t>评委</w:t>
      </w:r>
      <w:r>
        <w:rPr>
          <w:color w:val="auto"/>
          <w:highlight w:val="none"/>
        </w:rPr>
        <w:t>签名：                                                                        日期：        年     月     日</w:t>
      </w:r>
    </w:p>
    <w:p>
      <w:pPr>
        <w:jc w:val="center"/>
        <w:rPr>
          <w:b/>
          <w:color w:val="auto"/>
          <w:sz w:val="28"/>
          <w:szCs w:val="28"/>
          <w:highlight w:val="none"/>
        </w:rPr>
      </w:pPr>
    </w:p>
    <w:p>
      <w:pPr>
        <w:jc w:val="center"/>
        <w:rPr>
          <w:b/>
          <w:color w:val="auto"/>
          <w:sz w:val="28"/>
          <w:szCs w:val="28"/>
          <w:highlight w:val="none"/>
        </w:rPr>
      </w:pPr>
    </w:p>
    <w:p>
      <w:pPr>
        <w:jc w:val="center"/>
        <w:rPr>
          <w:rFonts w:eastAsia="黑体"/>
          <w:color w:val="auto"/>
          <w:sz w:val="28"/>
          <w:szCs w:val="28"/>
          <w:highlight w:val="none"/>
        </w:rPr>
      </w:pPr>
      <w:r>
        <w:rPr>
          <w:rFonts w:hint="eastAsia"/>
          <w:b/>
          <w:color w:val="auto"/>
          <w:sz w:val="28"/>
          <w:szCs w:val="28"/>
          <w:highlight w:val="none"/>
        </w:rPr>
        <w:t>（二）资信业绩评分汇总明细</w:t>
      </w:r>
      <w:r>
        <w:rPr>
          <w:b/>
          <w:color w:val="auto"/>
          <w:sz w:val="28"/>
          <w:szCs w:val="28"/>
          <w:highlight w:val="none"/>
        </w:rPr>
        <w:t>表</w:t>
      </w:r>
    </w:p>
    <w:p>
      <w:pPr>
        <w:rPr>
          <w:color w:val="auto"/>
          <w:highlight w:val="none"/>
        </w:rPr>
      </w:pPr>
      <w:r>
        <w:rPr>
          <w:color w:val="auto"/>
          <w:highlight w:val="none"/>
        </w:rPr>
        <w:t>工程名称</w:t>
      </w:r>
      <w:r>
        <w:rPr>
          <w:rFonts w:hint="eastAsia"/>
          <w:color w:val="auto"/>
          <w:highlight w:val="none"/>
        </w:rPr>
        <w:t>及项目招标编号</w:t>
      </w:r>
      <w:r>
        <w:rPr>
          <w:color w:val="auto"/>
          <w:highlight w:val="none"/>
        </w:rPr>
        <w:t>：</w:t>
      </w:r>
    </w:p>
    <w:p>
      <w:pPr>
        <w:spacing w:after="72" w:afterLines="30" w:line="440" w:lineRule="exact"/>
        <w:rPr>
          <w:color w:val="auto"/>
          <w:highlight w:val="none"/>
        </w:rPr>
      </w:pPr>
      <w:r>
        <w:rPr>
          <w:color w:val="auto"/>
          <w:highlight w:val="none"/>
        </w:rPr>
        <w:t xml:space="preserve">          时间：      年      月      日</w:t>
      </w:r>
    </w:p>
    <w:tbl>
      <w:tblPr>
        <w:tblStyle w:val="22"/>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noWrap/>
            <w:vAlign w:val="center"/>
          </w:tcPr>
          <w:p>
            <w:pPr>
              <w:jc w:val="center"/>
              <w:rPr>
                <w:color w:val="auto"/>
                <w:highlight w:val="none"/>
              </w:rPr>
            </w:pPr>
            <w:r>
              <w:rPr>
                <w:color w:val="auto"/>
                <w:highlight w:val="none"/>
              </w:rPr>
              <w:t>评委序号和姓名</w:t>
            </w:r>
          </w:p>
        </w:tc>
        <w:tc>
          <w:tcPr>
            <w:tcW w:w="11639" w:type="dxa"/>
            <w:gridSpan w:val="7"/>
            <w:noWrap/>
            <w:vAlign w:val="center"/>
          </w:tcPr>
          <w:p>
            <w:pPr>
              <w:jc w:val="center"/>
              <w:rPr>
                <w:color w:val="auto"/>
                <w:highlight w:val="none"/>
              </w:rPr>
            </w:pPr>
            <w:r>
              <w:rPr>
                <w:color w:val="auto"/>
                <w:highlight w:val="none"/>
              </w:rPr>
              <w:t>投标人名称</w:t>
            </w:r>
            <w:r>
              <w:rPr>
                <w:rFonts w:hint="eastAsia"/>
                <w:color w:val="auto"/>
                <w:highlight w:val="none"/>
              </w:rPr>
              <w:t>（</w:t>
            </w:r>
            <w:r>
              <w:rPr>
                <w:color w:val="auto"/>
                <w:highlight w:val="none"/>
              </w:rPr>
              <w:t>或代码</w:t>
            </w:r>
            <w:r>
              <w:rPr>
                <w:rFonts w:hint="eastAsia"/>
                <w:color w:val="auto"/>
                <w:highlight w:val="none"/>
              </w:rPr>
              <w:t>）</w:t>
            </w:r>
            <w:r>
              <w:rPr>
                <w:color w:val="auto"/>
                <w:highlight w:val="none"/>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1:</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2:</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3:</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4:</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5:</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6:</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color w:val="auto"/>
                <w:highlight w:val="none"/>
              </w:rPr>
              <w:t>7:</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r>
              <w:rPr>
                <w:rFonts w:hint="eastAsia"/>
                <w:color w:val="auto"/>
                <w:highlight w:val="none"/>
              </w:rPr>
              <w:t>8</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各评委评分合计</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各评委评分平均值</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p>
    <w:p>
      <w:pPr>
        <w:spacing w:after="240" w:afterLines="100"/>
        <w:rPr>
          <w:color w:val="auto"/>
          <w:highlight w:val="none"/>
        </w:rPr>
      </w:pPr>
      <w:r>
        <w:rPr>
          <w:rFonts w:hint="eastAsia"/>
          <w:color w:val="auto"/>
          <w:highlight w:val="none"/>
        </w:rPr>
        <w:t>评委</w:t>
      </w:r>
      <w:r>
        <w:rPr>
          <w:color w:val="auto"/>
          <w:highlight w:val="none"/>
        </w:rPr>
        <w:t xml:space="preserve">签名：  </w:t>
      </w:r>
    </w:p>
    <w:p>
      <w:pPr>
        <w:spacing w:after="240" w:afterLines="100"/>
        <w:rPr>
          <w:color w:val="auto"/>
          <w:highlight w:val="none"/>
        </w:rPr>
      </w:pPr>
    </w:p>
    <w:p>
      <w:pPr>
        <w:rPr>
          <w:color w:val="auto"/>
          <w:highlight w:val="none"/>
        </w:rPr>
      </w:pPr>
    </w:p>
    <w:p>
      <w:pPr>
        <w:rPr>
          <w:color w:val="auto"/>
          <w:highlight w:val="none"/>
        </w:rPr>
      </w:pPr>
    </w:p>
    <w:p>
      <w:pPr>
        <w:spacing w:after="240" w:afterLines="100"/>
        <w:rPr>
          <w:color w:val="auto"/>
          <w:highlight w:val="none"/>
        </w:rPr>
        <w:sectPr>
          <w:type w:val="continuous"/>
          <w:pgSz w:w="16840" w:h="11907" w:orient="landscape"/>
          <w:pgMar w:top="1440" w:right="1440" w:bottom="1440" w:left="1797" w:header="851" w:footer="851" w:gutter="0"/>
          <w:cols w:space="720" w:num="1"/>
          <w:docGrid w:linePitch="312" w:charSpace="0"/>
        </w:sectPr>
      </w:pPr>
    </w:p>
    <w:p>
      <w:pPr>
        <w:spacing w:line="360" w:lineRule="auto"/>
        <w:rPr>
          <w:rFonts w:ascii="宋体" w:hAnsi="宋体"/>
          <w:b/>
          <w:color w:val="auto"/>
          <w:sz w:val="28"/>
          <w:szCs w:val="28"/>
          <w:highlight w:val="none"/>
        </w:rPr>
      </w:pPr>
      <w:r>
        <w:rPr>
          <w:rFonts w:ascii="宋体" w:hAnsi="宋体"/>
          <w:b/>
          <w:color w:val="auto"/>
          <w:sz w:val="28"/>
          <w:szCs w:val="28"/>
          <w:highlight w:val="none"/>
        </w:rPr>
        <w:t>附表A-</w:t>
      </w:r>
      <w:r>
        <w:rPr>
          <w:rFonts w:hint="eastAsia" w:ascii="宋体" w:hAnsi="宋体"/>
          <w:b/>
          <w:color w:val="auto"/>
          <w:sz w:val="28"/>
          <w:szCs w:val="28"/>
          <w:highlight w:val="none"/>
        </w:rPr>
        <w:t>10</w:t>
      </w:r>
      <w:r>
        <w:rPr>
          <w:rFonts w:ascii="宋体" w:hAnsi="宋体"/>
          <w:b/>
          <w:color w:val="auto"/>
          <w:sz w:val="28"/>
          <w:szCs w:val="28"/>
          <w:highlight w:val="none"/>
        </w:rPr>
        <w:t>：</w:t>
      </w:r>
      <w:r>
        <w:rPr>
          <w:rFonts w:hint="eastAsia" w:ascii="宋体" w:hAnsi="宋体"/>
          <w:b/>
          <w:color w:val="auto"/>
          <w:sz w:val="28"/>
          <w:szCs w:val="28"/>
          <w:highlight w:val="none"/>
        </w:rPr>
        <w:t>商务部分</w:t>
      </w:r>
      <w:r>
        <w:rPr>
          <w:rFonts w:ascii="宋体" w:hAnsi="宋体"/>
          <w:b/>
          <w:color w:val="auto"/>
          <w:sz w:val="28"/>
          <w:szCs w:val="28"/>
          <w:highlight w:val="none"/>
        </w:rPr>
        <w:t>评分记录表</w:t>
      </w:r>
    </w:p>
    <w:p>
      <w:pPr>
        <w:jc w:val="center"/>
        <w:rPr>
          <w:b/>
          <w:color w:val="auto"/>
          <w:sz w:val="28"/>
          <w:szCs w:val="28"/>
          <w:highlight w:val="none"/>
        </w:rPr>
      </w:pPr>
      <w:r>
        <w:rPr>
          <w:rFonts w:hint="eastAsia"/>
          <w:b/>
          <w:color w:val="auto"/>
          <w:sz w:val="28"/>
          <w:szCs w:val="28"/>
          <w:highlight w:val="none"/>
        </w:rPr>
        <w:t>商务标</w:t>
      </w:r>
      <w:r>
        <w:rPr>
          <w:b/>
          <w:color w:val="auto"/>
          <w:sz w:val="28"/>
          <w:szCs w:val="28"/>
          <w:highlight w:val="none"/>
        </w:rPr>
        <w:t>评分记录表</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4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1368"/>
        <w:gridCol w:w="1116"/>
        <w:gridCol w:w="1272"/>
        <w:gridCol w:w="1278"/>
        <w:gridCol w:w="1290"/>
        <w:gridCol w:w="158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617" w:type="dxa"/>
            <w:vMerge w:val="restart"/>
            <w:noWrap/>
            <w:vAlign w:val="center"/>
          </w:tcPr>
          <w:p>
            <w:pPr>
              <w:jc w:val="center"/>
              <w:rPr>
                <w:color w:val="auto"/>
                <w:highlight w:val="none"/>
              </w:rPr>
            </w:pPr>
            <w:r>
              <w:rPr>
                <w:color w:val="auto"/>
                <w:highlight w:val="none"/>
              </w:rPr>
              <w:t>项目</w:t>
            </w:r>
          </w:p>
        </w:tc>
        <w:tc>
          <w:tcPr>
            <w:tcW w:w="9432" w:type="dxa"/>
            <w:gridSpan w:val="7"/>
            <w:noWrap/>
            <w:vAlign w:val="center"/>
          </w:tcPr>
          <w:p>
            <w:pPr>
              <w:jc w:val="center"/>
              <w:rPr>
                <w:color w:val="auto"/>
                <w:highlight w:val="none"/>
              </w:rPr>
            </w:pPr>
            <w:r>
              <w:rPr>
                <w:color w:val="auto"/>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17" w:type="dxa"/>
            <w:vMerge w:val="continue"/>
            <w:noWrap/>
            <w:vAlign w:val="center"/>
          </w:tcPr>
          <w:p>
            <w:pPr>
              <w:jc w:val="center"/>
              <w:rPr>
                <w:color w:val="auto"/>
                <w:highlight w:val="none"/>
              </w:rPr>
            </w:pPr>
          </w:p>
        </w:tc>
        <w:tc>
          <w:tcPr>
            <w:tcW w:w="1368" w:type="dxa"/>
            <w:noWrap/>
            <w:vAlign w:val="center"/>
          </w:tcPr>
          <w:p>
            <w:pPr>
              <w:jc w:val="center"/>
              <w:rPr>
                <w:color w:val="auto"/>
                <w:highlight w:val="none"/>
              </w:rPr>
            </w:pPr>
          </w:p>
        </w:tc>
        <w:tc>
          <w:tcPr>
            <w:tcW w:w="1116" w:type="dxa"/>
            <w:noWrap/>
            <w:vAlign w:val="center"/>
          </w:tcPr>
          <w:p>
            <w:pPr>
              <w:jc w:val="center"/>
              <w:rPr>
                <w:color w:val="auto"/>
                <w:highlight w:val="none"/>
              </w:rPr>
            </w:pPr>
          </w:p>
        </w:tc>
        <w:tc>
          <w:tcPr>
            <w:tcW w:w="1272" w:type="dxa"/>
            <w:noWrap/>
            <w:vAlign w:val="center"/>
          </w:tcPr>
          <w:p>
            <w:pPr>
              <w:jc w:val="center"/>
              <w:rPr>
                <w:color w:val="auto"/>
                <w:highlight w:val="none"/>
              </w:rPr>
            </w:pPr>
          </w:p>
        </w:tc>
        <w:tc>
          <w:tcPr>
            <w:tcW w:w="1278" w:type="dxa"/>
            <w:noWrap/>
            <w:vAlign w:val="center"/>
          </w:tcPr>
          <w:p>
            <w:pPr>
              <w:jc w:val="center"/>
              <w:rPr>
                <w:color w:val="auto"/>
                <w:highlight w:val="none"/>
              </w:rPr>
            </w:pPr>
          </w:p>
        </w:tc>
        <w:tc>
          <w:tcPr>
            <w:tcW w:w="1290" w:type="dxa"/>
            <w:noWrap/>
            <w:vAlign w:val="center"/>
          </w:tcPr>
          <w:p>
            <w:pPr>
              <w:jc w:val="center"/>
              <w:rPr>
                <w:color w:val="auto"/>
                <w:highlight w:val="none"/>
              </w:rPr>
            </w:pPr>
          </w:p>
        </w:tc>
        <w:tc>
          <w:tcPr>
            <w:tcW w:w="1584" w:type="dxa"/>
            <w:noWrap/>
            <w:vAlign w:val="center"/>
          </w:tcPr>
          <w:p>
            <w:pPr>
              <w:jc w:val="center"/>
              <w:rPr>
                <w:color w:val="auto"/>
                <w:highlight w:val="none"/>
              </w:rPr>
            </w:pPr>
          </w:p>
        </w:tc>
        <w:tc>
          <w:tcPr>
            <w:tcW w:w="1524"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noWrap/>
            <w:vAlign w:val="center"/>
          </w:tcPr>
          <w:p>
            <w:pPr>
              <w:jc w:val="center"/>
              <w:rPr>
                <w:color w:val="auto"/>
                <w:highlight w:val="none"/>
              </w:rPr>
            </w:pPr>
            <w:r>
              <w:rPr>
                <w:color w:val="auto"/>
                <w:highlight w:val="none"/>
              </w:rPr>
              <w:t>投标报价</w:t>
            </w:r>
          </w:p>
        </w:tc>
        <w:tc>
          <w:tcPr>
            <w:tcW w:w="1368" w:type="dxa"/>
            <w:noWrap/>
            <w:vAlign w:val="center"/>
          </w:tcPr>
          <w:p>
            <w:pPr>
              <w:jc w:val="center"/>
              <w:rPr>
                <w:color w:val="auto"/>
                <w:highlight w:val="none"/>
              </w:rPr>
            </w:pPr>
          </w:p>
        </w:tc>
        <w:tc>
          <w:tcPr>
            <w:tcW w:w="1116" w:type="dxa"/>
            <w:noWrap/>
            <w:vAlign w:val="center"/>
          </w:tcPr>
          <w:p>
            <w:pPr>
              <w:jc w:val="center"/>
              <w:rPr>
                <w:color w:val="auto"/>
                <w:highlight w:val="none"/>
              </w:rPr>
            </w:pPr>
          </w:p>
        </w:tc>
        <w:tc>
          <w:tcPr>
            <w:tcW w:w="1272" w:type="dxa"/>
            <w:noWrap/>
            <w:vAlign w:val="center"/>
          </w:tcPr>
          <w:p>
            <w:pPr>
              <w:jc w:val="center"/>
              <w:rPr>
                <w:color w:val="auto"/>
                <w:highlight w:val="none"/>
              </w:rPr>
            </w:pPr>
          </w:p>
        </w:tc>
        <w:tc>
          <w:tcPr>
            <w:tcW w:w="1278" w:type="dxa"/>
            <w:noWrap/>
            <w:vAlign w:val="center"/>
          </w:tcPr>
          <w:p>
            <w:pPr>
              <w:jc w:val="center"/>
              <w:rPr>
                <w:color w:val="auto"/>
                <w:highlight w:val="none"/>
              </w:rPr>
            </w:pPr>
          </w:p>
        </w:tc>
        <w:tc>
          <w:tcPr>
            <w:tcW w:w="1290" w:type="dxa"/>
            <w:noWrap/>
            <w:vAlign w:val="center"/>
          </w:tcPr>
          <w:p>
            <w:pPr>
              <w:jc w:val="center"/>
              <w:rPr>
                <w:color w:val="auto"/>
                <w:highlight w:val="none"/>
              </w:rPr>
            </w:pPr>
          </w:p>
        </w:tc>
        <w:tc>
          <w:tcPr>
            <w:tcW w:w="1584" w:type="dxa"/>
            <w:noWrap/>
            <w:vAlign w:val="center"/>
          </w:tcPr>
          <w:p>
            <w:pPr>
              <w:jc w:val="center"/>
              <w:rPr>
                <w:color w:val="auto"/>
                <w:highlight w:val="none"/>
              </w:rPr>
            </w:pPr>
          </w:p>
        </w:tc>
        <w:tc>
          <w:tcPr>
            <w:tcW w:w="1524"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noWrap/>
            <w:vAlign w:val="center"/>
          </w:tcPr>
          <w:p>
            <w:pPr>
              <w:jc w:val="center"/>
              <w:rPr>
                <w:color w:val="auto"/>
                <w:highlight w:val="none"/>
              </w:rPr>
            </w:pPr>
            <w:r>
              <w:rPr>
                <w:rFonts w:hint="eastAsia"/>
                <w:color w:val="auto"/>
                <w:szCs w:val="21"/>
                <w:highlight w:val="none"/>
              </w:rPr>
              <w:t>投标报价是否有效</w:t>
            </w:r>
          </w:p>
        </w:tc>
        <w:tc>
          <w:tcPr>
            <w:tcW w:w="1368" w:type="dxa"/>
            <w:noWrap/>
            <w:vAlign w:val="center"/>
          </w:tcPr>
          <w:p>
            <w:pPr>
              <w:jc w:val="center"/>
              <w:rPr>
                <w:color w:val="auto"/>
                <w:highlight w:val="none"/>
              </w:rPr>
            </w:pPr>
          </w:p>
        </w:tc>
        <w:tc>
          <w:tcPr>
            <w:tcW w:w="1116" w:type="dxa"/>
            <w:noWrap/>
            <w:vAlign w:val="center"/>
          </w:tcPr>
          <w:p>
            <w:pPr>
              <w:jc w:val="center"/>
              <w:rPr>
                <w:color w:val="auto"/>
                <w:highlight w:val="none"/>
              </w:rPr>
            </w:pPr>
          </w:p>
        </w:tc>
        <w:tc>
          <w:tcPr>
            <w:tcW w:w="1272" w:type="dxa"/>
            <w:noWrap/>
            <w:vAlign w:val="center"/>
          </w:tcPr>
          <w:p>
            <w:pPr>
              <w:jc w:val="center"/>
              <w:rPr>
                <w:color w:val="auto"/>
                <w:highlight w:val="none"/>
              </w:rPr>
            </w:pPr>
          </w:p>
        </w:tc>
        <w:tc>
          <w:tcPr>
            <w:tcW w:w="1278" w:type="dxa"/>
            <w:noWrap/>
            <w:vAlign w:val="center"/>
          </w:tcPr>
          <w:p>
            <w:pPr>
              <w:jc w:val="center"/>
              <w:rPr>
                <w:color w:val="auto"/>
                <w:highlight w:val="none"/>
              </w:rPr>
            </w:pPr>
          </w:p>
        </w:tc>
        <w:tc>
          <w:tcPr>
            <w:tcW w:w="1290" w:type="dxa"/>
            <w:noWrap/>
            <w:vAlign w:val="center"/>
          </w:tcPr>
          <w:p>
            <w:pPr>
              <w:jc w:val="center"/>
              <w:rPr>
                <w:color w:val="auto"/>
                <w:highlight w:val="none"/>
              </w:rPr>
            </w:pPr>
          </w:p>
        </w:tc>
        <w:tc>
          <w:tcPr>
            <w:tcW w:w="1584" w:type="dxa"/>
            <w:noWrap/>
            <w:vAlign w:val="center"/>
          </w:tcPr>
          <w:p>
            <w:pPr>
              <w:jc w:val="center"/>
              <w:rPr>
                <w:color w:val="auto"/>
                <w:highlight w:val="none"/>
              </w:rPr>
            </w:pPr>
          </w:p>
        </w:tc>
        <w:tc>
          <w:tcPr>
            <w:tcW w:w="1524"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noWrap/>
            <w:vAlign w:val="center"/>
          </w:tcPr>
          <w:p>
            <w:pPr>
              <w:jc w:val="center"/>
              <w:rPr>
                <w:color w:val="auto"/>
                <w:highlight w:val="none"/>
              </w:rPr>
            </w:pPr>
            <w:r>
              <w:rPr>
                <w:rFonts w:hint="eastAsia"/>
                <w:color w:val="auto"/>
                <w:highlight w:val="none"/>
              </w:rPr>
              <w:t>投标报价</w:t>
            </w:r>
            <w:r>
              <w:rPr>
                <w:color w:val="auto"/>
                <w:highlight w:val="none"/>
              </w:rPr>
              <w:t>得分</w:t>
            </w:r>
            <w:r>
              <w:rPr>
                <w:rFonts w:hint="eastAsia"/>
                <w:color w:val="auto"/>
                <w:highlight w:val="none"/>
              </w:rPr>
              <w:t>（</w:t>
            </w:r>
            <w:r>
              <w:rPr>
                <w:color w:val="auto"/>
                <w:highlight w:val="none"/>
              </w:rPr>
              <w:t>满分</w:t>
            </w:r>
            <w:r>
              <w:rPr>
                <w:rFonts w:hint="eastAsia"/>
                <w:color w:val="auto"/>
                <w:highlight w:val="none"/>
                <w:u w:val="single"/>
              </w:rPr>
              <w:t>100分</w:t>
            </w:r>
            <w:r>
              <w:rPr>
                <w:rFonts w:hint="eastAsia"/>
                <w:color w:val="auto"/>
                <w:highlight w:val="none"/>
              </w:rPr>
              <w:t>）</w:t>
            </w:r>
          </w:p>
        </w:tc>
        <w:tc>
          <w:tcPr>
            <w:tcW w:w="1368" w:type="dxa"/>
            <w:noWrap/>
            <w:vAlign w:val="center"/>
          </w:tcPr>
          <w:p>
            <w:pPr>
              <w:jc w:val="center"/>
              <w:rPr>
                <w:color w:val="auto"/>
                <w:highlight w:val="none"/>
              </w:rPr>
            </w:pPr>
          </w:p>
        </w:tc>
        <w:tc>
          <w:tcPr>
            <w:tcW w:w="1116" w:type="dxa"/>
            <w:noWrap/>
            <w:vAlign w:val="center"/>
          </w:tcPr>
          <w:p>
            <w:pPr>
              <w:jc w:val="center"/>
              <w:rPr>
                <w:color w:val="auto"/>
                <w:highlight w:val="none"/>
              </w:rPr>
            </w:pPr>
          </w:p>
        </w:tc>
        <w:tc>
          <w:tcPr>
            <w:tcW w:w="1272" w:type="dxa"/>
            <w:noWrap/>
            <w:vAlign w:val="center"/>
          </w:tcPr>
          <w:p>
            <w:pPr>
              <w:jc w:val="center"/>
              <w:rPr>
                <w:color w:val="auto"/>
                <w:highlight w:val="none"/>
              </w:rPr>
            </w:pPr>
          </w:p>
        </w:tc>
        <w:tc>
          <w:tcPr>
            <w:tcW w:w="1278" w:type="dxa"/>
            <w:noWrap/>
            <w:vAlign w:val="center"/>
          </w:tcPr>
          <w:p>
            <w:pPr>
              <w:jc w:val="center"/>
              <w:rPr>
                <w:color w:val="auto"/>
                <w:highlight w:val="none"/>
              </w:rPr>
            </w:pPr>
          </w:p>
        </w:tc>
        <w:tc>
          <w:tcPr>
            <w:tcW w:w="1290" w:type="dxa"/>
            <w:noWrap/>
            <w:vAlign w:val="center"/>
          </w:tcPr>
          <w:p>
            <w:pPr>
              <w:jc w:val="center"/>
              <w:rPr>
                <w:color w:val="auto"/>
                <w:highlight w:val="none"/>
              </w:rPr>
            </w:pPr>
          </w:p>
        </w:tc>
        <w:tc>
          <w:tcPr>
            <w:tcW w:w="1584" w:type="dxa"/>
            <w:noWrap/>
            <w:vAlign w:val="center"/>
          </w:tcPr>
          <w:p>
            <w:pPr>
              <w:jc w:val="center"/>
              <w:rPr>
                <w:color w:val="auto"/>
                <w:highlight w:val="none"/>
              </w:rPr>
            </w:pPr>
          </w:p>
        </w:tc>
        <w:tc>
          <w:tcPr>
            <w:tcW w:w="1524"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noWrap/>
            <w:vAlign w:val="center"/>
          </w:tcPr>
          <w:p>
            <w:pPr>
              <w:jc w:val="center"/>
              <w:rPr>
                <w:color w:val="auto"/>
                <w:highlight w:val="none"/>
              </w:rPr>
            </w:pPr>
            <w:r>
              <w:rPr>
                <w:rFonts w:hint="eastAsia"/>
                <w:color w:val="auto"/>
                <w:highlight w:val="none"/>
              </w:rPr>
              <w:t>加权后得分（权重为</w:t>
            </w:r>
            <w:r>
              <w:rPr>
                <w:rFonts w:hint="eastAsia"/>
                <w:color w:val="auto"/>
                <w:highlight w:val="none"/>
                <w:u w:val="single"/>
              </w:rPr>
              <w:t xml:space="preserve">    %</w:t>
            </w:r>
            <w:r>
              <w:rPr>
                <w:rFonts w:hint="eastAsia"/>
                <w:color w:val="auto"/>
                <w:highlight w:val="none"/>
              </w:rPr>
              <w:t>（20</w:t>
            </w:r>
            <w:r>
              <w:rPr>
                <w:color w:val="auto"/>
                <w:highlight w:val="none"/>
              </w:rPr>
              <w:t>%</w:t>
            </w:r>
            <w:r>
              <w:rPr>
                <w:rFonts w:hint="eastAsia"/>
                <w:color w:val="auto"/>
                <w:highlight w:val="none"/>
              </w:rPr>
              <w:t>~30%））</w:t>
            </w:r>
          </w:p>
        </w:tc>
        <w:tc>
          <w:tcPr>
            <w:tcW w:w="1368" w:type="dxa"/>
            <w:noWrap/>
            <w:vAlign w:val="center"/>
          </w:tcPr>
          <w:p>
            <w:pPr>
              <w:jc w:val="center"/>
              <w:rPr>
                <w:color w:val="auto"/>
                <w:highlight w:val="none"/>
              </w:rPr>
            </w:pPr>
          </w:p>
        </w:tc>
        <w:tc>
          <w:tcPr>
            <w:tcW w:w="1116" w:type="dxa"/>
            <w:noWrap/>
            <w:vAlign w:val="center"/>
          </w:tcPr>
          <w:p>
            <w:pPr>
              <w:jc w:val="center"/>
              <w:rPr>
                <w:color w:val="auto"/>
                <w:highlight w:val="none"/>
              </w:rPr>
            </w:pPr>
          </w:p>
        </w:tc>
        <w:tc>
          <w:tcPr>
            <w:tcW w:w="1272" w:type="dxa"/>
            <w:noWrap/>
            <w:vAlign w:val="center"/>
          </w:tcPr>
          <w:p>
            <w:pPr>
              <w:jc w:val="center"/>
              <w:rPr>
                <w:color w:val="auto"/>
                <w:highlight w:val="none"/>
              </w:rPr>
            </w:pPr>
          </w:p>
        </w:tc>
        <w:tc>
          <w:tcPr>
            <w:tcW w:w="1278" w:type="dxa"/>
            <w:noWrap/>
            <w:vAlign w:val="center"/>
          </w:tcPr>
          <w:p>
            <w:pPr>
              <w:jc w:val="center"/>
              <w:rPr>
                <w:color w:val="auto"/>
                <w:highlight w:val="none"/>
              </w:rPr>
            </w:pPr>
          </w:p>
        </w:tc>
        <w:tc>
          <w:tcPr>
            <w:tcW w:w="1290" w:type="dxa"/>
            <w:noWrap/>
            <w:vAlign w:val="center"/>
          </w:tcPr>
          <w:p>
            <w:pPr>
              <w:jc w:val="center"/>
              <w:rPr>
                <w:color w:val="auto"/>
                <w:highlight w:val="none"/>
              </w:rPr>
            </w:pPr>
          </w:p>
        </w:tc>
        <w:tc>
          <w:tcPr>
            <w:tcW w:w="1584" w:type="dxa"/>
            <w:noWrap/>
            <w:vAlign w:val="center"/>
          </w:tcPr>
          <w:p>
            <w:pPr>
              <w:jc w:val="center"/>
              <w:rPr>
                <w:color w:val="auto"/>
                <w:highlight w:val="none"/>
              </w:rPr>
            </w:pPr>
          </w:p>
        </w:tc>
        <w:tc>
          <w:tcPr>
            <w:tcW w:w="1524"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noWrap/>
            <w:vAlign w:val="center"/>
          </w:tcPr>
          <w:p>
            <w:pPr>
              <w:jc w:val="center"/>
              <w:rPr>
                <w:color w:val="auto"/>
                <w:highlight w:val="none"/>
              </w:rPr>
            </w:pPr>
            <w:r>
              <w:rPr>
                <w:rFonts w:hint="eastAsia"/>
                <w:color w:val="auto"/>
                <w:highlight w:val="none"/>
              </w:rPr>
              <w:t>投标上限价</w:t>
            </w:r>
          </w:p>
        </w:tc>
        <w:tc>
          <w:tcPr>
            <w:tcW w:w="5034" w:type="dxa"/>
            <w:gridSpan w:val="4"/>
            <w:noWrap/>
            <w:vAlign w:val="center"/>
          </w:tcPr>
          <w:p>
            <w:pPr>
              <w:jc w:val="center"/>
              <w:rPr>
                <w:color w:val="auto"/>
                <w:highlight w:val="none"/>
              </w:rPr>
            </w:pPr>
          </w:p>
        </w:tc>
        <w:tc>
          <w:tcPr>
            <w:tcW w:w="4398" w:type="dxa"/>
            <w:gridSpan w:val="3"/>
            <w:noWrap/>
            <w:vAlign w:val="center"/>
          </w:tcPr>
          <w:p>
            <w:pPr>
              <w:jc w:val="left"/>
              <w:rPr>
                <w:color w:val="auto"/>
                <w:highlight w:val="none"/>
              </w:rPr>
            </w:pPr>
            <w:r>
              <w:rPr>
                <w:rFonts w:hint="eastAsia"/>
                <w:bCs/>
                <w:color w:val="auto"/>
                <w:szCs w:val="21"/>
                <w:highlight w:val="none"/>
              </w:rPr>
              <w:t>评标基准</w:t>
            </w:r>
            <w:r>
              <w:rPr>
                <w:bCs/>
                <w:color w:val="auto"/>
                <w:szCs w:val="21"/>
                <w:highlight w:val="none"/>
              </w:rPr>
              <w:t>价</w:t>
            </w:r>
            <w:r>
              <w:rPr>
                <w:rFonts w:hint="eastAsia"/>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9" w:type="dxa"/>
            <w:gridSpan w:val="8"/>
            <w:noWrap/>
            <w:vAlign w:val="center"/>
          </w:tcPr>
          <w:p>
            <w:pPr>
              <w:spacing w:line="360" w:lineRule="auto"/>
              <w:rPr>
                <w:color w:val="auto"/>
                <w:szCs w:val="21"/>
                <w:highlight w:val="none"/>
              </w:rPr>
            </w:pPr>
            <w:r>
              <w:rPr>
                <w:rFonts w:hint="eastAsia"/>
                <w:color w:val="auto"/>
                <w:szCs w:val="21"/>
                <w:highlight w:val="none"/>
              </w:rPr>
              <w:t>（1）投标报价得分：评审时以评标基准价为最高分100分，采用内插法计算，投标人报价每高于评标基准价</w:t>
            </w:r>
            <w:r>
              <w:rPr>
                <w:color w:val="auto"/>
                <w:szCs w:val="21"/>
                <w:highlight w:val="none"/>
              </w:rPr>
              <w:t>1</w:t>
            </w:r>
            <w:r>
              <w:rPr>
                <w:rFonts w:hint="eastAsia"/>
                <w:color w:val="auto"/>
                <w:szCs w:val="21"/>
                <w:highlight w:val="none"/>
              </w:rPr>
              <w:t>％的扣</w:t>
            </w:r>
            <w:r>
              <w:rPr>
                <w:color w:val="auto"/>
                <w:szCs w:val="21"/>
                <w:highlight w:val="none"/>
              </w:rPr>
              <w:t>1.5</w:t>
            </w:r>
            <w:r>
              <w:rPr>
                <w:rFonts w:hint="eastAsia"/>
                <w:color w:val="auto"/>
                <w:szCs w:val="21"/>
                <w:highlight w:val="none"/>
              </w:rPr>
              <w:t>分，每低于评标基准价</w:t>
            </w:r>
            <w:r>
              <w:rPr>
                <w:color w:val="auto"/>
                <w:szCs w:val="21"/>
                <w:highlight w:val="none"/>
              </w:rPr>
              <w:t>1</w:t>
            </w:r>
            <w:r>
              <w:rPr>
                <w:rFonts w:hint="eastAsia"/>
                <w:color w:val="auto"/>
                <w:szCs w:val="21"/>
                <w:highlight w:val="none"/>
              </w:rPr>
              <w:t>％的扣</w:t>
            </w:r>
            <w:r>
              <w:rPr>
                <w:color w:val="auto"/>
                <w:szCs w:val="21"/>
                <w:highlight w:val="none"/>
              </w:rPr>
              <w:t>1</w:t>
            </w:r>
            <w:r>
              <w:rPr>
                <w:rFonts w:hint="eastAsia"/>
                <w:color w:val="auto"/>
                <w:szCs w:val="21"/>
                <w:highlight w:val="none"/>
              </w:rPr>
              <w:t>分。</w:t>
            </w:r>
          </w:p>
          <w:p>
            <w:pPr>
              <w:spacing w:line="360" w:lineRule="auto"/>
              <w:rPr>
                <w:color w:val="auto"/>
                <w:szCs w:val="21"/>
                <w:highlight w:val="none"/>
              </w:rPr>
            </w:pPr>
            <w:r>
              <w:rPr>
                <w:color w:val="auto"/>
                <w:szCs w:val="21"/>
                <w:highlight w:val="none"/>
              </w:rPr>
              <w:t>（2）有效报价投标人的商务标得分=该投标人的</w:t>
            </w:r>
            <w:r>
              <w:rPr>
                <w:rFonts w:hint="eastAsia"/>
                <w:color w:val="auto"/>
                <w:szCs w:val="21"/>
                <w:highlight w:val="none"/>
              </w:rPr>
              <w:t>投标报价</w:t>
            </w:r>
            <w:r>
              <w:rPr>
                <w:color w:val="auto"/>
                <w:szCs w:val="21"/>
                <w:highlight w:val="none"/>
              </w:rPr>
              <w:t>得分×</w:t>
            </w:r>
            <w:r>
              <w:rPr>
                <w:rFonts w:hint="eastAsia"/>
                <w:color w:val="auto"/>
                <w:szCs w:val="21"/>
                <w:highlight w:val="none"/>
                <w:u w:val="single"/>
              </w:rPr>
              <w:t xml:space="preserve">    %</w:t>
            </w:r>
            <w:r>
              <w:rPr>
                <w:rFonts w:hint="eastAsia"/>
                <w:color w:val="auto"/>
                <w:szCs w:val="21"/>
                <w:highlight w:val="none"/>
              </w:rPr>
              <w:t>（20%~30%）</w:t>
            </w:r>
          </w:p>
        </w:tc>
      </w:tr>
    </w:tbl>
    <w:p>
      <w:pPr>
        <w:rPr>
          <w:rFonts w:eastAsia="楷体_GB2312"/>
          <w:color w:val="auto"/>
          <w:highlight w:val="none"/>
        </w:rPr>
      </w:pPr>
      <w:r>
        <w:rPr>
          <w:rFonts w:eastAsia="楷体_GB2312"/>
          <w:color w:val="auto"/>
          <w:highlight w:val="none"/>
        </w:rPr>
        <w:t>【备注：本表可根据评分办法的需要进行调整</w:t>
      </w:r>
      <w:r>
        <w:rPr>
          <w:rFonts w:hint="eastAsia" w:eastAsia="楷体_GB2312"/>
          <w:color w:val="auto"/>
          <w:highlight w:val="none"/>
        </w:rPr>
        <w:t>。投标报价单位</w:t>
      </w:r>
      <w:r>
        <w:rPr>
          <w:rFonts w:eastAsia="楷体_GB2312"/>
          <w:color w:val="auto"/>
          <w:highlight w:val="none"/>
        </w:rPr>
        <w:t>：</w:t>
      </w:r>
      <w:r>
        <w:rPr>
          <w:rFonts w:hint="eastAsia" w:eastAsia="楷体_GB2312"/>
          <w:color w:val="auto"/>
          <w:highlight w:val="none"/>
        </w:rPr>
        <w:t>人民币元。</w:t>
      </w:r>
      <w:r>
        <w:rPr>
          <w:rFonts w:eastAsia="楷体_GB2312"/>
          <w:color w:val="auto"/>
          <w:highlight w:val="none"/>
        </w:rPr>
        <w:t>】</w:t>
      </w:r>
    </w:p>
    <w:p>
      <w:pPr>
        <w:spacing w:line="360" w:lineRule="auto"/>
        <w:rPr>
          <w:color w:val="auto"/>
          <w:highlight w:val="none"/>
        </w:rPr>
      </w:pPr>
    </w:p>
    <w:p>
      <w:pPr>
        <w:spacing w:line="360" w:lineRule="auto"/>
        <w:rPr>
          <w:color w:val="auto"/>
          <w:highlight w:val="none"/>
        </w:rPr>
      </w:pPr>
      <w:r>
        <w:rPr>
          <w:rFonts w:hint="eastAsia"/>
          <w:color w:val="auto"/>
          <w:highlight w:val="none"/>
        </w:rPr>
        <w:t>经</w:t>
      </w:r>
      <w:r>
        <w:rPr>
          <w:color w:val="auto"/>
          <w:highlight w:val="none"/>
        </w:rPr>
        <w:t>济类</w:t>
      </w:r>
      <w:r>
        <w:rPr>
          <w:rFonts w:hint="eastAsia"/>
          <w:color w:val="auto"/>
          <w:highlight w:val="none"/>
        </w:rPr>
        <w:t>评委</w:t>
      </w:r>
      <w:r>
        <w:rPr>
          <w:color w:val="auto"/>
          <w:highlight w:val="none"/>
        </w:rPr>
        <w:t xml:space="preserve">签名：                                                                               </w:t>
      </w:r>
    </w:p>
    <w:p>
      <w:pPr>
        <w:rPr>
          <w:rFonts w:ascii="宋体" w:hAnsi="宋体"/>
          <w:b/>
          <w:color w:val="auto"/>
          <w:sz w:val="28"/>
          <w:szCs w:val="28"/>
          <w:highlight w:val="none"/>
        </w:rPr>
      </w:pPr>
      <w:r>
        <w:rPr>
          <w:color w:val="auto"/>
          <w:highlight w:val="none"/>
        </w:rPr>
        <w:br w:type="page"/>
      </w:r>
      <w:r>
        <w:rPr>
          <w:rFonts w:ascii="宋体" w:hAnsi="宋体"/>
          <w:b/>
          <w:color w:val="auto"/>
          <w:sz w:val="28"/>
          <w:szCs w:val="28"/>
          <w:highlight w:val="none"/>
        </w:rPr>
        <w:t>附表A-</w:t>
      </w:r>
      <w:r>
        <w:rPr>
          <w:rFonts w:hint="eastAsia" w:ascii="宋体" w:hAnsi="宋体"/>
          <w:b/>
          <w:color w:val="auto"/>
          <w:sz w:val="28"/>
          <w:szCs w:val="28"/>
          <w:highlight w:val="none"/>
        </w:rPr>
        <w:t>11</w:t>
      </w:r>
      <w:r>
        <w:rPr>
          <w:rFonts w:ascii="宋体" w:hAnsi="宋体"/>
          <w:b/>
          <w:color w:val="auto"/>
          <w:sz w:val="28"/>
          <w:szCs w:val="28"/>
          <w:highlight w:val="none"/>
        </w:rPr>
        <w:t>：</w:t>
      </w:r>
      <w:r>
        <w:rPr>
          <w:rFonts w:hint="eastAsia" w:ascii="宋体" w:hAnsi="宋体"/>
          <w:b/>
          <w:color w:val="auto"/>
          <w:sz w:val="28"/>
          <w:szCs w:val="28"/>
          <w:highlight w:val="none"/>
        </w:rPr>
        <w:t>设计标</w:t>
      </w:r>
      <w:r>
        <w:rPr>
          <w:rFonts w:ascii="宋体" w:hAnsi="宋体"/>
          <w:b/>
          <w:color w:val="auto"/>
          <w:sz w:val="28"/>
          <w:szCs w:val="28"/>
          <w:highlight w:val="none"/>
        </w:rPr>
        <w:t>评</w:t>
      </w:r>
      <w:r>
        <w:rPr>
          <w:rFonts w:hint="eastAsia" w:ascii="宋体" w:hAnsi="宋体"/>
          <w:b/>
          <w:color w:val="auto"/>
          <w:sz w:val="28"/>
          <w:szCs w:val="28"/>
          <w:highlight w:val="none"/>
        </w:rPr>
        <w:t>分</w:t>
      </w:r>
      <w:r>
        <w:rPr>
          <w:rFonts w:ascii="宋体" w:hAnsi="宋体"/>
          <w:b/>
          <w:color w:val="auto"/>
          <w:sz w:val="28"/>
          <w:szCs w:val="28"/>
          <w:highlight w:val="none"/>
        </w:rPr>
        <w:t>记录表</w:t>
      </w:r>
      <w:r>
        <w:rPr>
          <w:rFonts w:hint="eastAsia" w:ascii="宋体" w:hAnsi="宋体"/>
          <w:b/>
          <w:color w:val="auto"/>
          <w:sz w:val="28"/>
          <w:szCs w:val="28"/>
          <w:highlight w:val="none"/>
        </w:rPr>
        <w:t>（适用可行性研究报告完成后方案设计完成前以方案设计投标）</w:t>
      </w:r>
    </w:p>
    <w:p>
      <w:pPr>
        <w:spacing w:line="440" w:lineRule="exact"/>
        <w:jc w:val="center"/>
        <w:rPr>
          <w:rFonts w:eastAsia="黑体"/>
          <w:color w:val="auto"/>
          <w:sz w:val="28"/>
          <w:szCs w:val="28"/>
          <w:highlight w:val="none"/>
        </w:rPr>
      </w:pPr>
    </w:p>
    <w:p>
      <w:pPr>
        <w:jc w:val="center"/>
        <w:rPr>
          <w:b/>
          <w:color w:val="auto"/>
          <w:sz w:val="28"/>
          <w:szCs w:val="28"/>
          <w:highlight w:val="none"/>
        </w:rPr>
      </w:pPr>
      <w:r>
        <w:rPr>
          <w:rFonts w:hint="eastAsia"/>
          <w:b/>
          <w:color w:val="auto"/>
          <w:sz w:val="28"/>
          <w:szCs w:val="28"/>
          <w:highlight w:val="none"/>
        </w:rPr>
        <w:t>（一）设计标</w:t>
      </w:r>
      <w:r>
        <w:rPr>
          <w:b/>
          <w:color w:val="auto"/>
          <w:sz w:val="28"/>
          <w:szCs w:val="28"/>
          <w:highlight w:val="none"/>
        </w:rPr>
        <w:t>评</w:t>
      </w:r>
      <w:r>
        <w:rPr>
          <w:rFonts w:hint="eastAsia"/>
          <w:b/>
          <w:color w:val="auto"/>
          <w:sz w:val="28"/>
          <w:szCs w:val="28"/>
          <w:highlight w:val="none"/>
        </w:rPr>
        <w:t>分</w:t>
      </w:r>
      <w:r>
        <w:rPr>
          <w:b/>
          <w:color w:val="auto"/>
          <w:sz w:val="28"/>
          <w:szCs w:val="28"/>
          <w:highlight w:val="none"/>
        </w:rPr>
        <w:t>记录表</w:t>
      </w:r>
      <w:r>
        <w:rPr>
          <w:rFonts w:hint="eastAsia"/>
          <w:b/>
          <w:color w:val="auto"/>
          <w:sz w:val="28"/>
          <w:szCs w:val="28"/>
          <w:highlight w:val="none"/>
        </w:rPr>
        <w:t>（适用</w:t>
      </w:r>
      <w:r>
        <w:rPr>
          <w:rFonts w:hint="eastAsia" w:ascii="宋体" w:hAnsi="宋体"/>
          <w:b/>
          <w:color w:val="auto"/>
          <w:sz w:val="28"/>
          <w:szCs w:val="28"/>
          <w:highlight w:val="none"/>
        </w:rPr>
        <w:t>可行性研究报告完成后方案设计完成前</w:t>
      </w:r>
      <w:r>
        <w:rPr>
          <w:rFonts w:hint="eastAsia"/>
          <w:b/>
          <w:color w:val="auto"/>
          <w:sz w:val="28"/>
          <w:szCs w:val="28"/>
          <w:highlight w:val="none"/>
        </w:rPr>
        <w:t>以方案设计投标）</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3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959"/>
        <w:gridCol w:w="1276"/>
        <w:gridCol w:w="1042"/>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17" w:type="dxa"/>
            <w:vMerge w:val="restart"/>
            <w:noWrap/>
            <w:vAlign w:val="center"/>
          </w:tcPr>
          <w:p>
            <w:pPr>
              <w:spacing w:line="360" w:lineRule="auto"/>
              <w:jc w:val="center"/>
              <w:rPr>
                <w:color w:val="auto"/>
                <w:highlight w:val="none"/>
              </w:rPr>
            </w:pPr>
            <w:r>
              <w:rPr>
                <w:color w:val="auto"/>
                <w:highlight w:val="none"/>
              </w:rPr>
              <w:t>序号</w:t>
            </w:r>
          </w:p>
        </w:tc>
        <w:tc>
          <w:tcPr>
            <w:tcW w:w="3959" w:type="dxa"/>
            <w:vMerge w:val="restart"/>
            <w:noWrap/>
            <w:vAlign w:val="center"/>
          </w:tcPr>
          <w:p>
            <w:pPr>
              <w:spacing w:line="360" w:lineRule="auto"/>
              <w:jc w:val="center"/>
              <w:rPr>
                <w:color w:val="auto"/>
                <w:highlight w:val="none"/>
              </w:rPr>
            </w:pPr>
            <w:r>
              <w:rPr>
                <w:color w:val="auto"/>
                <w:highlight w:val="none"/>
              </w:rPr>
              <w:t>评审因素</w:t>
            </w:r>
          </w:p>
        </w:tc>
        <w:tc>
          <w:tcPr>
            <w:tcW w:w="9122" w:type="dxa"/>
            <w:gridSpan w:val="8"/>
            <w:noWrap/>
            <w:vAlign w:val="center"/>
          </w:tcPr>
          <w:p>
            <w:pPr>
              <w:spacing w:line="360" w:lineRule="auto"/>
              <w:jc w:val="center"/>
              <w:rPr>
                <w:color w:val="auto"/>
                <w:highlight w:val="none"/>
              </w:rPr>
            </w:pPr>
            <w:r>
              <w:rPr>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917" w:type="dxa"/>
            <w:vMerge w:val="continue"/>
            <w:noWrap/>
            <w:vAlign w:val="center"/>
          </w:tcPr>
          <w:p>
            <w:pPr>
              <w:spacing w:line="360" w:lineRule="auto"/>
              <w:jc w:val="center"/>
              <w:rPr>
                <w:rFonts w:eastAsia="黑体"/>
                <w:color w:val="auto"/>
                <w:highlight w:val="none"/>
              </w:rPr>
            </w:pPr>
          </w:p>
        </w:tc>
        <w:tc>
          <w:tcPr>
            <w:tcW w:w="3959" w:type="dxa"/>
            <w:vMerge w:val="continue"/>
            <w:noWrap/>
            <w:vAlign w:val="center"/>
          </w:tcPr>
          <w:p>
            <w:pPr>
              <w:spacing w:line="360" w:lineRule="auto"/>
              <w:jc w:val="center"/>
              <w:rPr>
                <w:color w:val="auto"/>
                <w:kern w:val="0"/>
                <w:szCs w:val="21"/>
                <w:highlight w:val="none"/>
              </w:rPr>
            </w:pPr>
          </w:p>
        </w:tc>
        <w:tc>
          <w:tcPr>
            <w:tcW w:w="1276" w:type="dxa"/>
            <w:noWrap/>
            <w:vAlign w:val="center"/>
          </w:tcPr>
          <w:p>
            <w:pPr>
              <w:spacing w:line="360" w:lineRule="auto"/>
              <w:jc w:val="center"/>
              <w:rPr>
                <w:color w:val="auto"/>
                <w:highlight w:val="none"/>
              </w:rPr>
            </w:pPr>
          </w:p>
        </w:tc>
        <w:tc>
          <w:tcPr>
            <w:tcW w:w="104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1</w:t>
            </w:r>
          </w:p>
        </w:tc>
        <w:tc>
          <w:tcPr>
            <w:tcW w:w="3959" w:type="dxa"/>
            <w:noWrap/>
            <w:vAlign w:val="center"/>
          </w:tcPr>
          <w:p>
            <w:pPr>
              <w:spacing w:line="240" w:lineRule="exact"/>
              <w:rPr>
                <w:color w:val="auto"/>
                <w:kern w:val="0"/>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2</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3</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4</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5</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ascii="宋体" w:hAnsi="宋体"/>
                <w:color w:val="auto"/>
                <w:sz w:val="18"/>
                <w:szCs w:val="18"/>
                <w:highlight w:val="none"/>
              </w:rPr>
            </w:pPr>
            <w:r>
              <w:rPr>
                <w:rFonts w:hint="eastAsia" w:eastAsia="黑体"/>
                <w:color w:val="auto"/>
                <w:sz w:val="18"/>
                <w:szCs w:val="18"/>
                <w:highlight w:val="none"/>
              </w:rPr>
              <w:t>6</w:t>
            </w:r>
          </w:p>
        </w:tc>
        <w:tc>
          <w:tcPr>
            <w:tcW w:w="3959" w:type="dxa"/>
            <w:noWrap/>
            <w:vAlign w:val="center"/>
          </w:tcPr>
          <w:p>
            <w:pPr>
              <w:widowControl/>
              <w:spacing w:line="240" w:lineRule="exact"/>
              <w:rPr>
                <w:color w:val="auto"/>
                <w:sz w:val="18"/>
                <w:szCs w:val="18"/>
                <w:highlight w:val="none"/>
              </w:rPr>
            </w:pPr>
            <w:r>
              <w:rPr>
                <w:rFonts w:hint="eastAsia" w:ascii="宋体" w:hAnsi="宋体"/>
                <w:color w:val="auto"/>
                <w:kern w:val="0"/>
                <w:sz w:val="18"/>
                <w:szCs w:val="18"/>
                <w:highlight w:val="none"/>
              </w:rPr>
              <w:t>…………</w:t>
            </w: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876" w:type="dxa"/>
            <w:gridSpan w:val="2"/>
            <w:noWrap/>
            <w:vAlign w:val="center"/>
          </w:tcPr>
          <w:p>
            <w:pPr>
              <w:spacing w:line="240" w:lineRule="exact"/>
              <w:jc w:val="center"/>
              <w:rPr>
                <w:color w:val="auto"/>
                <w:sz w:val="18"/>
                <w:szCs w:val="18"/>
                <w:highlight w:val="none"/>
              </w:rPr>
            </w:pPr>
            <w:r>
              <w:rPr>
                <w:color w:val="auto"/>
                <w:sz w:val="18"/>
                <w:szCs w:val="18"/>
                <w:highlight w:val="none"/>
              </w:rPr>
              <w:t>得分合计</w:t>
            </w:r>
            <w:r>
              <w:rPr>
                <w:rFonts w:hint="eastAsia"/>
                <w:color w:val="auto"/>
                <w:sz w:val="18"/>
                <w:szCs w:val="18"/>
                <w:highlight w:val="none"/>
              </w:rPr>
              <w:t>（</w:t>
            </w:r>
            <w:r>
              <w:rPr>
                <w:color w:val="auto"/>
                <w:sz w:val="18"/>
                <w:szCs w:val="18"/>
                <w:highlight w:val="none"/>
              </w:rPr>
              <w:t>满分</w:t>
            </w:r>
            <w:r>
              <w:rPr>
                <w:rFonts w:hint="eastAsia"/>
                <w:color w:val="auto"/>
                <w:sz w:val="18"/>
                <w:szCs w:val="18"/>
                <w:highlight w:val="none"/>
              </w:rPr>
              <w:t>）</w:t>
            </w: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r>
        <w:rPr>
          <w:rFonts w:hint="eastAsia"/>
          <w:color w:val="auto"/>
          <w:highlight w:val="none"/>
        </w:rPr>
        <w:t>设计</w:t>
      </w:r>
      <w:r>
        <w:rPr>
          <w:color w:val="auto"/>
          <w:highlight w:val="none"/>
        </w:rPr>
        <w:t>类</w:t>
      </w:r>
      <w:r>
        <w:rPr>
          <w:rFonts w:hint="eastAsia"/>
          <w:color w:val="auto"/>
          <w:highlight w:val="none"/>
        </w:rPr>
        <w:t>评委</w:t>
      </w:r>
      <w:r>
        <w:rPr>
          <w:color w:val="auto"/>
          <w:highlight w:val="none"/>
        </w:rPr>
        <w:t>签名：</w:t>
      </w:r>
    </w:p>
    <w:p>
      <w:pPr>
        <w:spacing w:line="440" w:lineRule="exact"/>
        <w:rPr>
          <w:color w:val="auto"/>
          <w:highlight w:val="none"/>
        </w:rPr>
      </w:pPr>
    </w:p>
    <w:p>
      <w:pPr>
        <w:rPr>
          <w:color w:val="auto"/>
          <w:highlight w:val="none"/>
        </w:rPr>
      </w:pPr>
    </w:p>
    <w:p>
      <w:pPr>
        <w:rPr>
          <w:color w:val="auto"/>
          <w:highlight w:val="none"/>
        </w:rPr>
      </w:pPr>
    </w:p>
    <w:p>
      <w:pPr>
        <w:jc w:val="center"/>
        <w:rPr>
          <w:rFonts w:ascii="宋体" w:hAnsi="宋体"/>
          <w:b/>
          <w:color w:val="auto"/>
          <w:sz w:val="28"/>
          <w:szCs w:val="28"/>
          <w:highlight w:val="none"/>
        </w:rPr>
      </w:pPr>
      <w:r>
        <w:rPr>
          <w:rFonts w:eastAsia="黑体"/>
          <w:color w:val="auto"/>
          <w:sz w:val="28"/>
          <w:szCs w:val="28"/>
          <w:highlight w:val="none"/>
        </w:rPr>
        <w:br w:type="page"/>
      </w:r>
      <w:r>
        <w:rPr>
          <w:rFonts w:hint="eastAsia"/>
          <w:b/>
          <w:color w:val="auto"/>
          <w:sz w:val="28"/>
          <w:szCs w:val="28"/>
          <w:highlight w:val="none"/>
        </w:rPr>
        <w:t>（二）设计标</w:t>
      </w:r>
      <w:r>
        <w:rPr>
          <w:b/>
          <w:color w:val="auto"/>
          <w:sz w:val="28"/>
          <w:szCs w:val="28"/>
          <w:highlight w:val="none"/>
        </w:rPr>
        <w:t>评</w:t>
      </w:r>
      <w:r>
        <w:rPr>
          <w:rFonts w:hint="eastAsia"/>
          <w:b/>
          <w:color w:val="auto"/>
          <w:sz w:val="28"/>
          <w:szCs w:val="28"/>
          <w:highlight w:val="none"/>
        </w:rPr>
        <w:t>分汇总明细</w:t>
      </w:r>
      <w:r>
        <w:rPr>
          <w:b/>
          <w:color w:val="auto"/>
          <w:sz w:val="28"/>
          <w:szCs w:val="28"/>
          <w:highlight w:val="none"/>
        </w:rPr>
        <w:t>表</w:t>
      </w:r>
      <w:r>
        <w:rPr>
          <w:rFonts w:hint="eastAsia"/>
          <w:b/>
          <w:color w:val="auto"/>
          <w:sz w:val="28"/>
          <w:szCs w:val="28"/>
          <w:highlight w:val="none"/>
        </w:rPr>
        <w:t>（适用</w:t>
      </w:r>
      <w:r>
        <w:rPr>
          <w:rFonts w:hint="eastAsia" w:ascii="宋体" w:hAnsi="宋体"/>
          <w:b/>
          <w:color w:val="auto"/>
          <w:sz w:val="28"/>
          <w:szCs w:val="28"/>
          <w:highlight w:val="none"/>
        </w:rPr>
        <w:t>可行性研究报告完成后方案设计完成前</w:t>
      </w:r>
      <w:r>
        <w:rPr>
          <w:rFonts w:hint="eastAsia"/>
          <w:b/>
          <w:color w:val="auto"/>
          <w:sz w:val="28"/>
          <w:szCs w:val="28"/>
          <w:highlight w:val="none"/>
        </w:rPr>
        <w:t>以方案设计投标）</w:t>
      </w:r>
    </w:p>
    <w:p>
      <w:pPr>
        <w:spacing w:line="440" w:lineRule="exact"/>
        <w:jc w:val="center"/>
        <w:rPr>
          <w:rFonts w:ascii="宋体" w:hAnsi="宋体"/>
          <w:b/>
          <w:color w:val="auto"/>
          <w:sz w:val="28"/>
          <w:szCs w:val="28"/>
          <w:highlight w:val="none"/>
        </w:rPr>
      </w:pPr>
    </w:p>
    <w:p>
      <w:pPr>
        <w:spacing w:line="440" w:lineRule="exact"/>
        <w:jc w:val="center"/>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noWrap/>
            <w:vAlign w:val="center"/>
          </w:tcPr>
          <w:p>
            <w:pPr>
              <w:jc w:val="center"/>
              <w:rPr>
                <w:color w:val="auto"/>
                <w:highlight w:val="none"/>
              </w:rPr>
            </w:pPr>
            <w:r>
              <w:rPr>
                <w:color w:val="auto"/>
                <w:highlight w:val="none"/>
              </w:rPr>
              <w:t>评委序号和姓名</w:t>
            </w:r>
          </w:p>
        </w:tc>
        <w:tc>
          <w:tcPr>
            <w:tcW w:w="11639" w:type="dxa"/>
            <w:gridSpan w:val="7"/>
            <w:noWrap/>
            <w:vAlign w:val="center"/>
          </w:tcPr>
          <w:p>
            <w:pPr>
              <w:jc w:val="center"/>
              <w:rPr>
                <w:color w:val="auto"/>
                <w:highlight w:val="none"/>
              </w:rPr>
            </w:pPr>
            <w:r>
              <w:rPr>
                <w:color w:val="auto"/>
                <w:highlight w:val="none"/>
              </w:rPr>
              <w:t>投标人名称</w:t>
            </w:r>
            <w:r>
              <w:rPr>
                <w:rFonts w:hint="eastAsia"/>
                <w:color w:val="auto"/>
                <w:highlight w:val="none"/>
              </w:rPr>
              <w:t>（</w:t>
            </w:r>
            <w:r>
              <w:rPr>
                <w:color w:val="auto"/>
                <w:highlight w:val="none"/>
              </w:rPr>
              <w:t>或代码</w:t>
            </w:r>
            <w:r>
              <w:rPr>
                <w:rFonts w:hint="eastAsia"/>
                <w:color w:val="auto"/>
                <w:highlight w:val="none"/>
              </w:rPr>
              <w:t>）</w:t>
            </w:r>
            <w:r>
              <w:rPr>
                <w:color w:val="auto"/>
                <w:highlight w:val="none"/>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各评委评分合计</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各评委评分平均值</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p>
    <w:p>
      <w:pPr>
        <w:spacing w:after="240" w:afterLines="100"/>
        <w:rPr>
          <w:color w:val="auto"/>
          <w:highlight w:val="none"/>
        </w:rPr>
      </w:pPr>
      <w:r>
        <w:rPr>
          <w:rFonts w:hint="eastAsia"/>
          <w:color w:val="auto"/>
          <w:highlight w:val="none"/>
        </w:rPr>
        <w:t>全体</w:t>
      </w:r>
      <w:r>
        <w:rPr>
          <w:color w:val="auto"/>
          <w:highlight w:val="none"/>
        </w:rPr>
        <w:t>设计类</w:t>
      </w:r>
      <w:r>
        <w:rPr>
          <w:rFonts w:hint="eastAsia"/>
          <w:color w:val="auto"/>
          <w:highlight w:val="none"/>
        </w:rPr>
        <w:t>评委</w:t>
      </w:r>
      <w:r>
        <w:rPr>
          <w:color w:val="auto"/>
          <w:highlight w:val="none"/>
        </w:rPr>
        <w:t xml:space="preserve">签名：  </w:t>
      </w:r>
    </w:p>
    <w:p>
      <w:pPr>
        <w:spacing w:after="240" w:afterLines="100"/>
        <w:rPr>
          <w:color w:val="auto"/>
          <w:highlight w:val="none"/>
        </w:rPr>
      </w:pPr>
    </w:p>
    <w:p>
      <w:pPr>
        <w:spacing w:after="240" w:afterLines="100"/>
        <w:rPr>
          <w:color w:val="auto"/>
          <w:highlight w:val="none"/>
        </w:rPr>
      </w:pPr>
    </w:p>
    <w:p>
      <w:pPr>
        <w:rPr>
          <w:rFonts w:ascii="宋体" w:hAnsi="宋体"/>
          <w:b/>
          <w:color w:val="auto"/>
          <w:sz w:val="28"/>
          <w:szCs w:val="28"/>
          <w:highlight w:val="none"/>
        </w:rPr>
      </w:pPr>
      <w:r>
        <w:rPr>
          <w:rFonts w:ascii="宋体" w:hAnsi="宋体"/>
          <w:b/>
          <w:color w:val="auto"/>
          <w:sz w:val="28"/>
          <w:szCs w:val="28"/>
          <w:highlight w:val="none"/>
        </w:rPr>
        <w:t>附表A-</w:t>
      </w:r>
      <w:r>
        <w:rPr>
          <w:rFonts w:hint="eastAsia" w:ascii="宋体" w:hAnsi="宋体"/>
          <w:b/>
          <w:color w:val="auto"/>
          <w:sz w:val="28"/>
          <w:szCs w:val="28"/>
          <w:highlight w:val="none"/>
        </w:rPr>
        <w:t>12</w:t>
      </w:r>
      <w:r>
        <w:rPr>
          <w:rFonts w:ascii="宋体" w:hAnsi="宋体"/>
          <w:b/>
          <w:color w:val="auto"/>
          <w:sz w:val="28"/>
          <w:szCs w:val="28"/>
          <w:highlight w:val="none"/>
        </w:rPr>
        <w:t>：</w:t>
      </w:r>
      <w:r>
        <w:rPr>
          <w:rFonts w:hint="eastAsia" w:ascii="宋体" w:hAnsi="宋体"/>
          <w:b/>
          <w:color w:val="auto"/>
          <w:sz w:val="28"/>
          <w:szCs w:val="28"/>
          <w:highlight w:val="none"/>
        </w:rPr>
        <w:t>设计标</w:t>
      </w:r>
      <w:r>
        <w:rPr>
          <w:rFonts w:ascii="宋体" w:hAnsi="宋体"/>
          <w:b/>
          <w:color w:val="auto"/>
          <w:sz w:val="28"/>
          <w:szCs w:val="28"/>
          <w:highlight w:val="none"/>
        </w:rPr>
        <w:t>评</w:t>
      </w:r>
      <w:r>
        <w:rPr>
          <w:rFonts w:hint="eastAsia" w:ascii="宋体" w:hAnsi="宋体"/>
          <w:b/>
          <w:color w:val="auto"/>
          <w:sz w:val="28"/>
          <w:szCs w:val="28"/>
          <w:highlight w:val="none"/>
        </w:rPr>
        <w:t>分</w:t>
      </w:r>
      <w:r>
        <w:rPr>
          <w:rFonts w:ascii="宋体" w:hAnsi="宋体"/>
          <w:b/>
          <w:color w:val="auto"/>
          <w:sz w:val="28"/>
          <w:szCs w:val="28"/>
          <w:highlight w:val="none"/>
        </w:rPr>
        <w:t>记录表</w:t>
      </w:r>
      <w:r>
        <w:rPr>
          <w:rFonts w:hint="eastAsia" w:ascii="宋体" w:hAnsi="宋体"/>
          <w:b/>
          <w:color w:val="auto"/>
          <w:sz w:val="28"/>
          <w:szCs w:val="28"/>
          <w:highlight w:val="none"/>
        </w:rPr>
        <w:t>（适用方案设计完成后初步设计完成前以初步设计投标）</w:t>
      </w:r>
    </w:p>
    <w:p>
      <w:pPr>
        <w:spacing w:line="440" w:lineRule="exact"/>
        <w:jc w:val="center"/>
        <w:rPr>
          <w:rFonts w:eastAsia="黑体"/>
          <w:color w:val="auto"/>
          <w:sz w:val="28"/>
          <w:szCs w:val="28"/>
          <w:highlight w:val="none"/>
        </w:rPr>
      </w:pPr>
    </w:p>
    <w:p>
      <w:pPr>
        <w:jc w:val="center"/>
        <w:rPr>
          <w:b/>
          <w:color w:val="auto"/>
          <w:sz w:val="28"/>
          <w:szCs w:val="28"/>
          <w:highlight w:val="none"/>
        </w:rPr>
      </w:pPr>
      <w:r>
        <w:rPr>
          <w:rFonts w:hint="eastAsia"/>
          <w:b/>
          <w:color w:val="auto"/>
          <w:sz w:val="28"/>
          <w:szCs w:val="28"/>
          <w:highlight w:val="none"/>
        </w:rPr>
        <w:t>（一）设计标</w:t>
      </w:r>
      <w:r>
        <w:rPr>
          <w:b/>
          <w:color w:val="auto"/>
          <w:sz w:val="28"/>
          <w:szCs w:val="28"/>
          <w:highlight w:val="none"/>
        </w:rPr>
        <w:t>评</w:t>
      </w:r>
      <w:r>
        <w:rPr>
          <w:rFonts w:hint="eastAsia"/>
          <w:b/>
          <w:color w:val="auto"/>
          <w:sz w:val="28"/>
          <w:szCs w:val="28"/>
          <w:highlight w:val="none"/>
        </w:rPr>
        <w:t>分</w:t>
      </w:r>
      <w:r>
        <w:rPr>
          <w:b/>
          <w:color w:val="auto"/>
          <w:sz w:val="28"/>
          <w:szCs w:val="28"/>
          <w:highlight w:val="none"/>
        </w:rPr>
        <w:t>记录表</w:t>
      </w:r>
      <w:r>
        <w:rPr>
          <w:rFonts w:hint="eastAsia"/>
          <w:b/>
          <w:color w:val="auto"/>
          <w:sz w:val="28"/>
          <w:szCs w:val="28"/>
          <w:highlight w:val="none"/>
        </w:rPr>
        <w:t>（适用</w:t>
      </w:r>
      <w:r>
        <w:rPr>
          <w:rFonts w:hint="eastAsia" w:ascii="宋体" w:hAnsi="宋体"/>
          <w:b/>
          <w:color w:val="auto"/>
          <w:sz w:val="28"/>
          <w:szCs w:val="28"/>
          <w:highlight w:val="none"/>
        </w:rPr>
        <w:t>方案设计完成后初步设计完成前</w:t>
      </w:r>
      <w:r>
        <w:rPr>
          <w:rFonts w:hint="eastAsia"/>
          <w:b/>
          <w:color w:val="auto"/>
          <w:sz w:val="28"/>
          <w:szCs w:val="28"/>
          <w:highlight w:val="none"/>
        </w:rPr>
        <w:t>以初步设计投标）</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3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959"/>
        <w:gridCol w:w="1276"/>
        <w:gridCol w:w="1042"/>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17" w:type="dxa"/>
            <w:vMerge w:val="restart"/>
            <w:noWrap/>
            <w:vAlign w:val="center"/>
          </w:tcPr>
          <w:p>
            <w:pPr>
              <w:spacing w:line="360" w:lineRule="auto"/>
              <w:jc w:val="center"/>
              <w:rPr>
                <w:color w:val="auto"/>
                <w:highlight w:val="none"/>
              </w:rPr>
            </w:pPr>
            <w:r>
              <w:rPr>
                <w:color w:val="auto"/>
                <w:highlight w:val="none"/>
              </w:rPr>
              <w:t>序号</w:t>
            </w:r>
          </w:p>
        </w:tc>
        <w:tc>
          <w:tcPr>
            <w:tcW w:w="3959" w:type="dxa"/>
            <w:vMerge w:val="restart"/>
            <w:noWrap/>
            <w:vAlign w:val="center"/>
          </w:tcPr>
          <w:p>
            <w:pPr>
              <w:spacing w:line="360" w:lineRule="auto"/>
              <w:jc w:val="center"/>
              <w:rPr>
                <w:color w:val="auto"/>
                <w:highlight w:val="none"/>
              </w:rPr>
            </w:pPr>
            <w:r>
              <w:rPr>
                <w:color w:val="auto"/>
                <w:highlight w:val="none"/>
              </w:rPr>
              <w:t>评审因素</w:t>
            </w:r>
          </w:p>
        </w:tc>
        <w:tc>
          <w:tcPr>
            <w:tcW w:w="9122" w:type="dxa"/>
            <w:gridSpan w:val="8"/>
            <w:noWrap/>
            <w:vAlign w:val="center"/>
          </w:tcPr>
          <w:p>
            <w:pPr>
              <w:spacing w:line="360" w:lineRule="auto"/>
              <w:jc w:val="center"/>
              <w:rPr>
                <w:color w:val="auto"/>
                <w:highlight w:val="none"/>
              </w:rPr>
            </w:pPr>
            <w:r>
              <w:rPr>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917" w:type="dxa"/>
            <w:vMerge w:val="continue"/>
            <w:noWrap/>
            <w:vAlign w:val="center"/>
          </w:tcPr>
          <w:p>
            <w:pPr>
              <w:spacing w:line="360" w:lineRule="auto"/>
              <w:jc w:val="center"/>
              <w:rPr>
                <w:rFonts w:eastAsia="黑体"/>
                <w:color w:val="auto"/>
                <w:highlight w:val="none"/>
              </w:rPr>
            </w:pPr>
          </w:p>
        </w:tc>
        <w:tc>
          <w:tcPr>
            <w:tcW w:w="3959" w:type="dxa"/>
            <w:vMerge w:val="continue"/>
            <w:noWrap/>
            <w:vAlign w:val="center"/>
          </w:tcPr>
          <w:p>
            <w:pPr>
              <w:spacing w:line="360" w:lineRule="auto"/>
              <w:jc w:val="center"/>
              <w:rPr>
                <w:color w:val="auto"/>
                <w:kern w:val="0"/>
                <w:szCs w:val="21"/>
                <w:highlight w:val="none"/>
              </w:rPr>
            </w:pPr>
          </w:p>
        </w:tc>
        <w:tc>
          <w:tcPr>
            <w:tcW w:w="1276" w:type="dxa"/>
            <w:noWrap/>
            <w:vAlign w:val="center"/>
          </w:tcPr>
          <w:p>
            <w:pPr>
              <w:spacing w:line="360" w:lineRule="auto"/>
              <w:jc w:val="center"/>
              <w:rPr>
                <w:color w:val="auto"/>
                <w:highlight w:val="none"/>
              </w:rPr>
            </w:pPr>
          </w:p>
        </w:tc>
        <w:tc>
          <w:tcPr>
            <w:tcW w:w="104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1</w:t>
            </w:r>
          </w:p>
        </w:tc>
        <w:tc>
          <w:tcPr>
            <w:tcW w:w="3959" w:type="dxa"/>
            <w:noWrap/>
            <w:vAlign w:val="center"/>
          </w:tcPr>
          <w:p>
            <w:pPr>
              <w:spacing w:line="240" w:lineRule="exact"/>
              <w:rPr>
                <w:color w:val="auto"/>
                <w:kern w:val="0"/>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2</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3</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4</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5</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ascii="宋体" w:hAnsi="宋体"/>
                <w:color w:val="auto"/>
                <w:sz w:val="18"/>
                <w:szCs w:val="18"/>
                <w:highlight w:val="none"/>
              </w:rPr>
            </w:pPr>
            <w:r>
              <w:rPr>
                <w:rFonts w:hint="eastAsia" w:eastAsia="黑体"/>
                <w:color w:val="auto"/>
                <w:sz w:val="18"/>
                <w:szCs w:val="18"/>
                <w:highlight w:val="none"/>
              </w:rPr>
              <w:t>6</w:t>
            </w:r>
          </w:p>
        </w:tc>
        <w:tc>
          <w:tcPr>
            <w:tcW w:w="3959" w:type="dxa"/>
            <w:noWrap/>
            <w:vAlign w:val="center"/>
          </w:tcPr>
          <w:p>
            <w:pPr>
              <w:widowControl/>
              <w:spacing w:line="240" w:lineRule="exact"/>
              <w:rPr>
                <w:color w:val="auto"/>
                <w:sz w:val="18"/>
                <w:szCs w:val="18"/>
                <w:highlight w:val="none"/>
              </w:rPr>
            </w:pPr>
            <w:r>
              <w:rPr>
                <w:rFonts w:hint="eastAsia" w:ascii="宋体" w:hAnsi="宋体"/>
                <w:color w:val="auto"/>
                <w:kern w:val="0"/>
                <w:sz w:val="18"/>
                <w:szCs w:val="18"/>
                <w:highlight w:val="none"/>
              </w:rPr>
              <w:t>…………</w:t>
            </w: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876" w:type="dxa"/>
            <w:gridSpan w:val="2"/>
            <w:noWrap/>
            <w:vAlign w:val="center"/>
          </w:tcPr>
          <w:p>
            <w:pPr>
              <w:spacing w:line="240" w:lineRule="exact"/>
              <w:jc w:val="center"/>
              <w:rPr>
                <w:color w:val="auto"/>
                <w:sz w:val="18"/>
                <w:szCs w:val="18"/>
                <w:highlight w:val="none"/>
              </w:rPr>
            </w:pPr>
            <w:r>
              <w:rPr>
                <w:color w:val="auto"/>
                <w:sz w:val="18"/>
                <w:szCs w:val="18"/>
                <w:highlight w:val="none"/>
              </w:rPr>
              <w:t>得分合计</w:t>
            </w:r>
            <w:r>
              <w:rPr>
                <w:rFonts w:hint="eastAsia"/>
                <w:color w:val="auto"/>
                <w:sz w:val="18"/>
                <w:szCs w:val="18"/>
                <w:highlight w:val="none"/>
              </w:rPr>
              <w:t>（</w:t>
            </w:r>
            <w:r>
              <w:rPr>
                <w:color w:val="auto"/>
                <w:sz w:val="18"/>
                <w:szCs w:val="18"/>
                <w:highlight w:val="none"/>
              </w:rPr>
              <w:t>满分</w:t>
            </w:r>
            <w:r>
              <w:rPr>
                <w:rFonts w:hint="eastAsia"/>
                <w:color w:val="auto"/>
                <w:sz w:val="18"/>
                <w:szCs w:val="18"/>
                <w:highlight w:val="none"/>
              </w:rPr>
              <w:t>）</w:t>
            </w: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r>
        <w:rPr>
          <w:rFonts w:hint="eastAsia"/>
          <w:color w:val="auto"/>
          <w:highlight w:val="none"/>
        </w:rPr>
        <w:t>设计</w:t>
      </w:r>
      <w:r>
        <w:rPr>
          <w:color w:val="auto"/>
          <w:highlight w:val="none"/>
        </w:rPr>
        <w:t>类</w:t>
      </w:r>
      <w:r>
        <w:rPr>
          <w:rFonts w:hint="eastAsia"/>
          <w:color w:val="auto"/>
          <w:highlight w:val="none"/>
        </w:rPr>
        <w:t>评委</w:t>
      </w:r>
      <w:r>
        <w:rPr>
          <w:color w:val="auto"/>
          <w:highlight w:val="none"/>
        </w:rPr>
        <w:t>签名：</w:t>
      </w:r>
    </w:p>
    <w:p>
      <w:pPr>
        <w:rPr>
          <w:color w:val="auto"/>
          <w:highlight w:val="none"/>
        </w:rPr>
      </w:pPr>
    </w:p>
    <w:p>
      <w:pPr>
        <w:rPr>
          <w:color w:val="auto"/>
          <w:highlight w:val="none"/>
        </w:rPr>
      </w:pPr>
    </w:p>
    <w:p>
      <w:pPr>
        <w:jc w:val="center"/>
        <w:rPr>
          <w:rFonts w:eastAsia="黑体"/>
          <w:color w:val="auto"/>
          <w:sz w:val="28"/>
          <w:szCs w:val="28"/>
          <w:highlight w:val="none"/>
        </w:rPr>
      </w:pPr>
      <w:r>
        <w:rPr>
          <w:rFonts w:eastAsia="黑体"/>
          <w:color w:val="auto"/>
          <w:sz w:val="28"/>
          <w:szCs w:val="28"/>
          <w:highlight w:val="none"/>
        </w:rPr>
        <w:br w:type="page"/>
      </w:r>
      <w:r>
        <w:rPr>
          <w:rFonts w:hint="eastAsia"/>
          <w:b/>
          <w:color w:val="auto"/>
          <w:sz w:val="28"/>
          <w:szCs w:val="28"/>
          <w:highlight w:val="none"/>
        </w:rPr>
        <w:t>（二）设计标</w:t>
      </w:r>
      <w:r>
        <w:rPr>
          <w:b/>
          <w:color w:val="auto"/>
          <w:sz w:val="28"/>
          <w:szCs w:val="28"/>
          <w:highlight w:val="none"/>
        </w:rPr>
        <w:t>评</w:t>
      </w:r>
      <w:r>
        <w:rPr>
          <w:rFonts w:hint="eastAsia"/>
          <w:b/>
          <w:color w:val="auto"/>
          <w:sz w:val="28"/>
          <w:szCs w:val="28"/>
          <w:highlight w:val="none"/>
        </w:rPr>
        <w:t>分汇总明细</w:t>
      </w:r>
      <w:r>
        <w:rPr>
          <w:b/>
          <w:color w:val="auto"/>
          <w:sz w:val="28"/>
          <w:szCs w:val="28"/>
          <w:highlight w:val="none"/>
        </w:rPr>
        <w:t>表</w:t>
      </w:r>
      <w:r>
        <w:rPr>
          <w:rFonts w:hint="eastAsia"/>
          <w:b/>
          <w:color w:val="auto"/>
          <w:sz w:val="28"/>
          <w:szCs w:val="28"/>
          <w:highlight w:val="none"/>
        </w:rPr>
        <w:t>（适用</w:t>
      </w:r>
      <w:r>
        <w:rPr>
          <w:rFonts w:hint="eastAsia" w:ascii="宋体" w:hAnsi="宋体"/>
          <w:b/>
          <w:color w:val="auto"/>
          <w:sz w:val="28"/>
          <w:szCs w:val="28"/>
          <w:highlight w:val="none"/>
        </w:rPr>
        <w:t>方案设计完成后初步设计完成前</w:t>
      </w:r>
      <w:r>
        <w:rPr>
          <w:rFonts w:hint="eastAsia"/>
          <w:b/>
          <w:color w:val="auto"/>
          <w:sz w:val="28"/>
          <w:szCs w:val="28"/>
          <w:highlight w:val="none"/>
        </w:rPr>
        <w:t>以初步设计投标）</w:t>
      </w:r>
    </w:p>
    <w:p>
      <w:pPr>
        <w:spacing w:line="440" w:lineRule="exact"/>
        <w:jc w:val="center"/>
        <w:rPr>
          <w:rFonts w:eastAsia="黑体"/>
          <w:color w:val="auto"/>
          <w:sz w:val="28"/>
          <w:szCs w:val="28"/>
          <w:highlight w:val="none"/>
        </w:rPr>
      </w:pPr>
    </w:p>
    <w:p>
      <w:pPr>
        <w:spacing w:line="440" w:lineRule="exact"/>
        <w:jc w:val="center"/>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noWrap/>
            <w:vAlign w:val="center"/>
          </w:tcPr>
          <w:p>
            <w:pPr>
              <w:jc w:val="center"/>
              <w:rPr>
                <w:color w:val="auto"/>
                <w:highlight w:val="none"/>
              </w:rPr>
            </w:pPr>
            <w:r>
              <w:rPr>
                <w:color w:val="auto"/>
                <w:highlight w:val="none"/>
              </w:rPr>
              <w:t>评委序号和姓名</w:t>
            </w:r>
          </w:p>
        </w:tc>
        <w:tc>
          <w:tcPr>
            <w:tcW w:w="11639" w:type="dxa"/>
            <w:gridSpan w:val="7"/>
            <w:noWrap/>
            <w:vAlign w:val="center"/>
          </w:tcPr>
          <w:p>
            <w:pPr>
              <w:jc w:val="center"/>
              <w:rPr>
                <w:color w:val="auto"/>
                <w:highlight w:val="none"/>
              </w:rPr>
            </w:pPr>
            <w:r>
              <w:rPr>
                <w:color w:val="auto"/>
                <w:highlight w:val="none"/>
              </w:rPr>
              <w:t>投标人名称</w:t>
            </w:r>
            <w:r>
              <w:rPr>
                <w:rFonts w:hint="eastAsia"/>
                <w:color w:val="auto"/>
                <w:highlight w:val="none"/>
              </w:rPr>
              <w:t>（</w:t>
            </w:r>
            <w:r>
              <w:rPr>
                <w:color w:val="auto"/>
                <w:highlight w:val="none"/>
              </w:rPr>
              <w:t>或代码</w:t>
            </w:r>
            <w:r>
              <w:rPr>
                <w:rFonts w:hint="eastAsia"/>
                <w:color w:val="auto"/>
                <w:highlight w:val="none"/>
              </w:rPr>
              <w:t>）</w:t>
            </w:r>
            <w:r>
              <w:rPr>
                <w:color w:val="auto"/>
                <w:highlight w:val="none"/>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各评委评分合计</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各评委评分平均值</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p>
    <w:p>
      <w:pPr>
        <w:spacing w:after="240" w:afterLines="100"/>
        <w:rPr>
          <w:color w:val="auto"/>
          <w:highlight w:val="none"/>
        </w:rPr>
      </w:pPr>
      <w:r>
        <w:rPr>
          <w:rFonts w:hint="eastAsia"/>
          <w:color w:val="auto"/>
          <w:highlight w:val="none"/>
        </w:rPr>
        <w:t>全体</w:t>
      </w:r>
      <w:r>
        <w:rPr>
          <w:color w:val="auto"/>
          <w:highlight w:val="none"/>
        </w:rPr>
        <w:t>设计类</w:t>
      </w:r>
      <w:r>
        <w:rPr>
          <w:rFonts w:hint="eastAsia"/>
          <w:color w:val="auto"/>
          <w:highlight w:val="none"/>
        </w:rPr>
        <w:t>评委</w:t>
      </w:r>
      <w:r>
        <w:rPr>
          <w:color w:val="auto"/>
          <w:highlight w:val="none"/>
        </w:rPr>
        <w:t xml:space="preserve">签名：  </w:t>
      </w:r>
    </w:p>
    <w:p>
      <w:pPr>
        <w:spacing w:line="360" w:lineRule="auto"/>
        <w:rPr>
          <w:color w:val="auto"/>
          <w:highlight w:val="none"/>
        </w:rPr>
      </w:pPr>
    </w:p>
    <w:p>
      <w:pPr>
        <w:spacing w:line="440" w:lineRule="exact"/>
        <w:rPr>
          <w:color w:val="auto"/>
          <w:highlight w:val="none"/>
        </w:rPr>
        <w:sectPr>
          <w:type w:val="continuous"/>
          <w:pgSz w:w="16840" w:h="11907" w:orient="landscape"/>
          <w:pgMar w:top="1440" w:right="1440" w:bottom="1440" w:left="1797" w:header="851" w:footer="851" w:gutter="0"/>
          <w:cols w:space="720" w:num="1"/>
          <w:docGrid w:linePitch="312" w:charSpace="0"/>
        </w:sectPr>
      </w:pPr>
    </w:p>
    <w:p>
      <w:pPr>
        <w:rPr>
          <w:rFonts w:ascii="宋体" w:hAnsi="宋体"/>
          <w:b/>
          <w:color w:val="auto"/>
          <w:sz w:val="28"/>
          <w:szCs w:val="28"/>
          <w:highlight w:val="none"/>
        </w:rPr>
      </w:pPr>
      <w:r>
        <w:rPr>
          <w:rFonts w:ascii="宋体" w:hAnsi="宋体"/>
          <w:b/>
          <w:color w:val="auto"/>
          <w:sz w:val="28"/>
          <w:szCs w:val="28"/>
          <w:highlight w:val="none"/>
        </w:rPr>
        <w:t>附表A-</w:t>
      </w:r>
      <w:r>
        <w:rPr>
          <w:rFonts w:hint="eastAsia" w:ascii="宋体" w:hAnsi="宋体"/>
          <w:b/>
          <w:color w:val="auto"/>
          <w:sz w:val="28"/>
          <w:szCs w:val="28"/>
          <w:highlight w:val="none"/>
        </w:rPr>
        <w:t>12</w:t>
      </w:r>
      <w:r>
        <w:rPr>
          <w:rFonts w:ascii="宋体" w:hAnsi="宋体"/>
          <w:b/>
          <w:color w:val="auto"/>
          <w:sz w:val="28"/>
          <w:szCs w:val="28"/>
          <w:highlight w:val="none"/>
        </w:rPr>
        <w:t>：</w:t>
      </w:r>
      <w:r>
        <w:rPr>
          <w:rFonts w:hint="eastAsia" w:ascii="宋体" w:hAnsi="宋体"/>
          <w:b/>
          <w:color w:val="auto"/>
          <w:sz w:val="28"/>
          <w:szCs w:val="28"/>
          <w:highlight w:val="none"/>
        </w:rPr>
        <w:t>设计标</w:t>
      </w:r>
      <w:r>
        <w:rPr>
          <w:rFonts w:ascii="宋体" w:hAnsi="宋体"/>
          <w:b/>
          <w:color w:val="auto"/>
          <w:sz w:val="28"/>
          <w:szCs w:val="28"/>
          <w:highlight w:val="none"/>
        </w:rPr>
        <w:t>评</w:t>
      </w:r>
      <w:r>
        <w:rPr>
          <w:rFonts w:hint="eastAsia" w:ascii="宋体" w:hAnsi="宋体"/>
          <w:b/>
          <w:color w:val="auto"/>
          <w:sz w:val="28"/>
          <w:szCs w:val="28"/>
          <w:highlight w:val="none"/>
        </w:rPr>
        <w:t>分</w:t>
      </w:r>
      <w:r>
        <w:rPr>
          <w:rFonts w:ascii="宋体" w:hAnsi="宋体"/>
          <w:b/>
          <w:color w:val="auto"/>
          <w:sz w:val="28"/>
          <w:szCs w:val="28"/>
          <w:highlight w:val="none"/>
        </w:rPr>
        <w:t>记录表</w:t>
      </w:r>
      <w:r>
        <w:rPr>
          <w:rFonts w:hint="eastAsia" w:ascii="宋体" w:hAnsi="宋体"/>
          <w:b/>
          <w:color w:val="auto"/>
          <w:sz w:val="28"/>
          <w:szCs w:val="28"/>
          <w:highlight w:val="none"/>
        </w:rPr>
        <w:t>（适用初步设计完成后施工图设计完成前以深化初步设计投标）</w:t>
      </w:r>
    </w:p>
    <w:p>
      <w:pPr>
        <w:spacing w:line="440" w:lineRule="exact"/>
        <w:jc w:val="center"/>
        <w:rPr>
          <w:rFonts w:eastAsia="黑体"/>
          <w:color w:val="auto"/>
          <w:sz w:val="28"/>
          <w:szCs w:val="28"/>
          <w:highlight w:val="none"/>
        </w:rPr>
      </w:pPr>
    </w:p>
    <w:p>
      <w:pPr>
        <w:jc w:val="center"/>
        <w:rPr>
          <w:b/>
          <w:color w:val="auto"/>
          <w:sz w:val="28"/>
          <w:szCs w:val="28"/>
          <w:highlight w:val="none"/>
        </w:rPr>
      </w:pPr>
      <w:r>
        <w:rPr>
          <w:rFonts w:hint="eastAsia"/>
          <w:b/>
          <w:color w:val="auto"/>
          <w:sz w:val="28"/>
          <w:szCs w:val="28"/>
          <w:highlight w:val="none"/>
        </w:rPr>
        <w:t>（一）设计标</w:t>
      </w:r>
      <w:r>
        <w:rPr>
          <w:b/>
          <w:color w:val="auto"/>
          <w:sz w:val="28"/>
          <w:szCs w:val="28"/>
          <w:highlight w:val="none"/>
        </w:rPr>
        <w:t>评</w:t>
      </w:r>
      <w:r>
        <w:rPr>
          <w:rFonts w:hint="eastAsia"/>
          <w:b/>
          <w:color w:val="auto"/>
          <w:sz w:val="28"/>
          <w:szCs w:val="28"/>
          <w:highlight w:val="none"/>
        </w:rPr>
        <w:t>分</w:t>
      </w:r>
      <w:r>
        <w:rPr>
          <w:b/>
          <w:color w:val="auto"/>
          <w:sz w:val="28"/>
          <w:szCs w:val="28"/>
          <w:highlight w:val="none"/>
        </w:rPr>
        <w:t>记录表</w:t>
      </w:r>
      <w:r>
        <w:rPr>
          <w:rFonts w:hint="eastAsia"/>
          <w:b/>
          <w:color w:val="auto"/>
          <w:sz w:val="28"/>
          <w:szCs w:val="28"/>
          <w:highlight w:val="none"/>
        </w:rPr>
        <w:t>（适用</w:t>
      </w:r>
      <w:r>
        <w:rPr>
          <w:rFonts w:hint="eastAsia" w:ascii="宋体" w:hAnsi="宋体"/>
          <w:b/>
          <w:color w:val="auto"/>
          <w:sz w:val="28"/>
          <w:szCs w:val="28"/>
          <w:highlight w:val="none"/>
        </w:rPr>
        <w:t>初步设计完成后施工图设计完成前</w:t>
      </w:r>
      <w:r>
        <w:rPr>
          <w:rFonts w:hint="eastAsia"/>
          <w:b/>
          <w:color w:val="auto"/>
          <w:sz w:val="28"/>
          <w:szCs w:val="28"/>
          <w:highlight w:val="none"/>
        </w:rPr>
        <w:t>以深化初步设计投标）</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3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959"/>
        <w:gridCol w:w="1276"/>
        <w:gridCol w:w="1042"/>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17" w:type="dxa"/>
            <w:vMerge w:val="restart"/>
            <w:noWrap/>
            <w:vAlign w:val="center"/>
          </w:tcPr>
          <w:p>
            <w:pPr>
              <w:spacing w:line="360" w:lineRule="auto"/>
              <w:jc w:val="center"/>
              <w:rPr>
                <w:color w:val="auto"/>
                <w:highlight w:val="none"/>
              </w:rPr>
            </w:pPr>
            <w:r>
              <w:rPr>
                <w:color w:val="auto"/>
                <w:highlight w:val="none"/>
              </w:rPr>
              <w:t>序号</w:t>
            </w:r>
          </w:p>
        </w:tc>
        <w:tc>
          <w:tcPr>
            <w:tcW w:w="3959" w:type="dxa"/>
            <w:vMerge w:val="restart"/>
            <w:noWrap/>
            <w:vAlign w:val="center"/>
          </w:tcPr>
          <w:p>
            <w:pPr>
              <w:spacing w:line="360" w:lineRule="auto"/>
              <w:jc w:val="center"/>
              <w:rPr>
                <w:color w:val="auto"/>
                <w:highlight w:val="none"/>
              </w:rPr>
            </w:pPr>
            <w:r>
              <w:rPr>
                <w:color w:val="auto"/>
                <w:highlight w:val="none"/>
              </w:rPr>
              <w:t>评审因素</w:t>
            </w:r>
          </w:p>
        </w:tc>
        <w:tc>
          <w:tcPr>
            <w:tcW w:w="9122" w:type="dxa"/>
            <w:gridSpan w:val="8"/>
            <w:noWrap/>
            <w:vAlign w:val="center"/>
          </w:tcPr>
          <w:p>
            <w:pPr>
              <w:spacing w:line="360" w:lineRule="auto"/>
              <w:jc w:val="center"/>
              <w:rPr>
                <w:color w:val="auto"/>
                <w:highlight w:val="none"/>
              </w:rPr>
            </w:pPr>
            <w:r>
              <w:rPr>
                <w:color w:val="auto"/>
                <w:highlight w:val="non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917" w:type="dxa"/>
            <w:vMerge w:val="continue"/>
            <w:noWrap/>
            <w:vAlign w:val="center"/>
          </w:tcPr>
          <w:p>
            <w:pPr>
              <w:spacing w:line="360" w:lineRule="auto"/>
              <w:jc w:val="center"/>
              <w:rPr>
                <w:rFonts w:eastAsia="黑体"/>
                <w:color w:val="auto"/>
                <w:highlight w:val="none"/>
              </w:rPr>
            </w:pPr>
          </w:p>
        </w:tc>
        <w:tc>
          <w:tcPr>
            <w:tcW w:w="3959" w:type="dxa"/>
            <w:vMerge w:val="continue"/>
            <w:noWrap/>
            <w:vAlign w:val="center"/>
          </w:tcPr>
          <w:p>
            <w:pPr>
              <w:spacing w:line="360" w:lineRule="auto"/>
              <w:jc w:val="center"/>
              <w:rPr>
                <w:color w:val="auto"/>
                <w:kern w:val="0"/>
                <w:szCs w:val="21"/>
                <w:highlight w:val="none"/>
              </w:rPr>
            </w:pPr>
          </w:p>
        </w:tc>
        <w:tc>
          <w:tcPr>
            <w:tcW w:w="1276" w:type="dxa"/>
            <w:noWrap/>
            <w:vAlign w:val="center"/>
          </w:tcPr>
          <w:p>
            <w:pPr>
              <w:spacing w:line="360" w:lineRule="auto"/>
              <w:jc w:val="center"/>
              <w:rPr>
                <w:color w:val="auto"/>
                <w:highlight w:val="none"/>
              </w:rPr>
            </w:pPr>
          </w:p>
        </w:tc>
        <w:tc>
          <w:tcPr>
            <w:tcW w:w="1042"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c>
          <w:tcPr>
            <w:tcW w:w="1134" w:type="dxa"/>
            <w:noWrap/>
            <w:vAlign w:val="center"/>
          </w:tcPr>
          <w:p>
            <w:pPr>
              <w:spacing w:line="36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1</w:t>
            </w:r>
          </w:p>
        </w:tc>
        <w:tc>
          <w:tcPr>
            <w:tcW w:w="3959" w:type="dxa"/>
            <w:noWrap/>
            <w:vAlign w:val="center"/>
          </w:tcPr>
          <w:p>
            <w:pPr>
              <w:spacing w:line="240" w:lineRule="exact"/>
              <w:rPr>
                <w:color w:val="auto"/>
                <w:kern w:val="0"/>
                <w:sz w:val="18"/>
                <w:szCs w:val="18"/>
                <w:highlight w:val="none"/>
              </w:rPr>
            </w:pPr>
            <w:r>
              <w:rPr>
                <w:rFonts w:hint="eastAsia" w:ascii="宋体" w:hAnsi="宋体"/>
                <w:color w:val="auto"/>
                <w:highlight w:val="none"/>
              </w:rPr>
              <w:t>施工图设计成果</w:t>
            </w: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2</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3</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4</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eastAsia="黑体"/>
                <w:color w:val="auto"/>
                <w:sz w:val="18"/>
                <w:szCs w:val="18"/>
                <w:highlight w:val="none"/>
              </w:rPr>
            </w:pPr>
            <w:r>
              <w:rPr>
                <w:rFonts w:hint="eastAsia" w:eastAsia="黑体"/>
                <w:color w:val="auto"/>
                <w:sz w:val="18"/>
                <w:szCs w:val="18"/>
                <w:highlight w:val="none"/>
              </w:rPr>
              <w:t>5</w:t>
            </w:r>
          </w:p>
        </w:tc>
        <w:tc>
          <w:tcPr>
            <w:tcW w:w="3959" w:type="dxa"/>
            <w:noWrap/>
            <w:vAlign w:val="center"/>
          </w:tcPr>
          <w:p>
            <w:pPr>
              <w:widowControl/>
              <w:spacing w:line="240" w:lineRule="exact"/>
              <w:rPr>
                <w:color w:val="auto"/>
                <w:sz w:val="18"/>
                <w:szCs w:val="18"/>
                <w:highlight w:val="none"/>
              </w:rPr>
            </w:pP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noWrap/>
            <w:vAlign w:val="center"/>
          </w:tcPr>
          <w:p>
            <w:pPr>
              <w:spacing w:line="240" w:lineRule="exact"/>
              <w:jc w:val="center"/>
              <w:rPr>
                <w:rFonts w:ascii="宋体" w:hAnsi="宋体"/>
                <w:color w:val="auto"/>
                <w:sz w:val="18"/>
                <w:szCs w:val="18"/>
                <w:highlight w:val="none"/>
              </w:rPr>
            </w:pPr>
            <w:r>
              <w:rPr>
                <w:rFonts w:hint="eastAsia" w:eastAsia="黑体"/>
                <w:color w:val="auto"/>
                <w:sz w:val="18"/>
                <w:szCs w:val="18"/>
                <w:highlight w:val="none"/>
              </w:rPr>
              <w:t>6</w:t>
            </w:r>
          </w:p>
        </w:tc>
        <w:tc>
          <w:tcPr>
            <w:tcW w:w="3959" w:type="dxa"/>
            <w:noWrap/>
            <w:vAlign w:val="center"/>
          </w:tcPr>
          <w:p>
            <w:pPr>
              <w:widowControl/>
              <w:spacing w:line="240" w:lineRule="exact"/>
              <w:rPr>
                <w:color w:val="auto"/>
                <w:sz w:val="18"/>
                <w:szCs w:val="18"/>
                <w:highlight w:val="none"/>
              </w:rPr>
            </w:pPr>
            <w:r>
              <w:rPr>
                <w:rFonts w:hint="eastAsia" w:ascii="宋体" w:hAnsi="宋体"/>
                <w:color w:val="auto"/>
                <w:kern w:val="0"/>
                <w:sz w:val="18"/>
                <w:szCs w:val="18"/>
                <w:highlight w:val="none"/>
              </w:rPr>
              <w:t>…………</w:t>
            </w: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876" w:type="dxa"/>
            <w:gridSpan w:val="2"/>
            <w:noWrap/>
            <w:vAlign w:val="center"/>
          </w:tcPr>
          <w:p>
            <w:pPr>
              <w:spacing w:line="240" w:lineRule="exact"/>
              <w:jc w:val="center"/>
              <w:rPr>
                <w:color w:val="auto"/>
                <w:sz w:val="18"/>
                <w:szCs w:val="18"/>
                <w:highlight w:val="none"/>
              </w:rPr>
            </w:pPr>
            <w:r>
              <w:rPr>
                <w:color w:val="auto"/>
                <w:sz w:val="18"/>
                <w:szCs w:val="18"/>
                <w:highlight w:val="none"/>
              </w:rPr>
              <w:t>得分合计</w:t>
            </w:r>
            <w:r>
              <w:rPr>
                <w:rFonts w:hint="eastAsia"/>
                <w:color w:val="auto"/>
                <w:sz w:val="18"/>
                <w:szCs w:val="18"/>
                <w:highlight w:val="none"/>
              </w:rPr>
              <w:t>（</w:t>
            </w:r>
            <w:r>
              <w:rPr>
                <w:color w:val="auto"/>
                <w:sz w:val="18"/>
                <w:szCs w:val="18"/>
                <w:highlight w:val="none"/>
              </w:rPr>
              <w:t>满分</w:t>
            </w:r>
            <w:r>
              <w:rPr>
                <w:rFonts w:hint="eastAsia"/>
                <w:color w:val="auto"/>
                <w:sz w:val="18"/>
                <w:szCs w:val="18"/>
                <w:highlight w:val="none"/>
              </w:rPr>
              <w:t>）</w:t>
            </w:r>
          </w:p>
        </w:tc>
        <w:tc>
          <w:tcPr>
            <w:tcW w:w="1276" w:type="dxa"/>
            <w:noWrap/>
            <w:vAlign w:val="center"/>
          </w:tcPr>
          <w:p>
            <w:pPr>
              <w:spacing w:line="240" w:lineRule="exact"/>
              <w:jc w:val="center"/>
              <w:rPr>
                <w:color w:val="auto"/>
                <w:sz w:val="18"/>
                <w:szCs w:val="18"/>
                <w:highlight w:val="none"/>
              </w:rPr>
            </w:pPr>
          </w:p>
        </w:tc>
        <w:tc>
          <w:tcPr>
            <w:tcW w:w="1042"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c>
          <w:tcPr>
            <w:tcW w:w="1134" w:type="dxa"/>
            <w:noWrap/>
            <w:vAlign w:val="center"/>
          </w:tcPr>
          <w:p>
            <w:pPr>
              <w:spacing w:line="240" w:lineRule="exact"/>
              <w:jc w:val="center"/>
              <w:rPr>
                <w:color w:val="auto"/>
                <w:sz w:val="18"/>
                <w:szCs w:val="18"/>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r>
        <w:rPr>
          <w:rFonts w:hint="eastAsia"/>
          <w:color w:val="auto"/>
          <w:highlight w:val="none"/>
        </w:rPr>
        <w:t>评委</w:t>
      </w:r>
      <w:r>
        <w:rPr>
          <w:color w:val="auto"/>
          <w:highlight w:val="none"/>
        </w:rPr>
        <w:t>签名：</w:t>
      </w:r>
    </w:p>
    <w:p>
      <w:pPr>
        <w:rPr>
          <w:color w:val="auto"/>
          <w:highlight w:val="none"/>
        </w:rPr>
      </w:pPr>
    </w:p>
    <w:p>
      <w:pPr>
        <w:rPr>
          <w:color w:val="auto"/>
          <w:highlight w:val="none"/>
        </w:rPr>
      </w:pPr>
    </w:p>
    <w:p>
      <w:pPr>
        <w:jc w:val="center"/>
        <w:rPr>
          <w:rFonts w:eastAsia="黑体"/>
          <w:color w:val="auto"/>
          <w:sz w:val="28"/>
          <w:szCs w:val="28"/>
          <w:highlight w:val="none"/>
        </w:rPr>
      </w:pPr>
      <w:r>
        <w:rPr>
          <w:rFonts w:eastAsia="黑体"/>
          <w:color w:val="auto"/>
          <w:sz w:val="28"/>
          <w:szCs w:val="28"/>
          <w:highlight w:val="none"/>
        </w:rPr>
        <w:br w:type="page"/>
      </w:r>
      <w:r>
        <w:rPr>
          <w:rFonts w:hint="eastAsia"/>
          <w:b/>
          <w:color w:val="auto"/>
          <w:sz w:val="28"/>
          <w:szCs w:val="28"/>
          <w:highlight w:val="none"/>
        </w:rPr>
        <w:t>（二）设计标</w:t>
      </w:r>
      <w:r>
        <w:rPr>
          <w:b/>
          <w:color w:val="auto"/>
          <w:sz w:val="28"/>
          <w:szCs w:val="28"/>
          <w:highlight w:val="none"/>
        </w:rPr>
        <w:t>评</w:t>
      </w:r>
      <w:r>
        <w:rPr>
          <w:rFonts w:hint="eastAsia"/>
          <w:b/>
          <w:color w:val="auto"/>
          <w:sz w:val="28"/>
          <w:szCs w:val="28"/>
          <w:highlight w:val="none"/>
        </w:rPr>
        <w:t>分汇总明细</w:t>
      </w:r>
      <w:r>
        <w:rPr>
          <w:b/>
          <w:color w:val="auto"/>
          <w:sz w:val="28"/>
          <w:szCs w:val="28"/>
          <w:highlight w:val="none"/>
        </w:rPr>
        <w:t>表</w:t>
      </w:r>
      <w:r>
        <w:rPr>
          <w:rFonts w:hint="eastAsia"/>
          <w:b/>
          <w:color w:val="auto"/>
          <w:sz w:val="28"/>
          <w:szCs w:val="28"/>
          <w:highlight w:val="none"/>
        </w:rPr>
        <w:t>（适用</w:t>
      </w:r>
      <w:r>
        <w:rPr>
          <w:rFonts w:hint="eastAsia" w:ascii="宋体" w:hAnsi="宋体"/>
          <w:b/>
          <w:color w:val="auto"/>
          <w:sz w:val="28"/>
          <w:szCs w:val="28"/>
          <w:highlight w:val="none"/>
        </w:rPr>
        <w:t>初步设计完成后施工图设计完成前</w:t>
      </w:r>
      <w:r>
        <w:rPr>
          <w:rFonts w:hint="eastAsia"/>
          <w:b/>
          <w:color w:val="auto"/>
          <w:sz w:val="28"/>
          <w:szCs w:val="28"/>
          <w:highlight w:val="none"/>
        </w:rPr>
        <w:t>以深化初步设计投标）</w:t>
      </w:r>
    </w:p>
    <w:p>
      <w:pPr>
        <w:spacing w:line="440" w:lineRule="exact"/>
        <w:jc w:val="center"/>
        <w:rPr>
          <w:rFonts w:eastAsia="黑体"/>
          <w:color w:val="auto"/>
          <w:sz w:val="28"/>
          <w:szCs w:val="28"/>
          <w:highlight w:val="none"/>
        </w:rPr>
      </w:pPr>
    </w:p>
    <w:p>
      <w:pPr>
        <w:spacing w:line="440" w:lineRule="exact"/>
        <w:jc w:val="center"/>
        <w:rPr>
          <w:color w:val="auto"/>
          <w:highlight w:val="none"/>
        </w:rPr>
      </w:pPr>
      <w:r>
        <w:rPr>
          <w:color w:val="auto"/>
          <w:highlight w:val="none"/>
        </w:rPr>
        <w:t>工程名称</w:t>
      </w:r>
      <w:r>
        <w:rPr>
          <w:rFonts w:hint="eastAsia"/>
          <w:color w:val="auto"/>
          <w:highlight w:val="none"/>
        </w:rPr>
        <w:t>及项目招标编号</w:t>
      </w:r>
      <w:r>
        <w:rPr>
          <w:color w:val="auto"/>
          <w:highlight w:val="none"/>
        </w:rPr>
        <w:t>：           时间：      年      月      日</w:t>
      </w:r>
    </w:p>
    <w:tbl>
      <w:tblPr>
        <w:tblStyle w:val="22"/>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noWrap/>
            <w:vAlign w:val="center"/>
          </w:tcPr>
          <w:p>
            <w:pPr>
              <w:jc w:val="center"/>
              <w:rPr>
                <w:color w:val="auto"/>
                <w:highlight w:val="none"/>
              </w:rPr>
            </w:pPr>
            <w:r>
              <w:rPr>
                <w:color w:val="auto"/>
                <w:highlight w:val="none"/>
              </w:rPr>
              <w:t>评委序号和姓名</w:t>
            </w:r>
          </w:p>
        </w:tc>
        <w:tc>
          <w:tcPr>
            <w:tcW w:w="11639" w:type="dxa"/>
            <w:gridSpan w:val="7"/>
            <w:noWrap/>
            <w:vAlign w:val="center"/>
          </w:tcPr>
          <w:p>
            <w:pPr>
              <w:jc w:val="center"/>
              <w:rPr>
                <w:color w:val="auto"/>
                <w:highlight w:val="none"/>
              </w:rPr>
            </w:pPr>
            <w:r>
              <w:rPr>
                <w:color w:val="auto"/>
                <w:highlight w:val="none"/>
              </w:rPr>
              <w:t>投标人名称</w:t>
            </w:r>
            <w:r>
              <w:rPr>
                <w:rFonts w:hint="eastAsia"/>
                <w:color w:val="auto"/>
                <w:highlight w:val="none"/>
              </w:rPr>
              <w:t>（</w:t>
            </w:r>
            <w:r>
              <w:rPr>
                <w:color w:val="auto"/>
                <w:highlight w:val="none"/>
              </w:rPr>
              <w:t>或代码</w:t>
            </w:r>
            <w:r>
              <w:rPr>
                <w:rFonts w:hint="eastAsia"/>
                <w:color w:val="auto"/>
                <w:highlight w:val="none"/>
              </w:rPr>
              <w:t>）</w:t>
            </w:r>
            <w:r>
              <w:rPr>
                <w:color w:val="auto"/>
                <w:highlight w:val="none"/>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left"/>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各评委评分合计</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r>
              <w:rPr>
                <w:color w:val="auto"/>
                <w:highlight w:val="none"/>
              </w:rPr>
              <w:t>各评委评分平均值</w:t>
            </w: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noWrap/>
            <w:vAlign w:val="center"/>
          </w:tcPr>
          <w:p>
            <w:pPr>
              <w:jc w:val="center"/>
              <w:rPr>
                <w:color w:val="auto"/>
                <w:highlight w:val="none"/>
              </w:rPr>
            </w:pPr>
          </w:p>
        </w:tc>
        <w:tc>
          <w:tcPr>
            <w:tcW w:w="1490"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c>
          <w:tcPr>
            <w:tcW w:w="1691" w:type="dxa"/>
            <w:noWrap/>
            <w:vAlign w:val="center"/>
          </w:tcPr>
          <w:p>
            <w:pPr>
              <w:jc w:val="center"/>
              <w:rPr>
                <w:color w:val="auto"/>
                <w:highlight w:val="none"/>
              </w:rPr>
            </w:pPr>
          </w:p>
        </w:tc>
        <w:tc>
          <w:tcPr>
            <w:tcW w:w="1692" w:type="dxa"/>
            <w:noWrap/>
            <w:vAlign w:val="center"/>
          </w:tcPr>
          <w:p>
            <w:pPr>
              <w:jc w:val="center"/>
              <w:rPr>
                <w:color w:val="auto"/>
                <w:highlight w:val="none"/>
              </w:rPr>
            </w:pPr>
          </w:p>
        </w:tc>
      </w:tr>
    </w:tbl>
    <w:p>
      <w:pPr>
        <w:rPr>
          <w:rFonts w:eastAsia="楷体_GB2312"/>
          <w:color w:val="auto"/>
          <w:szCs w:val="21"/>
          <w:highlight w:val="none"/>
        </w:rPr>
      </w:pPr>
      <w:r>
        <w:rPr>
          <w:rFonts w:eastAsia="楷体_GB2312"/>
          <w:color w:val="auto"/>
          <w:szCs w:val="21"/>
          <w:highlight w:val="none"/>
        </w:rPr>
        <w:t>【</w:t>
      </w:r>
      <w:r>
        <w:rPr>
          <w:rFonts w:eastAsia="楷体_GB2312"/>
          <w:color w:val="auto"/>
          <w:highlight w:val="none"/>
        </w:rPr>
        <w:t>备注：本表可根据评分办法的需要进行调整</w:t>
      </w:r>
      <w:r>
        <w:rPr>
          <w:rFonts w:eastAsia="楷体_GB2312"/>
          <w:color w:val="auto"/>
          <w:szCs w:val="21"/>
          <w:highlight w:val="none"/>
        </w:rPr>
        <w:t>】</w:t>
      </w:r>
    </w:p>
    <w:p>
      <w:pPr>
        <w:spacing w:line="440" w:lineRule="exact"/>
        <w:rPr>
          <w:color w:val="auto"/>
          <w:highlight w:val="none"/>
        </w:rPr>
      </w:pPr>
    </w:p>
    <w:p>
      <w:pPr>
        <w:spacing w:after="240" w:afterLines="100"/>
        <w:rPr>
          <w:color w:val="auto"/>
          <w:highlight w:val="none"/>
        </w:rPr>
      </w:pPr>
      <w:r>
        <w:rPr>
          <w:rFonts w:hint="eastAsia"/>
          <w:color w:val="auto"/>
          <w:highlight w:val="none"/>
        </w:rPr>
        <w:t>评委</w:t>
      </w:r>
      <w:r>
        <w:rPr>
          <w:color w:val="auto"/>
          <w:highlight w:val="none"/>
        </w:rPr>
        <w:t xml:space="preserve">签名：  </w:t>
      </w:r>
    </w:p>
    <w:p>
      <w:pPr>
        <w:spacing w:line="360" w:lineRule="auto"/>
        <w:rPr>
          <w:color w:val="auto"/>
          <w:highlight w:val="none"/>
        </w:rPr>
      </w:pPr>
    </w:p>
    <w:p>
      <w:pPr>
        <w:spacing w:line="360" w:lineRule="auto"/>
        <w:rPr>
          <w:rFonts w:ascii="宋体" w:hAnsi="宋体"/>
          <w:b/>
          <w:color w:val="auto"/>
          <w:sz w:val="28"/>
          <w:szCs w:val="28"/>
          <w:highlight w:val="none"/>
        </w:rPr>
      </w:pPr>
      <w:r>
        <w:rPr>
          <w:rFonts w:ascii="宋体" w:hAnsi="宋体"/>
          <w:b/>
          <w:color w:val="auto"/>
          <w:sz w:val="28"/>
          <w:szCs w:val="28"/>
          <w:highlight w:val="none"/>
        </w:rPr>
        <w:br w:type="page"/>
      </w:r>
      <w:r>
        <w:rPr>
          <w:rFonts w:ascii="宋体" w:hAnsi="宋体"/>
          <w:b/>
          <w:color w:val="auto"/>
          <w:sz w:val="28"/>
          <w:szCs w:val="28"/>
          <w:highlight w:val="none"/>
        </w:rPr>
        <w:t>附表A-1</w:t>
      </w:r>
      <w:r>
        <w:rPr>
          <w:rFonts w:hint="eastAsia" w:ascii="宋体" w:hAnsi="宋体"/>
          <w:b/>
          <w:color w:val="auto"/>
          <w:sz w:val="28"/>
          <w:szCs w:val="28"/>
          <w:highlight w:val="none"/>
        </w:rPr>
        <w:t>3</w:t>
      </w:r>
      <w:r>
        <w:rPr>
          <w:rFonts w:ascii="宋体" w:hAnsi="宋体"/>
          <w:b/>
          <w:color w:val="auto"/>
          <w:sz w:val="28"/>
          <w:szCs w:val="28"/>
          <w:highlight w:val="none"/>
        </w:rPr>
        <w:t>：评标结果汇总表</w:t>
      </w:r>
    </w:p>
    <w:p>
      <w:pPr>
        <w:jc w:val="center"/>
        <w:rPr>
          <w:b/>
          <w:color w:val="auto"/>
          <w:sz w:val="28"/>
          <w:szCs w:val="28"/>
          <w:highlight w:val="none"/>
        </w:rPr>
      </w:pPr>
      <w:r>
        <w:rPr>
          <w:b/>
          <w:color w:val="auto"/>
          <w:sz w:val="28"/>
          <w:szCs w:val="28"/>
          <w:highlight w:val="none"/>
        </w:rPr>
        <w:t>评标结果汇总表</w:t>
      </w:r>
    </w:p>
    <w:p>
      <w:pPr>
        <w:spacing w:after="72" w:afterLines="30" w:line="440" w:lineRule="exact"/>
        <w:rPr>
          <w:color w:val="auto"/>
          <w:highlight w:val="none"/>
        </w:rPr>
      </w:pPr>
      <w:r>
        <w:rPr>
          <w:color w:val="auto"/>
          <w:highlight w:val="none"/>
        </w:rPr>
        <w:t>工程名称</w:t>
      </w:r>
      <w:r>
        <w:rPr>
          <w:rFonts w:hint="eastAsia"/>
          <w:color w:val="auto"/>
          <w:highlight w:val="none"/>
        </w:rPr>
        <w:t>及项目招标编号</w:t>
      </w:r>
      <w:r>
        <w:rPr>
          <w:color w:val="auto"/>
          <w:highlight w:val="none"/>
        </w:rPr>
        <w:t>：：</w:t>
      </w:r>
      <w:r>
        <w:rPr>
          <w:rFonts w:hint="eastAsia"/>
          <w:color w:val="auto"/>
          <w:highlight w:val="none"/>
        </w:rPr>
        <w:t>（</w:t>
      </w:r>
      <w:r>
        <w:rPr>
          <w:color w:val="auto"/>
          <w:highlight w:val="none"/>
        </w:rPr>
        <w:t>项目名称</w:t>
      </w:r>
      <w:r>
        <w:rPr>
          <w:rFonts w:hint="eastAsia"/>
          <w:color w:val="auto"/>
          <w:highlight w:val="none"/>
        </w:rPr>
        <w:t>）</w:t>
      </w:r>
      <w:r>
        <w:rPr>
          <w:color w:val="auto"/>
          <w:highlight w:val="none"/>
        </w:rPr>
        <w:t xml:space="preserve">                    时间：      年      月      日</w:t>
      </w:r>
    </w:p>
    <w:tbl>
      <w:tblPr>
        <w:tblStyle w:val="22"/>
        <w:tblW w:w="14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84"/>
        <w:gridCol w:w="878"/>
        <w:gridCol w:w="1337"/>
        <w:gridCol w:w="1460"/>
        <w:gridCol w:w="7"/>
        <w:gridCol w:w="1467"/>
        <w:gridCol w:w="1727"/>
        <w:gridCol w:w="1337"/>
        <w:gridCol w:w="1077"/>
        <w:gridCol w:w="947"/>
        <w:gridCol w:w="947"/>
        <w:gridCol w:w="84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56" w:type="dxa"/>
            <w:vMerge w:val="restart"/>
            <w:noWrap/>
            <w:vAlign w:val="center"/>
          </w:tcPr>
          <w:p>
            <w:pPr>
              <w:jc w:val="center"/>
              <w:rPr>
                <w:color w:val="auto"/>
                <w:szCs w:val="21"/>
                <w:highlight w:val="none"/>
              </w:rPr>
            </w:pPr>
            <w:r>
              <w:rPr>
                <w:color w:val="auto"/>
                <w:szCs w:val="21"/>
                <w:highlight w:val="none"/>
              </w:rPr>
              <w:t>序号</w:t>
            </w:r>
          </w:p>
        </w:tc>
        <w:tc>
          <w:tcPr>
            <w:tcW w:w="1284" w:type="dxa"/>
            <w:vMerge w:val="restart"/>
            <w:noWrap/>
            <w:vAlign w:val="center"/>
          </w:tcPr>
          <w:p>
            <w:pPr>
              <w:jc w:val="center"/>
              <w:rPr>
                <w:color w:val="auto"/>
                <w:szCs w:val="21"/>
                <w:highlight w:val="none"/>
              </w:rPr>
            </w:pPr>
            <w:r>
              <w:rPr>
                <w:color w:val="auto"/>
                <w:szCs w:val="21"/>
                <w:highlight w:val="none"/>
              </w:rPr>
              <w:t>投标人名称</w:t>
            </w:r>
          </w:p>
        </w:tc>
        <w:tc>
          <w:tcPr>
            <w:tcW w:w="878" w:type="dxa"/>
            <w:vMerge w:val="restart"/>
            <w:noWrap/>
            <w:vAlign w:val="center"/>
          </w:tcPr>
          <w:p>
            <w:pPr>
              <w:jc w:val="center"/>
              <w:rPr>
                <w:color w:val="auto"/>
                <w:szCs w:val="21"/>
                <w:highlight w:val="none"/>
              </w:rPr>
            </w:pPr>
            <w:r>
              <w:rPr>
                <w:color w:val="auto"/>
                <w:szCs w:val="21"/>
                <w:highlight w:val="none"/>
              </w:rPr>
              <w:t>投标</w:t>
            </w:r>
          </w:p>
          <w:p>
            <w:pPr>
              <w:jc w:val="center"/>
              <w:rPr>
                <w:color w:val="auto"/>
                <w:szCs w:val="21"/>
                <w:highlight w:val="none"/>
              </w:rPr>
            </w:pPr>
            <w:r>
              <w:rPr>
                <w:color w:val="auto"/>
                <w:szCs w:val="21"/>
                <w:highlight w:val="none"/>
              </w:rPr>
              <w:t>报价</w:t>
            </w:r>
          </w:p>
        </w:tc>
        <w:tc>
          <w:tcPr>
            <w:tcW w:w="4271" w:type="dxa"/>
            <w:gridSpan w:val="4"/>
            <w:noWrap/>
            <w:vAlign w:val="center"/>
          </w:tcPr>
          <w:p>
            <w:pPr>
              <w:jc w:val="center"/>
              <w:rPr>
                <w:color w:val="auto"/>
                <w:szCs w:val="21"/>
                <w:highlight w:val="none"/>
              </w:rPr>
            </w:pPr>
            <w:r>
              <w:rPr>
                <w:color w:val="auto"/>
                <w:szCs w:val="21"/>
                <w:highlight w:val="none"/>
              </w:rPr>
              <w:t>初步评审</w:t>
            </w:r>
          </w:p>
        </w:tc>
        <w:tc>
          <w:tcPr>
            <w:tcW w:w="6035" w:type="dxa"/>
            <w:gridSpan w:val="5"/>
            <w:noWrap/>
          </w:tcPr>
          <w:p>
            <w:pPr>
              <w:jc w:val="center"/>
              <w:rPr>
                <w:color w:val="auto"/>
                <w:szCs w:val="21"/>
                <w:highlight w:val="none"/>
              </w:rPr>
            </w:pPr>
            <w:r>
              <w:rPr>
                <w:color w:val="auto"/>
                <w:szCs w:val="21"/>
                <w:highlight w:val="none"/>
              </w:rPr>
              <w:t>详细评审</w:t>
            </w:r>
          </w:p>
        </w:tc>
        <w:tc>
          <w:tcPr>
            <w:tcW w:w="846" w:type="dxa"/>
            <w:vMerge w:val="restart"/>
            <w:noWrap/>
            <w:vAlign w:val="center"/>
          </w:tcPr>
          <w:p>
            <w:pPr>
              <w:jc w:val="center"/>
              <w:rPr>
                <w:color w:val="auto"/>
                <w:szCs w:val="21"/>
                <w:highlight w:val="none"/>
              </w:rPr>
            </w:pPr>
            <w:r>
              <w:rPr>
                <w:rFonts w:hint="eastAsia"/>
                <w:color w:val="auto"/>
                <w:szCs w:val="21"/>
                <w:highlight w:val="none"/>
              </w:rPr>
              <w:t>总得分</w:t>
            </w:r>
          </w:p>
        </w:tc>
        <w:tc>
          <w:tcPr>
            <w:tcW w:w="710" w:type="dxa"/>
            <w:vMerge w:val="restart"/>
            <w:noWrap/>
            <w:vAlign w:val="center"/>
          </w:tcPr>
          <w:p>
            <w:pPr>
              <w:jc w:val="center"/>
              <w:rPr>
                <w:color w:val="auto"/>
                <w:szCs w:val="21"/>
                <w:highlight w:val="none"/>
              </w:rPr>
            </w:pPr>
            <w:r>
              <w:rPr>
                <w:rFonts w:hint="eastAsia"/>
                <w:color w:val="auto"/>
                <w:szCs w:val="21"/>
                <w:highlight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56" w:type="dxa"/>
            <w:vMerge w:val="continue"/>
            <w:noWrap/>
            <w:vAlign w:val="center"/>
          </w:tcPr>
          <w:p>
            <w:pPr>
              <w:jc w:val="center"/>
              <w:rPr>
                <w:color w:val="auto"/>
                <w:szCs w:val="21"/>
                <w:highlight w:val="none"/>
              </w:rPr>
            </w:pPr>
          </w:p>
        </w:tc>
        <w:tc>
          <w:tcPr>
            <w:tcW w:w="1284" w:type="dxa"/>
            <w:vMerge w:val="continue"/>
            <w:noWrap/>
            <w:vAlign w:val="center"/>
          </w:tcPr>
          <w:p>
            <w:pPr>
              <w:jc w:val="center"/>
              <w:rPr>
                <w:color w:val="auto"/>
                <w:szCs w:val="21"/>
                <w:highlight w:val="none"/>
              </w:rPr>
            </w:pPr>
          </w:p>
        </w:tc>
        <w:tc>
          <w:tcPr>
            <w:tcW w:w="878" w:type="dxa"/>
            <w:vMerge w:val="continue"/>
            <w:noWrap/>
            <w:vAlign w:val="center"/>
          </w:tcPr>
          <w:p>
            <w:pPr>
              <w:jc w:val="center"/>
              <w:rPr>
                <w:color w:val="auto"/>
                <w:szCs w:val="21"/>
                <w:highlight w:val="none"/>
              </w:rPr>
            </w:pPr>
          </w:p>
        </w:tc>
        <w:tc>
          <w:tcPr>
            <w:tcW w:w="1337" w:type="dxa"/>
            <w:noWrap/>
            <w:vAlign w:val="center"/>
          </w:tcPr>
          <w:p>
            <w:pPr>
              <w:jc w:val="center"/>
              <w:rPr>
                <w:color w:val="auto"/>
                <w:szCs w:val="21"/>
                <w:highlight w:val="none"/>
              </w:rPr>
            </w:pPr>
            <w:r>
              <w:rPr>
                <w:rFonts w:hint="eastAsia"/>
                <w:color w:val="auto"/>
                <w:szCs w:val="21"/>
                <w:highlight w:val="none"/>
              </w:rPr>
              <w:t>资格评审是否</w:t>
            </w:r>
            <w:r>
              <w:rPr>
                <w:color w:val="auto"/>
                <w:szCs w:val="21"/>
                <w:highlight w:val="none"/>
              </w:rPr>
              <w:t>合格</w:t>
            </w:r>
          </w:p>
        </w:tc>
        <w:tc>
          <w:tcPr>
            <w:tcW w:w="1467" w:type="dxa"/>
            <w:gridSpan w:val="2"/>
            <w:noWrap/>
            <w:vAlign w:val="center"/>
          </w:tcPr>
          <w:p>
            <w:pPr>
              <w:jc w:val="center"/>
              <w:rPr>
                <w:color w:val="auto"/>
                <w:szCs w:val="21"/>
                <w:highlight w:val="none"/>
              </w:rPr>
            </w:pPr>
            <w:r>
              <w:rPr>
                <w:rFonts w:hint="eastAsia"/>
                <w:color w:val="auto"/>
                <w:szCs w:val="21"/>
                <w:highlight w:val="none"/>
              </w:rPr>
              <w:t>形式性评审是否</w:t>
            </w:r>
            <w:r>
              <w:rPr>
                <w:color w:val="auto"/>
                <w:szCs w:val="21"/>
                <w:highlight w:val="none"/>
              </w:rPr>
              <w:t>合格</w:t>
            </w:r>
          </w:p>
        </w:tc>
        <w:tc>
          <w:tcPr>
            <w:tcW w:w="1467" w:type="dxa"/>
            <w:noWrap/>
            <w:vAlign w:val="center"/>
          </w:tcPr>
          <w:p>
            <w:pPr>
              <w:jc w:val="center"/>
              <w:rPr>
                <w:color w:val="auto"/>
                <w:szCs w:val="21"/>
                <w:highlight w:val="none"/>
              </w:rPr>
            </w:pPr>
            <w:r>
              <w:rPr>
                <w:rFonts w:hint="eastAsia"/>
                <w:color w:val="auto"/>
                <w:szCs w:val="21"/>
                <w:highlight w:val="none"/>
              </w:rPr>
              <w:t>响应性评审是否合格</w:t>
            </w:r>
          </w:p>
        </w:tc>
        <w:tc>
          <w:tcPr>
            <w:tcW w:w="1727" w:type="dxa"/>
            <w:noWrap/>
            <w:vAlign w:val="center"/>
          </w:tcPr>
          <w:p>
            <w:pPr>
              <w:jc w:val="center"/>
              <w:rPr>
                <w:color w:val="auto"/>
                <w:szCs w:val="21"/>
                <w:highlight w:val="none"/>
              </w:rPr>
            </w:pPr>
            <w:r>
              <w:rPr>
                <w:rFonts w:hint="eastAsia"/>
                <w:color w:val="auto"/>
                <w:szCs w:val="21"/>
                <w:highlight w:val="none"/>
              </w:rPr>
              <w:t>工程总承包工作大纲</w:t>
            </w:r>
            <w:r>
              <w:rPr>
                <w:color w:val="auto"/>
                <w:szCs w:val="21"/>
                <w:highlight w:val="none"/>
              </w:rPr>
              <w:t>得分</w:t>
            </w:r>
          </w:p>
        </w:tc>
        <w:tc>
          <w:tcPr>
            <w:tcW w:w="1337" w:type="dxa"/>
            <w:noWrap/>
            <w:vAlign w:val="center"/>
          </w:tcPr>
          <w:p>
            <w:pPr>
              <w:jc w:val="center"/>
              <w:rPr>
                <w:color w:val="auto"/>
                <w:szCs w:val="21"/>
                <w:highlight w:val="none"/>
              </w:rPr>
            </w:pPr>
            <w:r>
              <w:rPr>
                <w:rFonts w:hint="eastAsia"/>
                <w:color w:val="auto"/>
                <w:szCs w:val="21"/>
                <w:highlight w:val="none"/>
              </w:rPr>
              <w:t>施工组织设计得分</w:t>
            </w:r>
          </w:p>
        </w:tc>
        <w:tc>
          <w:tcPr>
            <w:tcW w:w="1077" w:type="dxa"/>
            <w:noWrap/>
            <w:vAlign w:val="center"/>
          </w:tcPr>
          <w:p>
            <w:pPr>
              <w:jc w:val="center"/>
              <w:rPr>
                <w:color w:val="auto"/>
                <w:szCs w:val="21"/>
                <w:highlight w:val="none"/>
              </w:rPr>
            </w:pPr>
            <w:r>
              <w:rPr>
                <w:rFonts w:hint="eastAsia"/>
                <w:color w:val="auto"/>
                <w:szCs w:val="21"/>
                <w:highlight w:val="none"/>
              </w:rPr>
              <w:t>资信业绩得分</w:t>
            </w:r>
          </w:p>
        </w:tc>
        <w:tc>
          <w:tcPr>
            <w:tcW w:w="947" w:type="dxa"/>
            <w:noWrap/>
            <w:vAlign w:val="center"/>
          </w:tcPr>
          <w:p>
            <w:pPr>
              <w:jc w:val="center"/>
              <w:rPr>
                <w:color w:val="auto"/>
                <w:szCs w:val="21"/>
                <w:highlight w:val="none"/>
              </w:rPr>
            </w:pPr>
            <w:r>
              <w:rPr>
                <w:rFonts w:hint="eastAsia"/>
                <w:color w:val="auto"/>
                <w:szCs w:val="21"/>
                <w:highlight w:val="none"/>
              </w:rPr>
              <w:t>商务标得分</w:t>
            </w:r>
          </w:p>
        </w:tc>
        <w:tc>
          <w:tcPr>
            <w:tcW w:w="947" w:type="dxa"/>
            <w:noWrap/>
            <w:vAlign w:val="center"/>
          </w:tcPr>
          <w:p>
            <w:pPr>
              <w:jc w:val="center"/>
              <w:rPr>
                <w:color w:val="auto"/>
                <w:szCs w:val="21"/>
                <w:highlight w:val="none"/>
              </w:rPr>
            </w:pPr>
            <w:r>
              <w:rPr>
                <w:rFonts w:hint="eastAsia"/>
                <w:color w:val="auto"/>
                <w:szCs w:val="21"/>
                <w:highlight w:val="none"/>
              </w:rPr>
              <w:t>设计标得分</w:t>
            </w:r>
          </w:p>
        </w:tc>
        <w:tc>
          <w:tcPr>
            <w:tcW w:w="846" w:type="dxa"/>
            <w:vMerge w:val="continue"/>
            <w:noWrap/>
            <w:vAlign w:val="center"/>
          </w:tcPr>
          <w:p>
            <w:pPr>
              <w:jc w:val="center"/>
              <w:rPr>
                <w:color w:val="auto"/>
                <w:szCs w:val="21"/>
                <w:highlight w:val="none"/>
              </w:rPr>
            </w:pPr>
          </w:p>
        </w:tc>
        <w:tc>
          <w:tcPr>
            <w:tcW w:w="710" w:type="dxa"/>
            <w:vMerge w:val="continue"/>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noWrap/>
            <w:vAlign w:val="center"/>
          </w:tcPr>
          <w:p>
            <w:pPr>
              <w:jc w:val="center"/>
              <w:rPr>
                <w:rFonts w:eastAsia="黑体"/>
                <w:color w:val="auto"/>
                <w:szCs w:val="21"/>
                <w:highlight w:val="none"/>
              </w:rPr>
            </w:pPr>
            <w:r>
              <w:rPr>
                <w:rFonts w:eastAsia="黑体"/>
                <w:color w:val="auto"/>
                <w:szCs w:val="21"/>
                <w:highlight w:val="none"/>
              </w:rPr>
              <w:t>1</w:t>
            </w:r>
          </w:p>
        </w:tc>
        <w:tc>
          <w:tcPr>
            <w:tcW w:w="1284" w:type="dxa"/>
            <w:noWrap/>
            <w:vAlign w:val="center"/>
          </w:tcPr>
          <w:p>
            <w:pPr>
              <w:jc w:val="center"/>
              <w:rPr>
                <w:color w:val="auto"/>
                <w:szCs w:val="21"/>
                <w:highlight w:val="none"/>
              </w:rPr>
            </w:pPr>
          </w:p>
        </w:tc>
        <w:tc>
          <w:tcPr>
            <w:tcW w:w="878" w:type="dxa"/>
            <w:noWrap/>
            <w:vAlign w:val="center"/>
          </w:tcPr>
          <w:p>
            <w:pPr>
              <w:jc w:val="center"/>
              <w:rPr>
                <w:color w:val="auto"/>
                <w:szCs w:val="21"/>
                <w:highlight w:val="none"/>
              </w:rPr>
            </w:pPr>
          </w:p>
        </w:tc>
        <w:tc>
          <w:tcPr>
            <w:tcW w:w="1337" w:type="dxa"/>
            <w:noWrap/>
            <w:vAlign w:val="center"/>
          </w:tcPr>
          <w:p>
            <w:pPr>
              <w:jc w:val="center"/>
              <w:rPr>
                <w:color w:val="auto"/>
                <w:szCs w:val="21"/>
                <w:highlight w:val="none"/>
              </w:rPr>
            </w:pPr>
          </w:p>
        </w:tc>
        <w:tc>
          <w:tcPr>
            <w:tcW w:w="1467" w:type="dxa"/>
            <w:gridSpan w:val="2"/>
            <w:noWrap/>
            <w:vAlign w:val="center"/>
          </w:tcPr>
          <w:p>
            <w:pPr>
              <w:jc w:val="center"/>
              <w:rPr>
                <w:color w:val="auto"/>
                <w:szCs w:val="21"/>
                <w:highlight w:val="none"/>
              </w:rPr>
            </w:pPr>
          </w:p>
        </w:tc>
        <w:tc>
          <w:tcPr>
            <w:tcW w:w="1467" w:type="dxa"/>
            <w:noWrap/>
            <w:vAlign w:val="center"/>
          </w:tcPr>
          <w:p>
            <w:pPr>
              <w:jc w:val="center"/>
              <w:rPr>
                <w:color w:val="auto"/>
                <w:szCs w:val="21"/>
                <w:highlight w:val="none"/>
              </w:rPr>
            </w:pPr>
          </w:p>
        </w:tc>
        <w:tc>
          <w:tcPr>
            <w:tcW w:w="1727" w:type="dxa"/>
            <w:noWrap/>
            <w:vAlign w:val="center"/>
          </w:tcPr>
          <w:p>
            <w:pPr>
              <w:jc w:val="center"/>
              <w:rPr>
                <w:color w:val="auto"/>
                <w:szCs w:val="21"/>
                <w:highlight w:val="none"/>
              </w:rPr>
            </w:pPr>
          </w:p>
        </w:tc>
        <w:tc>
          <w:tcPr>
            <w:tcW w:w="1337" w:type="dxa"/>
            <w:noWrap/>
          </w:tcPr>
          <w:p>
            <w:pPr>
              <w:jc w:val="center"/>
              <w:rPr>
                <w:color w:val="auto"/>
                <w:szCs w:val="21"/>
                <w:highlight w:val="none"/>
              </w:rPr>
            </w:pPr>
          </w:p>
        </w:tc>
        <w:tc>
          <w:tcPr>
            <w:tcW w:w="1077" w:type="dxa"/>
            <w:noWrap/>
          </w:tcPr>
          <w:p>
            <w:pPr>
              <w:jc w:val="center"/>
              <w:rPr>
                <w:color w:val="auto"/>
                <w:szCs w:val="21"/>
                <w:highlight w:val="none"/>
              </w:rPr>
            </w:pPr>
          </w:p>
        </w:tc>
        <w:tc>
          <w:tcPr>
            <w:tcW w:w="947" w:type="dxa"/>
            <w:noWrap/>
            <w:vAlign w:val="center"/>
          </w:tcPr>
          <w:p>
            <w:pPr>
              <w:jc w:val="center"/>
              <w:rPr>
                <w:color w:val="auto"/>
                <w:szCs w:val="21"/>
                <w:highlight w:val="none"/>
              </w:rPr>
            </w:pPr>
          </w:p>
        </w:tc>
        <w:tc>
          <w:tcPr>
            <w:tcW w:w="947" w:type="dxa"/>
            <w:noWrap/>
            <w:vAlign w:val="center"/>
          </w:tcPr>
          <w:p>
            <w:pPr>
              <w:jc w:val="center"/>
              <w:rPr>
                <w:color w:val="auto"/>
                <w:szCs w:val="21"/>
                <w:highlight w:val="none"/>
              </w:rPr>
            </w:pPr>
          </w:p>
        </w:tc>
        <w:tc>
          <w:tcPr>
            <w:tcW w:w="846" w:type="dxa"/>
            <w:noWrap/>
            <w:vAlign w:val="center"/>
          </w:tcPr>
          <w:p>
            <w:pPr>
              <w:jc w:val="center"/>
              <w:rPr>
                <w:color w:val="auto"/>
                <w:szCs w:val="21"/>
                <w:highlight w:val="none"/>
              </w:rPr>
            </w:pPr>
          </w:p>
        </w:tc>
        <w:tc>
          <w:tcPr>
            <w:tcW w:w="710" w:type="dxa"/>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noWrap/>
            <w:vAlign w:val="center"/>
          </w:tcPr>
          <w:p>
            <w:pPr>
              <w:jc w:val="center"/>
              <w:rPr>
                <w:rFonts w:eastAsia="黑体"/>
                <w:color w:val="auto"/>
                <w:szCs w:val="21"/>
                <w:highlight w:val="none"/>
              </w:rPr>
            </w:pPr>
            <w:r>
              <w:rPr>
                <w:rFonts w:eastAsia="黑体"/>
                <w:color w:val="auto"/>
                <w:szCs w:val="21"/>
                <w:highlight w:val="none"/>
              </w:rPr>
              <w:t>2</w:t>
            </w:r>
          </w:p>
        </w:tc>
        <w:tc>
          <w:tcPr>
            <w:tcW w:w="1284" w:type="dxa"/>
            <w:noWrap/>
            <w:vAlign w:val="center"/>
          </w:tcPr>
          <w:p>
            <w:pPr>
              <w:jc w:val="center"/>
              <w:rPr>
                <w:color w:val="auto"/>
                <w:szCs w:val="21"/>
                <w:highlight w:val="none"/>
              </w:rPr>
            </w:pPr>
          </w:p>
        </w:tc>
        <w:tc>
          <w:tcPr>
            <w:tcW w:w="878" w:type="dxa"/>
            <w:noWrap/>
            <w:vAlign w:val="center"/>
          </w:tcPr>
          <w:p>
            <w:pPr>
              <w:jc w:val="center"/>
              <w:rPr>
                <w:color w:val="auto"/>
                <w:szCs w:val="21"/>
                <w:highlight w:val="none"/>
              </w:rPr>
            </w:pPr>
          </w:p>
        </w:tc>
        <w:tc>
          <w:tcPr>
            <w:tcW w:w="1337" w:type="dxa"/>
            <w:noWrap/>
            <w:vAlign w:val="center"/>
          </w:tcPr>
          <w:p>
            <w:pPr>
              <w:jc w:val="center"/>
              <w:rPr>
                <w:color w:val="auto"/>
                <w:szCs w:val="21"/>
                <w:highlight w:val="none"/>
              </w:rPr>
            </w:pPr>
          </w:p>
        </w:tc>
        <w:tc>
          <w:tcPr>
            <w:tcW w:w="1467" w:type="dxa"/>
            <w:gridSpan w:val="2"/>
            <w:noWrap/>
            <w:vAlign w:val="center"/>
          </w:tcPr>
          <w:p>
            <w:pPr>
              <w:jc w:val="center"/>
              <w:rPr>
                <w:color w:val="auto"/>
                <w:szCs w:val="21"/>
                <w:highlight w:val="none"/>
              </w:rPr>
            </w:pPr>
          </w:p>
        </w:tc>
        <w:tc>
          <w:tcPr>
            <w:tcW w:w="1467" w:type="dxa"/>
            <w:noWrap/>
            <w:vAlign w:val="center"/>
          </w:tcPr>
          <w:p>
            <w:pPr>
              <w:jc w:val="center"/>
              <w:rPr>
                <w:color w:val="auto"/>
                <w:szCs w:val="21"/>
                <w:highlight w:val="none"/>
              </w:rPr>
            </w:pPr>
          </w:p>
        </w:tc>
        <w:tc>
          <w:tcPr>
            <w:tcW w:w="1727" w:type="dxa"/>
            <w:noWrap/>
            <w:vAlign w:val="center"/>
          </w:tcPr>
          <w:p>
            <w:pPr>
              <w:jc w:val="center"/>
              <w:rPr>
                <w:color w:val="auto"/>
                <w:szCs w:val="21"/>
                <w:highlight w:val="none"/>
              </w:rPr>
            </w:pPr>
          </w:p>
        </w:tc>
        <w:tc>
          <w:tcPr>
            <w:tcW w:w="1337" w:type="dxa"/>
            <w:noWrap/>
          </w:tcPr>
          <w:p>
            <w:pPr>
              <w:jc w:val="center"/>
              <w:rPr>
                <w:color w:val="auto"/>
                <w:szCs w:val="21"/>
                <w:highlight w:val="none"/>
              </w:rPr>
            </w:pPr>
          </w:p>
        </w:tc>
        <w:tc>
          <w:tcPr>
            <w:tcW w:w="1077" w:type="dxa"/>
            <w:noWrap/>
          </w:tcPr>
          <w:p>
            <w:pPr>
              <w:jc w:val="center"/>
              <w:rPr>
                <w:color w:val="auto"/>
                <w:szCs w:val="21"/>
                <w:highlight w:val="none"/>
              </w:rPr>
            </w:pPr>
          </w:p>
        </w:tc>
        <w:tc>
          <w:tcPr>
            <w:tcW w:w="947" w:type="dxa"/>
            <w:noWrap/>
            <w:vAlign w:val="center"/>
          </w:tcPr>
          <w:p>
            <w:pPr>
              <w:jc w:val="center"/>
              <w:rPr>
                <w:color w:val="auto"/>
                <w:szCs w:val="21"/>
                <w:highlight w:val="none"/>
              </w:rPr>
            </w:pPr>
          </w:p>
        </w:tc>
        <w:tc>
          <w:tcPr>
            <w:tcW w:w="947" w:type="dxa"/>
            <w:noWrap/>
            <w:vAlign w:val="center"/>
          </w:tcPr>
          <w:p>
            <w:pPr>
              <w:jc w:val="center"/>
              <w:rPr>
                <w:color w:val="auto"/>
                <w:szCs w:val="21"/>
                <w:highlight w:val="none"/>
              </w:rPr>
            </w:pPr>
          </w:p>
        </w:tc>
        <w:tc>
          <w:tcPr>
            <w:tcW w:w="846" w:type="dxa"/>
            <w:noWrap/>
            <w:vAlign w:val="center"/>
          </w:tcPr>
          <w:p>
            <w:pPr>
              <w:jc w:val="center"/>
              <w:rPr>
                <w:color w:val="auto"/>
                <w:szCs w:val="21"/>
                <w:highlight w:val="none"/>
              </w:rPr>
            </w:pPr>
          </w:p>
        </w:tc>
        <w:tc>
          <w:tcPr>
            <w:tcW w:w="710" w:type="dxa"/>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noWrap/>
            <w:vAlign w:val="center"/>
          </w:tcPr>
          <w:p>
            <w:pPr>
              <w:jc w:val="center"/>
              <w:rPr>
                <w:rFonts w:eastAsia="黑体"/>
                <w:color w:val="auto"/>
                <w:szCs w:val="21"/>
                <w:highlight w:val="none"/>
              </w:rPr>
            </w:pPr>
            <w:r>
              <w:rPr>
                <w:rFonts w:eastAsia="黑体"/>
                <w:color w:val="auto"/>
                <w:szCs w:val="21"/>
                <w:highlight w:val="none"/>
              </w:rPr>
              <w:t>3</w:t>
            </w:r>
          </w:p>
        </w:tc>
        <w:tc>
          <w:tcPr>
            <w:tcW w:w="1284" w:type="dxa"/>
            <w:noWrap/>
            <w:vAlign w:val="center"/>
          </w:tcPr>
          <w:p>
            <w:pPr>
              <w:jc w:val="center"/>
              <w:rPr>
                <w:color w:val="auto"/>
                <w:szCs w:val="21"/>
                <w:highlight w:val="none"/>
              </w:rPr>
            </w:pPr>
          </w:p>
        </w:tc>
        <w:tc>
          <w:tcPr>
            <w:tcW w:w="878" w:type="dxa"/>
            <w:noWrap/>
            <w:vAlign w:val="center"/>
          </w:tcPr>
          <w:p>
            <w:pPr>
              <w:jc w:val="center"/>
              <w:rPr>
                <w:color w:val="auto"/>
                <w:szCs w:val="21"/>
                <w:highlight w:val="none"/>
              </w:rPr>
            </w:pPr>
          </w:p>
        </w:tc>
        <w:tc>
          <w:tcPr>
            <w:tcW w:w="1337" w:type="dxa"/>
            <w:noWrap/>
            <w:vAlign w:val="center"/>
          </w:tcPr>
          <w:p>
            <w:pPr>
              <w:jc w:val="center"/>
              <w:rPr>
                <w:color w:val="auto"/>
                <w:szCs w:val="21"/>
                <w:highlight w:val="none"/>
              </w:rPr>
            </w:pPr>
          </w:p>
        </w:tc>
        <w:tc>
          <w:tcPr>
            <w:tcW w:w="1467" w:type="dxa"/>
            <w:gridSpan w:val="2"/>
            <w:noWrap/>
            <w:vAlign w:val="center"/>
          </w:tcPr>
          <w:p>
            <w:pPr>
              <w:jc w:val="center"/>
              <w:rPr>
                <w:color w:val="auto"/>
                <w:szCs w:val="21"/>
                <w:highlight w:val="none"/>
              </w:rPr>
            </w:pPr>
          </w:p>
        </w:tc>
        <w:tc>
          <w:tcPr>
            <w:tcW w:w="1467" w:type="dxa"/>
            <w:noWrap/>
            <w:vAlign w:val="center"/>
          </w:tcPr>
          <w:p>
            <w:pPr>
              <w:jc w:val="center"/>
              <w:rPr>
                <w:color w:val="auto"/>
                <w:szCs w:val="21"/>
                <w:highlight w:val="none"/>
              </w:rPr>
            </w:pPr>
          </w:p>
        </w:tc>
        <w:tc>
          <w:tcPr>
            <w:tcW w:w="1727" w:type="dxa"/>
            <w:noWrap/>
            <w:vAlign w:val="center"/>
          </w:tcPr>
          <w:p>
            <w:pPr>
              <w:jc w:val="center"/>
              <w:rPr>
                <w:color w:val="auto"/>
                <w:szCs w:val="21"/>
                <w:highlight w:val="none"/>
              </w:rPr>
            </w:pPr>
          </w:p>
        </w:tc>
        <w:tc>
          <w:tcPr>
            <w:tcW w:w="1337" w:type="dxa"/>
            <w:noWrap/>
          </w:tcPr>
          <w:p>
            <w:pPr>
              <w:jc w:val="center"/>
              <w:rPr>
                <w:color w:val="auto"/>
                <w:szCs w:val="21"/>
                <w:highlight w:val="none"/>
              </w:rPr>
            </w:pPr>
          </w:p>
        </w:tc>
        <w:tc>
          <w:tcPr>
            <w:tcW w:w="1077" w:type="dxa"/>
            <w:noWrap/>
          </w:tcPr>
          <w:p>
            <w:pPr>
              <w:jc w:val="center"/>
              <w:rPr>
                <w:color w:val="auto"/>
                <w:szCs w:val="21"/>
                <w:highlight w:val="none"/>
              </w:rPr>
            </w:pPr>
          </w:p>
        </w:tc>
        <w:tc>
          <w:tcPr>
            <w:tcW w:w="947" w:type="dxa"/>
            <w:noWrap/>
            <w:vAlign w:val="center"/>
          </w:tcPr>
          <w:p>
            <w:pPr>
              <w:jc w:val="center"/>
              <w:rPr>
                <w:color w:val="auto"/>
                <w:szCs w:val="21"/>
                <w:highlight w:val="none"/>
              </w:rPr>
            </w:pPr>
          </w:p>
        </w:tc>
        <w:tc>
          <w:tcPr>
            <w:tcW w:w="947" w:type="dxa"/>
            <w:noWrap/>
            <w:vAlign w:val="center"/>
          </w:tcPr>
          <w:p>
            <w:pPr>
              <w:jc w:val="center"/>
              <w:rPr>
                <w:color w:val="auto"/>
                <w:szCs w:val="21"/>
                <w:highlight w:val="none"/>
              </w:rPr>
            </w:pPr>
          </w:p>
        </w:tc>
        <w:tc>
          <w:tcPr>
            <w:tcW w:w="846" w:type="dxa"/>
            <w:noWrap/>
            <w:vAlign w:val="center"/>
          </w:tcPr>
          <w:p>
            <w:pPr>
              <w:jc w:val="center"/>
              <w:rPr>
                <w:color w:val="auto"/>
                <w:szCs w:val="21"/>
                <w:highlight w:val="none"/>
              </w:rPr>
            </w:pPr>
          </w:p>
        </w:tc>
        <w:tc>
          <w:tcPr>
            <w:tcW w:w="710" w:type="dxa"/>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noWrap/>
            <w:vAlign w:val="center"/>
          </w:tcPr>
          <w:p>
            <w:pPr>
              <w:jc w:val="center"/>
              <w:rPr>
                <w:rFonts w:eastAsia="黑体"/>
                <w:color w:val="auto"/>
                <w:szCs w:val="21"/>
                <w:highlight w:val="none"/>
              </w:rPr>
            </w:pPr>
            <w:r>
              <w:rPr>
                <w:rFonts w:eastAsia="黑体"/>
                <w:color w:val="auto"/>
                <w:szCs w:val="21"/>
                <w:highlight w:val="none"/>
              </w:rPr>
              <w:t>4</w:t>
            </w:r>
          </w:p>
        </w:tc>
        <w:tc>
          <w:tcPr>
            <w:tcW w:w="1284" w:type="dxa"/>
            <w:noWrap/>
            <w:vAlign w:val="center"/>
          </w:tcPr>
          <w:p>
            <w:pPr>
              <w:jc w:val="center"/>
              <w:rPr>
                <w:color w:val="auto"/>
                <w:szCs w:val="21"/>
                <w:highlight w:val="none"/>
              </w:rPr>
            </w:pPr>
          </w:p>
        </w:tc>
        <w:tc>
          <w:tcPr>
            <w:tcW w:w="878" w:type="dxa"/>
            <w:noWrap/>
            <w:vAlign w:val="center"/>
          </w:tcPr>
          <w:p>
            <w:pPr>
              <w:jc w:val="center"/>
              <w:rPr>
                <w:color w:val="auto"/>
                <w:szCs w:val="21"/>
                <w:highlight w:val="none"/>
              </w:rPr>
            </w:pPr>
          </w:p>
        </w:tc>
        <w:tc>
          <w:tcPr>
            <w:tcW w:w="1337" w:type="dxa"/>
            <w:noWrap/>
            <w:vAlign w:val="center"/>
          </w:tcPr>
          <w:p>
            <w:pPr>
              <w:jc w:val="center"/>
              <w:rPr>
                <w:color w:val="auto"/>
                <w:szCs w:val="21"/>
                <w:highlight w:val="none"/>
              </w:rPr>
            </w:pPr>
          </w:p>
        </w:tc>
        <w:tc>
          <w:tcPr>
            <w:tcW w:w="1467" w:type="dxa"/>
            <w:gridSpan w:val="2"/>
            <w:noWrap/>
            <w:vAlign w:val="center"/>
          </w:tcPr>
          <w:p>
            <w:pPr>
              <w:jc w:val="center"/>
              <w:rPr>
                <w:color w:val="auto"/>
                <w:szCs w:val="21"/>
                <w:highlight w:val="none"/>
              </w:rPr>
            </w:pPr>
          </w:p>
        </w:tc>
        <w:tc>
          <w:tcPr>
            <w:tcW w:w="1467" w:type="dxa"/>
            <w:noWrap/>
            <w:vAlign w:val="center"/>
          </w:tcPr>
          <w:p>
            <w:pPr>
              <w:jc w:val="center"/>
              <w:rPr>
                <w:color w:val="auto"/>
                <w:szCs w:val="21"/>
                <w:highlight w:val="none"/>
              </w:rPr>
            </w:pPr>
          </w:p>
        </w:tc>
        <w:tc>
          <w:tcPr>
            <w:tcW w:w="1727" w:type="dxa"/>
            <w:noWrap/>
            <w:vAlign w:val="center"/>
          </w:tcPr>
          <w:p>
            <w:pPr>
              <w:jc w:val="center"/>
              <w:rPr>
                <w:color w:val="auto"/>
                <w:szCs w:val="21"/>
                <w:highlight w:val="none"/>
              </w:rPr>
            </w:pPr>
          </w:p>
        </w:tc>
        <w:tc>
          <w:tcPr>
            <w:tcW w:w="1337" w:type="dxa"/>
            <w:noWrap/>
          </w:tcPr>
          <w:p>
            <w:pPr>
              <w:jc w:val="center"/>
              <w:rPr>
                <w:color w:val="auto"/>
                <w:szCs w:val="21"/>
                <w:highlight w:val="none"/>
              </w:rPr>
            </w:pPr>
          </w:p>
        </w:tc>
        <w:tc>
          <w:tcPr>
            <w:tcW w:w="1077" w:type="dxa"/>
            <w:noWrap/>
          </w:tcPr>
          <w:p>
            <w:pPr>
              <w:jc w:val="center"/>
              <w:rPr>
                <w:color w:val="auto"/>
                <w:szCs w:val="21"/>
                <w:highlight w:val="none"/>
              </w:rPr>
            </w:pPr>
          </w:p>
        </w:tc>
        <w:tc>
          <w:tcPr>
            <w:tcW w:w="947" w:type="dxa"/>
            <w:noWrap/>
            <w:vAlign w:val="center"/>
          </w:tcPr>
          <w:p>
            <w:pPr>
              <w:jc w:val="center"/>
              <w:rPr>
                <w:color w:val="auto"/>
                <w:szCs w:val="21"/>
                <w:highlight w:val="none"/>
              </w:rPr>
            </w:pPr>
          </w:p>
        </w:tc>
        <w:tc>
          <w:tcPr>
            <w:tcW w:w="947" w:type="dxa"/>
            <w:noWrap/>
            <w:vAlign w:val="center"/>
          </w:tcPr>
          <w:p>
            <w:pPr>
              <w:jc w:val="center"/>
              <w:rPr>
                <w:color w:val="auto"/>
                <w:szCs w:val="21"/>
                <w:highlight w:val="none"/>
              </w:rPr>
            </w:pPr>
          </w:p>
        </w:tc>
        <w:tc>
          <w:tcPr>
            <w:tcW w:w="846" w:type="dxa"/>
            <w:noWrap/>
            <w:vAlign w:val="center"/>
          </w:tcPr>
          <w:p>
            <w:pPr>
              <w:jc w:val="center"/>
              <w:rPr>
                <w:color w:val="auto"/>
                <w:szCs w:val="21"/>
                <w:highlight w:val="none"/>
              </w:rPr>
            </w:pPr>
          </w:p>
        </w:tc>
        <w:tc>
          <w:tcPr>
            <w:tcW w:w="710" w:type="dxa"/>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noWrap/>
            <w:vAlign w:val="center"/>
          </w:tcPr>
          <w:p>
            <w:pPr>
              <w:jc w:val="center"/>
              <w:rPr>
                <w:rFonts w:eastAsia="黑体"/>
                <w:color w:val="auto"/>
                <w:szCs w:val="21"/>
                <w:highlight w:val="none"/>
              </w:rPr>
            </w:pPr>
            <w:r>
              <w:rPr>
                <w:rFonts w:eastAsia="黑体"/>
                <w:color w:val="auto"/>
                <w:szCs w:val="21"/>
                <w:highlight w:val="none"/>
              </w:rPr>
              <w:t>5</w:t>
            </w:r>
          </w:p>
        </w:tc>
        <w:tc>
          <w:tcPr>
            <w:tcW w:w="1284" w:type="dxa"/>
            <w:noWrap/>
            <w:vAlign w:val="center"/>
          </w:tcPr>
          <w:p>
            <w:pPr>
              <w:jc w:val="center"/>
              <w:rPr>
                <w:color w:val="auto"/>
                <w:szCs w:val="21"/>
                <w:highlight w:val="none"/>
              </w:rPr>
            </w:pPr>
          </w:p>
        </w:tc>
        <w:tc>
          <w:tcPr>
            <w:tcW w:w="878" w:type="dxa"/>
            <w:noWrap/>
            <w:vAlign w:val="center"/>
          </w:tcPr>
          <w:p>
            <w:pPr>
              <w:jc w:val="center"/>
              <w:rPr>
                <w:color w:val="auto"/>
                <w:szCs w:val="21"/>
                <w:highlight w:val="none"/>
              </w:rPr>
            </w:pPr>
          </w:p>
        </w:tc>
        <w:tc>
          <w:tcPr>
            <w:tcW w:w="1337" w:type="dxa"/>
            <w:noWrap/>
            <w:vAlign w:val="center"/>
          </w:tcPr>
          <w:p>
            <w:pPr>
              <w:jc w:val="center"/>
              <w:rPr>
                <w:color w:val="auto"/>
                <w:szCs w:val="21"/>
                <w:highlight w:val="none"/>
              </w:rPr>
            </w:pPr>
          </w:p>
        </w:tc>
        <w:tc>
          <w:tcPr>
            <w:tcW w:w="1467" w:type="dxa"/>
            <w:gridSpan w:val="2"/>
            <w:noWrap/>
            <w:vAlign w:val="center"/>
          </w:tcPr>
          <w:p>
            <w:pPr>
              <w:jc w:val="center"/>
              <w:rPr>
                <w:color w:val="auto"/>
                <w:szCs w:val="21"/>
                <w:highlight w:val="none"/>
              </w:rPr>
            </w:pPr>
          </w:p>
        </w:tc>
        <w:tc>
          <w:tcPr>
            <w:tcW w:w="1467" w:type="dxa"/>
            <w:noWrap/>
            <w:vAlign w:val="center"/>
          </w:tcPr>
          <w:p>
            <w:pPr>
              <w:jc w:val="center"/>
              <w:rPr>
                <w:color w:val="auto"/>
                <w:szCs w:val="21"/>
                <w:highlight w:val="none"/>
              </w:rPr>
            </w:pPr>
          </w:p>
        </w:tc>
        <w:tc>
          <w:tcPr>
            <w:tcW w:w="1727" w:type="dxa"/>
            <w:noWrap/>
            <w:vAlign w:val="center"/>
          </w:tcPr>
          <w:p>
            <w:pPr>
              <w:jc w:val="center"/>
              <w:rPr>
                <w:color w:val="auto"/>
                <w:szCs w:val="21"/>
                <w:highlight w:val="none"/>
              </w:rPr>
            </w:pPr>
          </w:p>
        </w:tc>
        <w:tc>
          <w:tcPr>
            <w:tcW w:w="1337" w:type="dxa"/>
            <w:noWrap/>
          </w:tcPr>
          <w:p>
            <w:pPr>
              <w:jc w:val="center"/>
              <w:rPr>
                <w:color w:val="auto"/>
                <w:szCs w:val="21"/>
                <w:highlight w:val="none"/>
              </w:rPr>
            </w:pPr>
          </w:p>
        </w:tc>
        <w:tc>
          <w:tcPr>
            <w:tcW w:w="1077" w:type="dxa"/>
            <w:noWrap/>
          </w:tcPr>
          <w:p>
            <w:pPr>
              <w:jc w:val="center"/>
              <w:rPr>
                <w:color w:val="auto"/>
                <w:szCs w:val="21"/>
                <w:highlight w:val="none"/>
              </w:rPr>
            </w:pPr>
          </w:p>
        </w:tc>
        <w:tc>
          <w:tcPr>
            <w:tcW w:w="947" w:type="dxa"/>
            <w:noWrap/>
            <w:vAlign w:val="center"/>
          </w:tcPr>
          <w:p>
            <w:pPr>
              <w:jc w:val="center"/>
              <w:rPr>
                <w:color w:val="auto"/>
                <w:szCs w:val="21"/>
                <w:highlight w:val="none"/>
              </w:rPr>
            </w:pPr>
          </w:p>
        </w:tc>
        <w:tc>
          <w:tcPr>
            <w:tcW w:w="947" w:type="dxa"/>
            <w:noWrap/>
            <w:vAlign w:val="center"/>
          </w:tcPr>
          <w:p>
            <w:pPr>
              <w:jc w:val="center"/>
              <w:rPr>
                <w:color w:val="auto"/>
                <w:szCs w:val="21"/>
                <w:highlight w:val="none"/>
              </w:rPr>
            </w:pPr>
          </w:p>
        </w:tc>
        <w:tc>
          <w:tcPr>
            <w:tcW w:w="846" w:type="dxa"/>
            <w:noWrap/>
            <w:vAlign w:val="center"/>
          </w:tcPr>
          <w:p>
            <w:pPr>
              <w:jc w:val="center"/>
              <w:rPr>
                <w:color w:val="auto"/>
                <w:szCs w:val="21"/>
                <w:highlight w:val="none"/>
              </w:rPr>
            </w:pPr>
          </w:p>
        </w:tc>
        <w:tc>
          <w:tcPr>
            <w:tcW w:w="710" w:type="dxa"/>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noWrap/>
            <w:vAlign w:val="center"/>
          </w:tcPr>
          <w:p>
            <w:pPr>
              <w:jc w:val="center"/>
              <w:rPr>
                <w:rFonts w:eastAsia="黑体"/>
                <w:color w:val="auto"/>
                <w:szCs w:val="21"/>
                <w:highlight w:val="none"/>
              </w:rPr>
            </w:pPr>
            <w:r>
              <w:rPr>
                <w:rFonts w:eastAsia="黑体"/>
                <w:color w:val="auto"/>
                <w:szCs w:val="21"/>
                <w:highlight w:val="none"/>
              </w:rPr>
              <w:t>6</w:t>
            </w:r>
          </w:p>
        </w:tc>
        <w:tc>
          <w:tcPr>
            <w:tcW w:w="1284" w:type="dxa"/>
            <w:noWrap/>
            <w:vAlign w:val="center"/>
          </w:tcPr>
          <w:p>
            <w:pPr>
              <w:jc w:val="center"/>
              <w:rPr>
                <w:color w:val="auto"/>
                <w:szCs w:val="21"/>
                <w:highlight w:val="none"/>
              </w:rPr>
            </w:pPr>
          </w:p>
        </w:tc>
        <w:tc>
          <w:tcPr>
            <w:tcW w:w="878" w:type="dxa"/>
            <w:noWrap/>
            <w:vAlign w:val="center"/>
          </w:tcPr>
          <w:p>
            <w:pPr>
              <w:jc w:val="center"/>
              <w:rPr>
                <w:color w:val="auto"/>
                <w:szCs w:val="21"/>
                <w:highlight w:val="none"/>
              </w:rPr>
            </w:pPr>
          </w:p>
        </w:tc>
        <w:tc>
          <w:tcPr>
            <w:tcW w:w="1337" w:type="dxa"/>
            <w:noWrap/>
            <w:vAlign w:val="center"/>
          </w:tcPr>
          <w:p>
            <w:pPr>
              <w:jc w:val="center"/>
              <w:rPr>
                <w:color w:val="auto"/>
                <w:szCs w:val="21"/>
                <w:highlight w:val="none"/>
              </w:rPr>
            </w:pPr>
          </w:p>
        </w:tc>
        <w:tc>
          <w:tcPr>
            <w:tcW w:w="1467" w:type="dxa"/>
            <w:gridSpan w:val="2"/>
            <w:noWrap/>
            <w:vAlign w:val="center"/>
          </w:tcPr>
          <w:p>
            <w:pPr>
              <w:jc w:val="center"/>
              <w:rPr>
                <w:color w:val="auto"/>
                <w:szCs w:val="21"/>
                <w:highlight w:val="none"/>
              </w:rPr>
            </w:pPr>
          </w:p>
        </w:tc>
        <w:tc>
          <w:tcPr>
            <w:tcW w:w="1467" w:type="dxa"/>
            <w:noWrap/>
            <w:vAlign w:val="center"/>
          </w:tcPr>
          <w:p>
            <w:pPr>
              <w:jc w:val="center"/>
              <w:rPr>
                <w:color w:val="auto"/>
                <w:szCs w:val="21"/>
                <w:highlight w:val="none"/>
              </w:rPr>
            </w:pPr>
          </w:p>
        </w:tc>
        <w:tc>
          <w:tcPr>
            <w:tcW w:w="1727" w:type="dxa"/>
            <w:noWrap/>
            <w:vAlign w:val="center"/>
          </w:tcPr>
          <w:p>
            <w:pPr>
              <w:jc w:val="center"/>
              <w:rPr>
                <w:color w:val="auto"/>
                <w:szCs w:val="21"/>
                <w:highlight w:val="none"/>
              </w:rPr>
            </w:pPr>
          </w:p>
        </w:tc>
        <w:tc>
          <w:tcPr>
            <w:tcW w:w="1337" w:type="dxa"/>
            <w:noWrap/>
          </w:tcPr>
          <w:p>
            <w:pPr>
              <w:jc w:val="center"/>
              <w:rPr>
                <w:color w:val="auto"/>
                <w:szCs w:val="21"/>
                <w:highlight w:val="none"/>
              </w:rPr>
            </w:pPr>
          </w:p>
        </w:tc>
        <w:tc>
          <w:tcPr>
            <w:tcW w:w="1077" w:type="dxa"/>
            <w:noWrap/>
          </w:tcPr>
          <w:p>
            <w:pPr>
              <w:jc w:val="center"/>
              <w:rPr>
                <w:color w:val="auto"/>
                <w:szCs w:val="21"/>
                <w:highlight w:val="none"/>
              </w:rPr>
            </w:pPr>
          </w:p>
        </w:tc>
        <w:tc>
          <w:tcPr>
            <w:tcW w:w="947" w:type="dxa"/>
            <w:noWrap/>
            <w:vAlign w:val="center"/>
          </w:tcPr>
          <w:p>
            <w:pPr>
              <w:jc w:val="center"/>
              <w:rPr>
                <w:color w:val="auto"/>
                <w:szCs w:val="21"/>
                <w:highlight w:val="none"/>
              </w:rPr>
            </w:pPr>
          </w:p>
        </w:tc>
        <w:tc>
          <w:tcPr>
            <w:tcW w:w="947" w:type="dxa"/>
            <w:noWrap/>
            <w:vAlign w:val="center"/>
          </w:tcPr>
          <w:p>
            <w:pPr>
              <w:jc w:val="center"/>
              <w:rPr>
                <w:color w:val="auto"/>
                <w:szCs w:val="21"/>
                <w:highlight w:val="none"/>
              </w:rPr>
            </w:pPr>
          </w:p>
        </w:tc>
        <w:tc>
          <w:tcPr>
            <w:tcW w:w="846" w:type="dxa"/>
            <w:noWrap/>
            <w:vAlign w:val="center"/>
          </w:tcPr>
          <w:p>
            <w:pPr>
              <w:jc w:val="center"/>
              <w:rPr>
                <w:color w:val="auto"/>
                <w:szCs w:val="21"/>
                <w:highlight w:val="none"/>
              </w:rPr>
            </w:pPr>
          </w:p>
        </w:tc>
        <w:tc>
          <w:tcPr>
            <w:tcW w:w="710" w:type="dxa"/>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noWrap/>
            <w:vAlign w:val="center"/>
          </w:tcPr>
          <w:p>
            <w:pPr>
              <w:jc w:val="center"/>
              <w:rPr>
                <w:rFonts w:eastAsia="黑体"/>
                <w:color w:val="auto"/>
                <w:szCs w:val="21"/>
                <w:highlight w:val="none"/>
              </w:rPr>
            </w:pPr>
            <w:r>
              <w:rPr>
                <w:rFonts w:eastAsia="黑体"/>
                <w:color w:val="auto"/>
                <w:szCs w:val="21"/>
                <w:highlight w:val="none"/>
              </w:rPr>
              <w:t>7</w:t>
            </w:r>
          </w:p>
        </w:tc>
        <w:tc>
          <w:tcPr>
            <w:tcW w:w="1284" w:type="dxa"/>
            <w:noWrap/>
            <w:vAlign w:val="center"/>
          </w:tcPr>
          <w:p>
            <w:pPr>
              <w:jc w:val="center"/>
              <w:rPr>
                <w:color w:val="auto"/>
                <w:szCs w:val="21"/>
                <w:highlight w:val="none"/>
              </w:rPr>
            </w:pPr>
          </w:p>
        </w:tc>
        <w:tc>
          <w:tcPr>
            <w:tcW w:w="878" w:type="dxa"/>
            <w:noWrap/>
            <w:vAlign w:val="center"/>
          </w:tcPr>
          <w:p>
            <w:pPr>
              <w:jc w:val="center"/>
              <w:rPr>
                <w:color w:val="auto"/>
                <w:szCs w:val="21"/>
                <w:highlight w:val="none"/>
              </w:rPr>
            </w:pPr>
          </w:p>
        </w:tc>
        <w:tc>
          <w:tcPr>
            <w:tcW w:w="1337" w:type="dxa"/>
            <w:noWrap/>
            <w:vAlign w:val="center"/>
          </w:tcPr>
          <w:p>
            <w:pPr>
              <w:jc w:val="center"/>
              <w:rPr>
                <w:color w:val="auto"/>
                <w:szCs w:val="21"/>
                <w:highlight w:val="none"/>
              </w:rPr>
            </w:pPr>
          </w:p>
        </w:tc>
        <w:tc>
          <w:tcPr>
            <w:tcW w:w="1467" w:type="dxa"/>
            <w:gridSpan w:val="2"/>
            <w:noWrap/>
            <w:vAlign w:val="center"/>
          </w:tcPr>
          <w:p>
            <w:pPr>
              <w:jc w:val="center"/>
              <w:rPr>
                <w:color w:val="auto"/>
                <w:szCs w:val="21"/>
                <w:highlight w:val="none"/>
              </w:rPr>
            </w:pPr>
          </w:p>
        </w:tc>
        <w:tc>
          <w:tcPr>
            <w:tcW w:w="1467" w:type="dxa"/>
            <w:noWrap/>
            <w:vAlign w:val="center"/>
          </w:tcPr>
          <w:p>
            <w:pPr>
              <w:jc w:val="center"/>
              <w:rPr>
                <w:color w:val="auto"/>
                <w:szCs w:val="21"/>
                <w:highlight w:val="none"/>
              </w:rPr>
            </w:pPr>
          </w:p>
        </w:tc>
        <w:tc>
          <w:tcPr>
            <w:tcW w:w="1727" w:type="dxa"/>
            <w:noWrap/>
            <w:vAlign w:val="center"/>
          </w:tcPr>
          <w:p>
            <w:pPr>
              <w:jc w:val="center"/>
              <w:rPr>
                <w:color w:val="auto"/>
                <w:szCs w:val="21"/>
                <w:highlight w:val="none"/>
              </w:rPr>
            </w:pPr>
          </w:p>
        </w:tc>
        <w:tc>
          <w:tcPr>
            <w:tcW w:w="1337" w:type="dxa"/>
            <w:noWrap/>
          </w:tcPr>
          <w:p>
            <w:pPr>
              <w:jc w:val="center"/>
              <w:rPr>
                <w:color w:val="auto"/>
                <w:szCs w:val="21"/>
                <w:highlight w:val="none"/>
              </w:rPr>
            </w:pPr>
          </w:p>
        </w:tc>
        <w:tc>
          <w:tcPr>
            <w:tcW w:w="1077" w:type="dxa"/>
            <w:noWrap/>
          </w:tcPr>
          <w:p>
            <w:pPr>
              <w:jc w:val="center"/>
              <w:rPr>
                <w:color w:val="auto"/>
                <w:szCs w:val="21"/>
                <w:highlight w:val="none"/>
              </w:rPr>
            </w:pPr>
          </w:p>
        </w:tc>
        <w:tc>
          <w:tcPr>
            <w:tcW w:w="947" w:type="dxa"/>
            <w:noWrap/>
          </w:tcPr>
          <w:p>
            <w:pPr>
              <w:jc w:val="center"/>
              <w:rPr>
                <w:color w:val="auto"/>
                <w:szCs w:val="21"/>
                <w:highlight w:val="none"/>
              </w:rPr>
            </w:pPr>
          </w:p>
        </w:tc>
        <w:tc>
          <w:tcPr>
            <w:tcW w:w="947" w:type="dxa"/>
            <w:noWrap/>
            <w:vAlign w:val="center"/>
          </w:tcPr>
          <w:p>
            <w:pPr>
              <w:jc w:val="center"/>
              <w:rPr>
                <w:color w:val="auto"/>
                <w:szCs w:val="21"/>
                <w:highlight w:val="none"/>
              </w:rPr>
            </w:pPr>
          </w:p>
        </w:tc>
        <w:tc>
          <w:tcPr>
            <w:tcW w:w="846" w:type="dxa"/>
            <w:noWrap/>
            <w:vAlign w:val="center"/>
          </w:tcPr>
          <w:p>
            <w:pPr>
              <w:jc w:val="center"/>
              <w:rPr>
                <w:color w:val="auto"/>
                <w:szCs w:val="21"/>
                <w:highlight w:val="none"/>
              </w:rPr>
            </w:pPr>
          </w:p>
        </w:tc>
        <w:tc>
          <w:tcPr>
            <w:tcW w:w="710" w:type="dxa"/>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840" w:type="dxa"/>
            <w:gridSpan w:val="2"/>
            <w:vMerge w:val="restart"/>
            <w:noWrap/>
            <w:vAlign w:val="center"/>
          </w:tcPr>
          <w:p>
            <w:pPr>
              <w:rPr>
                <w:color w:val="auto"/>
                <w:szCs w:val="21"/>
                <w:highlight w:val="none"/>
              </w:rPr>
            </w:pPr>
            <w:r>
              <w:rPr>
                <w:color w:val="auto"/>
                <w:szCs w:val="21"/>
                <w:highlight w:val="none"/>
              </w:rPr>
              <w:t>最终推荐的中标候选人及其排序</w:t>
            </w:r>
          </w:p>
        </w:tc>
        <w:tc>
          <w:tcPr>
            <w:tcW w:w="878" w:type="dxa"/>
            <w:noWrap/>
          </w:tcPr>
          <w:p>
            <w:pPr>
              <w:rPr>
                <w:color w:val="auto"/>
                <w:szCs w:val="21"/>
                <w:highlight w:val="none"/>
              </w:rPr>
            </w:pPr>
          </w:p>
        </w:tc>
        <w:tc>
          <w:tcPr>
            <w:tcW w:w="1337" w:type="dxa"/>
            <w:noWrap/>
          </w:tcPr>
          <w:p>
            <w:pPr>
              <w:rPr>
                <w:color w:val="auto"/>
                <w:szCs w:val="21"/>
                <w:highlight w:val="none"/>
              </w:rPr>
            </w:pPr>
          </w:p>
        </w:tc>
        <w:tc>
          <w:tcPr>
            <w:tcW w:w="1460" w:type="dxa"/>
            <w:noWrap/>
          </w:tcPr>
          <w:p>
            <w:pPr>
              <w:rPr>
                <w:color w:val="auto"/>
                <w:szCs w:val="21"/>
                <w:highlight w:val="none"/>
              </w:rPr>
            </w:pPr>
          </w:p>
        </w:tc>
        <w:tc>
          <w:tcPr>
            <w:tcW w:w="9065" w:type="dxa"/>
            <w:gridSpan w:val="9"/>
            <w:noWrap/>
            <w:vAlign w:val="center"/>
          </w:tcPr>
          <w:p>
            <w:pPr>
              <w:rPr>
                <w:color w:val="auto"/>
                <w:szCs w:val="21"/>
                <w:highlight w:val="none"/>
              </w:rPr>
            </w:pPr>
            <w:r>
              <w:rPr>
                <w:color w:val="auto"/>
                <w:szCs w:val="21"/>
                <w:highlight w:val="none"/>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840" w:type="dxa"/>
            <w:gridSpan w:val="2"/>
            <w:vMerge w:val="continue"/>
            <w:noWrap/>
            <w:vAlign w:val="center"/>
          </w:tcPr>
          <w:p>
            <w:pPr>
              <w:jc w:val="center"/>
              <w:rPr>
                <w:color w:val="auto"/>
                <w:szCs w:val="21"/>
                <w:highlight w:val="none"/>
              </w:rPr>
            </w:pPr>
          </w:p>
        </w:tc>
        <w:tc>
          <w:tcPr>
            <w:tcW w:w="878" w:type="dxa"/>
            <w:noWrap/>
          </w:tcPr>
          <w:p>
            <w:pPr>
              <w:rPr>
                <w:color w:val="auto"/>
                <w:szCs w:val="21"/>
                <w:highlight w:val="none"/>
              </w:rPr>
            </w:pPr>
          </w:p>
        </w:tc>
        <w:tc>
          <w:tcPr>
            <w:tcW w:w="1337" w:type="dxa"/>
            <w:noWrap/>
          </w:tcPr>
          <w:p>
            <w:pPr>
              <w:rPr>
                <w:color w:val="auto"/>
                <w:szCs w:val="21"/>
                <w:highlight w:val="none"/>
              </w:rPr>
            </w:pPr>
          </w:p>
        </w:tc>
        <w:tc>
          <w:tcPr>
            <w:tcW w:w="1460" w:type="dxa"/>
            <w:noWrap/>
          </w:tcPr>
          <w:p>
            <w:pPr>
              <w:rPr>
                <w:color w:val="auto"/>
                <w:szCs w:val="21"/>
                <w:highlight w:val="none"/>
              </w:rPr>
            </w:pPr>
          </w:p>
        </w:tc>
        <w:tc>
          <w:tcPr>
            <w:tcW w:w="9065" w:type="dxa"/>
            <w:gridSpan w:val="9"/>
            <w:noWrap/>
            <w:vAlign w:val="center"/>
          </w:tcPr>
          <w:p>
            <w:pPr>
              <w:rPr>
                <w:color w:val="auto"/>
                <w:szCs w:val="21"/>
                <w:highlight w:val="none"/>
              </w:rPr>
            </w:pPr>
            <w:r>
              <w:rPr>
                <w:color w:val="auto"/>
                <w:szCs w:val="21"/>
                <w:highlight w:val="none"/>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840" w:type="dxa"/>
            <w:gridSpan w:val="2"/>
            <w:vMerge w:val="continue"/>
            <w:noWrap/>
            <w:vAlign w:val="center"/>
          </w:tcPr>
          <w:p>
            <w:pPr>
              <w:jc w:val="center"/>
              <w:rPr>
                <w:color w:val="auto"/>
                <w:szCs w:val="21"/>
                <w:highlight w:val="none"/>
              </w:rPr>
            </w:pPr>
          </w:p>
        </w:tc>
        <w:tc>
          <w:tcPr>
            <w:tcW w:w="878" w:type="dxa"/>
            <w:noWrap/>
          </w:tcPr>
          <w:p>
            <w:pPr>
              <w:rPr>
                <w:color w:val="auto"/>
                <w:szCs w:val="21"/>
                <w:highlight w:val="none"/>
              </w:rPr>
            </w:pPr>
          </w:p>
        </w:tc>
        <w:tc>
          <w:tcPr>
            <w:tcW w:w="1337" w:type="dxa"/>
            <w:noWrap/>
          </w:tcPr>
          <w:p>
            <w:pPr>
              <w:rPr>
                <w:color w:val="auto"/>
                <w:szCs w:val="21"/>
                <w:highlight w:val="none"/>
              </w:rPr>
            </w:pPr>
          </w:p>
        </w:tc>
        <w:tc>
          <w:tcPr>
            <w:tcW w:w="1460" w:type="dxa"/>
            <w:noWrap/>
          </w:tcPr>
          <w:p>
            <w:pPr>
              <w:rPr>
                <w:color w:val="auto"/>
                <w:szCs w:val="21"/>
                <w:highlight w:val="none"/>
              </w:rPr>
            </w:pPr>
          </w:p>
        </w:tc>
        <w:tc>
          <w:tcPr>
            <w:tcW w:w="9065" w:type="dxa"/>
            <w:gridSpan w:val="9"/>
            <w:noWrap/>
            <w:vAlign w:val="center"/>
          </w:tcPr>
          <w:p>
            <w:pPr>
              <w:rPr>
                <w:color w:val="auto"/>
                <w:szCs w:val="21"/>
                <w:highlight w:val="none"/>
              </w:rPr>
            </w:pPr>
            <w:r>
              <w:rPr>
                <w:color w:val="auto"/>
                <w:szCs w:val="21"/>
                <w:highlight w:val="none"/>
              </w:rPr>
              <w:t>第三名：</w:t>
            </w:r>
          </w:p>
        </w:tc>
      </w:tr>
    </w:tbl>
    <w:p>
      <w:pPr>
        <w:rPr>
          <w:color w:val="auto"/>
          <w:szCs w:val="21"/>
          <w:highlight w:val="none"/>
        </w:rPr>
      </w:pPr>
      <w:r>
        <w:rPr>
          <w:rFonts w:eastAsia="楷体_GB2312"/>
          <w:color w:val="auto"/>
          <w:szCs w:val="21"/>
          <w:highlight w:val="none"/>
        </w:rPr>
        <w:t>【</w:t>
      </w:r>
      <w:r>
        <w:rPr>
          <w:rFonts w:eastAsia="楷体_GB2312"/>
          <w:color w:val="auto"/>
          <w:highlight w:val="none"/>
        </w:rPr>
        <w:t>备注：</w:t>
      </w:r>
      <w:r>
        <w:rPr>
          <w:rFonts w:hint="eastAsia" w:eastAsia="楷体_GB2312"/>
          <w:color w:val="auto"/>
          <w:highlight w:val="none"/>
        </w:rPr>
        <w:t>本表可根据第二章投标人须知确定的中标候选人推荐数量等实际情况进行调整】</w:t>
      </w:r>
    </w:p>
    <w:p>
      <w:pPr>
        <w:rPr>
          <w:color w:val="auto"/>
          <w:szCs w:val="21"/>
          <w:highlight w:val="none"/>
        </w:rPr>
      </w:pPr>
    </w:p>
    <w:p>
      <w:pPr>
        <w:rPr>
          <w:rFonts w:eastAsia="黑体"/>
          <w:color w:val="auto"/>
          <w:sz w:val="28"/>
          <w:szCs w:val="28"/>
          <w:highlight w:val="none"/>
        </w:rPr>
      </w:pPr>
      <w:r>
        <w:rPr>
          <w:color w:val="auto"/>
          <w:szCs w:val="21"/>
          <w:highlight w:val="none"/>
        </w:rPr>
        <w:t xml:space="preserve">评标委员会全体成员签名：   </w:t>
      </w:r>
    </w:p>
    <w:p>
      <w:pPr>
        <w:spacing w:line="480" w:lineRule="auto"/>
        <w:rPr>
          <w:color w:val="auto"/>
          <w:highlight w:val="none"/>
        </w:rPr>
        <w:sectPr>
          <w:type w:val="continuous"/>
          <w:pgSz w:w="16838" w:h="11906" w:orient="landscape"/>
          <w:pgMar w:top="1134" w:right="1418" w:bottom="1134" w:left="1418" w:header="851" w:footer="992" w:gutter="0"/>
          <w:cols w:space="720" w:num="1"/>
          <w:docGrid w:linePitch="312" w:charSpace="0"/>
        </w:sectPr>
      </w:pPr>
    </w:p>
    <w:p>
      <w:pPr>
        <w:rPr>
          <w:color w:val="auto"/>
          <w:szCs w:val="21"/>
          <w:highlight w:val="none"/>
        </w:rPr>
      </w:pPr>
    </w:p>
    <w:p>
      <w:pPr>
        <w:widowControl/>
        <w:rPr>
          <w:color w:val="auto"/>
          <w:szCs w:val="21"/>
          <w:highlight w:val="none"/>
        </w:rPr>
      </w:pPr>
    </w:p>
    <w:p>
      <w:pPr>
        <w:pStyle w:val="3"/>
        <w:jc w:val="center"/>
        <w:rPr>
          <w:color w:val="auto"/>
          <w:highlight w:val="none"/>
        </w:rPr>
      </w:pPr>
      <w:bookmarkStart w:id="573" w:name="_Toc419320205"/>
      <w:bookmarkStart w:id="574" w:name="_Toc419321241"/>
      <w:bookmarkStart w:id="575" w:name="_Toc433988694"/>
      <w:bookmarkStart w:id="576" w:name="_Toc419364332"/>
      <w:bookmarkStart w:id="577" w:name="_Toc491277244"/>
      <w:bookmarkStart w:id="578" w:name="_Toc419363661"/>
      <w:bookmarkStart w:id="579" w:name="_Toc390874907"/>
      <w:r>
        <w:rPr>
          <w:color w:val="auto"/>
          <w:highlight w:val="none"/>
        </w:rPr>
        <w:t>第</w:t>
      </w:r>
      <w:r>
        <w:rPr>
          <w:rFonts w:hint="eastAsia"/>
          <w:color w:val="auto"/>
          <w:highlight w:val="none"/>
        </w:rPr>
        <w:t>四</w:t>
      </w:r>
      <w:r>
        <w:rPr>
          <w:color w:val="auto"/>
          <w:highlight w:val="none"/>
        </w:rPr>
        <w:t xml:space="preserve">章 </w:t>
      </w:r>
      <w:r>
        <w:rPr>
          <w:rFonts w:hint="eastAsia"/>
          <w:color w:val="auto"/>
          <w:highlight w:val="none"/>
        </w:rPr>
        <w:t xml:space="preserve"> 合同条款及格式</w:t>
      </w:r>
      <w:bookmarkEnd w:id="573"/>
      <w:bookmarkEnd w:id="574"/>
      <w:bookmarkEnd w:id="575"/>
      <w:bookmarkEnd w:id="576"/>
      <w:bookmarkEnd w:id="577"/>
      <w:bookmarkEnd w:id="578"/>
    </w:p>
    <w:p>
      <w:pPr>
        <w:pStyle w:val="3"/>
        <w:jc w:val="center"/>
        <w:rPr>
          <w:color w:val="auto"/>
          <w:highlight w:val="none"/>
        </w:rPr>
      </w:pPr>
      <w:bookmarkStart w:id="580" w:name="_Toc419321242"/>
      <w:bookmarkStart w:id="581" w:name="_Toc419320206"/>
      <w:bookmarkStart w:id="582" w:name="_Toc491277245"/>
      <w:bookmarkStart w:id="583" w:name="_Toc419363662"/>
      <w:bookmarkStart w:id="584" w:name="_Toc419364333"/>
      <w:bookmarkStart w:id="585" w:name="_Toc433988695"/>
      <w:r>
        <w:rPr>
          <w:rFonts w:hint="eastAsia"/>
          <w:color w:val="auto"/>
          <w:highlight w:val="none"/>
        </w:rPr>
        <w:t>第一部分 合同协议书</w:t>
      </w:r>
      <w:bookmarkEnd w:id="580"/>
      <w:bookmarkEnd w:id="581"/>
      <w:bookmarkEnd w:id="582"/>
      <w:bookmarkEnd w:id="583"/>
      <w:bookmarkEnd w:id="584"/>
      <w:bookmarkEnd w:id="585"/>
    </w:p>
    <w:p>
      <w:pPr>
        <w:spacing w:line="300" w:lineRule="auto"/>
        <w:ind w:firstLine="480" w:firstLineChars="200"/>
        <w:rPr>
          <w:rFonts w:ascii="宋体" w:hAnsi="宋体"/>
          <w:color w:val="auto"/>
          <w:sz w:val="24"/>
          <w:highlight w:val="none"/>
        </w:rPr>
      </w:pPr>
    </w:p>
    <w:p>
      <w:pPr>
        <w:spacing w:line="300" w:lineRule="auto"/>
        <w:ind w:firstLine="480" w:firstLineChars="200"/>
        <w:rPr>
          <w:rFonts w:ascii="宋体" w:hAnsi="宋体"/>
          <w:color w:val="auto"/>
          <w:sz w:val="24"/>
          <w:highlight w:val="none"/>
        </w:rPr>
      </w:pPr>
    </w:p>
    <w:p>
      <w:pPr>
        <w:spacing w:line="440" w:lineRule="exact"/>
        <w:jc w:val="center"/>
        <w:rPr>
          <w:rFonts w:ascii="黑体" w:eastAsia="黑体"/>
          <w:color w:val="auto"/>
          <w:sz w:val="28"/>
          <w:szCs w:val="28"/>
          <w:highlight w:val="none"/>
        </w:rPr>
      </w:pPr>
      <w:r>
        <w:rPr>
          <w:rFonts w:hint="eastAsia" w:ascii="黑体" w:eastAsia="黑体"/>
          <w:color w:val="auto"/>
          <w:sz w:val="28"/>
          <w:szCs w:val="28"/>
          <w:highlight w:val="none"/>
        </w:rPr>
        <w:t>合同协议书</w:t>
      </w:r>
    </w:p>
    <w:p>
      <w:pPr>
        <w:spacing w:line="440" w:lineRule="exact"/>
        <w:rPr>
          <w:color w:val="auto"/>
          <w:szCs w:val="21"/>
          <w:highlight w:val="none"/>
        </w:rPr>
      </w:pPr>
    </w:p>
    <w:p>
      <w:pPr>
        <w:spacing w:line="440" w:lineRule="exact"/>
        <w:ind w:firstLine="359" w:firstLineChars="171"/>
        <w:rPr>
          <w:color w:val="auto"/>
          <w:szCs w:val="21"/>
          <w:highlight w:val="none"/>
        </w:rPr>
      </w:pPr>
      <w:r>
        <w:rPr>
          <w:rFonts w:hint="eastAsia"/>
          <w:color w:val="auto"/>
          <w:szCs w:val="21"/>
          <w:highlight w:val="none"/>
        </w:rPr>
        <w:t>（发包人名称，以下简称</w:t>
      </w:r>
      <w:r>
        <w:rPr>
          <w:color w:val="auto"/>
          <w:szCs w:val="21"/>
          <w:highlight w:val="none"/>
        </w:rPr>
        <w:t>“</w:t>
      </w:r>
      <w:r>
        <w:rPr>
          <w:rFonts w:hint="eastAsia"/>
          <w:color w:val="auto"/>
          <w:szCs w:val="21"/>
          <w:highlight w:val="none"/>
        </w:rPr>
        <w:t>发包人</w:t>
      </w:r>
      <w:r>
        <w:rPr>
          <w:color w:val="auto"/>
          <w:szCs w:val="21"/>
          <w:highlight w:val="none"/>
        </w:rPr>
        <w:t>”</w:t>
      </w:r>
      <w:r>
        <w:rPr>
          <w:rFonts w:hint="eastAsia"/>
          <w:color w:val="auto"/>
          <w:szCs w:val="21"/>
          <w:highlight w:val="none"/>
        </w:rPr>
        <w:t>）为实施（项目名称）已接受（承包人名称，以下简称</w:t>
      </w:r>
      <w:r>
        <w:rPr>
          <w:color w:val="auto"/>
          <w:szCs w:val="21"/>
          <w:highlight w:val="none"/>
        </w:rPr>
        <w:t>“</w:t>
      </w:r>
      <w:r>
        <w:rPr>
          <w:rFonts w:hint="eastAsia"/>
          <w:color w:val="auto"/>
          <w:szCs w:val="21"/>
          <w:highlight w:val="none"/>
        </w:rPr>
        <w:t>承包人</w:t>
      </w:r>
      <w:r>
        <w:rPr>
          <w:color w:val="auto"/>
          <w:szCs w:val="21"/>
          <w:highlight w:val="none"/>
        </w:rPr>
        <w:t>”</w:t>
      </w:r>
      <w:r>
        <w:rPr>
          <w:rFonts w:hint="eastAsia"/>
          <w:color w:val="auto"/>
          <w:szCs w:val="21"/>
          <w:highlight w:val="none"/>
        </w:rPr>
        <w:t>）对该项目的工程总承包投标。发包人和承包人共同达成如下协议。</w:t>
      </w:r>
    </w:p>
    <w:p>
      <w:pPr>
        <w:spacing w:line="440" w:lineRule="exact"/>
        <w:ind w:firstLine="359" w:firstLineChars="171"/>
        <w:rPr>
          <w:color w:val="auto"/>
          <w:szCs w:val="21"/>
          <w:highlight w:val="none"/>
        </w:rPr>
      </w:pPr>
      <w:bookmarkStart w:id="586" w:name="_Toc144974828"/>
      <w:bookmarkStart w:id="587" w:name="_Toc152042548"/>
      <w:r>
        <w:rPr>
          <w:color w:val="auto"/>
          <w:szCs w:val="21"/>
          <w:highlight w:val="none"/>
        </w:rPr>
        <w:t xml:space="preserve">1. </w:t>
      </w:r>
      <w:r>
        <w:rPr>
          <w:rFonts w:hint="eastAsia"/>
          <w:color w:val="auto"/>
          <w:szCs w:val="21"/>
          <w:highlight w:val="none"/>
        </w:rPr>
        <w:t>本协议书与下列文件一起构成合同文件：</w:t>
      </w:r>
      <w:bookmarkEnd w:id="586"/>
      <w:bookmarkEnd w:id="587"/>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）本合同协议书</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）本合同专用条款</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）中标通知书</w:t>
      </w:r>
    </w:p>
    <w:p>
      <w:pPr>
        <w:spacing w:line="300" w:lineRule="auto"/>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）招投标文件及其附件</w:t>
      </w:r>
    </w:p>
    <w:p>
      <w:pPr>
        <w:spacing w:line="300" w:lineRule="auto"/>
        <w:ind w:firstLine="420" w:firstLineChars="200"/>
        <w:rPr>
          <w:color w:val="auto"/>
          <w:highlight w:val="none"/>
        </w:rPr>
      </w:pPr>
      <w:r>
        <w:rPr>
          <w:rFonts w:hint="eastAsia"/>
          <w:color w:val="auto"/>
          <w:highlight w:val="none"/>
        </w:rPr>
        <w:t>（</w:t>
      </w:r>
      <w:r>
        <w:rPr>
          <w:color w:val="auto"/>
          <w:highlight w:val="none"/>
        </w:rPr>
        <w:t>5</w:t>
      </w:r>
      <w:r>
        <w:rPr>
          <w:rFonts w:hint="eastAsia"/>
          <w:color w:val="auto"/>
          <w:highlight w:val="none"/>
        </w:rPr>
        <w:t>）本合同通用条款</w:t>
      </w:r>
    </w:p>
    <w:p>
      <w:pPr>
        <w:spacing w:line="300" w:lineRule="auto"/>
        <w:ind w:firstLine="420" w:firstLineChars="200"/>
        <w:rPr>
          <w:color w:val="auto"/>
          <w:highlight w:val="none"/>
        </w:rPr>
      </w:pPr>
      <w:r>
        <w:rPr>
          <w:rFonts w:hint="eastAsia"/>
          <w:color w:val="auto"/>
          <w:highlight w:val="none"/>
        </w:rPr>
        <w:t>（</w:t>
      </w:r>
      <w:r>
        <w:rPr>
          <w:color w:val="auto"/>
          <w:highlight w:val="none"/>
        </w:rPr>
        <w:t>6</w:t>
      </w:r>
      <w:r>
        <w:rPr>
          <w:rFonts w:hint="eastAsia"/>
          <w:color w:val="auto"/>
          <w:highlight w:val="none"/>
        </w:rPr>
        <w:t>）合同附件</w:t>
      </w:r>
    </w:p>
    <w:p>
      <w:pPr>
        <w:spacing w:line="300" w:lineRule="auto"/>
        <w:ind w:firstLine="420" w:firstLineChars="200"/>
        <w:rPr>
          <w:color w:val="auto"/>
          <w:highlight w:val="none"/>
        </w:rPr>
      </w:pPr>
      <w:r>
        <w:rPr>
          <w:rFonts w:hint="eastAsia"/>
          <w:color w:val="auto"/>
          <w:highlight w:val="none"/>
        </w:rPr>
        <w:t>（</w:t>
      </w:r>
      <w:r>
        <w:rPr>
          <w:color w:val="auto"/>
          <w:highlight w:val="none"/>
        </w:rPr>
        <w:t>7</w:t>
      </w:r>
      <w:r>
        <w:rPr>
          <w:rFonts w:hint="eastAsia"/>
          <w:color w:val="auto"/>
          <w:highlight w:val="none"/>
        </w:rPr>
        <w:t>）标准、规范及有关技术文件</w:t>
      </w:r>
    </w:p>
    <w:p>
      <w:pPr>
        <w:spacing w:line="300" w:lineRule="auto"/>
        <w:ind w:firstLine="420" w:firstLineChars="200"/>
        <w:rPr>
          <w:color w:val="auto"/>
          <w:highlight w:val="none"/>
        </w:rPr>
      </w:pPr>
      <w:r>
        <w:rPr>
          <w:rFonts w:hint="eastAsia"/>
          <w:color w:val="auto"/>
          <w:highlight w:val="none"/>
        </w:rPr>
        <w:t>（</w:t>
      </w:r>
      <w:r>
        <w:rPr>
          <w:color w:val="auto"/>
          <w:highlight w:val="none"/>
        </w:rPr>
        <w:t>8</w:t>
      </w:r>
      <w:r>
        <w:rPr>
          <w:rFonts w:hint="eastAsia"/>
          <w:color w:val="auto"/>
          <w:highlight w:val="none"/>
        </w:rPr>
        <w:t>）设计文件、资料和图纸</w:t>
      </w:r>
    </w:p>
    <w:p>
      <w:pPr>
        <w:spacing w:line="300" w:lineRule="auto"/>
        <w:ind w:firstLine="420" w:firstLineChars="200"/>
        <w:rPr>
          <w:color w:val="auto"/>
          <w:highlight w:val="none"/>
        </w:rPr>
      </w:pPr>
      <w:r>
        <w:rPr>
          <w:rFonts w:hint="eastAsia"/>
          <w:color w:val="auto"/>
          <w:highlight w:val="none"/>
        </w:rPr>
        <w:t>（</w:t>
      </w:r>
      <w:r>
        <w:rPr>
          <w:color w:val="auto"/>
          <w:highlight w:val="none"/>
        </w:rPr>
        <w:t>9</w:t>
      </w:r>
      <w:r>
        <w:rPr>
          <w:rFonts w:hint="eastAsia"/>
          <w:color w:val="auto"/>
          <w:highlight w:val="none"/>
        </w:rPr>
        <w:t>）双方约定构成合同组成部分的其它文件</w:t>
      </w:r>
    </w:p>
    <w:p>
      <w:pPr>
        <w:spacing w:line="300" w:lineRule="auto"/>
        <w:ind w:firstLine="420" w:firstLineChars="200"/>
        <w:rPr>
          <w:color w:val="auto"/>
          <w:highlight w:val="none"/>
        </w:rPr>
      </w:pPr>
      <w:r>
        <w:rPr>
          <w:rFonts w:hint="eastAsia"/>
          <w:color w:val="auto"/>
          <w:highlight w:val="none"/>
        </w:rPr>
        <w:t>双方在履行合同过程中形成的双方授权代表签署的会议纪要、备忘录、补充文件、变更和洽商等书面形式的文件构成本合同的组成部分。</w:t>
      </w:r>
    </w:p>
    <w:p>
      <w:pPr>
        <w:spacing w:after="120" w:afterLines="50" w:line="440" w:lineRule="exact"/>
        <w:rPr>
          <w:color w:val="auto"/>
          <w:szCs w:val="21"/>
          <w:highlight w:val="none"/>
        </w:rPr>
      </w:pPr>
      <w:bookmarkStart w:id="588" w:name="_Toc152042549"/>
      <w:bookmarkStart w:id="589" w:name="_Toc144974829"/>
      <w:r>
        <w:rPr>
          <w:color w:val="auto"/>
          <w:szCs w:val="21"/>
          <w:highlight w:val="none"/>
        </w:rPr>
        <w:t>2.</w:t>
      </w:r>
      <w:r>
        <w:rPr>
          <w:rFonts w:hint="eastAsia"/>
          <w:color w:val="auto"/>
          <w:szCs w:val="21"/>
          <w:highlight w:val="none"/>
        </w:rPr>
        <w:t xml:space="preserve"> 上述文件互相补充和解释，如有不明确或不一致之处，以合同约定次序在先者为准。</w:t>
      </w:r>
      <w:bookmarkEnd w:id="588"/>
      <w:bookmarkEnd w:id="589"/>
    </w:p>
    <w:p>
      <w:pPr>
        <w:spacing w:after="120" w:afterLines="50" w:line="440" w:lineRule="exact"/>
        <w:rPr>
          <w:color w:val="auto"/>
          <w:szCs w:val="21"/>
          <w:highlight w:val="none"/>
        </w:rPr>
      </w:pPr>
      <w:r>
        <w:rPr>
          <w:rFonts w:hint="eastAsia"/>
          <w:color w:val="auto"/>
          <w:szCs w:val="21"/>
          <w:highlight w:val="none"/>
        </w:rPr>
        <w:t xml:space="preserve">   3、工程概况</w:t>
      </w:r>
    </w:p>
    <w:p>
      <w:pPr>
        <w:spacing w:after="120" w:afterLines="50" w:line="440" w:lineRule="exact"/>
        <w:rPr>
          <w:color w:val="auto"/>
          <w:szCs w:val="21"/>
          <w:highlight w:val="none"/>
          <w:u w:val="single"/>
        </w:rPr>
      </w:pPr>
      <w:r>
        <w:rPr>
          <w:rFonts w:hint="eastAsia"/>
          <w:color w:val="auto"/>
          <w:szCs w:val="21"/>
          <w:highlight w:val="none"/>
        </w:rPr>
        <w:t xml:space="preserve">    （1）工程名称：</w:t>
      </w:r>
    </w:p>
    <w:p>
      <w:pPr>
        <w:spacing w:after="120" w:afterLines="50" w:line="440" w:lineRule="exact"/>
        <w:rPr>
          <w:color w:val="auto"/>
          <w:szCs w:val="21"/>
          <w:highlight w:val="none"/>
        </w:rPr>
      </w:pPr>
      <w:r>
        <w:rPr>
          <w:rFonts w:hint="eastAsia"/>
          <w:color w:val="auto"/>
          <w:szCs w:val="21"/>
          <w:highlight w:val="none"/>
        </w:rPr>
        <w:t xml:space="preserve">    （2）工程地点：</w:t>
      </w:r>
    </w:p>
    <w:p>
      <w:pPr>
        <w:spacing w:after="120" w:afterLines="50" w:line="440" w:lineRule="exact"/>
        <w:ind w:firstLine="420" w:firstLineChars="200"/>
        <w:rPr>
          <w:color w:val="auto"/>
          <w:szCs w:val="21"/>
          <w:highlight w:val="none"/>
        </w:rPr>
      </w:pPr>
      <w:r>
        <w:rPr>
          <w:rFonts w:hint="eastAsia"/>
          <w:color w:val="auto"/>
          <w:szCs w:val="21"/>
          <w:highlight w:val="none"/>
        </w:rPr>
        <w:t>（3）工程内容：</w:t>
      </w:r>
    </w:p>
    <w:p>
      <w:pPr>
        <w:spacing w:after="120" w:afterLines="50" w:line="440" w:lineRule="exact"/>
        <w:ind w:firstLine="420" w:firstLineChars="200"/>
        <w:rPr>
          <w:color w:val="auto"/>
          <w:szCs w:val="21"/>
          <w:highlight w:val="none"/>
        </w:rPr>
      </w:pPr>
      <w:r>
        <w:rPr>
          <w:rFonts w:hint="eastAsia"/>
          <w:color w:val="auto"/>
          <w:szCs w:val="21"/>
          <w:highlight w:val="none"/>
        </w:rPr>
        <w:t>（4）工程承包范围：</w:t>
      </w:r>
    </w:p>
    <w:p>
      <w:pPr>
        <w:spacing w:line="440" w:lineRule="exact"/>
        <w:rPr>
          <w:rFonts w:ascii="宋体" w:hAnsi="宋体"/>
          <w:color w:val="auto"/>
          <w:szCs w:val="21"/>
          <w:highlight w:val="none"/>
        </w:rPr>
      </w:pPr>
      <w:r>
        <w:rPr>
          <w:rFonts w:hint="eastAsia"/>
          <w:color w:val="auto"/>
          <w:szCs w:val="21"/>
          <w:highlight w:val="none"/>
        </w:rPr>
        <w:t xml:space="preserve">   4、 本合同采用</w:t>
      </w:r>
      <w:r>
        <w:rPr>
          <w:rFonts w:hint="eastAsia" w:ascii="宋体" w:hAnsi="宋体"/>
          <w:b/>
          <w:color w:val="auto"/>
          <w:szCs w:val="21"/>
          <w:highlight w:val="none"/>
        </w:rPr>
        <w:t>☑</w:t>
      </w:r>
      <w:r>
        <w:rPr>
          <w:rFonts w:hint="eastAsia"/>
          <w:color w:val="auto"/>
          <w:szCs w:val="21"/>
          <w:highlight w:val="none"/>
        </w:rPr>
        <w:t>固定总价</w:t>
      </w:r>
      <w:r>
        <w:rPr>
          <w:rFonts w:hint="eastAsia" w:ascii="宋体" w:hAnsi="宋体"/>
          <w:b/>
          <w:color w:val="auto"/>
          <w:szCs w:val="21"/>
          <w:highlight w:val="none"/>
        </w:rPr>
        <w:t>□</w:t>
      </w:r>
      <w:r>
        <w:rPr>
          <w:rFonts w:hint="eastAsia"/>
          <w:color w:val="auto"/>
          <w:szCs w:val="21"/>
          <w:highlight w:val="none"/>
        </w:rPr>
        <w:t>固定单价的计价方式，合同价格为</w:t>
      </w:r>
      <w:r>
        <w:rPr>
          <w:rFonts w:hint="eastAsia" w:ascii="宋体" w:hAnsi="宋体"/>
          <w:color w:val="auto"/>
          <w:szCs w:val="21"/>
          <w:highlight w:val="none"/>
        </w:rPr>
        <w:t>人民币（大写）</w:t>
      </w:r>
      <w:r>
        <w:rPr>
          <w:rFonts w:hint="eastAsia"/>
          <w:color w:val="auto"/>
          <w:szCs w:val="21"/>
          <w:highlight w:val="none"/>
        </w:rPr>
        <w:t>元，</w:t>
      </w:r>
      <w:r>
        <w:rPr>
          <w:rFonts w:hint="eastAsia" w:ascii="宋体" w:hAnsi="宋体"/>
          <w:color w:val="auto"/>
          <w:szCs w:val="21"/>
          <w:highlight w:val="none"/>
          <w:u w:val="single"/>
        </w:rPr>
        <w:t>（</w:t>
      </w:r>
      <w:r>
        <w:rPr>
          <w:rFonts w:hint="eastAsia" w:ascii="宋体"/>
          <w:color w:val="auto"/>
          <w:szCs w:val="21"/>
          <w:highlight w:val="none"/>
          <w:u w:val="single"/>
        </w:rPr>
        <w:t>¥</w:t>
      </w:r>
      <w:r>
        <w:rPr>
          <w:rFonts w:hint="eastAsia" w:ascii="宋体" w:hAnsi="宋体"/>
          <w:color w:val="auto"/>
          <w:szCs w:val="21"/>
          <w:highlight w:val="none"/>
          <w:u w:val="single"/>
        </w:rPr>
        <w:t xml:space="preserve">    ）</w:t>
      </w:r>
      <w:r>
        <w:rPr>
          <w:rFonts w:hint="eastAsia"/>
          <w:color w:val="auto"/>
          <w:szCs w:val="21"/>
          <w:highlight w:val="none"/>
        </w:rPr>
        <w:t xml:space="preserve"> ，其中：</w:t>
      </w:r>
      <w:r>
        <w:rPr>
          <w:rFonts w:hint="eastAsia" w:ascii="宋体" w:hAnsi="宋体"/>
          <w:color w:val="auto"/>
          <w:szCs w:val="21"/>
          <w:highlight w:val="none"/>
        </w:rPr>
        <w:t>设计费</w:t>
      </w:r>
      <w:r>
        <w:rPr>
          <w:rFonts w:hint="eastAsia" w:ascii="宋体" w:hAnsi="宋体"/>
          <w:color w:val="auto"/>
          <w:szCs w:val="21"/>
          <w:highlight w:val="none"/>
          <w:u w:val="single"/>
        </w:rPr>
        <w:t>元</w:t>
      </w:r>
      <w:r>
        <w:rPr>
          <w:rFonts w:hint="eastAsia" w:ascii="宋体"/>
          <w:color w:val="auto"/>
          <w:szCs w:val="21"/>
          <w:highlight w:val="none"/>
        </w:rPr>
        <w:t>，设备购置费</w:t>
      </w:r>
      <w:r>
        <w:rPr>
          <w:rFonts w:hint="eastAsia"/>
          <w:color w:val="auto"/>
          <w:szCs w:val="21"/>
          <w:highlight w:val="none"/>
        </w:rPr>
        <w:t>元（如有）</w:t>
      </w:r>
      <w:r>
        <w:rPr>
          <w:rFonts w:hint="eastAsia" w:ascii="宋体" w:hAnsi="宋体"/>
          <w:color w:val="auto"/>
          <w:szCs w:val="21"/>
          <w:highlight w:val="none"/>
        </w:rPr>
        <w:t>，建筑安装工程费（含设备采购费）</w:t>
      </w:r>
      <w:r>
        <w:rPr>
          <w:rFonts w:hint="eastAsia" w:ascii="宋体" w:hAnsi="宋体"/>
          <w:color w:val="auto"/>
          <w:szCs w:val="21"/>
          <w:highlight w:val="none"/>
          <w:u w:val="single"/>
        </w:rPr>
        <w:t>元</w:t>
      </w:r>
      <w:r>
        <w:rPr>
          <w:rFonts w:hint="eastAsia" w:ascii="宋体" w:hAnsi="宋体"/>
          <w:color w:val="auto"/>
          <w:szCs w:val="21"/>
          <w:highlight w:val="none"/>
        </w:rPr>
        <w:t>，暂列费用</w:t>
      </w:r>
      <w:r>
        <w:rPr>
          <w:rFonts w:hint="eastAsia" w:ascii="宋体" w:hAnsi="宋体"/>
          <w:color w:val="auto"/>
          <w:szCs w:val="21"/>
          <w:highlight w:val="none"/>
          <w:u w:val="single"/>
        </w:rPr>
        <w:t>元</w:t>
      </w:r>
      <w:r>
        <w:rPr>
          <w:rFonts w:hint="eastAsia"/>
          <w:color w:val="auto"/>
          <w:szCs w:val="21"/>
          <w:highlight w:val="none"/>
        </w:rPr>
        <w:t>（如有）。</w:t>
      </w:r>
    </w:p>
    <w:p>
      <w:pPr>
        <w:spacing w:line="440" w:lineRule="exact"/>
        <w:ind w:firstLine="420" w:firstLineChars="200"/>
        <w:rPr>
          <w:rFonts w:eastAsia="方正仿宋_GBK"/>
          <w:color w:val="auto"/>
          <w:kern w:val="0"/>
          <w:szCs w:val="32"/>
          <w:highlight w:val="none"/>
        </w:rPr>
      </w:pPr>
      <w:r>
        <w:rPr>
          <w:rFonts w:hint="eastAsia" w:ascii="宋体" w:hAnsi="宋体"/>
          <w:color w:val="auto"/>
          <w:szCs w:val="21"/>
          <w:highlight w:val="none"/>
        </w:rPr>
        <w:t>按规定应由发包人承担的费用不包括在本合同价格内。</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暂列费用</w:t>
      </w:r>
      <w:r>
        <w:rPr>
          <w:rFonts w:hint="eastAsia" w:ascii="宋体" w:hAnsi="宋体"/>
          <w:color w:val="auto"/>
          <w:szCs w:val="21"/>
          <w:highlight w:val="none"/>
        </w:rPr>
        <w:t>不包括在本</w:t>
      </w:r>
      <w:r>
        <w:rPr>
          <w:rFonts w:ascii="宋体" w:hAnsi="宋体"/>
          <w:color w:val="auto"/>
          <w:szCs w:val="21"/>
          <w:highlight w:val="none"/>
        </w:rPr>
        <w:t>合同</w:t>
      </w:r>
      <w:r>
        <w:rPr>
          <w:rFonts w:hint="eastAsia" w:ascii="宋体" w:hAnsi="宋体"/>
          <w:color w:val="auto"/>
          <w:szCs w:val="21"/>
          <w:highlight w:val="none"/>
        </w:rPr>
        <w:t>价格内。暂列费用主要为以下情况：</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（1）在批准的初步设计范围内，技术设计、施工图设计及施工过程中所增加的工程费用；经批准的设计变更，工程变更、材料代用、局部地基处理等增加的费用。</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（2）一般自然灾害造成的损失和预防自然灾害所采取的措施费用。</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（3）竣工验收时为鉴定工程质量对隐蔽工程进行必要的挖掘和修复费用。</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（4）地下障碍物处理、超规超限设备运输等发生的费用。</w:t>
      </w:r>
    </w:p>
    <w:p>
      <w:pPr>
        <w:spacing w:line="440" w:lineRule="exact"/>
        <w:ind w:firstLine="359" w:firstLineChars="171"/>
        <w:rPr>
          <w:color w:val="auto"/>
          <w:szCs w:val="21"/>
          <w:highlight w:val="none"/>
        </w:rPr>
      </w:pPr>
      <w:r>
        <w:rPr>
          <w:rFonts w:hint="eastAsia"/>
          <w:color w:val="auto"/>
          <w:szCs w:val="21"/>
          <w:highlight w:val="none"/>
        </w:rPr>
        <w:t>5</w:t>
      </w:r>
      <w:r>
        <w:rPr>
          <w:color w:val="auto"/>
          <w:szCs w:val="21"/>
          <w:highlight w:val="none"/>
        </w:rPr>
        <w:t xml:space="preserve">. </w:t>
      </w:r>
      <w:r>
        <w:rPr>
          <w:rFonts w:hint="eastAsia"/>
          <w:color w:val="auto"/>
          <w:szCs w:val="21"/>
          <w:highlight w:val="none"/>
        </w:rPr>
        <w:t>项目总负责人：；项目设计负责人：；项目采购负责人（如有）：项目经理：</w:t>
      </w:r>
      <w:r>
        <w:rPr>
          <w:rFonts w:hint="eastAsia"/>
          <w:color w:val="auto"/>
          <w:szCs w:val="21"/>
          <w:highlight w:val="none"/>
          <w:u w:val="single"/>
        </w:rPr>
        <w:t>；</w:t>
      </w:r>
      <w:r>
        <w:rPr>
          <w:rFonts w:hint="eastAsia"/>
          <w:color w:val="auto"/>
          <w:szCs w:val="21"/>
          <w:highlight w:val="none"/>
        </w:rPr>
        <w:t>项目施工专职安全员：。</w:t>
      </w:r>
    </w:p>
    <w:p>
      <w:pPr>
        <w:spacing w:line="440" w:lineRule="exact"/>
        <w:ind w:firstLine="359" w:firstLineChars="171"/>
        <w:rPr>
          <w:color w:val="auto"/>
          <w:szCs w:val="21"/>
          <w:highlight w:val="none"/>
        </w:rPr>
      </w:pPr>
      <w:r>
        <w:rPr>
          <w:rFonts w:hint="eastAsia"/>
          <w:color w:val="auto"/>
          <w:szCs w:val="21"/>
          <w:highlight w:val="none"/>
        </w:rPr>
        <w:t>6</w:t>
      </w:r>
      <w:r>
        <w:rPr>
          <w:color w:val="auto"/>
          <w:szCs w:val="21"/>
          <w:highlight w:val="none"/>
        </w:rPr>
        <w:t xml:space="preserve">. </w:t>
      </w:r>
      <w:r>
        <w:rPr>
          <w:rFonts w:hint="eastAsia"/>
          <w:color w:val="auto"/>
          <w:szCs w:val="21"/>
          <w:highlight w:val="none"/>
        </w:rPr>
        <w:t>工程质量符合的标准和要求：。</w:t>
      </w:r>
    </w:p>
    <w:p>
      <w:pPr>
        <w:spacing w:line="440" w:lineRule="exact"/>
        <w:ind w:firstLine="359" w:firstLineChars="171"/>
        <w:rPr>
          <w:color w:val="auto"/>
          <w:szCs w:val="21"/>
          <w:highlight w:val="none"/>
        </w:rPr>
      </w:pPr>
      <w:r>
        <w:rPr>
          <w:rFonts w:hint="eastAsia"/>
          <w:color w:val="auto"/>
          <w:szCs w:val="21"/>
          <w:highlight w:val="none"/>
        </w:rPr>
        <w:t>7</w:t>
      </w:r>
      <w:r>
        <w:rPr>
          <w:color w:val="auto"/>
          <w:szCs w:val="21"/>
          <w:highlight w:val="none"/>
        </w:rPr>
        <w:t xml:space="preserve">. </w:t>
      </w:r>
      <w:r>
        <w:rPr>
          <w:rFonts w:hint="eastAsia"/>
          <w:color w:val="auto"/>
          <w:szCs w:val="21"/>
          <w:highlight w:val="none"/>
        </w:rPr>
        <w:t>承包人承诺按合同约定承担工程的设计、实施、竣工及缺陷修复。</w:t>
      </w:r>
    </w:p>
    <w:p>
      <w:pPr>
        <w:spacing w:line="440" w:lineRule="exact"/>
        <w:ind w:firstLine="359" w:firstLineChars="171"/>
        <w:rPr>
          <w:color w:val="auto"/>
          <w:szCs w:val="21"/>
          <w:highlight w:val="none"/>
        </w:rPr>
      </w:pPr>
      <w:r>
        <w:rPr>
          <w:rFonts w:hint="eastAsia"/>
          <w:color w:val="auto"/>
          <w:szCs w:val="21"/>
          <w:highlight w:val="none"/>
        </w:rPr>
        <w:t>8</w:t>
      </w:r>
      <w:r>
        <w:rPr>
          <w:color w:val="auto"/>
          <w:szCs w:val="21"/>
          <w:highlight w:val="none"/>
        </w:rPr>
        <w:t xml:space="preserve">. </w:t>
      </w:r>
      <w:r>
        <w:rPr>
          <w:rFonts w:hint="eastAsia"/>
          <w:color w:val="auto"/>
          <w:szCs w:val="21"/>
          <w:highlight w:val="none"/>
        </w:rPr>
        <w:t>发包人承诺按合同约定的条件、时间和方式向承包人支付合同价款。</w:t>
      </w:r>
    </w:p>
    <w:p>
      <w:pPr>
        <w:spacing w:line="440" w:lineRule="exact"/>
        <w:ind w:firstLine="359" w:firstLineChars="171"/>
        <w:rPr>
          <w:color w:val="auto"/>
          <w:szCs w:val="21"/>
          <w:highlight w:val="none"/>
        </w:rPr>
      </w:pPr>
      <w:r>
        <w:rPr>
          <w:rFonts w:hint="eastAsia"/>
          <w:color w:val="auto"/>
          <w:szCs w:val="21"/>
          <w:highlight w:val="none"/>
        </w:rPr>
        <w:t>9</w:t>
      </w:r>
      <w:r>
        <w:rPr>
          <w:color w:val="auto"/>
          <w:szCs w:val="21"/>
          <w:highlight w:val="none"/>
        </w:rPr>
        <w:t xml:space="preserve">. </w:t>
      </w:r>
      <w:r>
        <w:rPr>
          <w:rFonts w:hint="eastAsia"/>
          <w:color w:val="auto"/>
          <w:szCs w:val="21"/>
          <w:highlight w:val="none"/>
        </w:rPr>
        <w:t>承包人计划开始工作时间：设计开始时间，施工开始时间</w:t>
      </w:r>
      <w:r>
        <w:rPr>
          <w:color w:val="auto"/>
          <w:szCs w:val="21"/>
          <w:highlight w:val="none"/>
        </w:rPr>
        <w:t>__________</w:t>
      </w:r>
      <w:r>
        <w:rPr>
          <w:rFonts w:hint="eastAsia"/>
          <w:color w:val="auto"/>
          <w:szCs w:val="21"/>
          <w:highlight w:val="none"/>
        </w:rPr>
        <w:t>，实际开始工作时间按照监理人开始工作通知中载明的开始工作时间为准。工期为天，其中设计工期天，施工工期天</w:t>
      </w:r>
      <w:r>
        <w:rPr>
          <w:rFonts w:hint="eastAsia" w:ascii="宋体" w:hAnsi="宋体"/>
          <w:color w:val="auto"/>
          <w:szCs w:val="21"/>
          <w:highlight w:val="none"/>
        </w:rPr>
        <w:t>（合同履行期业主承担义务的工作影响占用承包人进度计划时间，如包括但不限于业主选择方案、审图、报建、论证及承包人有证据证明非承包人责任引起工期延误等，工期相应顺延。）</w:t>
      </w:r>
      <w:r>
        <w:rPr>
          <w:rFonts w:hint="eastAsia"/>
          <w:color w:val="auto"/>
          <w:szCs w:val="21"/>
          <w:highlight w:val="none"/>
        </w:rPr>
        <w:t>。</w:t>
      </w:r>
    </w:p>
    <w:p>
      <w:pPr>
        <w:spacing w:line="440" w:lineRule="exact"/>
        <w:ind w:firstLine="359" w:firstLineChars="171"/>
        <w:rPr>
          <w:rFonts w:ascii="宋体" w:hAnsi="宋体"/>
          <w:color w:val="auto"/>
          <w:szCs w:val="21"/>
          <w:highlight w:val="none"/>
        </w:rPr>
      </w:pPr>
      <w:r>
        <w:rPr>
          <w:rFonts w:hint="eastAsia"/>
          <w:color w:val="auto"/>
          <w:szCs w:val="21"/>
          <w:highlight w:val="none"/>
        </w:rPr>
        <w:t>10.</w:t>
      </w:r>
      <w:r>
        <w:rPr>
          <w:rFonts w:hint="eastAsia" w:ascii="宋体" w:hAnsi="宋体"/>
          <w:color w:val="auto"/>
          <w:szCs w:val="21"/>
          <w:highlight w:val="none"/>
        </w:rPr>
        <w:t>本协议书中有关的词语含义与通用条款中赋予的定义与解释相同。</w:t>
      </w:r>
    </w:p>
    <w:p>
      <w:pPr>
        <w:spacing w:line="440" w:lineRule="exact"/>
        <w:ind w:firstLine="359" w:firstLineChars="171"/>
        <w:rPr>
          <w:rFonts w:ascii="宋体" w:hAnsi="宋体"/>
          <w:bCs/>
          <w:color w:val="auto"/>
          <w:szCs w:val="21"/>
          <w:highlight w:val="none"/>
        </w:rPr>
      </w:pPr>
      <w:r>
        <w:rPr>
          <w:rFonts w:hint="eastAsia" w:ascii="宋体" w:hAnsi="宋体"/>
          <w:color w:val="auto"/>
          <w:szCs w:val="21"/>
          <w:highlight w:val="none"/>
        </w:rPr>
        <w:t>11.合同生效</w:t>
      </w:r>
      <w:r>
        <w:rPr>
          <w:rFonts w:hint="eastAsia" w:ascii="宋体" w:hAnsi="宋体"/>
          <w:bCs/>
          <w:color w:val="auto"/>
          <w:szCs w:val="21"/>
          <w:highlight w:val="none"/>
        </w:rPr>
        <w:t>：本合同自之日起生效。</w:t>
      </w:r>
    </w:p>
    <w:p>
      <w:pPr>
        <w:spacing w:line="440" w:lineRule="exact"/>
        <w:ind w:firstLine="359" w:firstLineChars="171"/>
        <w:rPr>
          <w:color w:val="auto"/>
          <w:szCs w:val="21"/>
          <w:highlight w:val="none"/>
        </w:rPr>
      </w:pPr>
      <w:r>
        <w:rPr>
          <w:rFonts w:hint="eastAsia" w:ascii="宋体" w:hAnsi="宋体"/>
          <w:bCs/>
          <w:color w:val="auto"/>
          <w:szCs w:val="21"/>
          <w:highlight w:val="none"/>
        </w:rPr>
        <w:t>12.</w:t>
      </w:r>
      <w:r>
        <w:rPr>
          <w:rFonts w:hint="eastAsia" w:ascii="宋体" w:hAnsi="宋体"/>
          <w:color w:val="auto"/>
          <w:szCs w:val="21"/>
          <w:highlight w:val="none"/>
        </w:rPr>
        <w:t xml:space="preserve"> 合同订立时间：年月日；合同订立地点：。</w:t>
      </w:r>
    </w:p>
    <w:p>
      <w:pPr>
        <w:spacing w:before="120" w:beforeLines="50" w:after="120" w:afterLines="50" w:line="300" w:lineRule="auto"/>
        <w:ind w:firstLine="420" w:firstLineChars="200"/>
        <w:rPr>
          <w:rFonts w:ascii="宋体" w:hAnsi="宋体"/>
          <w:color w:val="auto"/>
          <w:szCs w:val="21"/>
          <w:highlight w:val="none"/>
        </w:rPr>
      </w:pPr>
      <w:bookmarkStart w:id="590" w:name="_Toc144974830"/>
      <w:bookmarkStart w:id="591" w:name="_Toc152042550"/>
      <w:r>
        <w:rPr>
          <w:rFonts w:hint="eastAsia"/>
          <w:color w:val="auto"/>
          <w:szCs w:val="21"/>
          <w:highlight w:val="none"/>
        </w:rPr>
        <w:t>13</w:t>
      </w:r>
      <w:r>
        <w:rPr>
          <w:color w:val="auto"/>
          <w:szCs w:val="21"/>
          <w:highlight w:val="none"/>
        </w:rPr>
        <w:t xml:space="preserve">. </w:t>
      </w:r>
      <w:r>
        <w:rPr>
          <w:rFonts w:hint="eastAsia"/>
          <w:color w:val="auto"/>
          <w:szCs w:val="21"/>
          <w:highlight w:val="none"/>
        </w:rPr>
        <w:t>本协议书一式份，</w:t>
      </w:r>
      <w:r>
        <w:rPr>
          <w:rFonts w:hAnsi="宋体"/>
          <w:bCs/>
          <w:color w:val="auto"/>
          <w:szCs w:val="21"/>
          <w:highlight w:val="none"/>
        </w:rPr>
        <w:t>均具有同等法律效力，</w:t>
      </w:r>
      <w:r>
        <w:rPr>
          <w:rFonts w:hint="eastAsia"/>
          <w:color w:val="auto"/>
          <w:szCs w:val="21"/>
          <w:highlight w:val="none"/>
        </w:rPr>
        <w:t>发包人执份，承包人执份。</w:t>
      </w:r>
    </w:p>
    <w:p>
      <w:pPr>
        <w:spacing w:line="440" w:lineRule="exact"/>
        <w:ind w:firstLine="359" w:firstLineChars="171"/>
        <w:rPr>
          <w:color w:val="auto"/>
          <w:szCs w:val="21"/>
          <w:highlight w:val="none"/>
        </w:rPr>
      </w:pPr>
      <w:r>
        <w:rPr>
          <w:color w:val="auto"/>
          <w:szCs w:val="21"/>
          <w:highlight w:val="none"/>
        </w:rPr>
        <w:t>1</w:t>
      </w:r>
      <w:r>
        <w:rPr>
          <w:rFonts w:hint="eastAsia"/>
          <w:color w:val="auto"/>
          <w:szCs w:val="21"/>
          <w:highlight w:val="none"/>
        </w:rPr>
        <w:t>4</w:t>
      </w:r>
      <w:r>
        <w:rPr>
          <w:color w:val="auto"/>
          <w:szCs w:val="21"/>
          <w:highlight w:val="none"/>
        </w:rPr>
        <w:t xml:space="preserve">. </w:t>
      </w:r>
      <w:r>
        <w:rPr>
          <w:rFonts w:hint="eastAsia"/>
          <w:color w:val="auto"/>
          <w:szCs w:val="21"/>
          <w:highlight w:val="none"/>
        </w:rPr>
        <w:t>合同未尽事宜，双方另行签订补充协议。补充协议是合同的组成部分。</w:t>
      </w:r>
      <w:bookmarkEnd w:id="590"/>
      <w:bookmarkEnd w:id="591"/>
    </w:p>
    <w:p>
      <w:pPr>
        <w:spacing w:line="360" w:lineRule="auto"/>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发包人：</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hAnsi="宋体"/>
          <w:color w:val="auto"/>
          <w:szCs w:val="21"/>
          <w:highlight w:val="none"/>
        </w:rPr>
      </w:pPr>
      <w:r>
        <w:rPr>
          <w:rFonts w:hint="eastAsia" w:ascii="宋体" w:hAnsi="宋体"/>
          <w:color w:val="auto"/>
          <w:szCs w:val="21"/>
          <w:highlight w:val="none"/>
        </w:rPr>
        <w:t>地址：</w:t>
      </w:r>
    </w:p>
    <w:p>
      <w:pPr>
        <w:spacing w:line="360" w:lineRule="auto"/>
        <w:rPr>
          <w:rFonts w:ascii="宋体" w:hAnsi="宋体"/>
          <w:color w:val="auto"/>
          <w:szCs w:val="21"/>
          <w:highlight w:val="none"/>
        </w:rPr>
      </w:pPr>
      <w:r>
        <w:rPr>
          <w:rFonts w:hint="eastAsia" w:ascii="宋体" w:hAnsi="宋体"/>
          <w:color w:val="auto"/>
          <w:szCs w:val="21"/>
          <w:highlight w:val="none"/>
        </w:rPr>
        <w:t>邮政编码：</w:t>
      </w:r>
    </w:p>
    <w:p>
      <w:pPr>
        <w:spacing w:line="360" w:lineRule="auto"/>
        <w:rPr>
          <w:rFonts w:ascii="宋体" w:hAnsi="宋体"/>
          <w:color w:val="auto"/>
          <w:szCs w:val="21"/>
          <w:highlight w:val="none"/>
        </w:rPr>
      </w:pPr>
      <w:r>
        <w:rPr>
          <w:rFonts w:hint="eastAsia" w:ascii="宋体" w:hAnsi="宋体"/>
          <w:color w:val="auto"/>
          <w:szCs w:val="21"/>
          <w:highlight w:val="none"/>
        </w:rPr>
        <w:t>电话：</w:t>
      </w:r>
    </w:p>
    <w:p>
      <w:pPr>
        <w:spacing w:line="360" w:lineRule="auto"/>
        <w:rPr>
          <w:rFonts w:ascii="宋体" w:hAnsi="宋体"/>
          <w:color w:val="auto"/>
          <w:szCs w:val="21"/>
          <w:highlight w:val="none"/>
        </w:rPr>
      </w:pPr>
      <w:r>
        <w:rPr>
          <w:rFonts w:hint="eastAsia" w:ascii="宋体" w:hAnsi="宋体"/>
          <w:color w:val="auto"/>
          <w:szCs w:val="21"/>
          <w:highlight w:val="none"/>
        </w:rPr>
        <w:t>传真：</w:t>
      </w:r>
    </w:p>
    <w:p>
      <w:pPr>
        <w:spacing w:line="360" w:lineRule="auto"/>
        <w:rPr>
          <w:rFonts w:ascii="宋体"/>
          <w:color w:val="auto"/>
          <w:szCs w:val="21"/>
          <w:highlight w:val="none"/>
        </w:rPr>
      </w:pPr>
      <w:r>
        <w:rPr>
          <w:rFonts w:hint="eastAsia" w:ascii="宋体" w:hAnsi="宋体"/>
          <w:color w:val="auto"/>
          <w:szCs w:val="21"/>
          <w:highlight w:val="none"/>
        </w:rPr>
        <w:t>日期：</w:t>
      </w:r>
    </w:p>
    <w:p>
      <w:pPr>
        <w:spacing w:line="360" w:lineRule="auto"/>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承包人：（联合体牵头人）</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hAnsi="宋体"/>
          <w:color w:val="auto"/>
          <w:szCs w:val="21"/>
          <w:highlight w:val="none"/>
        </w:rPr>
      </w:pPr>
      <w:r>
        <w:rPr>
          <w:rFonts w:hint="eastAsia" w:ascii="宋体" w:hAnsi="宋体"/>
          <w:color w:val="auto"/>
          <w:szCs w:val="21"/>
          <w:highlight w:val="none"/>
        </w:rPr>
        <w:t>地址：</w:t>
      </w:r>
    </w:p>
    <w:p>
      <w:pPr>
        <w:spacing w:line="360" w:lineRule="auto"/>
        <w:rPr>
          <w:rFonts w:ascii="宋体" w:hAnsi="宋体"/>
          <w:color w:val="auto"/>
          <w:szCs w:val="21"/>
          <w:highlight w:val="none"/>
        </w:rPr>
      </w:pPr>
      <w:r>
        <w:rPr>
          <w:rFonts w:hint="eastAsia" w:ascii="宋体" w:hAnsi="宋体"/>
          <w:color w:val="auto"/>
          <w:szCs w:val="21"/>
          <w:highlight w:val="none"/>
        </w:rPr>
        <w:t>邮政编码：</w:t>
      </w:r>
    </w:p>
    <w:p>
      <w:pPr>
        <w:spacing w:line="360" w:lineRule="auto"/>
        <w:rPr>
          <w:rFonts w:ascii="宋体" w:hAnsi="宋体"/>
          <w:color w:val="auto"/>
          <w:szCs w:val="21"/>
          <w:highlight w:val="none"/>
        </w:rPr>
      </w:pPr>
      <w:r>
        <w:rPr>
          <w:rFonts w:hint="eastAsia" w:ascii="宋体" w:hAnsi="宋体"/>
          <w:color w:val="auto"/>
          <w:szCs w:val="21"/>
          <w:highlight w:val="none"/>
        </w:rPr>
        <w:t>电话：</w:t>
      </w:r>
    </w:p>
    <w:p>
      <w:pPr>
        <w:spacing w:line="360" w:lineRule="auto"/>
        <w:rPr>
          <w:rFonts w:ascii="宋体"/>
          <w:color w:val="auto"/>
          <w:szCs w:val="21"/>
          <w:highlight w:val="none"/>
        </w:rPr>
      </w:pPr>
      <w:r>
        <w:rPr>
          <w:rFonts w:hint="eastAsia" w:ascii="宋体" w:hAnsi="宋体"/>
          <w:color w:val="auto"/>
          <w:szCs w:val="21"/>
          <w:highlight w:val="none"/>
        </w:rPr>
        <w:t>传真：</w:t>
      </w:r>
    </w:p>
    <w:p>
      <w:pPr>
        <w:spacing w:line="360" w:lineRule="auto"/>
        <w:rPr>
          <w:rFonts w:ascii="宋体"/>
          <w:color w:val="auto"/>
          <w:szCs w:val="21"/>
          <w:highlight w:val="none"/>
        </w:rPr>
      </w:pPr>
      <w:r>
        <w:rPr>
          <w:rFonts w:hint="eastAsia" w:ascii="宋体" w:hAnsi="宋体"/>
          <w:color w:val="auto"/>
          <w:szCs w:val="21"/>
          <w:highlight w:val="none"/>
        </w:rPr>
        <w:t>日期：</w:t>
      </w:r>
    </w:p>
    <w:p>
      <w:pPr>
        <w:spacing w:line="360" w:lineRule="auto"/>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承包人：（联合体成员）</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hAnsi="宋体"/>
          <w:color w:val="auto"/>
          <w:szCs w:val="21"/>
          <w:highlight w:val="none"/>
        </w:rPr>
      </w:pPr>
      <w:r>
        <w:rPr>
          <w:rFonts w:hint="eastAsia" w:ascii="宋体" w:hAnsi="宋体"/>
          <w:color w:val="auto"/>
          <w:szCs w:val="21"/>
          <w:highlight w:val="none"/>
        </w:rPr>
        <w:t>地址：</w:t>
      </w:r>
    </w:p>
    <w:p>
      <w:pPr>
        <w:spacing w:line="360" w:lineRule="auto"/>
        <w:rPr>
          <w:rFonts w:ascii="宋体" w:hAnsi="宋体"/>
          <w:color w:val="auto"/>
          <w:szCs w:val="21"/>
          <w:highlight w:val="none"/>
        </w:rPr>
      </w:pPr>
      <w:r>
        <w:rPr>
          <w:rFonts w:hint="eastAsia" w:ascii="宋体" w:hAnsi="宋体"/>
          <w:color w:val="auto"/>
          <w:szCs w:val="21"/>
          <w:highlight w:val="none"/>
        </w:rPr>
        <w:t>邮政编码：</w:t>
      </w:r>
    </w:p>
    <w:p>
      <w:pPr>
        <w:spacing w:line="360" w:lineRule="auto"/>
        <w:rPr>
          <w:rFonts w:ascii="宋体" w:hAnsi="宋体"/>
          <w:color w:val="auto"/>
          <w:szCs w:val="21"/>
          <w:highlight w:val="none"/>
        </w:rPr>
      </w:pPr>
      <w:r>
        <w:rPr>
          <w:rFonts w:hint="eastAsia" w:ascii="宋体" w:hAnsi="宋体"/>
          <w:color w:val="auto"/>
          <w:szCs w:val="21"/>
          <w:highlight w:val="none"/>
        </w:rPr>
        <w:t>电话：</w:t>
      </w:r>
    </w:p>
    <w:p>
      <w:pPr>
        <w:spacing w:line="360" w:lineRule="auto"/>
        <w:rPr>
          <w:rFonts w:ascii="宋体"/>
          <w:color w:val="auto"/>
          <w:szCs w:val="21"/>
          <w:highlight w:val="none"/>
        </w:rPr>
      </w:pPr>
      <w:r>
        <w:rPr>
          <w:rFonts w:hint="eastAsia" w:ascii="宋体" w:hAnsi="宋体"/>
          <w:color w:val="auto"/>
          <w:szCs w:val="21"/>
          <w:highlight w:val="none"/>
        </w:rPr>
        <w:t>传真：</w:t>
      </w:r>
    </w:p>
    <w:p>
      <w:pPr>
        <w:widowControl/>
        <w:rPr>
          <w:color w:val="auto"/>
          <w:szCs w:val="21"/>
          <w:highlight w:val="none"/>
        </w:rPr>
      </w:pPr>
      <w:r>
        <w:rPr>
          <w:rFonts w:hint="eastAsia" w:ascii="宋体" w:hAnsi="宋体"/>
          <w:color w:val="auto"/>
          <w:szCs w:val="21"/>
          <w:highlight w:val="none"/>
        </w:rPr>
        <w:t>日期：</w:t>
      </w: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widowControl/>
        <w:rPr>
          <w:color w:val="auto"/>
          <w:szCs w:val="21"/>
          <w:highlight w:val="none"/>
        </w:rPr>
        <w:sectPr>
          <w:footerReference r:id="rId7" w:type="default"/>
          <w:pgSz w:w="11906" w:h="16838"/>
          <w:pgMar w:top="1418" w:right="1134" w:bottom="1418" w:left="1134" w:header="851" w:footer="851" w:gutter="0"/>
          <w:cols w:space="720" w:num="1"/>
          <w:docGrid w:linePitch="312" w:charSpace="0"/>
        </w:sectPr>
      </w:pPr>
    </w:p>
    <w:p>
      <w:pPr>
        <w:widowControl/>
        <w:rPr>
          <w:color w:val="auto"/>
          <w:szCs w:val="21"/>
          <w:highlight w:val="none"/>
        </w:rPr>
      </w:pPr>
    </w:p>
    <w:p>
      <w:pPr>
        <w:pStyle w:val="3"/>
        <w:jc w:val="center"/>
        <w:rPr>
          <w:color w:val="auto"/>
          <w:highlight w:val="none"/>
        </w:rPr>
      </w:pPr>
      <w:bookmarkStart w:id="592" w:name="_Toc419364334"/>
      <w:bookmarkStart w:id="593" w:name="_Toc419321243"/>
      <w:bookmarkStart w:id="594" w:name="_Toc433988696"/>
      <w:bookmarkStart w:id="595" w:name="_Toc419320207"/>
      <w:bookmarkStart w:id="596" w:name="_Toc491277246"/>
      <w:bookmarkStart w:id="597" w:name="_Toc419363663"/>
      <w:r>
        <w:rPr>
          <w:rFonts w:hint="eastAsia"/>
          <w:color w:val="auto"/>
          <w:highlight w:val="none"/>
        </w:rPr>
        <w:t>第二部分 通用合同条款</w:t>
      </w:r>
      <w:bookmarkEnd w:id="592"/>
      <w:bookmarkEnd w:id="593"/>
      <w:bookmarkEnd w:id="594"/>
      <w:bookmarkEnd w:id="595"/>
      <w:bookmarkEnd w:id="596"/>
      <w:bookmarkEnd w:id="597"/>
    </w:p>
    <w:p>
      <w:pPr>
        <w:pStyle w:val="2"/>
        <w:rPr>
          <w:rFonts w:ascii="宋体" w:hAnsi="宋体" w:eastAsia="宋体"/>
          <w:color w:val="auto"/>
          <w:sz w:val="28"/>
          <w:szCs w:val="28"/>
          <w:highlight w:val="none"/>
        </w:rPr>
      </w:pPr>
      <w:bookmarkStart w:id="598" w:name="_Toc419363664"/>
      <w:bookmarkStart w:id="599" w:name="_Toc491277247"/>
      <w:bookmarkStart w:id="600" w:name="_Toc419364335"/>
      <w:bookmarkStart w:id="601" w:name="_Toc419321244"/>
      <w:bookmarkStart w:id="602" w:name="_Toc419320208"/>
      <w:bookmarkStart w:id="603" w:name="_Toc433988697"/>
      <w:r>
        <w:rPr>
          <w:rFonts w:hint="eastAsia" w:ascii="宋体" w:hAnsi="宋体" w:eastAsia="宋体"/>
          <w:color w:val="auto"/>
          <w:sz w:val="28"/>
          <w:szCs w:val="28"/>
          <w:highlight w:val="none"/>
        </w:rPr>
        <w:t>第</w:t>
      </w:r>
      <w:r>
        <w:rPr>
          <w:rFonts w:ascii="宋体" w:hAnsi="宋体" w:eastAsia="宋体"/>
          <w:color w:val="auto"/>
          <w:sz w:val="28"/>
          <w:szCs w:val="28"/>
          <w:highlight w:val="none"/>
        </w:rPr>
        <w:t>1</w:t>
      </w:r>
      <w:r>
        <w:rPr>
          <w:rFonts w:hint="eastAsia" w:ascii="宋体" w:hAnsi="宋体" w:eastAsia="宋体"/>
          <w:color w:val="auto"/>
          <w:sz w:val="28"/>
          <w:szCs w:val="28"/>
          <w:highlight w:val="none"/>
        </w:rPr>
        <w:t>条一般规定</w:t>
      </w:r>
      <w:bookmarkEnd w:id="598"/>
      <w:bookmarkEnd w:id="599"/>
      <w:bookmarkEnd w:id="600"/>
      <w:bookmarkEnd w:id="601"/>
      <w:bookmarkEnd w:id="602"/>
      <w:bookmarkEnd w:id="603"/>
    </w:p>
    <w:p>
      <w:pPr>
        <w:pStyle w:val="4"/>
        <w:rPr>
          <w:rFonts w:ascii="宋体" w:hAnsi="宋体"/>
          <w:color w:val="auto"/>
          <w:kern w:val="0"/>
          <w:sz w:val="21"/>
          <w:highlight w:val="none"/>
        </w:rPr>
      </w:pPr>
      <w:bookmarkStart w:id="604" w:name="_Toc419321245"/>
      <w:bookmarkStart w:id="605" w:name="_Toc419364336"/>
      <w:bookmarkStart w:id="606" w:name="_Toc433988698"/>
      <w:bookmarkStart w:id="607" w:name="_Toc419363665"/>
      <w:bookmarkStart w:id="608" w:name="_Toc419320209"/>
      <w:bookmarkStart w:id="609" w:name="_Toc491277248"/>
      <w:r>
        <w:rPr>
          <w:rFonts w:ascii="宋体" w:hAnsi="宋体"/>
          <w:color w:val="auto"/>
          <w:kern w:val="0"/>
          <w:sz w:val="21"/>
          <w:highlight w:val="none"/>
        </w:rPr>
        <w:t>1.1</w:t>
      </w:r>
      <w:r>
        <w:rPr>
          <w:rFonts w:hint="eastAsia" w:ascii="宋体" w:hAnsi="宋体"/>
          <w:color w:val="auto"/>
          <w:kern w:val="0"/>
          <w:sz w:val="21"/>
          <w:highlight w:val="none"/>
        </w:rPr>
        <w:t xml:space="preserve">  定义与解释</w:t>
      </w:r>
      <w:bookmarkEnd w:id="604"/>
      <w:bookmarkEnd w:id="605"/>
      <w:bookmarkEnd w:id="606"/>
      <w:bookmarkEnd w:id="607"/>
      <w:bookmarkEnd w:id="608"/>
      <w:bookmarkEnd w:id="609"/>
    </w:p>
    <w:p>
      <w:pPr>
        <w:spacing w:line="300" w:lineRule="auto"/>
        <w:ind w:firstLine="420" w:firstLineChars="200"/>
        <w:rPr>
          <w:color w:val="auto"/>
          <w:highlight w:val="none"/>
        </w:rPr>
      </w:pPr>
      <w:r>
        <w:rPr>
          <w:color w:val="auto"/>
          <w:highlight w:val="none"/>
        </w:rPr>
        <w:t>1.1.1</w:t>
      </w:r>
      <w:r>
        <w:rPr>
          <w:rFonts w:hint="eastAsia"/>
          <w:color w:val="auto"/>
          <w:highlight w:val="none"/>
        </w:rPr>
        <w:t>合同，指由第</w:t>
      </w:r>
      <w:r>
        <w:rPr>
          <w:color w:val="auto"/>
          <w:highlight w:val="none"/>
        </w:rPr>
        <w:t>1.2.1</w:t>
      </w:r>
      <w:r>
        <w:rPr>
          <w:rFonts w:hint="eastAsia"/>
          <w:color w:val="auto"/>
          <w:highlight w:val="none"/>
        </w:rPr>
        <w:t>项所述的各项文件所构成的整体。</w:t>
      </w:r>
    </w:p>
    <w:p>
      <w:pPr>
        <w:spacing w:line="300" w:lineRule="auto"/>
        <w:ind w:firstLine="420" w:firstLineChars="200"/>
        <w:rPr>
          <w:color w:val="auto"/>
          <w:highlight w:val="none"/>
        </w:rPr>
      </w:pPr>
      <w:r>
        <w:rPr>
          <w:color w:val="auto"/>
          <w:highlight w:val="none"/>
        </w:rPr>
        <w:t>1.1.2</w:t>
      </w:r>
      <w:r>
        <w:rPr>
          <w:rFonts w:hint="eastAsia"/>
          <w:color w:val="auto"/>
          <w:highlight w:val="none"/>
        </w:rPr>
        <w:t>通用条款，指合同当事人在履行工程总承包合同过程中所遵守的一般性条款，由本文件第</w:t>
      </w:r>
      <w:r>
        <w:rPr>
          <w:color w:val="auto"/>
          <w:highlight w:val="none"/>
        </w:rPr>
        <w:t>1</w:t>
      </w:r>
      <w:r>
        <w:rPr>
          <w:rFonts w:hint="eastAsia"/>
          <w:color w:val="auto"/>
          <w:highlight w:val="none"/>
        </w:rPr>
        <w:t>条至第</w:t>
      </w:r>
      <w:r>
        <w:rPr>
          <w:color w:val="auto"/>
          <w:highlight w:val="none"/>
        </w:rPr>
        <w:t>20</w:t>
      </w:r>
      <w:r>
        <w:rPr>
          <w:rFonts w:hint="eastAsia"/>
          <w:color w:val="auto"/>
          <w:highlight w:val="none"/>
        </w:rPr>
        <w:t>条组成。</w:t>
      </w:r>
    </w:p>
    <w:p>
      <w:pPr>
        <w:spacing w:line="300" w:lineRule="auto"/>
        <w:ind w:firstLine="420" w:firstLineChars="200"/>
        <w:rPr>
          <w:color w:val="auto"/>
          <w:highlight w:val="none"/>
        </w:rPr>
      </w:pPr>
      <w:r>
        <w:rPr>
          <w:color w:val="auto"/>
          <w:highlight w:val="none"/>
        </w:rPr>
        <w:t>1.1.3</w:t>
      </w:r>
      <w:r>
        <w:rPr>
          <w:rFonts w:hint="eastAsia"/>
          <w:color w:val="auto"/>
          <w:highlight w:val="none"/>
        </w:rPr>
        <w:t>专用条款，指合同当事人根据工程总承包项目的具体情况，对通用条款进行细化、完善、补充、修改或另行约定，并同意共同遵守的条款。</w:t>
      </w:r>
    </w:p>
    <w:p>
      <w:pPr>
        <w:spacing w:line="300" w:lineRule="auto"/>
        <w:ind w:firstLine="420" w:firstLineChars="200"/>
        <w:rPr>
          <w:color w:val="auto"/>
          <w:highlight w:val="none"/>
        </w:rPr>
      </w:pPr>
      <w:r>
        <w:rPr>
          <w:color w:val="auto"/>
          <w:highlight w:val="none"/>
        </w:rPr>
        <w:t>1.1.4</w:t>
      </w:r>
      <w:r>
        <w:rPr>
          <w:rFonts w:hint="eastAsia"/>
          <w:color w:val="auto"/>
          <w:highlight w:val="none"/>
        </w:rPr>
        <w:t>工程总承包，指承包人受发包人委托，按照合同约定对工程建设项目的设计、采购、施工（含竣工试验）、试运行等阶段实行全过程或若干阶段的工程承包。</w:t>
      </w:r>
    </w:p>
    <w:p>
      <w:pPr>
        <w:spacing w:line="300" w:lineRule="auto"/>
        <w:ind w:firstLine="420" w:firstLineChars="200"/>
        <w:rPr>
          <w:color w:val="auto"/>
          <w:highlight w:val="none"/>
        </w:rPr>
      </w:pPr>
      <w:r>
        <w:rPr>
          <w:color w:val="auto"/>
          <w:highlight w:val="none"/>
        </w:rPr>
        <w:t>1.1.5</w:t>
      </w:r>
      <w:r>
        <w:rPr>
          <w:rFonts w:hint="eastAsia"/>
          <w:color w:val="auto"/>
          <w:highlight w:val="none"/>
        </w:rPr>
        <w:t>发包人，指在合同协议书中约定的，具有项目发包主体资格和支付工程价款能力的当事人或取得该当事人资格的合法继承人。</w:t>
      </w:r>
    </w:p>
    <w:p>
      <w:pPr>
        <w:spacing w:line="300" w:lineRule="auto"/>
        <w:ind w:firstLine="420" w:firstLineChars="200"/>
        <w:rPr>
          <w:color w:val="auto"/>
          <w:highlight w:val="none"/>
        </w:rPr>
      </w:pPr>
      <w:r>
        <w:rPr>
          <w:color w:val="auto"/>
          <w:highlight w:val="none"/>
        </w:rPr>
        <w:t>1.1.6</w:t>
      </w:r>
      <w:r>
        <w:rPr>
          <w:rFonts w:hint="eastAsia"/>
          <w:color w:val="auto"/>
          <w:highlight w:val="none"/>
        </w:rPr>
        <w:t>承包人，指在合同协议书中约定的，被发包人接受的具有工程总承包主体资格的当事人，包括其合法继承人。</w:t>
      </w:r>
    </w:p>
    <w:p>
      <w:pPr>
        <w:spacing w:line="300" w:lineRule="auto"/>
        <w:ind w:firstLine="420" w:firstLineChars="200"/>
        <w:rPr>
          <w:color w:val="auto"/>
          <w:highlight w:val="none"/>
        </w:rPr>
      </w:pPr>
      <w:r>
        <w:rPr>
          <w:color w:val="auto"/>
          <w:highlight w:val="none"/>
        </w:rPr>
        <w:t>1.1.7</w:t>
      </w:r>
      <w:r>
        <w:rPr>
          <w:rFonts w:hint="eastAsia"/>
          <w:color w:val="auto"/>
          <w:highlight w:val="none"/>
        </w:rPr>
        <w:t>联合体，指经发包人同意由两个或两个以上法人或者其它组织组成的，作为工程承包人的临时机构，联合体各方向发包人承担连带责任。联合体各方应指定其中一方作为牵头人。</w:t>
      </w:r>
    </w:p>
    <w:p>
      <w:pPr>
        <w:spacing w:line="300" w:lineRule="auto"/>
        <w:ind w:firstLine="420" w:firstLineChars="200"/>
        <w:rPr>
          <w:color w:val="auto"/>
          <w:highlight w:val="none"/>
        </w:rPr>
      </w:pPr>
      <w:r>
        <w:rPr>
          <w:color w:val="auto"/>
          <w:highlight w:val="none"/>
        </w:rPr>
        <w:t>1.1.8</w:t>
      </w:r>
      <w:r>
        <w:rPr>
          <w:rFonts w:hint="eastAsia"/>
          <w:color w:val="auto"/>
          <w:highlight w:val="none"/>
        </w:rPr>
        <w:t>分包人，指接受承包人根据合同约定对外分包的部分工程或服务的，具有相应资格的法人或其它组织。</w:t>
      </w:r>
    </w:p>
    <w:p>
      <w:pPr>
        <w:spacing w:line="300" w:lineRule="auto"/>
        <w:ind w:firstLine="420" w:firstLineChars="200"/>
        <w:rPr>
          <w:color w:val="auto"/>
          <w:highlight w:val="none"/>
        </w:rPr>
      </w:pPr>
      <w:r>
        <w:rPr>
          <w:color w:val="auto"/>
          <w:highlight w:val="none"/>
        </w:rPr>
        <w:t>1.1.9</w:t>
      </w:r>
      <w:r>
        <w:rPr>
          <w:rFonts w:hint="eastAsia"/>
          <w:color w:val="auto"/>
          <w:highlight w:val="none"/>
        </w:rPr>
        <w:t>发包人代表，指发包人指定的履行本合同的代表。</w:t>
      </w:r>
    </w:p>
    <w:p>
      <w:pPr>
        <w:spacing w:line="300" w:lineRule="auto"/>
        <w:ind w:firstLine="420" w:firstLineChars="200"/>
        <w:rPr>
          <w:color w:val="auto"/>
          <w:highlight w:val="none"/>
        </w:rPr>
      </w:pPr>
      <w:r>
        <w:rPr>
          <w:color w:val="auto"/>
          <w:highlight w:val="none"/>
        </w:rPr>
        <w:t>1.1.10</w:t>
      </w:r>
      <w:r>
        <w:rPr>
          <w:rFonts w:hint="eastAsia"/>
          <w:color w:val="auto"/>
          <w:highlight w:val="none"/>
        </w:rPr>
        <w:t>监理人，指发包人委托的具有相应资质的工程监理单位。</w:t>
      </w:r>
    </w:p>
    <w:p>
      <w:pPr>
        <w:spacing w:line="300" w:lineRule="auto"/>
        <w:ind w:firstLine="420" w:firstLineChars="200"/>
        <w:rPr>
          <w:color w:val="auto"/>
          <w:highlight w:val="none"/>
        </w:rPr>
      </w:pPr>
      <w:r>
        <w:rPr>
          <w:color w:val="auto"/>
          <w:highlight w:val="none"/>
        </w:rPr>
        <w:t>1.1.11</w:t>
      </w:r>
      <w:r>
        <w:rPr>
          <w:rFonts w:hint="eastAsia"/>
          <w:color w:val="auto"/>
          <w:highlight w:val="none"/>
        </w:rPr>
        <w:t>工程总监，指由监理人授权、负责履行监理合同的总监理工程师。</w:t>
      </w:r>
    </w:p>
    <w:p>
      <w:pPr>
        <w:spacing w:line="300" w:lineRule="auto"/>
        <w:ind w:firstLine="420" w:firstLineChars="200"/>
        <w:rPr>
          <w:color w:val="auto"/>
          <w:highlight w:val="none"/>
        </w:rPr>
      </w:pPr>
      <w:r>
        <w:rPr>
          <w:color w:val="auto"/>
          <w:highlight w:val="none"/>
        </w:rPr>
        <w:t>1.1.12</w:t>
      </w:r>
      <w:r>
        <w:rPr>
          <w:rFonts w:hint="eastAsia"/>
          <w:color w:val="auto"/>
          <w:highlight w:val="none"/>
        </w:rPr>
        <w:t>项目总负责人，指承包人按照合同约定任命的负责履行合同的代表。</w:t>
      </w:r>
    </w:p>
    <w:p>
      <w:pPr>
        <w:spacing w:line="300" w:lineRule="auto"/>
        <w:ind w:firstLine="420" w:firstLineChars="200"/>
        <w:rPr>
          <w:color w:val="auto"/>
          <w:highlight w:val="none"/>
        </w:rPr>
      </w:pPr>
      <w:r>
        <w:rPr>
          <w:color w:val="auto"/>
          <w:highlight w:val="none"/>
        </w:rPr>
        <w:t>1.1.13</w:t>
      </w:r>
      <w:r>
        <w:rPr>
          <w:rFonts w:hint="eastAsia"/>
          <w:color w:val="auto"/>
          <w:highlight w:val="none"/>
        </w:rPr>
        <w:t>项目设计负责人，指承包人指定负责组织指导协调设计工作并具有相应资格的人员。</w:t>
      </w:r>
    </w:p>
    <w:p>
      <w:pPr>
        <w:spacing w:line="300" w:lineRule="auto"/>
        <w:ind w:firstLine="420" w:firstLineChars="200"/>
        <w:rPr>
          <w:color w:val="auto"/>
          <w:highlight w:val="none"/>
        </w:rPr>
      </w:pPr>
      <w:r>
        <w:rPr>
          <w:color w:val="auto"/>
          <w:highlight w:val="none"/>
        </w:rPr>
        <w:t>1.1.14</w:t>
      </w:r>
      <w:r>
        <w:rPr>
          <w:rFonts w:hint="eastAsia"/>
          <w:color w:val="auto"/>
          <w:highlight w:val="none"/>
        </w:rPr>
        <w:t>项目经理，指承包人指定负责组织指导协调施工工作并具有相应资格的人员。</w:t>
      </w:r>
    </w:p>
    <w:p>
      <w:pPr>
        <w:spacing w:line="300" w:lineRule="auto"/>
        <w:ind w:firstLine="420" w:firstLineChars="200"/>
        <w:rPr>
          <w:color w:val="auto"/>
          <w:highlight w:val="none"/>
        </w:rPr>
      </w:pPr>
      <w:r>
        <w:rPr>
          <w:rFonts w:hint="eastAsia"/>
          <w:color w:val="auto"/>
          <w:highlight w:val="none"/>
        </w:rPr>
        <w:t>1.1.15项目采购负责人，指承包人指定负责组织协调采购工作的人员。</w:t>
      </w:r>
    </w:p>
    <w:p>
      <w:pPr>
        <w:spacing w:line="300" w:lineRule="auto"/>
        <w:ind w:firstLine="420" w:firstLineChars="200"/>
        <w:rPr>
          <w:color w:val="auto"/>
          <w:highlight w:val="none"/>
        </w:rPr>
      </w:pPr>
      <w:r>
        <w:rPr>
          <w:rFonts w:hint="eastAsia"/>
          <w:color w:val="auto"/>
          <w:highlight w:val="none"/>
        </w:rPr>
        <w:t>1.1.16项目施工专职安全员，指承包人指定负责项目施工过程安全管理并具有相应资格的人员。</w:t>
      </w:r>
    </w:p>
    <w:p>
      <w:pPr>
        <w:spacing w:line="300" w:lineRule="auto"/>
        <w:ind w:firstLine="420" w:firstLineChars="200"/>
        <w:rPr>
          <w:color w:val="auto"/>
          <w:highlight w:val="none"/>
        </w:rPr>
      </w:pPr>
      <w:r>
        <w:rPr>
          <w:color w:val="auto"/>
          <w:highlight w:val="none"/>
        </w:rPr>
        <w:t>1.1.</w:t>
      </w:r>
      <w:r>
        <w:rPr>
          <w:rFonts w:hint="eastAsia"/>
          <w:color w:val="auto"/>
          <w:highlight w:val="none"/>
        </w:rPr>
        <w:t>17工程，指永久性工程和（或）临时性工程。</w:t>
      </w:r>
    </w:p>
    <w:p>
      <w:pPr>
        <w:spacing w:line="300" w:lineRule="auto"/>
        <w:ind w:firstLine="420" w:firstLineChars="200"/>
        <w:rPr>
          <w:color w:val="auto"/>
          <w:highlight w:val="none"/>
        </w:rPr>
      </w:pPr>
      <w:r>
        <w:rPr>
          <w:color w:val="auto"/>
          <w:highlight w:val="none"/>
        </w:rPr>
        <w:t>1.1.1</w:t>
      </w:r>
      <w:r>
        <w:rPr>
          <w:rFonts w:hint="eastAsia"/>
          <w:color w:val="auto"/>
          <w:highlight w:val="none"/>
        </w:rPr>
        <w:t>8永久性工程，指承包人根据合同约定，进行设计、采购、施工、竣工试验、竣工后试验和试运行考核并交付发包人进行生产操作或使用的工程。</w:t>
      </w:r>
    </w:p>
    <w:p>
      <w:pPr>
        <w:spacing w:line="300" w:lineRule="auto"/>
        <w:ind w:firstLine="420" w:firstLineChars="200"/>
        <w:rPr>
          <w:color w:val="auto"/>
          <w:highlight w:val="none"/>
        </w:rPr>
      </w:pPr>
      <w:r>
        <w:rPr>
          <w:color w:val="auto"/>
          <w:highlight w:val="none"/>
        </w:rPr>
        <w:t>1.1.1</w:t>
      </w:r>
      <w:r>
        <w:rPr>
          <w:rFonts w:hint="eastAsia"/>
          <w:color w:val="auto"/>
          <w:highlight w:val="none"/>
        </w:rPr>
        <w:t>9单项工程，指专用条件中列明的具有某项独立功能的工程单元，是永久性工程的组成部分。</w:t>
      </w:r>
    </w:p>
    <w:p>
      <w:pPr>
        <w:spacing w:line="300" w:lineRule="auto"/>
        <w:ind w:firstLine="420" w:firstLineChars="200"/>
        <w:rPr>
          <w:color w:val="auto"/>
          <w:highlight w:val="none"/>
        </w:rPr>
      </w:pPr>
      <w:r>
        <w:rPr>
          <w:color w:val="auto"/>
          <w:highlight w:val="none"/>
        </w:rPr>
        <w:t>1.1.</w:t>
      </w:r>
      <w:r>
        <w:rPr>
          <w:rFonts w:hint="eastAsia"/>
          <w:color w:val="auto"/>
          <w:highlight w:val="none"/>
        </w:rPr>
        <w:t>20临时性工程，指为实施、完成永久性工程及修补任何质量缺陷，在现场所需搭建的临时建筑物、构筑物，以及不构成永久性工程实体的其它临时设施。</w:t>
      </w:r>
    </w:p>
    <w:p>
      <w:pPr>
        <w:spacing w:line="300" w:lineRule="auto"/>
        <w:ind w:firstLine="420" w:firstLineChars="200"/>
        <w:rPr>
          <w:color w:val="auto"/>
          <w:highlight w:val="none"/>
        </w:rPr>
      </w:pPr>
      <w:r>
        <w:rPr>
          <w:color w:val="auto"/>
          <w:highlight w:val="none"/>
        </w:rPr>
        <w:t>1.1.</w:t>
      </w:r>
      <w:r>
        <w:rPr>
          <w:rFonts w:hint="eastAsia"/>
          <w:color w:val="auto"/>
          <w:highlight w:val="none"/>
        </w:rPr>
        <w:t>21现场或场地，指合同约定的由发包人提供的用于承包人现场办公，工程物资、机具设施存放和工程实施的任何地点。</w:t>
      </w:r>
    </w:p>
    <w:p>
      <w:pPr>
        <w:spacing w:line="300" w:lineRule="auto"/>
        <w:ind w:firstLine="420" w:firstLineChars="200"/>
        <w:rPr>
          <w:color w:val="auto"/>
          <w:highlight w:val="none"/>
        </w:rPr>
      </w:pPr>
      <w:r>
        <w:rPr>
          <w:color w:val="auto"/>
          <w:highlight w:val="none"/>
        </w:rPr>
        <w:t>1.1.2</w:t>
      </w:r>
      <w:r>
        <w:rPr>
          <w:rFonts w:hint="eastAsia"/>
          <w:color w:val="auto"/>
          <w:highlight w:val="none"/>
        </w:rPr>
        <w:t>2项目基础资料，指发包人提供给承包人的经有关部门对项目批准或核准的文件、报告（如选厂报告、资源报告等）、资料（如气象、水文、地质等）、协议（如原料、燃料、水、电、气、运输等）和有关数据等，以及设计所需的其它基础资料。</w:t>
      </w:r>
    </w:p>
    <w:p>
      <w:pPr>
        <w:spacing w:line="300" w:lineRule="auto"/>
        <w:ind w:firstLine="420" w:firstLineChars="200"/>
        <w:rPr>
          <w:color w:val="auto"/>
          <w:highlight w:val="none"/>
        </w:rPr>
      </w:pPr>
      <w:r>
        <w:rPr>
          <w:color w:val="auto"/>
          <w:highlight w:val="none"/>
        </w:rPr>
        <w:t>1.1.2</w:t>
      </w:r>
      <w:r>
        <w:rPr>
          <w:rFonts w:hint="eastAsia"/>
          <w:color w:val="auto"/>
          <w:highlight w:val="none"/>
        </w:rPr>
        <w:t>3现场障碍资料，指发包人需向承包人提供的进行工程设计、现场施工所需的地上和地下已有的建筑物、构筑物、线缆、管道、受保护的古建筑、古树木等坐标方位、数据和其它相关资料。</w:t>
      </w:r>
    </w:p>
    <w:p>
      <w:pPr>
        <w:spacing w:line="300" w:lineRule="auto"/>
        <w:ind w:firstLine="420" w:firstLineChars="200"/>
        <w:rPr>
          <w:color w:val="auto"/>
          <w:highlight w:val="none"/>
        </w:rPr>
      </w:pPr>
      <w:r>
        <w:rPr>
          <w:color w:val="auto"/>
          <w:highlight w:val="none"/>
        </w:rPr>
        <w:t>1.1.2</w:t>
      </w:r>
      <w:r>
        <w:rPr>
          <w:rFonts w:hint="eastAsia"/>
          <w:color w:val="auto"/>
          <w:highlight w:val="none"/>
        </w:rPr>
        <w:t>4设计阶段，指规划设计、总体设计、初步设计、技术设计和施工图设计等阶段。设计阶段的组成，视项目情况而定。</w:t>
      </w:r>
    </w:p>
    <w:p>
      <w:pPr>
        <w:spacing w:line="300" w:lineRule="auto"/>
        <w:ind w:firstLine="420" w:firstLineChars="200"/>
        <w:rPr>
          <w:color w:val="auto"/>
          <w:highlight w:val="none"/>
        </w:rPr>
      </w:pPr>
      <w:r>
        <w:rPr>
          <w:color w:val="auto"/>
          <w:highlight w:val="none"/>
        </w:rPr>
        <w:t>1.1.2</w:t>
      </w:r>
      <w:r>
        <w:rPr>
          <w:rFonts w:hint="eastAsia"/>
          <w:color w:val="auto"/>
          <w:highlight w:val="none"/>
        </w:rPr>
        <w:t>5工程物资，指设计文件规定的将构成永久性工程实体的设备、材料和部件，以及进行竣工试验和竣工后试验所需的材料等。</w:t>
      </w:r>
    </w:p>
    <w:p>
      <w:pPr>
        <w:spacing w:line="300" w:lineRule="auto"/>
        <w:ind w:firstLine="420" w:firstLineChars="200"/>
        <w:rPr>
          <w:color w:val="auto"/>
          <w:highlight w:val="none"/>
        </w:rPr>
      </w:pPr>
      <w:r>
        <w:rPr>
          <w:color w:val="auto"/>
          <w:highlight w:val="none"/>
        </w:rPr>
        <w:t>1.1.2</w:t>
      </w:r>
      <w:r>
        <w:rPr>
          <w:rFonts w:hint="eastAsia"/>
          <w:color w:val="auto"/>
          <w:highlight w:val="none"/>
        </w:rPr>
        <w:t>6施工，指承包人把设计文件转化为永久性工程的过程，包括土建、安装和竣工试验等作业。</w:t>
      </w:r>
    </w:p>
    <w:p>
      <w:pPr>
        <w:spacing w:line="300" w:lineRule="auto"/>
        <w:ind w:firstLine="420" w:firstLineChars="200"/>
        <w:rPr>
          <w:color w:val="auto"/>
          <w:highlight w:val="none"/>
        </w:rPr>
      </w:pPr>
      <w:r>
        <w:rPr>
          <w:color w:val="auto"/>
          <w:highlight w:val="none"/>
        </w:rPr>
        <w:t>1.1.2</w:t>
      </w:r>
      <w:r>
        <w:rPr>
          <w:rFonts w:hint="eastAsia"/>
          <w:color w:val="auto"/>
          <w:highlight w:val="none"/>
        </w:rPr>
        <w:t>7竣工试验，指工程和（或）单项工程被发包人接收前，应由承包人负责进行的机械、设备、部件、线缆和管道能性能试验。</w:t>
      </w:r>
    </w:p>
    <w:p>
      <w:pPr>
        <w:spacing w:line="300" w:lineRule="auto"/>
        <w:ind w:firstLine="420" w:firstLineChars="200"/>
        <w:rPr>
          <w:color w:val="auto"/>
          <w:highlight w:val="none"/>
        </w:rPr>
      </w:pPr>
      <w:r>
        <w:rPr>
          <w:color w:val="auto"/>
          <w:highlight w:val="none"/>
        </w:rPr>
        <w:t>1.1.2</w:t>
      </w:r>
      <w:r>
        <w:rPr>
          <w:rFonts w:hint="eastAsia"/>
          <w:color w:val="auto"/>
          <w:highlight w:val="none"/>
        </w:rPr>
        <w:t>8变更，指在不改变工程功能和规模的情况下，发包人书面通知或书面批准的，对工程所作的任何更改。</w:t>
      </w:r>
    </w:p>
    <w:p>
      <w:pPr>
        <w:spacing w:line="300" w:lineRule="auto"/>
        <w:ind w:firstLine="420" w:firstLineChars="200"/>
        <w:rPr>
          <w:color w:val="auto"/>
          <w:highlight w:val="none"/>
        </w:rPr>
      </w:pPr>
      <w:r>
        <w:rPr>
          <w:color w:val="auto"/>
          <w:highlight w:val="none"/>
        </w:rPr>
        <w:t>1.1.2</w:t>
      </w:r>
      <w:r>
        <w:rPr>
          <w:rFonts w:hint="eastAsia"/>
          <w:color w:val="auto"/>
          <w:highlight w:val="none"/>
        </w:rPr>
        <w:t>9施工竣工，指工程已按合同约定和设计要求完成土建、安装，并通过竣工试验。</w:t>
      </w:r>
    </w:p>
    <w:p>
      <w:pPr>
        <w:spacing w:line="300" w:lineRule="auto"/>
        <w:ind w:firstLine="420" w:firstLineChars="200"/>
        <w:rPr>
          <w:color w:val="auto"/>
          <w:highlight w:val="none"/>
        </w:rPr>
      </w:pPr>
      <w:r>
        <w:rPr>
          <w:color w:val="auto"/>
          <w:highlight w:val="none"/>
        </w:rPr>
        <w:t>1.1.</w:t>
      </w:r>
      <w:r>
        <w:rPr>
          <w:rFonts w:hint="eastAsia"/>
          <w:color w:val="auto"/>
          <w:highlight w:val="none"/>
        </w:rPr>
        <w:t>30工程接收，指工程和（或）单项工程通过竣工试验后，为使发包人的操作人员、使用人员进入岗位进行竣工后试验、试运行准备，由承包人与发包人进行工程交接，并由发包人颁发接收证书的过程。</w:t>
      </w:r>
    </w:p>
    <w:p>
      <w:pPr>
        <w:spacing w:line="300" w:lineRule="auto"/>
        <w:ind w:firstLine="420" w:firstLineChars="200"/>
        <w:rPr>
          <w:color w:val="auto"/>
          <w:highlight w:val="none"/>
        </w:rPr>
      </w:pPr>
      <w:r>
        <w:rPr>
          <w:color w:val="auto"/>
          <w:highlight w:val="none"/>
        </w:rPr>
        <w:t>1.1.</w:t>
      </w:r>
      <w:r>
        <w:rPr>
          <w:rFonts w:hint="eastAsia"/>
          <w:color w:val="auto"/>
          <w:highlight w:val="none"/>
        </w:rPr>
        <w:t>31竣工后试验，指工程被发包人接收后，按合同约定由发包人自行或在发包人组织领导下由承包人指导进行的工程的生产和（或）使用功能试验。</w:t>
      </w:r>
    </w:p>
    <w:p>
      <w:pPr>
        <w:spacing w:line="300" w:lineRule="auto"/>
        <w:ind w:firstLine="420" w:firstLineChars="200"/>
        <w:rPr>
          <w:color w:val="auto"/>
          <w:highlight w:val="none"/>
        </w:rPr>
      </w:pPr>
      <w:r>
        <w:rPr>
          <w:color w:val="auto"/>
          <w:highlight w:val="none"/>
        </w:rPr>
        <w:t>1.1.3</w:t>
      </w:r>
      <w:r>
        <w:rPr>
          <w:rFonts w:hint="eastAsia"/>
          <w:color w:val="auto"/>
          <w:highlight w:val="none"/>
        </w:rPr>
        <w:t>2试运行考核，指根据合同约定，在工程完成竣工试验后，由发包人自行或在发包人的组织领导下由承包人指导进行的包括合同目标考核验收在内的全部试验。</w:t>
      </w:r>
    </w:p>
    <w:p>
      <w:pPr>
        <w:spacing w:line="300" w:lineRule="auto"/>
        <w:ind w:firstLine="420" w:firstLineChars="200"/>
        <w:rPr>
          <w:color w:val="auto"/>
          <w:highlight w:val="none"/>
        </w:rPr>
      </w:pPr>
      <w:r>
        <w:rPr>
          <w:color w:val="auto"/>
          <w:highlight w:val="none"/>
        </w:rPr>
        <w:t>1.1.3</w:t>
      </w:r>
      <w:r>
        <w:rPr>
          <w:rFonts w:hint="eastAsia"/>
          <w:color w:val="auto"/>
          <w:highlight w:val="none"/>
        </w:rPr>
        <w:t>3考核验收证书，指试运行考核的全部试验完成并通过验收后，由发包人签发的验收证书。</w:t>
      </w:r>
    </w:p>
    <w:p>
      <w:pPr>
        <w:spacing w:line="300" w:lineRule="auto"/>
        <w:ind w:firstLine="420" w:firstLineChars="200"/>
        <w:rPr>
          <w:color w:val="auto"/>
          <w:highlight w:val="none"/>
        </w:rPr>
      </w:pPr>
      <w:r>
        <w:rPr>
          <w:color w:val="auto"/>
          <w:highlight w:val="none"/>
        </w:rPr>
        <w:t>1.1.3</w:t>
      </w:r>
      <w:r>
        <w:rPr>
          <w:rFonts w:hint="eastAsia"/>
          <w:color w:val="auto"/>
          <w:highlight w:val="none"/>
        </w:rPr>
        <w:t>4工程竣工验收，指承包人接到考核验收证书、完成扫尾工程和缺陷修复，并按合同约定提交竣工验收报告、竣工资料、竣工结算资料，由发包人组织的工程结算与验收。</w:t>
      </w:r>
    </w:p>
    <w:p>
      <w:pPr>
        <w:spacing w:line="300" w:lineRule="auto"/>
        <w:ind w:firstLine="420" w:firstLineChars="200"/>
        <w:rPr>
          <w:color w:val="auto"/>
          <w:highlight w:val="none"/>
        </w:rPr>
      </w:pPr>
      <w:r>
        <w:rPr>
          <w:color w:val="auto"/>
          <w:highlight w:val="none"/>
        </w:rPr>
        <w:t>1.1.3</w:t>
      </w:r>
      <w:r>
        <w:rPr>
          <w:rFonts w:hint="eastAsia"/>
          <w:color w:val="auto"/>
          <w:highlight w:val="none"/>
        </w:rPr>
        <w:t>5合同期限，指从合同生效之日起，至双方在合同下的义务履行完毕之日止的期间。</w:t>
      </w:r>
    </w:p>
    <w:p>
      <w:pPr>
        <w:spacing w:line="300" w:lineRule="auto"/>
        <w:ind w:firstLine="420" w:firstLineChars="200"/>
        <w:rPr>
          <w:color w:val="auto"/>
          <w:highlight w:val="none"/>
        </w:rPr>
      </w:pPr>
      <w:r>
        <w:rPr>
          <w:color w:val="auto"/>
          <w:highlight w:val="none"/>
        </w:rPr>
        <w:t>1.1.3</w:t>
      </w:r>
      <w:r>
        <w:rPr>
          <w:rFonts w:hint="eastAsia"/>
          <w:color w:val="auto"/>
          <w:highlight w:val="none"/>
        </w:rPr>
        <w:t>6基准日期，指递交投标文件截止日期之前</w:t>
      </w:r>
      <w:r>
        <w:rPr>
          <w:color w:val="auto"/>
          <w:highlight w:val="none"/>
        </w:rPr>
        <w:t>30</w:t>
      </w:r>
      <w:r>
        <w:rPr>
          <w:rFonts w:hint="eastAsia"/>
          <w:color w:val="auto"/>
          <w:highlight w:val="none"/>
        </w:rPr>
        <w:t>日的日期。</w:t>
      </w:r>
    </w:p>
    <w:p>
      <w:pPr>
        <w:spacing w:line="300" w:lineRule="auto"/>
        <w:ind w:firstLine="420" w:firstLineChars="200"/>
        <w:rPr>
          <w:color w:val="auto"/>
          <w:highlight w:val="none"/>
        </w:rPr>
      </w:pPr>
      <w:r>
        <w:rPr>
          <w:color w:val="auto"/>
          <w:highlight w:val="none"/>
        </w:rPr>
        <w:t>1.1.3</w:t>
      </w:r>
      <w:r>
        <w:rPr>
          <w:rFonts w:hint="eastAsia"/>
          <w:color w:val="auto"/>
          <w:highlight w:val="none"/>
        </w:rPr>
        <w:t>7项目进度计划，指自合同生效之日起，按合同约定的工程全部实施阶段（包括设计、采购、施工、竣工试验、工程接收、竣工后试验至试运行考核等阶段）或若干实施阶段的时间计划安排。</w:t>
      </w:r>
    </w:p>
    <w:p>
      <w:pPr>
        <w:spacing w:line="300" w:lineRule="auto"/>
        <w:ind w:firstLine="420" w:firstLineChars="200"/>
        <w:rPr>
          <w:color w:val="auto"/>
          <w:highlight w:val="none"/>
        </w:rPr>
      </w:pPr>
      <w:r>
        <w:rPr>
          <w:rFonts w:hint="eastAsia"/>
          <w:color w:val="auto"/>
          <w:highlight w:val="none"/>
        </w:rPr>
        <w:t>1.1.38工期，指承包人在投标函中承诺的完成合同工作所需的期限，包括按第13条约定所作的变更。</w:t>
      </w:r>
    </w:p>
    <w:p>
      <w:pPr>
        <w:spacing w:line="300" w:lineRule="auto"/>
        <w:ind w:firstLine="420" w:firstLineChars="200"/>
        <w:rPr>
          <w:color w:val="auto"/>
          <w:highlight w:val="none"/>
        </w:rPr>
      </w:pPr>
      <w:r>
        <w:rPr>
          <w:color w:val="auto"/>
          <w:highlight w:val="none"/>
        </w:rPr>
        <w:t>1.1.3</w:t>
      </w:r>
      <w:r>
        <w:rPr>
          <w:rFonts w:hint="eastAsia"/>
          <w:color w:val="auto"/>
          <w:highlight w:val="none"/>
        </w:rPr>
        <w:t>9设计开工日期，指合同协议书中约定的，承包人开始设计工作的绝对日期或相对日期。</w:t>
      </w:r>
    </w:p>
    <w:p>
      <w:pPr>
        <w:spacing w:line="300" w:lineRule="auto"/>
        <w:ind w:firstLine="420" w:firstLineChars="200"/>
        <w:rPr>
          <w:color w:val="auto"/>
          <w:highlight w:val="none"/>
        </w:rPr>
      </w:pPr>
      <w:r>
        <w:rPr>
          <w:color w:val="auto"/>
          <w:highlight w:val="none"/>
        </w:rPr>
        <w:t>1.1.</w:t>
      </w:r>
      <w:r>
        <w:rPr>
          <w:rFonts w:hint="eastAsia"/>
          <w:color w:val="auto"/>
          <w:highlight w:val="none"/>
        </w:rPr>
        <w:t>40施工开工日期，指合同协议书中约定的，承包人开始现场施工的绝对日期或相对日期。</w:t>
      </w:r>
    </w:p>
    <w:p>
      <w:pPr>
        <w:spacing w:line="300" w:lineRule="auto"/>
        <w:ind w:firstLine="420" w:firstLineChars="200"/>
        <w:rPr>
          <w:color w:val="auto"/>
          <w:highlight w:val="none"/>
        </w:rPr>
      </w:pPr>
      <w:r>
        <w:rPr>
          <w:color w:val="auto"/>
          <w:highlight w:val="none"/>
        </w:rPr>
        <w:t>1.1.</w:t>
      </w:r>
      <w:r>
        <w:rPr>
          <w:rFonts w:hint="eastAsia"/>
          <w:color w:val="auto"/>
          <w:highlight w:val="none"/>
        </w:rPr>
        <w:t>41竣工日期，指合同协议书中约定的，由承包人完成工程施工（含竣工试验）的绝对日期或相对日期，包括按合同约定的任何延长日期。</w:t>
      </w:r>
    </w:p>
    <w:p>
      <w:pPr>
        <w:spacing w:line="300" w:lineRule="auto"/>
        <w:ind w:firstLine="420" w:firstLineChars="200"/>
        <w:rPr>
          <w:color w:val="auto"/>
          <w:highlight w:val="none"/>
        </w:rPr>
      </w:pPr>
      <w:r>
        <w:rPr>
          <w:color w:val="auto"/>
          <w:highlight w:val="none"/>
        </w:rPr>
        <w:t>1.1.</w:t>
      </w:r>
      <w:r>
        <w:rPr>
          <w:rFonts w:hint="eastAsia"/>
          <w:color w:val="auto"/>
          <w:highlight w:val="none"/>
        </w:rPr>
        <w:t>42绝对日期，指以公历年、月、日所表明的具体期限。</w:t>
      </w:r>
    </w:p>
    <w:p>
      <w:pPr>
        <w:spacing w:line="300" w:lineRule="auto"/>
        <w:ind w:firstLine="420" w:firstLineChars="200"/>
        <w:rPr>
          <w:color w:val="auto"/>
          <w:highlight w:val="none"/>
        </w:rPr>
      </w:pPr>
      <w:r>
        <w:rPr>
          <w:color w:val="auto"/>
          <w:highlight w:val="none"/>
        </w:rPr>
        <w:t>1.1.4</w:t>
      </w:r>
      <w:r>
        <w:rPr>
          <w:rFonts w:hint="eastAsia"/>
          <w:color w:val="auto"/>
          <w:highlight w:val="none"/>
        </w:rPr>
        <w:t>3相对日期，指以公历天数表明的具体期限。</w:t>
      </w:r>
    </w:p>
    <w:p>
      <w:pPr>
        <w:spacing w:line="300" w:lineRule="auto"/>
        <w:ind w:firstLine="420" w:firstLineChars="200"/>
        <w:rPr>
          <w:color w:val="auto"/>
          <w:highlight w:val="none"/>
        </w:rPr>
      </w:pPr>
      <w:r>
        <w:rPr>
          <w:color w:val="auto"/>
          <w:highlight w:val="none"/>
        </w:rPr>
        <w:t>1.1.4</w:t>
      </w:r>
      <w:r>
        <w:rPr>
          <w:rFonts w:hint="eastAsia"/>
          <w:color w:val="auto"/>
          <w:highlight w:val="none"/>
        </w:rPr>
        <w:t>4关键路径，指项目进度计划中直接影响到竣工日期的时间计划线路。该关键路径由合同双方在讨论项目进度计划时商定。</w:t>
      </w:r>
    </w:p>
    <w:p>
      <w:pPr>
        <w:spacing w:line="300" w:lineRule="auto"/>
        <w:ind w:firstLine="420" w:firstLineChars="200"/>
        <w:rPr>
          <w:color w:val="auto"/>
          <w:highlight w:val="none"/>
        </w:rPr>
      </w:pPr>
      <w:r>
        <w:rPr>
          <w:color w:val="auto"/>
          <w:highlight w:val="none"/>
        </w:rPr>
        <w:t>1.1.4</w:t>
      </w:r>
      <w:r>
        <w:rPr>
          <w:rFonts w:hint="eastAsia"/>
          <w:color w:val="auto"/>
          <w:highlight w:val="none"/>
        </w:rPr>
        <w:t>5日、月、年，指公历的日、月、年。本合同中所使用的任何期间的起点均指相应事件发生之日的下一日。如果任何时间的起算是以某一期间届满为条件，则起算点为该期间届满之日的下一日。任何期间的到期日均为该期间届满之日的当日。</w:t>
      </w:r>
    </w:p>
    <w:p>
      <w:pPr>
        <w:spacing w:line="300" w:lineRule="auto"/>
        <w:ind w:firstLine="420" w:firstLineChars="200"/>
        <w:rPr>
          <w:color w:val="auto"/>
          <w:highlight w:val="none"/>
        </w:rPr>
      </w:pPr>
      <w:r>
        <w:rPr>
          <w:color w:val="auto"/>
          <w:highlight w:val="none"/>
        </w:rPr>
        <w:t>1.1.4</w:t>
      </w:r>
      <w:r>
        <w:rPr>
          <w:rFonts w:hint="eastAsia"/>
          <w:color w:val="auto"/>
          <w:highlight w:val="none"/>
        </w:rPr>
        <w:t>6工作日，指除中国法定节假日之外的其它公历日。</w:t>
      </w:r>
    </w:p>
    <w:p>
      <w:pPr>
        <w:spacing w:line="300" w:lineRule="auto"/>
        <w:ind w:firstLine="420" w:firstLineChars="200"/>
        <w:rPr>
          <w:color w:val="auto"/>
          <w:highlight w:val="none"/>
        </w:rPr>
      </w:pPr>
      <w:r>
        <w:rPr>
          <w:color w:val="auto"/>
          <w:highlight w:val="none"/>
        </w:rPr>
        <w:t>1.1.4</w:t>
      </w:r>
      <w:r>
        <w:rPr>
          <w:rFonts w:hint="eastAsia"/>
          <w:color w:val="auto"/>
          <w:highlight w:val="none"/>
        </w:rPr>
        <w:t>7合同价格，指合同协议书中约定的、承包人进行设计、采购、施工、竣工试验、竣工后试验、试运行考核和服务等工作的价款。</w:t>
      </w:r>
    </w:p>
    <w:p>
      <w:pPr>
        <w:spacing w:line="300" w:lineRule="auto"/>
        <w:ind w:firstLine="420" w:firstLineChars="200"/>
        <w:rPr>
          <w:color w:val="auto"/>
          <w:highlight w:val="none"/>
        </w:rPr>
      </w:pPr>
      <w:r>
        <w:rPr>
          <w:color w:val="auto"/>
          <w:highlight w:val="none"/>
        </w:rPr>
        <w:t>1.1.</w:t>
      </w:r>
      <w:r>
        <w:rPr>
          <w:rFonts w:hint="eastAsia"/>
          <w:color w:val="auto"/>
          <w:highlight w:val="none"/>
        </w:rPr>
        <w:t>48合同价格调整，指依据法律及合同约定需要增减的费用而对合同价格进行的相应调整。</w:t>
      </w:r>
    </w:p>
    <w:p>
      <w:pPr>
        <w:spacing w:line="300" w:lineRule="auto"/>
        <w:ind w:firstLine="420" w:firstLineChars="200"/>
        <w:rPr>
          <w:color w:val="auto"/>
          <w:highlight w:val="none"/>
        </w:rPr>
      </w:pPr>
      <w:r>
        <w:rPr>
          <w:color w:val="auto"/>
          <w:highlight w:val="none"/>
        </w:rPr>
        <w:t>1.1.4</w:t>
      </w:r>
      <w:r>
        <w:rPr>
          <w:rFonts w:hint="eastAsia"/>
          <w:color w:val="auto"/>
          <w:highlight w:val="none"/>
        </w:rPr>
        <w:t>9合同总价，指根据合同约定，经调整后的合同结算价格。</w:t>
      </w:r>
    </w:p>
    <w:p>
      <w:pPr>
        <w:spacing w:line="300" w:lineRule="auto"/>
        <w:ind w:firstLine="420" w:firstLineChars="200"/>
        <w:rPr>
          <w:color w:val="auto"/>
          <w:highlight w:val="none"/>
        </w:rPr>
      </w:pPr>
      <w:r>
        <w:rPr>
          <w:color w:val="auto"/>
          <w:highlight w:val="none"/>
        </w:rPr>
        <w:t>1.1.</w:t>
      </w:r>
      <w:r>
        <w:rPr>
          <w:rFonts w:hint="eastAsia"/>
          <w:color w:val="auto"/>
          <w:highlight w:val="none"/>
        </w:rPr>
        <w:t>50预付款，是指根据合同约定，由发包人预先支付给承包人的款项。</w:t>
      </w:r>
    </w:p>
    <w:p>
      <w:pPr>
        <w:spacing w:line="300" w:lineRule="auto"/>
        <w:ind w:firstLine="420" w:firstLineChars="200"/>
        <w:rPr>
          <w:color w:val="auto"/>
          <w:highlight w:val="none"/>
        </w:rPr>
      </w:pPr>
      <w:r>
        <w:rPr>
          <w:color w:val="auto"/>
          <w:highlight w:val="none"/>
        </w:rPr>
        <w:t>1.1.</w:t>
      </w:r>
      <w:r>
        <w:rPr>
          <w:rFonts w:hint="eastAsia"/>
          <w:color w:val="auto"/>
          <w:highlight w:val="none"/>
        </w:rPr>
        <w:t>51工程进度款，指发包人根据合同约定的支付内容、支付条件，分期向承包人支付的设计、采购、施工和竣工试验的进度款，竣工后试验和试运行考核的服务费以及工程总承包管理费等款项。</w:t>
      </w:r>
    </w:p>
    <w:p>
      <w:pPr>
        <w:spacing w:line="300" w:lineRule="auto"/>
        <w:ind w:firstLine="420" w:firstLineChars="200"/>
        <w:rPr>
          <w:color w:val="auto"/>
          <w:highlight w:val="none"/>
        </w:rPr>
      </w:pPr>
      <w:r>
        <w:rPr>
          <w:color w:val="auto"/>
          <w:highlight w:val="none"/>
        </w:rPr>
        <w:t>1.1.</w:t>
      </w:r>
      <w:r>
        <w:rPr>
          <w:rFonts w:hint="eastAsia"/>
          <w:color w:val="auto"/>
          <w:highlight w:val="none"/>
        </w:rPr>
        <w:t>52工程质量保修责任书，指依据有关质量保修的法律规定，发包人与承包人就工程质量保修相关事宜所签订的协议。</w:t>
      </w:r>
    </w:p>
    <w:p>
      <w:pPr>
        <w:spacing w:line="300" w:lineRule="auto"/>
        <w:ind w:firstLine="420" w:firstLineChars="200"/>
        <w:rPr>
          <w:color w:val="auto"/>
          <w:highlight w:val="none"/>
        </w:rPr>
      </w:pPr>
      <w:r>
        <w:rPr>
          <w:color w:val="auto"/>
          <w:highlight w:val="none"/>
        </w:rPr>
        <w:t>1.1.</w:t>
      </w:r>
      <w:r>
        <w:rPr>
          <w:rFonts w:hint="eastAsia"/>
          <w:color w:val="auto"/>
          <w:highlight w:val="none"/>
        </w:rPr>
        <w:t>53缺陷责任保修金，指按合同约定发包人从工程进度款中暂时扣除的，作为承包人在施工过程及缺陷责任期内履行缺陷责任担保的金额。</w:t>
      </w:r>
    </w:p>
    <w:p>
      <w:pPr>
        <w:spacing w:line="300" w:lineRule="auto"/>
        <w:ind w:firstLine="420" w:firstLineChars="200"/>
        <w:rPr>
          <w:color w:val="auto"/>
          <w:highlight w:val="none"/>
        </w:rPr>
      </w:pPr>
      <w:r>
        <w:rPr>
          <w:color w:val="auto"/>
          <w:highlight w:val="none"/>
        </w:rPr>
        <w:t>1.1.5</w:t>
      </w:r>
      <w:r>
        <w:rPr>
          <w:rFonts w:hint="eastAsia"/>
          <w:color w:val="auto"/>
          <w:highlight w:val="none"/>
        </w:rPr>
        <w:t>4缺陷责任期，指承包人按合同约定承担缺陷保修责任的期间，一般应为</w:t>
      </w:r>
      <w:r>
        <w:rPr>
          <w:color w:val="auto"/>
          <w:highlight w:val="none"/>
        </w:rPr>
        <w:t>12</w:t>
      </w:r>
      <w:r>
        <w:rPr>
          <w:rFonts w:hint="eastAsia"/>
          <w:color w:val="auto"/>
          <w:highlight w:val="none"/>
        </w:rPr>
        <w:t>个月。因缺陷责任的延长，最长不超过</w:t>
      </w:r>
      <w:r>
        <w:rPr>
          <w:color w:val="auto"/>
          <w:highlight w:val="none"/>
        </w:rPr>
        <w:t>24</w:t>
      </w:r>
      <w:r>
        <w:rPr>
          <w:rFonts w:hint="eastAsia"/>
          <w:color w:val="auto"/>
          <w:highlight w:val="none"/>
        </w:rPr>
        <w:t>个月。具体期限在专用条款约定。</w:t>
      </w:r>
    </w:p>
    <w:p>
      <w:pPr>
        <w:spacing w:line="300" w:lineRule="auto"/>
        <w:ind w:firstLine="420" w:firstLineChars="200"/>
        <w:rPr>
          <w:color w:val="auto"/>
          <w:highlight w:val="none"/>
        </w:rPr>
      </w:pPr>
      <w:r>
        <w:rPr>
          <w:color w:val="auto"/>
          <w:highlight w:val="none"/>
        </w:rPr>
        <w:t>1.1.</w:t>
      </w:r>
      <w:r>
        <w:rPr>
          <w:rFonts w:hint="eastAsia"/>
          <w:color w:val="auto"/>
          <w:highlight w:val="none"/>
        </w:rPr>
        <w:t>55书面形式，指合同书、信件和数据电文等可以有形地表现所载内容的形式。数据电文包括：电传、传真、电子数据交换和电子邮件。</w:t>
      </w:r>
    </w:p>
    <w:p>
      <w:pPr>
        <w:spacing w:line="300" w:lineRule="auto"/>
        <w:ind w:firstLine="420" w:firstLineChars="200"/>
        <w:rPr>
          <w:color w:val="auto"/>
          <w:highlight w:val="none"/>
        </w:rPr>
      </w:pPr>
      <w:r>
        <w:rPr>
          <w:color w:val="auto"/>
          <w:highlight w:val="none"/>
        </w:rPr>
        <w:t>1.1.5</w:t>
      </w:r>
      <w:r>
        <w:rPr>
          <w:rFonts w:hint="eastAsia"/>
          <w:color w:val="auto"/>
          <w:highlight w:val="none"/>
        </w:rPr>
        <w:t>6违约责任，指合同一方不履行合同义务或履行合同义务不符合合同约定所须承担的责任。</w:t>
      </w:r>
    </w:p>
    <w:p>
      <w:pPr>
        <w:spacing w:line="300" w:lineRule="auto"/>
        <w:ind w:firstLine="420" w:firstLineChars="200"/>
        <w:rPr>
          <w:color w:val="auto"/>
          <w:highlight w:val="none"/>
        </w:rPr>
      </w:pPr>
      <w:r>
        <w:rPr>
          <w:color w:val="auto"/>
          <w:highlight w:val="none"/>
        </w:rPr>
        <w:t>1.1.5</w:t>
      </w:r>
      <w:r>
        <w:rPr>
          <w:rFonts w:hint="eastAsia"/>
          <w:color w:val="auto"/>
          <w:highlight w:val="none"/>
        </w:rPr>
        <w:t>7不可抗力，指不能预见、不能避免并不能克服的客观情况，具体情形由双方在专用条款中约定。</w:t>
      </w:r>
    </w:p>
    <w:p>
      <w:pPr>
        <w:spacing w:line="300" w:lineRule="auto"/>
        <w:ind w:firstLine="420" w:firstLineChars="200"/>
        <w:rPr>
          <w:color w:val="auto"/>
          <w:highlight w:val="none"/>
        </w:rPr>
      </w:pPr>
      <w:r>
        <w:rPr>
          <w:rFonts w:hint="eastAsia"/>
          <w:color w:val="auto"/>
          <w:highlight w:val="none"/>
        </w:rPr>
        <w:t>1.1.58联络，</w:t>
      </w:r>
      <w:r>
        <w:rPr>
          <w:color w:val="auto"/>
          <w:highlight w:val="none"/>
        </w:rPr>
        <w:t>与合同有关的通知、批准、证明、证书、指示、指令、要求、请求、同意、意见、确定和决定等，均应采用书面形式，并应在合同约定的期限内送达接收人和送达地点。任何一方合同当事人指定的接收人或送达地点发生变动的，应提前3天以书面形式通知对方。发包人和承包人应当及时签收另一方送达至送达地点和指定接收人的来往信函。拒不签收的，由此增加的费用和（或）延误的工期由拒绝接收一方承担。</w:t>
      </w:r>
    </w:p>
    <w:p>
      <w:pPr>
        <w:spacing w:line="300" w:lineRule="auto"/>
        <w:ind w:firstLine="420" w:firstLineChars="200"/>
        <w:rPr>
          <w:color w:val="auto"/>
          <w:highlight w:val="none"/>
        </w:rPr>
      </w:pPr>
      <w:r>
        <w:rPr>
          <w:color w:val="auto"/>
          <w:highlight w:val="none"/>
        </w:rPr>
        <w:t>1.1.5</w:t>
      </w:r>
      <w:r>
        <w:rPr>
          <w:rFonts w:hint="eastAsia"/>
          <w:color w:val="auto"/>
          <w:highlight w:val="none"/>
        </w:rPr>
        <w:t>9根据本合同工程的特点，需补充约定的其它定义。在专用条款中约定。</w:t>
      </w:r>
    </w:p>
    <w:p>
      <w:pPr>
        <w:pStyle w:val="4"/>
        <w:rPr>
          <w:rFonts w:ascii="宋体" w:hAnsi="宋体"/>
          <w:color w:val="auto"/>
          <w:kern w:val="0"/>
          <w:sz w:val="21"/>
          <w:highlight w:val="none"/>
        </w:rPr>
      </w:pPr>
      <w:bookmarkStart w:id="610" w:name="_Toc419364337"/>
      <w:bookmarkStart w:id="611" w:name="_Toc433988699"/>
      <w:bookmarkStart w:id="612" w:name="_Toc491277249"/>
      <w:bookmarkStart w:id="613" w:name="_Toc419321246"/>
      <w:bookmarkStart w:id="614" w:name="_Toc419320210"/>
      <w:bookmarkStart w:id="615" w:name="_Toc419363666"/>
      <w:r>
        <w:rPr>
          <w:rFonts w:ascii="宋体" w:hAnsi="宋体"/>
          <w:color w:val="auto"/>
          <w:kern w:val="0"/>
          <w:sz w:val="21"/>
          <w:highlight w:val="none"/>
        </w:rPr>
        <w:t>1.2</w:t>
      </w:r>
      <w:r>
        <w:rPr>
          <w:rFonts w:hint="eastAsia" w:ascii="宋体" w:hAnsi="宋体"/>
          <w:color w:val="auto"/>
          <w:kern w:val="0"/>
          <w:sz w:val="21"/>
          <w:highlight w:val="none"/>
        </w:rPr>
        <w:t xml:space="preserve">  合同文件</w:t>
      </w:r>
      <w:bookmarkEnd w:id="610"/>
      <w:bookmarkEnd w:id="611"/>
      <w:bookmarkEnd w:id="612"/>
      <w:bookmarkEnd w:id="613"/>
      <w:bookmarkEnd w:id="614"/>
      <w:bookmarkEnd w:id="615"/>
    </w:p>
    <w:p>
      <w:pPr>
        <w:spacing w:line="300" w:lineRule="auto"/>
        <w:ind w:firstLine="420" w:firstLineChars="200"/>
        <w:rPr>
          <w:color w:val="auto"/>
          <w:highlight w:val="none"/>
        </w:rPr>
      </w:pPr>
      <w:r>
        <w:rPr>
          <w:color w:val="auto"/>
          <w:highlight w:val="none"/>
        </w:rPr>
        <w:t>1.2.1</w:t>
      </w:r>
      <w:r>
        <w:rPr>
          <w:rFonts w:hint="eastAsia"/>
          <w:color w:val="auto"/>
          <w:highlight w:val="none"/>
        </w:rPr>
        <w:t>合同文件的组成。合同文件相互解释，互为说明。除专用条款另有约定外，组成本合同的文件及优先解释顺序如下：</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）本合同协议书</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）本合同专用条款</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）中标通知书</w:t>
      </w:r>
    </w:p>
    <w:p>
      <w:pPr>
        <w:spacing w:line="300" w:lineRule="auto"/>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）招投标文件及其附件</w:t>
      </w:r>
    </w:p>
    <w:p>
      <w:pPr>
        <w:spacing w:line="300" w:lineRule="auto"/>
        <w:ind w:firstLine="420" w:firstLineChars="200"/>
        <w:rPr>
          <w:color w:val="auto"/>
          <w:highlight w:val="none"/>
        </w:rPr>
      </w:pPr>
      <w:r>
        <w:rPr>
          <w:rFonts w:hint="eastAsia"/>
          <w:color w:val="auto"/>
          <w:highlight w:val="none"/>
        </w:rPr>
        <w:t>（</w:t>
      </w:r>
      <w:r>
        <w:rPr>
          <w:color w:val="auto"/>
          <w:highlight w:val="none"/>
        </w:rPr>
        <w:t>5</w:t>
      </w:r>
      <w:r>
        <w:rPr>
          <w:rFonts w:hint="eastAsia"/>
          <w:color w:val="auto"/>
          <w:highlight w:val="none"/>
        </w:rPr>
        <w:t>）本合同通用条款</w:t>
      </w:r>
    </w:p>
    <w:p>
      <w:pPr>
        <w:spacing w:line="300" w:lineRule="auto"/>
        <w:ind w:firstLine="420" w:firstLineChars="200"/>
        <w:rPr>
          <w:color w:val="auto"/>
          <w:highlight w:val="none"/>
        </w:rPr>
      </w:pPr>
      <w:r>
        <w:rPr>
          <w:rFonts w:hint="eastAsia"/>
          <w:color w:val="auto"/>
          <w:highlight w:val="none"/>
        </w:rPr>
        <w:t>（</w:t>
      </w:r>
      <w:r>
        <w:rPr>
          <w:color w:val="auto"/>
          <w:highlight w:val="none"/>
        </w:rPr>
        <w:t>6</w:t>
      </w:r>
      <w:r>
        <w:rPr>
          <w:rFonts w:hint="eastAsia"/>
          <w:color w:val="auto"/>
          <w:highlight w:val="none"/>
        </w:rPr>
        <w:t>）合同附件</w:t>
      </w:r>
    </w:p>
    <w:p>
      <w:pPr>
        <w:spacing w:line="300" w:lineRule="auto"/>
        <w:ind w:firstLine="420" w:firstLineChars="200"/>
        <w:rPr>
          <w:color w:val="auto"/>
          <w:highlight w:val="none"/>
        </w:rPr>
      </w:pPr>
      <w:r>
        <w:rPr>
          <w:rFonts w:hint="eastAsia"/>
          <w:color w:val="auto"/>
          <w:highlight w:val="none"/>
        </w:rPr>
        <w:t>（</w:t>
      </w:r>
      <w:r>
        <w:rPr>
          <w:color w:val="auto"/>
          <w:highlight w:val="none"/>
        </w:rPr>
        <w:t>7</w:t>
      </w:r>
      <w:r>
        <w:rPr>
          <w:rFonts w:hint="eastAsia"/>
          <w:color w:val="auto"/>
          <w:highlight w:val="none"/>
        </w:rPr>
        <w:t>）标准、规范及有关技术文件</w:t>
      </w:r>
    </w:p>
    <w:p>
      <w:pPr>
        <w:spacing w:line="300" w:lineRule="auto"/>
        <w:ind w:firstLine="420" w:firstLineChars="200"/>
        <w:rPr>
          <w:color w:val="auto"/>
          <w:highlight w:val="none"/>
        </w:rPr>
      </w:pPr>
      <w:r>
        <w:rPr>
          <w:rFonts w:hint="eastAsia"/>
          <w:color w:val="auto"/>
          <w:highlight w:val="none"/>
        </w:rPr>
        <w:t>（</w:t>
      </w:r>
      <w:r>
        <w:rPr>
          <w:color w:val="auto"/>
          <w:highlight w:val="none"/>
        </w:rPr>
        <w:t>8</w:t>
      </w:r>
      <w:r>
        <w:rPr>
          <w:rFonts w:hint="eastAsia"/>
          <w:color w:val="auto"/>
          <w:highlight w:val="none"/>
        </w:rPr>
        <w:t>）设计文件、资料和图纸</w:t>
      </w:r>
    </w:p>
    <w:p>
      <w:pPr>
        <w:spacing w:line="300" w:lineRule="auto"/>
        <w:ind w:firstLine="420" w:firstLineChars="200"/>
        <w:rPr>
          <w:color w:val="auto"/>
          <w:highlight w:val="none"/>
        </w:rPr>
      </w:pPr>
      <w:r>
        <w:rPr>
          <w:rFonts w:hint="eastAsia"/>
          <w:color w:val="auto"/>
          <w:highlight w:val="none"/>
        </w:rPr>
        <w:t>（</w:t>
      </w:r>
      <w:r>
        <w:rPr>
          <w:color w:val="auto"/>
          <w:highlight w:val="none"/>
        </w:rPr>
        <w:t>9</w:t>
      </w:r>
      <w:r>
        <w:rPr>
          <w:rFonts w:hint="eastAsia"/>
          <w:color w:val="auto"/>
          <w:highlight w:val="none"/>
        </w:rPr>
        <w:t>）双方约定构成合同组成部分的其它文件</w:t>
      </w:r>
    </w:p>
    <w:p>
      <w:pPr>
        <w:spacing w:line="300" w:lineRule="auto"/>
        <w:ind w:firstLine="420" w:firstLineChars="200"/>
        <w:rPr>
          <w:color w:val="auto"/>
          <w:highlight w:val="none"/>
        </w:rPr>
      </w:pPr>
      <w:r>
        <w:rPr>
          <w:rFonts w:hint="eastAsia"/>
          <w:color w:val="auto"/>
          <w:highlight w:val="none"/>
        </w:rPr>
        <w:t>双方在履行合同过程中形成的双方授权代表签署的会议纪要、备忘录、补充文件、变更和洽商等书面形式的文件构成本合同的组成部分。</w:t>
      </w:r>
    </w:p>
    <w:p>
      <w:pPr>
        <w:spacing w:line="300" w:lineRule="auto"/>
        <w:ind w:firstLine="420" w:firstLineChars="200"/>
        <w:rPr>
          <w:color w:val="auto"/>
          <w:highlight w:val="none"/>
        </w:rPr>
      </w:pPr>
      <w:r>
        <w:rPr>
          <w:color w:val="auto"/>
          <w:highlight w:val="none"/>
        </w:rPr>
        <w:t>1.2.2</w:t>
      </w:r>
      <w:r>
        <w:rPr>
          <w:rFonts w:hint="eastAsia"/>
          <w:color w:val="auto"/>
          <w:highlight w:val="none"/>
        </w:rPr>
        <w:t>当合同文件的条款内容含糊不清或不相一致，并且不能依据合同约定的解释顺序阐述清楚时，在不影响工程正常进行的情况下，由当事人协商解决，当事人经协商未能达成一致，根据</w:t>
      </w:r>
      <w:r>
        <w:rPr>
          <w:color w:val="auto"/>
          <w:highlight w:val="none"/>
        </w:rPr>
        <w:t>16.3</w:t>
      </w:r>
      <w:r>
        <w:rPr>
          <w:rFonts w:hint="eastAsia"/>
          <w:color w:val="auto"/>
          <w:highlight w:val="none"/>
        </w:rPr>
        <w:t>款关于争议和裁决的约定解决。</w:t>
      </w:r>
    </w:p>
    <w:p>
      <w:pPr>
        <w:spacing w:line="300" w:lineRule="auto"/>
        <w:ind w:firstLine="420" w:firstLineChars="200"/>
        <w:rPr>
          <w:color w:val="auto"/>
          <w:highlight w:val="none"/>
        </w:rPr>
      </w:pPr>
      <w:r>
        <w:rPr>
          <w:color w:val="auto"/>
          <w:highlight w:val="none"/>
        </w:rPr>
        <w:t>1.2.3</w:t>
      </w:r>
      <w:r>
        <w:rPr>
          <w:rFonts w:hint="eastAsia"/>
          <w:color w:val="auto"/>
          <w:highlight w:val="none"/>
        </w:rPr>
        <w:t>合同中的条款标题仅为阅读方便，不作为对合同条款进行解释的依据。</w:t>
      </w:r>
    </w:p>
    <w:p>
      <w:pPr>
        <w:pStyle w:val="4"/>
        <w:rPr>
          <w:rFonts w:ascii="宋体" w:hAnsi="宋体"/>
          <w:color w:val="auto"/>
          <w:kern w:val="0"/>
          <w:sz w:val="21"/>
          <w:highlight w:val="none"/>
        </w:rPr>
      </w:pPr>
      <w:bookmarkStart w:id="616" w:name="_Toc419320211"/>
      <w:bookmarkStart w:id="617" w:name="_Toc491277250"/>
      <w:bookmarkStart w:id="618" w:name="_Toc433988700"/>
      <w:bookmarkStart w:id="619" w:name="_Toc419364338"/>
      <w:bookmarkStart w:id="620" w:name="_Toc419363667"/>
      <w:bookmarkStart w:id="621" w:name="_Toc419321247"/>
      <w:r>
        <w:rPr>
          <w:rFonts w:ascii="宋体" w:hAnsi="宋体"/>
          <w:color w:val="auto"/>
          <w:kern w:val="0"/>
          <w:sz w:val="21"/>
          <w:highlight w:val="none"/>
        </w:rPr>
        <w:t>1.3</w:t>
      </w:r>
      <w:r>
        <w:rPr>
          <w:rFonts w:hint="eastAsia" w:ascii="宋体" w:hAnsi="宋体"/>
          <w:color w:val="auto"/>
          <w:kern w:val="0"/>
          <w:sz w:val="21"/>
          <w:highlight w:val="none"/>
        </w:rPr>
        <w:t xml:space="preserve">  语言文字</w:t>
      </w:r>
      <w:bookmarkEnd w:id="616"/>
      <w:bookmarkEnd w:id="617"/>
      <w:bookmarkEnd w:id="618"/>
      <w:bookmarkEnd w:id="619"/>
      <w:bookmarkEnd w:id="620"/>
      <w:bookmarkEnd w:id="621"/>
    </w:p>
    <w:p>
      <w:pPr>
        <w:spacing w:line="300" w:lineRule="auto"/>
        <w:ind w:firstLine="420" w:firstLineChars="200"/>
        <w:rPr>
          <w:color w:val="auto"/>
          <w:highlight w:val="none"/>
        </w:rPr>
      </w:pPr>
      <w:r>
        <w:rPr>
          <w:rFonts w:hint="eastAsia"/>
          <w:color w:val="auto"/>
          <w:highlight w:val="none"/>
        </w:rPr>
        <w:t>合同文件以中国的汉语简体语言文字编写、解释和说明。合同当事人在专用条款约定使用两种及以上语言时，汉语为优先解释和说明本合同的主导语言。</w:t>
      </w:r>
    </w:p>
    <w:p>
      <w:pPr>
        <w:spacing w:line="300" w:lineRule="auto"/>
        <w:ind w:firstLine="420" w:firstLineChars="200"/>
        <w:rPr>
          <w:color w:val="auto"/>
          <w:highlight w:val="none"/>
        </w:rPr>
      </w:pPr>
      <w:r>
        <w:rPr>
          <w:rFonts w:hint="eastAsia"/>
          <w:color w:val="auto"/>
          <w:highlight w:val="none"/>
        </w:rPr>
        <w:t>在少数民族地区，当事人可以约定使用少数民族语言编写、解释和说明本合同文件。</w:t>
      </w:r>
    </w:p>
    <w:p>
      <w:pPr>
        <w:pStyle w:val="4"/>
        <w:rPr>
          <w:rFonts w:ascii="宋体" w:hAnsi="宋体"/>
          <w:color w:val="auto"/>
          <w:kern w:val="0"/>
          <w:sz w:val="21"/>
          <w:highlight w:val="none"/>
        </w:rPr>
      </w:pPr>
      <w:bookmarkStart w:id="622" w:name="_Toc491277251"/>
      <w:bookmarkStart w:id="623" w:name="_Toc419363668"/>
      <w:bookmarkStart w:id="624" w:name="_Toc419321248"/>
      <w:bookmarkStart w:id="625" w:name="_Toc433988701"/>
      <w:bookmarkStart w:id="626" w:name="_Toc419364339"/>
      <w:bookmarkStart w:id="627" w:name="_Toc419320212"/>
      <w:r>
        <w:rPr>
          <w:rFonts w:ascii="宋体" w:hAnsi="宋体"/>
          <w:color w:val="auto"/>
          <w:kern w:val="0"/>
          <w:sz w:val="21"/>
          <w:highlight w:val="none"/>
        </w:rPr>
        <w:t>1.4</w:t>
      </w:r>
      <w:r>
        <w:rPr>
          <w:rFonts w:hint="eastAsia" w:ascii="宋体" w:hAnsi="宋体"/>
          <w:color w:val="auto"/>
          <w:kern w:val="0"/>
          <w:sz w:val="21"/>
          <w:highlight w:val="none"/>
        </w:rPr>
        <w:t xml:space="preserve">  适用法律</w:t>
      </w:r>
      <w:bookmarkEnd w:id="622"/>
      <w:bookmarkEnd w:id="623"/>
      <w:bookmarkEnd w:id="624"/>
      <w:bookmarkEnd w:id="625"/>
      <w:bookmarkEnd w:id="626"/>
      <w:bookmarkEnd w:id="627"/>
    </w:p>
    <w:p>
      <w:pPr>
        <w:spacing w:line="300" w:lineRule="auto"/>
        <w:ind w:firstLine="420" w:firstLineChars="200"/>
        <w:rPr>
          <w:color w:val="auto"/>
          <w:highlight w:val="none"/>
        </w:rPr>
      </w:pPr>
      <w:r>
        <w:rPr>
          <w:rFonts w:hint="eastAsia"/>
          <w:color w:val="auto"/>
          <w:highlight w:val="none"/>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pPr>
        <w:spacing w:line="300" w:lineRule="auto"/>
        <w:ind w:firstLine="420" w:firstLineChars="200"/>
        <w:rPr>
          <w:color w:val="auto"/>
          <w:highlight w:val="none"/>
        </w:rPr>
      </w:pPr>
      <w:r>
        <w:rPr>
          <w:rFonts w:hint="eastAsia"/>
          <w:color w:val="auto"/>
          <w:highlight w:val="none"/>
        </w:rPr>
        <w:t>在基准日期之后，因法律变化导致承包人的费用增加的，发包人应合理增加合同价格；如果因法律变化导致关键路径工期延误的，应合理延长工期。</w:t>
      </w:r>
    </w:p>
    <w:p>
      <w:pPr>
        <w:pStyle w:val="4"/>
        <w:rPr>
          <w:rFonts w:ascii="宋体" w:hAnsi="宋体"/>
          <w:color w:val="auto"/>
          <w:kern w:val="0"/>
          <w:sz w:val="21"/>
          <w:highlight w:val="none"/>
        </w:rPr>
      </w:pPr>
      <w:bookmarkStart w:id="628" w:name="_Toc419320213"/>
      <w:bookmarkStart w:id="629" w:name="_Toc433988702"/>
      <w:bookmarkStart w:id="630" w:name="_Toc419363669"/>
      <w:bookmarkStart w:id="631" w:name="_Toc419364340"/>
      <w:bookmarkStart w:id="632" w:name="_Toc419321249"/>
      <w:bookmarkStart w:id="633" w:name="_Toc491277252"/>
      <w:r>
        <w:rPr>
          <w:rFonts w:ascii="宋体" w:hAnsi="宋体"/>
          <w:color w:val="auto"/>
          <w:kern w:val="0"/>
          <w:sz w:val="21"/>
          <w:highlight w:val="none"/>
        </w:rPr>
        <w:t>1.5</w:t>
      </w:r>
      <w:r>
        <w:rPr>
          <w:rFonts w:hint="eastAsia" w:ascii="宋体" w:hAnsi="宋体"/>
          <w:color w:val="auto"/>
          <w:kern w:val="0"/>
          <w:sz w:val="21"/>
          <w:highlight w:val="none"/>
        </w:rPr>
        <w:t xml:space="preserve">  标准、规范</w:t>
      </w:r>
      <w:bookmarkEnd w:id="628"/>
      <w:bookmarkEnd w:id="629"/>
      <w:bookmarkEnd w:id="630"/>
      <w:bookmarkEnd w:id="631"/>
      <w:bookmarkEnd w:id="632"/>
      <w:bookmarkEnd w:id="633"/>
    </w:p>
    <w:p>
      <w:pPr>
        <w:spacing w:line="300" w:lineRule="auto"/>
        <w:ind w:firstLine="420" w:firstLineChars="200"/>
        <w:rPr>
          <w:color w:val="auto"/>
          <w:highlight w:val="none"/>
        </w:rPr>
      </w:pPr>
      <w:r>
        <w:rPr>
          <w:color w:val="auto"/>
          <w:highlight w:val="none"/>
        </w:rPr>
        <w:t>1.5.1</w:t>
      </w:r>
      <w:r>
        <w:rPr>
          <w:rFonts w:hint="eastAsia"/>
          <w:color w:val="auto"/>
          <w:highlight w:val="none"/>
        </w:rPr>
        <w:t>适用于本工程的国家标准规范、和（或）行业标准规范、和（或）工程所在地方的标准规范、和（或）企业标准规范的名称（或编号），在专用条款中约定。</w:t>
      </w:r>
    </w:p>
    <w:p>
      <w:pPr>
        <w:spacing w:line="300" w:lineRule="auto"/>
        <w:ind w:firstLine="420" w:firstLineChars="200"/>
        <w:rPr>
          <w:color w:val="auto"/>
          <w:highlight w:val="none"/>
        </w:rPr>
      </w:pPr>
      <w:r>
        <w:rPr>
          <w:color w:val="auto"/>
          <w:highlight w:val="none"/>
        </w:rPr>
        <w:t>1.5.2</w:t>
      </w:r>
      <w:r>
        <w:rPr>
          <w:rFonts w:hint="eastAsia"/>
          <w:color w:val="auto"/>
          <w:highlight w:val="none"/>
        </w:rPr>
        <w:t>发包人使用国外标准、规范的，负责提供原文版本和中文译本，并在专用条款中约定提供的标准、规范的名称、份数和时间。</w:t>
      </w:r>
    </w:p>
    <w:p>
      <w:pPr>
        <w:spacing w:line="300" w:lineRule="auto"/>
        <w:ind w:firstLine="420" w:firstLineChars="200"/>
        <w:rPr>
          <w:color w:val="auto"/>
          <w:highlight w:val="none"/>
        </w:rPr>
      </w:pPr>
      <w:r>
        <w:rPr>
          <w:color w:val="auto"/>
          <w:highlight w:val="none"/>
        </w:rPr>
        <w:t>1.5.3</w:t>
      </w:r>
      <w:r>
        <w:rPr>
          <w:rFonts w:hint="eastAsia"/>
          <w:color w:val="auto"/>
          <w:highlight w:val="none"/>
        </w:rPr>
        <w:t>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pPr>
        <w:spacing w:line="300" w:lineRule="auto"/>
        <w:ind w:firstLine="420" w:firstLineChars="200"/>
        <w:rPr>
          <w:color w:val="auto"/>
          <w:highlight w:val="none"/>
        </w:rPr>
      </w:pPr>
      <w:r>
        <w:rPr>
          <w:color w:val="auto"/>
          <w:highlight w:val="none"/>
        </w:rPr>
        <w:t>1.5.4</w:t>
      </w:r>
      <w:r>
        <w:rPr>
          <w:rFonts w:hint="eastAsia"/>
          <w:color w:val="auto"/>
          <w:highlight w:val="none"/>
        </w:rPr>
        <w:t>在基准日期之后，因国家颁布新的强制性规范、标准导致承包人的费用增加的，发包人应合理增加合同价格；导致关键路径工期延误的，发包人应合理延长工期。</w:t>
      </w:r>
    </w:p>
    <w:p>
      <w:pPr>
        <w:pStyle w:val="4"/>
        <w:rPr>
          <w:rFonts w:ascii="宋体" w:hAnsi="宋体"/>
          <w:color w:val="auto"/>
          <w:kern w:val="0"/>
          <w:sz w:val="21"/>
          <w:highlight w:val="none"/>
        </w:rPr>
      </w:pPr>
      <w:bookmarkStart w:id="634" w:name="_Toc419364341"/>
      <w:bookmarkStart w:id="635" w:name="_Toc419363670"/>
      <w:bookmarkStart w:id="636" w:name="_Toc433988703"/>
      <w:bookmarkStart w:id="637" w:name="_Toc491277253"/>
      <w:bookmarkStart w:id="638" w:name="_Toc419321250"/>
      <w:bookmarkStart w:id="639" w:name="_Toc419320214"/>
      <w:r>
        <w:rPr>
          <w:rFonts w:ascii="宋体" w:hAnsi="宋体"/>
          <w:color w:val="auto"/>
          <w:kern w:val="0"/>
          <w:sz w:val="21"/>
          <w:highlight w:val="none"/>
        </w:rPr>
        <w:t>1.6</w:t>
      </w:r>
      <w:r>
        <w:rPr>
          <w:rFonts w:hint="eastAsia" w:ascii="宋体" w:hAnsi="宋体"/>
          <w:color w:val="auto"/>
          <w:kern w:val="0"/>
          <w:sz w:val="21"/>
          <w:highlight w:val="none"/>
        </w:rPr>
        <w:t xml:space="preserve">  保密事项</w:t>
      </w:r>
      <w:bookmarkEnd w:id="634"/>
      <w:bookmarkEnd w:id="635"/>
      <w:bookmarkEnd w:id="636"/>
      <w:bookmarkEnd w:id="637"/>
      <w:bookmarkEnd w:id="638"/>
      <w:bookmarkEnd w:id="639"/>
    </w:p>
    <w:p>
      <w:pPr>
        <w:spacing w:before="120" w:beforeLines="50" w:after="120" w:afterLines="50" w:line="300" w:lineRule="auto"/>
        <w:ind w:firstLine="420" w:firstLineChars="200"/>
        <w:rPr>
          <w:color w:val="auto"/>
          <w:highlight w:val="none"/>
        </w:rPr>
      </w:pPr>
      <w:r>
        <w:rPr>
          <w:rFonts w:hint="eastAsia"/>
          <w:color w:val="auto"/>
          <w:highlight w:val="none"/>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p>
    <w:p>
      <w:pPr>
        <w:pStyle w:val="2"/>
        <w:rPr>
          <w:rFonts w:ascii="宋体" w:hAnsi="宋体" w:eastAsia="宋体"/>
          <w:color w:val="auto"/>
          <w:sz w:val="28"/>
          <w:szCs w:val="28"/>
          <w:highlight w:val="none"/>
        </w:rPr>
      </w:pPr>
      <w:bookmarkStart w:id="640" w:name="_Toc419320215"/>
      <w:bookmarkStart w:id="641" w:name="_Toc433988704"/>
      <w:bookmarkStart w:id="642" w:name="_Toc419364342"/>
      <w:bookmarkStart w:id="643" w:name="_Toc419321251"/>
      <w:bookmarkStart w:id="644" w:name="_Toc419363671"/>
      <w:bookmarkStart w:id="645" w:name="_Toc491277254"/>
      <w:r>
        <w:rPr>
          <w:rFonts w:hint="eastAsia" w:ascii="宋体" w:hAnsi="宋体" w:eastAsia="宋体"/>
          <w:color w:val="auto"/>
          <w:sz w:val="28"/>
          <w:szCs w:val="28"/>
          <w:highlight w:val="none"/>
        </w:rPr>
        <w:t>第</w:t>
      </w:r>
      <w:r>
        <w:rPr>
          <w:rFonts w:ascii="宋体" w:hAnsi="宋体" w:eastAsia="宋体"/>
          <w:color w:val="auto"/>
          <w:sz w:val="28"/>
          <w:szCs w:val="28"/>
          <w:highlight w:val="none"/>
        </w:rPr>
        <w:t>2</w:t>
      </w:r>
      <w:r>
        <w:rPr>
          <w:rFonts w:hint="eastAsia" w:ascii="宋体" w:hAnsi="宋体" w:eastAsia="宋体"/>
          <w:color w:val="auto"/>
          <w:sz w:val="28"/>
          <w:szCs w:val="28"/>
          <w:highlight w:val="none"/>
        </w:rPr>
        <w:t>条发包人</w:t>
      </w:r>
      <w:bookmarkEnd w:id="640"/>
      <w:bookmarkEnd w:id="641"/>
      <w:bookmarkEnd w:id="642"/>
      <w:bookmarkEnd w:id="643"/>
      <w:bookmarkEnd w:id="644"/>
      <w:bookmarkEnd w:id="645"/>
    </w:p>
    <w:p>
      <w:pPr>
        <w:pStyle w:val="4"/>
        <w:rPr>
          <w:rFonts w:ascii="宋体" w:hAnsi="宋体"/>
          <w:color w:val="auto"/>
          <w:kern w:val="0"/>
          <w:sz w:val="21"/>
          <w:highlight w:val="none"/>
        </w:rPr>
      </w:pPr>
      <w:bookmarkStart w:id="646" w:name="_Toc433988705"/>
      <w:bookmarkStart w:id="647" w:name="_Toc419321252"/>
      <w:bookmarkStart w:id="648" w:name="_Toc419364343"/>
      <w:bookmarkStart w:id="649" w:name="_Toc419320216"/>
      <w:bookmarkStart w:id="650" w:name="_Toc491277255"/>
      <w:bookmarkStart w:id="651" w:name="_Toc419363672"/>
      <w:r>
        <w:rPr>
          <w:rFonts w:ascii="宋体" w:hAnsi="宋体"/>
          <w:color w:val="auto"/>
          <w:kern w:val="0"/>
          <w:sz w:val="21"/>
          <w:highlight w:val="none"/>
        </w:rPr>
        <w:t>2.1</w:t>
      </w:r>
      <w:r>
        <w:rPr>
          <w:rFonts w:hint="eastAsia" w:ascii="宋体" w:hAnsi="宋体"/>
          <w:color w:val="auto"/>
          <w:kern w:val="0"/>
          <w:sz w:val="21"/>
          <w:highlight w:val="none"/>
        </w:rPr>
        <w:t xml:space="preserve">  发包人的主要权利和义务</w:t>
      </w:r>
      <w:bookmarkEnd w:id="646"/>
      <w:bookmarkEnd w:id="647"/>
      <w:bookmarkEnd w:id="648"/>
      <w:bookmarkEnd w:id="649"/>
      <w:bookmarkEnd w:id="650"/>
      <w:bookmarkEnd w:id="651"/>
    </w:p>
    <w:p>
      <w:pPr>
        <w:spacing w:line="300" w:lineRule="auto"/>
        <w:ind w:firstLine="420" w:firstLineChars="200"/>
        <w:rPr>
          <w:color w:val="auto"/>
          <w:highlight w:val="none"/>
        </w:rPr>
      </w:pPr>
      <w:r>
        <w:rPr>
          <w:color w:val="auto"/>
          <w:highlight w:val="none"/>
        </w:rPr>
        <w:t>2.1.1</w:t>
      </w:r>
      <w:r>
        <w:rPr>
          <w:rFonts w:hint="eastAsia"/>
          <w:color w:val="auto"/>
          <w:highlight w:val="none"/>
        </w:rPr>
        <w:t>负责办理项目的审批、核准或备案手续，取得项目用地的使用权，完成拆迁补偿工作，使项目具备法律规定的及合同约定的开工条件，并提供立项文件。</w:t>
      </w:r>
    </w:p>
    <w:p>
      <w:pPr>
        <w:spacing w:line="300" w:lineRule="auto"/>
        <w:ind w:firstLine="420" w:firstLineChars="200"/>
        <w:rPr>
          <w:color w:val="auto"/>
          <w:highlight w:val="none"/>
        </w:rPr>
      </w:pPr>
      <w:r>
        <w:rPr>
          <w:color w:val="auto"/>
          <w:highlight w:val="none"/>
        </w:rPr>
        <w:t>2.1.2</w:t>
      </w:r>
      <w:r>
        <w:rPr>
          <w:rFonts w:hint="eastAsia"/>
          <w:color w:val="auto"/>
          <w:highlight w:val="none"/>
        </w:rPr>
        <w:t>履行合同中约定的合同价格调整、付款、竣工结算义务。</w:t>
      </w:r>
    </w:p>
    <w:p>
      <w:pPr>
        <w:spacing w:line="300" w:lineRule="auto"/>
        <w:ind w:firstLine="420" w:firstLineChars="200"/>
        <w:rPr>
          <w:color w:val="auto"/>
          <w:highlight w:val="none"/>
        </w:rPr>
      </w:pPr>
      <w:r>
        <w:rPr>
          <w:color w:val="auto"/>
          <w:highlight w:val="none"/>
        </w:rPr>
        <w:t>2.1.3</w:t>
      </w:r>
      <w:r>
        <w:rPr>
          <w:rFonts w:hint="eastAsia"/>
          <w:color w:val="auto"/>
          <w:highlight w:val="none"/>
        </w:rPr>
        <w:t>有权按照合同约定和适用法律关于安全、质量、环境保护和职业健康等强制性标准、规范的规定，对承包人的设计、采购、施工、竣工试验等实施工作提议、修改和变更，但不得违反国家强制性标准、规范的规定。</w:t>
      </w:r>
    </w:p>
    <w:p>
      <w:pPr>
        <w:spacing w:line="300" w:lineRule="auto"/>
        <w:ind w:firstLine="420" w:firstLineChars="200"/>
        <w:rPr>
          <w:color w:val="auto"/>
          <w:highlight w:val="none"/>
        </w:rPr>
      </w:pPr>
      <w:r>
        <w:rPr>
          <w:color w:val="auto"/>
          <w:highlight w:val="none"/>
        </w:rPr>
        <w:t>2.1.4</w:t>
      </w:r>
      <w:r>
        <w:rPr>
          <w:rFonts w:hint="eastAsia"/>
          <w:color w:val="auto"/>
          <w:highlight w:val="none"/>
        </w:rPr>
        <w:t>有权根据合同约定，对因承包人原因给发包人带来的任何损失和损害，提出赔偿。</w:t>
      </w:r>
    </w:p>
    <w:p>
      <w:pPr>
        <w:spacing w:line="300" w:lineRule="auto"/>
        <w:ind w:firstLine="420" w:firstLineChars="200"/>
        <w:rPr>
          <w:color w:val="auto"/>
          <w:highlight w:val="none"/>
        </w:rPr>
      </w:pPr>
      <w:r>
        <w:rPr>
          <w:color w:val="auto"/>
          <w:highlight w:val="none"/>
        </w:rPr>
        <w:t>2.1.5</w:t>
      </w:r>
      <w:r>
        <w:rPr>
          <w:rFonts w:hint="eastAsia"/>
          <w:color w:val="auto"/>
          <w:highlight w:val="none"/>
        </w:rPr>
        <w:t>发包人认为必要时，有权以书面形式发出暂停通知。其中，因发包人原因造成的暂停，给承包人造成的费用增加由发包人承担，造成关键路径延误的，竣工日期相应顺延。</w:t>
      </w:r>
    </w:p>
    <w:p>
      <w:pPr>
        <w:pStyle w:val="4"/>
        <w:rPr>
          <w:rFonts w:ascii="宋体" w:hAnsi="宋体"/>
          <w:color w:val="auto"/>
          <w:kern w:val="0"/>
          <w:sz w:val="21"/>
          <w:highlight w:val="none"/>
        </w:rPr>
      </w:pPr>
      <w:bookmarkStart w:id="652" w:name="_Toc419321253"/>
      <w:bookmarkStart w:id="653" w:name="_Toc433988706"/>
      <w:bookmarkStart w:id="654" w:name="_Toc419320217"/>
      <w:bookmarkStart w:id="655" w:name="_Toc419364344"/>
      <w:bookmarkStart w:id="656" w:name="_Toc419363673"/>
      <w:bookmarkStart w:id="657" w:name="_Toc491277256"/>
      <w:r>
        <w:rPr>
          <w:rFonts w:ascii="宋体" w:hAnsi="宋体"/>
          <w:color w:val="auto"/>
          <w:kern w:val="0"/>
          <w:sz w:val="21"/>
          <w:highlight w:val="none"/>
        </w:rPr>
        <w:t>2.2</w:t>
      </w:r>
      <w:r>
        <w:rPr>
          <w:rFonts w:hint="eastAsia" w:ascii="宋体" w:hAnsi="宋体"/>
          <w:color w:val="auto"/>
          <w:kern w:val="0"/>
          <w:sz w:val="21"/>
          <w:highlight w:val="none"/>
        </w:rPr>
        <w:t xml:space="preserve">  发包人代表</w:t>
      </w:r>
      <w:bookmarkEnd w:id="652"/>
      <w:bookmarkEnd w:id="653"/>
      <w:bookmarkEnd w:id="654"/>
      <w:bookmarkEnd w:id="655"/>
      <w:bookmarkEnd w:id="656"/>
      <w:bookmarkEnd w:id="657"/>
    </w:p>
    <w:p>
      <w:pPr>
        <w:spacing w:line="300" w:lineRule="auto"/>
        <w:ind w:firstLine="420" w:firstLineChars="200"/>
        <w:rPr>
          <w:color w:val="auto"/>
          <w:highlight w:val="none"/>
        </w:rPr>
      </w:pPr>
      <w:r>
        <w:rPr>
          <w:rFonts w:hint="eastAsia"/>
          <w:color w:val="auto"/>
          <w:highlight w:val="none"/>
        </w:rPr>
        <w:t>发包人委派代表，行使发包人委托的权利，履行发包人的义务，但发包人代表无权修改合同。发包人代表依据本合同并在其授权范回内履行其职责。发包人代表根据合同约定的范围和事项，向承包人发出的书面通知，由其本人签字后送交项目总负责人。发包人代表的姓名、职务和职责在专用条款约定。发包人决定替换其代表时，应将新任代表的姓名、职务、职权和任命时间在其到任的</w:t>
      </w:r>
      <w:r>
        <w:rPr>
          <w:color w:val="auto"/>
          <w:highlight w:val="none"/>
        </w:rPr>
        <w:t>15</w:t>
      </w:r>
      <w:r>
        <w:rPr>
          <w:rFonts w:hint="eastAsia"/>
          <w:color w:val="auto"/>
          <w:highlight w:val="none"/>
        </w:rPr>
        <w:t>日前，以书面形式通知承包人。</w:t>
      </w:r>
    </w:p>
    <w:p>
      <w:pPr>
        <w:pStyle w:val="4"/>
        <w:rPr>
          <w:rFonts w:ascii="宋体" w:hAnsi="宋体"/>
          <w:color w:val="auto"/>
          <w:kern w:val="0"/>
          <w:sz w:val="21"/>
          <w:highlight w:val="none"/>
        </w:rPr>
      </w:pPr>
      <w:bookmarkStart w:id="658" w:name="_Toc419363674"/>
      <w:bookmarkStart w:id="659" w:name="_Toc491277257"/>
      <w:bookmarkStart w:id="660" w:name="_Toc433988707"/>
      <w:bookmarkStart w:id="661" w:name="_Toc419364345"/>
      <w:bookmarkStart w:id="662" w:name="_Toc419320218"/>
      <w:bookmarkStart w:id="663" w:name="_Toc419321254"/>
      <w:r>
        <w:rPr>
          <w:rFonts w:ascii="宋体" w:hAnsi="宋体"/>
          <w:color w:val="auto"/>
          <w:kern w:val="0"/>
          <w:sz w:val="21"/>
          <w:highlight w:val="none"/>
        </w:rPr>
        <w:t>2.3</w:t>
      </w:r>
      <w:r>
        <w:rPr>
          <w:rFonts w:hint="eastAsia" w:ascii="宋体" w:hAnsi="宋体"/>
          <w:color w:val="auto"/>
          <w:kern w:val="0"/>
          <w:sz w:val="21"/>
          <w:highlight w:val="none"/>
        </w:rPr>
        <w:t xml:space="preserve">  监理人</w:t>
      </w:r>
      <w:bookmarkEnd w:id="658"/>
      <w:bookmarkEnd w:id="659"/>
      <w:bookmarkEnd w:id="660"/>
      <w:bookmarkEnd w:id="661"/>
      <w:bookmarkEnd w:id="662"/>
      <w:bookmarkEnd w:id="663"/>
    </w:p>
    <w:p>
      <w:pPr>
        <w:spacing w:line="300" w:lineRule="auto"/>
        <w:ind w:firstLine="420" w:firstLineChars="200"/>
        <w:rPr>
          <w:color w:val="auto"/>
          <w:highlight w:val="none"/>
        </w:rPr>
      </w:pPr>
      <w:r>
        <w:rPr>
          <w:color w:val="auto"/>
          <w:highlight w:val="none"/>
        </w:rPr>
        <w:t>2.3.1</w:t>
      </w:r>
      <w:r>
        <w:rPr>
          <w:rFonts w:hint="eastAsia"/>
          <w:color w:val="auto"/>
          <w:highlight w:val="none"/>
        </w:rPr>
        <w:t>发包人对工程实行监理的，监理人的名称、工程总监、监理范围、内容和权限在专用条款中写明。</w:t>
      </w:r>
    </w:p>
    <w:p>
      <w:pPr>
        <w:spacing w:line="300" w:lineRule="auto"/>
        <w:ind w:firstLine="420" w:firstLineChars="200"/>
        <w:rPr>
          <w:color w:val="auto"/>
          <w:highlight w:val="none"/>
        </w:rPr>
      </w:pPr>
      <w:r>
        <w:rPr>
          <w:rFonts w:hint="eastAsia"/>
          <w:color w:val="auto"/>
          <w:highlight w:val="none"/>
        </w:rPr>
        <w:t>监理人按发包人委托监理的范围、内容、职权利权限，代表发包人对承包人实施监督。监理人向承包人发出的通知，以书面形式由工程总监签字后送交承包人实施，并抄送发包人。</w:t>
      </w:r>
    </w:p>
    <w:p>
      <w:pPr>
        <w:spacing w:line="300" w:lineRule="auto"/>
        <w:ind w:firstLine="420" w:firstLineChars="200"/>
        <w:rPr>
          <w:color w:val="auto"/>
          <w:highlight w:val="none"/>
        </w:rPr>
      </w:pPr>
      <w:r>
        <w:rPr>
          <w:color w:val="auto"/>
          <w:highlight w:val="none"/>
        </w:rPr>
        <w:t>2.3.2</w:t>
      </w:r>
      <w:r>
        <w:rPr>
          <w:rFonts w:hint="eastAsia"/>
          <w:color w:val="auto"/>
          <w:highlight w:val="none"/>
        </w:rPr>
        <w:t>工程总监的职权与发包人代表的职权相重叠或不明确时，由发包人予以协调和明确，并以书面形式通知承包人。</w:t>
      </w:r>
    </w:p>
    <w:p>
      <w:pPr>
        <w:spacing w:line="300" w:lineRule="auto"/>
        <w:ind w:firstLine="420" w:firstLineChars="200"/>
        <w:rPr>
          <w:color w:val="auto"/>
          <w:highlight w:val="none"/>
        </w:rPr>
      </w:pPr>
      <w:r>
        <w:rPr>
          <w:color w:val="auto"/>
          <w:highlight w:val="none"/>
        </w:rPr>
        <w:t>2.3.3</w:t>
      </w:r>
      <w:r>
        <w:rPr>
          <w:rFonts w:hint="eastAsia"/>
          <w:color w:val="auto"/>
          <w:highlight w:val="none"/>
        </w:rPr>
        <w:t>除专用条款另有约定外，工程总监无权改变本合同当事人的任何权利和义务。</w:t>
      </w:r>
    </w:p>
    <w:p>
      <w:pPr>
        <w:spacing w:line="300" w:lineRule="auto"/>
        <w:ind w:firstLine="420" w:firstLineChars="200"/>
        <w:rPr>
          <w:color w:val="auto"/>
          <w:highlight w:val="none"/>
        </w:rPr>
      </w:pPr>
      <w:r>
        <w:rPr>
          <w:color w:val="auto"/>
          <w:highlight w:val="none"/>
        </w:rPr>
        <w:t>2.3.4</w:t>
      </w:r>
      <w:r>
        <w:rPr>
          <w:rFonts w:hint="eastAsia"/>
          <w:color w:val="auto"/>
          <w:highlight w:val="none"/>
        </w:rPr>
        <w:t>发包人更换工程总监时，应提前</w:t>
      </w:r>
      <w:r>
        <w:rPr>
          <w:color w:val="auto"/>
          <w:highlight w:val="none"/>
        </w:rPr>
        <w:t>5</w:t>
      </w:r>
      <w:r>
        <w:rPr>
          <w:rFonts w:hint="eastAsia"/>
          <w:color w:val="auto"/>
          <w:highlight w:val="none"/>
        </w:rPr>
        <w:t>日以书面形式通知承包人，并在通知中写明替换者的姓名、职务、职权、权限和任命时间。</w:t>
      </w:r>
    </w:p>
    <w:p>
      <w:pPr>
        <w:pStyle w:val="4"/>
        <w:rPr>
          <w:rFonts w:ascii="宋体" w:hAnsi="宋体"/>
          <w:color w:val="auto"/>
          <w:kern w:val="0"/>
          <w:sz w:val="21"/>
          <w:highlight w:val="none"/>
        </w:rPr>
      </w:pPr>
      <w:bookmarkStart w:id="664" w:name="_Toc419363675"/>
      <w:bookmarkStart w:id="665" w:name="_Toc491277258"/>
      <w:bookmarkStart w:id="666" w:name="_Toc419364346"/>
      <w:bookmarkStart w:id="667" w:name="_Toc433988708"/>
      <w:bookmarkStart w:id="668" w:name="_Toc419320219"/>
      <w:bookmarkStart w:id="669" w:name="_Toc419321255"/>
      <w:r>
        <w:rPr>
          <w:rFonts w:ascii="宋体" w:hAnsi="宋体"/>
          <w:color w:val="auto"/>
          <w:kern w:val="0"/>
          <w:sz w:val="21"/>
          <w:highlight w:val="none"/>
        </w:rPr>
        <w:t>2.4</w:t>
      </w:r>
      <w:r>
        <w:rPr>
          <w:rFonts w:hint="eastAsia" w:ascii="宋体" w:hAnsi="宋体"/>
          <w:color w:val="auto"/>
          <w:kern w:val="0"/>
          <w:sz w:val="21"/>
          <w:highlight w:val="none"/>
        </w:rPr>
        <w:t xml:space="preserve">  安全保证</w:t>
      </w:r>
      <w:bookmarkEnd w:id="664"/>
      <w:bookmarkEnd w:id="665"/>
      <w:bookmarkEnd w:id="666"/>
      <w:bookmarkEnd w:id="667"/>
      <w:bookmarkEnd w:id="668"/>
      <w:bookmarkEnd w:id="669"/>
    </w:p>
    <w:p>
      <w:pPr>
        <w:spacing w:line="300" w:lineRule="auto"/>
        <w:ind w:firstLine="420" w:firstLineChars="200"/>
        <w:rPr>
          <w:color w:val="auto"/>
          <w:highlight w:val="none"/>
        </w:rPr>
      </w:pPr>
      <w:r>
        <w:rPr>
          <w:color w:val="auto"/>
          <w:highlight w:val="none"/>
        </w:rPr>
        <w:t>2.4.1</w:t>
      </w:r>
      <w:r>
        <w:rPr>
          <w:rFonts w:hint="eastAsia"/>
          <w:color w:val="auto"/>
          <w:highlight w:val="none"/>
        </w:rPr>
        <w:t>除专用条款另有约定外，发包人应负责协调处理施工现场周围的地下、地上已有设施和邻近建筑物、构筑物、古树名本、文物及坟墓等的安全保护工作，维护现场周围的正常秩序，并承担相关费用。</w:t>
      </w:r>
    </w:p>
    <w:p>
      <w:pPr>
        <w:spacing w:line="300" w:lineRule="auto"/>
        <w:ind w:firstLine="420" w:firstLineChars="200"/>
        <w:rPr>
          <w:color w:val="auto"/>
          <w:highlight w:val="none"/>
        </w:rPr>
      </w:pPr>
      <w:r>
        <w:rPr>
          <w:color w:val="auto"/>
          <w:highlight w:val="none"/>
        </w:rPr>
        <w:t>2.4.2</w:t>
      </w:r>
      <w:r>
        <w:rPr>
          <w:rFonts w:hint="eastAsia"/>
          <w:color w:val="auto"/>
          <w:highlight w:val="none"/>
        </w:rPr>
        <w:t>除专用条款另有约定外，发包人应负货对工程现场临近发包人正在使用、运行、或由发包人用于生产的建筑物、构筑物、生产装置、设施、设备等，设置隔离设施，竖立禁止入内、禁止动火的明显标志，并以书面形式通知承包人须遵守的安全规定和位置范围。因发包人的原因给承包人造成的损失和伤害，由发包人负责。</w:t>
      </w:r>
    </w:p>
    <w:p>
      <w:pPr>
        <w:spacing w:line="300" w:lineRule="auto"/>
        <w:ind w:firstLine="420" w:firstLineChars="200"/>
        <w:rPr>
          <w:color w:val="auto"/>
          <w:highlight w:val="none"/>
        </w:rPr>
      </w:pPr>
      <w:r>
        <w:rPr>
          <w:color w:val="auto"/>
          <w:highlight w:val="none"/>
        </w:rPr>
        <w:t>2.4.3</w:t>
      </w:r>
      <w:r>
        <w:rPr>
          <w:rFonts w:hint="eastAsia"/>
          <w:color w:val="auto"/>
          <w:highlight w:val="none"/>
        </w:rPr>
        <w:t>本合同未作约定，而在工程主体结构或工程主要装置完成后，发包人要求进行涉及建筑主体及承重结构变动、或涉及重大工艺变化的装修工程时，双方可另行签订委托合同，作为本合同附件。</w:t>
      </w:r>
    </w:p>
    <w:p>
      <w:pPr>
        <w:spacing w:line="300" w:lineRule="auto"/>
        <w:ind w:firstLine="420" w:firstLineChars="200"/>
        <w:rPr>
          <w:color w:val="auto"/>
          <w:highlight w:val="none"/>
        </w:rPr>
      </w:pPr>
      <w:r>
        <w:rPr>
          <w:rFonts w:hint="eastAsia"/>
          <w:color w:val="auto"/>
          <w:highlight w:val="none"/>
        </w:rPr>
        <w:t>发包人自行决定此类装修或发包人与第三方签订委托合同，由发包人或发包人另行委托的第三方提出设计方案及施工的，由此造成的损失、损害由发包人负责</w:t>
      </w:r>
      <w:r>
        <w:rPr>
          <w:color w:val="auto"/>
          <w:highlight w:val="none"/>
        </w:rPr>
        <w:t>.</w:t>
      </w:r>
    </w:p>
    <w:p>
      <w:pPr>
        <w:spacing w:line="300" w:lineRule="auto"/>
        <w:ind w:firstLine="420" w:firstLineChars="200"/>
        <w:rPr>
          <w:color w:val="auto"/>
          <w:highlight w:val="none"/>
        </w:rPr>
      </w:pPr>
      <w:r>
        <w:rPr>
          <w:color w:val="auto"/>
          <w:highlight w:val="none"/>
        </w:rPr>
        <w:t>2.4.4</w:t>
      </w:r>
      <w:r>
        <w:rPr>
          <w:rFonts w:hint="eastAsia"/>
          <w:color w:val="auto"/>
          <w:highlight w:val="none"/>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pPr>
        <w:spacing w:line="300" w:lineRule="auto"/>
        <w:ind w:firstLine="420" w:firstLineChars="200"/>
        <w:rPr>
          <w:color w:val="auto"/>
          <w:highlight w:val="none"/>
        </w:rPr>
      </w:pPr>
      <w:r>
        <w:rPr>
          <w:color w:val="auto"/>
          <w:highlight w:val="none"/>
        </w:rPr>
        <w:t>2.4.5</w:t>
      </w:r>
      <w:r>
        <w:rPr>
          <w:rFonts w:hint="eastAsia"/>
          <w:color w:val="auto"/>
          <w:highlight w:val="none"/>
        </w:rPr>
        <w:t>发包人、发包人代表、雇员、监理人及其委托的其它人员应遵守</w:t>
      </w:r>
      <w:r>
        <w:rPr>
          <w:color w:val="auto"/>
          <w:highlight w:val="none"/>
        </w:rPr>
        <w:t>7.8</w:t>
      </w:r>
      <w:r>
        <w:rPr>
          <w:rFonts w:hint="eastAsia"/>
          <w:color w:val="auto"/>
          <w:highlight w:val="none"/>
        </w:rPr>
        <w:t>款健康、安全和环境保护的相关约定。</w:t>
      </w:r>
    </w:p>
    <w:p>
      <w:pPr>
        <w:pStyle w:val="4"/>
        <w:rPr>
          <w:rFonts w:ascii="宋体" w:hAnsi="宋体"/>
          <w:color w:val="auto"/>
          <w:kern w:val="0"/>
          <w:sz w:val="21"/>
          <w:highlight w:val="none"/>
        </w:rPr>
      </w:pPr>
      <w:bookmarkStart w:id="670" w:name="_Toc491277259"/>
      <w:bookmarkStart w:id="671" w:name="_Toc419364347"/>
      <w:bookmarkStart w:id="672" w:name="_Toc433988709"/>
      <w:bookmarkStart w:id="673" w:name="_Toc419363676"/>
      <w:bookmarkStart w:id="674" w:name="_Toc419320220"/>
      <w:bookmarkStart w:id="675" w:name="_Toc419321256"/>
      <w:r>
        <w:rPr>
          <w:rFonts w:ascii="宋体" w:hAnsi="宋体"/>
          <w:color w:val="auto"/>
          <w:kern w:val="0"/>
          <w:sz w:val="21"/>
          <w:highlight w:val="none"/>
        </w:rPr>
        <w:t>2.5</w:t>
      </w:r>
      <w:r>
        <w:rPr>
          <w:rFonts w:hint="eastAsia" w:ascii="宋体" w:hAnsi="宋体"/>
          <w:color w:val="auto"/>
          <w:kern w:val="0"/>
          <w:sz w:val="21"/>
          <w:highlight w:val="none"/>
        </w:rPr>
        <w:t xml:space="preserve">  保安责任</w:t>
      </w:r>
      <w:bookmarkEnd w:id="670"/>
      <w:bookmarkEnd w:id="671"/>
      <w:bookmarkEnd w:id="672"/>
      <w:bookmarkEnd w:id="673"/>
      <w:bookmarkEnd w:id="674"/>
      <w:bookmarkEnd w:id="675"/>
    </w:p>
    <w:p>
      <w:pPr>
        <w:spacing w:line="300" w:lineRule="auto"/>
        <w:ind w:firstLine="420" w:firstLineChars="200"/>
        <w:rPr>
          <w:color w:val="auto"/>
          <w:highlight w:val="none"/>
        </w:rPr>
      </w:pPr>
      <w:r>
        <w:rPr>
          <w:color w:val="auto"/>
          <w:highlight w:val="none"/>
        </w:rPr>
        <w:t>2.5.1</w:t>
      </w:r>
      <w:r>
        <w:rPr>
          <w:rFonts w:hint="eastAsia"/>
          <w:color w:val="auto"/>
          <w:highlight w:val="none"/>
        </w:rPr>
        <w:t>现场保安工作的责任主体由专用条款约定。承担现场保安工作的一方负责与当地有关治安部门的联系、沟通和协调，并承担所发生的相关费用。</w:t>
      </w:r>
    </w:p>
    <w:p>
      <w:pPr>
        <w:spacing w:line="300" w:lineRule="auto"/>
        <w:ind w:firstLine="420" w:firstLineChars="200"/>
        <w:rPr>
          <w:color w:val="auto"/>
          <w:highlight w:val="none"/>
        </w:rPr>
      </w:pPr>
      <w:r>
        <w:rPr>
          <w:color w:val="auto"/>
          <w:highlight w:val="none"/>
        </w:rPr>
        <w:t>2.5.2</w:t>
      </w:r>
      <w:r>
        <w:rPr>
          <w:rFonts w:hint="eastAsia"/>
          <w:color w:val="auto"/>
          <w:highlight w:val="none"/>
        </w:rPr>
        <w:t>发包人与承包人商定工程实施阶段及区域的保安责任划分，并编制各自的相关保安制度、责任制度和报告制度，作为合同附件。</w:t>
      </w:r>
    </w:p>
    <w:p>
      <w:pPr>
        <w:spacing w:line="300" w:lineRule="auto"/>
        <w:ind w:firstLine="420" w:firstLineChars="200"/>
        <w:rPr>
          <w:color w:val="auto"/>
          <w:highlight w:val="none"/>
        </w:rPr>
      </w:pPr>
      <w:r>
        <w:rPr>
          <w:color w:val="auto"/>
          <w:highlight w:val="none"/>
        </w:rPr>
        <w:t>2.5.3</w:t>
      </w:r>
      <w:r>
        <w:rPr>
          <w:rFonts w:hint="eastAsia"/>
          <w:color w:val="auto"/>
          <w:highlight w:val="none"/>
        </w:rPr>
        <w:t>发包人按合同约定占用的区域、接收的单项工程和工程，由发包人承担相关保安工作，及因此产生的费用、损害和责任。</w:t>
      </w:r>
    </w:p>
    <w:p>
      <w:pPr>
        <w:pStyle w:val="2"/>
        <w:rPr>
          <w:rFonts w:ascii="宋体" w:hAnsi="宋体" w:eastAsia="宋体"/>
          <w:color w:val="auto"/>
          <w:sz w:val="28"/>
          <w:szCs w:val="28"/>
          <w:highlight w:val="none"/>
        </w:rPr>
      </w:pPr>
      <w:bookmarkStart w:id="676" w:name="_Toc419363677"/>
      <w:bookmarkStart w:id="677" w:name="_Toc419320221"/>
      <w:bookmarkStart w:id="678" w:name="_Toc419364348"/>
      <w:bookmarkStart w:id="679" w:name="_Toc491277260"/>
      <w:bookmarkStart w:id="680" w:name="_Toc433988710"/>
      <w:bookmarkStart w:id="681" w:name="_Toc419321257"/>
      <w:r>
        <w:rPr>
          <w:rFonts w:hint="eastAsia" w:ascii="宋体" w:hAnsi="宋体" w:eastAsia="宋体"/>
          <w:color w:val="auto"/>
          <w:sz w:val="28"/>
          <w:szCs w:val="28"/>
          <w:highlight w:val="none"/>
        </w:rPr>
        <w:t>第</w:t>
      </w:r>
      <w:r>
        <w:rPr>
          <w:rFonts w:ascii="宋体" w:hAnsi="宋体" w:eastAsia="宋体"/>
          <w:color w:val="auto"/>
          <w:sz w:val="28"/>
          <w:szCs w:val="28"/>
          <w:highlight w:val="none"/>
        </w:rPr>
        <w:t>3</w:t>
      </w:r>
      <w:r>
        <w:rPr>
          <w:rFonts w:hint="eastAsia" w:ascii="宋体" w:hAnsi="宋体" w:eastAsia="宋体"/>
          <w:color w:val="auto"/>
          <w:sz w:val="28"/>
          <w:szCs w:val="28"/>
          <w:highlight w:val="none"/>
        </w:rPr>
        <w:t>条承包人</w:t>
      </w:r>
      <w:bookmarkEnd w:id="676"/>
      <w:bookmarkEnd w:id="677"/>
      <w:bookmarkEnd w:id="678"/>
      <w:bookmarkEnd w:id="679"/>
      <w:bookmarkEnd w:id="680"/>
      <w:bookmarkEnd w:id="681"/>
    </w:p>
    <w:p>
      <w:pPr>
        <w:pStyle w:val="4"/>
        <w:rPr>
          <w:rFonts w:ascii="宋体" w:hAnsi="宋体"/>
          <w:color w:val="auto"/>
          <w:kern w:val="0"/>
          <w:sz w:val="21"/>
          <w:highlight w:val="none"/>
        </w:rPr>
      </w:pPr>
      <w:bookmarkStart w:id="682" w:name="_Toc491277261"/>
      <w:bookmarkStart w:id="683" w:name="_Toc419363678"/>
      <w:bookmarkStart w:id="684" w:name="_Toc419364349"/>
      <w:bookmarkStart w:id="685" w:name="_Toc419321258"/>
      <w:bookmarkStart w:id="686" w:name="_Toc433988711"/>
      <w:bookmarkStart w:id="687" w:name="_Toc419320222"/>
      <w:r>
        <w:rPr>
          <w:rFonts w:ascii="宋体" w:hAnsi="宋体"/>
          <w:color w:val="auto"/>
          <w:kern w:val="0"/>
          <w:sz w:val="21"/>
          <w:highlight w:val="none"/>
        </w:rPr>
        <w:t>3.1</w:t>
      </w:r>
      <w:r>
        <w:rPr>
          <w:rFonts w:hint="eastAsia" w:ascii="宋体" w:hAnsi="宋体"/>
          <w:color w:val="auto"/>
          <w:kern w:val="0"/>
          <w:sz w:val="21"/>
          <w:highlight w:val="none"/>
        </w:rPr>
        <w:t xml:space="preserve">  承包人的主要权利和义务</w:t>
      </w:r>
      <w:bookmarkEnd w:id="682"/>
      <w:bookmarkEnd w:id="683"/>
      <w:bookmarkEnd w:id="684"/>
      <w:bookmarkEnd w:id="685"/>
      <w:bookmarkEnd w:id="686"/>
      <w:bookmarkEnd w:id="687"/>
    </w:p>
    <w:p>
      <w:pPr>
        <w:spacing w:line="300" w:lineRule="auto"/>
        <w:ind w:firstLine="420" w:firstLineChars="200"/>
        <w:rPr>
          <w:color w:val="auto"/>
          <w:highlight w:val="none"/>
        </w:rPr>
      </w:pPr>
      <w:r>
        <w:rPr>
          <w:color w:val="auto"/>
          <w:highlight w:val="none"/>
        </w:rPr>
        <w:t>3.1.1</w:t>
      </w:r>
      <w:r>
        <w:rPr>
          <w:rFonts w:hint="eastAsia"/>
          <w:color w:val="auto"/>
          <w:highlight w:val="none"/>
        </w:rPr>
        <w:t>承包人应按照合同约定的标准、规范、工程的功能、规模、考核目标和竣工日期，完成设计、采购、施工、竣工试验和（或）指导竣工后试验等工作，不得违反国家强制性标准、规范的规定。</w:t>
      </w:r>
    </w:p>
    <w:p>
      <w:pPr>
        <w:spacing w:line="300" w:lineRule="auto"/>
        <w:ind w:firstLine="420" w:firstLineChars="200"/>
        <w:rPr>
          <w:color w:val="auto"/>
          <w:highlight w:val="none"/>
        </w:rPr>
      </w:pPr>
      <w:r>
        <w:rPr>
          <w:rFonts w:hint="eastAsia"/>
          <w:color w:val="auto"/>
          <w:highlight w:val="none"/>
        </w:rPr>
        <w:t>本工程的具体承包范围，应依据合同协议书第一项“工程概况”中有关“工程承包范围”的约定。</w:t>
      </w:r>
    </w:p>
    <w:p>
      <w:pPr>
        <w:spacing w:line="300" w:lineRule="auto"/>
        <w:ind w:firstLine="420" w:firstLineChars="200"/>
        <w:rPr>
          <w:color w:val="auto"/>
          <w:highlight w:val="none"/>
        </w:rPr>
      </w:pPr>
      <w:r>
        <w:rPr>
          <w:color w:val="auto"/>
          <w:highlight w:val="none"/>
        </w:rPr>
        <w:t>3.1.2</w:t>
      </w:r>
      <w:r>
        <w:rPr>
          <w:rFonts w:hint="eastAsia"/>
          <w:color w:val="auto"/>
          <w:highlight w:val="none"/>
        </w:rPr>
        <w:t>承包人应按合同约定，自费修复因承包人原因引起的设计、文件、设备、材料、部件、施工中存在的缺陷、或在竣工试验和竣工后试验中发现的缺陷。</w:t>
      </w:r>
    </w:p>
    <w:p>
      <w:pPr>
        <w:spacing w:line="300" w:lineRule="auto"/>
        <w:ind w:firstLine="420" w:firstLineChars="200"/>
        <w:rPr>
          <w:color w:val="auto"/>
          <w:highlight w:val="none"/>
        </w:rPr>
      </w:pPr>
      <w:r>
        <w:rPr>
          <w:color w:val="auto"/>
          <w:highlight w:val="none"/>
        </w:rPr>
        <w:t>3.1.3</w:t>
      </w:r>
      <w:r>
        <w:rPr>
          <w:rFonts w:hint="eastAsia"/>
          <w:color w:val="auto"/>
          <w:highlight w:val="none"/>
        </w:rPr>
        <w:t>承包人应按合同约定和发包人的要求，提交相关报表。报表的类别、名称、内容、报告期、提交时间和份数，在专用条款中约定。</w:t>
      </w:r>
    </w:p>
    <w:p>
      <w:pPr>
        <w:spacing w:line="300" w:lineRule="auto"/>
        <w:ind w:firstLine="420" w:firstLineChars="200"/>
        <w:rPr>
          <w:color w:val="auto"/>
          <w:highlight w:val="none"/>
        </w:rPr>
      </w:pPr>
      <w:r>
        <w:rPr>
          <w:color w:val="auto"/>
          <w:highlight w:val="none"/>
        </w:rPr>
        <w:t>3.1.4</w:t>
      </w:r>
      <w:r>
        <w:rPr>
          <w:rFonts w:hint="eastAsia"/>
          <w:color w:val="auto"/>
          <w:highlight w:val="none"/>
        </w:rPr>
        <w:t>承包人有权根据</w:t>
      </w:r>
      <w:r>
        <w:rPr>
          <w:color w:val="auto"/>
          <w:highlight w:val="none"/>
        </w:rPr>
        <w:t>4.6.4</w:t>
      </w:r>
      <w:r>
        <w:rPr>
          <w:rFonts w:hint="eastAsia"/>
          <w:color w:val="auto"/>
          <w:highlight w:val="none"/>
        </w:rPr>
        <w:t>款承包人的复工要求、</w:t>
      </w:r>
      <w:r>
        <w:rPr>
          <w:color w:val="auto"/>
          <w:highlight w:val="none"/>
        </w:rPr>
        <w:t>14.9</w:t>
      </w:r>
      <w:r>
        <w:rPr>
          <w:rFonts w:hint="eastAsia"/>
          <w:color w:val="auto"/>
          <w:highlight w:val="none"/>
        </w:rPr>
        <w:t>款付款时间延误和</w:t>
      </w:r>
      <w:r>
        <w:rPr>
          <w:color w:val="auto"/>
          <w:highlight w:val="none"/>
        </w:rPr>
        <w:t>17</w:t>
      </w:r>
      <w:r>
        <w:rPr>
          <w:rFonts w:hint="eastAsia"/>
          <w:color w:val="auto"/>
          <w:highlight w:val="none"/>
        </w:rPr>
        <w:t>条不可抗力的约定，以书面形式向发包人发出暂停迫知。除此之外，凡因承包人原因的暂停，造成承包人的费用增加由其自负，造成关键路径延误的应自费赶上。</w:t>
      </w:r>
    </w:p>
    <w:p>
      <w:pPr>
        <w:spacing w:line="300" w:lineRule="auto"/>
        <w:ind w:firstLine="420" w:firstLineChars="200"/>
        <w:rPr>
          <w:color w:val="auto"/>
          <w:highlight w:val="none"/>
        </w:rPr>
      </w:pPr>
      <w:r>
        <w:rPr>
          <w:color w:val="auto"/>
          <w:highlight w:val="none"/>
        </w:rPr>
        <w:t>3.1.5</w:t>
      </w:r>
      <w:r>
        <w:rPr>
          <w:rFonts w:hint="eastAsia"/>
          <w:color w:val="auto"/>
          <w:highlight w:val="none"/>
        </w:rPr>
        <w:t>对因发包人原因给承包人带来任何损失、损失或造成工程关键路径延误的，承包人有权要求赔偿和（或）延长竣工日期。</w:t>
      </w:r>
    </w:p>
    <w:p>
      <w:pPr>
        <w:pStyle w:val="4"/>
        <w:rPr>
          <w:rFonts w:ascii="宋体" w:hAnsi="宋体"/>
          <w:color w:val="auto"/>
          <w:kern w:val="0"/>
          <w:sz w:val="21"/>
          <w:highlight w:val="none"/>
        </w:rPr>
      </w:pPr>
      <w:bookmarkStart w:id="688" w:name="_Toc419320223"/>
      <w:bookmarkStart w:id="689" w:name="_Toc433988712"/>
      <w:bookmarkStart w:id="690" w:name="_Toc491277262"/>
      <w:bookmarkStart w:id="691" w:name="_Toc419364350"/>
      <w:bookmarkStart w:id="692" w:name="_Toc419363679"/>
      <w:bookmarkStart w:id="693" w:name="_Toc419321259"/>
      <w:r>
        <w:rPr>
          <w:rFonts w:ascii="宋体" w:hAnsi="宋体"/>
          <w:color w:val="auto"/>
          <w:kern w:val="0"/>
          <w:sz w:val="21"/>
          <w:highlight w:val="none"/>
        </w:rPr>
        <w:t>3.2</w:t>
      </w:r>
      <w:r>
        <w:rPr>
          <w:rFonts w:hint="eastAsia" w:ascii="宋体" w:hAnsi="宋体"/>
          <w:color w:val="auto"/>
          <w:kern w:val="0"/>
          <w:sz w:val="21"/>
          <w:highlight w:val="none"/>
        </w:rPr>
        <w:t xml:space="preserve">  项目总负责人</w:t>
      </w:r>
      <w:bookmarkEnd w:id="688"/>
      <w:bookmarkEnd w:id="689"/>
      <w:bookmarkEnd w:id="690"/>
      <w:bookmarkEnd w:id="691"/>
      <w:bookmarkEnd w:id="692"/>
      <w:bookmarkEnd w:id="693"/>
    </w:p>
    <w:p>
      <w:pPr>
        <w:spacing w:line="300" w:lineRule="auto"/>
        <w:ind w:firstLine="420" w:firstLineChars="200"/>
        <w:rPr>
          <w:color w:val="auto"/>
          <w:highlight w:val="none"/>
        </w:rPr>
      </w:pPr>
      <w:r>
        <w:rPr>
          <w:color w:val="auto"/>
          <w:highlight w:val="none"/>
        </w:rPr>
        <w:t>3.2.1</w:t>
      </w:r>
      <w:r>
        <w:rPr>
          <w:rFonts w:hint="eastAsia"/>
          <w:color w:val="auto"/>
          <w:highlight w:val="none"/>
        </w:rPr>
        <w:t>项目总负责人，应是当事人双方所确认的人选。项目总负责人经授权并代表承包人负责履行本合同。项目总负责人的姓名、职责和权限在专用条款中约定。</w:t>
      </w:r>
    </w:p>
    <w:p>
      <w:pPr>
        <w:spacing w:line="300" w:lineRule="auto"/>
        <w:ind w:firstLine="420" w:firstLineChars="200"/>
        <w:rPr>
          <w:color w:val="auto"/>
          <w:highlight w:val="none"/>
        </w:rPr>
      </w:pPr>
      <w:r>
        <w:rPr>
          <w:color w:val="auto"/>
          <w:highlight w:val="none"/>
        </w:rPr>
        <w:t xml:space="preserve">3.2.2 </w:t>
      </w:r>
      <w:r>
        <w:rPr>
          <w:rFonts w:hint="eastAsia"/>
          <w:color w:val="auto"/>
          <w:highlight w:val="none"/>
        </w:rPr>
        <w:t>项目总负责人应是承包人的员工，承包人应在合同生效后</w:t>
      </w:r>
      <w:r>
        <w:rPr>
          <w:color w:val="auto"/>
          <w:highlight w:val="none"/>
        </w:rPr>
        <w:t>10</w:t>
      </w:r>
      <w:r>
        <w:rPr>
          <w:rFonts w:hint="eastAsia"/>
          <w:color w:val="auto"/>
          <w:highlight w:val="none"/>
        </w:rPr>
        <w:t>日内向发包人提交项目总负责人与承包人之间的劳动合同，以及承包人为项目总负责人缴纳社会保险的有效证明，承包人不提交上述文件的，项目总负责人无权履行职责，由此影响工程进度或发生其它问题的，由承包人承担责任。</w:t>
      </w:r>
    </w:p>
    <w:p>
      <w:pPr>
        <w:spacing w:line="300" w:lineRule="auto"/>
        <w:ind w:firstLine="420" w:firstLineChars="200"/>
        <w:rPr>
          <w:color w:val="auto"/>
          <w:highlight w:val="none"/>
        </w:rPr>
      </w:pPr>
      <w:r>
        <w:rPr>
          <w:rFonts w:hint="eastAsia"/>
          <w:color w:val="auto"/>
          <w:highlight w:val="none"/>
        </w:rPr>
        <w:t>承包人违反上述约定的，按照专用条款的约定，承担违约责任。</w:t>
      </w:r>
    </w:p>
    <w:p>
      <w:pPr>
        <w:spacing w:line="300" w:lineRule="auto"/>
        <w:ind w:firstLine="420" w:firstLineChars="200"/>
        <w:rPr>
          <w:color w:val="auto"/>
          <w:highlight w:val="none"/>
        </w:rPr>
      </w:pPr>
      <w:r>
        <w:rPr>
          <w:color w:val="auto"/>
          <w:highlight w:val="none"/>
        </w:rPr>
        <w:t xml:space="preserve">3.2.3 </w:t>
      </w:r>
      <w:r>
        <w:rPr>
          <w:rFonts w:hint="eastAsia"/>
          <w:color w:val="auto"/>
          <w:highlight w:val="none"/>
        </w:rPr>
        <w:t>项目总负责人按合同约定的项目进度计划，并按发包人代表和（或</w:t>
      </w:r>
      <w:r>
        <w:rPr>
          <w:color w:val="auto"/>
          <w:highlight w:val="none"/>
        </w:rPr>
        <w:t>)</w:t>
      </w:r>
      <w:r>
        <w:rPr>
          <w:rFonts w:hint="eastAsia"/>
          <w:color w:val="auto"/>
          <w:highlight w:val="none"/>
        </w:rPr>
        <w:t>工程总监依据合同发出的指令组织项目实施。在紧急情况下，且无法与发包人代表和（或</w:t>
      </w:r>
      <w:r>
        <w:rPr>
          <w:color w:val="auto"/>
          <w:highlight w:val="none"/>
        </w:rPr>
        <w:t>)</w:t>
      </w:r>
      <w:r>
        <w:rPr>
          <w:rFonts w:hint="eastAsia"/>
          <w:color w:val="auto"/>
          <w:highlight w:val="none"/>
        </w:rPr>
        <w:t>工程总监取得联系时，项目总负责人有权采取必要的措施保证人身、工程和财产的安全，但须在事后</w:t>
      </w:r>
      <w:r>
        <w:rPr>
          <w:color w:val="auto"/>
          <w:highlight w:val="none"/>
        </w:rPr>
        <w:t>48</w:t>
      </w:r>
      <w:r>
        <w:rPr>
          <w:rFonts w:hint="eastAsia"/>
          <w:color w:val="auto"/>
          <w:highlight w:val="none"/>
        </w:rPr>
        <w:t>小时内向发包人代表和（或</w:t>
      </w:r>
      <w:r>
        <w:rPr>
          <w:color w:val="auto"/>
          <w:highlight w:val="none"/>
        </w:rPr>
        <w:t>)</w:t>
      </w:r>
      <w:r>
        <w:rPr>
          <w:rFonts w:hint="eastAsia"/>
          <w:color w:val="auto"/>
          <w:highlight w:val="none"/>
        </w:rPr>
        <w:t>工程总监送交书面报告。</w:t>
      </w:r>
    </w:p>
    <w:p>
      <w:pPr>
        <w:pStyle w:val="4"/>
        <w:rPr>
          <w:rFonts w:ascii="宋体" w:hAnsi="宋体"/>
          <w:color w:val="auto"/>
          <w:kern w:val="0"/>
          <w:sz w:val="21"/>
          <w:highlight w:val="none"/>
        </w:rPr>
      </w:pPr>
      <w:bookmarkStart w:id="694" w:name="_Toc419364351"/>
      <w:bookmarkStart w:id="695" w:name="_Toc419320224"/>
      <w:bookmarkStart w:id="696" w:name="_Toc419321260"/>
      <w:bookmarkStart w:id="697" w:name="_Toc419363680"/>
      <w:bookmarkStart w:id="698" w:name="_Toc433988713"/>
      <w:bookmarkStart w:id="699" w:name="_Toc491277263"/>
      <w:r>
        <w:rPr>
          <w:rFonts w:ascii="宋体" w:hAnsi="宋体"/>
          <w:color w:val="auto"/>
          <w:kern w:val="0"/>
          <w:sz w:val="21"/>
          <w:highlight w:val="none"/>
        </w:rPr>
        <w:t>3.</w:t>
      </w:r>
      <w:r>
        <w:rPr>
          <w:rFonts w:hint="eastAsia" w:ascii="宋体" w:hAnsi="宋体"/>
          <w:color w:val="auto"/>
          <w:kern w:val="0"/>
          <w:sz w:val="21"/>
          <w:highlight w:val="none"/>
        </w:rPr>
        <w:t>3  项目设计负责人</w:t>
      </w:r>
      <w:bookmarkEnd w:id="694"/>
      <w:bookmarkEnd w:id="695"/>
      <w:bookmarkEnd w:id="696"/>
      <w:bookmarkEnd w:id="697"/>
      <w:bookmarkEnd w:id="698"/>
      <w:bookmarkEnd w:id="699"/>
    </w:p>
    <w:p>
      <w:pPr>
        <w:spacing w:line="300" w:lineRule="auto"/>
        <w:ind w:firstLine="420" w:firstLineChars="200"/>
        <w:rPr>
          <w:color w:val="auto"/>
          <w:highlight w:val="none"/>
        </w:rPr>
      </w:pPr>
      <w:r>
        <w:rPr>
          <w:color w:val="auto"/>
          <w:highlight w:val="none"/>
        </w:rPr>
        <w:t>3.</w:t>
      </w:r>
      <w:r>
        <w:rPr>
          <w:rFonts w:hint="eastAsia"/>
          <w:color w:val="auto"/>
          <w:highlight w:val="none"/>
        </w:rPr>
        <w:t>3</w:t>
      </w:r>
      <w:r>
        <w:rPr>
          <w:color w:val="auto"/>
          <w:highlight w:val="none"/>
        </w:rPr>
        <w:t>.1</w:t>
      </w:r>
      <w:r>
        <w:rPr>
          <w:rFonts w:hint="eastAsia"/>
          <w:color w:val="auto"/>
          <w:highlight w:val="none"/>
        </w:rPr>
        <w:t>项目设计负责人，应是当事人双方所确认的人选。设计负责人的姓名、职责和权限在专用条款中约定。</w:t>
      </w:r>
    </w:p>
    <w:p>
      <w:pPr>
        <w:spacing w:line="300" w:lineRule="auto"/>
        <w:ind w:firstLine="420" w:firstLineChars="200"/>
        <w:rPr>
          <w:color w:val="auto"/>
          <w:highlight w:val="none"/>
        </w:rPr>
      </w:pPr>
      <w:r>
        <w:rPr>
          <w:color w:val="auto"/>
          <w:highlight w:val="none"/>
        </w:rPr>
        <w:t>3.</w:t>
      </w:r>
      <w:r>
        <w:rPr>
          <w:rFonts w:hint="eastAsia"/>
          <w:color w:val="auto"/>
          <w:highlight w:val="none"/>
        </w:rPr>
        <w:t>3</w:t>
      </w:r>
      <w:r>
        <w:rPr>
          <w:color w:val="auto"/>
          <w:highlight w:val="none"/>
        </w:rPr>
        <w:t>.2</w:t>
      </w:r>
      <w:r>
        <w:rPr>
          <w:rFonts w:hint="eastAsia"/>
          <w:color w:val="auto"/>
          <w:highlight w:val="none"/>
        </w:rPr>
        <w:t>项目设计负责人应是承包人的员工，并具备相应的资格，在承包人项目总负责人的授权下负责组织指导协调设计工作，同时在授权范围内具有代表承包人签署（或盖章）设计相关文件的权利。</w:t>
      </w:r>
    </w:p>
    <w:p>
      <w:pPr>
        <w:pStyle w:val="4"/>
        <w:rPr>
          <w:rFonts w:ascii="宋体" w:hAnsi="宋体"/>
          <w:color w:val="auto"/>
          <w:kern w:val="0"/>
          <w:sz w:val="21"/>
          <w:szCs w:val="21"/>
          <w:highlight w:val="none"/>
        </w:rPr>
      </w:pPr>
      <w:bookmarkStart w:id="700" w:name="_Toc433988714"/>
      <w:bookmarkStart w:id="701" w:name="_Toc491277264"/>
      <w:bookmarkStart w:id="702" w:name="_Toc419320225"/>
      <w:bookmarkStart w:id="703" w:name="_Toc419363681"/>
      <w:bookmarkStart w:id="704" w:name="_Toc419364352"/>
      <w:bookmarkStart w:id="705" w:name="_Toc419321261"/>
      <w:r>
        <w:rPr>
          <w:rFonts w:ascii="宋体" w:hAnsi="宋体"/>
          <w:color w:val="auto"/>
          <w:kern w:val="0"/>
          <w:sz w:val="21"/>
          <w:highlight w:val="none"/>
        </w:rPr>
        <w:t>3.</w:t>
      </w:r>
      <w:r>
        <w:rPr>
          <w:rFonts w:hint="eastAsia" w:ascii="宋体" w:hAnsi="宋体"/>
          <w:color w:val="auto"/>
          <w:kern w:val="0"/>
          <w:sz w:val="21"/>
          <w:highlight w:val="none"/>
        </w:rPr>
        <w:t>4  项目经理</w:t>
      </w:r>
      <w:bookmarkEnd w:id="700"/>
      <w:bookmarkEnd w:id="701"/>
      <w:bookmarkEnd w:id="702"/>
      <w:bookmarkEnd w:id="703"/>
      <w:bookmarkEnd w:id="704"/>
      <w:bookmarkEnd w:id="705"/>
    </w:p>
    <w:p>
      <w:pPr>
        <w:autoSpaceDE w:val="0"/>
        <w:autoSpaceDN w:val="0"/>
        <w:adjustRightInd w:val="0"/>
        <w:spacing w:line="360" w:lineRule="auto"/>
        <w:ind w:firstLine="420" w:firstLineChars="200"/>
        <w:jc w:val="left"/>
        <w:rPr>
          <w:color w:val="auto"/>
          <w:highlight w:val="none"/>
        </w:rPr>
      </w:pPr>
      <w:r>
        <w:rPr>
          <w:color w:val="auto"/>
          <w:highlight w:val="none"/>
        </w:rPr>
        <w:t>3.</w:t>
      </w:r>
      <w:r>
        <w:rPr>
          <w:rFonts w:hint="eastAsia"/>
          <w:color w:val="auto"/>
          <w:highlight w:val="none"/>
        </w:rPr>
        <w:t>4</w:t>
      </w:r>
      <w:r>
        <w:rPr>
          <w:color w:val="auto"/>
          <w:highlight w:val="none"/>
        </w:rPr>
        <w:t>.1</w:t>
      </w:r>
      <w:r>
        <w:rPr>
          <w:rFonts w:hint="eastAsia"/>
          <w:color w:val="auto"/>
          <w:highlight w:val="none"/>
        </w:rPr>
        <w:t>项目经理，应是当事人双方所确认的人选。项目经理的姓名、职责和权限在专用条款中约定。</w:t>
      </w:r>
    </w:p>
    <w:p>
      <w:pPr>
        <w:autoSpaceDE w:val="0"/>
        <w:autoSpaceDN w:val="0"/>
        <w:adjustRightInd w:val="0"/>
        <w:spacing w:line="360" w:lineRule="auto"/>
        <w:ind w:firstLine="420" w:firstLineChars="200"/>
        <w:jc w:val="left"/>
        <w:rPr>
          <w:color w:val="auto"/>
          <w:highlight w:val="none"/>
        </w:rPr>
      </w:pPr>
      <w:r>
        <w:rPr>
          <w:color w:val="auto"/>
          <w:highlight w:val="none"/>
        </w:rPr>
        <w:t>3.</w:t>
      </w:r>
      <w:r>
        <w:rPr>
          <w:rFonts w:hint="eastAsia"/>
          <w:color w:val="auto"/>
          <w:highlight w:val="none"/>
        </w:rPr>
        <w:t>4</w:t>
      </w:r>
      <w:r>
        <w:rPr>
          <w:color w:val="auto"/>
          <w:highlight w:val="none"/>
        </w:rPr>
        <w:t>2</w:t>
      </w:r>
      <w:r>
        <w:rPr>
          <w:rFonts w:hint="eastAsia"/>
          <w:color w:val="auto"/>
          <w:highlight w:val="none"/>
        </w:rPr>
        <w:t>项目经理应是承包人的员工，并具备相应的资格，在项目总负责人的授权下负责组织指导现场施工工作，同时在授权范围内具有代表承包人签署（或盖章）现场施工相关文件的权利。</w:t>
      </w:r>
    </w:p>
    <w:p>
      <w:pPr>
        <w:autoSpaceDE w:val="0"/>
        <w:autoSpaceDN w:val="0"/>
        <w:adjustRightInd w:val="0"/>
        <w:spacing w:line="360" w:lineRule="auto"/>
        <w:ind w:firstLine="420" w:firstLineChars="200"/>
        <w:jc w:val="left"/>
        <w:rPr>
          <w:color w:val="auto"/>
          <w:highlight w:val="none"/>
        </w:rPr>
      </w:pPr>
      <w:r>
        <w:rPr>
          <w:color w:val="auto"/>
          <w:highlight w:val="none"/>
        </w:rPr>
        <w:t>在紧急情况下</w:t>
      </w:r>
      <w:r>
        <w:rPr>
          <w:rFonts w:hint="eastAsia"/>
          <w:color w:val="auto"/>
          <w:highlight w:val="none"/>
        </w:rPr>
        <w:t>为确保施工安全和人员安全</w:t>
      </w:r>
      <w:r>
        <w:rPr>
          <w:color w:val="auto"/>
          <w:highlight w:val="none"/>
        </w:rPr>
        <w:t>，</w:t>
      </w:r>
      <w:r>
        <w:rPr>
          <w:rFonts w:hint="eastAsia"/>
          <w:color w:val="auto"/>
          <w:highlight w:val="none"/>
        </w:rPr>
        <w:t>在</w:t>
      </w:r>
      <w:r>
        <w:rPr>
          <w:color w:val="auto"/>
          <w:highlight w:val="none"/>
        </w:rPr>
        <w:t>无法与发包人代表和总监理工程师</w:t>
      </w:r>
      <w:r>
        <w:rPr>
          <w:rFonts w:hint="eastAsia"/>
          <w:color w:val="auto"/>
          <w:highlight w:val="none"/>
        </w:rPr>
        <w:t>及时</w:t>
      </w:r>
      <w:r>
        <w:rPr>
          <w:color w:val="auto"/>
          <w:highlight w:val="none"/>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auto"/>
        <w:ind w:firstLine="420" w:firstLineChars="200"/>
        <w:jc w:val="left"/>
        <w:rPr>
          <w:color w:val="auto"/>
          <w:highlight w:val="none"/>
        </w:rPr>
      </w:pPr>
      <w:r>
        <w:rPr>
          <w:color w:val="auto"/>
          <w:highlight w:val="none"/>
        </w:rPr>
        <w:t>3.</w:t>
      </w:r>
      <w:r>
        <w:rPr>
          <w:rFonts w:hint="eastAsia"/>
          <w:color w:val="auto"/>
          <w:highlight w:val="none"/>
        </w:rPr>
        <w:t>4</w:t>
      </w:r>
      <w:r>
        <w:rPr>
          <w:color w:val="auto"/>
          <w:highlight w:val="none"/>
        </w:rPr>
        <w:t>.3</w:t>
      </w:r>
      <w:r>
        <w:rPr>
          <w:rFonts w:hint="eastAsia"/>
          <w:color w:val="auto"/>
          <w:highlight w:val="none"/>
        </w:rPr>
        <w:t>项目经理应常驻项目现场，且每月在现场时间不得少于专用条款约定的天数。项目经理不得同时担任其它项目的项目经理。项目经理确需离开项目现场时应事先取得发包人同意，并指定一名有经验的人员临时代行其职责。</w:t>
      </w:r>
    </w:p>
    <w:p>
      <w:pPr>
        <w:autoSpaceDE w:val="0"/>
        <w:autoSpaceDN w:val="0"/>
        <w:adjustRightInd w:val="0"/>
        <w:spacing w:line="360" w:lineRule="auto"/>
        <w:ind w:firstLine="420" w:firstLineChars="200"/>
        <w:jc w:val="left"/>
        <w:rPr>
          <w:color w:val="auto"/>
          <w:highlight w:val="none"/>
        </w:rPr>
      </w:pPr>
      <w:r>
        <w:rPr>
          <w:color w:val="auto"/>
          <w:highlight w:val="none"/>
        </w:rPr>
        <w:t>3.</w:t>
      </w:r>
      <w:r>
        <w:rPr>
          <w:rFonts w:hint="eastAsia"/>
          <w:color w:val="auto"/>
          <w:highlight w:val="none"/>
        </w:rPr>
        <w:t>4</w:t>
      </w:r>
      <w:r>
        <w:rPr>
          <w:color w:val="auto"/>
          <w:highlight w:val="none"/>
        </w:rPr>
        <w:t>.4</w:t>
      </w:r>
      <w:r>
        <w:rPr>
          <w:rFonts w:hint="eastAsia"/>
          <w:color w:val="auto"/>
          <w:highlight w:val="none"/>
        </w:rPr>
        <w:t>承包人更换项目经理时，提前</w:t>
      </w:r>
      <w:r>
        <w:rPr>
          <w:color w:val="auto"/>
          <w:highlight w:val="none"/>
        </w:rPr>
        <w:t xml:space="preserve"> 15</w:t>
      </w:r>
      <w:r>
        <w:rPr>
          <w:rFonts w:hint="eastAsia"/>
          <w:color w:val="auto"/>
          <w:highlight w:val="none"/>
        </w:rPr>
        <w:t>日以书面形式通知发包人，并征得发包人的同意，继任的项目经理须继续履行第</w:t>
      </w:r>
      <w:r>
        <w:rPr>
          <w:color w:val="auto"/>
          <w:highlight w:val="none"/>
        </w:rPr>
        <w:t>3.4</w:t>
      </w:r>
      <w:r>
        <w:rPr>
          <w:rFonts w:hint="eastAsia"/>
          <w:color w:val="auto"/>
          <w:highlight w:val="none"/>
        </w:rPr>
        <w:t>款约定的职责和权限。未经发包人同意，承包人不得擅自更换项目经理。承包人擅自更换项目经理的，按专用条款的约定，承担违约责任。</w:t>
      </w:r>
    </w:p>
    <w:p>
      <w:pPr>
        <w:autoSpaceDE w:val="0"/>
        <w:autoSpaceDN w:val="0"/>
        <w:adjustRightInd w:val="0"/>
        <w:spacing w:line="360" w:lineRule="auto"/>
        <w:ind w:firstLine="420" w:firstLineChars="200"/>
        <w:jc w:val="left"/>
        <w:rPr>
          <w:color w:val="auto"/>
          <w:highlight w:val="none"/>
        </w:rPr>
      </w:pPr>
      <w:r>
        <w:rPr>
          <w:color w:val="auto"/>
          <w:highlight w:val="none"/>
        </w:rPr>
        <w:t>3.</w:t>
      </w:r>
      <w:r>
        <w:rPr>
          <w:rFonts w:hint="eastAsia"/>
          <w:color w:val="auto"/>
          <w:highlight w:val="none"/>
        </w:rPr>
        <w:t>4</w:t>
      </w:r>
      <w:r>
        <w:rPr>
          <w:color w:val="auto"/>
          <w:highlight w:val="none"/>
        </w:rPr>
        <w:t>.5</w:t>
      </w:r>
      <w:r>
        <w:rPr>
          <w:rFonts w:hint="eastAsia"/>
          <w:color w:val="auto"/>
          <w:highlight w:val="none"/>
        </w:rPr>
        <w:t>发包人有权以书而形式通知更换其认为不称职的项目经理，应说明更换因由，承包人应在接到更换通知后</w:t>
      </w:r>
      <w:r>
        <w:rPr>
          <w:color w:val="auto"/>
          <w:highlight w:val="none"/>
        </w:rPr>
        <w:t>15</w:t>
      </w:r>
      <w:r>
        <w:rPr>
          <w:rFonts w:hint="eastAsia"/>
          <w:color w:val="auto"/>
          <w:highlight w:val="none"/>
        </w:rPr>
        <w:t>日内向发包人提出书面的改进报告。发包人收到改进报告后仍以书面形式通知更换的，承包人应在接到第二次更换通知后的</w:t>
      </w:r>
      <w:r>
        <w:rPr>
          <w:color w:val="auto"/>
          <w:highlight w:val="none"/>
        </w:rPr>
        <w:t>30</w:t>
      </w:r>
      <w:r>
        <w:rPr>
          <w:rFonts w:hint="eastAsia"/>
          <w:color w:val="auto"/>
          <w:highlight w:val="none"/>
        </w:rPr>
        <w:t>日内进行更换，并将新任命的项目经理的姓名、简历以书面形式通知发包人。新任项目经理继续履行第</w:t>
      </w:r>
      <w:r>
        <w:rPr>
          <w:color w:val="auto"/>
          <w:highlight w:val="none"/>
        </w:rPr>
        <w:t>3.4</w:t>
      </w:r>
      <w:r>
        <w:rPr>
          <w:rFonts w:hint="eastAsia"/>
          <w:color w:val="auto"/>
          <w:highlight w:val="none"/>
        </w:rPr>
        <w:t>款约定的职责和权限。</w:t>
      </w:r>
    </w:p>
    <w:p>
      <w:pPr>
        <w:pStyle w:val="4"/>
        <w:rPr>
          <w:rFonts w:ascii="宋体" w:hAnsi="宋体"/>
          <w:color w:val="auto"/>
          <w:kern w:val="0"/>
          <w:sz w:val="21"/>
          <w:highlight w:val="none"/>
        </w:rPr>
      </w:pPr>
      <w:bookmarkStart w:id="706" w:name="_Toc433988715"/>
      <w:bookmarkStart w:id="707" w:name="_Toc491277265"/>
      <w:bookmarkStart w:id="708" w:name="_Toc419320226"/>
      <w:bookmarkStart w:id="709" w:name="_Toc419321262"/>
      <w:bookmarkStart w:id="710" w:name="_Toc419363682"/>
      <w:bookmarkStart w:id="711" w:name="_Toc419364353"/>
      <w:r>
        <w:rPr>
          <w:rFonts w:ascii="宋体" w:hAnsi="宋体"/>
          <w:color w:val="auto"/>
          <w:kern w:val="0"/>
          <w:sz w:val="21"/>
          <w:highlight w:val="none"/>
        </w:rPr>
        <w:t>3.</w:t>
      </w:r>
      <w:r>
        <w:rPr>
          <w:rFonts w:hint="eastAsia" w:ascii="宋体" w:hAnsi="宋体"/>
          <w:color w:val="auto"/>
          <w:kern w:val="0"/>
          <w:sz w:val="21"/>
          <w:highlight w:val="none"/>
        </w:rPr>
        <w:t>5  项目采购负责人</w:t>
      </w:r>
      <w:bookmarkEnd w:id="706"/>
      <w:bookmarkEnd w:id="707"/>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3.5.1在项目总负责人和项目经理的授权下负责项目设备和材料的采购工作，特别是大宗、特种设备的采购。</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3.5.2负责制定项目的采购计划，配合做好采购及合同管理；并根据项目实际情况确定设备、材料的进场安排。</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3.5.3负责对采购的设备和材料的质量把关，对不合格品进行退换货处理。</w:t>
      </w:r>
    </w:p>
    <w:p>
      <w:pPr>
        <w:pStyle w:val="4"/>
        <w:rPr>
          <w:rFonts w:ascii="宋体" w:hAnsi="宋体"/>
          <w:color w:val="auto"/>
          <w:kern w:val="0"/>
          <w:sz w:val="21"/>
          <w:szCs w:val="21"/>
          <w:highlight w:val="none"/>
        </w:rPr>
      </w:pPr>
      <w:bookmarkStart w:id="712" w:name="_Toc433988716"/>
      <w:bookmarkStart w:id="713" w:name="_Toc491277266"/>
      <w:r>
        <w:rPr>
          <w:rFonts w:ascii="宋体" w:hAnsi="宋体"/>
          <w:color w:val="auto"/>
          <w:kern w:val="0"/>
          <w:sz w:val="21"/>
          <w:highlight w:val="none"/>
        </w:rPr>
        <w:t>3.</w:t>
      </w:r>
      <w:r>
        <w:rPr>
          <w:rFonts w:hint="eastAsia" w:ascii="宋体" w:hAnsi="宋体"/>
          <w:color w:val="auto"/>
          <w:kern w:val="0"/>
          <w:sz w:val="21"/>
          <w:highlight w:val="none"/>
        </w:rPr>
        <w:t>6  项目施工专职安全员</w:t>
      </w:r>
      <w:bookmarkEnd w:id="712"/>
      <w:bookmarkEnd w:id="713"/>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3.6.1认真贯彻执行《建筑法》和有关的建筑工程安全生产法令、法规，坚持“安全第一。预防为主”的方针，具体落实各项安全生产规章制度。</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3.6.2参与HSE计划及各项施组措施方案的编制(安全相关内容)，有权行使安全一票否决制。</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3.6.3配合有关部门做好对施工人员的三级安全教育、节假日的安全教育、各工种换岗教育和特殊工种培训取证工作，并记录在案。健全各种安全管理台帐。</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3.6.4参加每周一次以上的定期安全检查，及时处观工现场安全隐患，签发限时整改通知单。</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3.6.5监督、检查操作人员的遵章守纪。制止违章作业，严格安全纪律，当安全与生产发生冲突时，有权制止冒险作业。</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3.6.6组织、参与安全技术交底，对施工全过程的安全实施控制，并做好记录。</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3.6.7掌握安全动态，发现事故苗子并及时采取预防措施，组织班组开展安全活动，提供安全技术咨询。</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3.6.8检查劳动保护用品的质量，反馈使用信息，对进入现场使用的各种安全用品及机械设备，配合材料部门进行验收检查工作。</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3.6.9贯彻安全保证体系中的各项安全技术措施，组织参与安全设施、施工用电、施工机械的验收。</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3.6.10协助上级部门的安全检查，如实汇报工程项目或生产中的安全状况；</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3.6.11负责一般事故的调查、分析，提出处理意见，协助处理重大工伤事故、机械事故，并参与制订纠正和预防措施，防止事故再发生；</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3.612参与对施工班组和分包单位的安全技术交底、教育工作，负责对分包单位在施工过程中的安全连续监控，并作好监控记录；</w:t>
      </w:r>
    </w:p>
    <w:p>
      <w:pPr>
        <w:autoSpaceDE w:val="0"/>
        <w:autoSpaceDN w:val="0"/>
        <w:adjustRightInd w:val="0"/>
        <w:spacing w:line="360" w:lineRule="auto"/>
        <w:ind w:firstLine="420" w:firstLineChars="200"/>
        <w:jc w:val="left"/>
        <w:rPr>
          <w:color w:val="auto"/>
          <w:highlight w:val="none"/>
        </w:rPr>
      </w:pPr>
      <w:r>
        <w:rPr>
          <w:rFonts w:hint="eastAsia"/>
          <w:color w:val="auto"/>
          <w:highlight w:val="none"/>
        </w:rPr>
        <w:t>3.6.13参与协助对项目存在隐患的安全设施、过程和行为进行控制，参与制定纠正和预防措施，并验证纠正预防措施。</w:t>
      </w:r>
    </w:p>
    <w:p>
      <w:pPr>
        <w:pStyle w:val="4"/>
        <w:rPr>
          <w:rFonts w:ascii="宋体" w:hAnsi="宋体"/>
          <w:color w:val="auto"/>
          <w:kern w:val="0"/>
          <w:sz w:val="21"/>
          <w:highlight w:val="none"/>
        </w:rPr>
      </w:pPr>
      <w:bookmarkStart w:id="714" w:name="_Toc433988717"/>
      <w:bookmarkStart w:id="715" w:name="_Toc491277267"/>
      <w:r>
        <w:rPr>
          <w:rFonts w:ascii="宋体" w:hAnsi="宋体"/>
          <w:color w:val="auto"/>
          <w:kern w:val="0"/>
          <w:sz w:val="21"/>
          <w:highlight w:val="none"/>
        </w:rPr>
        <w:t>3.</w:t>
      </w:r>
      <w:r>
        <w:rPr>
          <w:rFonts w:hint="eastAsia" w:ascii="宋体" w:hAnsi="宋体"/>
          <w:color w:val="auto"/>
          <w:kern w:val="0"/>
          <w:sz w:val="21"/>
          <w:highlight w:val="none"/>
        </w:rPr>
        <w:t>7  工程质量保证</w:t>
      </w:r>
      <w:bookmarkEnd w:id="708"/>
      <w:bookmarkEnd w:id="709"/>
      <w:bookmarkEnd w:id="710"/>
      <w:bookmarkEnd w:id="711"/>
      <w:bookmarkEnd w:id="714"/>
      <w:bookmarkEnd w:id="715"/>
    </w:p>
    <w:p>
      <w:pPr>
        <w:spacing w:line="300" w:lineRule="auto"/>
        <w:ind w:firstLine="420" w:firstLineChars="200"/>
        <w:rPr>
          <w:color w:val="auto"/>
          <w:highlight w:val="none"/>
        </w:rPr>
      </w:pPr>
      <w:r>
        <w:rPr>
          <w:rFonts w:hint="eastAsia"/>
          <w:color w:val="auto"/>
          <w:highlight w:val="none"/>
        </w:rPr>
        <w:t>承包人应按合同约定的质量标准规范，确保设计、采购、加工制造、施工、竣工试验等各项工作的质量，建立有效的质量保证体系，并按照国家有关规定，通过质量保修责任书的形式约定保修范固、保修期限和保修责任。</w:t>
      </w:r>
    </w:p>
    <w:p>
      <w:pPr>
        <w:pStyle w:val="4"/>
        <w:rPr>
          <w:rFonts w:ascii="宋体" w:hAnsi="宋体"/>
          <w:color w:val="auto"/>
          <w:kern w:val="0"/>
          <w:sz w:val="21"/>
          <w:highlight w:val="none"/>
        </w:rPr>
      </w:pPr>
      <w:bookmarkStart w:id="716" w:name="_Toc419363683"/>
      <w:bookmarkStart w:id="717" w:name="_Toc419320227"/>
      <w:bookmarkStart w:id="718" w:name="_Toc419321263"/>
      <w:bookmarkStart w:id="719" w:name="_Toc433988718"/>
      <w:bookmarkStart w:id="720" w:name="_Toc419364354"/>
      <w:bookmarkStart w:id="721" w:name="_Toc491277268"/>
      <w:r>
        <w:rPr>
          <w:rFonts w:ascii="宋体" w:hAnsi="宋体"/>
          <w:color w:val="auto"/>
          <w:kern w:val="0"/>
          <w:sz w:val="21"/>
          <w:highlight w:val="none"/>
        </w:rPr>
        <w:t>3.</w:t>
      </w:r>
      <w:r>
        <w:rPr>
          <w:rFonts w:hint="eastAsia" w:ascii="宋体" w:hAnsi="宋体"/>
          <w:color w:val="auto"/>
          <w:kern w:val="0"/>
          <w:sz w:val="21"/>
          <w:highlight w:val="none"/>
        </w:rPr>
        <w:t>8  安全保证</w:t>
      </w:r>
      <w:bookmarkEnd w:id="716"/>
      <w:bookmarkEnd w:id="717"/>
      <w:bookmarkEnd w:id="718"/>
      <w:bookmarkEnd w:id="719"/>
      <w:bookmarkEnd w:id="720"/>
      <w:bookmarkEnd w:id="721"/>
    </w:p>
    <w:p>
      <w:pPr>
        <w:spacing w:line="300" w:lineRule="auto"/>
        <w:ind w:firstLine="420" w:firstLineChars="200"/>
        <w:rPr>
          <w:color w:val="auto"/>
          <w:highlight w:val="none"/>
        </w:rPr>
      </w:pPr>
      <w:r>
        <w:rPr>
          <w:color w:val="auto"/>
          <w:highlight w:val="none"/>
        </w:rPr>
        <w:t>3.</w:t>
      </w:r>
      <w:r>
        <w:rPr>
          <w:rFonts w:hint="eastAsia"/>
          <w:color w:val="auto"/>
          <w:highlight w:val="none"/>
        </w:rPr>
        <w:t>8</w:t>
      </w:r>
      <w:r>
        <w:rPr>
          <w:color w:val="auto"/>
          <w:highlight w:val="none"/>
        </w:rPr>
        <w:t xml:space="preserve">.1  </w:t>
      </w:r>
      <w:r>
        <w:rPr>
          <w:rFonts w:hint="eastAsia"/>
          <w:color w:val="auto"/>
          <w:highlight w:val="none"/>
        </w:rPr>
        <w:t>工程安全性能</w:t>
      </w:r>
    </w:p>
    <w:p>
      <w:pPr>
        <w:spacing w:line="300" w:lineRule="auto"/>
        <w:ind w:firstLine="420" w:firstLineChars="200"/>
        <w:rPr>
          <w:color w:val="auto"/>
          <w:highlight w:val="none"/>
        </w:rPr>
      </w:pPr>
      <w:r>
        <w:rPr>
          <w:rFonts w:hint="eastAsia"/>
          <w:color w:val="auto"/>
          <w:highlight w:val="none"/>
        </w:rPr>
        <w:t>承包人应按照合同约定和国家有关安全生严的法律规定，进行设计、采购、施工、竣工试验，保证工程的安全性能，</w:t>
      </w:r>
    </w:p>
    <w:p>
      <w:pPr>
        <w:spacing w:line="300" w:lineRule="auto"/>
        <w:ind w:firstLine="420" w:firstLineChars="200"/>
        <w:rPr>
          <w:color w:val="auto"/>
          <w:highlight w:val="none"/>
        </w:rPr>
      </w:pPr>
      <w:r>
        <w:rPr>
          <w:color w:val="auto"/>
          <w:highlight w:val="none"/>
        </w:rPr>
        <w:t>3.</w:t>
      </w:r>
      <w:r>
        <w:rPr>
          <w:rFonts w:hint="eastAsia"/>
          <w:color w:val="auto"/>
          <w:highlight w:val="none"/>
        </w:rPr>
        <w:t>8</w:t>
      </w:r>
      <w:r>
        <w:rPr>
          <w:color w:val="auto"/>
          <w:highlight w:val="none"/>
        </w:rPr>
        <w:t xml:space="preserve">.2  </w:t>
      </w:r>
      <w:r>
        <w:rPr>
          <w:rFonts w:hint="eastAsia"/>
          <w:color w:val="auto"/>
          <w:highlight w:val="none"/>
        </w:rPr>
        <w:t>安全施工</w:t>
      </w:r>
    </w:p>
    <w:p>
      <w:pPr>
        <w:spacing w:line="300" w:lineRule="auto"/>
        <w:ind w:firstLine="420" w:firstLineChars="200"/>
        <w:rPr>
          <w:color w:val="auto"/>
          <w:highlight w:val="none"/>
        </w:rPr>
      </w:pPr>
      <w:r>
        <w:rPr>
          <w:rFonts w:hint="eastAsia"/>
          <w:color w:val="auto"/>
          <w:highlight w:val="none"/>
        </w:rPr>
        <w:t>承包人应遵守</w:t>
      </w:r>
      <w:r>
        <w:rPr>
          <w:color w:val="auto"/>
          <w:highlight w:val="none"/>
        </w:rPr>
        <w:t>7.8</w:t>
      </w:r>
      <w:r>
        <w:rPr>
          <w:rFonts w:hint="eastAsia"/>
          <w:color w:val="auto"/>
          <w:highlight w:val="none"/>
        </w:rPr>
        <w:t>款职业健康、安全和环境保护的约定。</w:t>
      </w:r>
    </w:p>
    <w:p>
      <w:pPr>
        <w:spacing w:line="300" w:lineRule="auto"/>
        <w:ind w:firstLine="420" w:firstLineChars="200"/>
        <w:rPr>
          <w:color w:val="auto"/>
          <w:highlight w:val="none"/>
        </w:rPr>
      </w:pPr>
      <w:r>
        <w:rPr>
          <w:color w:val="auto"/>
          <w:highlight w:val="none"/>
        </w:rPr>
        <w:t>3.</w:t>
      </w:r>
      <w:r>
        <w:rPr>
          <w:rFonts w:hint="eastAsia"/>
          <w:color w:val="auto"/>
          <w:highlight w:val="none"/>
        </w:rPr>
        <w:t>8.</w:t>
      </w:r>
      <w:r>
        <w:rPr>
          <w:color w:val="auto"/>
          <w:highlight w:val="none"/>
        </w:rPr>
        <w:t xml:space="preserve">3  </w:t>
      </w:r>
      <w:r>
        <w:rPr>
          <w:rFonts w:hint="eastAsia"/>
          <w:color w:val="auto"/>
          <w:highlight w:val="none"/>
        </w:rPr>
        <w:t>因承包人未遵守发包人按</w:t>
      </w:r>
      <w:r>
        <w:rPr>
          <w:color w:val="auto"/>
          <w:highlight w:val="none"/>
        </w:rPr>
        <w:t xml:space="preserve">2.4.2 </w:t>
      </w:r>
      <w:r>
        <w:rPr>
          <w:rFonts w:hint="eastAsia"/>
          <w:color w:val="auto"/>
          <w:highlight w:val="none"/>
        </w:rPr>
        <w:t>款通知的安全规定和位置范围限定所造成的损失和伤害，由承包人负责。</w:t>
      </w:r>
    </w:p>
    <w:p>
      <w:pPr>
        <w:spacing w:line="300" w:lineRule="auto"/>
        <w:ind w:firstLine="420" w:firstLineChars="200"/>
        <w:rPr>
          <w:color w:val="auto"/>
          <w:highlight w:val="none"/>
        </w:rPr>
      </w:pPr>
      <w:r>
        <w:rPr>
          <w:color w:val="auto"/>
          <w:highlight w:val="none"/>
        </w:rPr>
        <w:t>3.</w:t>
      </w:r>
      <w:r>
        <w:rPr>
          <w:rFonts w:hint="eastAsia"/>
          <w:color w:val="auto"/>
          <w:highlight w:val="none"/>
        </w:rPr>
        <w:t>8</w:t>
      </w:r>
      <w:r>
        <w:rPr>
          <w:color w:val="auto"/>
          <w:highlight w:val="none"/>
        </w:rPr>
        <w:t xml:space="preserve">.4  </w:t>
      </w:r>
      <w:r>
        <w:rPr>
          <w:rFonts w:hint="eastAsia"/>
          <w:color w:val="auto"/>
          <w:highlight w:val="none"/>
        </w:rPr>
        <w:t>承包人全面负责其施工场地的安全管理，保障所有进入施工场地的人员的安全。因承包人原因所发生的人身伤害、安全事故，由承包人负责。</w:t>
      </w:r>
    </w:p>
    <w:p>
      <w:pPr>
        <w:pStyle w:val="4"/>
        <w:rPr>
          <w:rFonts w:ascii="宋体" w:hAnsi="宋体"/>
          <w:color w:val="auto"/>
          <w:kern w:val="0"/>
          <w:sz w:val="21"/>
          <w:highlight w:val="none"/>
        </w:rPr>
      </w:pPr>
      <w:bookmarkStart w:id="722" w:name="_Toc419364355"/>
      <w:bookmarkStart w:id="723" w:name="_Toc491277269"/>
      <w:bookmarkStart w:id="724" w:name="_Toc433988719"/>
      <w:bookmarkStart w:id="725" w:name="_Toc419321264"/>
      <w:bookmarkStart w:id="726" w:name="_Toc419320228"/>
      <w:bookmarkStart w:id="727" w:name="_Toc419363684"/>
      <w:r>
        <w:rPr>
          <w:rFonts w:ascii="宋体" w:hAnsi="宋体"/>
          <w:color w:val="auto"/>
          <w:kern w:val="0"/>
          <w:sz w:val="21"/>
          <w:highlight w:val="none"/>
        </w:rPr>
        <w:t>3.</w:t>
      </w:r>
      <w:r>
        <w:rPr>
          <w:rFonts w:hint="eastAsia" w:ascii="宋体" w:hAnsi="宋体"/>
          <w:color w:val="auto"/>
          <w:kern w:val="0"/>
          <w:sz w:val="21"/>
          <w:highlight w:val="none"/>
        </w:rPr>
        <w:t>9  职业健康和环境保护保证</w:t>
      </w:r>
      <w:bookmarkEnd w:id="722"/>
      <w:bookmarkEnd w:id="723"/>
      <w:bookmarkEnd w:id="724"/>
      <w:bookmarkEnd w:id="725"/>
      <w:bookmarkEnd w:id="726"/>
      <w:bookmarkEnd w:id="727"/>
    </w:p>
    <w:p>
      <w:pPr>
        <w:spacing w:line="300" w:lineRule="auto"/>
        <w:ind w:firstLine="420" w:firstLineChars="200"/>
        <w:rPr>
          <w:color w:val="auto"/>
          <w:highlight w:val="none"/>
        </w:rPr>
      </w:pPr>
      <w:bookmarkStart w:id="728" w:name="_Toc419321265"/>
      <w:bookmarkStart w:id="729" w:name="_Toc419320229"/>
      <w:r>
        <w:rPr>
          <w:color w:val="auto"/>
          <w:highlight w:val="none"/>
        </w:rPr>
        <w:t>3.</w:t>
      </w:r>
      <w:r>
        <w:rPr>
          <w:rFonts w:hint="eastAsia"/>
          <w:color w:val="auto"/>
          <w:highlight w:val="none"/>
        </w:rPr>
        <w:t>9</w:t>
      </w:r>
      <w:r>
        <w:rPr>
          <w:color w:val="auto"/>
          <w:highlight w:val="none"/>
        </w:rPr>
        <w:t xml:space="preserve">.1  </w:t>
      </w:r>
      <w:r>
        <w:rPr>
          <w:rFonts w:hint="eastAsia"/>
          <w:color w:val="auto"/>
          <w:highlight w:val="none"/>
        </w:rPr>
        <w:t>工程设计</w:t>
      </w:r>
      <w:bookmarkEnd w:id="728"/>
      <w:bookmarkEnd w:id="729"/>
    </w:p>
    <w:p>
      <w:pPr>
        <w:spacing w:line="300" w:lineRule="auto"/>
        <w:ind w:firstLine="420" w:firstLineChars="200"/>
        <w:rPr>
          <w:color w:val="auto"/>
          <w:highlight w:val="none"/>
        </w:rPr>
      </w:pPr>
      <w:r>
        <w:rPr>
          <w:rFonts w:hint="eastAsia"/>
          <w:color w:val="auto"/>
          <w:highlight w:val="none"/>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pPr>
        <w:spacing w:line="300" w:lineRule="auto"/>
        <w:ind w:firstLine="420" w:firstLineChars="200"/>
        <w:rPr>
          <w:color w:val="auto"/>
          <w:highlight w:val="none"/>
        </w:rPr>
      </w:pPr>
      <w:r>
        <w:rPr>
          <w:color w:val="auto"/>
          <w:highlight w:val="none"/>
        </w:rPr>
        <w:t>3.</w:t>
      </w:r>
      <w:r>
        <w:rPr>
          <w:rFonts w:hint="eastAsia"/>
          <w:color w:val="auto"/>
          <w:highlight w:val="none"/>
        </w:rPr>
        <w:t>9</w:t>
      </w:r>
      <w:r>
        <w:rPr>
          <w:color w:val="auto"/>
          <w:highlight w:val="none"/>
        </w:rPr>
        <w:t>.2</w:t>
      </w:r>
      <w:r>
        <w:rPr>
          <w:rFonts w:hint="eastAsia"/>
          <w:color w:val="auto"/>
          <w:highlight w:val="none"/>
        </w:rPr>
        <w:t>职业健康和环境保护</w:t>
      </w:r>
    </w:p>
    <w:p>
      <w:pPr>
        <w:spacing w:line="300" w:lineRule="auto"/>
        <w:ind w:firstLine="420" w:firstLineChars="200"/>
        <w:rPr>
          <w:color w:val="auto"/>
          <w:highlight w:val="none"/>
        </w:rPr>
      </w:pPr>
      <w:r>
        <w:rPr>
          <w:rFonts w:hint="eastAsia"/>
          <w:color w:val="auto"/>
          <w:highlight w:val="none"/>
        </w:rPr>
        <w:t>承包人应遵守</w:t>
      </w:r>
      <w:r>
        <w:rPr>
          <w:color w:val="auto"/>
          <w:highlight w:val="none"/>
        </w:rPr>
        <w:t>7.8</w:t>
      </w:r>
      <w:r>
        <w:rPr>
          <w:rFonts w:hint="eastAsia"/>
          <w:color w:val="auto"/>
          <w:highlight w:val="none"/>
        </w:rPr>
        <w:t>款职业健康、安全和环境保护的约定。</w:t>
      </w:r>
    </w:p>
    <w:p>
      <w:pPr>
        <w:pStyle w:val="4"/>
        <w:rPr>
          <w:rFonts w:ascii="宋体" w:hAnsi="宋体"/>
          <w:color w:val="auto"/>
          <w:kern w:val="0"/>
          <w:sz w:val="21"/>
          <w:highlight w:val="none"/>
        </w:rPr>
      </w:pPr>
      <w:bookmarkStart w:id="730" w:name="_Toc419320230"/>
      <w:bookmarkStart w:id="731" w:name="_Toc433988720"/>
      <w:bookmarkStart w:id="732" w:name="_Toc419363685"/>
      <w:bookmarkStart w:id="733" w:name="_Toc491277270"/>
      <w:bookmarkStart w:id="734" w:name="_Toc419364356"/>
      <w:bookmarkStart w:id="735" w:name="_Toc419321266"/>
      <w:r>
        <w:rPr>
          <w:rFonts w:ascii="宋体" w:hAnsi="宋体"/>
          <w:color w:val="auto"/>
          <w:kern w:val="0"/>
          <w:sz w:val="21"/>
          <w:highlight w:val="none"/>
        </w:rPr>
        <w:t>3.</w:t>
      </w:r>
      <w:r>
        <w:rPr>
          <w:rFonts w:hint="eastAsia" w:ascii="宋体" w:hAnsi="宋体"/>
          <w:color w:val="auto"/>
          <w:kern w:val="0"/>
          <w:sz w:val="21"/>
          <w:highlight w:val="none"/>
        </w:rPr>
        <w:t>10  进度保证</w:t>
      </w:r>
      <w:bookmarkEnd w:id="730"/>
      <w:bookmarkEnd w:id="731"/>
      <w:bookmarkEnd w:id="732"/>
      <w:bookmarkEnd w:id="733"/>
      <w:bookmarkEnd w:id="734"/>
      <w:bookmarkEnd w:id="735"/>
    </w:p>
    <w:p>
      <w:pPr>
        <w:spacing w:before="120" w:beforeLines="50" w:after="120" w:afterLines="50" w:line="300" w:lineRule="auto"/>
        <w:ind w:firstLine="420" w:firstLineChars="200"/>
        <w:rPr>
          <w:color w:val="auto"/>
          <w:highlight w:val="none"/>
        </w:rPr>
      </w:pPr>
      <w:r>
        <w:rPr>
          <w:rFonts w:hint="eastAsia"/>
          <w:color w:val="auto"/>
          <w:highlight w:val="none"/>
        </w:rPr>
        <w:t>承包人按</w:t>
      </w:r>
      <w:r>
        <w:rPr>
          <w:color w:val="auto"/>
          <w:highlight w:val="none"/>
        </w:rPr>
        <w:t>4.1</w:t>
      </w:r>
      <w:r>
        <w:rPr>
          <w:rFonts w:hint="eastAsia"/>
          <w:color w:val="auto"/>
          <w:highlight w:val="none"/>
        </w:rPr>
        <w:t>款约定的项目进度计划，合理有序地组织设计、采购、施工、竣工试验所需要的各类资源，以及派出有经验的竣工后试验的指导人员，采用有效的实施方法和组织措施，保证项目进度计划的实现。</w:t>
      </w:r>
    </w:p>
    <w:p>
      <w:pPr>
        <w:pStyle w:val="4"/>
        <w:rPr>
          <w:rFonts w:ascii="宋体" w:hAnsi="宋体"/>
          <w:color w:val="auto"/>
          <w:kern w:val="0"/>
          <w:sz w:val="21"/>
          <w:highlight w:val="none"/>
        </w:rPr>
      </w:pPr>
      <w:bookmarkStart w:id="736" w:name="_Toc419320231"/>
      <w:bookmarkStart w:id="737" w:name="_Toc419363686"/>
      <w:bookmarkStart w:id="738" w:name="_Toc419364357"/>
      <w:bookmarkStart w:id="739" w:name="_Toc433988721"/>
      <w:bookmarkStart w:id="740" w:name="_Toc491277271"/>
      <w:bookmarkStart w:id="741" w:name="_Toc419321267"/>
      <w:r>
        <w:rPr>
          <w:rFonts w:ascii="宋体" w:hAnsi="宋体"/>
          <w:color w:val="auto"/>
          <w:kern w:val="0"/>
          <w:sz w:val="21"/>
          <w:highlight w:val="none"/>
        </w:rPr>
        <w:t>3.</w:t>
      </w:r>
      <w:r>
        <w:rPr>
          <w:rFonts w:hint="eastAsia" w:ascii="宋体" w:hAnsi="宋体"/>
          <w:color w:val="auto"/>
          <w:kern w:val="0"/>
          <w:sz w:val="21"/>
          <w:highlight w:val="none"/>
        </w:rPr>
        <w:t>11  现场保安</w:t>
      </w:r>
      <w:bookmarkEnd w:id="736"/>
      <w:bookmarkEnd w:id="737"/>
      <w:bookmarkEnd w:id="738"/>
      <w:bookmarkEnd w:id="739"/>
      <w:bookmarkEnd w:id="740"/>
      <w:bookmarkEnd w:id="741"/>
    </w:p>
    <w:p>
      <w:pPr>
        <w:spacing w:before="120" w:beforeLines="50" w:after="120" w:afterLines="50" w:line="300" w:lineRule="auto"/>
        <w:ind w:firstLine="420" w:firstLineChars="200"/>
        <w:rPr>
          <w:color w:val="auto"/>
          <w:highlight w:val="none"/>
        </w:rPr>
      </w:pPr>
      <w:r>
        <w:rPr>
          <w:rFonts w:hint="eastAsia"/>
          <w:color w:val="auto"/>
          <w:highlight w:val="none"/>
        </w:rPr>
        <w:t>承包人承担其进入现场、施工开工至发包人接收单项工程和（或）工程之前的现场保安责任（含承包人的预制加工场地、办公及生活营区）。并负责编制相关的保安制度、责任制度和报告制度，提交给发包人。</w:t>
      </w:r>
    </w:p>
    <w:p>
      <w:pPr>
        <w:pStyle w:val="4"/>
        <w:rPr>
          <w:rFonts w:ascii="宋体" w:hAnsi="宋体"/>
          <w:color w:val="auto"/>
          <w:kern w:val="0"/>
          <w:sz w:val="21"/>
          <w:highlight w:val="none"/>
        </w:rPr>
      </w:pPr>
      <w:bookmarkStart w:id="742" w:name="_Toc491277272"/>
      <w:bookmarkStart w:id="743" w:name="_Toc419321268"/>
      <w:bookmarkStart w:id="744" w:name="_Toc419364358"/>
      <w:bookmarkStart w:id="745" w:name="_Toc433988722"/>
      <w:bookmarkStart w:id="746" w:name="_Toc419363687"/>
      <w:bookmarkStart w:id="747" w:name="_Toc419320232"/>
      <w:r>
        <w:rPr>
          <w:rFonts w:ascii="宋体" w:hAnsi="宋体"/>
          <w:color w:val="auto"/>
          <w:kern w:val="0"/>
          <w:sz w:val="21"/>
          <w:highlight w:val="none"/>
        </w:rPr>
        <w:t>3.1</w:t>
      </w:r>
      <w:r>
        <w:rPr>
          <w:rFonts w:hint="eastAsia" w:ascii="宋体" w:hAnsi="宋体"/>
          <w:color w:val="auto"/>
          <w:kern w:val="0"/>
          <w:sz w:val="21"/>
          <w:highlight w:val="none"/>
        </w:rPr>
        <w:t>2  分包</w:t>
      </w:r>
      <w:bookmarkEnd w:id="742"/>
      <w:bookmarkEnd w:id="743"/>
      <w:bookmarkEnd w:id="744"/>
      <w:bookmarkEnd w:id="745"/>
      <w:bookmarkEnd w:id="746"/>
      <w:bookmarkEnd w:id="747"/>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12</w:t>
      </w:r>
      <w:r>
        <w:rPr>
          <w:rFonts w:ascii="宋体" w:hAnsi="宋体"/>
          <w:color w:val="auto"/>
          <w:szCs w:val="21"/>
          <w:highlight w:val="none"/>
        </w:rPr>
        <w:t xml:space="preserve">.1  </w:t>
      </w:r>
      <w:r>
        <w:rPr>
          <w:rFonts w:hint="eastAsia" w:ascii="宋体" w:hAnsi="宋体"/>
          <w:color w:val="auto"/>
          <w:szCs w:val="21"/>
          <w:highlight w:val="none"/>
        </w:rPr>
        <w:t>分包约定</w:t>
      </w:r>
      <w:r>
        <w:rPr>
          <w:rFonts w:ascii="宋体" w:hAnsi="宋体"/>
          <w:color w:val="auto"/>
          <w:szCs w:val="21"/>
          <w:highlight w:val="none"/>
        </w:rPr>
        <w:tab/>
      </w:r>
    </w:p>
    <w:p>
      <w:pPr>
        <w:spacing w:line="360" w:lineRule="auto"/>
        <w:ind w:firstLine="420" w:firstLineChars="200"/>
        <w:rPr>
          <w:color w:val="auto"/>
          <w:highlight w:val="none"/>
        </w:rPr>
      </w:pPr>
      <w:r>
        <w:rPr>
          <w:rFonts w:hint="eastAsia"/>
          <w:color w:val="auto"/>
          <w:highlight w:val="none"/>
        </w:rPr>
        <w:t>承包人只能对专用条款约定列出的工作事项（含设计、采购、施工、劳务服务、竣工试验等）进行分包。</w:t>
      </w:r>
    </w:p>
    <w:p>
      <w:pPr>
        <w:spacing w:line="300" w:lineRule="auto"/>
        <w:ind w:firstLine="420" w:firstLineChars="200"/>
        <w:rPr>
          <w:color w:val="auto"/>
          <w:highlight w:val="none"/>
        </w:rPr>
      </w:pPr>
      <w:r>
        <w:rPr>
          <w:rFonts w:hint="eastAsia"/>
          <w:color w:val="auto"/>
          <w:highlight w:val="none"/>
        </w:rPr>
        <w:t>专用条款未列出的分包事项，承包人可在工程实施阶段分批分期就分包事项向发包人提交申请，发包人在接到分包事项申请后的</w:t>
      </w:r>
      <w:r>
        <w:rPr>
          <w:color w:val="auto"/>
          <w:highlight w:val="none"/>
        </w:rPr>
        <w:t>15</w:t>
      </w:r>
      <w:r>
        <w:rPr>
          <w:rFonts w:hint="eastAsia"/>
          <w:color w:val="auto"/>
          <w:highlight w:val="none"/>
        </w:rPr>
        <w:t>日内，予以批准或提出意见。发包人未能在</w:t>
      </w:r>
      <w:r>
        <w:rPr>
          <w:color w:val="auto"/>
          <w:highlight w:val="none"/>
        </w:rPr>
        <w:t>15</w:t>
      </w:r>
      <w:r>
        <w:rPr>
          <w:rFonts w:hint="eastAsia"/>
          <w:color w:val="auto"/>
          <w:highlight w:val="none"/>
        </w:rPr>
        <w:t>日批准亦未提出意见的，承包人有权在提交该分包事项后的第</w:t>
      </w:r>
      <w:r>
        <w:rPr>
          <w:color w:val="auto"/>
          <w:highlight w:val="none"/>
        </w:rPr>
        <w:t xml:space="preserve">1 6 </w:t>
      </w:r>
      <w:r>
        <w:rPr>
          <w:rFonts w:hint="eastAsia"/>
          <w:color w:val="auto"/>
          <w:highlight w:val="none"/>
        </w:rPr>
        <w:t>日开始，将提出的拟分包事项对外分包。</w:t>
      </w:r>
    </w:p>
    <w:p>
      <w:pPr>
        <w:spacing w:line="360" w:lineRule="auto"/>
        <w:ind w:firstLine="420" w:firstLineChars="200"/>
        <w:rPr>
          <w:rFonts w:ascii="宋体" w:hAnsi="宋体"/>
          <w:color w:val="auto"/>
          <w:szCs w:val="21"/>
          <w:highlight w:val="none"/>
        </w:rPr>
      </w:pPr>
      <w:bookmarkStart w:id="748" w:name="_Toc419363688"/>
      <w:r>
        <w:rPr>
          <w:rFonts w:ascii="宋体" w:hAnsi="宋体"/>
          <w:color w:val="auto"/>
          <w:szCs w:val="21"/>
          <w:highlight w:val="none"/>
        </w:rPr>
        <w:t>3.1</w:t>
      </w:r>
      <w:r>
        <w:rPr>
          <w:rFonts w:hint="eastAsia" w:ascii="宋体" w:hAnsi="宋体"/>
          <w:color w:val="auto"/>
          <w:szCs w:val="21"/>
          <w:highlight w:val="none"/>
        </w:rPr>
        <w:t>2</w:t>
      </w:r>
      <w:r>
        <w:rPr>
          <w:rFonts w:ascii="宋体" w:hAnsi="宋体"/>
          <w:color w:val="auto"/>
          <w:szCs w:val="21"/>
          <w:highlight w:val="none"/>
        </w:rPr>
        <w:t>.2</w:t>
      </w:r>
      <w:r>
        <w:rPr>
          <w:rFonts w:hint="eastAsia" w:ascii="宋体" w:hAnsi="宋体"/>
          <w:color w:val="auto"/>
          <w:szCs w:val="21"/>
          <w:highlight w:val="none"/>
        </w:rPr>
        <w:t>分包人资质</w:t>
      </w:r>
      <w:bookmarkEnd w:id="748"/>
    </w:p>
    <w:p>
      <w:pPr>
        <w:spacing w:line="300" w:lineRule="auto"/>
        <w:ind w:firstLine="420" w:firstLineChars="200"/>
        <w:rPr>
          <w:color w:val="auto"/>
          <w:highlight w:val="none"/>
        </w:rPr>
      </w:pPr>
      <w:r>
        <w:rPr>
          <w:rFonts w:hint="eastAsia"/>
          <w:color w:val="auto"/>
          <w:highlight w:val="none"/>
        </w:rPr>
        <w:t>分包人应符合国家法律规定的企业资质等级，否则不能作为分包人。承包人有义务对分包人的资质进行审查。</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3.1</w:t>
      </w:r>
      <w:r>
        <w:rPr>
          <w:rFonts w:hint="eastAsia" w:ascii="宋体" w:hAnsi="宋体"/>
          <w:color w:val="auto"/>
          <w:szCs w:val="21"/>
          <w:highlight w:val="none"/>
        </w:rPr>
        <w:t>2</w:t>
      </w:r>
      <w:r>
        <w:rPr>
          <w:rFonts w:ascii="宋体" w:hAnsi="宋体"/>
          <w:color w:val="auto"/>
          <w:szCs w:val="21"/>
          <w:highlight w:val="none"/>
        </w:rPr>
        <w:t xml:space="preserve">.3  </w:t>
      </w:r>
      <w:r>
        <w:rPr>
          <w:rFonts w:hint="eastAsia" w:ascii="宋体" w:hAnsi="宋体"/>
          <w:color w:val="auto"/>
          <w:szCs w:val="21"/>
          <w:highlight w:val="none"/>
        </w:rPr>
        <w:t>承包人不得将承包的工程对外转包，也不得以肢解方式将承包的全部工程对外分包。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3.1</w:t>
      </w:r>
      <w:r>
        <w:rPr>
          <w:rFonts w:hint="eastAsia" w:ascii="宋体" w:hAnsi="宋体"/>
          <w:color w:val="auto"/>
          <w:szCs w:val="21"/>
          <w:highlight w:val="none"/>
        </w:rPr>
        <w:t>2</w:t>
      </w:r>
      <w:r>
        <w:rPr>
          <w:rFonts w:ascii="宋体" w:hAnsi="宋体"/>
          <w:color w:val="auto"/>
          <w:szCs w:val="21"/>
          <w:highlight w:val="none"/>
        </w:rPr>
        <w:t xml:space="preserve">.4  </w:t>
      </w:r>
      <w:r>
        <w:rPr>
          <w:rFonts w:hint="eastAsia" w:ascii="宋体" w:hAnsi="宋体"/>
          <w:color w:val="auto"/>
          <w:szCs w:val="21"/>
          <w:highlight w:val="none"/>
        </w:rPr>
        <w:t>设计、施工和工程物资等分包人，应严格执行国家有关分包事项的管理规定。</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3.1</w:t>
      </w:r>
      <w:r>
        <w:rPr>
          <w:rFonts w:hint="eastAsia" w:ascii="宋体" w:hAnsi="宋体"/>
          <w:color w:val="auto"/>
          <w:szCs w:val="21"/>
          <w:highlight w:val="none"/>
        </w:rPr>
        <w:t>2</w:t>
      </w:r>
      <w:r>
        <w:rPr>
          <w:rFonts w:ascii="宋体" w:hAnsi="宋体"/>
          <w:color w:val="auto"/>
          <w:szCs w:val="21"/>
          <w:highlight w:val="none"/>
        </w:rPr>
        <w:t xml:space="preserve">.5  </w:t>
      </w:r>
      <w:r>
        <w:rPr>
          <w:rFonts w:hint="eastAsia" w:ascii="宋体" w:hAnsi="宋体"/>
          <w:color w:val="auto"/>
          <w:szCs w:val="21"/>
          <w:highlight w:val="none"/>
        </w:rPr>
        <w:t>对分包人的付款</w:t>
      </w:r>
    </w:p>
    <w:p>
      <w:pPr>
        <w:spacing w:line="300" w:lineRule="auto"/>
        <w:ind w:firstLine="420" w:firstLineChars="200"/>
        <w:rPr>
          <w:color w:val="auto"/>
          <w:highlight w:val="none"/>
        </w:rPr>
      </w:pPr>
      <w:r>
        <w:rPr>
          <w:rFonts w:hint="eastAsia"/>
          <w:color w:val="auto"/>
          <w:highlight w:val="none"/>
        </w:rPr>
        <w:t>承包人应按分包合同约定，按时向分包人支付合同价款。除非专用条款另有约定外，未经承包人同意，发包人不得以任何形式向分包人支付任何款项。</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3.1</w:t>
      </w:r>
      <w:r>
        <w:rPr>
          <w:rFonts w:hint="eastAsia" w:ascii="宋体" w:hAnsi="宋体"/>
          <w:color w:val="auto"/>
          <w:szCs w:val="21"/>
          <w:highlight w:val="none"/>
        </w:rPr>
        <w:t>2</w:t>
      </w:r>
      <w:r>
        <w:rPr>
          <w:rFonts w:ascii="宋体" w:hAnsi="宋体"/>
          <w:color w:val="auto"/>
          <w:szCs w:val="21"/>
          <w:highlight w:val="none"/>
        </w:rPr>
        <w:t xml:space="preserve">.6  </w:t>
      </w:r>
      <w:r>
        <w:rPr>
          <w:rFonts w:hint="eastAsia" w:ascii="宋体" w:hAnsi="宋体"/>
          <w:color w:val="auto"/>
          <w:szCs w:val="21"/>
          <w:highlight w:val="none"/>
        </w:rPr>
        <w:t>承包人对分包人负责</w:t>
      </w:r>
    </w:p>
    <w:p>
      <w:pPr>
        <w:spacing w:line="300" w:lineRule="auto"/>
        <w:ind w:firstLine="420" w:firstLineChars="200"/>
        <w:rPr>
          <w:color w:val="auto"/>
          <w:highlight w:val="none"/>
        </w:rPr>
      </w:pPr>
      <w:r>
        <w:rPr>
          <w:rFonts w:hint="eastAsia"/>
          <w:color w:val="auto"/>
          <w:highlight w:val="none"/>
        </w:rPr>
        <w:t>承包人对分包人的行为向发包人负责，承包人和分包人就分包工作向发包人承担连带责任。</w:t>
      </w:r>
    </w:p>
    <w:p>
      <w:pPr>
        <w:pStyle w:val="2"/>
        <w:rPr>
          <w:rFonts w:ascii="宋体" w:hAnsi="宋体" w:eastAsia="宋体"/>
          <w:color w:val="auto"/>
          <w:sz w:val="28"/>
          <w:szCs w:val="28"/>
          <w:highlight w:val="none"/>
        </w:rPr>
      </w:pPr>
      <w:bookmarkStart w:id="749" w:name="_Toc433988723"/>
      <w:bookmarkStart w:id="750" w:name="_Toc491277273"/>
      <w:bookmarkStart w:id="751" w:name="_Toc419363689"/>
      <w:bookmarkStart w:id="752" w:name="_Toc419321269"/>
      <w:bookmarkStart w:id="753" w:name="_Toc419320233"/>
      <w:bookmarkStart w:id="754" w:name="_Toc419364359"/>
      <w:r>
        <w:rPr>
          <w:rFonts w:hint="eastAsia" w:ascii="宋体" w:hAnsi="宋体" w:eastAsia="宋体"/>
          <w:color w:val="auto"/>
          <w:sz w:val="28"/>
          <w:szCs w:val="28"/>
          <w:highlight w:val="none"/>
        </w:rPr>
        <w:t>第</w:t>
      </w:r>
      <w:r>
        <w:rPr>
          <w:rFonts w:ascii="宋体" w:hAnsi="宋体" w:eastAsia="宋体"/>
          <w:color w:val="auto"/>
          <w:sz w:val="28"/>
          <w:szCs w:val="28"/>
          <w:highlight w:val="none"/>
        </w:rPr>
        <w:t>4</w:t>
      </w:r>
      <w:r>
        <w:rPr>
          <w:rFonts w:hint="eastAsia" w:ascii="宋体" w:hAnsi="宋体" w:eastAsia="宋体"/>
          <w:color w:val="auto"/>
          <w:sz w:val="28"/>
          <w:szCs w:val="28"/>
          <w:highlight w:val="none"/>
        </w:rPr>
        <w:t>条进度计划、延误和暂停</w:t>
      </w:r>
      <w:bookmarkEnd w:id="749"/>
      <w:bookmarkEnd w:id="750"/>
      <w:bookmarkEnd w:id="751"/>
      <w:bookmarkEnd w:id="752"/>
      <w:bookmarkEnd w:id="753"/>
      <w:bookmarkEnd w:id="754"/>
    </w:p>
    <w:p>
      <w:pPr>
        <w:pStyle w:val="4"/>
        <w:rPr>
          <w:rFonts w:ascii="宋体" w:hAnsi="宋体"/>
          <w:color w:val="auto"/>
          <w:kern w:val="0"/>
          <w:sz w:val="21"/>
          <w:highlight w:val="none"/>
        </w:rPr>
      </w:pPr>
      <w:bookmarkStart w:id="755" w:name="_Toc419364360"/>
      <w:bookmarkStart w:id="756" w:name="_Toc419363690"/>
      <w:bookmarkStart w:id="757" w:name="_Toc433988724"/>
      <w:bookmarkStart w:id="758" w:name="_Toc491277274"/>
      <w:bookmarkStart w:id="759" w:name="_Toc419320234"/>
      <w:bookmarkStart w:id="760" w:name="_Toc419321270"/>
      <w:r>
        <w:rPr>
          <w:rFonts w:ascii="宋体" w:hAnsi="宋体"/>
          <w:color w:val="auto"/>
          <w:kern w:val="0"/>
          <w:sz w:val="21"/>
          <w:highlight w:val="none"/>
        </w:rPr>
        <w:t>4.1</w:t>
      </w:r>
      <w:r>
        <w:rPr>
          <w:rFonts w:hint="eastAsia" w:ascii="宋体" w:hAnsi="宋体"/>
          <w:color w:val="auto"/>
          <w:kern w:val="0"/>
          <w:sz w:val="21"/>
          <w:highlight w:val="none"/>
        </w:rPr>
        <w:t xml:space="preserve">  项目进度计划</w:t>
      </w:r>
      <w:bookmarkEnd w:id="755"/>
      <w:bookmarkEnd w:id="756"/>
      <w:bookmarkEnd w:id="757"/>
      <w:bookmarkEnd w:id="758"/>
      <w:bookmarkEnd w:id="759"/>
      <w:bookmarkEnd w:id="760"/>
    </w:p>
    <w:p>
      <w:pPr>
        <w:spacing w:line="300" w:lineRule="auto"/>
        <w:ind w:firstLine="420" w:firstLineChars="200"/>
        <w:rPr>
          <w:color w:val="auto"/>
          <w:highlight w:val="none"/>
        </w:rPr>
      </w:pPr>
      <w:r>
        <w:rPr>
          <w:color w:val="auto"/>
          <w:highlight w:val="none"/>
        </w:rPr>
        <w:t>4.1.1</w:t>
      </w:r>
      <w:r>
        <w:rPr>
          <w:rFonts w:hint="eastAsia"/>
          <w:color w:val="auto"/>
          <w:highlight w:val="none"/>
        </w:rPr>
        <w:t>项目进度计划</w:t>
      </w:r>
    </w:p>
    <w:p>
      <w:pPr>
        <w:spacing w:line="300" w:lineRule="auto"/>
        <w:ind w:firstLine="420" w:firstLineChars="200"/>
        <w:rPr>
          <w:color w:val="auto"/>
          <w:highlight w:val="none"/>
        </w:rPr>
      </w:pPr>
      <w:r>
        <w:rPr>
          <w:rFonts w:hint="eastAsia"/>
          <w:color w:val="auto"/>
          <w:highlight w:val="none"/>
        </w:rPr>
        <w:t>承包人负责编制项目进度计划，项目进度计划中的施工期限</w:t>
      </w:r>
      <w:r>
        <w:rPr>
          <w:color w:val="auto"/>
          <w:highlight w:val="none"/>
        </w:rPr>
        <w:t>(</w:t>
      </w:r>
      <w:r>
        <w:rPr>
          <w:rFonts w:hint="eastAsia"/>
          <w:color w:val="auto"/>
          <w:highlight w:val="none"/>
        </w:rPr>
        <w:t>含竣工试验</w:t>
      </w:r>
      <w:r>
        <w:rPr>
          <w:color w:val="auto"/>
          <w:highlight w:val="none"/>
        </w:rPr>
        <w:t>)</w:t>
      </w:r>
      <w:r>
        <w:rPr>
          <w:rFonts w:hint="eastAsia"/>
          <w:color w:val="auto"/>
          <w:highlight w:val="none"/>
        </w:rPr>
        <w:t>，应符合合同协议书的约定。关键路径及关键路径变化的确定原则、承包人提交项目进度计划的份数和时间，在专用条款约定。</w:t>
      </w:r>
    </w:p>
    <w:p>
      <w:pPr>
        <w:spacing w:line="300" w:lineRule="auto"/>
        <w:ind w:firstLine="420" w:firstLineChars="200"/>
        <w:rPr>
          <w:color w:val="auto"/>
          <w:highlight w:val="none"/>
        </w:rPr>
      </w:pPr>
      <w:r>
        <w:rPr>
          <w:rFonts w:hint="eastAsia"/>
          <w:color w:val="auto"/>
          <w:highlight w:val="none"/>
        </w:rPr>
        <w:t>项目进度计划经发包人批准后实施，但发包人的批准并不能减轻或免除承包人的合同责任。</w:t>
      </w:r>
    </w:p>
    <w:p>
      <w:pPr>
        <w:spacing w:line="300" w:lineRule="auto"/>
        <w:ind w:firstLine="420" w:firstLineChars="200"/>
        <w:rPr>
          <w:color w:val="auto"/>
          <w:highlight w:val="none"/>
        </w:rPr>
      </w:pPr>
      <w:bookmarkStart w:id="761" w:name="_Toc419363691"/>
      <w:bookmarkStart w:id="762" w:name="_Toc419321271"/>
      <w:bookmarkStart w:id="763" w:name="_Toc419320235"/>
      <w:r>
        <w:rPr>
          <w:color w:val="auto"/>
          <w:highlight w:val="none"/>
        </w:rPr>
        <w:t>4.1.2</w:t>
      </w:r>
      <w:r>
        <w:rPr>
          <w:rFonts w:hint="eastAsia"/>
          <w:color w:val="auto"/>
          <w:highlight w:val="none"/>
        </w:rPr>
        <w:t>自费赶上项目进度计划</w:t>
      </w:r>
      <w:bookmarkEnd w:id="761"/>
      <w:bookmarkEnd w:id="762"/>
      <w:bookmarkEnd w:id="763"/>
    </w:p>
    <w:p>
      <w:pPr>
        <w:spacing w:line="300" w:lineRule="auto"/>
        <w:ind w:firstLine="420" w:firstLineChars="200"/>
        <w:rPr>
          <w:color w:val="auto"/>
          <w:highlight w:val="none"/>
        </w:rPr>
      </w:pPr>
      <w:r>
        <w:rPr>
          <w:rFonts w:hint="eastAsia"/>
          <w:color w:val="auto"/>
          <w:highlight w:val="none"/>
        </w:rPr>
        <w:t>因承包人原因使工程实际进度明显落后于项目进度计划时，承包人有义务、发包人也有权利要求承包人自费采取措施，赶上项目进度计划。</w:t>
      </w:r>
    </w:p>
    <w:p>
      <w:pPr>
        <w:spacing w:line="300" w:lineRule="auto"/>
        <w:ind w:firstLine="420" w:firstLineChars="200"/>
        <w:rPr>
          <w:color w:val="auto"/>
          <w:highlight w:val="none"/>
        </w:rPr>
      </w:pPr>
      <w:r>
        <w:rPr>
          <w:color w:val="auto"/>
          <w:highlight w:val="none"/>
        </w:rPr>
        <w:t>4.1.3</w:t>
      </w:r>
      <w:r>
        <w:rPr>
          <w:rFonts w:hint="eastAsia"/>
          <w:color w:val="auto"/>
          <w:highlight w:val="none"/>
        </w:rPr>
        <w:t>项目进度计划的调整</w:t>
      </w:r>
    </w:p>
    <w:p>
      <w:pPr>
        <w:spacing w:line="300" w:lineRule="auto"/>
        <w:ind w:firstLine="420" w:firstLineChars="200"/>
        <w:rPr>
          <w:color w:val="auto"/>
          <w:highlight w:val="none"/>
        </w:rPr>
      </w:pPr>
      <w:r>
        <w:rPr>
          <w:rFonts w:hint="eastAsia"/>
          <w:color w:val="auto"/>
          <w:highlight w:val="none"/>
        </w:rPr>
        <w:t>出现下列情况，竣工日期相应顺延，并对项目进度计划进行调整：</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）发包人根据</w:t>
      </w:r>
      <w:r>
        <w:rPr>
          <w:color w:val="auto"/>
          <w:highlight w:val="none"/>
        </w:rPr>
        <w:t>5.2.1</w:t>
      </w:r>
      <w:r>
        <w:rPr>
          <w:rFonts w:hint="eastAsia"/>
          <w:color w:val="auto"/>
          <w:highlight w:val="none"/>
        </w:rPr>
        <w:t>款提供的项目基础资料和现场障碍资料不真实、不准确、不齐全、不及时，或未能按</w:t>
      </w:r>
      <w:r>
        <w:rPr>
          <w:color w:val="auto"/>
          <w:highlight w:val="none"/>
        </w:rPr>
        <w:t>14.3.1</w:t>
      </w:r>
      <w:r>
        <w:rPr>
          <w:rFonts w:hint="eastAsia"/>
          <w:color w:val="auto"/>
          <w:highlight w:val="none"/>
        </w:rPr>
        <w:t>款约定的预付款金额和（或）</w:t>
      </w:r>
      <w:r>
        <w:rPr>
          <w:color w:val="auto"/>
          <w:highlight w:val="none"/>
        </w:rPr>
        <w:t>14.3.2</w:t>
      </w:r>
      <w:r>
        <w:rPr>
          <w:rFonts w:hint="eastAsia"/>
          <w:color w:val="auto"/>
          <w:highlight w:val="none"/>
        </w:rPr>
        <w:t>款约定的预付款时间付款，导致</w:t>
      </w:r>
      <w:r>
        <w:rPr>
          <w:color w:val="auto"/>
          <w:highlight w:val="none"/>
        </w:rPr>
        <w:t>4.2.2</w:t>
      </w:r>
      <w:r>
        <w:rPr>
          <w:rFonts w:hint="eastAsia"/>
          <w:color w:val="auto"/>
          <w:highlight w:val="none"/>
        </w:rPr>
        <w:t>款约定的设计开工日期延误，或</w:t>
      </w:r>
      <w:r>
        <w:rPr>
          <w:color w:val="auto"/>
          <w:highlight w:val="none"/>
        </w:rPr>
        <w:t>4.3.2</w:t>
      </w:r>
      <w:r>
        <w:rPr>
          <w:rFonts w:hint="eastAsia"/>
          <w:color w:val="auto"/>
          <w:highlight w:val="none"/>
        </w:rPr>
        <w:t>款约定的采购开始日期延误，或造成</w:t>
      </w:r>
      <w:r>
        <w:rPr>
          <w:color w:val="auto"/>
          <w:highlight w:val="none"/>
        </w:rPr>
        <w:t>4.4.2</w:t>
      </w:r>
      <w:r>
        <w:rPr>
          <w:rFonts w:hint="eastAsia"/>
          <w:color w:val="auto"/>
          <w:highlight w:val="none"/>
        </w:rPr>
        <w:t>款施工开工日期延误的。</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）根据</w:t>
      </w:r>
      <w:r>
        <w:rPr>
          <w:color w:val="auto"/>
          <w:highlight w:val="none"/>
        </w:rPr>
        <w:t>4.2.4</w:t>
      </w:r>
      <w:r>
        <w:rPr>
          <w:rFonts w:hint="eastAsia"/>
          <w:color w:val="auto"/>
          <w:highlight w:val="none"/>
        </w:rPr>
        <w:t>款第（</w:t>
      </w:r>
      <w:r>
        <w:rPr>
          <w:color w:val="auto"/>
          <w:highlight w:val="none"/>
        </w:rPr>
        <w:t>2</w:t>
      </w:r>
      <w:r>
        <w:rPr>
          <w:rFonts w:hint="eastAsia"/>
          <w:color w:val="auto"/>
          <w:highlight w:val="none"/>
        </w:rPr>
        <w:t>）项的约定，因发包人原因，导致某个设计阶段审核会议时间的延误。</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）根据</w:t>
      </w:r>
      <w:r>
        <w:rPr>
          <w:color w:val="auto"/>
          <w:highlight w:val="none"/>
        </w:rPr>
        <w:t>4.2.4</w:t>
      </w:r>
      <w:r>
        <w:rPr>
          <w:rFonts w:hint="eastAsia"/>
          <w:color w:val="auto"/>
          <w:highlight w:val="none"/>
        </w:rPr>
        <w:t>款第（</w:t>
      </w:r>
      <w:r>
        <w:rPr>
          <w:color w:val="auto"/>
          <w:highlight w:val="none"/>
        </w:rPr>
        <w:t>3</w:t>
      </w:r>
      <w:r>
        <w:rPr>
          <w:rFonts w:hint="eastAsia"/>
          <w:color w:val="auto"/>
          <w:highlight w:val="none"/>
        </w:rPr>
        <w:t>）项的约定，相关设计审查部门批准时间较合同约定的时间延长的。</w:t>
      </w:r>
    </w:p>
    <w:p>
      <w:pPr>
        <w:spacing w:line="300" w:lineRule="auto"/>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）根据合同约定的其它延长竣工日期的情况。</w:t>
      </w:r>
    </w:p>
    <w:p>
      <w:pPr>
        <w:spacing w:line="300" w:lineRule="auto"/>
        <w:ind w:firstLine="420" w:firstLineChars="200"/>
        <w:rPr>
          <w:color w:val="auto"/>
          <w:highlight w:val="none"/>
        </w:rPr>
      </w:pPr>
      <w:r>
        <w:rPr>
          <w:color w:val="auto"/>
          <w:highlight w:val="none"/>
        </w:rPr>
        <w:t>4.1.4</w:t>
      </w:r>
      <w:r>
        <w:rPr>
          <w:rFonts w:hint="eastAsia"/>
          <w:color w:val="auto"/>
          <w:highlight w:val="none"/>
        </w:rPr>
        <w:t>发包人的赶工要求</w:t>
      </w:r>
    </w:p>
    <w:p>
      <w:pPr>
        <w:spacing w:line="300" w:lineRule="auto"/>
        <w:ind w:firstLine="420" w:firstLineChars="200"/>
        <w:rPr>
          <w:color w:val="auto"/>
          <w:highlight w:val="none"/>
        </w:rPr>
      </w:pPr>
      <w:r>
        <w:rPr>
          <w:rFonts w:hint="eastAsia"/>
          <w:color w:val="auto"/>
          <w:highlight w:val="none"/>
        </w:rPr>
        <w:t>合同实施过程中发包人书面提出加快设计、采购、施工、竣工试验的赶工要求，被承包人接受时，承包人应提交赶工方案，采取赶工措施。因赶工引起的费用增加，按</w:t>
      </w:r>
      <w:r>
        <w:rPr>
          <w:color w:val="auto"/>
          <w:highlight w:val="none"/>
        </w:rPr>
        <w:t>13.2.4</w:t>
      </w:r>
      <w:r>
        <w:rPr>
          <w:rFonts w:hint="eastAsia"/>
          <w:color w:val="auto"/>
          <w:highlight w:val="none"/>
        </w:rPr>
        <w:t>款的变更约定执行。</w:t>
      </w:r>
    </w:p>
    <w:p>
      <w:pPr>
        <w:pStyle w:val="4"/>
        <w:rPr>
          <w:rFonts w:ascii="宋体" w:hAnsi="宋体"/>
          <w:color w:val="auto"/>
          <w:kern w:val="0"/>
          <w:sz w:val="21"/>
          <w:highlight w:val="none"/>
        </w:rPr>
      </w:pPr>
      <w:bookmarkStart w:id="764" w:name="_Toc433988725"/>
      <w:bookmarkStart w:id="765" w:name="_Toc419364361"/>
      <w:bookmarkStart w:id="766" w:name="_Toc491277275"/>
      <w:bookmarkStart w:id="767" w:name="_Toc419320236"/>
      <w:bookmarkStart w:id="768" w:name="_Toc419363692"/>
      <w:bookmarkStart w:id="769" w:name="_Toc419321272"/>
      <w:r>
        <w:rPr>
          <w:rFonts w:ascii="宋体" w:hAnsi="宋体"/>
          <w:color w:val="auto"/>
          <w:kern w:val="0"/>
          <w:sz w:val="21"/>
          <w:highlight w:val="none"/>
        </w:rPr>
        <w:t xml:space="preserve">4.2  </w:t>
      </w:r>
      <w:r>
        <w:rPr>
          <w:rFonts w:hint="eastAsia" w:ascii="宋体" w:hAnsi="宋体"/>
          <w:color w:val="auto"/>
          <w:kern w:val="0"/>
          <w:sz w:val="21"/>
          <w:highlight w:val="none"/>
        </w:rPr>
        <w:t>设计进度计划</w:t>
      </w:r>
      <w:bookmarkEnd w:id="764"/>
      <w:bookmarkEnd w:id="765"/>
      <w:bookmarkEnd w:id="766"/>
      <w:bookmarkEnd w:id="767"/>
      <w:bookmarkEnd w:id="768"/>
      <w:bookmarkEnd w:id="769"/>
    </w:p>
    <w:p>
      <w:pPr>
        <w:spacing w:line="300" w:lineRule="auto"/>
        <w:ind w:firstLine="420" w:firstLineChars="200"/>
        <w:rPr>
          <w:color w:val="auto"/>
          <w:highlight w:val="none"/>
        </w:rPr>
      </w:pPr>
      <w:r>
        <w:rPr>
          <w:color w:val="auto"/>
          <w:highlight w:val="none"/>
        </w:rPr>
        <w:t>4.2.1</w:t>
      </w:r>
      <w:r>
        <w:rPr>
          <w:rFonts w:hint="eastAsia"/>
          <w:color w:val="auto"/>
          <w:highlight w:val="none"/>
        </w:rPr>
        <w:t>设计进度计划</w:t>
      </w:r>
    </w:p>
    <w:p>
      <w:pPr>
        <w:spacing w:line="300" w:lineRule="auto"/>
        <w:ind w:firstLine="420" w:firstLineChars="200"/>
        <w:rPr>
          <w:color w:val="auto"/>
          <w:highlight w:val="none"/>
        </w:rPr>
      </w:pPr>
      <w:r>
        <w:rPr>
          <w:rFonts w:hint="eastAsia"/>
          <w:color w:val="auto"/>
          <w:highlight w:val="none"/>
        </w:rPr>
        <w:t>承包人根据批准的项目进度计划和</w:t>
      </w:r>
      <w:r>
        <w:rPr>
          <w:color w:val="auto"/>
          <w:highlight w:val="none"/>
        </w:rPr>
        <w:t>5.3.1</w:t>
      </w:r>
      <w:r>
        <w:rPr>
          <w:rFonts w:hint="eastAsia"/>
          <w:color w:val="auto"/>
          <w:highlight w:val="none"/>
        </w:rPr>
        <w:t>款约定的设计审查阶段及发包人组织的设计阶段审查会议的时间安排，编制设计进度计划。设计进度计划经发包人认可后执行。发包人的认可并不能解除承包人的合同责任。</w:t>
      </w:r>
    </w:p>
    <w:p>
      <w:pPr>
        <w:spacing w:line="300" w:lineRule="auto"/>
        <w:ind w:firstLine="420" w:firstLineChars="200"/>
        <w:rPr>
          <w:color w:val="auto"/>
          <w:highlight w:val="none"/>
        </w:rPr>
      </w:pPr>
      <w:r>
        <w:rPr>
          <w:color w:val="auto"/>
          <w:highlight w:val="none"/>
        </w:rPr>
        <w:t>4.2.2</w:t>
      </w:r>
      <w:r>
        <w:rPr>
          <w:rFonts w:hint="eastAsia"/>
          <w:color w:val="auto"/>
          <w:highlight w:val="none"/>
        </w:rPr>
        <w:t>设计开工日期</w:t>
      </w:r>
    </w:p>
    <w:p>
      <w:pPr>
        <w:spacing w:line="300" w:lineRule="auto"/>
        <w:ind w:firstLine="420" w:firstLineChars="200"/>
        <w:rPr>
          <w:color w:val="auto"/>
          <w:highlight w:val="none"/>
        </w:rPr>
      </w:pPr>
      <w:r>
        <w:rPr>
          <w:rFonts w:hint="eastAsia"/>
          <w:color w:val="auto"/>
          <w:highlight w:val="none"/>
        </w:rPr>
        <w:t>承包人收到发包人按</w:t>
      </w:r>
      <w:r>
        <w:rPr>
          <w:color w:val="auto"/>
          <w:highlight w:val="none"/>
        </w:rPr>
        <w:t>5.2.1</w:t>
      </w:r>
      <w:r>
        <w:rPr>
          <w:rFonts w:hint="eastAsia"/>
          <w:color w:val="auto"/>
          <w:highlight w:val="none"/>
        </w:rPr>
        <w:t>款提供的项目基础资料、现场障碍资料，及</w:t>
      </w:r>
      <w:r>
        <w:rPr>
          <w:color w:val="auto"/>
          <w:highlight w:val="none"/>
        </w:rPr>
        <w:t>14.3.2</w:t>
      </w:r>
      <w:r>
        <w:rPr>
          <w:rFonts w:hint="eastAsia"/>
          <w:color w:val="auto"/>
          <w:highlight w:val="none"/>
        </w:rPr>
        <w:t>款的预付款收到后的第</w:t>
      </w:r>
      <w:r>
        <w:rPr>
          <w:color w:val="auto"/>
          <w:highlight w:val="none"/>
        </w:rPr>
        <w:t>5</w:t>
      </w:r>
      <w:r>
        <w:rPr>
          <w:rFonts w:hint="eastAsia"/>
          <w:color w:val="auto"/>
          <w:highlight w:val="none"/>
        </w:rPr>
        <w:t>日，作为设计开工日期。</w:t>
      </w:r>
    </w:p>
    <w:p>
      <w:pPr>
        <w:spacing w:line="300" w:lineRule="auto"/>
        <w:ind w:firstLine="420" w:firstLineChars="200"/>
        <w:rPr>
          <w:color w:val="auto"/>
          <w:highlight w:val="none"/>
        </w:rPr>
      </w:pPr>
      <w:r>
        <w:rPr>
          <w:color w:val="auto"/>
          <w:highlight w:val="none"/>
        </w:rPr>
        <w:t>4.2.3</w:t>
      </w:r>
      <w:r>
        <w:rPr>
          <w:rFonts w:hint="eastAsia"/>
          <w:color w:val="auto"/>
          <w:highlight w:val="none"/>
        </w:rPr>
        <w:t>设计开工日期延误</w:t>
      </w:r>
    </w:p>
    <w:p>
      <w:pPr>
        <w:spacing w:line="300" w:lineRule="auto"/>
        <w:ind w:firstLine="420" w:firstLineChars="200"/>
        <w:rPr>
          <w:color w:val="auto"/>
          <w:highlight w:val="none"/>
        </w:rPr>
      </w:pPr>
      <w:r>
        <w:rPr>
          <w:rFonts w:hint="eastAsia"/>
          <w:color w:val="auto"/>
          <w:highlight w:val="none"/>
        </w:rPr>
        <w:t>因发包人未能按</w:t>
      </w:r>
      <w:r>
        <w:rPr>
          <w:color w:val="auto"/>
          <w:highlight w:val="none"/>
        </w:rPr>
        <w:t>5.2.1</w:t>
      </w:r>
      <w:r>
        <w:rPr>
          <w:rFonts w:hint="eastAsia"/>
          <w:color w:val="auto"/>
          <w:highlight w:val="none"/>
        </w:rPr>
        <w:t>款的约定提供设计基础资料、现场障碍资料等相关资料、或未按</w:t>
      </w:r>
      <w:r>
        <w:rPr>
          <w:color w:val="auto"/>
          <w:highlight w:val="none"/>
        </w:rPr>
        <w:t>14.3.1</w:t>
      </w:r>
      <w:r>
        <w:rPr>
          <w:rFonts w:hint="eastAsia"/>
          <w:color w:val="auto"/>
          <w:highlight w:val="none"/>
        </w:rPr>
        <w:t>款和</w:t>
      </w:r>
      <w:r>
        <w:rPr>
          <w:color w:val="auto"/>
          <w:highlight w:val="none"/>
        </w:rPr>
        <w:t>14.3.2</w:t>
      </w:r>
      <w:r>
        <w:rPr>
          <w:rFonts w:hint="eastAsia"/>
          <w:color w:val="auto"/>
          <w:highlight w:val="none"/>
        </w:rPr>
        <w:t>款约定的预付款金额和支付时间支付预付款，造成设计开工日期延误的，设计开工日朗和工程竣工日期相应顺延；因承包人原因造成设计开工日期延误的，按</w:t>
      </w:r>
      <w:r>
        <w:rPr>
          <w:color w:val="auto"/>
          <w:highlight w:val="none"/>
        </w:rPr>
        <w:t xml:space="preserve">4.1.2 </w:t>
      </w:r>
      <w:r>
        <w:rPr>
          <w:rFonts w:hint="eastAsia"/>
          <w:color w:val="auto"/>
          <w:highlight w:val="none"/>
        </w:rPr>
        <w:t>款的约定，自费赶上。因发包人原因给承包人造成经济损失的，应支付相应费用。</w:t>
      </w:r>
    </w:p>
    <w:p>
      <w:pPr>
        <w:spacing w:line="300" w:lineRule="auto"/>
        <w:ind w:firstLine="420" w:firstLineChars="200"/>
        <w:rPr>
          <w:color w:val="auto"/>
          <w:highlight w:val="none"/>
        </w:rPr>
      </w:pPr>
      <w:r>
        <w:rPr>
          <w:color w:val="auto"/>
          <w:highlight w:val="none"/>
        </w:rPr>
        <w:t>4.2.4</w:t>
      </w:r>
      <w:r>
        <w:rPr>
          <w:rFonts w:hint="eastAsia"/>
          <w:color w:val="auto"/>
          <w:highlight w:val="none"/>
        </w:rPr>
        <w:t>设计阶段审查日期的延误</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）因承包人原因，未能按照合同约定的设计审查阶段及其审查会议的时间安排提交相关阶段的设计文件、或提交的相关设计文件不符合相关审核阶段的设计深度要求时，造成设计审查会议延误的，由承包人依据</w:t>
      </w:r>
      <w:r>
        <w:rPr>
          <w:color w:val="auto"/>
          <w:highlight w:val="none"/>
        </w:rPr>
        <w:t>4. 1. 2</w:t>
      </w:r>
      <w:r>
        <w:rPr>
          <w:rFonts w:hint="eastAsia"/>
          <w:color w:val="auto"/>
          <w:highlight w:val="none"/>
        </w:rPr>
        <w:t>款的约定，自费采取措施赶上；造成关键路径延误，或给发包人造成损失（审核会议准备费用）的，由承包人承担。</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）因发包人原因，未能按照合同约定的设计阶段审查会议的时间安排，造成某个设计阶段审查会议延误的，竣工日期相应顺延。因此给承包人带来的窝工损失，由发包人承担。</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）政府相关设计审查部门批准时间较合同约定时间延长的，竣工日期相应顺延。因此给双方带来的费用增加和（或）工期延误的，由发包人承担。</w:t>
      </w:r>
    </w:p>
    <w:p>
      <w:pPr>
        <w:pStyle w:val="4"/>
        <w:rPr>
          <w:rFonts w:ascii="宋体" w:hAnsi="宋体"/>
          <w:color w:val="auto"/>
          <w:kern w:val="0"/>
          <w:sz w:val="21"/>
          <w:highlight w:val="none"/>
        </w:rPr>
      </w:pPr>
      <w:bookmarkStart w:id="770" w:name="_Toc419320237"/>
      <w:bookmarkStart w:id="771" w:name="_Toc419364362"/>
      <w:bookmarkStart w:id="772" w:name="_Toc419363693"/>
      <w:bookmarkStart w:id="773" w:name="_Toc419321273"/>
      <w:bookmarkStart w:id="774" w:name="_Toc433988726"/>
      <w:bookmarkStart w:id="775" w:name="_Toc491277276"/>
      <w:r>
        <w:rPr>
          <w:rFonts w:ascii="宋体" w:hAnsi="宋体"/>
          <w:color w:val="auto"/>
          <w:kern w:val="0"/>
          <w:sz w:val="21"/>
          <w:highlight w:val="none"/>
        </w:rPr>
        <w:t xml:space="preserve">4.3  </w:t>
      </w:r>
      <w:r>
        <w:rPr>
          <w:rFonts w:hint="eastAsia" w:ascii="宋体" w:hAnsi="宋体"/>
          <w:color w:val="auto"/>
          <w:kern w:val="0"/>
          <w:sz w:val="21"/>
          <w:highlight w:val="none"/>
        </w:rPr>
        <w:t>采购进度计划</w:t>
      </w:r>
      <w:bookmarkEnd w:id="770"/>
      <w:bookmarkEnd w:id="771"/>
      <w:bookmarkEnd w:id="772"/>
      <w:bookmarkEnd w:id="773"/>
      <w:bookmarkEnd w:id="774"/>
      <w:bookmarkEnd w:id="775"/>
    </w:p>
    <w:p>
      <w:pPr>
        <w:spacing w:line="300" w:lineRule="auto"/>
        <w:ind w:firstLine="420" w:firstLineChars="200"/>
        <w:outlineLvl w:val="0"/>
        <w:rPr>
          <w:color w:val="auto"/>
          <w:highlight w:val="none"/>
        </w:rPr>
      </w:pPr>
      <w:bookmarkStart w:id="776" w:name="_Toc491277277"/>
      <w:bookmarkStart w:id="777" w:name="_Toc433988727"/>
      <w:r>
        <w:rPr>
          <w:color w:val="auto"/>
          <w:highlight w:val="none"/>
        </w:rPr>
        <w:t xml:space="preserve">4.3.1  </w:t>
      </w:r>
      <w:r>
        <w:rPr>
          <w:rFonts w:hint="eastAsia"/>
          <w:color w:val="auto"/>
          <w:highlight w:val="none"/>
        </w:rPr>
        <w:t>采购进度计划</w:t>
      </w:r>
      <w:bookmarkEnd w:id="776"/>
      <w:bookmarkEnd w:id="777"/>
    </w:p>
    <w:p>
      <w:pPr>
        <w:spacing w:line="300" w:lineRule="auto"/>
        <w:ind w:firstLine="420" w:firstLineChars="200"/>
        <w:rPr>
          <w:color w:val="auto"/>
          <w:highlight w:val="none"/>
        </w:rPr>
      </w:pPr>
      <w:r>
        <w:rPr>
          <w:rFonts w:hint="eastAsia"/>
          <w:color w:val="auto"/>
          <w:highlight w:val="none"/>
        </w:rPr>
        <w:t>承包人的采购进度计划符合项目进度计划的时间安排，并与设计、施工、和（或）竣工试验及竣工后试验的进度计划相衔接。采购进度计划的提交份数和日期，在专用条款约定。</w:t>
      </w:r>
    </w:p>
    <w:p>
      <w:pPr>
        <w:spacing w:line="300" w:lineRule="auto"/>
        <w:ind w:firstLine="420" w:firstLineChars="200"/>
        <w:rPr>
          <w:color w:val="auto"/>
          <w:highlight w:val="none"/>
        </w:rPr>
      </w:pPr>
      <w:r>
        <w:rPr>
          <w:color w:val="auto"/>
          <w:highlight w:val="none"/>
        </w:rPr>
        <w:t>4.3.2</w:t>
      </w:r>
      <w:r>
        <w:rPr>
          <w:rFonts w:hint="eastAsia"/>
          <w:color w:val="auto"/>
          <w:highlight w:val="none"/>
        </w:rPr>
        <w:t>采购开始日期</w:t>
      </w:r>
    </w:p>
    <w:p>
      <w:pPr>
        <w:spacing w:line="300" w:lineRule="auto"/>
        <w:ind w:firstLine="420" w:firstLineChars="200"/>
        <w:rPr>
          <w:color w:val="auto"/>
          <w:highlight w:val="none"/>
        </w:rPr>
      </w:pPr>
      <w:r>
        <w:rPr>
          <w:rFonts w:hint="eastAsia"/>
          <w:color w:val="auto"/>
          <w:highlight w:val="none"/>
        </w:rPr>
        <w:t>采购开始日期在专用条款约定。</w:t>
      </w:r>
    </w:p>
    <w:p>
      <w:pPr>
        <w:spacing w:line="300" w:lineRule="auto"/>
        <w:ind w:firstLine="420" w:firstLineChars="200"/>
        <w:rPr>
          <w:color w:val="auto"/>
          <w:highlight w:val="none"/>
        </w:rPr>
      </w:pPr>
      <w:r>
        <w:rPr>
          <w:color w:val="auto"/>
          <w:highlight w:val="none"/>
        </w:rPr>
        <w:t>4.3.3</w:t>
      </w:r>
      <w:r>
        <w:rPr>
          <w:rFonts w:hint="eastAsia"/>
          <w:color w:val="auto"/>
          <w:highlight w:val="none"/>
        </w:rPr>
        <w:t>采购进度延误</w:t>
      </w:r>
    </w:p>
    <w:p>
      <w:pPr>
        <w:spacing w:line="300" w:lineRule="auto"/>
        <w:ind w:firstLine="420" w:firstLineChars="200"/>
        <w:rPr>
          <w:color w:val="auto"/>
          <w:highlight w:val="none"/>
        </w:rPr>
      </w:pPr>
      <w:r>
        <w:rPr>
          <w:rFonts w:hint="eastAsia"/>
          <w:color w:val="auto"/>
          <w:highlight w:val="none"/>
        </w:rPr>
        <w:t>因承包人的原因导致采购延误，造成的停工、窝工损失和竣工日期延误，由承包人负责。因发包人原因导致采购延误，给承包人造成的停工、窝工损失，由发包人承担，若造成关键路径延误的，竣工日期相应顺延。</w:t>
      </w:r>
    </w:p>
    <w:p>
      <w:pPr>
        <w:pStyle w:val="4"/>
        <w:rPr>
          <w:rFonts w:ascii="宋体" w:hAnsi="宋体"/>
          <w:color w:val="auto"/>
          <w:kern w:val="0"/>
          <w:sz w:val="21"/>
          <w:highlight w:val="none"/>
        </w:rPr>
      </w:pPr>
      <w:bookmarkStart w:id="778" w:name="_Toc419320238"/>
      <w:bookmarkStart w:id="779" w:name="_Toc419363694"/>
      <w:bookmarkStart w:id="780" w:name="_Toc419321274"/>
      <w:bookmarkStart w:id="781" w:name="_Toc491277278"/>
      <w:bookmarkStart w:id="782" w:name="_Toc433988728"/>
      <w:bookmarkStart w:id="783" w:name="_Toc419364363"/>
      <w:r>
        <w:rPr>
          <w:rFonts w:ascii="宋体" w:hAnsi="宋体"/>
          <w:color w:val="auto"/>
          <w:kern w:val="0"/>
          <w:sz w:val="21"/>
          <w:highlight w:val="none"/>
        </w:rPr>
        <w:t xml:space="preserve">4.4  </w:t>
      </w:r>
      <w:r>
        <w:rPr>
          <w:rFonts w:hint="eastAsia" w:ascii="宋体" w:hAnsi="宋体"/>
          <w:color w:val="auto"/>
          <w:kern w:val="0"/>
          <w:sz w:val="21"/>
          <w:highlight w:val="none"/>
        </w:rPr>
        <w:t>施工进度计划</w:t>
      </w:r>
      <w:bookmarkEnd w:id="778"/>
      <w:bookmarkEnd w:id="779"/>
      <w:bookmarkEnd w:id="780"/>
      <w:bookmarkEnd w:id="781"/>
      <w:bookmarkEnd w:id="782"/>
      <w:bookmarkEnd w:id="783"/>
    </w:p>
    <w:p>
      <w:pPr>
        <w:spacing w:line="300" w:lineRule="auto"/>
        <w:ind w:firstLine="420" w:firstLineChars="200"/>
        <w:rPr>
          <w:color w:val="auto"/>
          <w:highlight w:val="none"/>
        </w:rPr>
      </w:pPr>
      <w:r>
        <w:rPr>
          <w:color w:val="auto"/>
          <w:highlight w:val="none"/>
        </w:rPr>
        <w:t>4.4.1</w:t>
      </w:r>
      <w:r>
        <w:rPr>
          <w:rFonts w:hint="eastAsia"/>
          <w:color w:val="auto"/>
          <w:highlight w:val="none"/>
        </w:rPr>
        <w:t>施工进度计划</w:t>
      </w:r>
    </w:p>
    <w:p>
      <w:pPr>
        <w:spacing w:line="300" w:lineRule="auto"/>
        <w:ind w:firstLine="420" w:firstLineChars="200"/>
        <w:rPr>
          <w:color w:val="auto"/>
          <w:highlight w:val="none"/>
        </w:rPr>
      </w:pPr>
      <w:r>
        <w:rPr>
          <w:rFonts w:hint="eastAsia"/>
          <w:color w:val="auto"/>
          <w:highlight w:val="none"/>
        </w:rPr>
        <w:t>承包人应在现场施工开工</w:t>
      </w:r>
      <w:r>
        <w:rPr>
          <w:color w:val="auto"/>
          <w:highlight w:val="none"/>
        </w:rPr>
        <w:t xml:space="preserve">15 </w:t>
      </w:r>
      <w:r>
        <w:rPr>
          <w:rFonts w:hint="eastAsia"/>
          <w:color w:val="auto"/>
          <w:highlight w:val="none"/>
        </w:rPr>
        <w:t>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pPr>
        <w:spacing w:line="300" w:lineRule="auto"/>
        <w:ind w:firstLine="420" w:firstLineChars="200"/>
        <w:rPr>
          <w:color w:val="auto"/>
          <w:highlight w:val="none"/>
        </w:rPr>
      </w:pPr>
      <w:r>
        <w:rPr>
          <w:color w:val="auto"/>
          <w:highlight w:val="none"/>
        </w:rPr>
        <w:t>4.4.2</w:t>
      </w:r>
      <w:r>
        <w:rPr>
          <w:rFonts w:hint="eastAsia"/>
          <w:color w:val="auto"/>
          <w:highlight w:val="none"/>
        </w:rPr>
        <w:t>施工开工日期延误</w:t>
      </w:r>
    </w:p>
    <w:p>
      <w:pPr>
        <w:spacing w:line="300" w:lineRule="auto"/>
        <w:ind w:firstLine="420" w:firstLineChars="200"/>
        <w:rPr>
          <w:color w:val="auto"/>
          <w:highlight w:val="none"/>
        </w:rPr>
      </w:pPr>
      <w:r>
        <w:rPr>
          <w:rFonts w:hint="eastAsia"/>
          <w:color w:val="auto"/>
          <w:highlight w:val="none"/>
        </w:rPr>
        <w:t>施工开工日期延误的，根据下列约定确定延长竣工日期：</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）因发包人原因造成承包人不能按时开工的，开竣工日期相应顺延。给承包人造成经济损失的应支付相应费用。</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）因承包人原因不能按时开工的，需说明正当理由，自费采取措施及早开工，竣工日期不予延长。</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）因不可抗力造成施工开工日期延误的，竣工日期相应顺延。</w:t>
      </w:r>
    </w:p>
    <w:p>
      <w:pPr>
        <w:spacing w:line="300" w:lineRule="auto"/>
        <w:ind w:firstLine="420" w:firstLineChars="200"/>
        <w:rPr>
          <w:color w:val="auto"/>
          <w:highlight w:val="none"/>
        </w:rPr>
      </w:pPr>
      <w:r>
        <w:rPr>
          <w:color w:val="auto"/>
          <w:highlight w:val="none"/>
        </w:rPr>
        <w:t>4.4.3</w:t>
      </w:r>
      <w:r>
        <w:rPr>
          <w:rFonts w:hint="eastAsia"/>
          <w:color w:val="auto"/>
          <w:highlight w:val="none"/>
        </w:rPr>
        <w:t>竣工日期</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）承包项目的试试阶段含竣工试验阶段时，按以下方式确定计划竣工日期和实际竣工日期：</w:t>
      </w:r>
    </w:p>
    <w:p>
      <w:pPr>
        <w:spacing w:line="300" w:lineRule="auto"/>
        <w:ind w:firstLine="867" w:firstLineChars="413"/>
        <w:rPr>
          <w:color w:val="auto"/>
          <w:highlight w:val="none"/>
        </w:rPr>
      </w:pPr>
      <w:r>
        <w:rPr>
          <w:color w:val="auto"/>
          <w:highlight w:val="none"/>
        </w:rPr>
        <w:t>1</w:t>
      </w:r>
      <w:r>
        <w:rPr>
          <w:rFonts w:hint="eastAsia"/>
          <w:color w:val="auto"/>
          <w:highlight w:val="none"/>
        </w:rPr>
        <w:t>）根据专用条款（</w:t>
      </w:r>
      <w:r>
        <w:rPr>
          <w:color w:val="auto"/>
          <w:highlight w:val="none"/>
        </w:rPr>
        <w:t>9.1</w:t>
      </w:r>
      <w:r>
        <w:rPr>
          <w:rFonts w:hint="eastAsia"/>
          <w:color w:val="auto"/>
          <w:highlight w:val="none"/>
        </w:rPr>
        <w:t>款工程接收）约定单项工程竣工日期，为单项工程的计划竣工日期；工程中最后一个单项工程的计划竣工日期，为工程的计划竣工日期；</w:t>
      </w:r>
    </w:p>
    <w:p>
      <w:pPr>
        <w:spacing w:line="300" w:lineRule="auto"/>
        <w:ind w:firstLine="867" w:firstLineChars="413"/>
        <w:rPr>
          <w:color w:val="auto"/>
          <w:highlight w:val="none"/>
        </w:rPr>
      </w:pPr>
      <w:r>
        <w:rPr>
          <w:color w:val="auto"/>
          <w:highlight w:val="none"/>
        </w:rPr>
        <w:t>2</w:t>
      </w:r>
      <w:r>
        <w:rPr>
          <w:rFonts w:hint="eastAsia"/>
          <w:color w:val="auto"/>
          <w:highlight w:val="none"/>
        </w:rPr>
        <w:t>）单项工程中最后一项竣工试验通过的日期，为该单项工程的实际竣工日期；</w:t>
      </w:r>
    </w:p>
    <w:p>
      <w:pPr>
        <w:spacing w:line="300" w:lineRule="auto"/>
        <w:ind w:firstLine="867" w:firstLineChars="413"/>
        <w:rPr>
          <w:color w:val="auto"/>
          <w:highlight w:val="none"/>
        </w:rPr>
      </w:pPr>
      <w:r>
        <w:rPr>
          <w:color w:val="auto"/>
          <w:highlight w:val="none"/>
        </w:rPr>
        <w:t>3</w:t>
      </w:r>
      <w:r>
        <w:rPr>
          <w:rFonts w:hint="eastAsia"/>
          <w:color w:val="auto"/>
          <w:highlight w:val="none"/>
        </w:rPr>
        <w:t>）工程中最后一个单项工程通过竣工试验的日期，为工程的实际竣工日期。</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）承包项目的实施阶段不含竣工试验阶段时，按以下方式确定计划竣工日期和实际竣工日期：</w:t>
      </w:r>
    </w:p>
    <w:p>
      <w:pPr>
        <w:spacing w:line="300" w:lineRule="auto"/>
        <w:ind w:firstLine="420" w:firstLineChars="200"/>
        <w:rPr>
          <w:color w:val="auto"/>
          <w:highlight w:val="none"/>
        </w:rPr>
      </w:pPr>
      <w:r>
        <w:rPr>
          <w:color w:val="auto"/>
          <w:highlight w:val="none"/>
        </w:rPr>
        <w:t>1</w:t>
      </w:r>
      <w:r>
        <w:rPr>
          <w:rFonts w:hint="eastAsia"/>
          <w:color w:val="auto"/>
          <w:highlight w:val="none"/>
        </w:rPr>
        <w:t>）根据专用条款（</w:t>
      </w:r>
      <w:r>
        <w:rPr>
          <w:color w:val="auto"/>
          <w:highlight w:val="none"/>
        </w:rPr>
        <w:t>9.1</w:t>
      </w:r>
      <w:r>
        <w:rPr>
          <w:rFonts w:hint="eastAsia"/>
          <w:color w:val="auto"/>
          <w:highlight w:val="none"/>
        </w:rPr>
        <w:t>款工程接收）中所约定的单项工程竣工日期，为单项工程的计划竣工日期；工程中最后一个单项工程的计划竣工日期，为工程的计划竣工日期；</w:t>
      </w:r>
    </w:p>
    <w:p>
      <w:pPr>
        <w:spacing w:line="300" w:lineRule="auto"/>
        <w:ind w:firstLine="420" w:firstLineChars="200"/>
        <w:rPr>
          <w:color w:val="auto"/>
          <w:highlight w:val="none"/>
        </w:rPr>
      </w:pPr>
      <w:r>
        <w:rPr>
          <w:color w:val="auto"/>
          <w:highlight w:val="none"/>
        </w:rPr>
        <w:t>2</w:t>
      </w:r>
      <w:r>
        <w:rPr>
          <w:rFonts w:hint="eastAsia"/>
          <w:color w:val="auto"/>
          <w:highlight w:val="none"/>
        </w:rPr>
        <w:t>）承包人按合同约定，完成施工图纸规定的单项工程中的全部施工作业，并符合约定的质量标准的日期，为单项工程的实际竣工日期；</w:t>
      </w:r>
    </w:p>
    <w:p>
      <w:pPr>
        <w:spacing w:line="300" w:lineRule="auto"/>
        <w:ind w:firstLine="420" w:firstLineChars="200"/>
        <w:rPr>
          <w:color w:val="auto"/>
          <w:highlight w:val="none"/>
        </w:rPr>
      </w:pPr>
      <w:r>
        <w:rPr>
          <w:color w:val="auto"/>
          <w:highlight w:val="none"/>
        </w:rPr>
        <w:t>3</w:t>
      </w:r>
      <w:r>
        <w:rPr>
          <w:rFonts w:hint="eastAsia"/>
          <w:color w:val="auto"/>
          <w:highlight w:val="none"/>
        </w:rPr>
        <w:t>）承包人按合同约定，完成施工图纸规定的工程中最后一个单项工程的全部施工作业，且符合合同约定的质量标准的日期，为工程的实际竣工日期。</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）承包人为竣工试验、或竣工后试验预留的施工部位、或发包人要求预留的施工部位、不影响发包人实质操作使用的零星扫尾工程和缺陷修复，不影响竣工日期的确定。</w:t>
      </w:r>
    </w:p>
    <w:p>
      <w:pPr>
        <w:pStyle w:val="4"/>
        <w:rPr>
          <w:rFonts w:ascii="宋体" w:hAnsi="宋体"/>
          <w:color w:val="auto"/>
          <w:kern w:val="0"/>
          <w:sz w:val="21"/>
          <w:highlight w:val="none"/>
        </w:rPr>
      </w:pPr>
      <w:bookmarkStart w:id="784" w:name="_Toc419320239"/>
      <w:bookmarkStart w:id="785" w:name="_Toc419363695"/>
      <w:bookmarkStart w:id="786" w:name="_Toc419321275"/>
      <w:bookmarkStart w:id="787" w:name="_Toc491277279"/>
      <w:bookmarkStart w:id="788" w:name="_Toc419364364"/>
      <w:bookmarkStart w:id="789" w:name="_Toc433988729"/>
      <w:r>
        <w:rPr>
          <w:rFonts w:ascii="宋体" w:hAnsi="宋体"/>
          <w:color w:val="auto"/>
          <w:kern w:val="0"/>
          <w:sz w:val="21"/>
          <w:highlight w:val="none"/>
        </w:rPr>
        <w:t xml:space="preserve">4.5  </w:t>
      </w:r>
      <w:r>
        <w:rPr>
          <w:rFonts w:hint="eastAsia" w:ascii="宋体" w:hAnsi="宋体"/>
          <w:color w:val="auto"/>
          <w:kern w:val="0"/>
          <w:sz w:val="21"/>
          <w:highlight w:val="none"/>
        </w:rPr>
        <w:t>误期赔偿</w:t>
      </w:r>
      <w:bookmarkEnd w:id="784"/>
      <w:bookmarkEnd w:id="785"/>
      <w:bookmarkEnd w:id="786"/>
      <w:bookmarkEnd w:id="787"/>
      <w:bookmarkEnd w:id="788"/>
      <w:bookmarkEnd w:id="789"/>
    </w:p>
    <w:p>
      <w:pPr>
        <w:spacing w:before="120" w:beforeLines="50" w:after="120" w:afterLines="50" w:line="300" w:lineRule="auto"/>
        <w:ind w:firstLine="420" w:firstLineChars="200"/>
        <w:rPr>
          <w:color w:val="auto"/>
          <w:highlight w:val="none"/>
        </w:rPr>
      </w:pPr>
      <w:r>
        <w:rPr>
          <w:rFonts w:hint="eastAsia"/>
          <w:color w:val="auto"/>
          <w:highlight w:val="none"/>
        </w:rP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pPr>
        <w:pStyle w:val="4"/>
        <w:rPr>
          <w:rFonts w:ascii="宋体" w:hAnsi="宋体"/>
          <w:color w:val="auto"/>
          <w:kern w:val="0"/>
          <w:sz w:val="21"/>
          <w:highlight w:val="none"/>
        </w:rPr>
      </w:pPr>
      <w:bookmarkStart w:id="790" w:name="_Toc491277280"/>
      <w:bookmarkStart w:id="791" w:name="_Toc419320240"/>
      <w:bookmarkStart w:id="792" w:name="_Toc419364365"/>
      <w:bookmarkStart w:id="793" w:name="_Toc419321276"/>
      <w:bookmarkStart w:id="794" w:name="_Toc433988730"/>
      <w:bookmarkStart w:id="795" w:name="_Toc419363696"/>
      <w:r>
        <w:rPr>
          <w:rFonts w:ascii="宋体" w:hAnsi="宋体"/>
          <w:color w:val="auto"/>
          <w:kern w:val="0"/>
          <w:sz w:val="21"/>
          <w:highlight w:val="none"/>
        </w:rPr>
        <w:t xml:space="preserve">4.6  </w:t>
      </w:r>
      <w:r>
        <w:rPr>
          <w:rFonts w:hint="eastAsia" w:ascii="宋体" w:hAnsi="宋体"/>
          <w:color w:val="auto"/>
          <w:kern w:val="0"/>
          <w:sz w:val="21"/>
          <w:highlight w:val="none"/>
        </w:rPr>
        <w:t>暂停</w:t>
      </w:r>
      <w:bookmarkEnd w:id="790"/>
      <w:bookmarkEnd w:id="791"/>
      <w:bookmarkEnd w:id="792"/>
      <w:bookmarkEnd w:id="793"/>
      <w:bookmarkEnd w:id="794"/>
      <w:bookmarkEnd w:id="795"/>
    </w:p>
    <w:p>
      <w:pPr>
        <w:spacing w:after="120" w:afterLines="50" w:line="300" w:lineRule="auto"/>
        <w:ind w:firstLine="420" w:firstLineChars="200"/>
        <w:rPr>
          <w:color w:val="auto"/>
          <w:highlight w:val="none"/>
        </w:rPr>
      </w:pPr>
      <w:r>
        <w:rPr>
          <w:color w:val="auto"/>
          <w:highlight w:val="none"/>
        </w:rPr>
        <w:t>4.6.1</w:t>
      </w:r>
      <w:r>
        <w:rPr>
          <w:rFonts w:hint="eastAsia"/>
          <w:color w:val="auto"/>
          <w:highlight w:val="none"/>
        </w:rPr>
        <w:t>因发包人原因的暂停</w:t>
      </w:r>
    </w:p>
    <w:p>
      <w:pPr>
        <w:spacing w:line="300" w:lineRule="auto"/>
        <w:ind w:firstLine="420" w:firstLineChars="200"/>
        <w:rPr>
          <w:color w:val="auto"/>
          <w:highlight w:val="none"/>
        </w:rPr>
      </w:pPr>
      <w:r>
        <w:rPr>
          <w:rFonts w:hint="eastAsia"/>
          <w:color w:val="auto"/>
          <w:highlight w:val="none"/>
        </w:rPr>
        <w:t>因发包人原因通知的暂停，应列明暂停的日期及预计暂停的期限。双方应遵守</w:t>
      </w:r>
      <w:r>
        <w:rPr>
          <w:color w:val="auto"/>
          <w:highlight w:val="none"/>
        </w:rPr>
        <w:t>2.1.5</w:t>
      </w:r>
      <w:r>
        <w:rPr>
          <w:rFonts w:hint="eastAsia"/>
          <w:color w:val="auto"/>
          <w:highlight w:val="none"/>
        </w:rPr>
        <w:t>款和</w:t>
      </w:r>
      <w:r>
        <w:rPr>
          <w:color w:val="auto"/>
          <w:highlight w:val="none"/>
        </w:rPr>
        <w:t>3.1.4</w:t>
      </w:r>
      <w:r>
        <w:rPr>
          <w:rFonts w:hint="eastAsia"/>
          <w:color w:val="auto"/>
          <w:highlight w:val="none"/>
        </w:rPr>
        <w:t>款的相关约定。</w:t>
      </w:r>
    </w:p>
    <w:p>
      <w:pPr>
        <w:spacing w:line="300" w:lineRule="auto"/>
        <w:ind w:firstLine="420" w:firstLineChars="200"/>
        <w:rPr>
          <w:color w:val="auto"/>
          <w:highlight w:val="none"/>
        </w:rPr>
      </w:pPr>
      <w:r>
        <w:rPr>
          <w:color w:val="auto"/>
          <w:highlight w:val="none"/>
        </w:rPr>
        <w:t>4.6.2</w:t>
      </w:r>
      <w:r>
        <w:rPr>
          <w:rFonts w:hint="eastAsia"/>
          <w:color w:val="auto"/>
          <w:highlight w:val="none"/>
        </w:rPr>
        <w:t>因不可抗力造成的暂停</w:t>
      </w:r>
    </w:p>
    <w:p>
      <w:pPr>
        <w:spacing w:line="300" w:lineRule="auto"/>
        <w:ind w:firstLine="420" w:firstLineChars="200"/>
        <w:jc w:val="left"/>
        <w:rPr>
          <w:color w:val="auto"/>
          <w:highlight w:val="none"/>
        </w:rPr>
      </w:pPr>
      <w:r>
        <w:rPr>
          <w:rFonts w:hint="eastAsia"/>
          <w:color w:val="auto"/>
          <w:highlight w:val="none"/>
        </w:rPr>
        <w:t>因不可抗力造成工程暂停时，双方根据</w:t>
      </w:r>
      <w:r>
        <w:rPr>
          <w:color w:val="auto"/>
          <w:highlight w:val="none"/>
        </w:rPr>
        <w:t>17.1</w:t>
      </w:r>
      <w:r>
        <w:rPr>
          <w:rFonts w:hint="eastAsia"/>
          <w:color w:val="auto"/>
          <w:highlight w:val="none"/>
        </w:rPr>
        <w:t>款不可抗力发生时的义务和</w:t>
      </w:r>
      <w:r>
        <w:rPr>
          <w:color w:val="auto"/>
          <w:highlight w:val="none"/>
        </w:rPr>
        <w:t>17.2</w:t>
      </w:r>
      <w:r>
        <w:rPr>
          <w:rFonts w:hint="eastAsia"/>
          <w:color w:val="auto"/>
          <w:highlight w:val="none"/>
        </w:rPr>
        <w:t>款不可抗力的后果的条款的约定，安排各自的工作。</w:t>
      </w:r>
    </w:p>
    <w:p>
      <w:pPr>
        <w:spacing w:line="300" w:lineRule="auto"/>
        <w:ind w:firstLine="420" w:firstLineChars="200"/>
        <w:rPr>
          <w:color w:val="auto"/>
          <w:highlight w:val="none"/>
        </w:rPr>
      </w:pPr>
      <w:r>
        <w:rPr>
          <w:color w:val="auto"/>
          <w:highlight w:val="none"/>
        </w:rPr>
        <w:t>4.6.3</w:t>
      </w:r>
      <w:r>
        <w:rPr>
          <w:rFonts w:hint="eastAsia"/>
          <w:color w:val="auto"/>
          <w:highlight w:val="none"/>
        </w:rPr>
        <w:t>暂停时承包人的工作</w:t>
      </w:r>
    </w:p>
    <w:p>
      <w:pPr>
        <w:spacing w:line="300" w:lineRule="auto"/>
        <w:ind w:firstLine="420" w:firstLineChars="200"/>
        <w:rPr>
          <w:color w:val="auto"/>
          <w:highlight w:val="none"/>
        </w:rPr>
      </w:pPr>
      <w:r>
        <w:rPr>
          <w:rFonts w:hint="eastAsia"/>
          <w:color w:val="auto"/>
          <w:highlight w:val="none"/>
        </w:rPr>
        <w:t>当发生</w:t>
      </w:r>
      <w:r>
        <w:rPr>
          <w:color w:val="auto"/>
          <w:highlight w:val="none"/>
        </w:rPr>
        <w:t>4.6.1</w:t>
      </w:r>
      <w:r>
        <w:rPr>
          <w:rFonts w:hint="eastAsia"/>
          <w:color w:val="auto"/>
          <w:highlight w:val="none"/>
        </w:rPr>
        <w:t>款发包人的暂停和</w:t>
      </w:r>
      <w:r>
        <w:rPr>
          <w:color w:val="auto"/>
          <w:highlight w:val="none"/>
        </w:rPr>
        <w:t>4.6.2</w:t>
      </w:r>
      <w:r>
        <w:rPr>
          <w:rFonts w:hint="eastAsia"/>
          <w:color w:val="auto"/>
          <w:highlight w:val="none"/>
        </w:rPr>
        <w:t>款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pPr>
        <w:spacing w:line="300" w:lineRule="auto"/>
        <w:ind w:firstLine="420" w:firstLineChars="200"/>
        <w:rPr>
          <w:color w:val="auto"/>
          <w:highlight w:val="none"/>
        </w:rPr>
      </w:pPr>
      <w:r>
        <w:rPr>
          <w:color w:val="auto"/>
          <w:highlight w:val="none"/>
        </w:rPr>
        <w:t>4.6.4</w:t>
      </w:r>
      <w:r>
        <w:rPr>
          <w:rFonts w:hint="eastAsia"/>
          <w:color w:val="auto"/>
          <w:highlight w:val="none"/>
        </w:rPr>
        <w:t>承包人的复工要求</w:t>
      </w:r>
    </w:p>
    <w:p>
      <w:pPr>
        <w:spacing w:line="300" w:lineRule="auto"/>
        <w:ind w:firstLine="420" w:firstLineChars="200"/>
        <w:rPr>
          <w:color w:val="auto"/>
          <w:highlight w:val="none"/>
        </w:rPr>
      </w:pPr>
      <w:r>
        <w:rPr>
          <w:rFonts w:hint="eastAsia"/>
          <w:color w:val="auto"/>
          <w:highlight w:val="none"/>
        </w:rPr>
        <w:t>根据发包人通知暂停的，承包人有权在暂停</w:t>
      </w:r>
      <w:r>
        <w:rPr>
          <w:color w:val="auto"/>
          <w:highlight w:val="none"/>
        </w:rPr>
        <w:t>45</w:t>
      </w:r>
      <w:r>
        <w:rPr>
          <w:rFonts w:hint="eastAsia"/>
          <w:color w:val="auto"/>
          <w:highlight w:val="none"/>
        </w:rPr>
        <w:t>日后向发包人发出要求复工的通知。不能复工时，承包人有权根据</w:t>
      </w:r>
      <w:r>
        <w:rPr>
          <w:color w:val="auto"/>
          <w:highlight w:val="none"/>
        </w:rPr>
        <w:t>13.2.5</w:t>
      </w:r>
      <w:r>
        <w:rPr>
          <w:rFonts w:hint="eastAsia"/>
          <w:color w:val="auto"/>
          <w:highlight w:val="none"/>
        </w:rPr>
        <w:t>款调减部分工程的约定，以变更方式调减受暂停影响的部分工程。</w:t>
      </w:r>
    </w:p>
    <w:p>
      <w:pPr>
        <w:spacing w:line="300" w:lineRule="auto"/>
        <w:ind w:firstLine="420" w:firstLineChars="200"/>
        <w:rPr>
          <w:color w:val="auto"/>
          <w:highlight w:val="none"/>
        </w:rPr>
      </w:pPr>
      <w:r>
        <w:rPr>
          <w:rFonts w:hint="eastAsia"/>
          <w:color w:val="auto"/>
          <w:highlight w:val="none"/>
        </w:rPr>
        <w:t>发包人的暂停超过</w:t>
      </w:r>
      <w:r>
        <w:rPr>
          <w:color w:val="auto"/>
          <w:highlight w:val="none"/>
        </w:rPr>
        <w:t>45</w:t>
      </w:r>
      <w:r>
        <w:rPr>
          <w:rFonts w:hint="eastAsia"/>
          <w:color w:val="auto"/>
          <w:highlight w:val="none"/>
        </w:rPr>
        <w:t>日且暂停影响到整个工程，或发包人的暂停超过</w:t>
      </w:r>
      <w:r>
        <w:rPr>
          <w:color w:val="auto"/>
          <w:highlight w:val="none"/>
        </w:rPr>
        <w:t>180</w:t>
      </w:r>
      <w:r>
        <w:rPr>
          <w:rFonts w:hint="eastAsia"/>
          <w:color w:val="auto"/>
          <w:highlight w:val="none"/>
        </w:rPr>
        <w:t>日，或因不可抗力的暂停致使合同无法履行，承包人有权根据</w:t>
      </w:r>
      <w:r>
        <w:rPr>
          <w:color w:val="auto"/>
          <w:highlight w:val="none"/>
        </w:rPr>
        <w:t>18.2</w:t>
      </w:r>
      <w:r>
        <w:rPr>
          <w:rFonts w:hint="eastAsia"/>
          <w:color w:val="auto"/>
          <w:highlight w:val="none"/>
        </w:rPr>
        <w:t>款由承包人解除合同的约定，发出解除合同的通知。</w:t>
      </w:r>
    </w:p>
    <w:p>
      <w:pPr>
        <w:spacing w:line="300" w:lineRule="auto"/>
        <w:ind w:firstLine="420" w:firstLineChars="200"/>
        <w:rPr>
          <w:color w:val="auto"/>
          <w:highlight w:val="none"/>
        </w:rPr>
      </w:pPr>
      <w:r>
        <w:rPr>
          <w:color w:val="auto"/>
          <w:highlight w:val="none"/>
        </w:rPr>
        <w:t>4.6.5</w:t>
      </w:r>
      <w:r>
        <w:rPr>
          <w:rFonts w:hint="eastAsia"/>
          <w:color w:val="auto"/>
          <w:highlight w:val="none"/>
        </w:rPr>
        <w:t>发包人的复工</w:t>
      </w:r>
    </w:p>
    <w:p>
      <w:pPr>
        <w:spacing w:line="300" w:lineRule="auto"/>
        <w:ind w:firstLine="420" w:firstLineChars="200"/>
        <w:rPr>
          <w:color w:val="auto"/>
          <w:highlight w:val="none"/>
        </w:rPr>
      </w:pPr>
      <w:r>
        <w:rPr>
          <w:rFonts w:hint="eastAsia"/>
          <w:color w:val="auto"/>
          <w:highlight w:val="none"/>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pPr>
        <w:spacing w:line="300" w:lineRule="auto"/>
        <w:ind w:firstLine="420" w:firstLineChars="200"/>
        <w:rPr>
          <w:color w:val="auto"/>
          <w:highlight w:val="none"/>
        </w:rPr>
      </w:pPr>
      <w:r>
        <w:rPr>
          <w:color w:val="auto"/>
          <w:highlight w:val="none"/>
        </w:rPr>
        <w:t>4.6.6</w:t>
      </w:r>
      <w:r>
        <w:rPr>
          <w:rFonts w:hint="eastAsia"/>
          <w:color w:val="auto"/>
          <w:highlight w:val="none"/>
        </w:rPr>
        <w:t>因承包人原因的暂停</w:t>
      </w:r>
    </w:p>
    <w:p>
      <w:pPr>
        <w:spacing w:line="300" w:lineRule="auto"/>
        <w:ind w:firstLine="420" w:firstLineChars="200"/>
        <w:rPr>
          <w:color w:val="auto"/>
          <w:highlight w:val="none"/>
        </w:rPr>
      </w:pPr>
      <w:r>
        <w:rPr>
          <w:rFonts w:hint="eastAsia"/>
          <w:color w:val="auto"/>
          <w:highlight w:val="none"/>
        </w:rPr>
        <w:t>因承包人原因所造成部分工程或工程的暂停，所发生的损失、损害及竣工日期延误，由承包人负责。</w:t>
      </w:r>
    </w:p>
    <w:p>
      <w:pPr>
        <w:spacing w:line="300" w:lineRule="auto"/>
        <w:ind w:firstLine="420" w:firstLineChars="200"/>
        <w:rPr>
          <w:color w:val="auto"/>
          <w:highlight w:val="none"/>
        </w:rPr>
      </w:pPr>
      <w:r>
        <w:rPr>
          <w:color w:val="auto"/>
          <w:highlight w:val="none"/>
        </w:rPr>
        <w:t>4.6.7</w:t>
      </w:r>
      <w:r>
        <w:rPr>
          <w:rFonts w:hint="eastAsia"/>
          <w:color w:val="auto"/>
          <w:highlight w:val="none"/>
        </w:rPr>
        <w:t>工程暂停时的付款</w:t>
      </w:r>
    </w:p>
    <w:p>
      <w:pPr>
        <w:spacing w:line="300" w:lineRule="auto"/>
        <w:ind w:firstLine="420" w:firstLineChars="200"/>
        <w:rPr>
          <w:color w:val="auto"/>
          <w:highlight w:val="none"/>
        </w:rPr>
      </w:pPr>
      <w:r>
        <w:rPr>
          <w:rFonts w:hint="eastAsia"/>
          <w:color w:val="auto"/>
          <w:highlight w:val="none"/>
        </w:rPr>
        <w:t>因发包人原因暂停的复工后，未影响到整个工程实施时，双方应依据</w:t>
      </w:r>
      <w:r>
        <w:rPr>
          <w:color w:val="auto"/>
          <w:highlight w:val="none"/>
        </w:rPr>
        <w:t>2.1.5</w:t>
      </w:r>
      <w:r>
        <w:rPr>
          <w:rFonts w:hint="eastAsia"/>
          <w:color w:val="auto"/>
          <w:highlight w:val="none"/>
        </w:rPr>
        <w:t>款的约定商定因该暂停给承包人所增加的合理费用，承包人应将其款项纳入当期的付款申请，由发包人审查支付。</w:t>
      </w:r>
    </w:p>
    <w:p>
      <w:pPr>
        <w:spacing w:line="300" w:lineRule="auto"/>
        <w:ind w:firstLine="420" w:firstLineChars="200"/>
        <w:rPr>
          <w:color w:val="auto"/>
          <w:highlight w:val="none"/>
        </w:rPr>
      </w:pPr>
      <w:r>
        <w:rPr>
          <w:rFonts w:hint="eastAsia"/>
          <w:color w:val="auto"/>
          <w:highlight w:val="none"/>
        </w:rPr>
        <w:t>因发包人原因暂停的复工后，影响到部分工程实施时，且承包人根据</w:t>
      </w:r>
      <w:r>
        <w:rPr>
          <w:color w:val="auto"/>
          <w:highlight w:val="none"/>
        </w:rPr>
        <w:t>4.6.4</w:t>
      </w:r>
      <w:r>
        <w:rPr>
          <w:rFonts w:hint="eastAsia"/>
          <w:color w:val="auto"/>
          <w:highlight w:val="none"/>
        </w:rPr>
        <w:t>款要求调减部分工程并经发包人批准，发包人应从合同价格中调减该部分款项，双方还应依据</w:t>
      </w:r>
      <w:r>
        <w:rPr>
          <w:color w:val="auto"/>
          <w:highlight w:val="none"/>
        </w:rPr>
        <w:t>2.1.5</w:t>
      </w:r>
      <w:r>
        <w:rPr>
          <w:rFonts w:hint="eastAsia"/>
          <w:color w:val="auto"/>
          <w:highlight w:val="none"/>
        </w:rPr>
        <w:t>款的约定商定承包人因该暂停所增加的合理费用，承包人应将其增减的款项纳入当期付款申请，由发包人审查支付。</w:t>
      </w:r>
    </w:p>
    <w:p>
      <w:pPr>
        <w:spacing w:line="300" w:lineRule="auto"/>
        <w:ind w:firstLine="420" w:firstLineChars="200"/>
        <w:rPr>
          <w:color w:val="auto"/>
          <w:highlight w:val="none"/>
        </w:rPr>
      </w:pPr>
      <w:r>
        <w:rPr>
          <w:rFonts w:hint="eastAsia"/>
          <w:color w:val="auto"/>
          <w:highlight w:val="none"/>
        </w:rPr>
        <w:t>因发包人原因的暂停，致使合同无法履行时，且承包人根据</w:t>
      </w:r>
      <w:r>
        <w:rPr>
          <w:color w:val="auto"/>
          <w:highlight w:val="none"/>
        </w:rPr>
        <w:t>4.6.4</w:t>
      </w:r>
      <w:r>
        <w:rPr>
          <w:rFonts w:hint="eastAsia"/>
          <w:color w:val="auto"/>
          <w:highlight w:val="none"/>
        </w:rPr>
        <w:t>款第二段的约定发出解除合同的通知后，双方应根据</w:t>
      </w:r>
      <w:r>
        <w:rPr>
          <w:color w:val="auto"/>
          <w:highlight w:val="none"/>
        </w:rPr>
        <w:t>18.2</w:t>
      </w:r>
      <w:r>
        <w:rPr>
          <w:rFonts w:hint="eastAsia"/>
          <w:color w:val="auto"/>
          <w:highlight w:val="none"/>
        </w:rPr>
        <w:t>款由承包人解除合同的相关约定，办理结算和付款。</w:t>
      </w:r>
    </w:p>
    <w:p>
      <w:pPr>
        <w:pStyle w:val="2"/>
        <w:rPr>
          <w:rFonts w:ascii="宋体" w:hAnsi="宋体" w:eastAsia="宋体"/>
          <w:color w:val="auto"/>
          <w:sz w:val="28"/>
          <w:szCs w:val="28"/>
          <w:highlight w:val="none"/>
        </w:rPr>
      </w:pPr>
      <w:bookmarkStart w:id="796" w:name="_Toc419321277"/>
      <w:bookmarkStart w:id="797" w:name="_Toc491277281"/>
      <w:bookmarkStart w:id="798" w:name="_Toc433988731"/>
      <w:bookmarkStart w:id="799" w:name="_Toc419363697"/>
      <w:bookmarkStart w:id="800" w:name="_Toc419364366"/>
      <w:bookmarkStart w:id="801" w:name="_Toc419320241"/>
      <w:r>
        <w:rPr>
          <w:rFonts w:hint="eastAsia" w:ascii="宋体" w:hAnsi="宋体" w:eastAsia="宋体"/>
          <w:color w:val="auto"/>
          <w:sz w:val="28"/>
          <w:szCs w:val="28"/>
          <w:highlight w:val="none"/>
        </w:rPr>
        <w:t>第</w:t>
      </w:r>
      <w:r>
        <w:rPr>
          <w:rFonts w:ascii="宋体" w:hAnsi="宋体" w:eastAsia="宋体"/>
          <w:color w:val="auto"/>
          <w:sz w:val="28"/>
          <w:szCs w:val="28"/>
          <w:highlight w:val="none"/>
        </w:rPr>
        <w:t>5</w:t>
      </w:r>
      <w:r>
        <w:rPr>
          <w:rFonts w:hint="eastAsia" w:ascii="宋体" w:hAnsi="宋体" w:eastAsia="宋体"/>
          <w:color w:val="auto"/>
          <w:sz w:val="28"/>
          <w:szCs w:val="28"/>
          <w:highlight w:val="none"/>
        </w:rPr>
        <w:t>条技术与设计</w:t>
      </w:r>
      <w:bookmarkEnd w:id="796"/>
      <w:bookmarkEnd w:id="797"/>
      <w:bookmarkEnd w:id="798"/>
      <w:bookmarkEnd w:id="799"/>
      <w:bookmarkEnd w:id="800"/>
      <w:bookmarkEnd w:id="801"/>
    </w:p>
    <w:p>
      <w:pPr>
        <w:pStyle w:val="4"/>
        <w:rPr>
          <w:rFonts w:ascii="宋体" w:hAnsi="宋体"/>
          <w:color w:val="auto"/>
          <w:kern w:val="0"/>
          <w:sz w:val="21"/>
          <w:highlight w:val="none"/>
        </w:rPr>
      </w:pPr>
      <w:bookmarkStart w:id="802" w:name="_Toc419320242"/>
      <w:bookmarkStart w:id="803" w:name="_Toc433988732"/>
      <w:bookmarkStart w:id="804" w:name="_Toc419364367"/>
      <w:bookmarkStart w:id="805" w:name="_Toc419321278"/>
      <w:bookmarkStart w:id="806" w:name="_Toc419363698"/>
      <w:bookmarkStart w:id="807" w:name="_Toc491277282"/>
      <w:r>
        <w:rPr>
          <w:rFonts w:ascii="宋体" w:hAnsi="宋体"/>
          <w:color w:val="auto"/>
          <w:kern w:val="0"/>
          <w:sz w:val="21"/>
          <w:highlight w:val="none"/>
        </w:rPr>
        <w:t xml:space="preserve">5.1  </w:t>
      </w:r>
      <w:r>
        <w:rPr>
          <w:rFonts w:hint="eastAsia" w:ascii="宋体" w:hAnsi="宋体"/>
          <w:color w:val="auto"/>
          <w:kern w:val="0"/>
          <w:sz w:val="21"/>
          <w:highlight w:val="none"/>
        </w:rPr>
        <w:t>生产工艺技术、建筑设计方案</w:t>
      </w:r>
      <w:bookmarkEnd w:id="802"/>
      <w:bookmarkEnd w:id="803"/>
      <w:bookmarkEnd w:id="804"/>
      <w:bookmarkEnd w:id="805"/>
      <w:bookmarkEnd w:id="806"/>
      <w:bookmarkEnd w:id="807"/>
    </w:p>
    <w:p>
      <w:pPr>
        <w:spacing w:line="300" w:lineRule="auto"/>
        <w:ind w:firstLine="420" w:firstLineChars="200"/>
        <w:rPr>
          <w:color w:val="auto"/>
          <w:highlight w:val="none"/>
        </w:rPr>
      </w:pPr>
      <w:r>
        <w:rPr>
          <w:color w:val="auto"/>
          <w:highlight w:val="none"/>
        </w:rPr>
        <w:t>5.1.1</w:t>
      </w:r>
      <w:r>
        <w:rPr>
          <w:rFonts w:hint="eastAsia"/>
          <w:color w:val="auto"/>
          <w:highlight w:val="none"/>
        </w:rPr>
        <w:t>承包人提供的工艺技术和（或）建筑设计方案</w:t>
      </w:r>
    </w:p>
    <w:p>
      <w:pPr>
        <w:spacing w:line="300" w:lineRule="auto"/>
        <w:ind w:firstLine="420" w:firstLineChars="200"/>
        <w:rPr>
          <w:color w:val="auto"/>
          <w:highlight w:val="none"/>
        </w:rPr>
      </w:pPr>
      <w:r>
        <w:rPr>
          <w:rFonts w:hint="eastAsia"/>
          <w:color w:val="auto"/>
          <w:highlight w:val="none"/>
        </w:rPr>
        <w:t>承包人负责提供生产工艺技术（含专利技术、专有技术、工艺包）和（或）建筑设计方案（含总体布局、功能分区、建筑造型和主体结构等）时，应对所提供的工艺流程、工艺技术数据、工艺条件、软件、分析手册、操作指导书、设备制造指导书和其它资料要求，和（或）总体布局、功能分区、建筑造型及其结构设计等负责。</w:t>
      </w:r>
    </w:p>
    <w:p>
      <w:pPr>
        <w:spacing w:line="300" w:lineRule="auto"/>
        <w:ind w:firstLine="420" w:firstLineChars="200"/>
        <w:rPr>
          <w:color w:val="auto"/>
          <w:highlight w:val="none"/>
        </w:rPr>
      </w:pPr>
      <w:r>
        <w:rPr>
          <w:rFonts w:hint="eastAsia"/>
          <w:color w:val="auto"/>
          <w:highlight w:val="none"/>
        </w:rPr>
        <w:t>承包人应对专用条款约定的试运行考核保证值、和（或）使用功能保证的说明负责。该试运行考核保证值、和（或）使用功能保证的说明，作为发包人根据</w:t>
      </w:r>
      <w:r>
        <w:rPr>
          <w:color w:val="auto"/>
          <w:highlight w:val="none"/>
        </w:rPr>
        <w:t>10.3.3</w:t>
      </w:r>
      <w:r>
        <w:rPr>
          <w:rFonts w:hint="eastAsia"/>
          <w:color w:val="auto"/>
          <w:highlight w:val="none"/>
        </w:rPr>
        <w:t>款进行试运行考核的评价依据。</w:t>
      </w:r>
    </w:p>
    <w:p>
      <w:pPr>
        <w:spacing w:line="300" w:lineRule="auto"/>
        <w:ind w:firstLine="420" w:firstLineChars="200"/>
        <w:rPr>
          <w:color w:val="auto"/>
          <w:highlight w:val="none"/>
        </w:rPr>
      </w:pPr>
      <w:r>
        <w:rPr>
          <w:color w:val="auto"/>
          <w:highlight w:val="none"/>
        </w:rPr>
        <w:t>5.1.2</w:t>
      </w:r>
      <w:r>
        <w:rPr>
          <w:rFonts w:hint="eastAsia"/>
          <w:color w:val="auto"/>
          <w:highlight w:val="none"/>
        </w:rPr>
        <w:t>发包人提供的工艺技术和（或）建筑设计方案</w:t>
      </w:r>
    </w:p>
    <w:p>
      <w:pPr>
        <w:spacing w:line="300" w:lineRule="auto"/>
        <w:ind w:firstLine="420" w:firstLineChars="200"/>
        <w:rPr>
          <w:color w:val="auto"/>
          <w:highlight w:val="none"/>
        </w:rPr>
      </w:pPr>
      <w:r>
        <w:rPr>
          <w:rFonts w:hint="eastAsia"/>
          <w:color w:val="auto"/>
          <w:highlight w:val="none"/>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pPr>
        <w:spacing w:line="300" w:lineRule="auto"/>
        <w:ind w:firstLine="420" w:firstLineChars="200"/>
        <w:rPr>
          <w:color w:val="auto"/>
          <w:highlight w:val="none"/>
        </w:rPr>
      </w:pPr>
      <w:r>
        <w:rPr>
          <w:rFonts w:hint="eastAsia"/>
          <w:color w:val="auto"/>
          <w:highlight w:val="none"/>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Pr>
          <w:color w:val="auto"/>
          <w:highlight w:val="none"/>
        </w:rPr>
        <w:t>10.3.3</w:t>
      </w:r>
      <w:r>
        <w:rPr>
          <w:rFonts w:hint="eastAsia"/>
          <w:color w:val="auto"/>
          <w:highlight w:val="none"/>
        </w:rPr>
        <w:t>款进行试运行考核和考核责任的评价依据。</w:t>
      </w:r>
    </w:p>
    <w:p>
      <w:pPr>
        <w:pStyle w:val="4"/>
        <w:rPr>
          <w:rFonts w:ascii="宋体" w:hAnsi="宋体"/>
          <w:color w:val="auto"/>
          <w:kern w:val="0"/>
          <w:sz w:val="21"/>
          <w:highlight w:val="none"/>
        </w:rPr>
      </w:pPr>
      <w:bookmarkStart w:id="808" w:name="_Toc433988733"/>
      <w:bookmarkStart w:id="809" w:name="_Toc419321279"/>
      <w:bookmarkStart w:id="810" w:name="_Toc419364368"/>
      <w:bookmarkStart w:id="811" w:name="_Toc491277283"/>
      <w:bookmarkStart w:id="812" w:name="_Toc419320243"/>
      <w:bookmarkStart w:id="813" w:name="_Toc419363699"/>
      <w:r>
        <w:rPr>
          <w:rFonts w:ascii="宋体" w:hAnsi="宋体"/>
          <w:color w:val="auto"/>
          <w:kern w:val="0"/>
          <w:sz w:val="21"/>
          <w:highlight w:val="none"/>
        </w:rPr>
        <w:t xml:space="preserve">5.2  </w:t>
      </w:r>
      <w:r>
        <w:rPr>
          <w:rFonts w:hint="eastAsia" w:ascii="宋体" w:hAnsi="宋体"/>
          <w:color w:val="auto"/>
          <w:kern w:val="0"/>
          <w:sz w:val="21"/>
          <w:highlight w:val="none"/>
        </w:rPr>
        <w:t>设计</w:t>
      </w:r>
      <w:bookmarkEnd w:id="808"/>
      <w:bookmarkEnd w:id="809"/>
      <w:bookmarkEnd w:id="810"/>
      <w:bookmarkEnd w:id="811"/>
      <w:bookmarkEnd w:id="812"/>
      <w:bookmarkEnd w:id="813"/>
    </w:p>
    <w:p>
      <w:pPr>
        <w:spacing w:line="300" w:lineRule="auto"/>
        <w:ind w:firstLine="420" w:firstLineChars="200"/>
        <w:rPr>
          <w:color w:val="auto"/>
          <w:highlight w:val="none"/>
        </w:rPr>
      </w:pPr>
      <w:r>
        <w:rPr>
          <w:color w:val="auto"/>
          <w:highlight w:val="none"/>
        </w:rPr>
        <w:t>5.2.1</w:t>
      </w:r>
      <w:r>
        <w:rPr>
          <w:rFonts w:hint="eastAsia"/>
          <w:color w:val="auto"/>
          <w:highlight w:val="none"/>
        </w:rPr>
        <w:t>发包人的义务</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Pr>
          <w:color w:val="auto"/>
          <w:highlight w:val="none"/>
        </w:rPr>
        <w:t>(</w:t>
      </w:r>
      <w:r>
        <w:rPr>
          <w:rFonts w:hint="eastAsia"/>
          <w:color w:val="auto"/>
          <w:highlight w:val="none"/>
        </w:rPr>
        <w:t>包括基准控制点、基准控制标高和基准坐标控制线</w:t>
      </w:r>
      <w:r>
        <w:rPr>
          <w:color w:val="auto"/>
          <w:highlight w:val="none"/>
        </w:rPr>
        <w:t xml:space="preserve">) </w:t>
      </w:r>
      <w:r>
        <w:rPr>
          <w:rFonts w:hint="eastAsia"/>
          <w:color w:val="auto"/>
          <w:highlight w:val="none"/>
        </w:rPr>
        <w:t>，发包人应按约定的时间，有义务配合承包人在现场的实测复验。承包人因纠正坐标资料中的错误，造成费用增加和（或）工期延误，由发包人负责其相关费用增加，竣工日期给予合理延长。</w:t>
      </w:r>
    </w:p>
    <w:p>
      <w:pPr>
        <w:spacing w:line="300" w:lineRule="auto"/>
        <w:ind w:firstLine="420" w:firstLineChars="200"/>
        <w:rPr>
          <w:color w:val="auto"/>
          <w:highlight w:val="none"/>
        </w:rPr>
      </w:pPr>
      <w:r>
        <w:rPr>
          <w:rFonts w:hint="eastAsia"/>
          <w:color w:val="auto"/>
          <w:highlight w:val="none"/>
        </w:rPr>
        <w:t>发包人提供的项目基础资料中有专利商提供的技术或工艺包，或是第三方设计单位提供的建筑造型等，发包人应组织专利商或第三方设计单位与承包人进行数据、条件和资料的交换、协调和交接。</w:t>
      </w:r>
    </w:p>
    <w:p>
      <w:pPr>
        <w:spacing w:line="300" w:lineRule="auto"/>
        <w:ind w:firstLine="420" w:firstLineChars="200"/>
        <w:rPr>
          <w:color w:val="auto"/>
          <w:highlight w:val="none"/>
        </w:rPr>
      </w:pPr>
      <w:r>
        <w:rPr>
          <w:rFonts w:hint="eastAsia"/>
          <w:color w:val="auto"/>
          <w:highlight w:val="none"/>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）承包人无法核实发包人所提供的项目基础资料中的数据、条件和资料的，发包人有义务给予进一步确认。</w:t>
      </w:r>
    </w:p>
    <w:p>
      <w:pPr>
        <w:spacing w:line="300" w:lineRule="auto"/>
        <w:ind w:firstLine="420" w:firstLineChars="200"/>
        <w:rPr>
          <w:color w:val="auto"/>
          <w:highlight w:val="none"/>
        </w:rPr>
      </w:pPr>
      <w:r>
        <w:rPr>
          <w:color w:val="auto"/>
          <w:highlight w:val="none"/>
        </w:rPr>
        <w:t>5.2.2</w:t>
      </w:r>
      <w:r>
        <w:rPr>
          <w:rFonts w:hint="eastAsia"/>
          <w:color w:val="auto"/>
          <w:highlight w:val="none"/>
        </w:rPr>
        <w:t>承包人的义务</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）承包人与发包人（及其专利商、第三方设计单位）应以书面形式交接发包人按</w:t>
      </w:r>
      <w:r>
        <w:rPr>
          <w:color w:val="auto"/>
          <w:highlight w:val="none"/>
        </w:rPr>
        <w:t>5.2.1</w:t>
      </w:r>
      <w:r>
        <w:rPr>
          <w:rFonts w:hint="eastAsia"/>
          <w:color w:val="auto"/>
          <w:highlight w:val="none"/>
        </w:rPr>
        <w:t>款第（</w:t>
      </w:r>
      <w:r>
        <w:rPr>
          <w:color w:val="auto"/>
          <w:highlight w:val="none"/>
        </w:rPr>
        <w:t>1</w:t>
      </w:r>
      <w:r>
        <w:rPr>
          <w:rFonts w:hint="eastAsia"/>
          <w:color w:val="auto"/>
          <w:highlight w:val="none"/>
        </w:rPr>
        <w:t>）项提供与设计有关的项目基础资料、第（</w:t>
      </w:r>
      <w:r>
        <w:rPr>
          <w:color w:val="auto"/>
          <w:highlight w:val="none"/>
        </w:rPr>
        <w:t>2</w:t>
      </w:r>
      <w:r>
        <w:rPr>
          <w:rFonts w:hint="eastAsia"/>
          <w:color w:val="auto"/>
          <w:highlight w:val="none"/>
        </w:rPr>
        <w:t>）项提供的与设计有关的现场障碍资料。对这些资料中的短缺、遗漏、错误、疑问，承包人应在收到发包人提供的上述资料后</w:t>
      </w:r>
      <w:r>
        <w:rPr>
          <w:color w:val="auto"/>
          <w:highlight w:val="none"/>
        </w:rPr>
        <w:t>15</w:t>
      </w:r>
      <w:r>
        <w:rPr>
          <w:rFonts w:hint="eastAsia"/>
          <w:color w:val="auto"/>
          <w:highlight w:val="none"/>
        </w:rPr>
        <w:t>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pPr>
        <w:spacing w:line="300" w:lineRule="auto"/>
        <w:ind w:firstLine="420" w:firstLineChars="200"/>
        <w:rPr>
          <w:color w:val="auto"/>
          <w:highlight w:val="none"/>
        </w:rPr>
      </w:pPr>
      <w:r>
        <w:rPr>
          <w:color w:val="auto"/>
          <w:highlight w:val="none"/>
        </w:rPr>
        <w:t>5.2.3</w:t>
      </w:r>
      <w:r>
        <w:rPr>
          <w:rFonts w:hint="eastAsia"/>
          <w:color w:val="auto"/>
          <w:highlight w:val="none"/>
        </w:rPr>
        <w:t>遵守标准、规范</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w:t>
      </w:r>
      <w:r>
        <w:rPr>
          <w:color w:val="auto"/>
          <w:highlight w:val="none"/>
        </w:rPr>
        <w:t>1.5</w:t>
      </w:r>
      <w:r>
        <w:rPr>
          <w:rFonts w:hint="eastAsia"/>
          <w:color w:val="auto"/>
          <w:highlight w:val="none"/>
        </w:rPr>
        <w:t>款约定的标准、规范，适用于发包人按单项工程接收和（或）整个工程接收。</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）依据适用法律和合同约定的标准、规范所完成的设计图纸、设计文件中的技术数据和技术条件，是工程物资采购质量、施工质量及竣工试验质量的依据。</w:t>
      </w:r>
    </w:p>
    <w:p>
      <w:pPr>
        <w:spacing w:line="300" w:lineRule="auto"/>
        <w:ind w:firstLine="420" w:firstLineChars="200"/>
        <w:rPr>
          <w:color w:val="auto"/>
          <w:highlight w:val="none"/>
        </w:rPr>
      </w:pPr>
      <w:r>
        <w:rPr>
          <w:color w:val="auto"/>
          <w:highlight w:val="none"/>
        </w:rPr>
        <w:t>5.2.4</w:t>
      </w:r>
      <w:r>
        <w:rPr>
          <w:rFonts w:hint="eastAsia"/>
          <w:color w:val="auto"/>
          <w:highlight w:val="none"/>
        </w:rPr>
        <w:t>操作维修手册</w:t>
      </w:r>
    </w:p>
    <w:p>
      <w:pPr>
        <w:spacing w:line="300" w:lineRule="auto"/>
        <w:ind w:firstLine="420" w:firstLineChars="200"/>
        <w:rPr>
          <w:color w:val="auto"/>
          <w:highlight w:val="none"/>
        </w:rPr>
      </w:pPr>
      <w:r>
        <w:rPr>
          <w:rFonts w:hint="eastAsia"/>
          <w:color w:val="auto"/>
          <w:highlight w:val="none"/>
        </w:rPr>
        <w:t>由承包人指导竣工后试验和试运行考核试验，并编制操作维修手册的，发包人应按</w:t>
      </w:r>
      <w:r>
        <w:rPr>
          <w:color w:val="auto"/>
          <w:highlight w:val="none"/>
        </w:rPr>
        <w:t>5.2.1</w:t>
      </w:r>
      <w:r>
        <w:rPr>
          <w:rFonts w:hint="eastAsia"/>
          <w:color w:val="auto"/>
          <w:highlight w:val="none"/>
        </w:rPr>
        <w:t>款第（</w:t>
      </w:r>
      <w:r>
        <w:rPr>
          <w:color w:val="auto"/>
          <w:highlight w:val="none"/>
        </w:rPr>
        <w:t>1</w:t>
      </w:r>
      <w:r>
        <w:rPr>
          <w:rFonts w:hint="eastAsia"/>
          <w:color w:val="auto"/>
          <w:highlight w:val="none"/>
        </w:rPr>
        <w:t>）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pPr>
        <w:spacing w:line="300" w:lineRule="auto"/>
        <w:ind w:firstLine="420" w:firstLineChars="200"/>
        <w:rPr>
          <w:color w:val="auto"/>
          <w:highlight w:val="none"/>
        </w:rPr>
      </w:pPr>
      <w:r>
        <w:rPr>
          <w:color w:val="auto"/>
          <w:highlight w:val="none"/>
        </w:rPr>
        <w:t>5.2.5</w:t>
      </w:r>
      <w:r>
        <w:rPr>
          <w:rFonts w:hint="eastAsia"/>
          <w:color w:val="auto"/>
          <w:highlight w:val="none"/>
        </w:rPr>
        <w:t>设计文件的份数和提交时间</w:t>
      </w:r>
    </w:p>
    <w:p>
      <w:pPr>
        <w:spacing w:line="300" w:lineRule="auto"/>
        <w:ind w:firstLine="420" w:firstLineChars="200"/>
        <w:rPr>
          <w:color w:val="auto"/>
          <w:highlight w:val="none"/>
        </w:rPr>
      </w:pPr>
      <w:r>
        <w:rPr>
          <w:rFonts w:hint="eastAsia"/>
          <w:color w:val="auto"/>
          <w:highlight w:val="none"/>
        </w:rPr>
        <w:t>相关设计阶段的设计文件、资料和图纸的提交份数和时间在专用条款中约定。</w:t>
      </w:r>
    </w:p>
    <w:p>
      <w:pPr>
        <w:spacing w:line="300" w:lineRule="auto"/>
        <w:ind w:firstLine="420" w:firstLineChars="200"/>
        <w:rPr>
          <w:color w:val="auto"/>
          <w:highlight w:val="none"/>
        </w:rPr>
      </w:pPr>
      <w:r>
        <w:rPr>
          <w:color w:val="auto"/>
          <w:highlight w:val="none"/>
        </w:rPr>
        <w:t>5.3.6</w:t>
      </w:r>
      <w:r>
        <w:rPr>
          <w:rFonts w:hint="eastAsia"/>
          <w:color w:val="auto"/>
          <w:highlight w:val="none"/>
        </w:rPr>
        <w:t>设计缺陷的自费修复，自费赶上</w:t>
      </w:r>
    </w:p>
    <w:p>
      <w:pPr>
        <w:spacing w:line="300" w:lineRule="auto"/>
        <w:ind w:firstLine="420" w:firstLineChars="200"/>
        <w:rPr>
          <w:color w:val="auto"/>
          <w:highlight w:val="none"/>
        </w:rPr>
      </w:pPr>
      <w:r>
        <w:rPr>
          <w:rFonts w:hint="eastAsia"/>
          <w:color w:val="auto"/>
          <w:highlight w:val="none"/>
        </w:rPr>
        <w:t>因承包人原因，造成设计文件存在遗漏、错误、缺陷和不足的，承包人应自费修复、弥补、纠正和完善。造成设计进度延误时，应自费采取措施赶上。</w:t>
      </w:r>
    </w:p>
    <w:p>
      <w:pPr>
        <w:pStyle w:val="4"/>
        <w:rPr>
          <w:rFonts w:ascii="宋体" w:hAnsi="宋体"/>
          <w:color w:val="auto"/>
          <w:kern w:val="0"/>
          <w:sz w:val="21"/>
          <w:highlight w:val="none"/>
        </w:rPr>
      </w:pPr>
      <w:bookmarkStart w:id="814" w:name="_Toc433988734"/>
      <w:bookmarkStart w:id="815" w:name="_Toc419321280"/>
      <w:bookmarkStart w:id="816" w:name="_Toc419364369"/>
      <w:bookmarkStart w:id="817" w:name="_Toc419320244"/>
      <w:bookmarkStart w:id="818" w:name="_Toc419363700"/>
      <w:bookmarkStart w:id="819" w:name="_Toc491277284"/>
      <w:r>
        <w:rPr>
          <w:rFonts w:ascii="宋体" w:hAnsi="宋体"/>
          <w:color w:val="auto"/>
          <w:kern w:val="0"/>
          <w:sz w:val="21"/>
          <w:highlight w:val="none"/>
        </w:rPr>
        <w:t xml:space="preserve">5.3  </w:t>
      </w:r>
      <w:r>
        <w:rPr>
          <w:rFonts w:hint="eastAsia" w:ascii="宋体" w:hAnsi="宋体"/>
          <w:color w:val="auto"/>
          <w:kern w:val="0"/>
          <w:sz w:val="21"/>
          <w:highlight w:val="none"/>
        </w:rPr>
        <w:t>设计阶段审查</w:t>
      </w:r>
      <w:bookmarkEnd w:id="814"/>
      <w:bookmarkEnd w:id="815"/>
      <w:bookmarkEnd w:id="816"/>
      <w:bookmarkEnd w:id="817"/>
      <w:bookmarkEnd w:id="818"/>
      <w:bookmarkEnd w:id="819"/>
    </w:p>
    <w:p>
      <w:pPr>
        <w:spacing w:line="300" w:lineRule="auto"/>
        <w:ind w:firstLine="420" w:firstLineChars="200"/>
        <w:rPr>
          <w:color w:val="auto"/>
          <w:highlight w:val="none"/>
        </w:rPr>
      </w:pPr>
      <w:r>
        <w:rPr>
          <w:color w:val="auto"/>
          <w:highlight w:val="none"/>
        </w:rPr>
        <w:t>5.3.1</w:t>
      </w:r>
      <w:r>
        <w:rPr>
          <w:rFonts w:hint="eastAsia"/>
          <w:color w:val="auto"/>
          <w:highlight w:val="none"/>
        </w:rPr>
        <w:t>本工程的设计阶段、设计阶段审查会议的组织和时间安排，在专用条款约定。发包人负责组织设计阶段审查会议，并承担会议费用及发包人的上级单位、政府有关部门参加审查会议的费用。</w:t>
      </w:r>
    </w:p>
    <w:p>
      <w:pPr>
        <w:spacing w:line="300" w:lineRule="auto"/>
        <w:ind w:firstLine="420" w:firstLineChars="200"/>
        <w:rPr>
          <w:color w:val="auto"/>
          <w:highlight w:val="none"/>
        </w:rPr>
      </w:pPr>
      <w:r>
        <w:rPr>
          <w:color w:val="auto"/>
          <w:highlight w:val="none"/>
        </w:rPr>
        <w:t>5.3.2</w:t>
      </w:r>
      <w:r>
        <w:rPr>
          <w:rFonts w:hint="eastAsia"/>
          <w:color w:val="auto"/>
          <w:highlight w:val="none"/>
        </w:rPr>
        <w:t>承包人应根据</w:t>
      </w:r>
      <w:r>
        <w:rPr>
          <w:color w:val="auto"/>
          <w:highlight w:val="none"/>
        </w:rPr>
        <w:t>5.3.1</w:t>
      </w:r>
      <w:r>
        <w:rPr>
          <w:rFonts w:hint="eastAsia"/>
          <w:color w:val="auto"/>
          <w:highlight w:val="none"/>
        </w:rPr>
        <w:t>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pPr>
        <w:spacing w:line="300" w:lineRule="auto"/>
        <w:ind w:firstLine="420" w:firstLineChars="200"/>
        <w:rPr>
          <w:color w:val="auto"/>
          <w:highlight w:val="none"/>
        </w:rPr>
      </w:pPr>
      <w:r>
        <w:rPr>
          <w:color w:val="auto"/>
          <w:highlight w:val="none"/>
        </w:rPr>
        <w:t>5.3.3</w:t>
      </w:r>
      <w:r>
        <w:rPr>
          <w:rFonts w:hint="eastAsia"/>
          <w:color w:val="auto"/>
          <w:highlight w:val="none"/>
        </w:rPr>
        <w:t>发包人有义务向承包人提供设计审查会议的批准文件和纪要。承包人有义务按相关设计审查阶段批准的文件和纪要，并依据合同约定及相关设计规定，对相关设计进行修改、补充和完善。</w:t>
      </w:r>
    </w:p>
    <w:p>
      <w:pPr>
        <w:spacing w:line="300" w:lineRule="auto"/>
        <w:ind w:firstLine="420" w:firstLineChars="200"/>
        <w:rPr>
          <w:color w:val="auto"/>
          <w:highlight w:val="none"/>
        </w:rPr>
      </w:pPr>
      <w:r>
        <w:rPr>
          <w:color w:val="auto"/>
          <w:highlight w:val="none"/>
        </w:rPr>
        <w:t>5.3.4</w:t>
      </w:r>
      <w:r>
        <w:rPr>
          <w:rFonts w:hint="eastAsia"/>
          <w:color w:val="auto"/>
          <w:highlight w:val="none"/>
        </w:rPr>
        <w:t>因承包人原因，未能按</w:t>
      </w:r>
      <w:r>
        <w:rPr>
          <w:color w:val="auto"/>
          <w:highlight w:val="none"/>
        </w:rPr>
        <w:t>5.2.5</w:t>
      </w:r>
      <w:r>
        <w:rPr>
          <w:rFonts w:hint="eastAsia"/>
          <w:color w:val="auto"/>
          <w:highlight w:val="none"/>
        </w:rPr>
        <w:t>款约定的时间，向发包人提交相关设计审查阶段的完整设计文件、图纸和资料，致使相关设计审查阶段的会议无法进行或无法按期进行，造成的竣工日期延误、窝工损失，及发包人增加的组织会议费用，由承包人承担。</w:t>
      </w:r>
    </w:p>
    <w:p>
      <w:pPr>
        <w:spacing w:line="300" w:lineRule="auto"/>
        <w:ind w:firstLine="420" w:firstLineChars="200"/>
        <w:rPr>
          <w:color w:val="auto"/>
          <w:highlight w:val="none"/>
        </w:rPr>
      </w:pPr>
      <w:r>
        <w:rPr>
          <w:color w:val="auto"/>
          <w:highlight w:val="none"/>
        </w:rPr>
        <w:t>5.3.5</w:t>
      </w:r>
      <w:r>
        <w:rPr>
          <w:rFonts w:hint="eastAsia"/>
          <w:color w:val="auto"/>
          <w:highlight w:val="none"/>
        </w:rPr>
        <w:t>发包人有权在</w:t>
      </w:r>
      <w:r>
        <w:rPr>
          <w:color w:val="auto"/>
          <w:highlight w:val="none"/>
        </w:rPr>
        <w:t>5.3.1</w:t>
      </w:r>
      <w:r>
        <w:rPr>
          <w:rFonts w:hint="eastAsia"/>
          <w:color w:val="auto"/>
          <w:highlight w:val="none"/>
        </w:rPr>
        <w:t>款约定的各设计审查阶段之前，对相关设计阶段的设计文件、图纸和资料提出建议、进行预审和确认，发包人的任何建议、预审和确认，并不能减轻或免除承包人的合同责任和义务。</w:t>
      </w:r>
    </w:p>
    <w:p>
      <w:pPr>
        <w:pStyle w:val="4"/>
        <w:rPr>
          <w:rFonts w:ascii="宋体" w:hAnsi="宋体"/>
          <w:color w:val="auto"/>
          <w:kern w:val="0"/>
          <w:sz w:val="21"/>
          <w:highlight w:val="none"/>
        </w:rPr>
      </w:pPr>
      <w:bookmarkStart w:id="820" w:name="_Toc419320245"/>
      <w:bookmarkStart w:id="821" w:name="_Toc433988735"/>
      <w:bookmarkStart w:id="822" w:name="_Toc419363701"/>
      <w:bookmarkStart w:id="823" w:name="_Toc419364370"/>
      <w:bookmarkStart w:id="824" w:name="_Toc491277285"/>
      <w:bookmarkStart w:id="825" w:name="_Toc419321281"/>
      <w:r>
        <w:rPr>
          <w:rFonts w:ascii="宋体" w:hAnsi="宋体"/>
          <w:color w:val="auto"/>
          <w:kern w:val="0"/>
          <w:sz w:val="21"/>
          <w:highlight w:val="none"/>
        </w:rPr>
        <w:t xml:space="preserve">5.4  </w:t>
      </w:r>
      <w:r>
        <w:rPr>
          <w:rFonts w:hint="eastAsia" w:ascii="宋体" w:hAnsi="宋体"/>
          <w:color w:val="auto"/>
          <w:kern w:val="0"/>
          <w:sz w:val="21"/>
          <w:highlight w:val="none"/>
        </w:rPr>
        <w:t>操作维修人员的培训</w:t>
      </w:r>
      <w:bookmarkEnd w:id="820"/>
      <w:bookmarkEnd w:id="821"/>
      <w:bookmarkEnd w:id="822"/>
      <w:bookmarkEnd w:id="823"/>
      <w:bookmarkEnd w:id="824"/>
      <w:bookmarkEnd w:id="825"/>
    </w:p>
    <w:p>
      <w:pPr>
        <w:spacing w:before="120" w:beforeLines="50" w:after="120" w:afterLines="50" w:line="300" w:lineRule="auto"/>
        <w:ind w:firstLine="420" w:firstLineChars="200"/>
        <w:rPr>
          <w:color w:val="auto"/>
          <w:highlight w:val="none"/>
        </w:rPr>
      </w:pPr>
      <w:r>
        <w:rPr>
          <w:rFonts w:hint="eastAsia"/>
          <w:color w:val="auto"/>
          <w:highlight w:val="none"/>
        </w:rPr>
        <w:t>发包人委托承包人对发包人的操作维修人员进行培训的，另行签订培训委托合同，作为本合同的附件。</w:t>
      </w:r>
    </w:p>
    <w:p>
      <w:pPr>
        <w:pStyle w:val="4"/>
        <w:rPr>
          <w:rFonts w:ascii="宋体" w:hAnsi="宋体"/>
          <w:color w:val="auto"/>
          <w:kern w:val="0"/>
          <w:sz w:val="21"/>
          <w:highlight w:val="none"/>
        </w:rPr>
      </w:pPr>
      <w:bookmarkStart w:id="826" w:name="_Toc419321282"/>
      <w:bookmarkStart w:id="827" w:name="_Toc419363702"/>
      <w:bookmarkStart w:id="828" w:name="_Toc433988736"/>
      <w:bookmarkStart w:id="829" w:name="_Toc419320246"/>
      <w:bookmarkStart w:id="830" w:name="_Toc491277286"/>
      <w:bookmarkStart w:id="831" w:name="_Toc419364371"/>
      <w:r>
        <w:rPr>
          <w:rFonts w:ascii="宋体" w:hAnsi="宋体"/>
          <w:color w:val="auto"/>
          <w:kern w:val="0"/>
          <w:sz w:val="21"/>
          <w:highlight w:val="none"/>
        </w:rPr>
        <w:t xml:space="preserve">5.5  </w:t>
      </w:r>
      <w:r>
        <w:rPr>
          <w:rFonts w:hint="eastAsia" w:ascii="宋体" w:hAnsi="宋体"/>
          <w:color w:val="auto"/>
          <w:kern w:val="0"/>
          <w:sz w:val="21"/>
          <w:highlight w:val="none"/>
        </w:rPr>
        <w:t>知识产权</w:t>
      </w:r>
      <w:bookmarkEnd w:id="826"/>
      <w:bookmarkEnd w:id="827"/>
      <w:bookmarkEnd w:id="828"/>
      <w:bookmarkEnd w:id="829"/>
      <w:bookmarkEnd w:id="830"/>
      <w:bookmarkEnd w:id="831"/>
    </w:p>
    <w:p>
      <w:pPr>
        <w:spacing w:before="120" w:beforeLines="50" w:after="120" w:afterLines="50" w:line="300" w:lineRule="auto"/>
        <w:ind w:firstLine="420" w:firstLineChars="200"/>
        <w:rPr>
          <w:color w:val="auto"/>
          <w:highlight w:val="none"/>
        </w:rPr>
      </w:pPr>
      <w:r>
        <w:rPr>
          <w:rFonts w:hint="eastAsia"/>
          <w:color w:val="auto"/>
          <w:highlight w:val="none"/>
        </w:rPr>
        <w:t>双方可就本合同涉及的合同一方、或合同双方（含一方或双方相关的专利商、第三方设计单位或设计</w:t>
      </w:r>
      <w:r>
        <w:rPr>
          <w:rFonts w:hint="eastAsia" w:ascii="宋体" w:hAnsi="宋体"/>
          <w:color w:val="auto"/>
          <w:highlight w:val="none"/>
        </w:rPr>
        <w:t>人</w:t>
      </w:r>
      <w:r>
        <w:rPr>
          <w:rFonts w:ascii="宋体" w:hAnsi="宋体"/>
          <w:color w:val="auto"/>
          <w:highlight w:val="none"/>
        </w:rPr>
        <w:t>)</w:t>
      </w:r>
      <w:r>
        <w:rPr>
          <w:rFonts w:hint="eastAsia" w:ascii="宋体" w:hAnsi="宋体"/>
          <w:color w:val="auto"/>
          <w:highlight w:val="none"/>
        </w:rPr>
        <w:t>的技</w:t>
      </w:r>
      <w:r>
        <w:rPr>
          <w:rFonts w:hint="eastAsia"/>
          <w:color w:val="auto"/>
          <w:highlight w:val="none"/>
        </w:rPr>
        <w:t>术专利、建筑设计方案、专有技术、设计文件著作权等知识产权，签订知识产权及保密协议，作为本合同的组成部分。</w:t>
      </w:r>
    </w:p>
    <w:p>
      <w:pPr>
        <w:pStyle w:val="2"/>
        <w:rPr>
          <w:rFonts w:ascii="宋体" w:hAnsi="宋体" w:eastAsia="宋体"/>
          <w:color w:val="auto"/>
          <w:sz w:val="28"/>
          <w:szCs w:val="28"/>
          <w:highlight w:val="none"/>
        </w:rPr>
      </w:pPr>
      <w:bookmarkStart w:id="832" w:name="_Toc419364372"/>
      <w:bookmarkStart w:id="833" w:name="_Toc419320247"/>
      <w:bookmarkStart w:id="834" w:name="_Toc491277287"/>
      <w:bookmarkStart w:id="835" w:name="_Toc419363703"/>
      <w:bookmarkStart w:id="836" w:name="_Toc433988737"/>
      <w:bookmarkStart w:id="837" w:name="_Toc419321283"/>
      <w:r>
        <w:rPr>
          <w:rFonts w:hint="eastAsia" w:ascii="宋体" w:hAnsi="宋体" w:eastAsia="宋体"/>
          <w:color w:val="auto"/>
          <w:sz w:val="28"/>
          <w:szCs w:val="28"/>
          <w:highlight w:val="none"/>
        </w:rPr>
        <w:t>第</w:t>
      </w:r>
      <w:r>
        <w:rPr>
          <w:rFonts w:ascii="宋体" w:hAnsi="宋体" w:eastAsia="宋体"/>
          <w:color w:val="auto"/>
          <w:sz w:val="28"/>
          <w:szCs w:val="28"/>
          <w:highlight w:val="none"/>
        </w:rPr>
        <w:t>6</w:t>
      </w:r>
      <w:r>
        <w:rPr>
          <w:rFonts w:hint="eastAsia" w:ascii="宋体" w:hAnsi="宋体" w:eastAsia="宋体"/>
          <w:color w:val="auto"/>
          <w:sz w:val="28"/>
          <w:szCs w:val="28"/>
          <w:highlight w:val="none"/>
        </w:rPr>
        <w:t>条工程物资</w:t>
      </w:r>
      <w:bookmarkEnd w:id="832"/>
      <w:bookmarkEnd w:id="833"/>
      <w:bookmarkEnd w:id="834"/>
      <w:bookmarkEnd w:id="835"/>
      <w:bookmarkEnd w:id="836"/>
      <w:bookmarkEnd w:id="837"/>
    </w:p>
    <w:p>
      <w:pPr>
        <w:pStyle w:val="4"/>
        <w:rPr>
          <w:rFonts w:ascii="宋体" w:hAnsi="宋体"/>
          <w:color w:val="auto"/>
          <w:kern w:val="0"/>
          <w:sz w:val="21"/>
          <w:highlight w:val="none"/>
        </w:rPr>
      </w:pPr>
      <w:bookmarkStart w:id="838" w:name="_Toc491277288"/>
      <w:bookmarkStart w:id="839" w:name="_Toc419363704"/>
      <w:bookmarkStart w:id="840" w:name="_Toc433988738"/>
      <w:bookmarkStart w:id="841" w:name="_Toc419320248"/>
      <w:bookmarkStart w:id="842" w:name="_Toc419364373"/>
      <w:bookmarkStart w:id="843" w:name="_Toc419321284"/>
      <w:r>
        <w:rPr>
          <w:rFonts w:ascii="宋体" w:hAnsi="宋体"/>
          <w:color w:val="auto"/>
          <w:kern w:val="0"/>
          <w:sz w:val="21"/>
          <w:highlight w:val="none"/>
        </w:rPr>
        <w:t xml:space="preserve">6.1  </w:t>
      </w:r>
      <w:r>
        <w:rPr>
          <w:rFonts w:hint="eastAsia" w:ascii="宋体" w:hAnsi="宋体"/>
          <w:color w:val="auto"/>
          <w:kern w:val="0"/>
          <w:sz w:val="21"/>
          <w:highlight w:val="none"/>
        </w:rPr>
        <w:t>工程物资的提供</w:t>
      </w:r>
      <w:bookmarkEnd w:id="838"/>
      <w:bookmarkEnd w:id="839"/>
      <w:bookmarkEnd w:id="840"/>
      <w:bookmarkEnd w:id="841"/>
      <w:bookmarkEnd w:id="842"/>
      <w:bookmarkEnd w:id="843"/>
    </w:p>
    <w:p>
      <w:pPr>
        <w:spacing w:line="300" w:lineRule="auto"/>
        <w:ind w:firstLine="420" w:firstLineChars="200"/>
        <w:rPr>
          <w:color w:val="auto"/>
          <w:highlight w:val="none"/>
        </w:rPr>
      </w:pPr>
      <w:r>
        <w:rPr>
          <w:color w:val="auto"/>
          <w:highlight w:val="none"/>
        </w:rPr>
        <w:t>6.1.1</w:t>
      </w:r>
      <w:r>
        <w:rPr>
          <w:rFonts w:hint="eastAsia"/>
          <w:color w:val="auto"/>
          <w:highlight w:val="none"/>
        </w:rPr>
        <w:t>发包人提供的工程物资</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）发包人依据</w:t>
      </w:r>
      <w:r>
        <w:rPr>
          <w:color w:val="auto"/>
          <w:highlight w:val="none"/>
        </w:rPr>
        <w:t>5.2.3</w:t>
      </w:r>
      <w:r>
        <w:rPr>
          <w:rFonts w:hint="eastAsia"/>
          <w:color w:val="auto"/>
          <w:highlight w:val="none"/>
        </w:rPr>
        <w:t>款第（</w:t>
      </w:r>
      <w:r>
        <w:rPr>
          <w:color w:val="auto"/>
          <w:highlight w:val="none"/>
        </w:rPr>
        <w:t>3</w:t>
      </w:r>
      <w:r>
        <w:rPr>
          <w:rFonts w:hint="eastAsia"/>
          <w:color w:val="auto"/>
          <w:highlight w:val="none"/>
        </w:rPr>
        <w:t>）项设计文件规定的技术参数、技术条件、性能要求、使用要求和数量，负责组织工程物资（包括其备品备件、专用工具及厂商提交的技术文件）的采购，负责运抵现场，并对其需用量、质量检查结果和性能负责。</w:t>
      </w:r>
    </w:p>
    <w:p>
      <w:pPr>
        <w:spacing w:line="300" w:lineRule="auto"/>
        <w:ind w:firstLine="420" w:firstLineChars="200"/>
        <w:rPr>
          <w:color w:val="auto"/>
          <w:highlight w:val="none"/>
        </w:rPr>
      </w:pPr>
      <w:r>
        <w:rPr>
          <w:rFonts w:hint="eastAsia"/>
          <w:color w:val="auto"/>
          <w:highlight w:val="none"/>
        </w:rPr>
        <w:t>由发包人负责提供的工程物资的类别、数量，在专用条款中列出。</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）因发包人采购提供的工程物资（包括建筑构件等）不符合国家强制性标准、规范的规定，存在质量缺陷、延误抵达现场，给承包人造成窝工、停工、或导致关键路径延误的，按</w:t>
      </w:r>
      <w:r>
        <w:rPr>
          <w:color w:val="auto"/>
          <w:highlight w:val="none"/>
        </w:rPr>
        <w:t>13</w:t>
      </w:r>
      <w:r>
        <w:rPr>
          <w:rFonts w:hint="eastAsia"/>
          <w:color w:val="auto"/>
          <w:highlight w:val="none"/>
        </w:rPr>
        <w:t>条变更和合同价调整的约定执行。</w:t>
      </w:r>
    </w:p>
    <w:p>
      <w:pPr>
        <w:spacing w:line="300" w:lineRule="auto"/>
        <w:ind w:firstLine="420" w:firstLineChars="200"/>
        <w:rPr>
          <w:color w:val="auto"/>
          <w:highlight w:val="none"/>
        </w:rPr>
      </w:pPr>
      <w:r>
        <w:rPr>
          <w:rFonts w:hint="eastAsia"/>
          <w:color w:val="auto"/>
          <w:highlight w:val="none"/>
        </w:rPr>
        <w:t>在履行合同过程中，由于国家新颁布的强制性标准、规范，造成发包人负责提供的工程物资（包括建筑构件等）不符合新颁布的强制性标准时，由发包人负责修复或重新订货。如委托承包人修复，作为变更处理。</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）发包人请承包人参加境外采购工作时，所发生的费用由发包人承担。</w:t>
      </w:r>
    </w:p>
    <w:p>
      <w:pPr>
        <w:spacing w:line="300" w:lineRule="auto"/>
        <w:ind w:firstLine="420" w:firstLineChars="200"/>
        <w:rPr>
          <w:color w:val="auto"/>
          <w:highlight w:val="none"/>
        </w:rPr>
      </w:pPr>
      <w:r>
        <w:rPr>
          <w:color w:val="auto"/>
          <w:highlight w:val="none"/>
        </w:rPr>
        <w:t>6.1.2</w:t>
      </w:r>
      <w:r>
        <w:rPr>
          <w:rFonts w:hint="eastAsia"/>
          <w:color w:val="auto"/>
          <w:highlight w:val="none"/>
        </w:rPr>
        <w:t>承包人提供的工程物资</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）承包人应依据</w:t>
      </w:r>
      <w:r>
        <w:rPr>
          <w:color w:val="auto"/>
          <w:highlight w:val="none"/>
        </w:rPr>
        <w:t>5.2.3</w:t>
      </w:r>
      <w:r>
        <w:rPr>
          <w:rFonts w:hint="eastAsia"/>
          <w:color w:val="auto"/>
          <w:highlight w:val="none"/>
        </w:rPr>
        <w:t>款第（</w:t>
      </w:r>
      <w:r>
        <w:rPr>
          <w:color w:val="auto"/>
          <w:highlight w:val="none"/>
        </w:rPr>
        <w:t>3</w:t>
      </w:r>
      <w:r>
        <w:rPr>
          <w:rFonts w:hint="eastAsia"/>
          <w:color w:val="auto"/>
          <w:highlight w:val="none"/>
        </w:rPr>
        <w:t>）项设计文件规定的技术参数、技术条件、性能要求、使用要求和数量，负责组织工程物资采购（包括备品备件、专用工具及厂商提供的技术文件），负责运抵现场，并对其需用量、质量检查结果和性能负责。</w:t>
      </w:r>
    </w:p>
    <w:p>
      <w:pPr>
        <w:spacing w:line="300" w:lineRule="auto"/>
        <w:ind w:firstLine="420" w:firstLineChars="200"/>
        <w:rPr>
          <w:color w:val="auto"/>
          <w:highlight w:val="none"/>
        </w:rPr>
      </w:pPr>
      <w:r>
        <w:rPr>
          <w:rFonts w:hint="eastAsia"/>
          <w:color w:val="auto"/>
          <w:highlight w:val="none"/>
        </w:rPr>
        <w:t>由承包人负责提供的工程物资的类别、数量，在专用条款中列出。</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）因承包人提供的工程物资（包括建筑构件等）不符合国家强制性标准、规范的规定或合同约定的标准、规范，所造成的质量缺陷，由承包人自费修复，竣工日期不予延长。</w:t>
      </w:r>
    </w:p>
    <w:p>
      <w:pPr>
        <w:spacing w:line="300" w:lineRule="auto"/>
        <w:ind w:firstLine="420" w:firstLineChars="200"/>
        <w:rPr>
          <w:color w:val="auto"/>
          <w:highlight w:val="none"/>
        </w:rPr>
      </w:pPr>
      <w:r>
        <w:rPr>
          <w:rFonts w:hint="eastAsia"/>
          <w:color w:val="auto"/>
          <w:highlight w:val="none"/>
        </w:rPr>
        <w:t>在履行合同过程中，由于国家新颁布的强制性标准、规范，造成承包人负责提供的工程物资（包括建筑构件等），虽符合合同约定的标准，但不符合新颁布的强制性标准时，由承包人负责修复或重新订货，并作为一项变更。</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）由承包人提供的竣工后试验的生产性材料，在专用条款中列出类别或（和）清单。</w:t>
      </w:r>
    </w:p>
    <w:p>
      <w:pPr>
        <w:spacing w:line="300" w:lineRule="auto"/>
        <w:ind w:firstLine="420" w:firstLineChars="200"/>
        <w:rPr>
          <w:color w:val="auto"/>
          <w:highlight w:val="none"/>
        </w:rPr>
      </w:pPr>
      <w:r>
        <w:rPr>
          <w:color w:val="auto"/>
          <w:highlight w:val="none"/>
        </w:rPr>
        <w:t>6.1.3</w:t>
      </w:r>
      <w:r>
        <w:rPr>
          <w:rFonts w:hint="eastAsia"/>
          <w:color w:val="auto"/>
          <w:highlight w:val="none"/>
        </w:rPr>
        <w:t>承包人对供应商的选择</w:t>
      </w:r>
    </w:p>
    <w:p>
      <w:pPr>
        <w:spacing w:line="300" w:lineRule="auto"/>
        <w:ind w:firstLine="420" w:firstLineChars="200"/>
        <w:rPr>
          <w:color w:val="auto"/>
          <w:highlight w:val="none"/>
        </w:rPr>
      </w:pPr>
      <w:r>
        <w:rPr>
          <w:rFonts w:hint="eastAsia"/>
          <w:color w:val="auto"/>
          <w:highlight w:val="none"/>
        </w:rPr>
        <w:t>承包人应通过招标等竞争性方式选择相关工程物资的供货商或制造厂。对于依法必须进行招标的工程建设项目，应按国家相关规定进行招标。</w:t>
      </w:r>
    </w:p>
    <w:p>
      <w:pPr>
        <w:spacing w:line="300" w:lineRule="auto"/>
        <w:ind w:firstLine="420" w:firstLineChars="200"/>
        <w:rPr>
          <w:color w:val="auto"/>
          <w:highlight w:val="none"/>
        </w:rPr>
      </w:pPr>
      <w:r>
        <w:rPr>
          <w:rFonts w:hint="eastAsia"/>
          <w:color w:val="auto"/>
          <w:highlight w:val="none"/>
        </w:rPr>
        <w:t>承包人不得在设计文件中或以口头暗示方式指定供应商和制造厂，只有唯一厂家的除外。发包人不得以任何方式指定供应商和制造厂。</w:t>
      </w:r>
    </w:p>
    <w:p>
      <w:pPr>
        <w:spacing w:line="300" w:lineRule="auto"/>
        <w:ind w:firstLine="420" w:firstLineChars="200"/>
        <w:rPr>
          <w:color w:val="auto"/>
          <w:highlight w:val="none"/>
        </w:rPr>
      </w:pPr>
      <w:r>
        <w:rPr>
          <w:color w:val="auto"/>
          <w:highlight w:val="none"/>
        </w:rPr>
        <w:t>6.1.4</w:t>
      </w:r>
      <w:r>
        <w:rPr>
          <w:rFonts w:hint="eastAsia"/>
          <w:color w:val="auto"/>
          <w:highlight w:val="none"/>
        </w:rPr>
        <w:t>工程物资所有权</w:t>
      </w:r>
    </w:p>
    <w:p>
      <w:pPr>
        <w:spacing w:line="300" w:lineRule="auto"/>
        <w:ind w:firstLine="420" w:firstLineChars="200"/>
        <w:rPr>
          <w:color w:val="auto"/>
          <w:highlight w:val="none"/>
        </w:rPr>
      </w:pPr>
      <w:r>
        <w:rPr>
          <w:rFonts w:hint="eastAsia"/>
          <w:color w:val="auto"/>
          <w:highlight w:val="none"/>
        </w:rPr>
        <w:t>承包人根据</w:t>
      </w:r>
      <w:r>
        <w:rPr>
          <w:color w:val="auto"/>
          <w:highlight w:val="none"/>
        </w:rPr>
        <w:t>6.1.2</w:t>
      </w:r>
      <w:r>
        <w:rPr>
          <w:rFonts w:hint="eastAsia"/>
          <w:color w:val="auto"/>
          <w:highlight w:val="none"/>
        </w:rPr>
        <w:t>款约定提供的工程物资，在运抵现场的交货地点且发包人已支付了采购进度款，其所有权转为发包人所有。在发包人接收工程前，承包人有义务对工程物资进行保管、维护和保养，未经发包人批准不得运出现场。</w:t>
      </w:r>
    </w:p>
    <w:p>
      <w:pPr>
        <w:pStyle w:val="4"/>
        <w:rPr>
          <w:rFonts w:ascii="宋体" w:hAnsi="宋体"/>
          <w:color w:val="auto"/>
          <w:kern w:val="0"/>
          <w:sz w:val="21"/>
          <w:highlight w:val="none"/>
        </w:rPr>
      </w:pPr>
      <w:bookmarkStart w:id="844" w:name="_Toc419321285"/>
      <w:bookmarkStart w:id="845" w:name="_Toc491277289"/>
      <w:bookmarkStart w:id="846" w:name="_Toc419364374"/>
      <w:bookmarkStart w:id="847" w:name="_Toc419363705"/>
      <w:bookmarkStart w:id="848" w:name="_Toc419320249"/>
      <w:bookmarkStart w:id="849" w:name="_Toc433988739"/>
      <w:r>
        <w:rPr>
          <w:rFonts w:ascii="宋体" w:hAnsi="宋体"/>
          <w:color w:val="auto"/>
          <w:kern w:val="0"/>
          <w:sz w:val="21"/>
          <w:highlight w:val="none"/>
        </w:rPr>
        <w:t xml:space="preserve">6.2  </w:t>
      </w:r>
      <w:r>
        <w:rPr>
          <w:rFonts w:hint="eastAsia" w:ascii="宋体" w:hAnsi="宋体"/>
          <w:color w:val="auto"/>
          <w:kern w:val="0"/>
          <w:sz w:val="21"/>
          <w:highlight w:val="none"/>
        </w:rPr>
        <w:t>检验</w:t>
      </w:r>
      <w:bookmarkEnd w:id="844"/>
      <w:bookmarkEnd w:id="845"/>
      <w:bookmarkEnd w:id="846"/>
      <w:bookmarkEnd w:id="847"/>
      <w:bookmarkEnd w:id="848"/>
      <w:bookmarkEnd w:id="849"/>
    </w:p>
    <w:p>
      <w:pPr>
        <w:spacing w:line="300" w:lineRule="auto"/>
        <w:ind w:firstLine="420" w:firstLineChars="200"/>
        <w:rPr>
          <w:color w:val="auto"/>
          <w:highlight w:val="none"/>
        </w:rPr>
      </w:pPr>
      <w:r>
        <w:rPr>
          <w:color w:val="auto"/>
          <w:highlight w:val="none"/>
        </w:rPr>
        <w:t>6.2.1</w:t>
      </w:r>
      <w:r>
        <w:rPr>
          <w:rFonts w:hint="eastAsia"/>
          <w:color w:val="auto"/>
          <w:highlight w:val="none"/>
        </w:rPr>
        <w:t>工厂检验与报告</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）承包人应遵守相关法律规定，负责</w:t>
      </w:r>
      <w:r>
        <w:rPr>
          <w:color w:val="auto"/>
          <w:highlight w:val="none"/>
        </w:rPr>
        <w:t>6.1.2</w:t>
      </w:r>
      <w:r>
        <w:rPr>
          <w:rFonts w:hint="eastAsia"/>
          <w:color w:val="auto"/>
          <w:highlight w:val="none"/>
        </w:rPr>
        <w:t>款约定的工程物资的强制性检查、检验、监测和试验，并向发包人提供相关报告。报告提供日期、报告内容和提交份数，在专用条款中约定。</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）承包人邀请发包人参检时，在进行相关加工制造阶段的检查、检验、监测和试验之前，以书面形式通知发包人参检的内容、地点和时间。发包人在接到邀请后的</w:t>
      </w:r>
      <w:r>
        <w:rPr>
          <w:color w:val="auto"/>
          <w:highlight w:val="none"/>
        </w:rPr>
        <w:t>5</w:t>
      </w:r>
      <w:r>
        <w:rPr>
          <w:rFonts w:hint="eastAsia"/>
          <w:color w:val="auto"/>
          <w:highlight w:val="none"/>
        </w:rPr>
        <w:t>日内，以书面形式通知承包人参检或不参检。</w:t>
      </w:r>
    </w:p>
    <w:p>
      <w:pPr>
        <w:spacing w:line="30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）发包人承担其参检人员在参检期间的工资、补贴、差旅费和住宿费等，承包人负责办理进入相关厂家的许可，并提供方便。</w:t>
      </w:r>
    </w:p>
    <w:p>
      <w:pPr>
        <w:spacing w:line="300" w:lineRule="auto"/>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）发包人委托有资格、有经验的第三方代表发包人自费参检的，应在接到承包人邀请函后</w:t>
      </w:r>
      <w:r>
        <w:rPr>
          <w:color w:val="auto"/>
          <w:highlight w:val="none"/>
        </w:rPr>
        <w:t>5</w:t>
      </w:r>
      <w:r>
        <w:rPr>
          <w:rFonts w:hint="eastAsia"/>
          <w:color w:val="auto"/>
          <w:highlight w:val="none"/>
        </w:rPr>
        <w:t>日内，以书面形式通知承包人，并写明受托单位及受托人员的名称、姓名及授予的职权。</w:t>
      </w:r>
    </w:p>
    <w:p>
      <w:pPr>
        <w:spacing w:line="300" w:lineRule="auto"/>
        <w:ind w:firstLine="420" w:firstLineChars="200"/>
        <w:rPr>
          <w:color w:val="auto"/>
          <w:highlight w:val="none"/>
        </w:rPr>
      </w:pPr>
      <w:r>
        <w:rPr>
          <w:rFonts w:hint="eastAsia"/>
          <w:color w:val="auto"/>
          <w:highlight w:val="none"/>
        </w:rPr>
        <w:t>（</w:t>
      </w:r>
      <w:r>
        <w:rPr>
          <w:color w:val="auto"/>
          <w:highlight w:val="none"/>
        </w:rPr>
        <w:t>5</w:t>
      </w:r>
      <w:r>
        <w:rPr>
          <w:rFonts w:hint="eastAsia"/>
          <w:color w:val="auto"/>
          <w:highlight w:val="none"/>
        </w:rPr>
        <w:t>）发包人及其委托人的参检，并不能解除承包人对其采购的工程物资的质量责任。</w:t>
      </w:r>
    </w:p>
    <w:p>
      <w:pPr>
        <w:spacing w:line="300" w:lineRule="auto"/>
        <w:ind w:firstLine="420" w:firstLineChars="200"/>
        <w:rPr>
          <w:color w:val="auto"/>
          <w:highlight w:val="none"/>
        </w:rPr>
      </w:pPr>
      <w:r>
        <w:rPr>
          <w:color w:val="auto"/>
          <w:highlight w:val="none"/>
        </w:rPr>
        <w:t>6.2.2</w:t>
      </w:r>
      <w:r>
        <w:rPr>
          <w:rFonts w:hint="eastAsia"/>
          <w:color w:val="auto"/>
          <w:highlight w:val="none"/>
        </w:rPr>
        <w:t>覆盖和包装的后果</w:t>
      </w:r>
    </w:p>
    <w:p>
      <w:pPr>
        <w:spacing w:line="300" w:lineRule="auto"/>
        <w:ind w:firstLine="420" w:firstLineChars="200"/>
        <w:rPr>
          <w:color w:val="auto"/>
          <w:highlight w:val="none"/>
        </w:rPr>
      </w:pPr>
      <w:r>
        <w:rPr>
          <w:rFonts w:hint="eastAsia"/>
          <w:color w:val="auto"/>
          <w:highlight w:val="none"/>
        </w:rPr>
        <w:t>发包人已在</w:t>
      </w:r>
      <w:r>
        <w:rPr>
          <w:color w:val="auto"/>
          <w:highlight w:val="none"/>
        </w:rPr>
        <w:t>6.2.1</w:t>
      </w:r>
      <w:r>
        <w:rPr>
          <w:rFonts w:hint="eastAsia"/>
          <w:color w:val="auto"/>
          <w:highlight w:val="none"/>
        </w:rPr>
        <w:t>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pPr>
        <w:spacing w:line="300" w:lineRule="auto"/>
        <w:ind w:firstLine="420" w:firstLineChars="200"/>
        <w:rPr>
          <w:color w:val="auto"/>
          <w:highlight w:val="none"/>
        </w:rPr>
      </w:pPr>
      <w:r>
        <w:rPr>
          <w:color w:val="auto"/>
          <w:highlight w:val="none"/>
        </w:rPr>
        <w:t>6.2.3</w:t>
      </w:r>
      <w:r>
        <w:rPr>
          <w:rFonts w:hint="eastAsia"/>
          <w:color w:val="auto"/>
          <w:highlight w:val="none"/>
        </w:rPr>
        <w:t>未能按时参检</w:t>
      </w:r>
    </w:p>
    <w:p>
      <w:pPr>
        <w:spacing w:line="300" w:lineRule="auto"/>
        <w:ind w:firstLine="420" w:firstLineChars="200"/>
        <w:rPr>
          <w:color w:val="auto"/>
          <w:highlight w:val="none"/>
        </w:rPr>
      </w:pPr>
      <w:r>
        <w:rPr>
          <w:rFonts w:hint="eastAsia"/>
          <w:color w:val="auto"/>
          <w:highlight w:val="none"/>
        </w:rPr>
        <w:t>发包人未能按</w:t>
      </w:r>
      <w:r>
        <w:rPr>
          <w:color w:val="auto"/>
          <w:highlight w:val="none"/>
        </w:rPr>
        <w:t>6.2.1</w:t>
      </w:r>
      <w:r>
        <w:rPr>
          <w:rFonts w:hint="eastAsia"/>
          <w:color w:val="auto"/>
          <w:highlight w:val="none"/>
        </w:rPr>
        <w:t>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pPr>
        <w:spacing w:line="300" w:lineRule="auto"/>
        <w:ind w:firstLine="420" w:firstLineChars="200"/>
        <w:rPr>
          <w:color w:val="auto"/>
          <w:highlight w:val="none"/>
        </w:rPr>
      </w:pPr>
      <w:r>
        <w:rPr>
          <w:color w:val="auto"/>
          <w:highlight w:val="none"/>
        </w:rPr>
        <w:t>6.2.4</w:t>
      </w:r>
      <w:r>
        <w:rPr>
          <w:rFonts w:hint="eastAsia"/>
          <w:color w:val="auto"/>
          <w:highlight w:val="none"/>
        </w:rPr>
        <w:t>现场清点与检查</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）发包人应在其根据</w:t>
      </w:r>
      <w:r>
        <w:rPr>
          <w:color w:val="auto"/>
          <w:highlight w:val="none"/>
        </w:rPr>
        <w:t>6.1.1</w:t>
      </w:r>
      <w:r>
        <w:rPr>
          <w:rFonts w:hint="eastAsia"/>
          <w:color w:val="auto"/>
          <w:highlight w:val="none"/>
        </w:rPr>
        <w:t>款约定负责提供的工程物资运抵现场前</w:t>
      </w:r>
      <w:r>
        <w:rPr>
          <w:color w:val="auto"/>
          <w:highlight w:val="none"/>
        </w:rPr>
        <w:t>5</w:t>
      </w:r>
      <w:r>
        <w:rPr>
          <w:rFonts w:hint="eastAsia"/>
          <w:color w:val="auto"/>
          <w:highlight w:val="none"/>
        </w:rPr>
        <w:t>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pPr>
        <w:spacing w:line="300" w:lineRule="auto"/>
        <w:ind w:firstLine="420" w:firstLineChars="200"/>
        <w:rPr>
          <w:color w:val="auto"/>
          <w:highlight w:val="none"/>
        </w:rPr>
      </w:pPr>
      <w:r>
        <w:rPr>
          <w:rFonts w:hint="eastAsia"/>
          <w:color w:val="auto"/>
          <w:highlight w:val="none"/>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pPr>
        <w:spacing w:line="30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）承包人应在其根据</w:t>
      </w:r>
      <w:r>
        <w:rPr>
          <w:color w:val="auto"/>
          <w:highlight w:val="none"/>
        </w:rPr>
        <w:t>6.1.2</w:t>
      </w:r>
      <w:r>
        <w:rPr>
          <w:rFonts w:hint="eastAsia"/>
          <w:color w:val="auto"/>
          <w:highlight w:val="none"/>
        </w:rPr>
        <w:t>款约定负责提供的工程物资运抵现场前</w:t>
      </w:r>
      <w:r>
        <w:rPr>
          <w:color w:val="auto"/>
          <w:highlight w:val="none"/>
        </w:rPr>
        <w:t>5</w:t>
      </w:r>
      <w:r>
        <w:rPr>
          <w:rFonts w:hint="eastAsia"/>
          <w:color w:val="auto"/>
          <w:highlight w:val="none"/>
        </w:rPr>
        <w:t>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pPr>
        <w:spacing w:line="300" w:lineRule="auto"/>
        <w:ind w:firstLine="420" w:firstLineChars="200"/>
        <w:rPr>
          <w:color w:val="auto"/>
          <w:highlight w:val="none"/>
        </w:rPr>
      </w:pPr>
      <w:r>
        <w:rPr>
          <w:rFonts w:hint="eastAsia"/>
          <w:color w:val="auto"/>
          <w:highlight w:val="none"/>
        </w:rPr>
        <w:t>经现场检查清点发现箱件短缺，箱件内的数量、图纸、资料短缺，或有外观缺陷的，承包人应负责补齐或自费修复，工程物资在缺陷未能修复之前不得用于工程。因此造成的费用增加、竣工日期延误，由承包人负责。</w:t>
      </w:r>
    </w:p>
    <w:p>
      <w:pPr>
        <w:spacing w:line="300" w:lineRule="auto"/>
        <w:ind w:firstLine="420" w:firstLineChars="200"/>
        <w:rPr>
          <w:color w:val="auto"/>
          <w:highlight w:val="none"/>
        </w:rPr>
      </w:pPr>
      <w:r>
        <w:rPr>
          <w:color w:val="auto"/>
          <w:highlight w:val="none"/>
        </w:rPr>
        <w:t>6.2.5</w:t>
      </w:r>
      <w:r>
        <w:rPr>
          <w:rFonts w:hint="eastAsia"/>
          <w:color w:val="auto"/>
          <w:highlight w:val="none"/>
        </w:rPr>
        <w:t>质量监督部门及消防、环保等部门的参检</w:t>
      </w:r>
    </w:p>
    <w:p>
      <w:pPr>
        <w:spacing w:line="300" w:lineRule="auto"/>
        <w:ind w:firstLine="420" w:firstLineChars="200"/>
        <w:rPr>
          <w:color w:val="auto"/>
          <w:highlight w:val="none"/>
        </w:rPr>
      </w:pPr>
      <w:r>
        <w:rPr>
          <w:rFonts w:hint="eastAsia"/>
          <w:color w:val="auto"/>
          <w:highlight w:val="none"/>
        </w:rPr>
        <w:t>发包人、承包人随时接受质量监督部门、消防部门、环保部门、行业等专业检查人员对制造、安装及试验过程的现场检查，其费用由发包人承担。承包人为此提供方便。造成工程关键路径延误的，竣工日期相应顺延。</w:t>
      </w:r>
    </w:p>
    <w:p>
      <w:pPr>
        <w:spacing w:line="300" w:lineRule="auto"/>
        <w:ind w:firstLine="420" w:firstLineChars="200"/>
        <w:rPr>
          <w:color w:val="auto"/>
          <w:highlight w:val="none"/>
        </w:rPr>
      </w:pPr>
      <w:r>
        <w:rPr>
          <w:rFonts w:hint="eastAsia"/>
          <w:color w:val="auto"/>
          <w:highlight w:val="none"/>
        </w:rPr>
        <w:t>因上述部门在参检中提出的修改、更换等意见所增加的相关费用，应根据</w:t>
      </w:r>
      <w:r>
        <w:rPr>
          <w:color w:val="auto"/>
          <w:highlight w:val="none"/>
        </w:rPr>
        <w:t>6.1.1</w:t>
      </w:r>
      <w:r>
        <w:rPr>
          <w:rFonts w:hint="eastAsia"/>
          <w:color w:val="auto"/>
          <w:highlight w:val="none"/>
        </w:rPr>
        <w:t>款或</w:t>
      </w:r>
      <w:r>
        <w:rPr>
          <w:color w:val="auto"/>
          <w:highlight w:val="none"/>
        </w:rPr>
        <w:t>6.1.2</w:t>
      </w:r>
      <w:r>
        <w:rPr>
          <w:rFonts w:hint="eastAsia"/>
          <w:color w:val="auto"/>
          <w:highlight w:val="none"/>
        </w:rPr>
        <w:t>款约定的提供工程物资的责任方来承担；因此造成工程关键路径延误的，责任方为承包人时，竣工日期不予延长；责任方为发包人时，竣工日期相应顺延。</w:t>
      </w:r>
    </w:p>
    <w:p>
      <w:pPr>
        <w:pStyle w:val="4"/>
        <w:rPr>
          <w:rFonts w:ascii="宋体" w:hAnsi="宋体"/>
          <w:color w:val="auto"/>
          <w:kern w:val="0"/>
          <w:sz w:val="21"/>
          <w:highlight w:val="none"/>
        </w:rPr>
      </w:pPr>
      <w:bookmarkStart w:id="850" w:name="_Toc433988740"/>
      <w:bookmarkStart w:id="851" w:name="_Toc419364375"/>
      <w:bookmarkStart w:id="852" w:name="_Toc491277290"/>
      <w:bookmarkStart w:id="853" w:name="_Toc419320250"/>
      <w:bookmarkStart w:id="854" w:name="_Toc419321286"/>
      <w:bookmarkStart w:id="855" w:name="_Toc419363706"/>
      <w:r>
        <w:rPr>
          <w:rFonts w:ascii="宋体" w:hAnsi="宋体"/>
          <w:color w:val="auto"/>
          <w:kern w:val="0"/>
          <w:sz w:val="21"/>
          <w:highlight w:val="none"/>
        </w:rPr>
        <w:t xml:space="preserve">6.3  </w:t>
      </w:r>
      <w:r>
        <w:rPr>
          <w:rFonts w:hint="eastAsia" w:ascii="宋体" w:hAnsi="宋体"/>
          <w:color w:val="auto"/>
          <w:kern w:val="0"/>
          <w:sz w:val="21"/>
          <w:highlight w:val="none"/>
        </w:rPr>
        <w:t>进口工程物资的采购、报关、清关和商检</w:t>
      </w:r>
      <w:bookmarkEnd w:id="850"/>
      <w:bookmarkEnd w:id="851"/>
      <w:bookmarkEnd w:id="852"/>
      <w:bookmarkEnd w:id="853"/>
      <w:bookmarkEnd w:id="854"/>
      <w:bookmarkEnd w:id="855"/>
    </w:p>
    <w:p>
      <w:pPr>
        <w:spacing w:line="300" w:lineRule="auto"/>
        <w:ind w:firstLine="420" w:firstLineChars="200"/>
        <w:rPr>
          <w:color w:val="auto"/>
          <w:highlight w:val="none"/>
        </w:rPr>
      </w:pPr>
      <w:r>
        <w:rPr>
          <w:color w:val="auto"/>
          <w:highlight w:val="none"/>
        </w:rPr>
        <w:t>6.3.1</w:t>
      </w:r>
      <w:r>
        <w:rPr>
          <w:rFonts w:hint="eastAsia"/>
          <w:color w:val="auto"/>
          <w:highlight w:val="none"/>
        </w:rPr>
        <w:t>工程物资的进口采购责任方，及采购方式，在专用条款中约定。采购责任方负责报关、清关和商检，另一方有义务协助。</w:t>
      </w:r>
    </w:p>
    <w:p>
      <w:pPr>
        <w:spacing w:line="300" w:lineRule="auto"/>
        <w:ind w:firstLine="420" w:firstLineChars="200"/>
        <w:rPr>
          <w:color w:val="auto"/>
          <w:highlight w:val="none"/>
        </w:rPr>
      </w:pPr>
      <w:r>
        <w:rPr>
          <w:color w:val="auto"/>
          <w:highlight w:val="none"/>
        </w:rPr>
        <w:t>6.3.2</w:t>
      </w:r>
      <w:r>
        <w:rPr>
          <w:rFonts w:hint="eastAsia"/>
          <w:color w:val="auto"/>
          <w:highlight w:val="none"/>
        </w:rPr>
        <w:t>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pPr>
        <w:pStyle w:val="4"/>
        <w:rPr>
          <w:rFonts w:ascii="宋体" w:hAnsi="宋体"/>
          <w:color w:val="auto"/>
          <w:kern w:val="0"/>
          <w:sz w:val="21"/>
          <w:highlight w:val="none"/>
        </w:rPr>
      </w:pPr>
      <w:bookmarkStart w:id="856" w:name="_Toc419320251"/>
      <w:bookmarkStart w:id="857" w:name="_Toc491277291"/>
      <w:bookmarkStart w:id="858" w:name="_Toc433988741"/>
      <w:bookmarkStart w:id="859" w:name="_Toc419321287"/>
      <w:bookmarkStart w:id="860" w:name="_Toc419364376"/>
      <w:bookmarkStart w:id="861" w:name="_Toc419363707"/>
      <w:r>
        <w:rPr>
          <w:rFonts w:ascii="宋体" w:hAnsi="宋体"/>
          <w:color w:val="auto"/>
          <w:kern w:val="0"/>
          <w:sz w:val="21"/>
          <w:highlight w:val="none"/>
        </w:rPr>
        <w:t xml:space="preserve">6.4  </w:t>
      </w:r>
      <w:r>
        <w:rPr>
          <w:rFonts w:hint="eastAsia" w:ascii="宋体" w:hAnsi="宋体"/>
          <w:color w:val="auto"/>
          <w:kern w:val="0"/>
          <w:sz w:val="21"/>
          <w:highlight w:val="none"/>
        </w:rPr>
        <w:t>运输与超限物资运输</w:t>
      </w:r>
      <w:bookmarkEnd w:id="856"/>
      <w:bookmarkEnd w:id="857"/>
      <w:bookmarkEnd w:id="858"/>
      <w:bookmarkEnd w:id="859"/>
      <w:bookmarkEnd w:id="860"/>
      <w:bookmarkEnd w:id="861"/>
    </w:p>
    <w:p>
      <w:pPr>
        <w:spacing w:before="120" w:beforeLines="50" w:after="120" w:afterLines="50" w:line="300" w:lineRule="auto"/>
        <w:ind w:firstLine="420" w:firstLineChars="200"/>
        <w:rPr>
          <w:color w:val="auto"/>
          <w:highlight w:val="none"/>
        </w:rPr>
      </w:pPr>
      <w:r>
        <w:rPr>
          <w:rFonts w:hint="eastAsia"/>
          <w:color w:val="auto"/>
          <w:highlight w:val="none"/>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pPr>
        <w:pStyle w:val="4"/>
        <w:rPr>
          <w:rFonts w:ascii="宋体" w:hAnsi="宋体"/>
          <w:color w:val="auto"/>
          <w:kern w:val="0"/>
          <w:sz w:val="21"/>
          <w:highlight w:val="none"/>
        </w:rPr>
      </w:pPr>
      <w:bookmarkStart w:id="862" w:name="_Toc433988742"/>
      <w:bookmarkStart w:id="863" w:name="_Toc419364377"/>
      <w:bookmarkStart w:id="864" w:name="_Toc491277292"/>
      <w:bookmarkStart w:id="865" w:name="_Toc419321288"/>
      <w:bookmarkStart w:id="866" w:name="_Toc419363708"/>
      <w:bookmarkStart w:id="867" w:name="_Toc419320252"/>
      <w:r>
        <w:rPr>
          <w:rFonts w:ascii="宋体" w:hAnsi="宋体"/>
          <w:color w:val="auto"/>
          <w:kern w:val="0"/>
          <w:sz w:val="21"/>
          <w:highlight w:val="none"/>
        </w:rPr>
        <w:t xml:space="preserve">6.5  </w:t>
      </w:r>
      <w:r>
        <w:rPr>
          <w:rFonts w:hint="eastAsia" w:ascii="宋体" w:hAnsi="宋体"/>
          <w:color w:val="auto"/>
          <w:kern w:val="0"/>
          <w:sz w:val="21"/>
          <w:highlight w:val="none"/>
        </w:rPr>
        <w:t>重新订货及后果</w:t>
      </w:r>
      <w:bookmarkEnd w:id="862"/>
      <w:bookmarkEnd w:id="863"/>
      <w:bookmarkEnd w:id="864"/>
      <w:bookmarkEnd w:id="865"/>
      <w:bookmarkEnd w:id="866"/>
      <w:bookmarkEnd w:id="867"/>
    </w:p>
    <w:p>
      <w:pPr>
        <w:spacing w:line="300" w:lineRule="auto"/>
        <w:ind w:firstLine="420" w:firstLineChars="200"/>
        <w:rPr>
          <w:color w:val="auto"/>
          <w:highlight w:val="none"/>
        </w:rPr>
      </w:pPr>
      <w:r>
        <w:rPr>
          <w:color w:val="auto"/>
          <w:highlight w:val="none"/>
        </w:rPr>
        <w:t>6.5.1</w:t>
      </w:r>
      <w:r>
        <w:rPr>
          <w:rFonts w:hint="eastAsia"/>
          <w:color w:val="auto"/>
          <w:highlight w:val="none"/>
        </w:rPr>
        <w:t>依据</w:t>
      </w:r>
      <w:r>
        <w:rPr>
          <w:color w:val="auto"/>
          <w:highlight w:val="none"/>
        </w:rPr>
        <w:t>6.1.1</w:t>
      </w:r>
      <w:r>
        <w:rPr>
          <w:rFonts w:hint="eastAsia"/>
          <w:color w:val="auto"/>
          <w:highlight w:val="none"/>
        </w:rPr>
        <w:t>款及</w:t>
      </w:r>
      <w:r>
        <w:rPr>
          <w:color w:val="auto"/>
          <w:highlight w:val="none"/>
        </w:rPr>
        <w:t>6.3.1</w:t>
      </w:r>
      <w:r>
        <w:rPr>
          <w:rFonts w:hint="eastAsia"/>
          <w:color w:val="auto"/>
          <w:highlight w:val="none"/>
        </w:rPr>
        <w:t>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pPr>
        <w:spacing w:line="300" w:lineRule="auto"/>
        <w:ind w:firstLine="420" w:firstLineChars="200"/>
        <w:rPr>
          <w:color w:val="auto"/>
          <w:highlight w:val="none"/>
        </w:rPr>
      </w:pPr>
      <w:r>
        <w:rPr>
          <w:color w:val="auto"/>
          <w:highlight w:val="none"/>
        </w:rPr>
        <w:t>6.5.2</w:t>
      </w:r>
      <w:r>
        <w:rPr>
          <w:rFonts w:hint="eastAsia"/>
          <w:color w:val="auto"/>
          <w:highlight w:val="none"/>
        </w:rPr>
        <w:t>依据</w:t>
      </w:r>
      <w:r>
        <w:rPr>
          <w:color w:val="auto"/>
          <w:highlight w:val="none"/>
        </w:rPr>
        <w:t>6.1.2</w:t>
      </w:r>
      <w:r>
        <w:rPr>
          <w:rFonts w:hint="eastAsia"/>
          <w:color w:val="auto"/>
          <w:highlight w:val="none"/>
        </w:rPr>
        <w:t>款及</w:t>
      </w:r>
      <w:r>
        <w:rPr>
          <w:color w:val="auto"/>
          <w:highlight w:val="none"/>
        </w:rPr>
        <w:t>6.3.1</w:t>
      </w:r>
      <w:r>
        <w:rPr>
          <w:rFonts w:hint="eastAsia"/>
          <w:color w:val="auto"/>
          <w:highlight w:val="none"/>
        </w:rPr>
        <w:t>款的约定，由承包人负责提供的工程物资存在缺陷时，经承包人修复仍不合格的，由承包人负责重新订货并运抵现场。因此造成的费用增加、竣工日期延误，由承包人负责。</w:t>
      </w:r>
    </w:p>
    <w:p>
      <w:pPr>
        <w:pStyle w:val="4"/>
        <w:rPr>
          <w:rFonts w:ascii="宋体" w:hAnsi="宋体"/>
          <w:color w:val="auto"/>
          <w:kern w:val="0"/>
          <w:sz w:val="21"/>
          <w:highlight w:val="none"/>
        </w:rPr>
      </w:pPr>
      <w:bookmarkStart w:id="868" w:name="_Toc433988743"/>
      <w:bookmarkStart w:id="869" w:name="_Toc419321289"/>
      <w:bookmarkStart w:id="870" w:name="_Toc419363709"/>
      <w:bookmarkStart w:id="871" w:name="_Toc491277293"/>
      <w:bookmarkStart w:id="872" w:name="_Toc419364378"/>
      <w:bookmarkStart w:id="873" w:name="_Toc419320253"/>
      <w:r>
        <w:rPr>
          <w:rFonts w:ascii="宋体" w:hAnsi="宋体"/>
          <w:color w:val="auto"/>
          <w:kern w:val="0"/>
          <w:sz w:val="21"/>
          <w:highlight w:val="none"/>
        </w:rPr>
        <w:t xml:space="preserve">6.6  </w:t>
      </w:r>
      <w:r>
        <w:rPr>
          <w:rFonts w:hint="eastAsia" w:ascii="宋体" w:hAnsi="宋体"/>
          <w:color w:val="auto"/>
          <w:kern w:val="0"/>
          <w:sz w:val="21"/>
          <w:highlight w:val="none"/>
        </w:rPr>
        <w:t>工程物资保管与剩余</w:t>
      </w:r>
      <w:bookmarkEnd w:id="868"/>
      <w:bookmarkEnd w:id="869"/>
      <w:bookmarkEnd w:id="870"/>
      <w:bookmarkEnd w:id="871"/>
      <w:bookmarkEnd w:id="872"/>
      <w:bookmarkEnd w:id="873"/>
    </w:p>
    <w:p>
      <w:pPr>
        <w:spacing w:line="300" w:lineRule="auto"/>
        <w:ind w:firstLine="420" w:firstLineChars="200"/>
        <w:rPr>
          <w:color w:val="auto"/>
          <w:highlight w:val="none"/>
        </w:rPr>
      </w:pPr>
      <w:r>
        <w:rPr>
          <w:color w:val="auto"/>
          <w:highlight w:val="none"/>
        </w:rPr>
        <w:t>6.6.1</w:t>
      </w:r>
      <w:r>
        <w:rPr>
          <w:rFonts w:hint="eastAsia"/>
          <w:color w:val="auto"/>
          <w:highlight w:val="none"/>
        </w:rPr>
        <w:t>工程物资保管</w:t>
      </w:r>
    </w:p>
    <w:p>
      <w:pPr>
        <w:spacing w:line="300" w:lineRule="auto"/>
        <w:ind w:firstLine="420" w:firstLineChars="200"/>
        <w:rPr>
          <w:color w:val="auto"/>
          <w:highlight w:val="none"/>
        </w:rPr>
      </w:pPr>
      <w:r>
        <w:rPr>
          <w:rFonts w:hint="eastAsia"/>
          <w:color w:val="auto"/>
          <w:highlight w:val="none"/>
        </w:rPr>
        <w:t>根据</w:t>
      </w:r>
      <w:r>
        <w:rPr>
          <w:color w:val="auto"/>
          <w:highlight w:val="none"/>
        </w:rPr>
        <w:t>6.1.1</w:t>
      </w:r>
      <w:r>
        <w:rPr>
          <w:rFonts w:hint="eastAsia"/>
          <w:color w:val="auto"/>
          <w:highlight w:val="none"/>
        </w:rPr>
        <w:t>款由发包人负责提供的工程物资、</w:t>
      </w:r>
      <w:r>
        <w:rPr>
          <w:color w:val="auto"/>
          <w:highlight w:val="none"/>
        </w:rPr>
        <w:t>6.1.2</w:t>
      </w:r>
      <w:r>
        <w:rPr>
          <w:rFonts w:hint="eastAsia"/>
          <w:color w:val="auto"/>
          <w:highlight w:val="none"/>
        </w:rPr>
        <w:t>款由承包人负责提供的工程物资的约定并委托承包人保管的，工程物资的类别和数量在专用条款中约定。</w:t>
      </w:r>
    </w:p>
    <w:p>
      <w:pPr>
        <w:spacing w:line="300" w:lineRule="auto"/>
        <w:ind w:firstLine="420" w:firstLineChars="200"/>
        <w:rPr>
          <w:color w:val="auto"/>
          <w:highlight w:val="none"/>
        </w:rPr>
      </w:pPr>
      <w:r>
        <w:rPr>
          <w:rFonts w:hint="eastAsia"/>
          <w:color w:val="auto"/>
          <w:highlight w:val="none"/>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费用由发包人承担，但已标价工程量清单或预算书已经列支或专用合同条款另有约定除外。由发包人提供的库房、堆场、设施和设备，在专用条款中约定。</w:t>
      </w:r>
    </w:p>
    <w:p>
      <w:pPr>
        <w:spacing w:line="300" w:lineRule="auto"/>
        <w:ind w:firstLine="420" w:firstLineChars="200"/>
        <w:rPr>
          <w:color w:val="auto"/>
          <w:highlight w:val="none"/>
        </w:rPr>
      </w:pPr>
      <w:r>
        <w:rPr>
          <w:color w:val="auto"/>
          <w:highlight w:val="none"/>
        </w:rPr>
        <w:t>6.6.2</w:t>
      </w:r>
      <w:r>
        <w:rPr>
          <w:rFonts w:hint="eastAsia"/>
          <w:color w:val="auto"/>
          <w:highlight w:val="none"/>
        </w:rPr>
        <w:t>剩余工程物资的移交</w:t>
      </w:r>
    </w:p>
    <w:p>
      <w:pPr>
        <w:spacing w:line="300" w:lineRule="auto"/>
        <w:ind w:firstLine="420" w:firstLineChars="200"/>
        <w:rPr>
          <w:color w:val="auto"/>
          <w:highlight w:val="none"/>
        </w:rPr>
      </w:pPr>
      <w:r>
        <w:rPr>
          <w:rFonts w:hint="eastAsia"/>
          <w:color w:val="auto"/>
          <w:highlight w:val="none"/>
        </w:rPr>
        <w:t>承包人保管的工程物资（含承包人负责采购提供的工程物资并受到了采购进度款，及发包人委托保管的工程物资），在竣工试验完成后，剩余部分由承包人无偿移交给发包人，专用条款另有约定时除外。</w:t>
      </w:r>
    </w:p>
    <w:p>
      <w:pPr>
        <w:rPr>
          <w:color w:val="auto"/>
          <w:highlight w:val="none"/>
        </w:rPr>
      </w:pPr>
    </w:p>
    <w:p>
      <w:pPr>
        <w:widowControl/>
        <w:rPr>
          <w:color w:val="auto"/>
          <w:szCs w:val="21"/>
          <w:highlight w:val="none"/>
        </w:rPr>
      </w:pPr>
    </w:p>
    <w:p>
      <w:pPr>
        <w:pStyle w:val="2"/>
        <w:rPr>
          <w:rFonts w:ascii="宋体" w:hAnsi="宋体" w:eastAsia="宋体"/>
          <w:color w:val="auto"/>
          <w:sz w:val="28"/>
          <w:szCs w:val="28"/>
          <w:highlight w:val="none"/>
        </w:rPr>
      </w:pPr>
      <w:bookmarkStart w:id="874" w:name="_Toc491277294"/>
      <w:bookmarkStart w:id="875" w:name="_Toc419363710"/>
      <w:bookmarkStart w:id="876" w:name="_Toc419320254"/>
      <w:bookmarkStart w:id="877" w:name="_Toc419364379"/>
      <w:bookmarkStart w:id="878" w:name="_Toc419321290"/>
      <w:bookmarkStart w:id="879" w:name="_Toc433988744"/>
      <w:r>
        <w:rPr>
          <w:rFonts w:hint="eastAsia" w:ascii="宋体" w:hAnsi="宋体" w:eastAsia="宋体"/>
          <w:color w:val="auto"/>
          <w:sz w:val="28"/>
          <w:szCs w:val="28"/>
          <w:highlight w:val="none"/>
        </w:rPr>
        <w:t>第</w:t>
      </w:r>
      <w:r>
        <w:rPr>
          <w:rFonts w:ascii="宋体" w:hAnsi="宋体" w:eastAsia="宋体"/>
          <w:color w:val="auto"/>
          <w:sz w:val="28"/>
          <w:szCs w:val="28"/>
          <w:highlight w:val="none"/>
        </w:rPr>
        <w:t>7</w:t>
      </w:r>
      <w:r>
        <w:rPr>
          <w:rFonts w:hint="eastAsia" w:ascii="宋体" w:hAnsi="宋体" w:eastAsia="宋体"/>
          <w:color w:val="auto"/>
          <w:sz w:val="28"/>
          <w:szCs w:val="28"/>
          <w:highlight w:val="none"/>
        </w:rPr>
        <w:t>条施工</w:t>
      </w:r>
      <w:bookmarkEnd w:id="874"/>
      <w:bookmarkEnd w:id="875"/>
      <w:bookmarkEnd w:id="876"/>
      <w:bookmarkEnd w:id="877"/>
      <w:bookmarkEnd w:id="878"/>
      <w:bookmarkEnd w:id="879"/>
    </w:p>
    <w:p>
      <w:pPr>
        <w:pStyle w:val="4"/>
        <w:rPr>
          <w:rFonts w:ascii="宋体" w:hAnsi="宋体"/>
          <w:color w:val="auto"/>
          <w:kern w:val="0"/>
          <w:sz w:val="21"/>
          <w:highlight w:val="none"/>
        </w:rPr>
      </w:pPr>
      <w:bookmarkStart w:id="880" w:name="_Toc419320255"/>
      <w:bookmarkStart w:id="881" w:name="_Toc419321291"/>
      <w:bookmarkStart w:id="882" w:name="_Toc419363711"/>
      <w:bookmarkStart w:id="883" w:name="_Toc491277295"/>
      <w:bookmarkStart w:id="884" w:name="_Toc433988745"/>
      <w:bookmarkStart w:id="885" w:name="_Toc419364380"/>
      <w:r>
        <w:rPr>
          <w:rFonts w:hint="eastAsia" w:ascii="宋体" w:hAnsi="宋体"/>
          <w:color w:val="auto"/>
          <w:kern w:val="0"/>
          <w:sz w:val="21"/>
          <w:highlight w:val="none"/>
        </w:rPr>
        <w:t>7.1  发包人的义务</w:t>
      </w:r>
      <w:bookmarkEnd w:id="880"/>
      <w:bookmarkEnd w:id="881"/>
      <w:bookmarkEnd w:id="882"/>
      <w:bookmarkEnd w:id="883"/>
      <w:bookmarkEnd w:id="884"/>
      <w:bookmarkEnd w:id="885"/>
    </w:p>
    <w:p>
      <w:pPr>
        <w:spacing w:line="360" w:lineRule="auto"/>
        <w:ind w:firstLine="420" w:firstLineChars="200"/>
        <w:rPr>
          <w:rFonts w:ascii="宋体" w:hAnsi="宋体"/>
          <w:color w:val="auto"/>
          <w:highlight w:val="none"/>
        </w:rPr>
      </w:pPr>
      <w:r>
        <w:rPr>
          <w:rFonts w:hint="eastAsia" w:ascii="宋体" w:hAnsi="宋体"/>
          <w:color w:val="auto"/>
          <w:highlight w:val="none"/>
        </w:rPr>
        <w:t>7.1.1  基准坐标资料</w:t>
      </w:r>
    </w:p>
    <w:p>
      <w:pPr>
        <w:spacing w:line="360" w:lineRule="auto"/>
        <w:ind w:firstLine="420" w:firstLineChars="200"/>
        <w:rPr>
          <w:rFonts w:ascii="宋体" w:hAnsi="宋体"/>
          <w:color w:val="auto"/>
          <w:highlight w:val="none"/>
        </w:rPr>
      </w:pPr>
      <w:r>
        <w:rPr>
          <w:rFonts w:hint="eastAsia" w:ascii="宋体" w:hAnsi="宋体"/>
          <w:color w:val="auto"/>
          <w:highlight w:val="none"/>
        </w:rPr>
        <w:t>承包人因放线需请发包人与相关单位联系的事项，发包人有义务协助。</w:t>
      </w:r>
    </w:p>
    <w:p>
      <w:pPr>
        <w:spacing w:line="360" w:lineRule="auto"/>
        <w:ind w:firstLine="420" w:firstLineChars="200"/>
        <w:rPr>
          <w:rFonts w:ascii="宋体" w:hAnsi="宋体"/>
          <w:color w:val="auto"/>
          <w:highlight w:val="none"/>
        </w:rPr>
      </w:pPr>
      <w:bookmarkStart w:id="886" w:name="_Toc433988746"/>
      <w:r>
        <w:rPr>
          <w:rFonts w:hint="eastAsia" w:ascii="宋体" w:hAnsi="宋体"/>
          <w:color w:val="auto"/>
          <w:highlight w:val="none"/>
        </w:rPr>
        <w:t>7.1.2  审查总体施工组织设计</w:t>
      </w:r>
      <w:bookmarkEnd w:id="886"/>
    </w:p>
    <w:p>
      <w:pPr>
        <w:spacing w:line="360" w:lineRule="auto"/>
        <w:ind w:firstLine="420" w:firstLineChars="200"/>
        <w:rPr>
          <w:rFonts w:ascii="宋体" w:hAnsi="宋体"/>
          <w:color w:val="auto"/>
          <w:highlight w:val="none"/>
        </w:rPr>
      </w:pPr>
      <w:r>
        <w:rPr>
          <w:rFonts w:hint="eastAsia" w:ascii="宋体" w:hAnsi="宋体"/>
          <w:color w:val="auto"/>
          <w:highlight w:val="none"/>
        </w:rPr>
        <w:t>发包人有权对承包人根据7.2.2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pPr>
        <w:spacing w:line="360" w:lineRule="auto"/>
        <w:ind w:firstLine="420" w:firstLineChars="200"/>
        <w:rPr>
          <w:rFonts w:ascii="宋体" w:hAnsi="宋体"/>
          <w:color w:val="auto"/>
          <w:highlight w:val="none"/>
        </w:rPr>
      </w:pPr>
      <w:r>
        <w:rPr>
          <w:rFonts w:hint="eastAsia" w:ascii="宋体" w:hAnsi="宋体"/>
          <w:color w:val="auto"/>
          <w:highlight w:val="none"/>
        </w:rPr>
        <w:t>7.1.3  进场条件和进场日期</w:t>
      </w:r>
    </w:p>
    <w:p>
      <w:pPr>
        <w:spacing w:line="360" w:lineRule="auto"/>
        <w:ind w:firstLine="420" w:firstLineChars="200"/>
        <w:rPr>
          <w:rFonts w:ascii="宋体" w:hAnsi="宋体"/>
          <w:color w:val="auto"/>
          <w:highlight w:val="none"/>
        </w:rPr>
      </w:pPr>
      <w:r>
        <w:rPr>
          <w:rFonts w:hint="eastAsia" w:ascii="宋体" w:hAnsi="宋体"/>
          <w:color w:val="auto"/>
          <w:highlight w:val="none"/>
        </w:rPr>
        <w:t>除专用条款另有约定外，发包人应根据批准的初步设计和7.2.3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pPr>
        <w:spacing w:line="360" w:lineRule="auto"/>
        <w:ind w:firstLine="420" w:firstLineChars="200"/>
        <w:rPr>
          <w:rFonts w:ascii="宋体" w:hAnsi="宋体"/>
          <w:color w:val="auto"/>
          <w:highlight w:val="none"/>
        </w:rPr>
      </w:pPr>
      <w:r>
        <w:rPr>
          <w:rFonts w:hint="eastAsia" w:ascii="宋体" w:hAnsi="宋体"/>
          <w:color w:val="auto"/>
          <w:highlight w:val="none"/>
        </w:rPr>
        <w:t>因发包人原因造成承包人的进场时间延误，竣工日期相应顺延。发包人承担承包人因此发生的相关窝工费用。</w:t>
      </w:r>
    </w:p>
    <w:p>
      <w:pPr>
        <w:spacing w:line="360" w:lineRule="auto"/>
        <w:ind w:firstLine="420" w:firstLineChars="200"/>
        <w:rPr>
          <w:rFonts w:ascii="宋体" w:hAnsi="宋体"/>
          <w:color w:val="auto"/>
          <w:highlight w:val="none"/>
        </w:rPr>
      </w:pPr>
      <w:bookmarkStart w:id="887" w:name="_Toc433988747"/>
      <w:r>
        <w:rPr>
          <w:rFonts w:hint="eastAsia" w:ascii="宋体" w:hAnsi="宋体"/>
          <w:color w:val="auto"/>
          <w:highlight w:val="none"/>
        </w:rPr>
        <w:t>7.1.4  提供临时用水、用电等和节点铺设</w:t>
      </w:r>
      <w:bookmarkEnd w:id="887"/>
    </w:p>
    <w:p>
      <w:pPr>
        <w:spacing w:line="360" w:lineRule="auto"/>
        <w:ind w:firstLine="420" w:firstLineChars="200"/>
        <w:rPr>
          <w:rFonts w:ascii="宋体" w:hAnsi="宋体"/>
          <w:color w:val="auto"/>
          <w:highlight w:val="none"/>
        </w:rPr>
      </w:pPr>
      <w:r>
        <w:rPr>
          <w:rFonts w:hint="eastAsia" w:ascii="宋体" w:hAnsi="宋体"/>
          <w:color w:val="auto"/>
          <w:highlight w:val="none"/>
        </w:rPr>
        <w:t>除专用条款另有约定外，发包人应按7.2.4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7.1.5  办理开工等批准手续</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发包人在开工日期前，办妥须要由发包人办理的开工批准或施工许可证、工程质量监督手续及其它所需的许可、证件和批文等。</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7.1.6  施工过程中须由发包人办理的批准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承包人在施工过程中根据7.2.6款的约定，通知须由发包人办理的各项批准手续，由发包人申请办理。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因发包人未能按时办妥上述批准手续，给承包人造成的窝工损失，由发包人承担。导致工程关键路径延误的，竣工日期相应顺延。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7.1.7  提供施工障碍资料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按合同约定的内容和时间提供与施工场地相关的地下和地上的建筑物、构筑物和其它设施的坐标位置。发包人根据5.2.1款第（1）项、第（2）项的约定，已经提供的可不再提供。承包人对发包人在合同约定时间之后提供的障碍资料，可依据13.2.3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7.1.8  承包人新发现的施工障碍</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根据承包人按照7.2.8款的约定发出的通知，与有关单位进行联系、协调、处理施工场地周围及临近的影响工程实施的建筑物、构筑物、文物建筑、古树、名木、地下管线、线缆、设施以及地下文物、化石和坟墓等的保护工作，并承担相关费用。</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对于新发现的施工障碍，承包人可依据13.2.3款施工变更范围第（3）项的约定提交变更申请，对于承包人的合理请求发包人应予以批准。施工障碍导致工程关键路径延误的，竣工日期相应顺延。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7.1.9  职业健康、安全、环境保护管理计划确认</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在收到承包人根据7.8款约定提交的“职业健康、安全、环境保护”管理计划后20日内对之进行确认。发包人有权检查其实施情况并对检查中发现的问题提出整改建议，承包人应按照发包人合理建议自费整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7.1.10  其它义务</w:t>
      </w:r>
    </w:p>
    <w:p>
      <w:pPr>
        <w:spacing w:line="300" w:lineRule="auto"/>
        <w:ind w:firstLine="420" w:firstLineChars="200"/>
        <w:rPr>
          <w:color w:val="auto"/>
          <w:sz w:val="24"/>
          <w:highlight w:val="none"/>
        </w:rPr>
      </w:pPr>
      <w:r>
        <w:rPr>
          <w:rFonts w:hint="eastAsia" w:ascii="宋体" w:hAnsi="宋体"/>
          <w:color w:val="auto"/>
          <w:szCs w:val="21"/>
          <w:highlight w:val="none"/>
        </w:rPr>
        <w:t>发包人应履行专用条款中约定的由发包人履行的其它义务</w:t>
      </w:r>
      <w:r>
        <w:rPr>
          <w:rFonts w:hint="eastAsia"/>
          <w:color w:val="auto"/>
          <w:sz w:val="24"/>
          <w:highlight w:val="none"/>
        </w:rPr>
        <w:t>。</w:t>
      </w:r>
    </w:p>
    <w:p>
      <w:pPr>
        <w:pStyle w:val="4"/>
        <w:rPr>
          <w:rFonts w:ascii="宋体" w:hAnsi="宋体"/>
          <w:color w:val="auto"/>
          <w:kern w:val="0"/>
          <w:sz w:val="21"/>
          <w:highlight w:val="none"/>
        </w:rPr>
      </w:pPr>
      <w:bookmarkStart w:id="888" w:name="_Toc419320256"/>
      <w:bookmarkStart w:id="889" w:name="_Toc419321292"/>
      <w:bookmarkStart w:id="890" w:name="_Toc419363712"/>
      <w:bookmarkStart w:id="891" w:name="_Toc419364381"/>
      <w:bookmarkStart w:id="892" w:name="_Toc491277296"/>
      <w:bookmarkStart w:id="893" w:name="_Toc433988748"/>
      <w:r>
        <w:rPr>
          <w:rFonts w:hint="eastAsia" w:ascii="宋体" w:hAnsi="宋体"/>
          <w:color w:val="auto"/>
          <w:kern w:val="0"/>
          <w:sz w:val="21"/>
          <w:highlight w:val="none"/>
        </w:rPr>
        <w:t>7.2  承包人的义务</w:t>
      </w:r>
      <w:bookmarkEnd w:id="888"/>
      <w:bookmarkEnd w:id="889"/>
      <w:bookmarkEnd w:id="890"/>
      <w:bookmarkEnd w:id="891"/>
      <w:bookmarkEnd w:id="892"/>
      <w:bookmarkEnd w:id="893"/>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7.2.1  放线。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承包人负责对工程、单项工程、施工部位放线，并对放线的准确性负责。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7.2.2  施工组织设计。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承包人应在施工开工</w:t>
      </w:r>
      <w:r>
        <w:rPr>
          <w:rFonts w:ascii="宋体" w:hAnsi="宋体"/>
          <w:color w:val="auto"/>
          <w:szCs w:val="21"/>
          <w:highlight w:val="none"/>
        </w:rPr>
        <w:t>15</w:t>
      </w:r>
      <w:r>
        <w:rPr>
          <w:rFonts w:hint="eastAsia" w:ascii="宋体" w:hAnsi="宋体"/>
          <w:color w:val="auto"/>
          <w:szCs w:val="21"/>
          <w:highlight w:val="none"/>
        </w:rPr>
        <w:t>日前或双方约定的其它时间内，向发包人提交总体施工组织设计。随着施工进展向发包人提交主要单项工程和主要分部分项工程的施工组织设计。对发包人提出的合理建议和要求，承包人应自费修改完善。</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总体施工组织设计提交的份数和时间，及需提交施工组织设计的主要单项工程和主要分部分项工程的名称、份数和时间，在专用条款中约定。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7.2.3  提交临时占地资料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承包人应按专用条款约定的时间向发包人提交以下临时占用资料：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（1）根据6.6.1款保管工程物资所需的库房、堆场、道路用地的坐标位置、面积、占用时间、用途说明，并须单列需要由发包人租地的坐标位置、面积、占用时间和用途说明；</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施工用地的坐标位置、面积、占用时间、用途说明，并须单列要求发包人租地的坐标位置、面积、占用时间和用途说明；</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（3）进入施工现场道路的入口坐标位置，并须指明要求发包人铺设与城乡公共道路相连接的道路走向、长度、路宽、等级、桥涵承重、转弯半径和时间要求。</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因承包人未能按时提交上述资料，导致7.1.3款约定的进场日期延误的，由此增加的费用和（或）竣工日期延误，由承包人负责。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7.2.4  临时用水、用电等</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承包人应在施工开工日期</w:t>
      </w:r>
      <w:r>
        <w:rPr>
          <w:rFonts w:ascii="宋体" w:hAnsi="宋体"/>
          <w:color w:val="auto"/>
          <w:szCs w:val="21"/>
          <w:highlight w:val="none"/>
        </w:rPr>
        <w:t>30</w:t>
      </w:r>
      <w:r>
        <w:rPr>
          <w:rFonts w:hint="eastAsia" w:ascii="宋体" w:hAnsi="宋体"/>
          <w:color w:val="auto"/>
          <w:szCs w:val="21"/>
          <w:highlight w:val="none"/>
        </w:rPr>
        <w:t>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7.1.4款专用条款中约定的单价向发包人交费，双方另有约定时除外。</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因承包人未能按合约约定提交上述资料，造成发包人费用增加和竣工日期延误时，由承包人负责。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7.2.5  协助发包人办理开工等批准手续</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承包人应在工程开工</w:t>
      </w:r>
      <w:r>
        <w:rPr>
          <w:rFonts w:ascii="宋体" w:hAnsi="宋体"/>
          <w:color w:val="auto"/>
          <w:szCs w:val="21"/>
          <w:highlight w:val="none"/>
        </w:rPr>
        <w:t>20</w:t>
      </w:r>
      <w:r>
        <w:rPr>
          <w:rFonts w:hint="eastAsia" w:ascii="宋体" w:hAnsi="宋体"/>
          <w:color w:val="auto"/>
          <w:szCs w:val="21"/>
          <w:highlight w:val="none"/>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7.2.6  施工过程中需通知办理的批准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因承包人未能在10日前通知发包人或未能按时提供由发包人办理申请所需的承包人的相关文件、资料和证件等，造成承包人窝工、停工和竣工日期延误的，由承包人负责。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7.2.7  提供施工障碍资料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承包人应按合同约定，在每项地下或地上施工部位开工</w:t>
      </w:r>
      <w:r>
        <w:rPr>
          <w:rFonts w:ascii="宋体" w:hAnsi="宋体"/>
          <w:color w:val="auto"/>
          <w:szCs w:val="21"/>
          <w:highlight w:val="none"/>
        </w:rPr>
        <w:t>20</w:t>
      </w:r>
      <w:r>
        <w:rPr>
          <w:rFonts w:hint="eastAsia" w:ascii="宋体" w:hAnsi="宋体"/>
          <w:color w:val="auto"/>
          <w:szCs w:val="21"/>
          <w:highlight w:val="none"/>
        </w:rPr>
        <w:t>日前，向发包人提交施工场地的具体范围及其坐标位置，发包人须对上述范围内提供相关的地下和地下的建筑物、构筑物和其它设施的坐标位置（不包括发包人根据5.2.1款第（1）项、第（2）项中已提供的现场障碍资料）。发包人在合同约定时间之后提出的现场障碍资料，按照13.2.3款的施工变更的约定办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发包人已提供上述相关资料，因承包人未能履行保护义务，造成的损失、损害和责任，由承包人负责。因此造成工程关键路径延误的，承包人按4.1.2款的约定，自费赶上。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7.2.8  新发现的施工障碍</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对在施工过程中新发现的场地周围及临近影响施工的建筑物、构筑物、文物建筑、古树、名木，以及地下管线、线缆、构筑物、文物、化石和坟墓等，立即采取保护措施，并及时通知发包人。新发现的施工障碍，按照13.2.3款的施工变更约定办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7.2.9  施工资源</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承包人应保证其人力、机具、设备、设施、措施材料、消耗材料、周转材料及其它施工资源，满足实施工程的需求。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7.2.10  设计文件的说明和解释</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承包人应在施工开工前向施工分包人和监理人说明设计文件的意圈，解释设计文件，及时解决施工过程中出现的有关问题。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7.2.11  工程的保护与维护</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承包人应在开工之日起至发包人接收工程或单项工程之日止，负责工程或单项工程的照管、保护、维护和保安责任，保证工程或单项工程除不可抗力外，不受到任何损失、损害。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7.2.12  清理现场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承包人负责在施工过程中及完工后对现场进行清理、分类堆放，将残余物、废弃物、垃圾等运往发包人、或当地有关部门指定的地点。消理现场的费用在专</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用条款中写明。承包人应将不再使用的机具、设备、设施和临时工程等撤离现场，或运到发包人指定的场地。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7.2.13  其它义务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承包人应履行专用条款中约定的应由承包人履行的其它相关义务。</w:t>
      </w:r>
    </w:p>
    <w:p>
      <w:pPr>
        <w:pStyle w:val="4"/>
        <w:rPr>
          <w:rFonts w:ascii="宋体" w:hAnsi="宋体"/>
          <w:color w:val="auto"/>
          <w:kern w:val="0"/>
          <w:sz w:val="21"/>
          <w:highlight w:val="none"/>
        </w:rPr>
      </w:pPr>
      <w:bookmarkStart w:id="894" w:name="_Toc419364382"/>
      <w:bookmarkStart w:id="895" w:name="_Toc491277297"/>
      <w:bookmarkStart w:id="896" w:name="_Toc419363713"/>
      <w:bookmarkStart w:id="897" w:name="_Toc419321293"/>
      <w:bookmarkStart w:id="898" w:name="_Toc433988749"/>
      <w:bookmarkStart w:id="899" w:name="_Toc419320257"/>
      <w:r>
        <w:rPr>
          <w:rFonts w:hint="eastAsia" w:ascii="宋体" w:hAnsi="宋体"/>
          <w:color w:val="auto"/>
          <w:kern w:val="0"/>
          <w:sz w:val="21"/>
          <w:highlight w:val="none"/>
        </w:rPr>
        <w:t>7.3  施工技术方法</w:t>
      </w:r>
      <w:bookmarkEnd w:id="894"/>
      <w:bookmarkEnd w:id="895"/>
      <w:bookmarkEnd w:id="896"/>
      <w:bookmarkEnd w:id="897"/>
      <w:bookmarkEnd w:id="898"/>
      <w:bookmarkEnd w:id="899"/>
    </w:p>
    <w:p>
      <w:pPr>
        <w:spacing w:line="300" w:lineRule="auto"/>
        <w:ind w:firstLine="420" w:firstLineChars="200"/>
        <w:rPr>
          <w:color w:val="auto"/>
          <w:szCs w:val="21"/>
          <w:highlight w:val="none"/>
        </w:rPr>
      </w:pPr>
      <w:r>
        <w:rPr>
          <w:rFonts w:hint="eastAsia"/>
          <w:color w:val="auto"/>
          <w:szCs w:val="21"/>
          <w:highlight w:val="none"/>
        </w:rPr>
        <w:t>承包人的施工技术方法符合有关操作规程、安全规程及质量标准。</w:t>
      </w:r>
    </w:p>
    <w:p>
      <w:pPr>
        <w:spacing w:line="300" w:lineRule="auto"/>
        <w:ind w:firstLine="420" w:firstLineChars="200"/>
        <w:rPr>
          <w:color w:val="auto"/>
          <w:szCs w:val="21"/>
          <w:highlight w:val="none"/>
        </w:rPr>
      </w:pPr>
      <w:r>
        <w:rPr>
          <w:rFonts w:hint="eastAsia"/>
          <w:color w:val="auto"/>
          <w:szCs w:val="21"/>
          <w:highlight w:val="none"/>
        </w:rPr>
        <w:t>发包人应在收到承包人提交的该方法后的</w:t>
      </w:r>
      <w:r>
        <w:rPr>
          <w:color w:val="auto"/>
          <w:szCs w:val="21"/>
          <w:highlight w:val="none"/>
        </w:rPr>
        <w:t>5</w:t>
      </w:r>
      <w:r>
        <w:rPr>
          <w:rFonts w:hint="eastAsia"/>
          <w:color w:val="auto"/>
          <w:szCs w:val="21"/>
          <w:highlight w:val="none"/>
        </w:rPr>
        <w:t>日内予以确认或提出建议，发包人的任何此类确认和建议，并不能减轻或免除承包人的合同责任。</w:t>
      </w:r>
    </w:p>
    <w:p>
      <w:pPr>
        <w:pStyle w:val="4"/>
        <w:rPr>
          <w:rFonts w:ascii="宋体" w:hAnsi="宋体"/>
          <w:color w:val="auto"/>
          <w:kern w:val="0"/>
          <w:sz w:val="21"/>
          <w:highlight w:val="none"/>
        </w:rPr>
      </w:pPr>
      <w:bookmarkStart w:id="900" w:name="_Toc433988750"/>
      <w:bookmarkStart w:id="901" w:name="_Toc419363714"/>
      <w:bookmarkStart w:id="902" w:name="_Toc419320258"/>
      <w:bookmarkStart w:id="903" w:name="_Toc419364383"/>
      <w:bookmarkStart w:id="904" w:name="_Toc491277298"/>
      <w:bookmarkStart w:id="905" w:name="_Toc419321294"/>
      <w:r>
        <w:rPr>
          <w:rFonts w:hint="eastAsia" w:ascii="宋体" w:hAnsi="宋体"/>
          <w:color w:val="auto"/>
          <w:kern w:val="0"/>
          <w:sz w:val="21"/>
          <w:highlight w:val="none"/>
        </w:rPr>
        <w:t>7.4  人力和机具资源</w:t>
      </w:r>
      <w:bookmarkEnd w:id="900"/>
      <w:bookmarkEnd w:id="901"/>
      <w:bookmarkEnd w:id="902"/>
      <w:bookmarkEnd w:id="903"/>
      <w:bookmarkEnd w:id="904"/>
      <w:bookmarkEnd w:id="905"/>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7.4.1  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pPr>
        <w:pStyle w:val="4"/>
        <w:rPr>
          <w:rFonts w:ascii="宋体" w:hAnsi="宋体"/>
          <w:color w:val="auto"/>
          <w:kern w:val="0"/>
          <w:sz w:val="21"/>
          <w:highlight w:val="none"/>
        </w:rPr>
      </w:pPr>
      <w:bookmarkStart w:id="906" w:name="_Toc433988751"/>
      <w:bookmarkStart w:id="907" w:name="_Toc419364384"/>
      <w:bookmarkStart w:id="908" w:name="_Toc419363715"/>
      <w:bookmarkStart w:id="909" w:name="_Toc419321295"/>
      <w:bookmarkStart w:id="910" w:name="_Toc491277299"/>
      <w:bookmarkStart w:id="911" w:name="_Toc419320259"/>
      <w:r>
        <w:rPr>
          <w:rFonts w:hint="eastAsia" w:ascii="宋体" w:hAnsi="宋体"/>
          <w:color w:val="auto"/>
          <w:kern w:val="0"/>
          <w:sz w:val="21"/>
          <w:highlight w:val="none"/>
        </w:rPr>
        <w:t>7.5  质量与检验</w:t>
      </w:r>
      <w:bookmarkEnd w:id="906"/>
      <w:bookmarkEnd w:id="907"/>
      <w:bookmarkEnd w:id="908"/>
      <w:bookmarkEnd w:id="909"/>
      <w:bookmarkEnd w:id="910"/>
      <w:bookmarkEnd w:id="911"/>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7.5.1  质量与检验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（1）承包人及其分包人随时接受发包人、监理人所进行的安全、质量的监督和检查。承包人应为此类监督、检查提供方便。</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（2）发包人委托第三方对施工质量进行检查、检验、检测和试验时，应以书面形式通知承包人。第三方的验收结果视为发包人的验收结果。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（3）承包人应遵守施工质量管理的有关规定，负有对其操作人员进行培训、考核、图纸交底、技术交底、操作规程交底、安全程序交底和质量标准交底，及消除事故隐患的责任。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（4） </w:t>
      </w:r>
      <w:r>
        <w:rPr>
          <w:rFonts w:ascii="宋体" w:hAnsi="宋体"/>
          <w:color w:val="auto"/>
          <w:szCs w:val="21"/>
          <w:highlight w:val="none"/>
        </w:rPr>
        <w:t>承包人</w:t>
      </w:r>
      <w:r>
        <w:rPr>
          <w:rFonts w:hint="eastAsia" w:ascii="宋体" w:hAnsi="宋体"/>
          <w:color w:val="auto"/>
          <w:szCs w:val="21"/>
          <w:highlight w:val="none"/>
        </w:rPr>
        <w:t>应按照</w:t>
      </w:r>
      <w:r>
        <w:rPr>
          <w:rFonts w:ascii="宋体" w:hAnsi="宋体"/>
          <w:color w:val="auto"/>
          <w:szCs w:val="21"/>
          <w:highlight w:val="none"/>
        </w:rPr>
        <w:t>设计</w:t>
      </w:r>
      <w:r>
        <w:rPr>
          <w:rFonts w:hint="eastAsia" w:ascii="宋体" w:hAnsi="宋体"/>
          <w:color w:val="auto"/>
          <w:szCs w:val="21"/>
          <w:highlight w:val="none"/>
        </w:rPr>
        <w:t>文件</w:t>
      </w:r>
      <w:r>
        <w:rPr>
          <w:rFonts w:ascii="宋体" w:hAnsi="宋体"/>
          <w:color w:val="auto"/>
          <w:szCs w:val="21"/>
          <w:highlight w:val="none"/>
        </w:rPr>
        <w:t>、施工标准和合同</w:t>
      </w:r>
      <w:r>
        <w:rPr>
          <w:rFonts w:hint="eastAsia" w:ascii="宋体" w:hAnsi="宋体"/>
          <w:color w:val="auto"/>
          <w:szCs w:val="21"/>
          <w:highlight w:val="none"/>
        </w:rPr>
        <w:t>约定</w:t>
      </w:r>
      <w:r>
        <w:rPr>
          <w:rFonts w:ascii="宋体" w:hAnsi="宋体"/>
          <w:color w:val="auto"/>
          <w:szCs w:val="21"/>
          <w:highlight w:val="none"/>
        </w:rPr>
        <w:t>，</w:t>
      </w:r>
      <w:r>
        <w:rPr>
          <w:rFonts w:hint="eastAsia" w:ascii="宋体" w:hAnsi="宋体"/>
          <w:color w:val="auto"/>
          <w:szCs w:val="21"/>
          <w:highlight w:val="none"/>
        </w:rPr>
        <w:t>负责编写施工试验和检测方案，</w:t>
      </w:r>
      <w:r>
        <w:rPr>
          <w:rFonts w:ascii="宋体" w:hAnsi="宋体"/>
          <w:color w:val="auto"/>
          <w:szCs w:val="21"/>
          <w:highlight w:val="none"/>
        </w:rPr>
        <w:t>对</w:t>
      </w:r>
      <w:r>
        <w:rPr>
          <w:rFonts w:hint="eastAsia" w:ascii="宋体" w:hAnsi="宋体"/>
          <w:color w:val="auto"/>
          <w:szCs w:val="21"/>
          <w:highlight w:val="none"/>
        </w:rPr>
        <w:t>工程物资（包括</w:t>
      </w:r>
      <w:r>
        <w:rPr>
          <w:rFonts w:ascii="宋体" w:hAnsi="宋体"/>
          <w:color w:val="auto"/>
          <w:szCs w:val="21"/>
          <w:highlight w:val="none"/>
        </w:rPr>
        <w:t>建筑构配件</w:t>
      </w:r>
      <w:r>
        <w:rPr>
          <w:rFonts w:hint="eastAsia" w:ascii="宋体" w:hAnsi="宋体"/>
          <w:color w:val="auto"/>
          <w:szCs w:val="21"/>
          <w:highlight w:val="none"/>
        </w:rPr>
        <w:t>）</w:t>
      </w:r>
      <w:r>
        <w:rPr>
          <w:rFonts w:ascii="宋体" w:hAnsi="宋体"/>
          <w:color w:val="auto"/>
          <w:szCs w:val="21"/>
          <w:highlight w:val="none"/>
        </w:rPr>
        <w:t>进行</w:t>
      </w:r>
      <w:r>
        <w:rPr>
          <w:rFonts w:hint="eastAsia" w:ascii="宋体" w:hAnsi="宋体"/>
          <w:color w:val="auto"/>
          <w:szCs w:val="21"/>
          <w:highlight w:val="none"/>
        </w:rPr>
        <w:t>检查、</w:t>
      </w:r>
      <w:r>
        <w:rPr>
          <w:rFonts w:ascii="宋体" w:hAnsi="宋体"/>
          <w:color w:val="auto"/>
          <w:szCs w:val="21"/>
          <w:highlight w:val="none"/>
        </w:rPr>
        <w:t>检验</w:t>
      </w:r>
      <w:r>
        <w:rPr>
          <w:rFonts w:hint="eastAsia" w:ascii="宋体" w:hAnsi="宋体"/>
          <w:color w:val="auto"/>
          <w:szCs w:val="21"/>
          <w:highlight w:val="none"/>
        </w:rPr>
        <w:t>、检测和试验</w:t>
      </w:r>
      <w:r>
        <w:rPr>
          <w:rFonts w:ascii="宋体" w:hAnsi="宋体"/>
          <w:color w:val="auto"/>
          <w:szCs w:val="21"/>
          <w:highlight w:val="none"/>
        </w:rPr>
        <w:t>，不合格的不得使用。</w:t>
      </w:r>
      <w:r>
        <w:rPr>
          <w:rFonts w:hint="eastAsia" w:ascii="宋体" w:hAnsi="宋体"/>
          <w:color w:val="auto"/>
          <w:szCs w:val="21"/>
          <w:highlight w:val="none"/>
        </w:rPr>
        <w:t>并有义务自费修复和（或）更换</w:t>
      </w:r>
      <w:r>
        <w:rPr>
          <w:rFonts w:ascii="宋体" w:hAnsi="宋体"/>
          <w:color w:val="auto"/>
          <w:szCs w:val="21"/>
          <w:highlight w:val="none"/>
        </w:rPr>
        <w:t>不合格</w:t>
      </w:r>
      <w:r>
        <w:rPr>
          <w:rFonts w:hint="eastAsia" w:ascii="宋体" w:hAnsi="宋体"/>
          <w:color w:val="auto"/>
          <w:szCs w:val="21"/>
          <w:highlight w:val="none"/>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 承包人的施工应符合合同约定的质量标准。施工质量评定以合同中约定的质量检验评定标准为依据。对不符合质量标准的施工部位，承包人应自费修复、返工、更换等。因此造成竣工日期延误的，由承包人负责。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承包人应将按上述约定，经其一方检查合格的部位报发包人或监理人备案。发包人和工程总监有权随时对备案的部位进行抽查或全面检查。</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7.5.3  通知参检方的参检。承包人自行检查、检验、检测和试验合格的，按7.5.2款专用条款约定的质检部位和参检方，通知相关参检单位在</w:t>
      </w:r>
      <w:r>
        <w:rPr>
          <w:rFonts w:ascii="宋体" w:hAnsi="宋体"/>
          <w:color w:val="auto"/>
          <w:szCs w:val="21"/>
          <w:highlight w:val="none"/>
        </w:rPr>
        <w:t>24</w:t>
      </w:r>
      <w:r>
        <w:rPr>
          <w:rFonts w:hint="eastAsia" w:ascii="宋体" w:hAnsi="宋体"/>
          <w:color w:val="auto"/>
          <w:szCs w:val="21"/>
          <w:highlight w:val="none"/>
        </w:rPr>
        <w:t>小时内参加检查。参检方未能按时参加的，承包人应将自检合格的结果于其后的</w:t>
      </w:r>
      <w:r>
        <w:rPr>
          <w:rFonts w:ascii="宋体" w:hAnsi="宋体"/>
          <w:color w:val="auto"/>
          <w:szCs w:val="21"/>
          <w:highlight w:val="none"/>
        </w:rPr>
        <w:t>24</w:t>
      </w:r>
      <w:r>
        <w:rPr>
          <w:rFonts w:hint="eastAsia" w:ascii="宋体" w:hAnsi="宋体"/>
          <w:color w:val="auto"/>
          <w:szCs w:val="21"/>
          <w:highlight w:val="none"/>
        </w:rPr>
        <w:t>小时内送交发包人和（或）监理人签字，</w:t>
      </w:r>
      <w:r>
        <w:rPr>
          <w:rFonts w:ascii="宋体" w:hAnsi="宋体"/>
          <w:color w:val="auto"/>
          <w:szCs w:val="21"/>
          <w:highlight w:val="none"/>
        </w:rPr>
        <w:t>24</w:t>
      </w:r>
      <w:r>
        <w:rPr>
          <w:rFonts w:hint="eastAsia" w:ascii="宋体" w:hAnsi="宋体"/>
          <w:color w:val="auto"/>
          <w:szCs w:val="21"/>
          <w:highlight w:val="none"/>
        </w:rPr>
        <w:t>小时后未能签字，视为质检结果已被发包人认可。此后</w:t>
      </w:r>
      <w:r>
        <w:rPr>
          <w:rFonts w:ascii="宋体" w:hAnsi="宋体"/>
          <w:color w:val="auto"/>
          <w:szCs w:val="21"/>
          <w:highlight w:val="none"/>
        </w:rPr>
        <w:t>3</w:t>
      </w:r>
      <w:r>
        <w:rPr>
          <w:rFonts w:hint="eastAsia" w:ascii="宋体" w:hAnsi="宋体"/>
          <w:color w:val="auto"/>
          <w:szCs w:val="21"/>
          <w:highlight w:val="none"/>
        </w:rPr>
        <w:t>日内，承包人可发出视为发包人和（或）览理人已确认该质检结果的通知。</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7.5.5  重新进行质量检查。按7.5.3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7.5.6  因发包人代表和（或）监理人的指令失误，或其它非承包人原因发生的追加施工费用，由发包人承担。造成工程关键路径延误，竣工日期相应顺延。</w:t>
      </w:r>
    </w:p>
    <w:p>
      <w:pPr>
        <w:pStyle w:val="4"/>
        <w:rPr>
          <w:rFonts w:ascii="宋体" w:hAnsi="宋体"/>
          <w:color w:val="auto"/>
          <w:kern w:val="0"/>
          <w:sz w:val="21"/>
          <w:szCs w:val="21"/>
          <w:highlight w:val="none"/>
        </w:rPr>
      </w:pPr>
      <w:bookmarkStart w:id="912" w:name="_Toc419364385"/>
      <w:bookmarkStart w:id="913" w:name="_Toc491277300"/>
      <w:bookmarkStart w:id="914" w:name="_Toc419363716"/>
      <w:bookmarkStart w:id="915" w:name="_Toc419321296"/>
      <w:bookmarkStart w:id="916" w:name="_Toc433988752"/>
      <w:bookmarkStart w:id="917" w:name="_Toc419320260"/>
      <w:r>
        <w:rPr>
          <w:rFonts w:hint="eastAsia" w:ascii="宋体" w:hAnsi="宋体"/>
          <w:color w:val="auto"/>
          <w:kern w:val="0"/>
          <w:sz w:val="21"/>
          <w:szCs w:val="21"/>
          <w:highlight w:val="none"/>
        </w:rPr>
        <w:t>7.6  隐蔽工程和中间验收</w:t>
      </w:r>
      <w:bookmarkEnd w:id="912"/>
      <w:bookmarkEnd w:id="913"/>
      <w:bookmarkEnd w:id="914"/>
      <w:bookmarkEnd w:id="915"/>
      <w:bookmarkEnd w:id="916"/>
      <w:bookmarkEnd w:id="917"/>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7.6.1  隐蔽工程和中间验收。需要质检的隐蔽工程和中间验收部位的分类、部位、质检内容、质检标准、质检表格和参检方在专用条款中约定。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7.6.2  验收通知和验收。承包人对自检合格的隐蔽工程或中间验收部位，应在隐蔽工程或中间验收前的</w:t>
      </w:r>
      <w:r>
        <w:rPr>
          <w:rFonts w:ascii="宋体" w:hAnsi="宋体"/>
          <w:color w:val="auto"/>
          <w:szCs w:val="21"/>
          <w:highlight w:val="none"/>
        </w:rPr>
        <w:t>48</w:t>
      </w:r>
      <w:r>
        <w:rPr>
          <w:rFonts w:hint="eastAsia" w:ascii="宋体" w:hAnsi="宋体"/>
          <w:color w:val="auto"/>
          <w:szCs w:val="21"/>
          <w:highlight w:val="none"/>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发包人和（或）监理人在验收合格</w:t>
      </w:r>
      <w:r>
        <w:rPr>
          <w:rFonts w:ascii="宋体" w:hAnsi="宋体"/>
          <w:color w:val="auto"/>
          <w:szCs w:val="21"/>
          <w:highlight w:val="none"/>
        </w:rPr>
        <w:t>24</w:t>
      </w:r>
      <w:r>
        <w:rPr>
          <w:rFonts w:hint="eastAsia" w:ascii="宋体" w:hAnsi="宋体"/>
          <w:color w:val="auto"/>
          <w:szCs w:val="21"/>
          <w:highlight w:val="none"/>
        </w:rPr>
        <w:t>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7.6.3  未能按时参加验收。发包人和（或）监理人不能按时参加隐蔽工程或中间验收部位验收的，应在收到验收通知</w:t>
      </w:r>
      <w:r>
        <w:rPr>
          <w:rFonts w:ascii="宋体" w:hAnsi="宋体"/>
          <w:color w:val="auto"/>
          <w:szCs w:val="21"/>
          <w:highlight w:val="none"/>
        </w:rPr>
        <w:t>24</w:t>
      </w:r>
      <w:r>
        <w:rPr>
          <w:rFonts w:hint="eastAsia" w:ascii="宋体" w:hAnsi="宋体"/>
          <w:color w:val="auto"/>
          <w:szCs w:val="21"/>
          <w:highlight w:val="none"/>
        </w:rPr>
        <w:t>小时内以书面形式向承包人提出延期要求，延期不能超过</w:t>
      </w:r>
      <w:r>
        <w:rPr>
          <w:rFonts w:ascii="宋体" w:hAnsi="宋体"/>
          <w:color w:val="auto"/>
          <w:szCs w:val="21"/>
          <w:highlight w:val="none"/>
        </w:rPr>
        <w:t>48</w:t>
      </w:r>
      <w:r>
        <w:rPr>
          <w:rFonts w:hint="eastAsia" w:ascii="宋体" w:hAnsi="宋体"/>
          <w:color w:val="auto"/>
          <w:szCs w:val="21"/>
          <w:highlight w:val="none"/>
        </w:rPr>
        <w:t>小时。发包人未能按以上时间提出延期验收，又未能参加验收的，承包人可自行组织验收，其验收记录视为已被发包人、监理人认可。</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因应发包人和（或）监理人要求所进行延期验收造成关键路径延误的，竣工日期相应顺延：给承包人造成的停工、窝工损失，由发包人承担。</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7.6.4  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pPr>
        <w:pStyle w:val="4"/>
        <w:rPr>
          <w:rFonts w:ascii="宋体" w:hAnsi="宋体"/>
          <w:color w:val="auto"/>
          <w:kern w:val="0"/>
          <w:sz w:val="21"/>
          <w:szCs w:val="21"/>
          <w:highlight w:val="none"/>
        </w:rPr>
      </w:pPr>
      <w:bookmarkStart w:id="918" w:name="_Toc491277301"/>
      <w:bookmarkStart w:id="919" w:name="_Toc433988753"/>
      <w:bookmarkStart w:id="920" w:name="_Toc419321297"/>
      <w:bookmarkStart w:id="921" w:name="_Toc419364386"/>
      <w:bookmarkStart w:id="922" w:name="_Toc419363717"/>
      <w:bookmarkStart w:id="923" w:name="_Toc419320261"/>
      <w:r>
        <w:rPr>
          <w:rFonts w:hint="eastAsia" w:ascii="宋体" w:hAnsi="宋体"/>
          <w:color w:val="auto"/>
          <w:kern w:val="0"/>
          <w:sz w:val="21"/>
          <w:szCs w:val="21"/>
          <w:highlight w:val="none"/>
        </w:rPr>
        <w:t>7.7  对施工质量结果的争议</w:t>
      </w:r>
      <w:bookmarkEnd w:id="918"/>
      <w:bookmarkEnd w:id="919"/>
      <w:bookmarkEnd w:id="920"/>
      <w:bookmarkEnd w:id="921"/>
      <w:bookmarkEnd w:id="922"/>
      <w:bookmarkEnd w:id="923"/>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7.7.1  双方对施工质量结果有争议时，应首先协商解决。经协商未达成一致意见的，委托双方一致同意的具有相应资格的工程质量检测机构进行检测。</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根据检测机构的鉴定结果，责任方为承包人时，因此造成的费用增加或竣工日期延误，由承包人负责；责任方为发包人时，因此造成的费用增加由发包人承担，工程关键路径因争议受到延误的，竣工日期相应顺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7.7.2  根据检测机构的鉴定结果，合同双方均有责任时，根据各方的责任大小，协商分担发生的费用；因此造成工程关键路径延误时，商定对竣工日期的延长时间。双方对分担的费用、竣工日期延长不能达成一致时，按</w:t>
      </w:r>
      <w:r>
        <w:rPr>
          <w:rFonts w:ascii="宋体" w:hAnsi="宋体"/>
          <w:color w:val="auto"/>
          <w:szCs w:val="21"/>
          <w:highlight w:val="none"/>
        </w:rPr>
        <w:t>16.3</w:t>
      </w:r>
      <w:r>
        <w:rPr>
          <w:rFonts w:hint="eastAsia" w:ascii="宋体" w:hAnsi="宋体"/>
          <w:color w:val="auto"/>
          <w:szCs w:val="21"/>
          <w:highlight w:val="none"/>
        </w:rPr>
        <w:t>款争议和裁决的约定程序解决。</w:t>
      </w:r>
    </w:p>
    <w:p>
      <w:pPr>
        <w:pStyle w:val="4"/>
        <w:rPr>
          <w:rFonts w:ascii="宋体" w:hAnsi="宋体"/>
          <w:color w:val="auto"/>
          <w:kern w:val="0"/>
          <w:sz w:val="21"/>
          <w:szCs w:val="21"/>
          <w:highlight w:val="none"/>
        </w:rPr>
      </w:pPr>
      <w:bookmarkStart w:id="924" w:name="_Toc433988754"/>
      <w:bookmarkStart w:id="925" w:name="_Toc419364387"/>
      <w:bookmarkStart w:id="926" w:name="_Toc419321298"/>
      <w:bookmarkStart w:id="927" w:name="_Toc419363718"/>
      <w:bookmarkStart w:id="928" w:name="_Toc491277302"/>
      <w:bookmarkStart w:id="929" w:name="_Toc419320262"/>
      <w:r>
        <w:rPr>
          <w:rFonts w:hint="eastAsia" w:ascii="宋体" w:hAnsi="宋体"/>
          <w:color w:val="auto"/>
          <w:kern w:val="0"/>
          <w:sz w:val="21"/>
          <w:szCs w:val="21"/>
          <w:highlight w:val="none"/>
        </w:rPr>
        <w:t>7.8  职业健康、安全、环境保护</w:t>
      </w:r>
      <w:bookmarkEnd w:id="924"/>
      <w:bookmarkEnd w:id="925"/>
      <w:bookmarkEnd w:id="926"/>
      <w:bookmarkEnd w:id="927"/>
      <w:bookmarkEnd w:id="928"/>
      <w:bookmarkEnd w:id="929"/>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7.8.1  职业健康、安全、环境保护管理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（1）遵守有关健康、安全、环境保护的各项法律规定，是双方的义务。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职业健康、安全、环境保护管理实施计划。承包人应在现场开工前或约定的其它时间内，将职业健康、安全、环境保护管理实施计划提交给发包人。该计划的管理、实施费用包括在合同价格中。发包人应在收到该计划后</w:t>
      </w:r>
      <w:r>
        <w:rPr>
          <w:rFonts w:ascii="宋体" w:hAnsi="宋体"/>
          <w:color w:val="auto"/>
          <w:szCs w:val="21"/>
          <w:highlight w:val="none"/>
        </w:rPr>
        <w:t>15</w:t>
      </w:r>
      <w:r>
        <w:rPr>
          <w:rFonts w:hint="eastAsia" w:ascii="宋体" w:hAnsi="宋体"/>
          <w:color w:val="auto"/>
          <w:szCs w:val="21"/>
          <w:highlight w:val="none"/>
        </w:rPr>
        <w:t>日内提出建议，并于以确认。承包人应根据发包人的建议自费修正</w:t>
      </w:r>
      <w:r>
        <w:rPr>
          <w:rFonts w:ascii="宋体" w:hAnsi="宋体"/>
          <w:color w:val="auto"/>
          <w:szCs w:val="21"/>
          <w:highlight w:val="none"/>
        </w:rPr>
        <w:t>.</w:t>
      </w:r>
      <w:r>
        <w:rPr>
          <w:rFonts w:hint="eastAsia" w:ascii="宋体" w:hAnsi="宋体"/>
          <w:color w:val="auto"/>
          <w:szCs w:val="21"/>
          <w:highlight w:val="none"/>
        </w:rPr>
        <w:t>职业健康、安全、环境保护管理实施计划的提交份数和提交时间，在专用条款中约定。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（3）在承包人实施职业健康、安全、环境保护管理实施计划的过程中，发包人需要在该计划之外采取特殊措施的，按13条变更和合同价格调整的约定，作为变更处理。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（4）承包人应确保其在现场的所有雇员及其分包人的雇员都经过了足够的培训并具有经验，能够胜任职业健康、安全、环境保护管理工作。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（5）承包人应遵守所有与实施本工程和使用施工设备相关的现场职业健康、安全和环境保护的法律规定，并按规定各自办理相关手续。</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（7）承包人应配备专职工程师或管理人员，负责管理、监督、指导职工职业健康、安全保护和环境保护工作。承包人应对其分包人的行为负责。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（8）承包人应随时接受政府有关行政部门、行业机构、发包人、监理人的职业健康、安全、环境保护检查人员的监督和检查，并为此提供方便。</w:t>
      </w:r>
    </w:p>
    <w:p>
      <w:pPr>
        <w:spacing w:line="300" w:lineRule="auto"/>
        <w:ind w:firstLine="411" w:firstLineChars="196"/>
        <w:rPr>
          <w:rFonts w:ascii="宋体" w:hAnsi="宋体"/>
          <w:color w:val="auto"/>
          <w:szCs w:val="21"/>
          <w:highlight w:val="none"/>
        </w:rPr>
      </w:pPr>
      <w:r>
        <w:rPr>
          <w:rFonts w:hint="eastAsia" w:ascii="宋体" w:hAnsi="宋体"/>
          <w:color w:val="auto"/>
          <w:szCs w:val="21"/>
          <w:highlight w:val="none"/>
        </w:rPr>
        <w:t>7.8.2  现场职业健康管理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承包人</w:t>
      </w:r>
      <w:r>
        <w:rPr>
          <w:rFonts w:hint="eastAsia" w:ascii="宋体" w:hAnsi="宋体"/>
          <w:color w:val="auto"/>
          <w:szCs w:val="21"/>
          <w:highlight w:val="none"/>
        </w:rPr>
        <w:t>应遵守适用的职业健康的法律和合同约定（包括对雇用、职业健康、安全、福利等方面的规定），</w:t>
      </w:r>
      <w:r>
        <w:rPr>
          <w:rFonts w:ascii="宋体" w:hAnsi="宋体"/>
          <w:color w:val="auto"/>
          <w:szCs w:val="21"/>
          <w:highlight w:val="none"/>
        </w:rPr>
        <w:t>负责现场实施过程中</w:t>
      </w:r>
      <w:r>
        <w:rPr>
          <w:rFonts w:hint="eastAsia" w:ascii="宋体" w:hAnsi="宋体"/>
          <w:color w:val="auto"/>
          <w:szCs w:val="21"/>
          <w:highlight w:val="none"/>
        </w:rPr>
        <w:t>其人员的</w:t>
      </w:r>
      <w:r>
        <w:rPr>
          <w:rFonts w:ascii="宋体" w:hAnsi="宋体"/>
          <w:color w:val="auto"/>
          <w:szCs w:val="21"/>
          <w:highlight w:val="none"/>
        </w:rPr>
        <w:t>职业健康</w:t>
      </w:r>
      <w:r>
        <w:rPr>
          <w:rFonts w:hint="eastAsia" w:ascii="宋体" w:hAnsi="宋体"/>
          <w:color w:val="auto"/>
          <w:szCs w:val="21"/>
          <w:highlight w:val="none"/>
        </w:rPr>
        <w:t>和</w:t>
      </w:r>
      <w:r>
        <w:rPr>
          <w:rFonts w:ascii="宋体" w:hAnsi="宋体"/>
          <w:color w:val="auto"/>
          <w:szCs w:val="21"/>
          <w:highlight w:val="none"/>
        </w:rPr>
        <w:t>保护</w:t>
      </w:r>
      <w:r>
        <w:rPr>
          <w:rFonts w:hint="eastAsia" w:ascii="宋体" w:hAnsi="宋体"/>
          <w:color w:val="auto"/>
          <w:szCs w:val="21"/>
          <w:highlight w:val="none"/>
        </w:rPr>
        <w:t xml:space="preserve">。 </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（2）承包人应遵守适用的劳动法规，保护其雇员的合法休假权等合法权益，并为其现场人员提供劳动保护用品、防护器具、防暑降温用品、必要的现场食宿条件和安全生产设施。 </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（3）承包人应对其施工人员进行相关作业的职业健康知识培训、危险及危害因素交底、安全操作规程交底、采取有效措施，按有关规定提供防止人身伤害的保护用具。</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（4）承包人应在有毒有害作业区域设置警示标志和说明。发包人及其委托人员未经承包人允许、未配备相关保护器具，进入该作业区域所造成的伤害，由发包人承担责任和费用。</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（5）承包人应对有毒有害岗位进行防治检查，对不合格的防护设施、器具、搭设等及时整改，消除危害职业健康的隐患。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（6）承包人应采取卫生防疫措施，配备医务人员、急救设施，保持食堂的饮食卫生，保持住地及其周围的环境卫生，维护施工人员的健康。</w:t>
      </w:r>
    </w:p>
    <w:p>
      <w:pPr>
        <w:spacing w:line="300" w:lineRule="auto"/>
        <w:ind w:firstLine="411" w:firstLineChars="196"/>
        <w:rPr>
          <w:rFonts w:ascii="宋体" w:hAnsi="宋体"/>
          <w:color w:val="auto"/>
          <w:szCs w:val="21"/>
          <w:highlight w:val="none"/>
        </w:rPr>
      </w:pPr>
      <w:r>
        <w:rPr>
          <w:rFonts w:hint="eastAsia" w:ascii="宋体" w:hAnsi="宋体"/>
          <w:color w:val="auto"/>
          <w:szCs w:val="21"/>
          <w:highlight w:val="none"/>
        </w:rPr>
        <w:t>7.8.3  现场安全管理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pPr>
        <w:spacing w:line="300" w:lineRule="auto"/>
        <w:rPr>
          <w:rFonts w:ascii="宋体" w:hAnsi="宋体"/>
          <w:color w:val="auto"/>
          <w:szCs w:val="21"/>
          <w:highlight w:val="none"/>
        </w:rPr>
      </w:pPr>
      <w:r>
        <w:rPr>
          <w:rFonts w:hint="eastAsia" w:ascii="宋体" w:hAnsi="宋体"/>
          <w:color w:val="auto"/>
          <w:szCs w:val="21"/>
          <w:highlight w:val="none"/>
        </w:rPr>
        <w:t xml:space="preserve">     因承包人原因，违反安全施工、安全操作、竣工试验和（或）竣工后试验的有关安全规定，导致的人身伤害和财产损失，工程关键路径延误时，由承包人承担。</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（2）双方人员应遵守有关禁止通行的须知，包括禁止进入工作场地以及临近工作场地的特定区域。未能遵守此约定，造成伤害、损坏和损失的，由未能遵守此项约定的一方负责。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 xml:space="preserve"> 承包人</w:t>
      </w:r>
      <w:r>
        <w:rPr>
          <w:rFonts w:hint="eastAsia" w:ascii="宋体" w:hAnsi="宋体"/>
          <w:color w:val="auto"/>
          <w:szCs w:val="21"/>
          <w:highlight w:val="none"/>
        </w:rPr>
        <w:t>应按合同约定负责</w:t>
      </w:r>
      <w:r>
        <w:rPr>
          <w:rFonts w:ascii="宋体" w:hAnsi="宋体"/>
          <w:color w:val="auto"/>
          <w:szCs w:val="21"/>
          <w:highlight w:val="none"/>
        </w:rPr>
        <w:t>现场的安全工作，</w:t>
      </w:r>
      <w:r>
        <w:rPr>
          <w:rFonts w:hint="eastAsia" w:ascii="宋体" w:hAnsi="宋体"/>
          <w:color w:val="auto"/>
          <w:szCs w:val="21"/>
          <w:highlight w:val="none"/>
        </w:rPr>
        <w:t>包括其分包人的现场。对</w:t>
      </w:r>
      <w:r>
        <w:rPr>
          <w:rFonts w:ascii="宋体" w:hAnsi="宋体"/>
          <w:color w:val="auto"/>
          <w:szCs w:val="21"/>
          <w:highlight w:val="none"/>
        </w:rPr>
        <w:t>有条件的现场实行封闭管理</w:t>
      </w:r>
      <w:r>
        <w:rPr>
          <w:rFonts w:hint="eastAsia" w:ascii="宋体" w:hAnsi="宋体"/>
          <w:color w:val="auto"/>
          <w:szCs w:val="21"/>
          <w:highlight w:val="none"/>
        </w:rPr>
        <w:t>。应根据工程特点，在施工组织设计文件中制定相应的安全技术措施，并对专业性较强的工程部分编制专项安全施工组织设计，包括维护安全、防范危险和预防火灾等措施。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（5）承包人应对其施工人员进行安全操作培训，安全操作规程交底，采取安全防护措施，设置安全警示标志和说明，进行安全检查，消除事故隐患。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（7）承包人实施爆破、放射性、带电、毒害性及使用易燃易爆、毒害性、腐蚀性物品作业（含运输、储存、保管）时，应在施工前</w:t>
      </w:r>
      <w:r>
        <w:rPr>
          <w:rFonts w:ascii="宋体" w:hAnsi="宋体"/>
          <w:color w:val="auto"/>
          <w:szCs w:val="21"/>
          <w:highlight w:val="none"/>
        </w:rPr>
        <w:t>1</w:t>
      </w:r>
      <w:r>
        <w:rPr>
          <w:rFonts w:hint="eastAsia" w:ascii="宋体" w:hAnsi="宋体"/>
          <w:color w:val="auto"/>
          <w:szCs w:val="21"/>
          <w:highlight w:val="none"/>
        </w:rPr>
        <w:t>0日以书面形式通知发包人和（或）监理人，并提交相应的安全防护措施方案，经认可后实施。发包人和（或）监理人的认可，并不能减轻或免除承包人的责任。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7.8.4  现场的环境保护管理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（2）承包人应采取措施，并负责控制和（或）处理现场的粉尘、废气、废水、固体废物和噪声对环境的污染和危害。因此发生的伤害、赔偿、罚款等费用增加，和（或）竣工日期延误，由承包人负责。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7.8.5  事故处理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 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 对重大伤亡、重大财产、环境损害及其它安全事故，承包人应按有关规定立即上报有关部门，并立即通知发包人代表和监理人。同时，按政府有关部门的要求处理。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 合同双方对事故责任有争议时，依据16.3款争议和裁决的约定程序解决。</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 因</w:t>
      </w:r>
      <w:r>
        <w:rPr>
          <w:rFonts w:ascii="宋体" w:hAnsi="宋体"/>
          <w:color w:val="auto"/>
          <w:szCs w:val="21"/>
          <w:highlight w:val="none"/>
        </w:rPr>
        <w:t>承包人的原因致使</w:t>
      </w:r>
      <w:r>
        <w:rPr>
          <w:rFonts w:hint="eastAsia" w:ascii="宋体" w:hAnsi="宋体"/>
          <w:color w:val="auto"/>
          <w:szCs w:val="21"/>
          <w:highlight w:val="none"/>
        </w:rPr>
        <w:t>建筑</w:t>
      </w:r>
      <w:r>
        <w:rPr>
          <w:rFonts w:ascii="宋体" w:hAnsi="宋体"/>
          <w:color w:val="auto"/>
          <w:szCs w:val="21"/>
          <w:highlight w:val="none"/>
        </w:rPr>
        <w:t>工程在合理使用期限</w:t>
      </w:r>
      <w:r>
        <w:rPr>
          <w:rFonts w:hint="eastAsia" w:ascii="宋体" w:hAnsi="宋体"/>
          <w:color w:val="auto"/>
          <w:szCs w:val="21"/>
          <w:highlight w:val="none"/>
        </w:rPr>
        <w:t>、设备保证期内</w:t>
      </w:r>
      <w:r>
        <w:rPr>
          <w:rFonts w:ascii="宋体" w:hAnsi="宋体"/>
          <w:color w:val="auto"/>
          <w:szCs w:val="21"/>
          <w:highlight w:val="none"/>
        </w:rPr>
        <w:t>造成人身和财产损害的，</w:t>
      </w:r>
      <w:r>
        <w:rPr>
          <w:rFonts w:hint="eastAsia" w:ascii="宋体" w:hAnsi="宋体"/>
          <w:color w:val="auto"/>
          <w:szCs w:val="21"/>
          <w:highlight w:val="none"/>
        </w:rPr>
        <w:t>由</w:t>
      </w:r>
      <w:r>
        <w:rPr>
          <w:rFonts w:ascii="宋体" w:hAnsi="宋体"/>
          <w:color w:val="auto"/>
          <w:szCs w:val="21"/>
          <w:highlight w:val="none"/>
        </w:rPr>
        <w:t>承包人承担损害赔偿责任</w:t>
      </w:r>
      <w:r>
        <w:rPr>
          <w:rFonts w:hint="eastAsia" w:ascii="宋体" w:hAnsi="宋体"/>
          <w:color w:val="auto"/>
          <w:szCs w:val="21"/>
          <w:highlight w:val="none"/>
        </w:rPr>
        <w:t>。</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（5）因承包人原因发生员工食物中毒及职业健康事件的，承包人应承担相关责任。</w:t>
      </w:r>
    </w:p>
    <w:p>
      <w:pPr>
        <w:pStyle w:val="2"/>
        <w:rPr>
          <w:rFonts w:ascii="宋体" w:hAnsi="宋体" w:eastAsia="宋体"/>
          <w:color w:val="auto"/>
          <w:sz w:val="28"/>
          <w:szCs w:val="28"/>
          <w:highlight w:val="none"/>
        </w:rPr>
      </w:pPr>
      <w:bookmarkStart w:id="930" w:name="_Toc433988755"/>
      <w:bookmarkStart w:id="931" w:name="_Toc419364388"/>
      <w:bookmarkStart w:id="932" w:name="_Toc419363719"/>
      <w:bookmarkStart w:id="933" w:name="_Toc419320263"/>
      <w:bookmarkStart w:id="934" w:name="_Toc491277303"/>
      <w:bookmarkStart w:id="935" w:name="_Toc419321299"/>
      <w:r>
        <w:rPr>
          <w:rFonts w:hint="eastAsia" w:ascii="宋体" w:hAnsi="宋体" w:eastAsia="宋体"/>
          <w:color w:val="auto"/>
          <w:sz w:val="28"/>
          <w:szCs w:val="28"/>
          <w:highlight w:val="none"/>
        </w:rPr>
        <w:t>第</w:t>
      </w:r>
      <w:r>
        <w:rPr>
          <w:rFonts w:ascii="宋体" w:hAnsi="宋体" w:eastAsia="宋体"/>
          <w:color w:val="auto"/>
          <w:sz w:val="28"/>
          <w:szCs w:val="28"/>
          <w:highlight w:val="none"/>
        </w:rPr>
        <w:t>8</w:t>
      </w:r>
      <w:r>
        <w:rPr>
          <w:rFonts w:hint="eastAsia" w:ascii="宋体" w:hAnsi="宋体" w:eastAsia="宋体"/>
          <w:color w:val="auto"/>
          <w:sz w:val="28"/>
          <w:szCs w:val="28"/>
          <w:highlight w:val="none"/>
        </w:rPr>
        <w:t>条竣工试验</w:t>
      </w:r>
      <w:bookmarkEnd w:id="930"/>
      <w:bookmarkEnd w:id="931"/>
      <w:bookmarkEnd w:id="932"/>
      <w:bookmarkEnd w:id="933"/>
      <w:bookmarkEnd w:id="934"/>
      <w:bookmarkEnd w:id="935"/>
    </w:p>
    <w:p>
      <w:pPr>
        <w:spacing w:before="120" w:beforeLines="50" w:after="120" w:afterLines="50" w:line="300" w:lineRule="auto"/>
        <w:ind w:firstLine="420" w:firstLineChars="200"/>
        <w:rPr>
          <w:rFonts w:ascii="宋体" w:hAnsi="宋体"/>
          <w:color w:val="auto"/>
          <w:szCs w:val="21"/>
          <w:highlight w:val="none"/>
        </w:rPr>
      </w:pPr>
      <w:r>
        <w:rPr>
          <w:rFonts w:hint="eastAsia" w:ascii="宋体" w:hAnsi="宋体"/>
          <w:color w:val="auto"/>
          <w:szCs w:val="21"/>
          <w:highlight w:val="none"/>
        </w:rPr>
        <w:t>本合同工程包含竣工试验，遵守本条约定。</w:t>
      </w:r>
    </w:p>
    <w:p>
      <w:pPr>
        <w:pStyle w:val="4"/>
        <w:rPr>
          <w:rFonts w:ascii="宋体" w:hAnsi="宋体"/>
          <w:color w:val="auto"/>
          <w:kern w:val="0"/>
          <w:sz w:val="21"/>
          <w:szCs w:val="21"/>
          <w:highlight w:val="none"/>
        </w:rPr>
      </w:pPr>
      <w:bookmarkStart w:id="936" w:name="_Toc433988756"/>
      <w:bookmarkStart w:id="937" w:name="_Toc419320264"/>
      <w:bookmarkStart w:id="938" w:name="_Toc491277304"/>
      <w:bookmarkStart w:id="939" w:name="_Toc419321300"/>
      <w:bookmarkStart w:id="940" w:name="_Toc419363720"/>
      <w:bookmarkStart w:id="941" w:name="_Toc419364389"/>
      <w:r>
        <w:rPr>
          <w:rFonts w:ascii="宋体" w:hAnsi="宋体"/>
          <w:color w:val="auto"/>
          <w:kern w:val="0"/>
          <w:sz w:val="21"/>
          <w:szCs w:val="21"/>
          <w:highlight w:val="none"/>
        </w:rPr>
        <w:t>8.1</w:t>
      </w:r>
      <w:r>
        <w:rPr>
          <w:rFonts w:hint="eastAsia" w:ascii="宋体" w:hAnsi="宋体"/>
          <w:color w:val="auto"/>
          <w:kern w:val="0"/>
          <w:sz w:val="21"/>
          <w:szCs w:val="21"/>
          <w:highlight w:val="none"/>
        </w:rPr>
        <w:t xml:space="preserve">  竣工试验的义务</w:t>
      </w:r>
      <w:bookmarkEnd w:id="936"/>
      <w:bookmarkEnd w:id="937"/>
      <w:bookmarkEnd w:id="938"/>
      <w:bookmarkEnd w:id="939"/>
      <w:bookmarkEnd w:id="940"/>
      <w:bookmarkEnd w:id="941"/>
    </w:p>
    <w:p>
      <w:pPr>
        <w:spacing w:line="300" w:lineRule="auto"/>
        <w:ind w:firstLine="420" w:firstLineChars="200"/>
        <w:rPr>
          <w:rFonts w:ascii="宋体" w:hAnsi="宋体"/>
          <w:color w:val="auto"/>
          <w:szCs w:val="21"/>
          <w:highlight w:val="none"/>
        </w:rPr>
      </w:pPr>
      <w:r>
        <w:rPr>
          <w:rFonts w:ascii="宋体" w:hAnsi="宋体"/>
          <w:color w:val="auto"/>
          <w:szCs w:val="21"/>
          <w:highlight w:val="none"/>
        </w:rPr>
        <w:t>8.1.1</w:t>
      </w:r>
      <w:r>
        <w:rPr>
          <w:rFonts w:hint="eastAsia" w:ascii="宋体" w:hAnsi="宋体"/>
          <w:color w:val="auto"/>
          <w:szCs w:val="21"/>
          <w:highlight w:val="none"/>
        </w:rPr>
        <w:t xml:space="preserve">  承包人的义务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）承包人应在竣工试验开始前，根据</w:t>
      </w:r>
      <w:r>
        <w:rPr>
          <w:rFonts w:ascii="宋体" w:hAnsi="宋体"/>
          <w:color w:val="auto"/>
          <w:szCs w:val="21"/>
          <w:highlight w:val="none"/>
        </w:rPr>
        <w:t>7.6</w:t>
      </w:r>
      <w:r>
        <w:rPr>
          <w:rFonts w:hint="eastAsia" w:ascii="宋体" w:hAnsi="宋体"/>
          <w:color w:val="auto"/>
          <w:szCs w:val="21"/>
          <w:highlight w:val="none"/>
        </w:rPr>
        <w:t>款隐蔽工程和中间验收部位的约定，向发包人提交相关的质检资料及其竣工资料。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）根据第10条竣工后试验的约定，由承包人指导发包人进行竣工后试验的，承包人须完成5.4款约定的操作维修人员培训，并在竣工试验前提交5</w:t>
      </w:r>
      <w:r>
        <w:rPr>
          <w:rFonts w:ascii="宋体" w:hAnsi="宋体"/>
          <w:color w:val="auto"/>
          <w:szCs w:val="21"/>
          <w:highlight w:val="none"/>
        </w:rPr>
        <w:t>.</w:t>
      </w: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4款约定的操作维修手册。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承包人应在达到竣工试验条件20日前，将竣工试验方案提交给发包人。发包人应在10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1） 竣工试验方案编制的依据和原则；</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2） 组织机构设置、责任分工；</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3） 单项工程竣工试验的试验程序、试验条件；</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4） 单件、单体、联动试验的试验程序、试验条件；</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 xml:space="preserve">5） 竣工试验的设备、材料和部件的类别、性能标准、试验及验收格式； </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6） 水、电、动力等条件的品质和用量要求；</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7） 安全程序、安全措施及防护设施；</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8） 竣工试验的进度计划、措施方案、人力及机具计划安排；</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9） 其它。</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竣工试验方案提交的份数和提交时间，在专用条款中约定。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（5）承包人的竣工试验包括根据6.1.2款约定的由承包人提供的工程物资的竣工试验，及根据8.1.2款第（3）项发包人委托给承包人进行工程物资的竣工试验。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 承包人按照试验条件、试验程序，及5.2.3款第（3）项约定的标准、规范和数据，完成竣工试验。</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8.1.2</w:t>
      </w:r>
      <w:r>
        <w:rPr>
          <w:rFonts w:hint="eastAsia" w:ascii="宋体" w:hAnsi="宋体"/>
          <w:color w:val="auto"/>
          <w:szCs w:val="21"/>
          <w:highlight w:val="none"/>
        </w:rPr>
        <w:t xml:space="preserve">  发包人的义务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）发包人应按经发包人确认后的竣工试验方案，提供电力、水、动力及由发包人提供的消耗材料等。提供的电力、水、动力及相关消耗材料等须满足竣工试验对其品质、用量及时间的要求。</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）发包人委托承包人对根据</w:t>
      </w:r>
      <w:r>
        <w:rPr>
          <w:rFonts w:ascii="宋体" w:hAnsi="宋体"/>
          <w:color w:val="auto"/>
          <w:szCs w:val="21"/>
          <w:highlight w:val="none"/>
        </w:rPr>
        <w:t>6.1.</w:t>
      </w:r>
      <w:r>
        <w:rPr>
          <w:rFonts w:hint="eastAsia" w:ascii="宋体" w:hAnsi="宋体"/>
          <w:color w:val="auto"/>
          <w:szCs w:val="21"/>
          <w:highlight w:val="none"/>
        </w:rPr>
        <w:t>1款约定由发包人提供的工程物资进行竣工试验的服务费，已包含在合同价格中。发包人在合同实施过程中委托承包人进行竣工试验的，依据13条变更和合同价格调整的约定，作为变更处理。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承包人应按发包人提供的试验条件、试验程序对发包人根据本款第（3）项委托给承包人工程物资进行竣工试验，其试验结果须符合5.2.3款第（3）项约定的标准、规范和数据，发包人对该部分的试验结果负责。</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8.1.3</w:t>
      </w:r>
      <w:r>
        <w:rPr>
          <w:rFonts w:hint="eastAsia" w:ascii="宋体" w:hAnsi="宋体"/>
          <w:color w:val="auto"/>
          <w:szCs w:val="21"/>
          <w:highlight w:val="none"/>
        </w:rPr>
        <w:t xml:space="preserve">  竣工试验领导机构。竣工试验领导机构负责竣工试验的领导、组织和协调。承包人提供竣工试验所需的人力、机具并负责完成试验。发包人负责组织、协调、提供竣工试验方案中约定的相关条件及竣工试验的验收。</w:t>
      </w:r>
    </w:p>
    <w:p>
      <w:pPr>
        <w:pStyle w:val="4"/>
        <w:rPr>
          <w:rFonts w:ascii="宋体" w:hAnsi="宋体"/>
          <w:color w:val="auto"/>
          <w:kern w:val="0"/>
          <w:sz w:val="21"/>
          <w:szCs w:val="21"/>
          <w:highlight w:val="none"/>
        </w:rPr>
      </w:pPr>
      <w:bookmarkStart w:id="942" w:name="_Toc419320265"/>
      <w:bookmarkStart w:id="943" w:name="_Toc419321301"/>
      <w:bookmarkStart w:id="944" w:name="_Toc491277305"/>
      <w:bookmarkStart w:id="945" w:name="_Toc419364390"/>
      <w:bookmarkStart w:id="946" w:name="_Toc433988757"/>
      <w:bookmarkStart w:id="947" w:name="_Toc419363721"/>
      <w:r>
        <w:rPr>
          <w:rFonts w:hint="eastAsia" w:ascii="宋体" w:hAnsi="宋体"/>
          <w:color w:val="auto"/>
          <w:kern w:val="0"/>
          <w:sz w:val="21"/>
          <w:szCs w:val="21"/>
          <w:highlight w:val="none"/>
        </w:rPr>
        <w:t>8.2  竣工试验的检验和验收</w:t>
      </w:r>
      <w:bookmarkEnd w:id="942"/>
      <w:bookmarkEnd w:id="943"/>
      <w:bookmarkEnd w:id="944"/>
      <w:bookmarkEnd w:id="945"/>
      <w:bookmarkEnd w:id="946"/>
      <w:bookmarkEnd w:id="947"/>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8.2.1  承包人应根据5.2.3款第（3）项约定的标准、规范、数据，及8.1.1款第（4）项竣工试验方案的第5）子项的约定进行检验和验收。</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2</w:t>
      </w:r>
      <w:r>
        <w:rPr>
          <w:rFonts w:ascii="宋体" w:hAnsi="宋体"/>
          <w:color w:val="auto"/>
          <w:szCs w:val="21"/>
          <w:highlight w:val="none"/>
        </w:rPr>
        <w:t>.2</w:t>
      </w:r>
      <w:r>
        <w:rPr>
          <w:rFonts w:hint="eastAsia" w:ascii="宋体" w:hAnsi="宋体"/>
          <w:color w:val="auto"/>
          <w:szCs w:val="21"/>
          <w:highlight w:val="none"/>
        </w:rPr>
        <w:t xml:space="preserve">  承包人应在竣工试验开始前，依据8.1.1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 ，使竣工试验进度延误时，承包人应按4.1.2款的约定自费赶上。</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8.2.3  承包人应在某项竣工试验开始</w:t>
      </w:r>
      <w:r>
        <w:rPr>
          <w:rFonts w:ascii="宋体" w:hAnsi="宋体"/>
          <w:color w:val="auto"/>
          <w:szCs w:val="21"/>
          <w:highlight w:val="none"/>
        </w:rPr>
        <w:t>36</w:t>
      </w:r>
      <w:r>
        <w:rPr>
          <w:rFonts w:hint="eastAsia" w:ascii="宋体" w:hAnsi="宋体"/>
          <w:color w:val="auto"/>
          <w:szCs w:val="21"/>
          <w:highlight w:val="none"/>
        </w:rPr>
        <w:t>小时前，向发包人和（或）监理人发出通知，通知应包括试验的项目、内容、地点和验收时间。发包人和（或）监理人应在接到通知后的</w:t>
      </w:r>
      <w:r>
        <w:rPr>
          <w:rFonts w:ascii="宋体" w:hAnsi="宋体"/>
          <w:color w:val="auto"/>
          <w:szCs w:val="21"/>
          <w:highlight w:val="none"/>
        </w:rPr>
        <w:t>24</w:t>
      </w:r>
      <w:r>
        <w:rPr>
          <w:rFonts w:hint="eastAsia" w:ascii="宋体" w:hAnsi="宋体"/>
          <w:color w:val="auto"/>
          <w:szCs w:val="21"/>
          <w:highlight w:val="none"/>
        </w:rPr>
        <w:t>小时内，以书面形式作出回复，试验合格后，双方应在试验记录及验收表格上签字。</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发包人和（或）监理人在验收合格的</w:t>
      </w:r>
      <w:r>
        <w:rPr>
          <w:rFonts w:ascii="宋体" w:hAnsi="宋体"/>
          <w:color w:val="auto"/>
          <w:szCs w:val="21"/>
          <w:highlight w:val="none"/>
        </w:rPr>
        <w:t>24</w:t>
      </w:r>
      <w:r>
        <w:rPr>
          <w:rFonts w:hint="eastAsia" w:ascii="宋体" w:hAnsi="宋体"/>
          <w:color w:val="auto"/>
          <w:szCs w:val="21"/>
          <w:highlight w:val="none"/>
        </w:rPr>
        <w:t>小时后，不在试验记录和验收表格上签字，视为发包人和（或）监理人已经认可此项验收，承包人可进行隐蔽和（或）紧后作业。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验收不合格的，承包人应在发包人和（或）监理人指定的时间内修正，并通知发包人和（或）监理人重新验收。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8.2.4  发包人和（或）监理人不能按时参加试验和验收时，应在接到通知后的</w:t>
      </w:r>
      <w:r>
        <w:rPr>
          <w:rFonts w:ascii="宋体" w:hAnsi="宋体"/>
          <w:color w:val="auto"/>
          <w:szCs w:val="21"/>
          <w:highlight w:val="none"/>
        </w:rPr>
        <w:t>24</w:t>
      </w:r>
      <w:r>
        <w:rPr>
          <w:rFonts w:hint="eastAsia" w:ascii="宋体" w:hAnsi="宋体"/>
          <w:color w:val="auto"/>
          <w:szCs w:val="21"/>
          <w:highlight w:val="none"/>
        </w:rPr>
        <w:t>小时内以书面形式向承包人提出延期要求，延期不能超过</w:t>
      </w:r>
      <w:r>
        <w:rPr>
          <w:rFonts w:ascii="宋体" w:hAnsi="宋体"/>
          <w:color w:val="auto"/>
          <w:szCs w:val="21"/>
          <w:highlight w:val="none"/>
        </w:rPr>
        <w:t>24</w:t>
      </w:r>
      <w:r>
        <w:rPr>
          <w:rFonts w:hint="eastAsia" w:ascii="宋体" w:hAnsi="宋体"/>
          <w:color w:val="auto"/>
          <w:szCs w:val="21"/>
          <w:highlight w:val="none"/>
        </w:rPr>
        <w:t>小时。未能按以上时间提出延期试验，又未能参加试验和验收的，承包人可按通知的试验项目内容自行组织试验，试验结果视为经发包人和（或）监理人认可。</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8.2.5  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8.2.6  竣工试验验收日期的约定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 某项竣工试验的验收日期和时间：按该项竣工试验通过的日期和时间，作为该项竣工试验验收的日期和时间；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 单项工程竣工试验的验收日期和时间：按其中最后一项竣工试验通过的日期和时间，作为该单项工程竣工试验验收的日期和时间；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 工程的竣工试验日期和时间。按最后一个单项工程通过竣工试验的日期和时间，作为整个工程竣工试验验收的日期和时间。</w:t>
      </w:r>
    </w:p>
    <w:p>
      <w:pPr>
        <w:pStyle w:val="4"/>
        <w:rPr>
          <w:rFonts w:ascii="宋体" w:hAnsi="宋体"/>
          <w:color w:val="auto"/>
          <w:kern w:val="0"/>
          <w:sz w:val="21"/>
          <w:szCs w:val="21"/>
          <w:highlight w:val="none"/>
        </w:rPr>
      </w:pPr>
      <w:bookmarkStart w:id="948" w:name="_Toc419364391"/>
      <w:bookmarkStart w:id="949" w:name="_Toc433988758"/>
      <w:bookmarkStart w:id="950" w:name="_Toc491277306"/>
      <w:bookmarkStart w:id="951" w:name="_Toc419321302"/>
      <w:bookmarkStart w:id="952" w:name="_Toc419320266"/>
      <w:bookmarkStart w:id="953" w:name="_Toc419363722"/>
      <w:r>
        <w:rPr>
          <w:rFonts w:hint="eastAsia" w:ascii="宋体" w:hAnsi="宋体"/>
          <w:color w:val="auto"/>
          <w:kern w:val="0"/>
          <w:sz w:val="21"/>
          <w:szCs w:val="21"/>
          <w:highlight w:val="none"/>
        </w:rPr>
        <w:t>8.3  竣工试验的安全和检查</w:t>
      </w:r>
      <w:bookmarkEnd w:id="948"/>
      <w:bookmarkEnd w:id="949"/>
      <w:bookmarkEnd w:id="950"/>
      <w:bookmarkEnd w:id="951"/>
      <w:bookmarkEnd w:id="952"/>
      <w:bookmarkEnd w:id="953"/>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8.3.1  承包人应按</w:t>
      </w:r>
      <w:r>
        <w:rPr>
          <w:rFonts w:ascii="宋体" w:hAnsi="宋体"/>
          <w:color w:val="auto"/>
          <w:szCs w:val="21"/>
          <w:highlight w:val="none"/>
        </w:rPr>
        <w:t>7.</w:t>
      </w:r>
      <w:r>
        <w:rPr>
          <w:rFonts w:hint="eastAsia" w:ascii="宋体" w:hAnsi="宋体"/>
          <w:color w:val="auto"/>
          <w:szCs w:val="21"/>
          <w:highlight w:val="none"/>
        </w:rPr>
        <w:t>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8.3.2  承包人应对其人员进行竣工试验的安全培训，并对竣工试验的安全操作程序、场地环境、操作制度、应急处理措施等进行交底。</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8.3.3  发包人和（或）监理人有义务按照经确认的竣工试验安全方案中的安全规程、安全制度、安全措施等，对其管理人员和操作维修人员进行竣工试验的安全教育，自费提供参加监督、检查人员的防护设施。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4.1.2款的约定自费赶上。</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8.3.5  按</w:t>
      </w:r>
      <w:r>
        <w:rPr>
          <w:rFonts w:ascii="宋体" w:hAnsi="宋体"/>
          <w:color w:val="auto"/>
          <w:szCs w:val="21"/>
          <w:highlight w:val="none"/>
        </w:rPr>
        <w:t>8.1.3</w:t>
      </w:r>
      <w:r>
        <w:rPr>
          <w:rFonts w:hint="eastAsia" w:ascii="宋体" w:hAnsi="宋体"/>
          <w:color w:val="auto"/>
          <w:szCs w:val="21"/>
          <w:highlight w:val="none"/>
        </w:rPr>
        <w:t>款竣工试验领导机构的决定，双方密切配合开展竣工试验的组织、协调和实施工作，防止人身伤害和事故发生。</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因发包人的原因造成的事故，由发包人承担相应责任、费用和赔偿。造成工程竣工试验进度计划延误时，竣工日期相应顺延。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因承包人的原因造成的事故，由承包人承担相应责任、费用和赔偿。造成工程竣工试验进度计划延误时，承包人应按4.1.2款的约定自费赶上。</w:t>
      </w:r>
    </w:p>
    <w:p>
      <w:pPr>
        <w:pStyle w:val="4"/>
        <w:rPr>
          <w:rFonts w:ascii="宋体" w:hAnsi="宋体"/>
          <w:color w:val="auto"/>
          <w:kern w:val="0"/>
          <w:sz w:val="21"/>
          <w:szCs w:val="21"/>
          <w:highlight w:val="none"/>
        </w:rPr>
      </w:pPr>
      <w:bookmarkStart w:id="954" w:name="_Toc433988759"/>
      <w:bookmarkStart w:id="955" w:name="_Toc419364392"/>
      <w:bookmarkStart w:id="956" w:name="_Toc419321303"/>
      <w:bookmarkStart w:id="957" w:name="_Toc419363723"/>
      <w:bookmarkStart w:id="958" w:name="_Toc419320267"/>
      <w:bookmarkStart w:id="959" w:name="_Toc491277307"/>
      <w:r>
        <w:rPr>
          <w:rFonts w:hint="eastAsia" w:ascii="宋体" w:hAnsi="宋体"/>
          <w:color w:val="auto"/>
          <w:kern w:val="0"/>
          <w:sz w:val="21"/>
          <w:szCs w:val="21"/>
          <w:highlight w:val="none"/>
        </w:rPr>
        <w:t>8.4  延误的竣工试验</w:t>
      </w:r>
      <w:bookmarkEnd w:id="954"/>
      <w:bookmarkEnd w:id="955"/>
      <w:bookmarkEnd w:id="956"/>
      <w:bookmarkEnd w:id="957"/>
      <w:bookmarkEnd w:id="958"/>
      <w:bookmarkEnd w:id="959"/>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8.4.1  因承包人的原因使某项、某单项工程落后于竣工试验进度计划的，承包人按4.1.2款的约定自费采取措施，赶上竣工试验进度计划。</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8.4.2  因承包人的原因造成竣工试验延误，致使合同约定的工程竣工日期延误时，承包人应根据4.5款误期损害赔偿的约定，承包误期赔偿责任。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8.4.4  发包人未能根据</w:t>
      </w:r>
      <w:r>
        <w:rPr>
          <w:rFonts w:ascii="宋体" w:hAnsi="宋体"/>
          <w:color w:val="auto"/>
          <w:szCs w:val="21"/>
          <w:highlight w:val="none"/>
        </w:rPr>
        <w:t>8.1.2</w:t>
      </w:r>
      <w:r>
        <w:rPr>
          <w:rFonts w:hint="eastAsia" w:ascii="宋体" w:hAnsi="宋体"/>
          <w:color w:val="auto"/>
          <w:szCs w:val="21"/>
          <w:highlight w:val="none"/>
        </w:rPr>
        <w:t>款的约定履行其义务，导致承包人竣工试验延误，发包人应承担承包人因此发生的合理费用，竣工试验进度计划延误时，竣工日期相应顺延。</w:t>
      </w:r>
    </w:p>
    <w:p>
      <w:pPr>
        <w:pStyle w:val="4"/>
        <w:rPr>
          <w:rFonts w:ascii="宋体" w:hAnsi="宋体"/>
          <w:color w:val="auto"/>
          <w:kern w:val="0"/>
          <w:sz w:val="21"/>
          <w:szCs w:val="21"/>
          <w:highlight w:val="none"/>
        </w:rPr>
      </w:pPr>
      <w:bookmarkStart w:id="960" w:name="_Toc433988760"/>
      <w:bookmarkStart w:id="961" w:name="_Toc419321304"/>
      <w:bookmarkStart w:id="962" w:name="_Toc419320268"/>
      <w:bookmarkStart w:id="963" w:name="_Toc491277308"/>
      <w:bookmarkStart w:id="964" w:name="_Toc419364393"/>
      <w:bookmarkStart w:id="965" w:name="_Toc419363724"/>
      <w:r>
        <w:rPr>
          <w:rFonts w:hint="eastAsia" w:ascii="宋体" w:hAnsi="宋体"/>
          <w:color w:val="auto"/>
          <w:kern w:val="0"/>
          <w:sz w:val="21"/>
          <w:szCs w:val="21"/>
          <w:highlight w:val="none"/>
        </w:rPr>
        <w:t>8.5  重新试验和验收</w:t>
      </w:r>
      <w:bookmarkEnd w:id="960"/>
      <w:bookmarkEnd w:id="961"/>
      <w:bookmarkEnd w:id="962"/>
      <w:bookmarkEnd w:id="963"/>
      <w:bookmarkEnd w:id="964"/>
      <w:bookmarkEnd w:id="965"/>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8.5.1  承包人未能通过相关的竣工试验，可依据</w:t>
      </w:r>
      <w:r>
        <w:rPr>
          <w:rFonts w:ascii="宋体" w:hAnsi="宋体"/>
          <w:color w:val="auto"/>
          <w:szCs w:val="21"/>
          <w:highlight w:val="none"/>
        </w:rPr>
        <w:t>8.</w:t>
      </w:r>
      <w:r>
        <w:rPr>
          <w:rFonts w:hint="eastAsia" w:ascii="宋体" w:hAnsi="宋体"/>
          <w:color w:val="auto"/>
          <w:szCs w:val="21"/>
          <w:highlight w:val="none"/>
        </w:rPr>
        <w:t>1</w:t>
      </w:r>
      <w:r>
        <w:rPr>
          <w:rFonts w:ascii="宋体" w:hAnsi="宋体"/>
          <w:color w:val="auto"/>
          <w:szCs w:val="21"/>
          <w:highlight w:val="none"/>
        </w:rPr>
        <w:t>.1</w:t>
      </w:r>
      <w:r>
        <w:rPr>
          <w:rFonts w:hint="eastAsia" w:ascii="宋体" w:hAnsi="宋体"/>
          <w:color w:val="auto"/>
          <w:szCs w:val="21"/>
          <w:highlight w:val="none"/>
        </w:rPr>
        <w:t>款第（6）项的约定重新进行此项试验，并按</w:t>
      </w:r>
      <w:r>
        <w:rPr>
          <w:rFonts w:ascii="宋体" w:hAnsi="宋体"/>
          <w:color w:val="auto"/>
          <w:szCs w:val="21"/>
          <w:highlight w:val="none"/>
        </w:rPr>
        <w:t>8.</w:t>
      </w:r>
      <w:r>
        <w:rPr>
          <w:rFonts w:hint="eastAsia" w:ascii="宋体" w:hAnsi="宋体"/>
          <w:color w:val="auto"/>
          <w:szCs w:val="21"/>
          <w:highlight w:val="none"/>
        </w:rPr>
        <w:t>2款的约定进行检验和验收。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8.5.2  不论发包人和（或）监理人是否参加竣工试验和验收，承包人未能通过的竣工试验，发包人均有权通知承包人再次按8.1.1款第（6）项的约定进行此项竣工试验，并按</w:t>
      </w:r>
      <w:r>
        <w:rPr>
          <w:rFonts w:ascii="宋体" w:hAnsi="宋体"/>
          <w:color w:val="auto"/>
          <w:szCs w:val="21"/>
          <w:highlight w:val="none"/>
        </w:rPr>
        <w:t>8.</w:t>
      </w:r>
      <w:r>
        <w:rPr>
          <w:rFonts w:hint="eastAsia" w:ascii="宋体" w:hAnsi="宋体"/>
          <w:color w:val="auto"/>
          <w:szCs w:val="21"/>
          <w:highlight w:val="none"/>
        </w:rPr>
        <w:t>2款的约定进行检验和验收。</w:t>
      </w:r>
    </w:p>
    <w:p>
      <w:pPr>
        <w:pStyle w:val="4"/>
        <w:rPr>
          <w:rFonts w:ascii="宋体" w:hAnsi="宋体"/>
          <w:color w:val="auto"/>
          <w:kern w:val="0"/>
          <w:sz w:val="21"/>
          <w:szCs w:val="21"/>
          <w:highlight w:val="none"/>
        </w:rPr>
      </w:pPr>
      <w:bookmarkStart w:id="966" w:name="_Toc419364394"/>
      <w:bookmarkStart w:id="967" w:name="_Toc491277309"/>
      <w:bookmarkStart w:id="968" w:name="_Toc433988761"/>
      <w:bookmarkStart w:id="969" w:name="_Toc419363725"/>
      <w:bookmarkStart w:id="970" w:name="_Toc419321305"/>
      <w:bookmarkStart w:id="971" w:name="_Toc419320269"/>
      <w:r>
        <w:rPr>
          <w:rFonts w:hint="eastAsia" w:ascii="宋体" w:hAnsi="宋体"/>
          <w:color w:val="auto"/>
          <w:kern w:val="0"/>
          <w:sz w:val="21"/>
          <w:szCs w:val="21"/>
          <w:highlight w:val="none"/>
        </w:rPr>
        <w:t>8.6  未能通过竣工试验</w:t>
      </w:r>
      <w:bookmarkEnd w:id="966"/>
      <w:bookmarkEnd w:id="967"/>
      <w:bookmarkEnd w:id="968"/>
      <w:bookmarkEnd w:id="969"/>
      <w:bookmarkEnd w:id="970"/>
      <w:bookmarkEnd w:id="971"/>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8.6.1 因发包人的下述原因导致竣工试验未能通过的，承包人进行竣工试验的费用由发包人承担，使竣工试验进度计划延误时，竣工日期相应延长：</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 发包人未能按确认的竣工试验方案中的技术参数、时间及数量提供电力、动力、水等试验条件，导致竣工试验未能通过；</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 发包人指令承包人按发包人的竣工试验条件、试验程序和试验方法进行试验和竣工试验，导致该项竣工试验未能通过；</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 发包人对承包人竣工试验的干扰，导致竣工试验未能通过；</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 因发包人的其它原因，导致竣工试验未能通过。</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8.6.2 因承包人原因未能通过竣工试验，该项竣工试验允许再进行，但再进行最多为两次，两次试验后仍不符合验收条件的，相关费用、竣工日期及相关事项，下述约定处理：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）该项竣工试验未能通过，对该项操作或使用不存在实质影响，承包人自费修复。无法修复时，发包人有权扣减该部分的相应付款，视为通过；</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 该项竣工试验未能通过，对该单项工程未产生实质性操作和使用影响，发包人可相应扣减该单项工程的合同价款，可视为通过；若使竣工日期延误的，承包人承担误期损害赔偿责任。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）该项竣工试验未能通过，对操作或使用有实质性影响，发包人有权指令承包人更换相关部分，并进行竣工试验。发包人因此增加的费用，由承包人承担。使竣工日期延误时，承包人承担误期损害赔偿责任。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 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Pr>
          <w:rFonts w:ascii="宋体" w:hAnsi="宋体"/>
          <w:color w:val="auto"/>
          <w:szCs w:val="21"/>
          <w:highlight w:val="none"/>
        </w:rPr>
        <w:t>16.2.1</w:t>
      </w:r>
      <w:r>
        <w:rPr>
          <w:rFonts w:hint="eastAsia" w:ascii="宋体" w:hAnsi="宋体"/>
          <w:color w:val="auto"/>
          <w:szCs w:val="21"/>
          <w:highlight w:val="none"/>
        </w:rPr>
        <w:t>款发包人的索赔约定，向承包人提出索赔，或根据18</w:t>
      </w:r>
      <w:r>
        <w:rPr>
          <w:rFonts w:ascii="宋体" w:hAnsi="宋体"/>
          <w:color w:val="auto"/>
          <w:szCs w:val="21"/>
          <w:highlight w:val="none"/>
        </w:rPr>
        <w:t>.</w:t>
      </w:r>
      <w:r>
        <w:rPr>
          <w:rFonts w:hint="eastAsia" w:ascii="宋体" w:hAnsi="宋体"/>
          <w:color w:val="auto"/>
          <w:szCs w:val="21"/>
          <w:highlight w:val="none"/>
        </w:rPr>
        <w:t xml:space="preserve">1.2款第（7）项的约定，解除合同。 </w:t>
      </w:r>
    </w:p>
    <w:p>
      <w:pPr>
        <w:pStyle w:val="4"/>
        <w:rPr>
          <w:rFonts w:ascii="宋体" w:hAnsi="宋体"/>
          <w:color w:val="auto"/>
          <w:kern w:val="0"/>
          <w:sz w:val="21"/>
          <w:szCs w:val="21"/>
          <w:highlight w:val="none"/>
        </w:rPr>
      </w:pPr>
      <w:bookmarkStart w:id="972" w:name="_Toc419320270"/>
      <w:bookmarkStart w:id="973" w:name="_Toc433988762"/>
      <w:bookmarkStart w:id="974" w:name="_Toc419364395"/>
      <w:bookmarkStart w:id="975" w:name="_Toc491277310"/>
      <w:bookmarkStart w:id="976" w:name="_Toc419321306"/>
      <w:bookmarkStart w:id="977" w:name="_Toc419363726"/>
      <w:r>
        <w:rPr>
          <w:rFonts w:hint="eastAsia" w:ascii="宋体" w:hAnsi="宋体"/>
          <w:color w:val="auto"/>
          <w:kern w:val="0"/>
          <w:sz w:val="21"/>
          <w:szCs w:val="21"/>
          <w:highlight w:val="none"/>
        </w:rPr>
        <w:t>8.7  竣工试验结果的争议</w:t>
      </w:r>
      <w:bookmarkEnd w:id="972"/>
      <w:bookmarkEnd w:id="973"/>
      <w:bookmarkEnd w:id="974"/>
      <w:bookmarkEnd w:id="975"/>
      <w:bookmarkEnd w:id="976"/>
      <w:bookmarkEnd w:id="977"/>
    </w:p>
    <w:p>
      <w:pPr>
        <w:spacing w:line="360" w:lineRule="auto"/>
        <w:ind w:firstLine="420" w:firstLineChars="200"/>
        <w:rPr>
          <w:color w:val="auto"/>
          <w:highlight w:val="none"/>
        </w:rPr>
      </w:pPr>
      <w:r>
        <w:rPr>
          <w:rFonts w:hint="eastAsia"/>
          <w:color w:val="auto"/>
          <w:highlight w:val="none"/>
        </w:rPr>
        <w:t>8.7.1  协商解决。双方对竣工试验结果有争议的，应首先通过协商解决。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8.7.2  委托鉴定机构。双方经协商，对竣工试验结果仍有争议的，共同委托一个具有相应资格的检测机构进行鉴定。经检测鉴定后，按下述约定处理：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（1）责任方为承包人时，所需的鉴定费用及因此造成发包人增加的合理费用由承包人承担，竣工日期不予延长；</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（2）责任方为发包人时，所需的鉴定费用及因此造成承包人增加的合理费用由发包人承担，竣工日期相应顺延。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（3）双方均有责任时，根据责任大小协商分担费用，并按竣工试验计划的延误情况协商竣工日期延长。</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8.7.3  当双方对检测机构的鉴定结果有争议，依据16.3款争议和裁决的约定解决。</w:t>
      </w:r>
    </w:p>
    <w:p>
      <w:pPr>
        <w:pStyle w:val="2"/>
        <w:rPr>
          <w:rFonts w:ascii="宋体" w:hAnsi="宋体" w:eastAsia="宋体"/>
          <w:color w:val="auto"/>
          <w:sz w:val="28"/>
          <w:szCs w:val="28"/>
          <w:highlight w:val="none"/>
        </w:rPr>
      </w:pPr>
      <w:bookmarkStart w:id="978" w:name="_Toc491277311"/>
      <w:bookmarkStart w:id="979" w:name="_Toc419321307"/>
      <w:bookmarkStart w:id="980" w:name="_Toc419364396"/>
      <w:bookmarkStart w:id="981" w:name="_Toc433988763"/>
      <w:bookmarkStart w:id="982" w:name="_Toc419320271"/>
      <w:bookmarkStart w:id="983" w:name="_Toc419363727"/>
      <w:r>
        <w:rPr>
          <w:rFonts w:hint="eastAsia" w:ascii="宋体" w:hAnsi="宋体" w:eastAsia="宋体"/>
          <w:color w:val="auto"/>
          <w:sz w:val="28"/>
          <w:szCs w:val="28"/>
          <w:highlight w:val="none"/>
        </w:rPr>
        <w:t>第9条  工程接收</w:t>
      </w:r>
      <w:bookmarkEnd w:id="978"/>
      <w:bookmarkEnd w:id="979"/>
      <w:bookmarkEnd w:id="980"/>
      <w:bookmarkEnd w:id="981"/>
      <w:bookmarkEnd w:id="982"/>
      <w:bookmarkEnd w:id="983"/>
    </w:p>
    <w:p>
      <w:pPr>
        <w:pStyle w:val="4"/>
        <w:rPr>
          <w:rFonts w:ascii="宋体" w:hAnsi="宋体"/>
          <w:color w:val="auto"/>
          <w:kern w:val="0"/>
          <w:sz w:val="21"/>
          <w:szCs w:val="21"/>
          <w:highlight w:val="none"/>
        </w:rPr>
      </w:pPr>
      <w:bookmarkStart w:id="984" w:name="_Toc419321308"/>
      <w:bookmarkStart w:id="985" w:name="_Toc419320272"/>
      <w:bookmarkStart w:id="986" w:name="_Toc419364397"/>
      <w:bookmarkStart w:id="987" w:name="_Toc491277312"/>
      <w:bookmarkStart w:id="988" w:name="_Toc419363728"/>
      <w:bookmarkStart w:id="989" w:name="_Toc433988764"/>
      <w:r>
        <w:rPr>
          <w:rFonts w:ascii="宋体" w:hAnsi="宋体"/>
          <w:color w:val="auto"/>
          <w:kern w:val="0"/>
          <w:sz w:val="21"/>
          <w:szCs w:val="21"/>
          <w:highlight w:val="none"/>
        </w:rPr>
        <w:t>9.1</w:t>
      </w:r>
      <w:r>
        <w:rPr>
          <w:rFonts w:hint="eastAsia" w:ascii="宋体" w:hAnsi="宋体"/>
          <w:color w:val="auto"/>
          <w:kern w:val="0"/>
          <w:sz w:val="21"/>
          <w:szCs w:val="21"/>
          <w:highlight w:val="none"/>
        </w:rPr>
        <w:t xml:space="preserve">  工程接收</w:t>
      </w:r>
      <w:bookmarkEnd w:id="984"/>
      <w:bookmarkEnd w:id="985"/>
      <w:bookmarkEnd w:id="986"/>
      <w:bookmarkEnd w:id="987"/>
      <w:bookmarkEnd w:id="988"/>
      <w:bookmarkEnd w:id="989"/>
    </w:p>
    <w:p>
      <w:pPr>
        <w:spacing w:line="300" w:lineRule="auto"/>
        <w:ind w:firstLine="420" w:firstLineChars="200"/>
        <w:rPr>
          <w:rFonts w:ascii="宋体" w:hAnsi="宋体"/>
          <w:color w:val="auto"/>
          <w:szCs w:val="21"/>
          <w:highlight w:val="none"/>
        </w:rPr>
      </w:pPr>
      <w:r>
        <w:rPr>
          <w:rFonts w:ascii="宋体" w:hAnsi="宋体"/>
          <w:color w:val="auto"/>
          <w:szCs w:val="21"/>
          <w:highlight w:val="none"/>
        </w:rPr>
        <w:t>9.1.1</w:t>
      </w:r>
      <w:r>
        <w:rPr>
          <w:rFonts w:hint="eastAsia" w:ascii="宋体" w:hAnsi="宋体"/>
          <w:color w:val="auto"/>
          <w:szCs w:val="21"/>
          <w:highlight w:val="none"/>
        </w:rPr>
        <w:t xml:space="preserve">  按单项工程和（或）按工程接收。根据工程项目的具体情况和特点，在专用条款约定按单项工程和（或）按工程进行接收。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）根据第10条竣工后试验的约定，由承包人负责指导发包人进行单项工程和（或）工程竣工后试验，并承担试运行考核责任的。在专用条款中约定接收单项工程的先后顺序及时间安排，或接收工程的时间安排。</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由发包人负责单项工程和（或）工程竣工后试验及其试运行考核责任的，在专用条款中约定接收工程的日期或接收单项工程的先后顺序及时间安排。</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（2）对不存在竣工试验或竣工后试验的单项工程和（或）工程，承包人完成扫尾工程和缺陷修复，并符合合同约定的验收标准的，按合同约定办理工程接收和竣工验收。</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9.1.2</w:t>
      </w:r>
      <w:r>
        <w:rPr>
          <w:rFonts w:hint="eastAsia" w:ascii="宋体" w:hAnsi="宋体"/>
          <w:color w:val="auto"/>
          <w:szCs w:val="21"/>
          <w:highlight w:val="none"/>
        </w:rPr>
        <w:t xml:space="preserve">  接收工程时承包人提交的资料。除按8.1.1款（1）至（3）项约定已经提交的资料外，需提交竣工试验完成的验收资料的类别、内容、份数和提交时间，在专用条款中约定。</w:t>
      </w:r>
    </w:p>
    <w:p>
      <w:pPr>
        <w:pStyle w:val="4"/>
        <w:rPr>
          <w:rFonts w:ascii="宋体" w:hAnsi="宋体"/>
          <w:color w:val="auto"/>
          <w:kern w:val="0"/>
          <w:sz w:val="21"/>
          <w:szCs w:val="21"/>
          <w:highlight w:val="none"/>
        </w:rPr>
      </w:pPr>
      <w:bookmarkStart w:id="990" w:name="_Toc433988765"/>
      <w:bookmarkStart w:id="991" w:name="_Toc419364398"/>
      <w:bookmarkStart w:id="992" w:name="_Toc491277313"/>
      <w:bookmarkStart w:id="993" w:name="_Toc419320273"/>
      <w:bookmarkStart w:id="994" w:name="_Toc419363729"/>
      <w:bookmarkStart w:id="995" w:name="_Toc419321309"/>
      <w:r>
        <w:rPr>
          <w:rFonts w:ascii="宋体" w:hAnsi="宋体"/>
          <w:color w:val="auto"/>
          <w:kern w:val="0"/>
          <w:sz w:val="21"/>
          <w:szCs w:val="21"/>
          <w:highlight w:val="none"/>
        </w:rPr>
        <w:t>9.2</w:t>
      </w:r>
      <w:r>
        <w:rPr>
          <w:rFonts w:hint="eastAsia" w:ascii="宋体" w:hAnsi="宋体"/>
          <w:color w:val="auto"/>
          <w:kern w:val="0"/>
          <w:sz w:val="21"/>
          <w:szCs w:val="21"/>
          <w:highlight w:val="none"/>
        </w:rPr>
        <w:t xml:space="preserve">  接收证书</w:t>
      </w:r>
      <w:bookmarkEnd w:id="990"/>
      <w:bookmarkEnd w:id="991"/>
      <w:bookmarkEnd w:id="992"/>
      <w:bookmarkEnd w:id="993"/>
      <w:bookmarkEnd w:id="994"/>
      <w:bookmarkEnd w:id="995"/>
    </w:p>
    <w:p>
      <w:pPr>
        <w:spacing w:line="300" w:lineRule="auto"/>
        <w:ind w:firstLine="420" w:firstLineChars="200"/>
        <w:rPr>
          <w:rFonts w:ascii="宋体" w:hAnsi="宋体"/>
          <w:color w:val="auto"/>
          <w:szCs w:val="21"/>
          <w:highlight w:val="none"/>
        </w:rPr>
      </w:pPr>
      <w:r>
        <w:rPr>
          <w:rFonts w:ascii="宋体" w:hAnsi="宋体"/>
          <w:color w:val="auto"/>
          <w:szCs w:val="21"/>
          <w:highlight w:val="none"/>
        </w:rPr>
        <w:t>9.2.1</w:t>
      </w:r>
      <w:r>
        <w:rPr>
          <w:rFonts w:hint="eastAsia" w:ascii="宋体" w:hAnsi="宋体"/>
          <w:color w:val="auto"/>
          <w:szCs w:val="21"/>
          <w:highlight w:val="none"/>
        </w:rPr>
        <w:t xml:space="preserve">  承包人应在工程和（或）单项工程具备接收条件后的</w:t>
      </w:r>
      <w:r>
        <w:rPr>
          <w:rFonts w:ascii="宋体" w:hAnsi="宋体"/>
          <w:color w:val="auto"/>
          <w:szCs w:val="21"/>
          <w:highlight w:val="none"/>
        </w:rPr>
        <w:t>1</w:t>
      </w:r>
      <w:r>
        <w:rPr>
          <w:rFonts w:hint="eastAsia" w:ascii="宋体" w:hAnsi="宋体"/>
          <w:color w:val="auto"/>
          <w:szCs w:val="21"/>
          <w:highlight w:val="none"/>
        </w:rPr>
        <w:t>0日内，向发包人提交接收证书申请，发包人应在接到申请后的10日内组织接收，并签发工程和（或）单项工程接收证书。</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单项工程的接收以</w:t>
      </w:r>
      <w:r>
        <w:rPr>
          <w:rFonts w:ascii="宋体" w:hAnsi="宋体"/>
          <w:color w:val="auto"/>
          <w:szCs w:val="21"/>
          <w:highlight w:val="none"/>
        </w:rPr>
        <w:t>8.</w:t>
      </w:r>
      <w:r>
        <w:rPr>
          <w:rFonts w:hint="eastAsia" w:ascii="宋体" w:hAnsi="宋体"/>
          <w:color w:val="auto"/>
          <w:szCs w:val="21"/>
          <w:highlight w:val="none"/>
        </w:rPr>
        <w:t>2</w:t>
      </w:r>
      <w:r>
        <w:rPr>
          <w:rFonts w:ascii="宋体" w:hAnsi="宋体"/>
          <w:color w:val="auto"/>
          <w:szCs w:val="21"/>
          <w:highlight w:val="none"/>
        </w:rPr>
        <w:t>.6</w:t>
      </w:r>
      <w:r>
        <w:rPr>
          <w:rFonts w:hint="eastAsia" w:ascii="宋体" w:hAnsi="宋体"/>
          <w:color w:val="auto"/>
          <w:szCs w:val="21"/>
          <w:highlight w:val="none"/>
        </w:rPr>
        <w:t>款第（</w:t>
      </w:r>
      <w:r>
        <w:rPr>
          <w:rFonts w:ascii="宋体" w:hAnsi="宋体"/>
          <w:color w:val="auto"/>
          <w:szCs w:val="21"/>
          <w:highlight w:val="none"/>
        </w:rPr>
        <w:t>2</w:t>
      </w:r>
      <w:r>
        <w:rPr>
          <w:rFonts w:hint="eastAsia" w:ascii="宋体" w:hAnsi="宋体"/>
          <w:color w:val="auto"/>
          <w:szCs w:val="21"/>
          <w:highlight w:val="none"/>
        </w:rPr>
        <w:t>）项约定的日期，作为接收日期。</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工程的接收以</w:t>
      </w:r>
      <w:r>
        <w:rPr>
          <w:rFonts w:ascii="宋体" w:hAnsi="宋体"/>
          <w:color w:val="auto"/>
          <w:szCs w:val="21"/>
          <w:highlight w:val="none"/>
        </w:rPr>
        <w:t>8.</w:t>
      </w:r>
      <w:r>
        <w:rPr>
          <w:rFonts w:hint="eastAsia" w:ascii="宋体" w:hAnsi="宋体"/>
          <w:color w:val="auto"/>
          <w:szCs w:val="21"/>
          <w:highlight w:val="none"/>
        </w:rPr>
        <w:t>2</w:t>
      </w:r>
      <w:r>
        <w:rPr>
          <w:rFonts w:ascii="宋体" w:hAnsi="宋体"/>
          <w:color w:val="auto"/>
          <w:szCs w:val="21"/>
          <w:highlight w:val="none"/>
        </w:rPr>
        <w:t>.6</w:t>
      </w:r>
      <w:r>
        <w:rPr>
          <w:rFonts w:hint="eastAsia" w:ascii="宋体" w:hAnsi="宋体"/>
          <w:color w:val="auto"/>
          <w:szCs w:val="21"/>
          <w:highlight w:val="none"/>
        </w:rPr>
        <w:t>款第（</w:t>
      </w:r>
      <w:r>
        <w:rPr>
          <w:rFonts w:ascii="宋体" w:hAnsi="宋体"/>
          <w:color w:val="auto"/>
          <w:szCs w:val="21"/>
          <w:highlight w:val="none"/>
        </w:rPr>
        <w:t>3</w:t>
      </w:r>
      <w:r>
        <w:rPr>
          <w:rFonts w:hint="eastAsia" w:ascii="宋体" w:hAnsi="宋体"/>
          <w:color w:val="auto"/>
          <w:szCs w:val="21"/>
          <w:highlight w:val="none"/>
        </w:rPr>
        <w:t>）项约定的日期，作为接收日期。</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9.2.2</w:t>
      </w:r>
      <w:r>
        <w:rPr>
          <w:rFonts w:hint="eastAsia" w:ascii="宋体" w:hAnsi="宋体"/>
          <w:color w:val="auto"/>
          <w:szCs w:val="21"/>
          <w:highlight w:val="none"/>
        </w:rPr>
        <w:t xml:space="preserve">  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pPr>
        <w:pStyle w:val="4"/>
        <w:rPr>
          <w:rFonts w:ascii="宋体" w:hAnsi="宋体"/>
          <w:color w:val="auto"/>
          <w:kern w:val="0"/>
          <w:sz w:val="21"/>
          <w:szCs w:val="21"/>
          <w:highlight w:val="none"/>
        </w:rPr>
      </w:pPr>
      <w:bookmarkStart w:id="996" w:name="_Toc433988766"/>
      <w:bookmarkStart w:id="997" w:name="_Toc419364399"/>
      <w:bookmarkStart w:id="998" w:name="_Toc491277314"/>
      <w:bookmarkStart w:id="999" w:name="_Toc419320274"/>
      <w:bookmarkStart w:id="1000" w:name="_Toc419363730"/>
      <w:bookmarkStart w:id="1001" w:name="_Toc419321310"/>
      <w:r>
        <w:rPr>
          <w:rFonts w:ascii="宋体" w:hAnsi="宋体"/>
          <w:color w:val="auto"/>
          <w:kern w:val="0"/>
          <w:sz w:val="21"/>
          <w:szCs w:val="21"/>
          <w:highlight w:val="none"/>
        </w:rPr>
        <w:t>9.3</w:t>
      </w:r>
      <w:r>
        <w:rPr>
          <w:rFonts w:hint="eastAsia" w:ascii="宋体" w:hAnsi="宋体"/>
          <w:color w:val="auto"/>
          <w:kern w:val="0"/>
          <w:sz w:val="21"/>
          <w:szCs w:val="21"/>
          <w:highlight w:val="none"/>
        </w:rPr>
        <w:t xml:space="preserve">  接收工程的责任</w:t>
      </w:r>
      <w:bookmarkEnd w:id="996"/>
      <w:bookmarkEnd w:id="997"/>
      <w:bookmarkEnd w:id="998"/>
      <w:bookmarkEnd w:id="999"/>
      <w:bookmarkEnd w:id="1000"/>
      <w:bookmarkEnd w:id="1001"/>
    </w:p>
    <w:p>
      <w:pPr>
        <w:spacing w:line="300" w:lineRule="auto"/>
        <w:ind w:firstLine="420" w:firstLineChars="200"/>
        <w:rPr>
          <w:rFonts w:ascii="宋体" w:hAnsi="宋体"/>
          <w:color w:val="auto"/>
          <w:szCs w:val="21"/>
          <w:highlight w:val="none"/>
        </w:rPr>
      </w:pPr>
      <w:r>
        <w:rPr>
          <w:rFonts w:ascii="宋体" w:hAnsi="宋体"/>
          <w:color w:val="auto"/>
          <w:szCs w:val="21"/>
          <w:highlight w:val="none"/>
        </w:rPr>
        <w:t>9.3.1</w:t>
      </w:r>
      <w:r>
        <w:rPr>
          <w:rFonts w:hint="eastAsia" w:ascii="宋体" w:hAnsi="宋体"/>
          <w:color w:val="auto"/>
          <w:szCs w:val="21"/>
          <w:highlight w:val="none"/>
        </w:rPr>
        <w:t xml:space="preserve">  保安责任。自单项工程和（或）工程接收之日起，发包人承担其保安责任。</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9.3.2</w:t>
      </w:r>
      <w:r>
        <w:rPr>
          <w:rFonts w:hint="eastAsia" w:ascii="宋体" w:hAnsi="宋体"/>
          <w:color w:val="auto"/>
          <w:szCs w:val="21"/>
          <w:highlight w:val="none"/>
        </w:rPr>
        <w:t xml:space="preserve">  照管责任。自单项工程和（或）工程接收之日起，发包人承担其照管责任。发包人负责单项工程和（或）工程的维护、保养、维修，但不包括需由承包人完成的缺陷修复和零星扫尾的工程部位及其区域。</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9.3.3</w:t>
      </w:r>
      <w:r>
        <w:rPr>
          <w:rFonts w:hint="eastAsia" w:ascii="宋体" w:hAnsi="宋体"/>
          <w:color w:val="auto"/>
          <w:szCs w:val="21"/>
          <w:highlight w:val="none"/>
        </w:rPr>
        <w:t xml:space="preserve">  投保责任。如合同约定施工期间工程的应投保方是承包人时，承包人应负责对工程进行投保并将保险期限保持到9.2.1款约定的发包人接收工程的日期。该日期之后由发包人负责对工程投保。</w:t>
      </w:r>
    </w:p>
    <w:p>
      <w:pPr>
        <w:pStyle w:val="4"/>
        <w:rPr>
          <w:rFonts w:ascii="宋体" w:hAnsi="宋体"/>
          <w:color w:val="auto"/>
          <w:kern w:val="0"/>
          <w:sz w:val="21"/>
          <w:szCs w:val="21"/>
          <w:highlight w:val="none"/>
        </w:rPr>
      </w:pPr>
      <w:bookmarkStart w:id="1002" w:name="_Toc491277315"/>
      <w:bookmarkStart w:id="1003" w:name="_Toc419363731"/>
      <w:bookmarkStart w:id="1004" w:name="_Toc419320275"/>
      <w:bookmarkStart w:id="1005" w:name="_Toc433988767"/>
      <w:bookmarkStart w:id="1006" w:name="_Toc419364400"/>
      <w:bookmarkStart w:id="1007" w:name="_Toc419321311"/>
      <w:r>
        <w:rPr>
          <w:rFonts w:ascii="宋体" w:hAnsi="宋体"/>
          <w:color w:val="auto"/>
          <w:kern w:val="0"/>
          <w:sz w:val="21"/>
          <w:szCs w:val="21"/>
          <w:highlight w:val="none"/>
        </w:rPr>
        <w:t>9.4</w:t>
      </w:r>
      <w:r>
        <w:rPr>
          <w:rFonts w:hint="eastAsia" w:ascii="宋体" w:hAnsi="宋体"/>
          <w:color w:val="auto"/>
          <w:kern w:val="0"/>
          <w:sz w:val="21"/>
          <w:szCs w:val="21"/>
          <w:highlight w:val="none"/>
        </w:rPr>
        <w:t xml:space="preserve">  未能接收工程</w:t>
      </w:r>
      <w:bookmarkEnd w:id="1002"/>
      <w:bookmarkEnd w:id="1003"/>
      <w:bookmarkEnd w:id="1004"/>
      <w:bookmarkEnd w:id="1005"/>
      <w:bookmarkEnd w:id="1006"/>
      <w:bookmarkEnd w:id="1007"/>
    </w:p>
    <w:p>
      <w:pPr>
        <w:spacing w:line="300" w:lineRule="auto"/>
        <w:ind w:firstLine="420" w:firstLineChars="200"/>
        <w:rPr>
          <w:rFonts w:ascii="宋体" w:hAnsi="宋体"/>
          <w:color w:val="auto"/>
          <w:szCs w:val="21"/>
          <w:highlight w:val="none"/>
        </w:rPr>
      </w:pPr>
      <w:r>
        <w:rPr>
          <w:rFonts w:ascii="宋体" w:hAnsi="宋体"/>
          <w:color w:val="auto"/>
          <w:szCs w:val="21"/>
          <w:highlight w:val="none"/>
        </w:rPr>
        <w:t>9.4.1</w:t>
      </w:r>
      <w:r>
        <w:rPr>
          <w:rFonts w:hint="eastAsia" w:ascii="宋体" w:hAnsi="宋体"/>
          <w:color w:val="auto"/>
          <w:szCs w:val="21"/>
          <w:highlight w:val="none"/>
        </w:rPr>
        <w:t xml:space="preserve">  不接收工程。如发包人收到承包人送交的单项工程和（或）工程接收证书申请后的</w:t>
      </w:r>
      <w:r>
        <w:rPr>
          <w:rFonts w:ascii="宋体" w:hAnsi="宋体"/>
          <w:color w:val="auto"/>
          <w:szCs w:val="21"/>
          <w:highlight w:val="none"/>
        </w:rPr>
        <w:t>15</w:t>
      </w:r>
      <w:r>
        <w:rPr>
          <w:rFonts w:hint="eastAsia" w:ascii="宋体" w:hAnsi="宋体"/>
          <w:color w:val="auto"/>
          <w:szCs w:val="21"/>
          <w:highlight w:val="none"/>
        </w:rPr>
        <w:t>日内不组织接收，视为单项工程、和（或）工程的接收证书申请已被发包人认可。从第</w:t>
      </w:r>
      <w:r>
        <w:rPr>
          <w:rFonts w:ascii="宋体" w:hAnsi="宋体"/>
          <w:color w:val="auto"/>
          <w:szCs w:val="21"/>
          <w:highlight w:val="none"/>
        </w:rPr>
        <w:t>16</w:t>
      </w:r>
      <w:r>
        <w:rPr>
          <w:rFonts w:hint="eastAsia" w:ascii="宋体" w:hAnsi="宋体"/>
          <w:color w:val="auto"/>
          <w:szCs w:val="21"/>
          <w:highlight w:val="none"/>
        </w:rPr>
        <w:t>日起，发包人应根据9.3款的约定承担相关责任。</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9.4.2</w:t>
      </w:r>
      <w:r>
        <w:rPr>
          <w:rFonts w:hint="eastAsia" w:ascii="宋体" w:hAnsi="宋体"/>
          <w:color w:val="auto"/>
          <w:szCs w:val="21"/>
          <w:highlight w:val="none"/>
        </w:rPr>
        <w:t xml:space="preserve">  未按约定接收工程。承包人未按约定提交单项工程和（或）工程接收证书申请的、或未符合单项工程或工程接收条件的，发包人有权拒绝接收单项工程和（或）工程。</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发包人未能遵守本款约定，使用或强令接收不符合接受条件的单项工程和（或）工程的，将承担</w:t>
      </w:r>
      <w:r>
        <w:rPr>
          <w:rFonts w:ascii="宋体" w:hAnsi="宋体"/>
          <w:color w:val="auto"/>
          <w:szCs w:val="21"/>
          <w:highlight w:val="none"/>
        </w:rPr>
        <w:t>9.3</w:t>
      </w:r>
      <w:r>
        <w:rPr>
          <w:rFonts w:hint="eastAsia" w:ascii="宋体" w:hAnsi="宋体"/>
          <w:color w:val="auto"/>
          <w:szCs w:val="21"/>
          <w:highlight w:val="none"/>
        </w:rPr>
        <w:t>款接收工程约定的相关责任，以及已被使用或强令接收的单项工程和（或）工程后进行操作、使用等所造成的损失、损坏、损害和（或）赔偿责任。</w:t>
      </w:r>
    </w:p>
    <w:p>
      <w:pPr>
        <w:pStyle w:val="2"/>
        <w:rPr>
          <w:rFonts w:ascii="宋体" w:hAnsi="宋体" w:eastAsia="宋体"/>
          <w:color w:val="auto"/>
          <w:sz w:val="28"/>
          <w:szCs w:val="28"/>
          <w:highlight w:val="none"/>
        </w:rPr>
      </w:pPr>
      <w:bookmarkStart w:id="1008" w:name="_Toc419321312"/>
      <w:bookmarkStart w:id="1009" w:name="_Toc491277316"/>
      <w:bookmarkStart w:id="1010" w:name="_Toc419320276"/>
      <w:bookmarkStart w:id="1011" w:name="_Toc419364401"/>
      <w:bookmarkStart w:id="1012" w:name="_Toc419363732"/>
      <w:bookmarkStart w:id="1013" w:name="_Toc433988768"/>
      <w:r>
        <w:rPr>
          <w:rFonts w:hint="eastAsia" w:ascii="宋体" w:hAnsi="宋体" w:eastAsia="宋体"/>
          <w:color w:val="auto"/>
          <w:sz w:val="28"/>
          <w:szCs w:val="28"/>
          <w:highlight w:val="none"/>
        </w:rPr>
        <w:t>第</w:t>
      </w:r>
      <w:r>
        <w:rPr>
          <w:rFonts w:ascii="宋体" w:hAnsi="宋体" w:eastAsia="宋体"/>
          <w:color w:val="auto"/>
          <w:sz w:val="28"/>
          <w:szCs w:val="28"/>
          <w:highlight w:val="none"/>
        </w:rPr>
        <w:t>10</w:t>
      </w:r>
      <w:r>
        <w:rPr>
          <w:rFonts w:hint="eastAsia" w:ascii="宋体" w:hAnsi="宋体" w:eastAsia="宋体"/>
          <w:color w:val="auto"/>
          <w:sz w:val="28"/>
          <w:szCs w:val="28"/>
          <w:highlight w:val="none"/>
        </w:rPr>
        <w:t>条竣工后试验</w:t>
      </w:r>
      <w:bookmarkEnd w:id="1008"/>
      <w:bookmarkEnd w:id="1009"/>
      <w:bookmarkEnd w:id="1010"/>
      <w:bookmarkEnd w:id="1011"/>
      <w:bookmarkEnd w:id="1012"/>
      <w:bookmarkEnd w:id="1013"/>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本合同工程包含竣工后试验的，遵守本条约定。</w:t>
      </w:r>
    </w:p>
    <w:p>
      <w:pPr>
        <w:pStyle w:val="4"/>
        <w:rPr>
          <w:rFonts w:ascii="宋体" w:hAnsi="宋体"/>
          <w:color w:val="auto"/>
          <w:kern w:val="0"/>
          <w:sz w:val="21"/>
          <w:szCs w:val="21"/>
          <w:highlight w:val="none"/>
        </w:rPr>
      </w:pPr>
      <w:bookmarkStart w:id="1014" w:name="_Toc419320277"/>
      <w:bookmarkStart w:id="1015" w:name="_Toc419363733"/>
      <w:bookmarkStart w:id="1016" w:name="_Toc433988769"/>
      <w:bookmarkStart w:id="1017" w:name="_Toc419364402"/>
      <w:bookmarkStart w:id="1018" w:name="_Toc491277317"/>
      <w:bookmarkStart w:id="1019" w:name="_Toc419321313"/>
      <w:r>
        <w:rPr>
          <w:rFonts w:ascii="宋体" w:hAnsi="宋体"/>
          <w:color w:val="auto"/>
          <w:kern w:val="0"/>
          <w:sz w:val="21"/>
          <w:szCs w:val="21"/>
          <w:highlight w:val="none"/>
        </w:rPr>
        <w:t>10.</w:t>
      </w:r>
      <w:r>
        <w:rPr>
          <w:rFonts w:hint="eastAsia" w:ascii="宋体" w:hAnsi="宋体"/>
          <w:color w:val="auto"/>
          <w:kern w:val="0"/>
          <w:sz w:val="21"/>
          <w:szCs w:val="21"/>
          <w:highlight w:val="none"/>
        </w:rPr>
        <w:t>1  权力与义务</w:t>
      </w:r>
      <w:bookmarkEnd w:id="1014"/>
      <w:bookmarkEnd w:id="1015"/>
      <w:bookmarkEnd w:id="1016"/>
      <w:bookmarkEnd w:id="1017"/>
      <w:bookmarkEnd w:id="1018"/>
      <w:bookmarkEnd w:id="1019"/>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10.1.1  发包人的权利与义务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（1）发包人有权对第10.1.2款第（2）项约定的由承包人协助发包人编制的竣工后试验方案进行审查并批准，发包人的批准并不能减轻或免除承包人的合同责任。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（3）发包人对承包人根据10.1.2款第（4）项提出的建议，有权向承包人发出不接受或接受的通知。</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发包人未能接受承包人的上述建议，承包人有义务扔按本款第（2）项的组织安排执行。承包人因执行发包人的此项安排而发生事故、人身伤害和工程损害时，由发包人承担其责任。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（4）发包人在竣工后试验阶段向承包人发出的组织安排、指令和通知，应以书面形式送达承包人的项目经理，由项目经理在回执上签署收到日期、时间和签名。</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指令再以书面送达承包人的项目经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（6）发包人在竣工后试验阶段的其它义务和工作，在专用条款中约定。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10.1.2  承包人的责任和义务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 承包人在发包人组建的竣工后试验联合协调领导机构的统一安排下，派出具有相应资格和经验的人员指导竣工后试验。承包人派出的开车经理或指导人员在竣工后试验期间开现场，必须事先得到发包人批准。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 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 因承包人未能执行发包人的安排、指令和通知，而发生的事故、人身伤害和工程损害，由发包人承担其责任。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（4）承包人有义务对发包人的组织安排、指令和通知提出建议，并说明因由。</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（5）在紧急情况下，发包人以口头指令承包人进行的操作、工作及作业，承包人应立即执行。承包人应对此项指令做好记录，并做好实施的记录。发包人应在12小时内，将上述口头指令再以书面形式送达承包人。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承包人因执行发包人的口头指令而发生事故责任、人身伤害、工程损害和费用增加时，由发包人承担。但承包人错误执行上述口头指令而发生事故责任、人身伤害、工程损害和费用增加时，由承包人负责。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 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 承包人根据合同约定和（或）行业规定，在竣工后试验阶段的其它义务和工作，在专用条款中约定。</w:t>
      </w:r>
    </w:p>
    <w:p>
      <w:pPr>
        <w:pStyle w:val="4"/>
        <w:rPr>
          <w:rFonts w:ascii="宋体" w:hAnsi="宋体"/>
          <w:color w:val="auto"/>
          <w:kern w:val="0"/>
          <w:sz w:val="21"/>
          <w:szCs w:val="21"/>
          <w:highlight w:val="none"/>
        </w:rPr>
      </w:pPr>
      <w:bookmarkStart w:id="1020" w:name="_Toc419363734"/>
      <w:bookmarkStart w:id="1021" w:name="_Toc491277318"/>
      <w:bookmarkStart w:id="1022" w:name="_Toc419320278"/>
      <w:bookmarkStart w:id="1023" w:name="_Toc433988770"/>
      <w:bookmarkStart w:id="1024" w:name="_Toc419321314"/>
      <w:bookmarkStart w:id="1025" w:name="_Toc419364403"/>
      <w:r>
        <w:rPr>
          <w:rFonts w:ascii="宋体" w:hAnsi="宋体"/>
          <w:color w:val="auto"/>
          <w:kern w:val="0"/>
          <w:sz w:val="21"/>
          <w:szCs w:val="21"/>
          <w:highlight w:val="none"/>
        </w:rPr>
        <w:t>10.2</w:t>
      </w:r>
      <w:r>
        <w:rPr>
          <w:rFonts w:hint="eastAsia" w:ascii="宋体" w:hAnsi="宋体"/>
          <w:color w:val="auto"/>
          <w:kern w:val="0"/>
          <w:sz w:val="21"/>
          <w:szCs w:val="21"/>
          <w:highlight w:val="none"/>
        </w:rPr>
        <w:t xml:space="preserve">  竣工后试验程序</w:t>
      </w:r>
      <w:bookmarkEnd w:id="1020"/>
      <w:bookmarkEnd w:id="1021"/>
      <w:bookmarkEnd w:id="1022"/>
      <w:bookmarkEnd w:id="1023"/>
      <w:bookmarkEnd w:id="1024"/>
      <w:bookmarkEnd w:id="1025"/>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10.2.1  发包人应根据联合协调领导机构批准的竣工后试验方案，提供全部电力、水、燃料、动力、原材料、辅助材料、消耗材料以及其它试验条件，并组织安排其管理人员、操作维修人员和其它各项准备工作。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10.2.2  承包人应根据经批准的竣工后试验方案，提供竣工后试验所需要的其它临时辅助设备、设施、工具和器具，及应由承包人完成的其它准备工作。</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10.2.3</w:t>
      </w:r>
      <w:r>
        <w:rPr>
          <w:rFonts w:hint="eastAsia" w:ascii="宋体" w:hAnsi="宋体"/>
          <w:color w:val="auto"/>
          <w:szCs w:val="21"/>
          <w:highlight w:val="none"/>
        </w:rPr>
        <w:t xml:space="preserve">  发包人应根据批准的竣工后试验方案，按照单项工程内的任何部分、单项工程、单项工程之间、或（和）工程的竣工后试验程序和试验条件，组织竣工后试验。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10.2.4  联合协调领导机构组织全面检查并落实工程、单项工程及工程的任何部分竣工后试验所需要的资源条件、试验条件、安全设施条件、消防设施条件、紧急事故处理设施条件和（或）相关措施，保证记录仪器、专用记录表格的齐全和数量的充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10.2.5  竣工后试验日期的通知。发包人应在接收单项工程或（和）接收工程日期后的15日内通知承包人开始竣工后试验的日期。专用条款另有约定时除外。</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因发包人原因未能在接收单项工程和（或）工程的20日内，或在专用条款中约定的日期内进行竣工后试验，发包人应自第</w:t>
      </w:r>
      <w:r>
        <w:rPr>
          <w:rFonts w:ascii="宋体" w:hAnsi="宋体"/>
          <w:color w:val="auto"/>
          <w:szCs w:val="21"/>
          <w:highlight w:val="none"/>
        </w:rPr>
        <w:t>21</w:t>
      </w:r>
      <w:r>
        <w:rPr>
          <w:rFonts w:hint="eastAsia" w:ascii="宋体" w:hAnsi="宋体"/>
          <w:color w:val="auto"/>
          <w:szCs w:val="21"/>
          <w:highlight w:val="none"/>
        </w:rPr>
        <w:t>日开始或自专用条款中约定的开始日期后的第二日开始，承担承包人由此发生的相关窝工费用，包括人工费、临时辅助设备、设施的闲置费、管理费及其合理利润。</w:t>
      </w:r>
    </w:p>
    <w:p>
      <w:pPr>
        <w:pStyle w:val="4"/>
        <w:rPr>
          <w:rFonts w:ascii="宋体" w:hAnsi="宋体"/>
          <w:color w:val="auto"/>
          <w:kern w:val="0"/>
          <w:sz w:val="21"/>
          <w:szCs w:val="21"/>
          <w:highlight w:val="none"/>
        </w:rPr>
      </w:pPr>
      <w:bookmarkStart w:id="1026" w:name="_Toc419364404"/>
      <w:bookmarkStart w:id="1027" w:name="_Toc491277319"/>
      <w:bookmarkStart w:id="1028" w:name="_Toc419363735"/>
      <w:bookmarkStart w:id="1029" w:name="_Toc419321315"/>
      <w:bookmarkStart w:id="1030" w:name="_Toc433988771"/>
      <w:bookmarkStart w:id="1031" w:name="_Toc419320279"/>
      <w:r>
        <w:rPr>
          <w:rFonts w:ascii="宋体" w:hAnsi="宋体"/>
          <w:color w:val="auto"/>
          <w:kern w:val="0"/>
          <w:sz w:val="21"/>
          <w:szCs w:val="21"/>
          <w:highlight w:val="none"/>
        </w:rPr>
        <w:t>10.</w:t>
      </w:r>
      <w:r>
        <w:rPr>
          <w:rFonts w:hint="eastAsia" w:ascii="宋体" w:hAnsi="宋体"/>
          <w:color w:val="auto"/>
          <w:kern w:val="0"/>
          <w:sz w:val="21"/>
          <w:szCs w:val="21"/>
          <w:highlight w:val="none"/>
        </w:rPr>
        <w:t>3  竣工后试验及试运行考核</w:t>
      </w:r>
      <w:bookmarkEnd w:id="1026"/>
      <w:bookmarkEnd w:id="1027"/>
      <w:bookmarkEnd w:id="1028"/>
      <w:bookmarkEnd w:id="1029"/>
      <w:bookmarkEnd w:id="1030"/>
      <w:bookmarkEnd w:id="1031"/>
    </w:p>
    <w:p>
      <w:pPr>
        <w:spacing w:line="300" w:lineRule="auto"/>
        <w:ind w:firstLine="420" w:firstLineChars="200"/>
        <w:rPr>
          <w:rFonts w:ascii="宋体" w:hAnsi="宋体"/>
          <w:color w:val="auto"/>
          <w:szCs w:val="21"/>
          <w:highlight w:val="none"/>
        </w:rPr>
      </w:pPr>
      <w:r>
        <w:rPr>
          <w:rFonts w:ascii="宋体" w:hAnsi="宋体"/>
          <w:color w:val="auto"/>
          <w:szCs w:val="21"/>
          <w:highlight w:val="none"/>
        </w:rPr>
        <w:t>10.3.1</w:t>
      </w:r>
      <w:r>
        <w:rPr>
          <w:rFonts w:hint="eastAsia" w:ascii="宋体" w:hAnsi="宋体"/>
          <w:color w:val="auto"/>
          <w:szCs w:val="21"/>
          <w:highlight w:val="none"/>
        </w:rPr>
        <w:t xml:space="preserve">  按照批准的竣工后试验方案的试验程序、试验条件、操作程序进行试验，达到合同约定的工程和（或）单项工程的生产功能和（或）使用功能。</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10.3.2</w:t>
      </w:r>
      <w:r>
        <w:rPr>
          <w:rFonts w:hint="eastAsia" w:ascii="宋体" w:hAnsi="宋体"/>
          <w:color w:val="auto"/>
          <w:szCs w:val="21"/>
          <w:highlight w:val="none"/>
        </w:rPr>
        <w:t xml:space="preserve">  发包人的操作人员和承包人的指导人员，在竣工后试验过程中的同一个岗位上的试验条件记录、试验记录及表格上，应如实填写数据、条件、情况、时间、姓名及约定的其它内容。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10.3.3  试运行考核</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（1）根据5.1.1款约定，由承包人提供生产工艺技术和（或）建筑设计方案的，承包人应保证工程在试运行考核周期内，达到5.1.1款专用条款中约定的考核保证值和（或）使用功能。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（2）根据5.1.2款约定，由发包人提供生产工艺技术和（或）建筑设计方案的，承包人应保证在试运行考核周期内达到5.1.2款专用条款中约定的，应由承包人承担的工程相关部分的考核保证值和（或）使用功能。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（3）试运行考核的时间周期由双方根据相关行业对试运行考核周期的规定，在专用条款中约定。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（4）试运行考核通过后或使用功能通过后，双方应共同整理竣工后试验及其试运行考核结果，并编写评价报告。报告一式两份，经合同双方签字或盖章后各持一份，作为本合同组成部分。发包人并应根据</w:t>
      </w:r>
      <w:r>
        <w:rPr>
          <w:rFonts w:ascii="宋体" w:hAnsi="宋体"/>
          <w:color w:val="auto"/>
          <w:szCs w:val="21"/>
          <w:highlight w:val="none"/>
        </w:rPr>
        <w:t>10.7</w:t>
      </w:r>
      <w:r>
        <w:rPr>
          <w:rFonts w:hint="eastAsia" w:ascii="宋体" w:hAnsi="宋体"/>
          <w:color w:val="auto"/>
          <w:szCs w:val="21"/>
          <w:highlight w:val="none"/>
        </w:rPr>
        <w:t>款的约定颁发考核验收证书。</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10.3.4  产品和（或）服务收益的所有权。单项工程和（或）工程竣工后试验及试运行考核期间的任何产品收益和（或）服务收益，均属发包人所有。</w:t>
      </w:r>
    </w:p>
    <w:p>
      <w:pPr>
        <w:pStyle w:val="4"/>
        <w:rPr>
          <w:rFonts w:ascii="宋体" w:hAnsi="宋体"/>
          <w:color w:val="auto"/>
          <w:kern w:val="0"/>
          <w:sz w:val="21"/>
          <w:szCs w:val="21"/>
          <w:highlight w:val="none"/>
        </w:rPr>
      </w:pPr>
      <w:bookmarkStart w:id="1032" w:name="_Toc419363736"/>
      <w:bookmarkStart w:id="1033" w:name="_Toc419321316"/>
      <w:bookmarkStart w:id="1034" w:name="_Toc491277320"/>
      <w:bookmarkStart w:id="1035" w:name="_Toc433988772"/>
      <w:bookmarkStart w:id="1036" w:name="_Toc419364405"/>
      <w:bookmarkStart w:id="1037" w:name="_Toc419320280"/>
      <w:r>
        <w:rPr>
          <w:rFonts w:ascii="宋体" w:hAnsi="宋体"/>
          <w:color w:val="auto"/>
          <w:kern w:val="0"/>
          <w:sz w:val="21"/>
          <w:szCs w:val="21"/>
          <w:highlight w:val="none"/>
        </w:rPr>
        <w:t>10.</w:t>
      </w:r>
      <w:r>
        <w:rPr>
          <w:rFonts w:hint="eastAsia" w:ascii="宋体" w:hAnsi="宋体"/>
          <w:color w:val="auto"/>
          <w:kern w:val="0"/>
          <w:sz w:val="21"/>
          <w:szCs w:val="21"/>
          <w:highlight w:val="none"/>
        </w:rPr>
        <w:t>4  竣工后试验的延误</w:t>
      </w:r>
      <w:bookmarkEnd w:id="1032"/>
      <w:bookmarkEnd w:id="1033"/>
      <w:bookmarkEnd w:id="1034"/>
      <w:bookmarkEnd w:id="1035"/>
      <w:bookmarkEnd w:id="1036"/>
      <w:bookmarkEnd w:id="1037"/>
    </w:p>
    <w:p>
      <w:pPr>
        <w:spacing w:line="300" w:lineRule="auto"/>
        <w:ind w:firstLine="420" w:firstLineChars="200"/>
        <w:rPr>
          <w:rFonts w:ascii="宋体" w:hAnsi="宋体"/>
          <w:color w:val="auto"/>
          <w:szCs w:val="21"/>
          <w:highlight w:val="none"/>
        </w:rPr>
      </w:pPr>
      <w:r>
        <w:rPr>
          <w:rFonts w:ascii="宋体" w:hAnsi="宋体"/>
          <w:color w:val="auto"/>
          <w:szCs w:val="21"/>
          <w:highlight w:val="none"/>
        </w:rPr>
        <w:t>10.4.1</w:t>
      </w:r>
      <w:r>
        <w:rPr>
          <w:rFonts w:hint="eastAsia" w:ascii="宋体" w:hAnsi="宋体"/>
          <w:color w:val="auto"/>
          <w:szCs w:val="21"/>
          <w:highlight w:val="none"/>
        </w:rPr>
        <w:t xml:space="preserve">  根据10.2.5款竣工后试验日期通知的约定，非因承包人原因，发包人未能在发出竣工后试验通知后的90日内开始竣工后试验的，工程和（或）单项工程视为通过了竣工后试验和试运行考核。除非专用条款另有规定。</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10.4.2</w:t>
      </w:r>
      <w:r>
        <w:rPr>
          <w:rFonts w:hint="eastAsia" w:ascii="宋体" w:hAnsi="宋体"/>
          <w:color w:val="auto"/>
          <w:szCs w:val="21"/>
          <w:highlight w:val="none"/>
        </w:rPr>
        <w:t xml:space="preserve">  因承包人的原因造成竣工后试验延误时，承包人应采取措施，尽快组织，配合发包人开始并通过竣工后试验。当延误造成发包人的费用增加时，发包人有权根据16.2.1款的约定向承包人提出索赔。</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10.4.3  按10.3.3款第（3）项试运行考核时间周期的约定，在试运行考核期间，因发包人原因导致考核中断或停止，且中断或停止的累计天数超过第10.3.3款第（3）项专用条款中约定的试运行考核周期时，试运行考核应在中断或停止后的60日内重新开始，超过此期限视为单项工程和（或）工程已通过了试运行考核。</w:t>
      </w:r>
    </w:p>
    <w:p>
      <w:pPr>
        <w:pStyle w:val="4"/>
        <w:rPr>
          <w:rFonts w:ascii="宋体" w:hAnsi="宋体"/>
          <w:color w:val="auto"/>
          <w:kern w:val="0"/>
          <w:sz w:val="21"/>
          <w:szCs w:val="21"/>
          <w:highlight w:val="none"/>
        </w:rPr>
      </w:pPr>
      <w:bookmarkStart w:id="1038" w:name="_Toc419320281"/>
      <w:bookmarkStart w:id="1039" w:name="_Toc433988773"/>
      <w:bookmarkStart w:id="1040" w:name="_Toc419321317"/>
      <w:bookmarkStart w:id="1041" w:name="_Toc491277321"/>
      <w:bookmarkStart w:id="1042" w:name="_Toc419363737"/>
      <w:bookmarkStart w:id="1043" w:name="_Toc419364406"/>
      <w:r>
        <w:rPr>
          <w:rFonts w:ascii="宋体" w:hAnsi="宋体"/>
          <w:color w:val="auto"/>
          <w:kern w:val="0"/>
          <w:sz w:val="21"/>
          <w:szCs w:val="21"/>
          <w:highlight w:val="none"/>
        </w:rPr>
        <w:t>10.</w:t>
      </w:r>
      <w:r>
        <w:rPr>
          <w:rFonts w:hint="eastAsia" w:ascii="宋体" w:hAnsi="宋体"/>
          <w:color w:val="auto"/>
          <w:kern w:val="0"/>
          <w:sz w:val="21"/>
          <w:szCs w:val="21"/>
          <w:highlight w:val="none"/>
        </w:rPr>
        <w:t>5  重新进行竣工后试验</w:t>
      </w:r>
      <w:bookmarkEnd w:id="1038"/>
      <w:bookmarkEnd w:id="1039"/>
      <w:bookmarkEnd w:id="1040"/>
      <w:bookmarkEnd w:id="1041"/>
      <w:bookmarkEnd w:id="1042"/>
      <w:bookmarkEnd w:id="1043"/>
    </w:p>
    <w:p>
      <w:pPr>
        <w:spacing w:line="300" w:lineRule="auto"/>
        <w:ind w:firstLine="420" w:firstLineChars="200"/>
        <w:rPr>
          <w:rFonts w:ascii="宋体" w:hAnsi="宋体"/>
          <w:color w:val="auto"/>
          <w:szCs w:val="21"/>
          <w:highlight w:val="none"/>
        </w:rPr>
      </w:pPr>
      <w:r>
        <w:rPr>
          <w:rFonts w:ascii="宋体" w:hAnsi="宋体"/>
          <w:color w:val="auto"/>
          <w:szCs w:val="21"/>
          <w:highlight w:val="none"/>
        </w:rPr>
        <w:t>10.5.1</w:t>
      </w:r>
      <w:r>
        <w:rPr>
          <w:rFonts w:hint="eastAsia" w:ascii="宋体" w:hAnsi="宋体"/>
          <w:color w:val="auto"/>
          <w:szCs w:val="21"/>
          <w:highlight w:val="none"/>
        </w:rPr>
        <w:t xml:space="preserve">  根据5.1.1款或5.1.2款及其专用条款中的约定，因承包人原因导致工程、单项工程或工程的任何部分未能通过竣工后试验，承包人应自费修补其缺陷，由发包人依据第</w:t>
      </w:r>
      <w:r>
        <w:rPr>
          <w:rFonts w:ascii="宋体" w:hAnsi="宋体"/>
          <w:color w:val="auto"/>
          <w:szCs w:val="21"/>
          <w:highlight w:val="none"/>
        </w:rPr>
        <w:t>10.2.3</w:t>
      </w:r>
      <w:r>
        <w:rPr>
          <w:rFonts w:hint="eastAsia" w:ascii="宋体" w:hAnsi="宋体"/>
          <w:color w:val="auto"/>
          <w:szCs w:val="21"/>
          <w:highlight w:val="none"/>
        </w:rPr>
        <w:t>款约定的试验程序、试验条件，重新组织进行此项试验。</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10.5.2</w:t>
      </w:r>
      <w:r>
        <w:rPr>
          <w:rFonts w:hint="eastAsia" w:ascii="宋体" w:hAnsi="宋体"/>
          <w:color w:val="auto"/>
          <w:szCs w:val="21"/>
          <w:highlight w:val="none"/>
        </w:rPr>
        <w:t xml:space="preserve">  承包人根据10.5.1款重新进行试验，仍未能通过该项试验时，承包人应自费继续修补缺陷，并在发包人的组织领导下，按10.2.3款约定的试验程序、试验条件，再次进行此项试验。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10.5.3  因承包人原因，重新进行竣工后试验，给发包人增加了额外费用时，发包人有权根据</w:t>
      </w:r>
      <w:r>
        <w:rPr>
          <w:rFonts w:ascii="宋体" w:hAnsi="宋体"/>
          <w:color w:val="auto"/>
          <w:szCs w:val="21"/>
          <w:highlight w:val="none"/>
        </w:rPr>
        <w:t>16.2.1</w:t>
      </w:r>
      <w:r>
        <w:rPr>
          <w:rFonts w:hint="eastAsia" w:ascii="宋体" w:hAnsi="宋体"/>
          <w:color w:val="auto"/>
          <w:szCs w:val="21"/>
          <w:highlight w:val="none"/>
        </w:rPr>
        <w:t>款的约定向承包人提出索赔。</w:t>
      </w:r>
    </w:p>
    <w:p>
      <w:pPr>
        <w:pStyle w:val="4"/>
        <w:rPr>
          <w:rFonts w:ascii="宋体" w:hAnsi="宋体"/>
          <w:color w:val="auto"/>
          <w:kern w:val="0"/>
          <w:sz w:val="21"/>
          <w:szCs w:val="21"/>
          <w:highlight w:val="none"/>
        </w:rPr>
      </w:pPr>
      <w:bookmarkStart w:id="1044" w:name="_Toc419320282"/>
      <w:bookmarkStart w:id="1045" w:name="_Toc433988774"/>
      <w:bookmarkStart w:id="1046" w:name="_Toc491277322"/>
      <w:bookmarkStart w:id="1047" w:name="_Toc419364407"/>
      <w:bookmarkStart w:id="1048" w:name="_Toc419363738"/>
      <w:bookmarkStart w:id="1049" w:name="_Toc419321318"/>
      <w:r>
        <w:rPr>
          <w:rFonts w:ascii="宋体" w:hAnsi="宋体"/>
          <w:color w:val="auto"/>
          <w:kern w:val="0"/>
          <w:sz w:val="21"/>
          <w:szCs w:val="21"/>
          <w:highlight w:val="none"/>
        </w:rPr>
        <w:t>10.</w:t>
      </w:r>
      <w:r>
        <w:rPr>
          <w:rFonts w:hint="eastAsia" w:ascii="宋体" w:hAnsi="宋体"/>
          <w:color w:val="auto"/>
          <w:kern w:val="0"/>
          <w:sz w:val="21"/>
          <w:szCs w:val="21"/>
          <w:highlight w:val="none"/>
        </w:rPr>
        <w:t>6  未能通过考核</w:t>
      </w:r>
      <w:bookmarkEnd w:id="1044"/>
      <w:bookmarkEnd w:id="1045"/>
      <w:bookmarkEnd w:id="1046"/>
      <w:bookmarkEnd w:id="1047"/>
      <w:bookmarkEnd w:id="1048"/>
      <w:bookmarkEnd w:id="1049"/>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因承包人原因使工程和（或）单项工程未能通过考核，但尚具有生产功能、使用功能时，按以下约定处理：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）未能通过试运行考核的赔偿</w:t>
      </w:r>
    </w:p>
    <w:p>
      <w:pPr>
        <w:spacing w:line="300" w:lineRule="auto"/>
        <w:ind w:firstLine="735" w:firstLineChars="350"/>
        <w:rPr>
          <w:rFonts w:ascii="宋体" w:hAnsi="宋体"/>
          <w:color w:val="auto"/>
          <w:szCs w:val="21"/>
          <w:highlight w:val="none"/>
        </w:rPr>
      </w:pPr>
      <w:r>
        <w:rPr>
          <w:rFonts w:hint="eastAsia" w:ascii="宋体" w:hAnsi="宋体"/>
          <w:color w:val="auto"/>
          <w:szCs w:val="21"/>
          <w:highlight w:val="none"/>
        </w:rPr>
        <w:t>1）承包人提供的生产工艺技术或建筑设计方案未能通过试运行考核</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提供的生产工艺技术和（或）建筑设计方案未能通过试运行考核时，承包人在根据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pPr>
        <w:spacing w:line="300" w:lineRule="auto"/>
        <w:ind w:firstLine="735" w:firstLineChars="350"/>
        <w:rPr>
          <w:rFonts w:ascii="宋体" w:hAnsi="宋体"/>
          <w:color w:val="auto"/>
          <w:szCs w:val="21"/>
          <w:highlight w:val="none"/>
        </w:rPr>
      </w:pPr>
      <w:r>
        <w:rPr>
          <w:rFonts w:hint="eastAsia" w:ascii="宋体" w:hAnsi="宋体"/>
          <w:color w:val="auto"/>
          <w:szCs w:val="21"/>
          <w:highlight w:val="none"/>
        </w:rPr>
        <w:t>2）发包人提供的生产工艺技术或建筑设计方案未能通过试运行考核</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提供的生产工艺技术和（或）建筑设计方案未能通过试运行考核时，承包人根据5.1.2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承包人对未能通过试运行考核的工程和（或）单项工程，若提出自费调查、调整和修正并被发包人接受时，双方商定相应的调查、修正和试验期限，发包人应为此提供方便。在通过该项考核之前，发包人可暂不按</w:t>
      </w:r>
      <w:r>
        <w:rPr>
          <w:rFonts w:ascii="宋体" w:hAnsi="宋体"/>
          <w:color w:val="auto"/>
          <w:szCs w:val="21"/>
          <w:highlight w:val="none"/>
        </w:rPr>
        <w:t>10.6</w:t>
      </w:r>
      <w:r>
        <w:rPr>
          <w:rFonts w:hint="eastAsia" w:ascii="宋体" w:hAnsi="宋体"/>
          <w:color w:val="auto"/>
          <w:szCs w:val="21"/>
          <w:highlight w:val="none"/>
        </w:rPr>
        <w:t>款第（</w:t>
      </w:r>
      <w:r>
        <w:rPr>
          <w:rFonts w:ascii="宋体" w:hAnsi="宋体"/>
          <w:color w:val="auto"/>
          <w:szCs w:val="21"/>
          <w:highlight w:val="none"/>
        </w:rPr>
        <w:t>1</w:t>
      </w:r>
      <w:r>
        <w:rPr>
          <w:rFonts w:hint="eastAsia" w:ascii="宋体" w:hAnsi="宋体"/>
          <w:color w:val="auto"/>
          <w:szCs w:val="21"/>
          <w:highlight w:val="none"/>
        </w:rPr>
        <w:t>）项约定提出赔偿。</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）发包人接受了本款第（</w:t>
      </w:r>
      <w:r>
        <w:rPr>
          <w:rFonts w:ascii="宋体" w:hAnsi="宋体"/>
          <w:color w:val="auto"/>
          <w:szCs w:val="21"/>
          <w:highlight w:val="none"/>
        </w:rPr>
        <w:t>2</w:t>
      </w:r>
      <w:r>
        <w:rPr>
          <w:rFonts w:hint="eastAsia" w:ascii="宋体" w:hAnsi="宋体"/>
          <w:color w:val="auto"/>
          <w:szCs w:val="21"/>
          <w:highlight w:val="none"/>
        </w:rPr>
        <w:t>）项约定，但在商定的期限内发包人未能给承包人提供方便，致使承包人无法在约定期限内进行调查、调整和修正的，视为该项试运行考核已被通过。</w:t>
      </w:r>
    </w:p>
    <w:p>
      <w:pPr>
        <w:pStyle w:val="4"/>
        <w:rPr>
          <w:rFonts w:ascii="宋体" w:hAnsi="宋体"/>
          <w:color w:val="auto"/>
          <w:kern w:val="0"/>
          <w:sz w:val="21"/>
          <w:szCs w:val="21"/>
          <w:highlight w:val="none"/>
        </w:rPr>
      </w:pPr>
      <w:bookmarkStart w:id="1050" w:name="_Toc419321319"/>
      <w:bookmarkStart w:id="1051" w:name="_Toc419364408"/>
      <w:bookmarkStart w:id="1052" w:name="_Toc491277323"/>
      <w:bookmarkStart w:id="1053" w:name="_Toc419363739"/>
      <w:bookmarkStart w:id="1054" w:name="_Toc419320283"/>
      <w:bookmarkStart w:id="1055" w:name="_Toc433988775"/>
      <w:r>
        <w:rPr>
          <w:rFonts w:ascii="宋体" w:hAnsi="宋体"/>
          <w:color w:val="auto"/>
          <w:kern w:val="0"/>
          <w:sz w:val="21"/>
          <w:szCs w:val="21"/>
          <w:highlight w:val="none"/>
        </w:rPr>
        <w:t>10.</w:t>
      </w:r>
      <w:r>
        <w:rPr>
          <w:rFonts w:hint="eastAsia" w:ascii="宋体" w:hAnsi="宋体"/>
          <w:color w:val="auto"/>
          <w:kern w:val="0"/>
          <w:sz w:val="21"/>
          <w:szCs w:val="21"/>
          <w:highlight w:val="none"/>
        </w:rPr>
        <w:t>7  竣工后试验及考核验收证书</w:t>
      </w:r>
      <w:bookmarkEnd w:id="1050"/>
      <w:bookmarkEnd w:id="1051"/>
      <w:bookmarkEnd w:id="1052"/>
      <w:bookmarkEnd w:id="1053"/>
      <w:bookmarkEnd w:id="1054"/>
      <w:bookmarkEnd w:id="1055"/>
    </w:p>
    <w:p>
      <w:pPr>
        <w:spacing w:line="300" w:lineRule="auto"/>
        <w:ind w:firstLine="420" w:firstLineChars="200"/>
        <w:rPr>
          <w:rFonts w:ascii="宋体" w:hAnsi="宋体"/>
          <w:color w:val="auto"/>
          <w:szCs w:val="21"/>
          <w:highlight w:val="none"/>
        </w:rPr>
      </w:pPr>
      <w:r>
        <w:rPr>
          <w:rFonts w:ascii="宋体" w:hAnsi="宋体"/>
          <w:color w:val="auto"/>
          <w:szCs w:val="21"/>
          <w:highlight w:val="none"/>
        </w:rPr>
        <w:t>10.7.1</w:t>
      </w:r>
      <w:r>
        <w:rPr>
          <w:rFonts w:hint="eastAsia" w:ascii="宋体" w:hAnsi="宋体"/>
          <w:color w:val="auto"/>
          <w:szCs w:val="21"/>
          <w:highlight w:val="none"/>
        </w:rPr>
        <w:t xml:space="preserve">  在专用条款中约定按工程和（或）按单项工程颁发竣工后试验及考核验收证书。</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10.7.2</w:t>
      </w:r>
      <w:r>
        <w:rPr>
          <w:rFonts w:hint="eastAsia" w:ascii="宋体" w:hAnsi="宋体"/>
          <w:color w:val="auto"/>
          <w:szCs w:val="21"/>
          <w:highlight w:val="none"/>
        </w:rPr>
        <w:t xml:space="preserve">  发包人根据10.3款、10.4款、10.5.1款、10.5.2款及10.6款的约定对通过或视为通过竣工后试验和（或）试运行考核的，应按10.7.1款颁发竣工后试验及考核验收证书。该证书中写明的试运行考核通过的日期和时间，为实际完成考核或视为通过试运行考核的日期和时间。</w:t>
      </w:r>
    </w:p>
    <w:p>
      <w:pPr>
        <w:pStyle w:val="4"/>
        <w:rPr>
          <w:rFonts w:ascii="宋体" w:hAnsi="宋体"/>
          <w:color w:val="auto"/>
          <w:kern w:val="0"/>
          <w:sz w:val="21"/>
          <w:szCs w:val="21"/>
          <w:highlight w:val="none"/>
        </w:rPr>
      </w:pPr>
      <w:bookmarkStart w:id="1056" w:name="_Toc419321320"/>
      <w:bookmarkStart w:id="1057" w:name="_Toc419363740"/>
      <w:bookmarkStart w:id="1058" w:name="_Toc419320284"/>
      <w:bookmarkStart w:id="1059" w:name="_Toc491277324"/>
      <w:bookmarkStart w:id="1060" w:name="_Toc433988776"/>
      <w:bookmarkStart w:id="1061" w:name="_Toc419364409"/>
      <w:r>
        <w:rPr>
          <w:rFonts w:hint="eastAsia" w:ascii="宋体" w:hAnsi="宋体"/>
          <w:color w:val="auto"/>
          <w:kern w:val="0"/>
          <w:sz w:val="21"/>
          <w:szCs w:val="21"/>
          <w:highlight w:val="none"/>
        </w:rPr>
        <w:t>10.8  丧失了生产价值和使用价值</w:t>
      </w:r>
      <w:bookmarkEnd w:id="1056"/>
      <w:bookmarkEnd w:id="1057"/>
      <w:bookmarkEnd w:id="1058"/>
      <w:bookmarkEnd w:id="1059"/>
      <w:bookmarkEnd w:id="1060"/>
      <w:bookmarkEnd w:id="1061"/>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pPr>
        <w:pStyle w:val="2"/>
        <w:rPr>
          <w:rFonts w:ascii="宋体" w:hAnsi="宋体" w:eastAsia="宋体"/>
          <w:color w:val="auto"/>
          <w:sz w:val="28"/>
          <w:szCs w:val="28"/>
          <w:highlight w:val="none"/>
        </w:rPr>
      </w:pPr>
      <w:bookmarkStart w:id="1062" w:name="_Toc419321321"/>
      <w:bookmarkStart w:id="1063" w:name="_Toc419364410"/>
      <w:bookmarkStart w:id="1064" w:name="_Toc491277325"/>
      <w:bookmarkStart w:id="1065" w:name="_Toc433988777"/>
      <w:bookmarkStart w:id="1066" w:name="_Toc419363741"/>
      <w:bookmarkStart w:id="1067" w:name="_Toc419320285"/>
      <w:r>
        <w:rPr>
          <w:rFonts w:ascii="宋体" w:hAnsi="宋体" w:eastAsia="宋体"/>
          <w:color w:val="auto"/>
          <w:sz w:val="28"/>
          <w:szCs w:val="28"/>
          <w:highlight w:val="none"/>
        </w:rPr>
        <w:t>第11条 质量保修责任</w:t>
      </w:r>
      <w:bookmarkEnd w:id="1062"/>
      <w:bookmarkEnd w:id="1063"/>
      <w:bookmarkEnd w:id="1064"/>
      <w:bookmarkEnd w:id="1065"/>
      <w:bookmarkEnd w:id="1066"/>
      <w:bookmarkEnd w:id="1067"/>
    </w:p>
    <w:p>
      <w:pPr>
        <w:pStyle w:val="4"/>
        <w:rPr>
          <w:rFonts w:ascii="宋体" w:hAnsi="宋体"/>
          <w:color w:val="auto"/>
          <w:kern w:val="0"/>
          <w:sz w:val="21"/>
          <w:szCs w:val="21"/>
          <w:highlight w:val="none"/>
        </w:rPr>
      </w:pPr>
      <w:bookmarkStart w:id="1068" w:name="_Toc491277326"/>
      <w:bookmarkStart w:id="1069" w:name="_Toc419363742"/>
      <w:bookmarkStart w:id="1070" w:name="_Toc419320286"/>
      <w:bookmarkStart w:id="1071" w:name="_Toc433988778"/>
      <w:bookmarkStart w:id="1072" w:name="_Toc419321322"/>
      <w:bookmarkStart w:id="1073" w:name="_Toc419364411"/>
      <w:r>
        <w:rPr>
          <w:rFonts w:ascii="宋体" w:hAnsi="宋体"/>
          <w:color w:val="auto"/>
          <w:kern w:val="0"/>
          <w:sz w:val="21"/>
          <w:szCs w:val="21"/>
          <w:highlight w:val="none"/>
        </w:rPr>
        <w:t>11.1质量保修责任书</w:t>
      </w:r>
      <w:bookmarkEnd w:id="1068"/>
      <w:bookmarkEnd w:id="1069"/>
      <w:bookmarkEnd w:id="1070"/>
      <w:bookmarkEnd w:id="1071"/>
      <w:bookmarkEnd w:id="1072"/>
      <w:bookmarkEnd w:id="1073"/>
    </w:p>
    <w:p>
      <w:pPr>
        <w:spacing w:line="300" w:lineRule="auto"/>
        <w:ind w:firstLine="420" w:firstLineChars="200"/>
        <w:rPr>
          <w:rFonts w:ascii="宋体" w:hAnsi="宋体"/>
          <w:color w:val="auto"/>
          <w:szCs w:val="21"/>
          <w:highlight w:val="none"/>
        </w:rPr>
      </w:pPr>
      <w:r>
        <w:rPr>
          <w:rFonts w:ascii="宋体" w:hAnsi="宋体"/>
          <w:color w:val="auto"/>
          <w:szCs w:val="21"/>
          <w:highlight w:val="none"/>
        </w:rPr>
        <w:t>11.1.1 质量保修责任书。</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按</w:t>
      </w:r>
      <w:r>
        <w:rPr>
          <w:rFonts w:hint="eastAsia" w:ascii="宋体" w:hAnsi="宋体"/>
          <w:color w:val="auto"/>
          <w:szCs w:val="21"/>
          <w:highlight w:val="none"/>
        </w:rPr>
        <w:t>照相关</w:t>
      </w:r>
      <w:r>
        <w:rPr>
          <w:rFonts w:ascii="宋体" w:hAnsi="宋体"/>
          <w:color w:val="auto"/>
          <w:szCs w:val="21"/>
          <w:highlight w:val="none"/>
        </w:rPr>
        <w:t>法律规定</w:t>
      </w:r>
      <w:r>
        <w:rPr>
          <w:rFonts w:hint="eastAsia" w:ascii="宋体" w:hAnsi="宋体"/>
          <w:color w:val="auto"/>
          <w:szCs w:val="21"/>
          <w:highlight w:val="none"/>
        </w:rPr>
        <w:t>签订质量保修责任书是竣工验收的条件之一。双方应</w:t>
      </w:r>
      <w:r>
        <w:rPr>
          <w:rFonts w:ascii="宋体" w:hAnsi="宋体"/>
          <w:color w:val="auto"/>
          <w:szCs w:val="21"/>
          <w:highlight w:val="none"/>
        </w:rPr>
        <w:t>按法律规定的保修内容</w:t>
      </w:r>
      <w:r>
        <w:rPr>
          <w:rFonts w:hint="eastAsia" w:ascii="宋体" w:hAnsi="宋体"/>
          <w:color w:val="auto"/>
          <w:szCs w:val="21"/>
          <w:highlight w:val="none"/>
        </w:rPr>
        <w:t>、</w:t>
      </w:r>
      <w:r>
        <w:rPr>
          <w:rFonts w:ascii="宋体" w:hAnsi="宋体"/>
          <w:color w:val="auto"/>
          <w:szCs w:val="21"/>
          <w:highlight w:val="none"/>
        </w:rPr>
        <w:t>范围、期限</w:t>
      </w:r>
      <w:r>
        <w:rPr>
          <w:rFonts w:hint="eastAsia" w:ascii="宋体" w:hAnsi="宋体"/>
          <w:color w:val="auto"/>
          <w:szCs w:val="21"/>
          <w:highlight w:val="none"/>
        </w:rPr>
        <w:t>和</w:t>
      </w:r>
      <w:r>
        <w:rPr>
          <w:rFonts w:ascii="宋体" w:hAnsi="宋体"/>
          <w:color w:val="auto"/>
          <w:szCs w:val="21"/>
          <w:highlight w:val="none"/>
        </w:rPr>
        <w:t>责任</w:t>
      </w:r>
      <w:r>
        <w:rPr>
          <w:rFonts w:hint="eastAsia" w:ascii="宋体" w:hAnsi="宋体"/>
          <w:color w:val="auto"/>
          <w:szCs w:val="21"/>
          <w:highlight w:val="none"/>
        </w:rPr>
        <w:t>，</w:t>
      </w:r>
      <w:r>
        <w:rPr>
          <w:rFonts w:ascii="宋体" w:hAnsi="宋体"/>
          <w:color w:val="auto"/>
          <w:szCs w:val="21"/>
          <w:highlight w:val="none"/>
        </w:rPr>
        <w:t>签订质量保修责任书，作为</w:t>
      </w:r>
      <w:r>
        <w:rPr>
          <w:rFonts w:hint="eastAsia" w:ascii="宋体" w:hAnsi="宋体"/>
          <w:color w:val="auto"/>
          <w:szCs w:val="21"/>
          <w:highlight w:val="none"/>
        </w:rPr>
        <w:t>本</w:t>
      </w:r>
      <w:r>
        <w:rPr>
          <w:rFonts w:ascii="宋体" w:hAnsi="宋体"/>
          <w:color w:val="auto"/>
          <w:szCs w:val="21"/>
          <w:highlight w:val="none"/>
        </w:rPr>
        <w:t>合同附件。</w:t>
      </w:r>
      <w:r>
        <w:rPr>
          <w:rFonts w:hint="eastAsia" w:ascii="宋体" w:hAnsi="宋体"/>
          <w:color w:val="auto"/>
          <w:szCs w:val="21"/>
          <w:highlight w:val="none"/>
        </w:rPr>
        <w:t>9.2.1款接收证书中写明的</w:t>
      </w:r>
      <w:r>
        <w:rPr>
          <w:rFonts w:ascii="宋体" w:hAnsi="宋体"/>
          <w:color w:val="auto"/>
          <w:szCs w:val="21"/>
          <w:highlight w:val="none"/>
        </w:rPr>
        <w:t>单项工程和（或）工程的</w:t>
      </w:r>
      <w:r>
        <w:rPr>
          <w:rFonts w:hint="eastAsia" w:ascii="宋体" w:hAnsi="宋体"/>
          <w:color w:val="auto"/>
          <w:szCs w:val="21"/>
          <w:highlight w:val="none"/>
        </w:rPr>
        <w:t>接收</w:t>
      </w:r>
      <w:r>
        <w:rPr>
          <w:rFonts w:ascii="宋体" w:hAnsi="宋体"/>
          <w:color w:val="auto"/>
          <w:szCs w:val="21"/>
          <w:highlight w:val="none"/>
        </w:rPr>
        <w:t>日期，</w:t>
      </w:r>
      <w:r>
        <w:rPr>
          <w:rFonts w:hint="eastAsia" w:ascii="宋体" w:hAnsi="宋体"/>
          <w:color w:val="auto"/>
          <w:szCs w:val="21"/>
          <w:highlight w:val="none"/>
        </w:rPr>
        <w:t>或</w:t>
      </w:r>
      <w:r>
        <w:rPr>
          <w:rFonts w:ascii="宋体" w:hAnsi="宋体"/>
          <w:color w:val="auto"/>
          <w:szCs w:val="21"/>
          <w:highlight w:val="none"/>
        </w:rPr>
        <w:t>单项工程和（或）工程</w:t>
      </w:r>
      <w:r>
        <w:rPr>
          <w:rFonts w:hint="eastAsia" w:ascii="宋体" w:hAnsi="宋体"/>
          <w:color w:val="auto"/>
          <w:szCs w:val="21"/>
          <w:highlight w:val="none"/>
        </w:rPr>
        <w:t>视为被接收的</w:t>
      </w:r>
      <w:r>
        <w:rPr>
          <w:rFonts w:ascii="宋体" w:hAnsi="宋体"/>
          <w:color w:val="auto"/>
          <w:szCs w:val="21"/>
          <w:highlight w:val="none"/>
        </w:rPr>
        <w:t>日期，是承包人保修责任开始的日期</w:t>
      </w:r>
      <w:r>
        <w:rPr>
          <w:rFonts w:hint="eastAsia" w:ascii="宋体" w:hAnsi="宋体"/>
          <w:color w:val="auto"/>
          <w:szCs w:val="21"/>
          <w:highlight w:val="none"/>
        </w:rPr>
        <w:t>，也是缺陷责任期的开始日期</w:t>
      </w:r>
      <w:r>
        <w:rPr>
          <w:rFonts w:ascii="宋体" w:hAnsi="宋体"/>
          <w:color w:val="auto"/>
          <w:szCs w:val="21"/>
          <w:highlight w:val="none"/>
        </w:rPr>
        <w:t>。</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11.1.2  未能提交</w:t>
      </w:r>
      <w:r>
        <w:rPr>
          <w:rFonts w:hint="eastAsia" w:ascii="宋体" w:hAnsi="宋体"/>
          <w:color w:val="auto"/>
          <w:szCs w:val="21"/>
          <w:highlight w:val="none"/>
        </w:rPr>
        <w:t>质量保修责任书</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承包人未能提交质量保修责任书、无正当理由不</w:t>
      </w:r>
      <w:r>
        <w:rPr>
          <w:rFonts w:ascii="宋体" w:hAnsi="宋体"/>
          <w:color w:val="auto"/>
          <w:szCs w:val="21"/>
          <w:highlight w:val="none"/>
        </w:rPr>
        <w:t>与发包人签订质量保修责任书，发包人</w:t>
      </w:r>
      <w:r>
        <w:rPr>
          <w:rFonts w:hint="eastAsia" w:ascii="宋体" w:hAnsi="宋体"/>
          <w:color w:val="auto"/>
          <w:szCs w:val="21"/>
          <w:highlight w:val="none"/>
        </w:rPr>
        <w:t>可</w:t>
      </w:r>
      <w:r>
        <w:rPr>
          <w:rFonts w:ascii="宋体" w:hAnsi="宋体"/>
          <w:color w:val="auto"/>
          <w:szCs w:val="21"/>
          <w:highlight w:val="none"/>
        </w:rPr>
        <w:t>不与承包人办理竣工结算，不承担</w:t>
      </w:r>
      <w:r>
        <w:rPr>
          <w:rFonts w:hint="eastAsia" w:ascii="宋体" w:hAnsi="宋体"/>
          <w:color w:val="auto"/>
          <w:szCs w:val="21"/>
          <w:highlight w:val="none"/>
        </w:rPr>
        <w:t>尚未</w:t>
      </w:r>
      <w:r>
        <w:rPr>
          <w:rFonts w:ascii="宋体" w:hAnsi="宋体"/>
          <w:color w:val="auto"/>
          <w:szCs w:val="21"/>
          <w:highlight w:val="none"/>
        </w:rPr>
        <w:t>支付</w:t>
      </w:r>
      <w:r>
        <w:rPr>
          <w:rFonts w:hint="eastAsia" w:ascii="宋体" w:hAnsi="宋体"/>
          <w:color w:val="auto"/>
          <w:szCs w:val="21"/>
          <w:highlight w:val="none"/>
        </w:rPr>
        <w:t>的</w:t>
      </w:r>
      <w:r>
        <w:rPr>
          <w:rFonts w:ascii="宋体" w:hAnsi="宋体"/>
          <w:color w:val="auto"/>
          <w:szCs w:val="21"/>
          <w:highlight w:val="none"/>
        </w:rPr>
        <w:t>竣工结算款项的相应利息</w:t>
      </w:r>
      <w:r>
        <w:rPr>
          <w:rFonts w:hint="eastAsia" w:ascii="宋体" w:hAnsi="宋体"/>
          <w:color w:val="auto"/>
          <w:szCs w:val="21"/>
          <w:highlight w:val="none"/>
        </w:rPr>
        <w:t>，即使合同已约定延期支付利息。</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如</w:t>
      </w:r>
      <w:r>
        <w:rPr>
          <w:rFonts w:ascii="宋体" w:hAnsi="宋体"/>
          <w:color w:val="auto"/>
          <w:szCs w:val="21"/>
          <w:highlight w:val="none"/>
        </w:rPr>
        <w:t>承包人提交了质量保修责任书，提请与发包人签订该责任书</w:t>
      </w:r>
      <w:r>
        <w:rPr>
          <w:rFonts w:hint="eastAsia" w:ascii="宋体" w:hAnsi="宋体"/>
          <w:color w:val="auto"/>
          <w:szCs w:val="21"/>
          <w:highlight w:val="none"/>
        </w:rPr>
        <w:t>并在合同中约定了延期付款利息</w:t>
      </w:r>
      <w:r>
        <w:rPr>
          <w:rFonts w:ascii="宋体" w:hAnsi="宋体"/>
          <w:color w:val="auto"/>
          <w:szCs w:val="21"/>
          <w:highlight w:val="none"/>
        </w:rPr>
        <w:t>，但因发包人原因未能及时签署质量保修责任书，发包</w:t>
      </w:r>
      <w:r>
        <w:rPr>
          <w:rFonts w:hint="eastAsia" w:ascii="宋体" w:hAnsi="宋体"/>
          <w:color w:val="auto"/>
          <w:szCs w:val="21"/>
          <w:highlight w:val="none"/>
        </w:rPr>
        <w:t>人应</w:t>
      </w:r>
      <w:r>
        <w:rPr>
          <w:rFonts w:ascii="宋体" w:hAnsi="宋体"/>
          <w:color w:val="auto"/>
          <w:szCs w:val="21"/>
          <w:highlight w:val="none"/>
        </w:rPr>
        <w:t>从接到该责任书的</w:t>
      </w:r>
      <w:r>
        <w:rPr>
          <w:rFonts w:hint="eastAsia" w:ascii="宋体" w:hAnsi="宋体"/>
          <w:color w:val="auto"/>
          <w:szCs w:val="21"/>
          <w:highlight w:val="none"/>
        </w:rPr>
        <w:t>第</w:t>
      </w:r>
      <w:r>
        <w:rPr>
          <w:rFonts w:ascii="宋体" w:hAnsi="宋体"/>
          <w:color w:val="auto"/>
          <w:szCs w:val="21"/>
          <w:highlight w:val="none"/>
        </w:rPr>
        <w:t>11日起承担竣工结算</w:t>
      </w:r>
      <w:r>
        <w:rPr>
          <w:rFonts w:hint="eastAsia" w:ascii="宋体" w:hAnsi="宋体"/>
          <w:color w:val="auto"/>
          <w:szCs w:val="21"/>
          <w:highlight w:val="none"/>
        </w:rPr>
        <w:t>款项</w:t>
      </w:r>
      <w:r>
        <w:rPr>
          <w:rFonts w:ascii="宋体" w:hAnsi="宋体"/>
          <w:color w:val="auto"/>
          <w:szCs w:val="21"/>
          <w:highlight w:val="none"/>
        </w:rPr>
        <w:t>延期支付的利息</w:t>
      </w:r>
      <w:r>
        <w:rPr>
          <w:rFonts w:hint="eastAsia" w:ascii="宋体" w:hAnsi="宋体"/>
          <w:color w:val="auto"/>
          <w:szCs w:val="21"/>
          <w:highlight w:val="none"/>
        </w:rPr>
        <w:t>。</w:t>
      </w:r>
    </w:p>
    <w:p>
      <w:pPr>
        <w:pStyle w:val="4"/>
        <w:rPr>
          <w:rFonts w:ascii="宋体" w:hAnsi="宋体"/>
          <w:color w:val="auto"/>
          <w:kern w:val="0"/>
          <w:sz w:val="21"/>
          <w:szCs w:val="21"/>
          <w:highlight w:val="none"/>
        </w:rPr>
      </w:pPr>
      <w:bookmarkStart w:id="1074" w:name="_Toc419321323"/>
      <w:bookmarkStart w:id="1075" w:name="_Toc433988779"/>
      <w:bookmarkStart w:id="1076" w:name="_Toc491277327"/>
      <w:bookmarkStart w:id="1077" w:name="_Toc419363743"/>
      <w:bookmarkStart w:id="1078" w:name="_Toc419364412"/>
      <w:bookmarkStart w:id="1079" w:name="_Toc419320287"/>
      <w:r>
        <w:rPr>
          <w:rFonts w:ascii="宋体" w:hAnsi="宋体"/>
          <w:color w:val="auto"/>
          <w:kern w:val="0"/>
          <w:sz w:val="21"/>
          <w:szCs w:val="21"/>
          <w:highlight w:val="none"/>
        </w:rPr>
        <w:t>11.2</w:t>
      </w:r>
      <w:r>
        <w:rPr>
          <w:rFonts w:hint="eastAsia" w:ascii="宋体" w:hAnsi="宋体"/>
          <w:color w:val="auto"/>
          <w:kern w:val="0"/>
          <w:sz w:val="21"/>
          <w:szCs w:val="21"/>
          <w:highlight w:val="none"/>
        </w:rPr>
        <w:t xml:space="preserve">  缺陷责任保修金</w:t>
      </w:r>
      <w:bookmarkEnd w:id="1074"/>
      <w:bookmarkEnd w:id="1075"/>
      <w:bookmarkEnd w:id="1076"/>
      <w:bookmarkEnd w:id="1077"/>
      <w:bookmarkEnd w:id="1078"/>
      <w:bookmarkEnd w:id="1079"/>
    </w:p>
    <w:p>
      <w:pPr>
        <w:spacing w:line="300" w:lineRule="auto"/>
        <w:ind w:firstLine="420" w:firstLineChars="200"/>
        <w:rPr>
          <w:rFonts w:ascii="宋体" w:hAnsi="宋体"/>
          <w:color w:val="auto"/>
          <w:szCs w:val="21"/>
          <w:highlight w:val="none"/>
        </w:rPr>
      </w:pPr>
      <w:r>
        <w:rPr>
          <w:rFonts w:ascii="宋体" w:hAnsi="宋体"/>
          <w:color w:val="auto"/>
          <w:szCs w:val="21"/>
          <w:highlight w:val="none"/>
        </w:rPr>
        <w:t xml:space="preserve">11.2.1  </w:t>
      </w:r>
      <w:r>
        <w:rPr>
          <w:rFonts w:hint="eastAsia" w:ascii="宋体" w:hAnsi="宋体"/>
          <w:color w:val="auto"/>
          <w:szCs w:val="21"/>
          <w:highlight w:val="none"/>
        </w:rPr>
        <w:t>缺陷责任</w:t>
      </w:r>
      <w:r>
        <w:rPr>
          <w:rFonts w:ascii="宋体" w:hAnsi="宋体"/>
          <w:color w:val="auto"/>
          <w:szCs w:val="21"/>
          <w:highlight w:val="none"/>
        </w:rPr>
        <w:t>保修金</w:t>
      </w:r>
      <w:r>
        <w:rPr>
          <w:rFonts w:hint="eastAsia" w:ascii="宋体" w:hAnsi="宋体"/>
          <w:color w:val="auto"/>
          <w:szCs w:val="21"/>
          <w:highlight w:val="none"/>
        </w:rPr>
        <w:t>金</w:t>
      </w:r>
      <w:r>
        <w:rPr>
          <w:rFonts w:ascii="宋体" w:hAnsi="宋体"/>
          <w:color w:val="auto"/>
          <w:szCs w:val="21"/>
          <w:highlight w:val="none"/>
        </w:rPr>
        <w:t>额</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缺陷责任保修金的金额，在专用条款中的约定</w:t>
      </w:r>
      <w:r>
        <w:rPr>
          <w:rFonts w:ascii="宋体" w:hAnsi="宋体"/>
          <w:color w:val="auto"/>
          <w:szCs w:val="21"/>
          <w:highlight w:val="none"/>
        </w:rPr>
        <w:t>。</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 xml:space="preserve">11.2.2  </w:t>
      </w:r>
      <w:r>
        <w:rPr>
          <w:rFonts w:hint="eastAsia" w:ascii="宋体" w:hAnsi="宋体"/>
          <w:color w:val="auto"/>
          <w:szCs w:val="21"/>
          <w:highlight w:val="none"/>
        </w:rPr>
        <w:t>缺陷责任保修金的暂扣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缺陷责任</w:t>
      </w:r>
      <w:r>
        <w:rPr>
          <w:rFonts w:ascii="宋体" w:hAnsi="宋体"/>
          <w:color w:val="auto"/>
          <w:szCs w:val="21"/>
          <w:highlight w:val="none"/>
        </w:rPr>
        <w:t>保修金的暂扣</w:t>
      </w:r>
      <w:r>
        <w:rPr>
          <w:rFonts w:hint="eastAsia" w:ascii="宋体" w:hAnsi="宋体"/>
          <w:color w:val="auto"/>
          <w:szCs w:val="21"/>
          <w:highlight w:val="none"/>
        </w:rPr>
        <w:t>方式，在专用条款中约定。</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 xml:space="preserve">11.2.3  </w:t>
      </w:r>
      <w:r>
        <w:rPr>
          <w:rFonts w:hint="eastAsia" w:ascii="宋体" w:hAnsi="宋体"/>
          <w:color w:val="auto"/>
          <w:szCs w:val="21"/>
          <w:highlight w:val="none"/>
        </w:rPr>
        <w:t>缺陷责任</w:t>
      </w:r>
      <w:r>
        <w:rPr>
          <w:rFonts w:ascii="宋体" w:hAnsi="宋体"/>
          <w:color w:val="auto"/>
          <w:szCs w:val="21"/>
          <w:highlight w:val="none"/>
        </w:rPr>
        <w:t>保修金的支付。</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发包人</w:t>
      </w:r>
      <w:r>
        <w:rPr>
          <w:rFonts w:hint="eastAsia" w:ascii="宋体" w:hAnsi="宋体"/>
          <w:color w:val="auto"/>
          <w:szCs w:val="21"/>
          <w:highlight w:val="none"/>
        </w:rPr>
        <w:t>应</w:t>
      </w:r>
      <w:r>
        <w:rPr>
          <w:rFonts w:ascii="宋体" w:hAnsi="宋体"/>
          <w:color w:val="auto"/>
          <w:szCs w:val="21"/>
          <w:highlight w:val="none"/>
        </w:rPr>
        <w:t>依据第14.5.2款</w:t>
      </w:r>
      <w:r>
        <w:rPr>
          <w:rFonts w:hint="eastAsia" w:ascii="宋体" w:hAnsi="宋体"/>
          <w:color w:val="auto"/>
          <w:szCs w:val="21"/>
          <w:highlight w:val="none"/>
        </w:rPr>
        <w:t>缺陷责任</w:t>
      </w:r>
      <w:r>
        <w:rPr>
          <w:rFonts w:ascii="宋体" w:hAnsi="宋体"/>
          <w:color w:val="auto"/>
          <w:szCs w:val="21"/>
          <w:highlight w:val="none"/>
        </w:rPr>
        <w:t>保修金支付</w:t>
      </w:r>
      <w:r>
        <w:rPr>
          <w:rFonts w:hint="eastAsia" w:ascii="宋体" w:hAnsi="宋体"/>
          <w:color w:val="auto"/>
          <w:szCs w:val="21"/>
          <w:highlight w:val="none"/>
        </w:rPr>
        <w:t>的约定</w:t>
      </w:r>
      <w:r>
        <w:rPr>
          <w:rFonts w:ascii="宋体" w:hAnsi="宋体"/>
          <w:color w:val="auto"/>
          <w:szCs w:val="21"/>
          <w:highlight w:val="none"/>
        </w:rPr>
        <w:t>，支付被暂扣的</w:t>
      </w:r>
      <w:r>
        <w:rPr>
          <w:rFonts w:hint="eastAsia" w:ascii="宋体" w:hAnsi="宋体"/>
          <w:color w:val="auto"/>
          <w:szCs w:val="21"/>
          <w:highlight w:val="none"/>
        </w:rPr>
        <w:t>缺陷责任保修金</w:t>
      </w:r>
      <w:r>
        <w:rPr>
          <w:rFonts w:ascii="宋体" w:hAnsi="宋体"/>
          <w:color w:val="auto"/>
          <w:szCs w:val="21"/>
          <w:highlight w:val="none"/>
        </w:rPr>
        <w:t>。</w:t>
      </w:r>
    </w:p>
    <w:p>
      <w:pPr>
        <w:pStyle w:val="2"/>
        <w:rPr>
          <w:rFonts w:ascii="宋体" w:hAnsi="宋体" w:eastAsia="宋体"/>
          <w:color w:val="auto"/>
          <w:sz w:val="28"/>
          <w:szCs w:val="28"/>
          <w:highlight w:val="none"/>
        </w:rPr>
      </w:pPr>
      <w:bookmarkStart w:id="1080" w:name="_Toc433988780"/>
      <w:bookmarkStart w:id="1081" w:name="_Toc491277328"/>
      <w:bookmarkStart w:id="1082" w:name="_Toc419321324"/>
      <w:bookmarkStart w:id="1083" w:name="_Toc419320288"/>
      <w:bookmarkStart w:id="1084" w:name="_Toc419364413"/>
      <w:bookmarkStart w:id="1085" w:name="_Toc419363744"/>
      <w:r>
        <w:rPr>
          <w:rFonts w:hint="eastAsia" w:ascii="宋体" w:hAnsi="宋体" w:eastAsia="宋体"/>
          <w:color w:val="auto"/>
          <w:sz w:val="28"/>
          <w:szCs w:val="28"/>
          <w:highlight w:val="none"/>
        </w:rPr>
        <w:t>第</w:t>
      </w:r>
      <w:r>
        <w:rPr>
          <w:rFonts w:ascii="宋体" w:hAnsi="宋体" w:eastAsia="宋体"/>
          <w:color w:val="auto"/>
          <w:sz w:val="28"/>
          <w:szCs w:val="28"/>
          <w:highlight w:val="none"/>
        </w:rPr>
        <w:t>12</w:t>
      </w:r>
      <w:r>
        <w:rPr>
          <w:rFonts w:hint="eastAsia" w:ascii="宋体" w:hAnsi="宋体" w:eastAsia="宋体"/>
          <w:color w:val="auto"/>
          <w:sz w:val="28"/>
          <w:szCs w:val="28"/>
          <w:highlight w:val="none"/>
        </w:rPr>
        <w:t>条工程竣工验收</w:t>
      </w:r>
      <w:bookmarkEnd w:id="1080"/>
      <w:bookmarkEnd w:id="1081"/>
      <w:bookmarkEnd w:id="1082"/>
      <w:bookmarkEnd w:id="1083"/>
      <w:bookmarkEnd w:id="1084"/>
      <w:bookmarkEnd w:id="1085"/>
    </w:p>
    <w:p>
      <w:pPr>
        <w:pStyle w:val="4"/>
        <w:rPr>
          <w:rFonts w:ascii="宋体" w:hAnsi="宋体"/>
          <w:color w:val="auto"/>
          <w:kern w:val="0"/>
          <w:sz w:val="21"/>
          <w:szCs w:val="21"/>
          <w:highlight w:val="none"/>
        </w:rPr>
      </w:pPr>
      <w:bookmarkStart w:id="1086" w:name="_Toc419321325"/>
      <w:bookmarkStart w:id="1087" w:name="_Toc491277329"/>
      <w:bookmarkStart w:id="1088" w:name="_Toc419364414"/>
      <w:bookmarkStart w:id="1089" w:name="_Toc419320289"/>
      <w:bookmarkStart w:id="1090" w:name="_Toc433988781"/>
      <w:bookmarkStart w:id="1091" w:name="_Toc419363745"/>
      <w:r>
        <w:rPr>
          <w:rFonts w:ascii="宋体" w:hAnsi="宋体"/>
          <w:color w:val="auto"/>
          <w:kern w:val="0"/>
          <w:sz w:val="21"/>
          <w:szCs w:val="21"/>
          <w:highlight w:val="none"/>
        </w:rPr>
        <w:t>12.1</w:t>
      </w:r>
      <w:r>
        <w:rPr>
          <w:rFonts w:hint="eastAsia" w:ascii="宋体" w:hAnsi="宋体"/>
          <w:color w:val="auto"/>
          <w:kern w:val="0"/>
          <w:sz w:val="21"/>
          <w:szCs w:val="21"/>
          <w:highlight w:val="none"/>
        </w:rPr>
        <w:t xml:space="preserve">  竣工验收报告及完整的竣工资料</w:t>
      </w:r>
      <w:bookmarkEnd w:id="1086"/>
      <w:bookmarkEnd w:id="1087"/>
      <w:bookmarkEnd w:id="1088"/>
      <w:bookmarkEnd w:id="1089"/>
      <w:bookmarkEnd w:id="1090"/>
      <w:bookmarkEnd w:id="1091"/>
    </w:p>
    <w:p>
      <w:pPr>
        <w:spacing w:line="300" w:lineRule="auto"/>
        <w:ind w:firstLine="420" w:firstLineChars="200"/>
        <w:rPr>
          <w:rFonts w:ascii="宋体" w:hAnsi="宋体"/>
          <w:color w:val="auto"/>
          <w:szCs w:val="21"/>
          <w:highlight w:val="none"/>
        </w:rPr>
      </w:pPr>
      <w:r>
        <w:rPr>
          <w:rFonts w:ascii="宋体" w:hAnsi="宋体"/>
          <w:color w:val="auto"/>
          <w:szCs w:val="21"/>
          <w:highlight w:val="none"/>
        </w:rPr>
        <w:t>12.1.1</w:t>
      </w:r>
      <w:r>
        <w:rPr>
          <w:rFonts w:hint="eastAsia" w:ascii="宋体" w:hAnsi="宋体"/>
          <w:color w:val="auto"/>
          <w:szCs w:val="21"/>
          <w:highlight w:val="none"/>
        </w:rPr>
        <w:t xml:space="preserve">  工程符合9.1款工程接收的相关约定，和（或）发包人已按10.7款的约定颁发了竣工后试验及考核验收证书，且承包人完成了</w:t>
      </w:r>
      <w:r>
        <w:rPr>
          <w:rFonts w:ascii="宋体" w:hAnsi="宋体"/>
          <w:color w:val="auto"/>
          <w:szCs w:val="21"/>
          <w:highlight w:val="none"/>
        </w:rPr>
        <w:t>9.2.2</w:t>
      </w:r>
      <w:r>
        <w:rPr>
          <w:rFonts w:hint="eastAsia" w:ascii="宋体" w:hAnsi="宋体"/>
          <w:color w:val="auto"/>
          <w:szCs w:val="21"/>
          <w:highlight w:val="none"/>
        </w:rPr>
        <w:t>款约定的扫尾工程和缺陷修复，经发包人或监理人验收后，承包人应依据8.1.1款（1）、（2）、（3）项、8.2款竣工试验的检验与验收、10.3.3款第（4）项竣工后试验及其试运行考核结果等资料，向发包人提交竣工验收报告和完整的工程竣工资料。竣工验收报告和完整的竣工资料的格式、内容和份数在专用条款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12.1.2  发包人应在接到竣工验收报告和完整的竣工资料后</w:t>
      </w:r>
      <w:r>
        <w:rPr>
          <w:rFonts w:ascii="宋体" w:hAnsi="宋体"/>
          <w:color w:val="auto"/>
          <w:szCs w:val="21"/>
          <w:highlight w:val="none"/>
        </w:rPr>
        <w:t>25</w:t>
      </w:r>
      <w:r>
        <w:rPr>
          <w:rFonts w:hint="eastAsia" w:ascii="宋体" w:hAnsi="宋体"/>
          <w:color w:val="auto"/>
          <w:szCs w:val="21"/>
          <w:highlight w:val="none"/>
        </w:rPr>
        <w:t>日内提出修改意见或予以确认，承包人应按照发包人的意见自费对竣工验收报告和竣工资料进行修改。</w:t>
      </w:r>
      <w:r>
        <w:rPr>
          <w:rFonts w:ascii="宋体" w:hAnsi="宋体"/>
          <w:color w:val="auto"/>
          <w:szCs w:val="21"/>
          <w:highlight w:val="none"/>
        </w:rPr>
        <w:t>25</w:t>
      </w:r>
      <w:r>
        <w:rPr>
          <w:rFonts w:hint="eastAsia" w:ascii="宋体" w:hAnsi="宋体"/>
          <w:color w:val="auto"/>
          <w:szCs w:val="21"/>
          <w:highlight w:val="none"/>
        </w:rPr>
        <w:t>日内发包人未提出修改意见，视为竣工资料和竣工验收报告已被确认。</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12.1.3  分期建设、分期投产或分期使用的工程，按</w:t>
      </w:r>
      <w:r>
        <w:rPr>
          <w:rFonts w:ascii="宋体" w:hAnsi="宋体"/>
          <w:color w:val="auto"/>
          <w:szCs w:val="21"/>
          <w:highlight w:val="none"/>
        </w:rPr>
        <w:t>12.1.1</w:t>
      </w:r>
      <w:r>
        <w:rPr>
          <w:rFonts w:hint="eastAsia" w:ascii="宋体" w:hAnsi="宋体"/>
          <w:color w:val="auto"/>
          <w:szCs w:val="21"/>
          <w:highlight w:val="none"/>
        </w:rPr>
        <w:t>款及12.1.2款的约定办理。</w:t>
      </w:r>
    </w:p>
    <w:p>
      <w:pPr>
        <w:pStyle w:val="4"/>
        <w:rPr>
          <w:rFonts w:ascii="宋体" w:hAnsi="宋体"/>
          <w:color w:val="auto"/>
          <w:kern w:val="0"/>
          <w:sz w:val="21"/>
          <w:szCs w:val="21"/>
          <w:highlight w:val="none"/>
        </w:rPr>
      </w:pPr>
      <w:bookmarkStart w:id="1092" w:name="_Toc433988782"/>
      <w:bookmarkStart w:id="1093" w:name="_Toc419363746"/>
      <w:bookmarkStart w:id="1094" w:name="_Toc419364415"/>
      <w:bookmarkStart w:id="1095" w:name="_Toc419321326"/>
      <w:bookmarkStart w:id="1096" w:name="_Toc419320290"/>
      <w:bookmarkStart w:id="1097" w:name="_Toc491277330"/>
      <w:r>
        <w:rPr>
          <w:rFonts w:ascii="宋体" w:hAnsi="宋体"/>
          <w:color w:val="auto"/>
          <w:kern w:val="0"/>
          <w:sz w:val="21"/>
          <w:szCs w:val="21"/>
          <w:highlight w:val="none"/>
        </w:rPr>
        <w:t>12.2</w:t>
      </w:r>
      <w:r>
        <w:rPr>
          <w:rFonts w:hint="eastAsia" w:ascii="宋体" w:hAnsi="宋体"/>
          <w:color w:val="auto"/>
          <w:kern w:val="0"/>
          <w:sz w:val="21"/>
          <w:szCs w:val="21"/>
          <w:highlight w:val="none"/>
        </w:rPr>
        <w:t xml:space="preserve">  竣工验收</w:t>
      </w:r>
      <w:bookmarkEnd w:id="1092"/>
      <w:bookmarkEnd w:id="1093"/>
      <w:bookmarkEnd w:id="1094"/>
      <w:bookmarkEnd w:id="1095"/>
      <w:bookmarkEnd w:id="1096"/>
      <w:bookmarkEnd w:id="1097"/>
    </w:p>
    <w:p>
      <w:pPr>
        <w:spacing w:line="300" w:lineRule="auto"/>
        <w:ind w:firstLine="420" w:firstLineChars="200"/>
        <w:rPr>
          <w:rFonts w:ascii="宋体" w:hAnsi="宋体"/>
          <w:color w:val="auto"/>
          <w:szCs w:val="21"/>
          <w:highlight w:val="none"/>
        </w:rPr>
      </w:pPr>
      <w:r>
        <w:rPr>
          <w:rFonts w:ascii="宋体" w:hAnsi="宋体"/>
          <w:color w:val="auto"/>
          <w:szCs w:val="21"/>
          <w:highlight w:val="none"/>
        </w:rPr>
        <w:t>12.2.1</w:t>
      </w:r>
      <w:r>
        <w:rPr>
          <w:rFonts w:hint="eastAsia" w:ascii="宋体" w:hAnsi="宋体"/>
          <w:color w:val="auto"/>
          <w:szCs w:val="21"/>
          <w:highlight w:val="none"/>
        </w:rPr>
        <w:t xml:space="preserve">  组织竣工验收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发包人应在接到竣工验收报告和完整的竣工资料，并根据12.1.2款的约定被确认后的30日内，组织竣工验收。</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12.2.2</w:t>
      </w:r>
      <w:r>
        <w:rPr>
          <w:rFonts w:hint="eastAsia" w:ascii="宋体" w:hAnsi="宋体"/>
          <w:color w:val="auto"/>
          <w:szCs w:val="21"/>
          <w:highlight w:val="none"/>
        </w:rPr>
        <w:t xml:space="preserve">  延后组织的竣工验收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发包人未能根据12.2.1款的约定，在30日内组织竣工验收时，按照</w:t>
      </w:r>
      <w:r>
        <w:rPr>
          <w:rFonts w:ascii="宋体" w:hAnsi="宋体"/>
          <w:color w:val="auto"/>
          <w:szCs w:val="21"/>
          <w:highlight w:val="none"/>
        </w:rPr>
        <w:t>14.12.</w:t>
      </w:r>
      <w:r>
        <w:rPr>
          <w:rFonts w:hint="eastAsia" w:ascii="宋体" w:hAnsi="宋体"/>
          <w:color w:val="auto"/>
          <w:szCs w:val="21"/>
          <w:highlight w:val="none"/>
        </w:rPr>
        <w:t>1至14.12.3款的约定，</w:t>
      </w:r>
      <w:r>
        <w:rPr>
          <w:rFonts w:ascii="宋体" w:hAnsi="宋体"/>
          <w:color w:val="auto"/>
          <w:szCs w:val="21"/>
          <w:highlight w:val="none"/>
        </w:rPr>
        <w:t>结清竣工结算的款项。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在12.2.1款约定的时间之后，发包人进行竣工验收时，承包人有义务参加。发包人在验收后的25日内，对承包人的竣工验收报告或竣工资料提出的进一步修改意见，承包人应按照发包人的意见自费修改。</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12.2.</w:t>
      </w:r>
      <w:r>
        <w:rPr>
          <w:rFonts w:hint="eastAsia" w:ascii="宋体" w:hAnsi="宋体"/>
          <w:color w:val="auto"/>
          <w:szCs w:val="21"/>
          <w:highlight w:val="none"/>
        </w:rPr>
        <w:t>3 分期竣工验收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分期建设、分期投产或分期使用的合同工程的竣工验收，按12.1.3款、12.2.1款的约定，分期组织竣工验收。</w:t>
      </w:r>
    </w:p>
    <w:p>
      <w:pPr>
        <w:pStyle w:val="2"/>
        <w:rPr>
          <w:rFonts w:ascii="宋体" w:hAnsi="宋体" w:eastAsia="宋体"/>
          <w:color w:val="auto"/>
          <w:sz w:val="28"/>
          <w:szCs w:val="28"/>
          <w:highlight w:val="none"/>
        </w:rPr>
      </w:pPr>
      <w:bookmarkStart w:id="1098" w:name="_Toc433988783"/>
      <w:bookmarkStart w:id="1099" w:name="_Toc491277331"/>
      <w:bookmarkStart w:id="1100" w:name="_Toc419320291"/>
      <w:bookmarkStart w:id="1101" w:name="_Toc419363747"/>
      <w:bookmarkStart w:id="1102" w:name="_Toc419321327"/>
      <w:bookmarkStart w:id="1103" w:name="_Toc419364416"/>
      <w:r>
        <w:rPr>
          <w:rFonts w:hint="eastAsia" w:ascii="宋体" w:hAnsi="宋体" w:eastAsia="宋体"/>
          <w:color w:val="auto"/>
          <w:sz w:val="28"/>
          <w:szCs w:val="28"/>
          <w:highlight w:val="none"/>
        </w:rPr>
        <w:t>第</w:t>
      </w:r>
      <w:r>
        <w:rPr>
          <w:rFonts w:ascii="宋体" w:hAnsi="宋体" w:eastAsia="宋体"/>
          <w:color w:val="auto"/>
          <w:sz w:val="28"/>
          <w:szCs w:val="28"/>
          <w:highlight w:val="none"/>
        </w:rPr>
        <w:t>13</w:t>
      </w:r>
      <w:r>
        <w:rPr>
          <w:rFonts w:hint="eastAsia" w:ascii="宋体" w:hAnsi="宋体" w:eastAsia="宋体"/>
          <w:color w:val="auto"/>
          <w:sz w:val="28"/>
          <w:szCs w:val="28"/>
          <w:highlight w:val="none"/>
        </w:rPr>
        <w:t>条变更和合同价格调整</w:t>
      </w:r>
      <w:bookmarkEnd w:id="1098"/>
      <w:bookmarkEnd w:id="1099"/>
      <w:bookmarkEnd w:id="1100"/>
      <w:bookmarkEnd w:id="1101"/>
      <w:bookmarkEnd w:id="1102"/>
      <w:bookmarkEnd w:id="1103"/>
    </w:p>
    <w:p>
      <w:pPr>
        <w:pStyle w:val="4"/>
        <w:rPr>
          <w:rFonts w:ascii="宋体" w:hAnsi="宋体"/>
          <w:color w:val="auto"/>
          <w:kern w:val="0"/>
          <w:sz w:val="21"/>
          <w:szCs w:val="21"/>
          <w:highlight w:val="none"/>
        </w:rPr>
      </w:pPr>
      <w:bookmarkStart w:id="1104" w:name="_Toc419321328"/>
      <w:bookmarkStart w:id="1105" w:name="_Toc491277332"/>
      <w:bookmarkStart w:id="1106" w:name="_Toc433988784"/>
      <w:bookmarkStart w:id="1107" w:name="_Toc419363748"/>
      <w:bookmarkStart w:id="1108" w:name="_Toc419364417"/>
      <w:bookmarkStart w:id="1109" w:name="_Toc419320292"/>
      <w:r>
        <w:rPr>
          <w:rFonts w:ascii="宋体" w:hAnsi="宋体"/>
          <w:color w:val="auto"/>
          <w:kern w:val="0"/>
          <w:sz w:val="21"/>
          <w:szCs w:val="21"/>
          <w:highlight w:val="none"/>
        </w:rPr>
        <w:t>13.1</w:t>
      </w:r>
      <w:r>
        <w:rPr>
          <w:rFonts w:hint="eastAsia" w:ascii="宋体" w:hAnsi="宋体"/>
          <w:color w:val="auto"/>
          <w:kern w:val="0"/>
          <w:sz w:val="21"/>
          <w:szCs w:val="21"/>
          <w:highlight w:val="none"/>
        </w:rPr>
        <w:t xml:space="preserve">  变更权</w:t>
      </w:r>
      <w:bookmarkEnd w:id="1104"/>
      <w:bookmarkEnd w:id="1105"/>
      <w:bookmarkEnd w:id="1106"/>
      <w:bookmarkEnd w:id="1107"/>
      <w:bookmarkEnd w:id="1108"/>
      <w:bookmarkEnd w:id="1109"/>
    </w:p>
    <w:p>
      <w:pPr>
        <w:spacing w:line="300" w:lineRule="auto"/>
        <w:ind w:firstLine="420" w:firstLineChars="200"/>
        <w:rPr>
          <w:rFonts w:ascii="宋体" w:hAnsi="宋体"/>
          <w:color w:val="auto"/>
          <w:szCs w:val="21"/>
          <w:highlight w:val="none"/>
        </w:rPr>
      </w:pPr>
      <w:r>
        <w:rPr>
          <w:rFonts w:ascii="宋体" w:hAnsi="宋体"/>
          <w:color w:val="auto"/>
          <w:szCs w:val="21"/>
          <w:highlight w:val="none"/>
        </w:rPr>
        <w:t>13.1.1</w:t>
      </w:r>
      <w:r>
        <w:rPr>
          <w:rFonts w:hint="eastAsia" w:ascii="宋体" w:hAnsi="宋体"/>
          <w:color w:val="auto"/>
          <w:szCs w:val="21"/>
          <w:highlight w:val="none"/>
        </w:rPr>
        <w:t xml:space="preserve">  变更权</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发包人拥有批准变更的权限。自合同生效后至工程竣工验收前的任何时间内，发包人有权依据监理人的建议、承包人的建议，及</w:t>
      </w:r>
      <w:r>
        <w:rPr>
          <w:rFonts w:ascii="宋体" w:hAnsi="宋体"/>
          <w:color w:val="auto"/>
          <w:szCs w:val="21"/>
          <w:highlight w:val="none"/>
        </w:rPr>
        <w:t>13.2</w:t>
      </w:r>
      <w:r>
        <w:rPr>
          <w:rFonts w:hint="eastAsia" w:ascii="宋体" w:hAnsi="宋体"/>
          <w:color w:val="auto"/>
          <w:szCs w:val="21"/>
          <w:highlight w:val="none"/>
        </w:rPr>
        <w:t>款约定的变更范围，下达变更指令。变更指令以书面形式发出。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13.1.2  变更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由发包人批准并发出的书面变更指令，属于变更。包括发包人直接下达的变更指令、或经发包人批准的由监理人下达的变更指令。</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承包人对自身的设计、采购、施工、竣工试验、竣工后试验存在的缺陷，应自费修正、调整和完善，不属于变更。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13.1.3  变更建议权</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pPr>
        <w:pStyle w:val="4"/>
        <w:rPr>
          <w:rFonts w:ascii="宋体" w:hAnsi="宋体"/>
          <w:color w:val="auto"/>
          <w:kern w:val="0"/>
          <w:sz w:val="21"/>
          <w:szCs w:val="21"/>
          <w:highlight w:val="none"/>
        </w:rPr>
      </w:pPr>
      <w:bookmarkStart w:id="1110" w:name="_Toc433988785"/>
      <w:bookmarkStart w:id="1111" w:name="_Toc419320293"/>
      <w:bookmarkStart w:id="1112" w:name="_Toc419363749"/>
      <w:bookmarkStart w:id="1113" w:name="_Toc419321329"/>
      <w:bookmarkStart w:id="1114" w:name="_Toc419364418"/>
      <w:bookmarkStart w:id="1115" w:name="_Toc491277333"/>
      <w:r>
        <w:rPr>
          <w:rFonts w:hint="eastAsia" w:ascii="宋体" w:hAnsi="宋体"/>
          <w:color w:val="auto"/>
          <w:kern w:val="0"/>
          <w:sz w:val="21"/>
          <w:szCs w:val="21"/>
          <w:highlight w:val="none"/>
        </w:rPr>
        <w:t>13</w:t>
      </w:r>
      <w:r>
        <w:rPr>
          <w:rFonts w:ascii="宋体" w:hAnsi="宋体"/>
          <w:color w:val="auto"/>
          <w:kern w:val="0"/>
          <w:sz w:val="21"/>
          <w:szCs w:val="21"/>
          <w:highlight w:val="none"/>
        </w:rPr>
        <w:t>.</w:t>
      </w:r>
      <w:r>
        <w:rPr>
          <w:rFonts w:hint="eastAsia" w:ascii="宋体" w:hAnsi="宋体"/>
          <w:color w:val="auto"/>
          <w:kern w:val="0"/>
          <w:sz w:val="21"/>
          <w:szCs w:val="21"/>
          <w:highlight w:val="none"/>
        </w:rPr>
        <w:t>2  变更范围</w:t>
      </w:r>
      <w:bookmarkEnd w:id="1110"/>
      <w:bookmarkEnd w:id="1111"/>
      <w:bookmarkEnd w:id="1112"/>
      <w:bookmarkEnd w:id="1113"/>
      <w:bookmarkEnd w:id="1114"/>
      <w:bookmarkEnd w:id="1115"/>
    </w:p>
    <w:p>
      <w:pPr>
        <w:spacing w:line="300" w:lineRule="auto"/>
        <w:ind w:firstLine="420" w:firstLineChars="200"/>
        <w:rPr>
          <w:rFonts w:ascii="宋体" w:hAnsi="宋体"/>
          <w:color w:val="auto"/>
          <w:szCs w:val="21"/>
          <w:highlight w:val="none"/>
        </w:rPr>
      </w:pPr>
      <w:r>
        <w:rPr>
          <w:rFonts w:ascii="宋体" w:hAnsi="宋体"/>
          <w:color w:val="auto"/>
          <w:szCs w:val="21"/>
          <w:highlight w:val="none"/>
        </w:rPr>
        <w:t>13.2.</w:t>
      </w:r>
      <w:r>
        <w:rPr>
          <w:rFonts w:hint="eastAsia" w:ascii="宋体" w:hAnsi="宋体"/>
          <w:color w:val="auto"/>
          <w:szCs w:val="21"/>
          <w:highlight w:val="none"/>
        </w:rPr>
        <w:t>1  设计变更范围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 对生产工艺流程的调整，但未扩大或缩小初步设计批准的生产路线和规模、或未扩大或缩小合同约定的生产路线和规模；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 对平面布置、竖面布置、局部使用功能的调整，但未扩大初步设计批准的建筑规模，未改变初步设计批准的使用功能；或未扩大合同约定的建筑规模，未改变合同约定的使用功能；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 对配套工程系统的工艺调整、使用功能调整；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 对区域内基准控制点、基准标高和基准线的调整；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 对设备、材料、部件的性能、规格和数量的调整；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 因执行基准日期之后新颁布的法律、标准、规范引起的变更；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 其它超出合同约定的设计事项；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 上述变更所需的附加工作。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13.2.2 采购变更范围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（1）承包人已按发包人批准的名单，与相关供货商签订采购合同或已开始加工制造、供货、运输等，发包人通知承包人选择该名单中的另一家供货商；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（2）因执行基准日期之后新颁布的法律、标准、规范引起的变更； </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（3）发包人要求改变检查、检验、检测、试验的地点和增加的附加试验；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（4）发包人要求增减合同中约定的备品备件、专用工具、竣工后试验物资的采购数量；</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（5）上述变更所需的附加工作。</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13.2.</w:t>
      </w:r>
      <w:r>
        <w:rPr>
          <w:rFonts w:hint="eastAsia" w:ascii="宋体" w:hAnsi="宋体"/>
          <w:color w:val="auto"/>
          <w:szCs w:val="21"/>
          <w:highlight w:val="none"/>
        </w:rPr>
        <w:t>3  施工变更范围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（1）根据13</w:t>
      </w:r>
      <w:r>
        <w:rPr>
          <w:rFonts w:ascii="宋体" w:hAnsi="宋体"/>
          <w:color w:val="auto"/>
          <w:szCs w:val="21"/>
          <w:highlight w:val="none"/>
        </w:rPr>
        <w:t>.2.</w:t>
      </w:r>
      <w:r>
        <w:rPr>
          <w:rFonts w:hint="eastAsia" w:ascii="宋体" w:hAnsi="宋体"/>
          <w:color w:val="auto"/>
          <w:szCs w:val="21"/>
          <w:highlight w:val="none"/>
        </w:rPr>
        <w:t>1款的设计变更，造成施工方法改变、设备、材料、部件、人工和工程量的增减；</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（2）发包人要求增加的附加试验、改变试验地点；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（3）根据</w:t>
      </w:r>
      <w:r>
        <w:rPr>
          <w:rFonts w:ascii="宋体" w:hAnsi="宋体"/>
          <w:color w:val="auto"/>
          <w:szCs w:val="21"/>
          <w:highlight w:val="none"/>
        </w:rPr>
        <w:t>5.</w:t>
      </w:r>
      <w:r>
        <w:rPr>
          <w:rFonts w:hint="eastAsia" w:ascii="宋体" w:hAnsi="宋体"/>
          <w:color w:val="auto"/>
          <w:szCs w:val="21"/>
          <w:highlight w:val="none"/>
        </w:rPr>
        <w:t>2</w:t>
      </w:r>
      <w:r>
        <w:rPr>
          <w:rFonts w:ascii="宋体" w:hAnsi="宋体"/>
          <w:color w:val="auto"/>
          <w:szCs w:val="21"/>
          <w:highlight w:val="none"/>
        </w:rPr>
        <w:t>.1</w:t>
      </w:r>
      <w:r>
        <w:rPr>
          <w:rFonts w:hint="eastAsia" w:ascii="宋体" w:hAnsi="宋体"/>
          <w:color w:val="auto"/>
          <w:szCs w:val="21"/>
          <w:highlight w:val="none"/>
        </w:rPr>
        <w:t>款第（</w:t>
      </w:r>
      <w:r>
        <w:rPr>
          <w:rFonts w:ascii="宋体" w:hAnsi="宋体"/>
          <w:color w:val="auto"/>
          <w:szCs w:val="21"/>
          <w:highlight w:val="none"/>
        </w:rPr>
        <w:t>1</w:t>
      </w:r>
      <w:r>
        <w:rPr>
          <w:rFonts w:hint="eastAsia" w:ascii="宋体" w:hAnsi="宋体"/>
          <w:color w:val="auto"/>
          <w:szCs w:val="21"/>
          <w:highlight w:val="none"/>
        </w:rPr>
        <w:t>）项、第（</w:t>
      </w:r>
      <w:r>
        <w:rPr>
          <w:rFonts w:ascii="宋体" w:hAnsi="宋体"/>
          <w:color w:val="auto"/>
          <w:szCs w:val="21"/>
          <w:highlight w:val="none"/>
        </w:rPr>
        <w:t>2</w:t>
      </w:r>
      <w:r>
        <w:rPr>
          <w:rFonts w:hint="eastAsia" w:ascii="宋体" w:hAnsi="宋体"/>
          <w:color w:val="auto"/>
          <w:szCs w:val="21"/>
          <w:highlight w:val="none"/>
        </w:rPr>
        <w:t>）项之外，新增加的施工障碍处理；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（4）发包人对竣工试验经验收或视为验收合格的项目，通知重新进行竣工试验；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（5）因执行基准日期之后新颁布的法律、标准、规范引起的变更。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（6）现场其他签证；</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（7）上述变更所需的附加工作。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13.2.4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因承包人原因，实际进度明显落后于上述批准的项目进度计划时，承包人应按4.1.2款的约定，自费赶上；竣工日期延误时，按4.5款的约定承担误期赔偿责任。</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13.2.</w:t>
      </w:r>
      <w:r>
        <w:rPr>
          <w:rFonts w:hint="eastAsia" w:ascii="宋体" w:hAnsi="宋体"/>
          <w:color w:val="auto"/>
          <w:szCs w:val="21"/>
          <w:highlight w:val="none"/>
        </w:rPr>
        <w:t>5 调减部分工程。发包人的暂停超过45日，承包人请求复工时仍不能复工，或因不可抗力持续而无法继续施工的，双方可按合同约定以变更方式调减受暂停影响的部分工程。</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13.2.6其它变更。根据工程的具体特点，在专用条款中约定。</w:t>
      </w:r>
    </w:p>
    <w:p>
      <w:pPr>
        <w:pStyle w:val="4"/>
        <w:rPr>
          <w:rFonts w:ascii="宋体" w:hAnsi="宋体"/>
          <w:color w:val="auto"/>
          <w:kern w:val="0"/>
          <w:sz w:val="21"/>
          <w:szCs w:val="21"/>
          <w:highlight w:val="none"/>
        </w:rPr>
      </w:pPr>
      <w:bookmarkStart w:id="1116" w:name="_Toc419363750"/>
      <w:bookmarkStart w:id="1117" w:name="_Toc419321330"/>
      <w:bookmarkStart w:id="1118" w:name="_Toc419364419"/>
      <w:bookmarkStart w:id="1119" w:name="_Toc433988786"/>
      <w:bookmarkStart w:id="1120" w:name="_Toc491277334"/>
      <w:bookmarkStart w:id="1121" w:name="_Toc419320294"/>
      <w:r>
        <w:rPr>
          <w:rFonts w:ascii="宋体" w:hAnsi="宋体"/>
          <w:color w:val="auto"/>
          <w:kern w:val="0"/>
          <w:sz w:val="21"/>
          <w:szCs w:val="21"/>
          <w:highlight w:val="none"/>
        </w:rPr>
        <w:t>13.3</w:t>
      </w:r>
      <w:r>
        <w:rPr>
          <w:rFonts w:hint="eastAsia" w:ascii="宋体" w:hAnsi="宋体"/>
          <w:color w:val="auto"/>
          <w:kern w:val="0"/>
          <w:sz w:val="21"/>
          <w:szCs w:val="21"/>
          <w:highlight w:val="none"/>
        </w:rPr>
        <w:t xml:space="preserve">  变更程序</w:t>
      </w:r>
      <w:bookmarkEnd w:id="1116"/>
      <w:bookmarkEnd w:id="1117"/>
      <w:bookmarkEnd w:id="1118"/>
      <w:bookmarkEnd w:id="1119"/>
      <w:bookmarkEnd w:id="1120"/>
      <w:bookmarkEnd w:id="1121"/>
    </w:p>
    <w:p>
      <w:pPr>
        <w:spacing w:line="300" w:lineRule="auto"/>
        <w:ind w:firstLine="420" w:firstLineChars="200"/>
        <w:rPr>
          <w:rFonts w:ascii="宋体" w:hAnsi="宋体"/>
          <w:color w:val="auto"/>
          <w:szCs w:val="21"/>
          <w:highlight w:val="none"/>
        </w:rPr>
      </w:pPr>
      <w:r>
        <w:rPr>
          <w:rFonts w:ascii="宋体" w:hAnsi="宋体"/>
          <w:color w:val="auto"/>
          <w:szCs w:val="21"/>
          <w:highlight w:val="none"/>
        </w:rPr>
        <w:t>13.3.1</w:t>
      </w:r>
      <w:r>
        <w:rPr>
          <w:rFonts w:hint="eastAsia" w:ascii="宋体" w:hAnsi="宋体"/>
          <w:color w:val="auto"/>
          <w:szCs w:val="21"/>
          <w:highlight w:val="none"/>
        </w:rPr>
        <w:t xml:space="preserve">变更通知。发包人的变更应事先以书面形式通知承包人。 </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13.3.2</w:t>
      </w:r>
      <w:r>
        <w:rPr>
          <w:rFonts w:hint="eastAsia" w:ascii="宋体" w:hAnsi="宋体"/>
          <w:color w:val="auto"/>
          <w:szCs w:val="21"/>
          <w:highlight w:val="none"/>
        </w:rPr>
        <w:t xml:space="preserve"> 变更通知的建议报告。承包人接到发包人的变更通知后，有义务在10日内向发包人提交书面建议报告，</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承包人未提交增加费用的估算及竣工日期延长，视为该项变更不涉及合同价格调整和竣工日期延长，发包人不再承担此项变更的任何费用及竣工日期延长的责任。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（2）如承包人不接受发包人变更通知中的变更时，建议报告中应包括不支持此项变更的理由，理由包括：</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1）此变更不符合法律、法规等有关规定；</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2）承包人难以取得变更所需的特殊设备、材料、部件；</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3）承包人难以取得变更所需的工艺、技术；</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4）变更将降低工程的安全性、稳定性、适用性；</w:t>
      </w:r>
    </w:p>
    <w:p>
      <w:pPr>
        <w:spacing w:line="300" w:lineRule="auto"/>
        <w:ind w:firstLine="743" w:firstLineChars="354"/>
        <w:rPr>
          <w:rFonts w:ascii="宋体" w:hAnsi="宋体"/>
          <w:color w:val="auto"/>
          <w:szCs w:val="21"/>
          <w:highlight w:val="none"/>
        </w:rPr>
      </w:pPr>
      <w:r>
        <w:rPr>
          <w:rFonts w:hint="eastAsia" w:ascii="宋体" w:hAnsi="宋体"/>
          <w:color w:val="auto"/>
          <w:szCs w:val="21"/>
          <w:highlight w:val="none"/>
        </w:rPr>
        <w:t>5）对生产性能保证值、使用功能保证的实现产生不利影响等。</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13.3.3</w:t>
      </w:r>
      <w:r>
        <w:rPr>
          <w:rFonts w:hint="eastAsia" w:ascii="宋体" w:hAnsi="宋体"/>
          <w:color w:val="auto"/>
          <w:szCs w:val="21"/>
          <w:highlight w:val="none"/>
        </w:rPr>
        <w:t>发包人的审查和批准。发包人应在接到承包人根据13.3.2款约定提交的书面建议报告后</w:t>
      </w:r>
      <w:r>
        <w:rPr>
          <w:rFonts w:ascii="宋体" w:hAnsi="宋体"/>
          <w:color w:val="auto"/>
          <w:szCs w:val="21"/>
          <w:highlight w:val="none"/>
        </w:rPr>
        <w:t>10</w:t>
      </w:r>
      <w:r>
        <w:rPr>
          <w:rFonts w:hint="eastAsia" w:ascii="宋体" w:hAnsi="宋体"/>
          <w:color w:val="auto"/>
          <w:szCs w:val="21"/>
          <w:highlight w:val="none"/>
        </w:rPr>
        <w:t>日内对此项建议给予审查，并发出批准、撤销、改变、提出进一步要求的书面通知。承包人在等待发包人回复的时间内，不能停止或延误任何工作。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）发包人接到承包人根据13.3.2款第（1）项的约定提交的建议报告，对其理由、估算、和（或）竣工日期延长经审查批准后，应以书面形式下达变更指令。</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发包人在下达的变更指令中，未能确认承包人对此项变更提出的估算和（或）竣工日期延长亦未提出异议的，自发包人接到此项书面建议报告后的第</w:t>
      </w:r>
      <w:r>
        <w:rPr>
          <w:rFonts w:ascii="宋体" w:hAnsi="宋体"/>
          <w:color w:val="auto"/>
          <w:szCs w:val="21"/>
          <w:highlight w:val="none"/>
        </w:rPr>
        <w:t>1</w:t>
      </w:r>
      <w:r>
        <w:rPr>
          <w:rFonts w:hint="eastAsia" w:ascii="宋体" w:hAnsi="宋体"/>
          <w:color w:val="auto"/>
          <w:szCs w:val="21"/>
          <w:highlight w:val="none"/>
        </w:rPr>
        <w:t>1日开始，视为承包人提交的变更估算、和（或）竣工日期延长，已被发包人批准。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（2）发包人对承包人根据13.3.2款第（2）项提交的不接受此项变更的理由进行审查后，发出继续执行、改变、提出进一步补充资料的书面通知，承包人应予以执行。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13.3.4 承包人根据13.1.3 款的约定提交变更建议书的，其变更程序按照本变更程序的约定办理。</w:t>
      </w:r>
    </w:p>
    <w:p>
      <w:pPr>
        <w:pStyle w:val="4"/>
        <w:rPr>
          <w:rFonts w:ascii="宋体" w:hAnsi="宋体"/>
          <w:color w:val="auto"/>
          <w:kern w:val="0"/>
          <w:sz w:val="21"/>
          <w:szCs w:val="21"/>
          <w:highlight w:val="none"/>
        </w:rPr>
      </w:pPr>
      <w:bookmarkStart w:id="1122" w:name="_Toc433988787"/>
      <w:bookmarkStart w:id="1123" w:name="_Toc419320295"/>
      <w:bookmarkStart w:id="1124" w:name="_Toc419363751"/>
      <w:bookmarkStart w:id="1125" w:name="_Toc419364420"/>
      <w:bookmarkStart w:id="1126" w:name="_Toc491277335"/>
      <w:bookmarkStart w:id="1127" w:name="_Toc419321331"/>
      <w:r>
        <w:rPr>
          <w:rFonts w:hint="eastAsia" w:ascii="宋体" w:hAnsi="宋体"/>
          <w:color w:val="auto"/>
          <w:kern w:val="0"/>
          <w:sz w:val="21"/>
          <w:szCs w:val="21"/>
          <w:highlight w:val="none"/>
        </w:rPr>
        <w:t>13.4  紧急性变更程序</w:t>
      </w:r>
      <w:bookmarkEnd w:id="1122"/>
      <w:bookmarkEnd w:id="1123"/>
      <w:bookmarkEnd w:id="1124"/>
      <w:bookmarkEnd w:id="1125"/>
      <w:bookmarkEnd w:id="1126"/>
      <w:bookmarkEnd w:id="1127"/>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13.4.1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13.4.2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承包人未能在此项变更完成后的10日内提交实际消耗的估算、和（或）延长竣工日期的书面资料，视为该项变更不涉及合同价格调整和竣工日期延长，发包人不再承担此项变更的任何责任。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13.4.3发包人应在接到承包人根据13.4.2款提交的书面资料后的10日内，以书面形式通知承包人被批准的合理估算，和（或）给予竣工日期的合理延长。</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发包人在接到承包人的此项书面报告后的</w:t>
      </w:r>
      <w:r>
        <w:rPr>
          <w:rFonts w:ascii="宋体" w:hAnsi="宋体"/>
          <w:color w:val="auto"/>
          <w:szCs w:val="21"/>
          <w:highlight w:val="none"/>
        </w:rPr>
        <w:t>10</w:t>
      </w:r>
      <w:r>
        <w:rPr>
          <w:rFonts w:hint="eastAsia" w:ascii="宋体" w:hAnsi="宋体"/>
          <w:color w:val="auto"/>
          <w:szCs w:val="21"/>
          <w:highlight w:val="none"/>
        </w:rPr>
        <w:t>日内，未能批准承包人的估算和（或）竣工日期延长亦未说明理由的，自接到该报告的第</w:t>
      </w:r>
      <w:r>
        <w:rPr>
          <w:rFonts w:ascii="宋体" w:hAnsi="宋体"/>
          <w:color w:val="auto"/>
          <w:szCs w:val="21"/>
          <w:highlight w:val="none"/>
        </w:rPr>
        <w:t xml:space="preserve">11 </w:t>
      </w:r>
      <w:r>
        <w:rPr>
          <w:rFonts w:hint="eastAsia" w:ascii="宋体" w:hAnsi="宋体"/>
          <w:color w:val="auto"/>
          <w:szCs w:val="21"/>
          <w:highlight w:val="none"/>
        </w:rPr>
        <w:t>日后，视为承包人提交的估算、和（或）竣工日期延长已被发包人批准。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承包人对发包人批准的变更费用、竣工日期的延长存有争议时，双方应友好协商解决，协商不成时，依据16.3款争议和裁决的程序解决。</w:t>
      </w:r>
    </w:p>
    <w:p>
      <w:pPr>
        <w:pStyle w:val="4"/>
        <w:rPr>
          <w:rFonts w:ascii="宋体" w:hAnsi="宋体"/>
          <w:color w:val="auto"/>
          <w:kern w:val="0"/>
          <w:sz w:val="21"/>
          <w:szCs w:val="21"/>
          <w:highlight w:val="none"/>
        </w:rPr>
      </w:pPr>
      <w:bookmarkStart w:id="1128" w:name="_Toc419321332"/>
      <w:bookmarkStart w:id="1129" w:name="_Toc419320296"/>
      <w:bookmarkStart w:id="1130" w:name="_Toc419363752"/>
      <w:bookmarkStart w:id="1131" w:name="_Toc419364421"/>
      <w:bookmarkStart w:id="1132" w:name="_Toc491277336"/>
      <w:bookmarkStart w:id="1133" w:name="_Toc433988788"/>
      <w:r>
        <w:rPr>
          <w:rFonts w:hint="eastAsia" w:ascii="宋体" w:hAnsi="宋体"/>
          <w:color w:val="auto"/>
          <w:kern w:val="0"/>
          <w:sz w:val="21"/>
          <w:szCs w:val="21"/>
          <w:highlight w:val="none"/>
        </w:rPr>
        <w:t>13.5  变更价款确定</w:t>
      </w:r>
      <w:bookmarkEnd w:id="1128"/>
      <w:bookmarkEnd w:id="1129"/>
      <w:bookmarkEnd w:id="1130"/>
      <w:bookmarkEnd w:id="1131"/>
      <w:bookmarkEnd w:id="1132"/>
      <w:bookmarkEnd w:id="1133"/>
    </w:p>
    <w:p>
      <w:pPr>
        <w:spacing w:before="120" w:beforeLines="50" w:after="120" w:afterLines="50" w:line="300" w:lineRule="auto"/>
        <w:ind w:firstLine="420" w:firstLineChars="200"/>
        <w:rPr>
          <w:rFonts w:ascii="宋体" w:hAnsi="宋体"/>
          <w:color w:val="auto"/>
          <w:szCs w:val="21"/>
          <w:highlight w:val="none"/>
        </w:rPr>
      </w:pPr>
      <w:r>
        <w:rPr>
          <w:rFonts w:hint="eastAsia" w:ascii="宋体" w:hAnsi="宋体"/>
          <w:color w:val="auto"/>
          <w:szCs w:val="21"/>
          <w:highlight w:val="none"/>
        </w:rPr>
        <w:t>变更价款按以下方法确定：</w:t>
      </w:r>
    </w:p>
    <w:p>
      <w:pPr>
        <w:spacing w:before="120" w:beforeLines="50" w:after="120" w:afterLines="50" w:line="300" w:lineRule="auto"/>
        <w:ind w:firstLine="420" w:firstLineChars="200"/>
        <w:rPr>
          <w:rFonts w:ascii="宋体" w:hAnsi="宋体"/>
          <w:color w:val="auto"/>
          <w:szCs w:val="21"/>
          <w:highlight w:val="none"/>
        </w:rPr>
      </w:pPr>
      <w:r>
        <w:rPr>
          <w:rFonts w:ascii="宋体" w:hAnsi="宋体"/>
          <w:color w:val="auto"/>
          <w:szCs w:val="21"/>
          <w:highlight w:val="none"/>
        </w:rPr>
        <w:t xml:space="preserve">13.5.1 </w:t>
      </w:r>
      <w:r>
        <w:rPr>
          <w:rFonts w:hint="eastAsia" w:ascii="宋体" w:hAnsi="宋体"/>
          <w:color w:val="auto"/>
          <w:szCs w:val="21"/>
          <w:highlight w:val="none"/>
        </w:rPr>
        <w:t>合同中已有相应人工、机具、工程量等单价（含取费）的，按合同中已有的相应人工、机具、工程量等单价（含取费）确定变更价款；</w:t>
      </w:r>
    </w:p>
    <w:p>
      <w:pPr>
        <w:spacing w:before="120" w:beforeLines="50" w:after="120" w:afterLines="50" w:line="300" w:lineRule="auto"/>
        <w:ind w:firstLine="420" w:firstLineChars="200"/>
        <w:rPr>
          <w:rFonts w:ascii="宋体" w:hAnsi="宋体"/>
          <w:color w:val="auto"/>
          <w:szCs w:val="21"/>
          <w:highlight w:val="none"/>
        </w:rPr>
      </w:pPr>
      <w:r>
        <w:rPr>
          <w:rFonts w:ascii="宋体" w:hAnsi="宋体"/>
          <w:color w:val="auto"/>
          <w:szCs w:val="21"/>
          <w:highlight w:val="none"/>
        </w:rPr>
        <w:t>13.5.</w:t>
      </w:r>
      <w:r>
        <w:rPr>
          <w:rFonts w:hint="eastAsia" w:ascii="宋体" w:hAnsi="宋体"/>
          <w:color w:val="auto"/>
          <w:szCs w:val="21"/>
          <w:highlight w:val="none"/>
        </w:rPr>
        <w:t>2合同中无相应人工、机具、工程量等单价（含取费）的，按类似于变更工程的价格确定变更价款；</w:t>
      </w:r>
    </w:p>
    <w:p>
      <w:pPr>
        <w:spacing w:before="120" w:beforeLines="50" w:after="120" w:afterLines="50" w:line="300" w:lineRule="auto"/>
        <w:ind w:firstLine="420" w:firstLineChars="200"/>
        <w:rPr>
          <w:rFonts w:ascii="宋体" w:hAnsi="宋体"/>
          <w:color w:val="auto"/>
          <w:szCs w:val="21"/>
          <w:highlight w:val="none"/>
        </w:rPr>
      </w:pPr>
      <w:r>
        <w:rPr>
          <w:rFonts w:ascii="宋体" w:hAnsi="宋体"/>
          <w:color w:val="auto"/>
          <w:szCs w:val="21"/>
          <w:highlight w:val="none"/>
        </w:rPr>
        <w:t xml:space="preserve">13.5.3 </w:t>
      </w:r>
      <w:r>
        <w:rPr>
          <w:rFonts w:hint="eastAsia" w:ascii="宋体" w:hAnsi="宋体"/>
          <w:color w:val="auto"/>
          <w:szCs w:val="21"/>
          <w:highlight w:val="none"/>
        </w:rPr>
        <w:t>合同中无相应人工、机具、工程量等单价（含取费），亦无类似于变更工程的价格的，双方通过协商确定变更价款。</w:t>
      </w:r>
    </w:p>
    <w:p>
      <w:pPr>
        <w:spacing w:before="120" w:beforeLines="50" w:after="120" w:afterLines="50" w:line="300" w:lineRule="auto"/>
        <w:ind w:firstLine="420" w:firstLineChars="200"/>
        <w:rPr>
          <w:rFonts w:ascii="宋体" w:hAnsi="宋体"/>
          <w:color w:val="auto"/>
          <w:szCs w:val="21"/>
          <w:highlight w:val="none"/>
        </w:rPr>
      </w:pPr>
      <w:r>
        <w:rPr>
          <w:rFonts w:ascii="宋体" w:hAnsi="宋体"/>
          <w:color w:val="auto"/>
          <w:szCs w:val="21"/>
          <w:highlight w:val="none"/>
        </w:rPr>
        <w:t xml:space="preserve">13 .5.4 </w:t>
      </w:r>
      <w:r>
        <w:rPr>
          <w:rFonts w:hint="eastAsia" w:ascii="宋体" w:hAnsi="宋体"/>
          <w:color w:val="auto"/>
          <w:szCs w:val="21"/>
          <w:highlight w:val="none"/>
        </w:rPr>
        <w:t>专用条款中约定的其它方法。</w:t>
      </w:r>
    </w:p>
    <w:p>
      <w:pPr>
        <w:pStyle w:val="4"/>
        <w:rPr>
          <w:rFonts w:ascii="宋体" w:hAnsi="宋体"/>
          <w:color w:val="auto"/>
          <w:kern w:val="0"/>
          <w:sz w:val="21"/>
          <w:szCs w:val="21"/>
          <w:highlight w:val="none"/>
        </w:rPr>
      </w:pPr>
      <w:bookmarkStart w:id="1134" w:name="_Toc419364422"/>
      <w:bookmarkStart w:id="1135" w:name="_Toc419363753"/>
      <w:bookmarkStart w:id="1136" w:name="_Toc419321333"/>
      <w:bookmarkStart w:id="1137" w:name="_Toc419320297"/>
      <w:bookmarkStart w:id="1138" w:name="_Toc433988789"/>
      <w:bookmarkStart w:id="1139" w:name="_Toc491277337"/>
      <w:r>
        <w:rPr>
          <w:rFonts w:hint="eastAsia" w:ascii="宋体" w:hAnsi="宋体"/>
          <w:color w:val="auto"/>
          <w:kern w:val="0"/>
          <w:sz w:val="21"/>
          <w:szCs w:val="21"/>
          <w:highlight w:val="none"/>
        </w:rPr>
        <w:t>13.6  建议变更的利益分享</w:t>
      </w:r>
      <w:bookmarkEnd w:id="1134"/>
      <w:bookmarkEnd w:id="1135"/>
      <w:bookmarkEnd w:id="1136"/>
      <w:bookmarkEnd w:id="1137"/>
      <w:bookmarkEnd w:id="1138"/>
      <w:bookmarkEnd w:id="1139"/>
    </w:p>
    <w:p>
      <w:pPr>
        <w:spacing w:before="120" w:beforeLines="50" w:after="120" w:afterLines="50" w:line="300" w:lineRule="auto"/>
        <w:ind w:firstLine="420" w:firstLineChars="200"/>
        <w:rPr>
          <w:rFonts w:ascii="宋体" w:hAnsi="宋体"/>
          <w:color w:val="auto"/>
          <w:szCs w:val="21"/>
          <w:highlight w:val="none"/>
        </w:rPr>
      </w:pPr>
      <w:r>
        <w:rPr>
          <w:rFonts w:hint="eastAsia" w:ascii="宋体" w:hAnsi="宋体"/>
          <w:color w:val="auto"/>
          <w:szCs w:val="21"/>
          <w:highlight w:val="none"/>
        </w:rPr>
        <w:t>因发包人批准采用承包人根据13.1.3款提出的变更建议，使工程的投资减少、工期缩短、发包人获得长期运营效益或其它利益的，双方可按专用条款的约定进行利益分享，必要时双发可另行签订利益分享补充协议，作为合同附件。</w:t>
      </w:r>
    </w:p>
    <w:p>
      <w:pPr>
        <w:pStyle w:val="4"/>
        <w:rPr>
          <w:rFonts w:ascii="宋体" w:hAnsi="宋体"/>
          <w:color w:val="auto"/>
          <w:kern w:val="0"/>
          <w:sz w:val="21"/>
          <w:szCs w:val="21"/>
          <w:highlight w:val="none"/>
        </w:rPr>
      </w:pPr>
      <w:bookmarkStart w:id="1140" w:name="_Toc419364423"/>
      <w:bookmarkStart w:id="1141" w:name="_Toc419321334"/>
      <w:bookmarkStart w:id="1142" w:name="_Toc419320298"/>
      <w:bookmarkStart w:id="1143" w:name="_Toc433988790"/>
      <w:bookmarkStart w:id="1144" w:name="_Toc419363754"/>
      <w:bookmarkStart w:id="1145" w:name="_Toc491277338"/>
      <w:r>
        <w:rPr>
          <w:rFonts w:hint="eastAsia" w:ascii="宋体" w:hAnsi="宋体"/>
          <w:color w:val="auto"/>
          <w:kern w:val="0"/>
          <w:sz w:val="21"/>
          <w:szCs w:val="21"/>
          <w:highlight w:val="none"/>
        </w:rPr>
        <w:t>13.7  合同价格调整</w:t>
      </w:r>
      <w:bookmarkEnd w:id="1140"/>
      <w:bookmarkEnd w:id="1141"/>
      <w:bookmarkEnd w:id="1142"/>
      <w:bookmarkEnd w:id="1143"/>
      <w:bookmarkEnd w:id="1144"/>
      <w:bookmarkEnd w:id="1145"/>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Pr>
          <w:rFonts w:ascii="宋体" w:hAnsi="宋体"/>
          <w:color w:val="auto"/>
          <w:szCs w:val="21"/>
          <w:highlight w:val="none"/>
        </w:rPr>
        <w:t>15</w:t>
      </w:r>
      <w:r>
        <w:rPr>
          <w:rFonts w:hint="eastAsia" w:ascii="宋体" w:hAnsi="宋体"/>
          <w:color w:val="auto"/>
          <w:szCs w:val="21"/>
          <w:highlight w:val="none"/>
        </w:rPr>
        <w:t>日内不予确认，也未能提出修改意见的，视为已经同意该项价格的调整。合同价格调整包括以下情况：</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 合同签订后，因法律、国家政策和需遵守的行业规定发生变化，影响到合同价格增减的；</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 合同执行过程中，工程造价管理部门公布的价格调整，涉及承包人投入成本增减的；</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 一周内非承包人原因的停水、停电、停气、道路中断等，造成工程现场停工累计超过8小时的（承包人须提交报告并提供可证实的证明和估算）；</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 发包人根据</w:t>
      </w:r>
      <w:r>
        <w:rPr>
          <w:rFonts w:ascii="宋体" w:hAnsi="宋体"/>
          <w:color w:val="auto"/>
          <w:szCs w:val="21"/>
          <w:highlight w:val="none"/>
        </w:rPr>
        <w:t>13.3</w:t>
      </w:r>
      <w:r>
        <w:rPr>
          <w:rFonts w:hint="eastAsia" w:ascii="宋体" w:hAnsi="宋体"/>
          <w:color w:val="auto"/>
          <w:szCs w:val="21"/>
          <w:highlight w:val="none"/>
        </w:rPr>
        <w:t>款至13.5款变更程序中批准的变更估算的增减；</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 本合同约定的其它增减的款项调整。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对于合同中未约定的增减款项，发包人不承担调整合同价格的责任。除非法律另有规定时除外。合同价格的调整不包括合同变更。</w:t>
      </w:r>
    </w:p>
    <w:p>
      <w:pPr>
        <w:pStyle w:val="4"/>
        <w:rPr>
          <w:rFonts w:ascii="宋体" w:hAnsi="宋体"/>
          <w:color w:val="auto"/>
          <w:kern w:val="0"/>
          <w:sz w:val="21"/>
          <w:szCs w:val="21"/>
          <w:highlight w:val="none"/>
        </w:rPr>
      </w:pPr>
      <w:bookmarkStart w:id="1146" w:name="_Toc419364424"/>
      <w:bookmarkStart w:id="1147" w:name="_Toc419363755"/>
      <w:bookmarkStart w:id="1148" w:name="_Toc419320299"/>
      <w:bookmarkStart w:id="1149" w:name="_Toc419321335"/>
      <w:bookmarkStart w:id="1150" w:name="_Toc433988791"/>
      <w:bookmarkStart w:id="1151" w:name="_Toc491277339"/>
      <w:r>
        <w:rPr>
          <w:rFonts w:hint="eastAsia" w:ascii="宋体" w:hAnsi="宋体"/>
          <w:color w:val="auto"/>
          <w:kern w:val="0"/>
          <w:sz w:val="21"/>
          <w:szCs w:val="21"/>
          <w:highlight w:val="none"/>
        </w:rPr>
        <w:t>13.8  合同价格调整的争议</w:t>
      </w:r>
      <w:bookmarkEnd w:id="1146"/>
      <w:bookmarkEnd w:id="1147"/>
      <w:bookmarkEnd w:id="1148"/>
      <w:bookmarkEnd w:id="1149"/>
      <w:bookmarkEnd w:id="1150"/>
      <w:bookmarkEnd w:id="1151"/>
    </w:p>
    <w:p>
      <w:pPr>
        <w:spacing w:before="120" w:beforeLines="50" w:after="120" w:afterLines="50" w:line="300" w:lineRule="auto"/>
        <w:ind w:firstLine="420" w:firstLineChars="200"/>
        <w:rPr>
          <w:rFonts w:ascii="宋体" w:hAnsi="宋体"/>
          <w:color w:val="auto"/>
          <w:szCs w:val="21"/>
          <w:highlight w:val="none"/>
        </w:rPr>
      </w:pPr>
      <w:r>
        <w:rPr>
          <w:rFonts w:hint="eastAsia" w:ascii="宋体" w:hAnsi="宋体"/>
          <w:color w:val="auto"/>
          <w:szCs w:val="21"/>
          <w:highlight w:val="none"/>
        </w:rPr>
        <w:t>经协商，双方未能对工程变更的费用、合同价格的调整或竣工日期的延长达成一致，根据</w:t>
      </w:r>
      <w:r>
        <w:rPr>
          <w:rFonts w:ascii="宋体" w:hAnsi="宋体"/>
          <w:color w:val="auto"/>
          <w:szCs w:val="21"/>
          <w:highlight w:val="none"/>
        </w:rPr>
        <w:t>16.3</w:t>
      </w:r>
      <w:r>
        <w:rPr>
          <w:rFonts w:hint="eastAsia" w:ascii="宋体" w:hAnsi="宋体"/>
          <w:color w:val="auto"/>
          <w:szCs w:val="21"/>
          <w:highlight w:val="none"/>
        </w:rPr>
        <w:t>款关于争议和裁决的约定解决。</w:t>
      </w:r>
    </w:p>
    <w:p>
      <w:pPr>
        <w:pStyle w:val="2"/>
        <w:ind w:left="210" w:leftChars="100"/>
        <w:rPr>
          <w:rFonts w:ascii="宋体" w:hAnsi="宋体" w:eastAsia="宋体"/>
          <w:color w:val="auto"/>
          <w:sz w:val="28"/>
          <w:szCs w:val="28"/>
          <w:highlight w:val="none"/>
        </w:rPr>
      </w:pPr>
      <w:bookmarkStart w:id="1152" w:name="_Toc419364425"/>
      <w:bookmarkStart w:id="1153" w:name="_Toc419321336"/>
      <w:bookmarkStart w:id="1154" w:name="_Toc419363756"/>
      <w:bookmarkStart w:id="1155" w:name="_Toc491277340"/>
      <w:bookmarkStart w:id="1156" w:name="_Toc433988792"/>
      <w:bookmarkStart w:id="1157" w:name="_Toc419320300"/>
      <w:r>
        <w:rPr>
          <w:rFonts w:hint="eastAsia" w:ascii="宋体" w:hAnsi="宋体" w:eastAsia="宋体"/>
          <w:color w:val="auto"/>
          <w:sz w:val="28"/>
          <w:szCs w:val="28"/>
          <w:highlight w:val="none"/>
        </w:rPr>
        <w:t>第</w:t>
      </w:r>
      <w:r>
        <w:rPr>
          <w:rFonts w:ascii="宋体" w:hAnsi="宋体" w:eastAsia="宋体"/>
          <w:color w:val="auto"/>
          <w:sz w:val="28"/>
          <w:szCs w:val="28"/>
          <w:highlight w:val="none"/>
        </w:rPr>
        <w:t>14</w:t>
      </w:r>
      <w:r>
        <w:rPr>
          <w:rFonts w:hint="eastAsia" w:ascii="宋体" w:hAnsi="宋体" w:eastAsia="宋体"/>
          <w:color w:val="auto"/>
          <w:sz w:val="28"/>
          <w:szCs w:val="28"/>
          <w:highlight w:val="none"/>
        </w:rPr>
        <w:t>条合同总价和付款</w:t>
      </w:r>
      <w:bookmarkEnd w:id="1152"/>
      <w:bookmarkEnd w:id="1153"/>
      <w:bookmarkEnd w:id="1154"/>
      <w:bookmarkEnd w:id="1155"/>
      <w:bookmarkEnd w:id="1156"/>
      <w:bookmarkEnd w:id="1157"/>
    </w:p>
    <w:p>
      <w:pPr>
        <w:pStyle w:val="4"/>
        <w:rPr>
          <w:rFonts w:ascii="宋体" w:hAnsi="宋体"/>
          <w:color w:val="auto"/>
          <w:kern w:val="0"/>
          <w:sz w:val="21"/>
          <w:szCs w:val="21"/>
          <w:highlight w:val="none"/>
        </w:rPr>
      </w:pPr>
      <w:bookmarkStart w:id="1158" w:name="_Toc419320301"/>
      <w:bookmarkStart w:id="1159" w:name="_Toc419363757"/>
      <w:bookmarkStart w:id="1160" w:name="_Toc419321337"/>
      <w:bookmarkStart w:id="1161" w:name="_Toc419364426"/>
      <w:bookmarkStart w:id="1162" w:name="_Toc433988793"/>
      <w:bookmarkStart w:id="1163" w:name="_Toc491277341"/>
      <w:r>
        <w:rPr>
          <w:rFonts w:hint="eastAsia" w:ascii="宋体" w:hAnsi="宋体"/>
          <w:color w:val="auto"/>
          <w:kern w:val="0"/>
          <w:sz w:val="21"/>
          <w:szCs w:val="21"/>
          <w:highlight w:val="none"/>
        </w:rPr>
        <w:t>14.1合同总价和付款</w:t>
      </w:r>
      <w:bookmarkEnd w:id="1158"/>
      <w:bookmarkEnd w:id="1159"/>
      <w:bookmarkEnd w:id="1160"/>
      <w:bookmarkEnd w:id="1161"/>
      <w:bookmarkEnd w:id="1162"/>
      <w:bookmarkEnd w:id="1163"/>
    </w:p>
    <w:p>
      <w:pPr>
        <w:spacing w:before="120" w:beforeLines="50" w:after="120" w:afterLines="50" w:line="300" w:lineRule="auto"/>
        <w:ind w:firstLine="420" w:firstLineChars="200"/>
        <w:rPr>
          <w:rFonts w:ascii="宋体" w:hAnsi="宋体"/>
          <w:color w:val="auto"/>
          <w:szCs w:val="21"/>
          <w:highlight w:val="none"/>
        </w:rPr>
      </w:pPr>
      <w:r>
        <w:rPr>
          <w:rFonts w:hint="eastAsia" w:ascii="宋体" w:hAnsi="宋体"/>
          <w:color w:val="auto"/>
          <w:szCs w:val="21"/>
          <w:highlight w:val="none"/>
        </w:rPr>
        <w:t>14.1.1</w:t>
      </w:r>
      <w:r>
        <w:rPr>
          <w:rFonts w:ascii="宋体" w:hAnsi="宋体"/>
          <w:color w:val="auto"/>
          <w:szCs w:val="21"/>
          <w:highlight w:val="none"/>
        </w:rPr>
        <w:t>发包人和承包人应在合同协议书中</w:t>
      </w:r>
      <w:r>
        <w:rPr>
          <w:rFonts w:hint="eastAsia" w:ascii="宋体" w:hAnsi="宋体"/>
          <w:color w:val="auto"/>
          <w:szCs w:val="21"/>
          <w:highlight w:val="none"/>
        </w:rPr>
        <w:t>选择</w:t>
      </w:r>
      <w:r>
        <w:rPr>
          <w:rFonts w:ascii="宋体" w:hAnsi="宋体"/>
          <w:color w:val="auto"/>
          <w:szCs w:val="21"/>
          <w:highlight w:val="none"/>
        </w:rPr>
        <w:t xml:space="preserve">下列一种合同价格形式： </w:t>
      </w:r>
    </w:p>
    <w:p>
      <w:pPr>
        <w:spacing w:line="360" w:lineRule="auto"/>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color w:val="auto"/>
          <w:highlight w:val="none"/>
        </w:rPr>
        <w:t>单价合同</w:t>
      </w:r>
    </w:p>
    <w:p>
      <w:pPr>
        <w:spacing w:line="360" w:lineRule="auto"/>
        <w:ind w:firstLine="420" w:firstLineChars="200"/>
        <w:rPr>
          <w:rFonts w:ascii="宋体" w:hAnsi="宋体"/>
          <w:color w:val="auto"/>
          <w:highlight w:val="none"/>
        </w:rPr>
      </w:pPr>
      <w:r>
        <w:rPr>
          <w:rFonts w:ascii="宋体" w:hAnsi="宋体"/>
          <w:color w:val="auto"/>
          <w:highlight w:val="none"/>
        </w:rPr>
        <w:t>单价合同是指合同当事人约定以工程量清单及其综合单价进行合同价格计算、调整和确认的建设工程</w:t>
      </w:r>
      <w:r>
        <w:rPr>
          <w:rFonts w:hint="eastAsia" w:ascii="宋体" w:hAnsi="宋体"/>
          <w:color w:val="auto"/>
          <w:highlight w:val="none"/>
        </w:rPr>
        <w:t>总承包</w:t>
      </w:r>
      <w:r>
        <w:rPr>
          <w:rFonts w:ascii="宋体" w:hAnsi="宋体"/>
          <w:color w:val="auto"/>
          <w:highlight w:val="none"/>
        </w:rPr>
        <w:t>合同，在约定的范围内合同单价不作调整。合同当事人应在专用合同条款中约定综合单价包含的风险范围和风险费用的计算方法，并约定风险范围以外的合同价格的调整方法。</w:t>
      </w:r>
    </w:p>
    <w:p>
      <w:pPr>
        <w:spacing w:line="360" w:lineRule="auto"/>
        <w:ind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w:t>
      </w:r>
      <w:r>
        <w:rPr>
          <w:rFonts w:ascii="宋体" w:hAnsi="宋体"/>
          <w:color w:val="auto"/>
          <w:highlight w:val="none"/>
        </w:rPr>
        <w:t>总价合同</w:t>
      </w:r>
    </w:p>
    <w:p>
      <w:pPr>
        <w:spacing w:line="360" w:lineRule="auto"/>
        <w:ind w:firstLine="420" w:firstLineChars="200"/>
        <w:rPr>
          <w:color w:val="auto"/>
          <w:highlight w:val="none"/>
        </w:rPr>
      </w:pPr>
      <w:r>
        <w:rPr>
          <w:rFonts w:ascii="宋体" w:hAnsi="宋体"/>
          <w:color w:val="auto"/>
          <w:highlight w:val="none"/>
        </w:rPr>
        <w:t>总价合同是指合同当事人约定以施</w:t>
      </w:r>
      <w:r>
        <w:rPr>
          <w:color w:val="auto"/>
          <w:highlight w:val="none"/>
        </w:rPr>
        <w:t>工图、已标价工程量清单或预算书及有关条件进行合同价格计算、调整和确认的建设工程</w:t>
      </w:r>
      <w:r>
        <w:rPr>
          <w:rFonts w:hint="eastAsia"/>
          <w:color w:val="auto"/>
          <w:highlight w:val="none"/>
        </w:rPr>
        <w:t>总承包</w:t>
      </w:r>
      <w:r>
        <w:rPr>
          <w:color w:val="auto"/>
          <w:highlight w:val="none"/>
        </w:rPr>
        <w:t>合同，在约定的范围内合同总价不作调整。合同当事人应在专用合同条款中约定总价包含的风险范围和风险费用的计算方法，并约定风险范围以外的合同价格的调整方法。</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14.1.2付款</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（1）合同价款的货币币种为人民币，由发包人在中国境内支付给承包人。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（2）发包人应依据合同约定的应付款类别和付款时间安排，向承包人支付合同价款。承包人指定的银行账户，在专用条款中约定。</w:t>
      </w:r>
    </w:p>
    <w:p>
      <w:pPr>
        <w:pStyle w:val="4"/>
        <w:rPr>
          <w:rFonts w:ascii="宋体" w:hAnsi="宋体"/>
          <w:color w:val="auto"/>
          <w:kern w:val="0"/>
          <w:sz w:val="21"/>
          <w:szCs w:val="21"/>
          <w:highlight w:val="none"/>
        </w:rPr>
      </w:pPr>
      <w:bookmarkStart w:id="1164" w:name="_Toc419364427"/>
      <w:bookmarkStart w:id="1165" w:name="_Toc433988794"/>
      <w:bookmarkStart w:id="1166" w:name="_Toc419321338"/>
      <w:bookmarkStart w:id="1167" w:name="_Toc419320302"/>
      <w:bookmarkStart w:id="1168" w:name="_Toc419363758"/>
      <w:bookmarkStart w:id="1169" w:name="_Toc491277342"/>
      <w:r>
        <w:rPr>
          <w:rFonts w:ascii="宋体" w:hAnsi="宋体"/>
          <w:color w:val="auto"/>
          <w:kern w:val="0"/>
          <w:sz w:val="21"/>
          <w:szCs w:val="21"/>
          <w:highlight w:val="none"/>
        </w:rPr>
        <w:t>14.2</w:t>
      </w:r>
      <w:r>
        <w:rPr>
          <w:rFonts w:hint="eastAsia" w:ascii="宋体" w:hAnsi="宋体"/>
          <w:color w:val="auto"/>
          <w:kern w:val="0"/>
          <w:sz w:val="21"/>
          <w:szCs w:val="21"/>
          <w:highlight w:val="none"/>
        </w:rPr>
        <w:t>担保</w:t>
      </w:r>
      <w:bookmarkEnd w:id="1164"/>
      <w:bookmarkEnd w:id="1165"/>
      <w:bookmarkEnd w:id="1166"/>
      <w:bookmarkEnd w:id="1167"/>
      <w:bookmarkEnd w:id="1168"/>
      <w:bookmarkEnd w:id="1169"/>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14.2.1</w:t>
      </w:r>
      <w:r>
        <w:rPr>
          <w:rFonts w:hint="eastAsia" w:ascii="宋体" w:hAnsi="宋体"/>
          <w:color w:val="auto"/>
          <w:szCs w:val="21"/>
          <w:highlight w:val="none"/>
        </w:rPr>
        <w:t>履约保函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合同约定由承包人向发包人提交履约保函时，履约保函的格式、金额和提交时间等具体内容，在专用合同条款中约定。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14.2.2 支付保函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除专用合同条款另有约定外，发包人要求承包人提供履约担保的，发包人应当向承包人提供支付担保。支付保函的格式、内容和提交时间等具体内容在专用合同条款中约定。</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14.2.</w:t>
      </w:r>
      <w:r>
        <w:rPr>
          <w:rFonts w:hint="eastAsia" w:ascii="宋体" w:hAnsi="宋体"/>
          <w:color w:val="auto"/>
          <w:szCs w:val="21"/>
          <w:highlight w:val="none"/>
        </w:rPr>
        <w:t>3 预付款保函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合同约定由承包人向发包人提交预付款保函时，预付款保函的格式、金额和提交时间在专用条款中约定。</w:t>
      </w:r>
    </w:p>
    <w:p>
      <w:pPr>
        <w:pStyle w:val="4"/>
        <w:rPr>
          <w:rFonts w:ascii="宋体" w:hAnsi="宋体"/>
          <w:color w:val="auto"/>
          <w:kern w:val="0"/>
          <w:sz w:val="21"/>
          <w:szCs w:val="21"/>
          <w:highlight w:val="none"/>
        </w:rPr>
      </w:pPr>
      <w:bookmarkStart w:id="1170" w:name="_Toc419364428"/>
      <w:bookmarkStart w:id="1171" w:name="_Toc419321339"/>
      <w:bookmarkStart w:id="1172" w:name="_Toc419363759"/>
      <w:bookmarkStart w:id="1173" w:name="_Toc491277343"/>
      <w:bookmarkStart w:id="1174" w:name="_Toc419320303"/>
      <w:bookmarkStart w:id="1175" w:name="_Toc433988795"/>
      <w:r>
        <w:rPr>
          <w:rFonts w:ascii="宋体" w:hAnsi="宋体"/>
          <w:color w:val="auto"/>
          <w:kern w:val="0"/>
          <w:sz w:val="21"/>
          <w:szCs w:val="21"/>
          <w:highlight w:val="none"/>
        </w:rPr>
        <w:t xml:space="preserve">14.3  </w:t>
      </w:r>
      <w:r>
        <w:rPr>
          <w:rFonts w:hint="eastAsia" w:ascii="宋体" w:hAnsi="宋体"/>
          <w:color w:val="auto"/>
          <w:kern w:val="0"/>
          <w:sz w:val="21"/>
          <w:szCs w:val="21"/>
          <w:highlight w:val="none"/>
        </w:rPr>
        <w:t>预付款</w:t>
      </w:r>
      <w:bookmarkEnd w:id="1170"/>
      <w:bookmarkEnd w:id="1171"/>
      <w:bookmarkEnd w:id="1172"/>
      <w:bookmarkEnd w:id="1173"/>
      <w:bookmarkEnd w:id="1174"/>
      <w:bookmarkEnd w:id="1175"/>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14.3.1 预付款金额</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发包人同意将按合同价格的一定比例作为预付款金额，具体金额在专用条款中约定。</w:t>
      </w:r>
    </w:p>
    <w:p>
      <w:pPr>
        <w:spacing w:line="300" w:lineRule="auto"/>
        <w:ind w:firstLine="420" w:firstLineChars="200"/>
        <w:rPr>
          <w:color w:val="auto"/>
          <w:highlight w:val="none"/>
        </w:rPr>
      </w:pPr>
      <w:bookmarkStart w:id="1176" w:name="_Toc419363760"/>
      <w:r>
        <w:rPr>
          <w:rFonts w:hint="eastAsia"/>
          <w:color w:val="auto"/>
          <w:highlight w:val="none"/>
        </w:rPr>
        <w:t>14.3.2预付款支付</w:t>
      </w:r>
      <w:bookmarkEnd w:id="1176"/>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合同约定了预付款保函时，在合同生效后，发包人收到承包人提交的预付款保函后10日内，根据14.3.1款约定的预付款金额，一次支付给承包人；未约定预付款保函时，发包人应在合同生效后10日内，根据14.3.1款约定的预付款金额，一次支付给承包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14.3.3预付款抵扣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（1）预付款的抵扣方式、抵扣比例和抵扣时间安排，在专用条款中约定。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（2）在发包人签发工程接收证书或合同解除时，预付款尚未抵扣完的，发包人有权要求承包人支付尚未抵扣完的预付款。承包人未能支付的，发包人有权按如下程序扣回预付款的余额：</w:t>
      </w:r>
    </w:p>
    <w:p>
      <w:pPr>
        <w:spacing w:line="300" w:lineRule="auto"/>
        <w:ind w:firstLine="867" w:firstLineChars="413"/>
        <w:rPr>
          <w:rFonts w:ascii="宋体" w:hAnsi="宋体"/>
          <w:color w:val="auto"/>
          <w:szCs w:val="21"/>
          <w:highlight w:val="none"/>
        </w:rPr>
      </w:pPr>
      <w:r>
        <w:rPr>
          <w:rFonts w:hint="eastAsia" w:ascii="宋体" w:hAnsi="宋体"/>
          <w:color w:val="auto"/>
          <w:szCs w:val="21"/>
          <w:highlight w:val="none"/>
        </w:rPr>
        <w:t>1）从应付给承包人的款项中或属于承包人的款项中一次或多次扣除；</w:t>
      </w:r>
    </w:p>
    <w:p>
      <w:pPr>
        <w:spacing w:line="300" w:lineRule="auto"/>
        <w:ind w:firstLine="867" w:firstLineChars="413"/>
        <w:rPr>
          <w:rFonts w:ascii="宋体" w:hAnsi="宋体"/>
          <w:color w:val="auto"/>
          <w:szCs w:val="21"/>
          <w:highlight w:val="none"/>
        </w:rPr>
      </w:pPr>
      <w:r>
        <w:rPr>
          <w:rFonts w:hint="eastAsia" w:ascii="宋体" w:hAnsi="宋体"/>
          <w:color w:val="auto"/>
          <w:szCs w:val="21"/>
          <w:highlight w:val="none"/>
        </w:rPr>
        <w:t xml:space="preserve">2）应付给承包人的款项或属于承包人的款项不足以抵扣时，发包人有权从预付款保函（如约定提交）中扣除尚未抵扣完的预付款； </w:t>
      </w:r>
    </w:p>
    <w:p>
      <w:pPr>
        <w:spacing w:line="300" w:lineRule="auto"/>
        <w:ind w:firstLine="867" w:firstLineChars="413"/>
        <w:rPr>
          <w:rFonts w:ascii="宋体" w:hAnsi="宋体"/>
          <w:color w:val="auto"/>
          <w:szCs w:val="21"/>
          <w:highlight w:val="none"/>
        </w:rPr>
      </w:pPr>
      <w:r>
        <w:rPr>
          <w:rFonts w:hint="eastAsia" w:ascii="宋体" w:hAnsi="宋体"/>
          <w:color w:val="auto"/>
          <w:szCs w:val="21"/>
          <w:highlight w:val="none"/>
        </w:rPr>
        <w:t>3）应付给承包人或属于承包人的款项不足以抵扣且合同未约定承包人提交预付款保函时，承包人应与发包人签订支付尚未抵扣完的预付款支付时间安排协议书；</w:t>
      </w:r>
    </w:p>
    <w:p>
      <w:pPr>
        <w:spacing w:line="300" w:lineRule="auto"/>
        <w:ind w:firstLine="867" w:firstLineChars="413"/>
        <w:rPr>
          <w:rFonts w:ascii="宋体" w:hAnsi="宋体"/>
          <w:color w:val="auto"/>
          <w:szCs w:val="21"/>
          <w:highlight w:val="none"/>
        </w:rPr>
      </w:pPr>
      <w:r>
        <w:rPr>
          <w:rFonts w:hint="eastAsia" w:ascii="宋体" w:hAnsi="宋体"/>
          <w:color w:val="auto"/>
          <w:szCs w:val="21"/>
          <w:highlight w:val="none"/>
        </w:rPr>
        <w:t>4）承包人未能按上述协议书执行，发包人有权从履约保函（如有）中抵扣尚未扣完的预付款。</w:t>
      </w:r>
    </w:p>
    <w:p>
      <w:pPr>
        <w:pStyle w:val="4"/>
        <w:rPr>
          <w:rFonts w:ascii="宋体" w:hAnsi="宋体"/>
          <w:color w:val="auto"/>
          <w:kern w:val="0"/>
          <w:sz w:val="21"/>
          <w:szCs w:val="21"/>
          <w:highlight w:val="none"/>
        </w:rPr>
      </w:pPr>
      <w:bookmarkStart w:id="1177" w:name="_Toc491277344"/>
      <w:bookmarkStart w:id="1178" w:name="_Toc419320304"/>
      <w:bookmarkStart w:id="1179" w:name="_Toc433988796"/>
      <w:bookmarkStart w:id="1180" w:name="_Toc419363761"/>
      <w:bookmarkStart w:id="1181" w:name="_Toc419321340"/>
      <w:bookmarkStart w:id="1182" w:name="_Toc419364429"/>
      <w:r>
        <w:rPr>
          <w:rFonts w:ascii="宋体" w:hAnsi="宋体"/>
          <w:color w:val="auto"/>
          <w:kern w:val="0"/>
          <w:sz w:val="21"/>
          <w:szCs w:val="21"/>
          <w:highlight w:val="none"/>
        </w:rPr>
        <w:t>14.4  工程进度款</w:t>
      </w:r>
      <w:bookmarkEnd w:id="1177"/>
      <w:bookmarkEnd w:id="1178"/>
      <w:bookmarkEnd w:id="1179"/>
      <w:bookmarkEnd w:id="1180"/>
      <w:bookmarkEnd w:id="1181"/>
      <w:bookmarkEnd w:id="1182"/>
    </w:p>
    <w:p>
      <w:pPr>
        <w:spacing w:line="300" w:lineRule="auto"/>
        <w:ind w:firstLine="420" w:firstLineChars="200"/>
        <w:rPr>
          <w:color w:val="auto"/>
          <w:highlight w:val="none"/>
        </w:rPr>
      </w:pPr>
      <w:bookmarkStart w:id="1183" w:name="_Toc419363762"/>
      <w:r>
        <w:rPr>
          <w:rFonts w:hint="eastAsia"/>
          <w:color w:val="auto"/>
          <w:highlight w:val="none"/>
        </w:rPr>
        <w:t>14.4.1工程进度款。工程进度款支付方式、支付条件和支付时间等，在专用条款中约定。</w:t>
      </w:r>
      <w:bookmarkEnd w:id="1183"/>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14.4.2根据工程具体情况，应付的其它进度款，在专用条款约定。</w:t>
      </w:r>
    </w:p>
    <w:p>
      <w:pPr>
        <w:pStyle w:val="4"/>
        <w:rPr>
          <w:rFonts w:ascii="宋体" w:hAnsi="宋体"/>
          <w:color w:val="auto"/>
          <w:kern w:val="0"/>
          <w:sz w:val="21"/>
          <w:szCs w:val="21"/>
          <w:highlight w:val="none"/>
        </w:rPr>
      </w:pPr>
      <w:bookmarkStart w:id="1184" w:name="_Toc491277345"/>
      <w:bookmarkStart w:id="1185" w:name="_Toc419320305"/>
      <w:bookmarkStart w:id="1186" w:name="_Toc419321341"/>
      <w:bookmarkStart w:id="1187" w:name="_Toc433988797"/>
      <w:bookmarkStart w:id="1188" w:name="_Toc419363763"/>
      <w:bookmarkStart w:id="1189" w:name="_Toc419364430"/>
      <w:r>
        <w:rPr>
          <w:rFonts w:hint="eastAsia" w:ascii="宋体" w:hAnsi="宋体"/>
          <w:color w:val="auto"/>
          <w:kern w:val="0"/>
          <w:sz w:val="21"/>
          <w:szCs w:val="21"/>
          <w:highlight w:val="none"/>
        </w:rPr>
        <w:t>14.5  缺陷责任保修金的暂扣与支付</w:t>
      </w:r>
      <w:bookmarkEnd w:id="1184"/>
      <w:bookmarkEnd w:id="1185"/>
      <w:bookmarkEnd w:id="1186"/>
      <w:bookmarkEnd w:id="1187"/>
      <w:bookmarkEnd w:id="1188"/>
      <w:bookmarkEnd w:id="1189"/>
    </w:p>
    <w:p>
      <w:pPr>
        <w:spacing w:line="300" w:lineRule="auto"/>
        <w:ind w:firstLine="420" w:firstLineChars="200"/>
        <w:rPr>
          <w:rFonts w:ascii="宋体" w:hAnsi="宋体"/>
          <w:color w:val="auto"/>
          <w:szCs w:val="21"/>
          <w:highlight w:val="none"/>
        </w:rPr>
      </w:pPr>
      <w:r>
        <w:rPr>
          <w:rFonts w:ascii="宋体" w:hAnsi="宋体"/>
          <w:color w:val="auto"/>
          <w:szCs w:val="21"/>
          <w:highlight w:val="none"/>
        </w:rPr>
        <w:t xml:space="preserve">14.5.1  </w:t>
      </w:r>
      <w:r>
        <w:rPr>
          <w:rFonts w:hint="eastAsia" w:ascii="宋体" w:hAnsi="宋体"/>
          <w:color w:val="auto"/>
          <w:szCs w:val="21"/>
          <w:highlight w:val="none"/>
        </w:rPr>
        <w:t>缺陷责任保修金的暂时扣减。发包人可根据11.2.1</w:t>
      </w:r>
      <w:r>
        <w:rPr>
          <w:rFonts w:ascii="宋体" w:hAnsi="宋体"/>
          <w:color w:val="auto"/>
          <w:szCs w:val="21"/>
          <w:highlight w:val="none"/>
        </w:rPr>
        <w:t>款</w:t>
      </w:r>
      <w:r>
        <w:rPr>
          <w:rFonts w:hint="eastAsia" w:ascii="宋体" w:hAnsi="宋体"/>
          <w:color w:val="auto"/>
          <w:szCs w:val="21"/>
          <w:highlight w:val="none"/>
        </w:rPr>
        <w:t>约定的缺陷责任保修金金额和11.2.2款缺陷责任保修金</w:t>
      </w:r>
      <w:r>
        <w:rPr>
          <w:rFonts w:ascii="宋体" w:hAnsi="宋体"/>
          <w:color w:val="auto"/>
          <w:szCs w:val="21"/>
          <w:highlight w:val="none"/>
        </w:rPr>
        <w:t>暂扣的</w:t>
      </w:r>
      <w:r>
        <w:rPr>
          <w:rFonts w:hint="eastAsia" w:ascii="宋体" w:hAnsi="宋体"/>
          <w:color w:val="auto"/>
          <w:szCs w:val="21"/>
          <w:highlight w:val="none"/>
        </w:rPr>
        <w:t>约定，暂时扣减缺陷责任保修金。</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 xml:space="preserve">14.5.2 </w:t>
      </w:r>
      <w:r>
        <w:rPr>
          <w:rFonts w:hint="eastAsia" w:ascii="宋体" w:hAnsi="宋体"/>
          <w:color w:val="auto"/>
          <w:szCs w:val="21"/>
          <w:highlight w:val="none"/>
        </w:rPr>
        <w:t>缺陷责任</w:t>
      </w:r>
      <w:r>
        <w:rPr>
          <w:rFonts w:ascii="宋体" w:hAnsi="宋体"/>
          <w:color w:val="auto"/>
          <w:szCs w:val="21"/>
          <w:highlight w:val="none"/>
        </w:rPr>
        <w:t>保修金的支付</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 xml:space="preserve">（1） </w:t>
      </w:r>
      <w:r>
        <w:rPr>
          <w:rFonts w:hint="eastAsia" w:ascii="宋体" w:hAnsi="宋体"/>
          <w:color w:val="auto"/>
          <w:szCs w:val="21"/>
          <w:highlight w:val="none"/>
        </w:rPr>
        <w:t>发包人应</w:t>
      </w:r>
      <w:r>
        <w:rPr>
          <w:rFonts w:ascii="宋体" w:hAnsi="宋体"/>
          <w:color w:val="auto"/>
          <w:szCs w:val="21"/>
          <w:highlight w:val="none"/>
        </w:rPr>
        <w:t>在办理工程竣工验收和竣工结算时，</w:t>
      </w:r>
      <w:r>
        <w:rPr>
          <w:rFonts w:hint="eastAsia" w:ascii="宋体" w:hAnsi="宋体"/>
          <w:color w:val="auto"/>
          <w:szCs w:val="21"/>
          <w:highlight w:val="none"/>
        </w:rPr>
        <w:t>将按</w:t>
      </w:r>
      <w:r>
        <w:rPr>
          <w:rFonts w:ascii="宋体" w:hAnsi="宋体"/>
          <w:color w:val="auto"/>
          <w:szCs w:val="21"/>
          <w:highlight w:val="none"/>
        </w:rPr>
        <w:t>14.5.1款暂时扣减的全部</w:t>
      </w:r>
      <w:r>
        <w:rPr>
          <w:rFonts w:hint="eastAsia" w:ascii="宋体" w:hAnsi="宋体"/>
          <w:color w:val="auto"/>
          <w:szCs w:val="21"/>
          <w:highlight w:val="none"/>
        </w:rPr>
        <w:t>缺陷责任保修金</w:t>
      </w:r>
      <w:r>
        <w:rPr>
          <w:rFonts w:ascii="宋体" w:hAnsi="宋体"/>
          <w:color w:val="auto"/>
          <w:szCs w:val="21"/>
          <w:highlight w:val="none"/>
        </w:rPr>
        <w:t>金额的一半支付给承包人</w:t>
      </w:r>
      <w:r>
        <w:rPr>
          <w:rFonts w:hint="eastAsia" w:ascii="宋体" w:hAnsi="宋体"/>
          <w:color w:val="auto"/>
          <w:szCs w:val="21"/>
          <w:highlight w:val="none"/>
        </w:rPr>
        <w:t>，专用条款</w:t>
      </w:r>
      <w:r>
        <w:rPr>
          <w:rFonts w:ascii="宋体" w:hAnsi="宋体"/>
          <w:color w:val="auto"/>
          <w:szCs w:val="21"/>
          <w:highlight w:val="none"/>
        </w:rPr>
        <w:t>另有</w:t>
      </w:r>
      <w:r>
        <w:rPr>
          <w:rFonts w:hint="eastAsia" w:ascii="宋体" w:hAnsi="宋体"/>
          <w:color w:val="auto"/>
          <w:szCs w:val="21"/>
          <w:highlight w:val="none"/>
        </w:rPr>
        <w:t>约定</w:t>
      </w:r>
      <w:r>
        <w:rPr>
          <w:rFonts w:ascii="宋体" w:hAnsi="宋体"/>
          <w:color w:val="auto"/>
          <w:szCs w:val="21"/>
          <w:highlight w:val="none"/>
        </w:rPr>
        <w:t>时除外。此后，承包人未能按发包人</w:t>
      </w:r>
      <w:r>
        <w:rPr>
          <w:rFonts w:hint="eastAsia" w:ascii="宋体" w:hAnsi="宋体"/>
          <w:color w:val="auto"/>
          <w:szCs w:val="21"/>
          <w:highlight w:val="none"/>
        </w:rPr>
        <w:t>通知</w:t>
      </w:r>
      <w:r>
        <w:rPr>
          <w:rFonts w:ascii="宋体" w:hAnsi="宋体"/>
          <w:color w:val="auto"/>
          <w:szCs w:val="21"/>
          <w:highlight w:val="none"/>
        </w:rPr>
        <w:t>修复</w:t>
      </w:r>
      <w:r>
        <w:rPr>
          <w:rFonts w:hint="eastAsia" w:ascii="宋体" w:hAnsi="宋体"/>
          <w:color w:val="auto"/>
          <w:szCs w:val="21"/>
          <w:highlight w:val="none"/>
        </w:rPr>
        <w:t>缺陷责任期内出现的缺陷或委托发包人修复该缺陷的，修复缺陷的费用，</w:t>
      </w:r>
      <w:r>
        <w:rPr>
          <w:rFonts w:ascii="宋体" w:hAnsi="宋体"/>
          <w:color w:val="auto"/>
          <w:szCs w:val="21"/>
          <w:highlight w:val="none"/>
        </w:rPr>
        <w:t>从余下的</w:t>
      </w:r>
      <w:r>
        <w:rPr>
          <w:rFonts w:hint="eastAsia" w:ascii="宋体" w:hAnsi="宋体"/>
          <w:color w:val="auto"/>
          <w:szCs w:val="21"/>
          <w:highlight w:val="none"/>
        </w:rPr>
        <w:t>缺陷责任</w:t>
      </w:r>
      <w:r>
        <w:rPr>
          <w:rFonts w:ascii="宋体" w:hAnsi="宋体"/>
          <w:color w:val="auto"/>
          <w:szCs w:val="21"/>
          <w:highlight w:val="none"/>
        </w:rPr>
        <w:t>保修金</w:t>
      </w:r>
      <w:r>
        <w:rPr>
          <w:rFonts w:hint="eastAsia" w:ascii="宋体" w:hAnsi="宋体"/>
          <w:color w:val="auto"/>
          <w:szCs w:val="21"/>
          <w:highlight w:val="none"/>
        </w:rPr>
        <w:t>金</w:t>
      </w:r>
      <w:r>
        <w:rPr>
          <w:rFonts w:ascii="宋体" w:hAnsi="宋体"/>
          <w:color w:val="auto"/>
          <w:szCs w:val="21"/>
          <w:highlight w:val="none"/>
        </w:rPr>
        <w:t>额中扣除。发包人</w:t>
      </w:r>
      <w:r>
        <w:rPr>
          <w:rFonts w:hint="eastAsia" w:ascii="宋体" w:hAnsi="宋体"/>
          <w:color w:val="auto"/>
          <w:szCs w:val="21"/>
          <w:highlight w:val="none"/>
        </w:rPr>
        <w:t>应</w:t>
      </w:r>
      <w:r>
        <w:rPr>
          <w:rFonts w:ascii="宋体" w:hAnsi="宋体"/>
          <w:color w:val="auto"/>
          <w:szCs w:val="21"/>
          <w:highlight w:val="none"/>
        </w:rPr>
        <w:t>在</w:t>
      </w:r>
      <w:r>
        <w:rPr>
          <w:rFonts w:hint="eastAsia" w:ascii="宋体" w:hAnsi="宋体"/>
          <w:color w:val="auto"/>
          <w:szCs w:val="21"/>
          <w:highlight w:val="none"/>
        </w:rPr>
        <w:t>缺陷责任期届满后15日内，</w:t>
      </w:r>
      <w:r>
        <w:rPr>
          <w:rFonts w:ascii="宋体" w:hAnsi="宋体"/>
          <w:color w:val="auto"/>
          <w:szCs w:val="21"/>
          <w:highlight w:val="none"/>
        </w:rPr>
        <w:t>将</w:t>
      </w:r>
      <w:r>
        <w:rPr>
          <w:rFonts w:hint="eastAsia" w:ascii="宋体" w:hAnsi="宋体"/>
          <w:color w:val="auto"/>
          <w:szCs w:val="21"/>
          <w:highlight w:val="none"/>
        </w:rPr>
        <w:t>暂扣的缺陷责任</w:t>
      </w:r>
      <w:r>
        <w:rPr>
          <w:rFonts w:ascii="宋体" w:hAnsi="宋体"/>
          <w:color w:val="auto"/>
          <w:szCs w:val="21"/>
          <w:highlight w:val="none"/>
        </w:rPr>
        <w:t>保修</w:t>
      </w:r>
      <w:r>
        <w:rPr>
          <w:rFonts w:hint="eastAsia" w:ascii="宋体" w:hAnsi="宋体"/>
          <w:color w:val="auto"/>
          <w:szCs w:val="21"/>
          <w:highlight w:val="none"/>
        </w:rPr>
        <w:t>金余额</w:t>
      </w:r>
      <w:r>
        <w:rPr>
          <w:rFonts w:ascii="宋体" w:hAnsi="宋体"/>
          <w:color w:val="auto"/>
          <w:szCs w:val="21"/>
          <w:highlight w:val="none"/>
        </w:rPr>
        <w:t>支付给承包人。</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 xml:space="preserve">（2） </w:t>
      </w:r>
      <w:r>
        <w:rPr>
          <w:rFonts w:hint="eastAsia" w:ascii="宋体" w:hAnsi="宋体"/>
          <w:color w:val="auto"/>
          <w:szCs w:val="21"/>
          <w:highlight w:val="none"/>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w:t>
      </w:r>
      <w:r>
        <w:rPr>
          <w:rFonts w:ascii="宋体" w:hAnsi="宋体"/>
          <w:color w:val="auto"/>
          <w:szCs w:val="21"/>
          <w:highlight w:val="none"/>
        </w:rPr>
        <w:t>5</w:t>
      </w:r>
      <w:r>
        <w:rPr>
          <w:rFonts w:hint="eastAsia" w:ascii="宋体" w:hAnsi="宋体"/>
          <w:color w:val="auto"/>
          <w:szCs w:val="21"/>
          <w:highlight w:val="none"/>
        </w:rPr>
        <w:t>日内，退还该保函。保函的格式、金额和提交时间，在专用条款约定</w:t>
      </w:r>
      <w:r>
        <w:rPr>
          <w:rFonts w:ascii="宋体" w:hAnsi="宋体"/>
          <w:color w:val="auto"/>
          <w:szCs w:val="21"/>
          <w:highlight w:val="none"/>
        </w:rPr>
        <w:t>.</w:t>
      </w:r>
    </w:p>
    <w:p>
      <w:pPr>
        <w:pStyle w:val="4"/>
        <w:rPr>
          <w:rFonts w:ascii="宋体" w:hAnsi="宋体"/>
          <w:color w:val="auto"/>
          <w:kern w:val="0"/>
          <w:sz w:val="21"/>
          <w:szCs w:val="21"/>
          <w:highlight w:val="none"/>
        </w:rPr>
      </w:pPr>
      <w:bookmarkStart w:id="1190" w:name="_Toc419363764"/>
      <w:bookmarkStart w:id="1191" w:name="_Toc419364431"/>
      <w:bookmarkStart w:id="1192" w:name="_Toc433988798"/>
      <w:bookmarkStart w:id="1193" w:name="_Toc491277346"/>
      <w:bookmarkStart w:id="1194" w:name="_Toc419321342"/>
      <w:bookmarkStart w:id="1195" w:name="_Toc419320306"/>
      <w:r>
        <w:rPr>
          <w:rFonts w:ascii="宋体" w:hAnsi="宋体"/>
          <w:color w:val="auto"/>
          <w:kern w:val="0"/>
          <w:sz w:val="21"/>
          <w:szCs w:val="21"/>
          <w:highlight w:val="none"/>
        </w:rPr>
        <w:t>14.6</w:t>
      </w:r>
      <w:r>
        <w:rPr>
          <w:rFonts w:hint="eastAsia" w:ascii="宋体" w:hAnsi="宋体"/>
          <w:color w:val="auto"/>
          <w:kern w:val="0"/>
          <w:sz w:val="21"/>
          <w:szCs w:val="21"/>
          <w:highlight w:val="none"/>
        </w:rPr>
        <w:t xml:space="preserve">  按月工程进度申请付款</w:t>
      </w:r>
      <w:bookmarkEnd w:id="1190"/>
      <w:bookmarkEnd w:id="1191"/>
      <w:bookmarkEnd w:id="1192"/>
      <w:bookmarkEnd w:id="1193"/>
      <w:bookmarkEnd w:id="1194"/>
      <w:bookmarkEnd w:id="1195"/>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14.6.1</w:t>
      </w:r>
      <w:r>
        <w:rPr>
          <w:rFonts w:hint="eastAsia" w:ascii="宋体" w:hAnsi="宋体"/>
          <w:color w:val="auto"/>
          <w:szCs w:val="21"/>
          <w:highlight w:val="none"/>
        </w:rPr>
        <w:t xml:space="preserve">  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按月付款申请报告中的款项包括：</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（1）按14.4款工程进度款约定的款项类别；</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（2）按13.7款合同价格调整约定的增减款项；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（3）按</w:t>
      </w:r>
      <w:r>
        <w:rPr>
          <w:rFonts w:ascii="宋体" w:hAnsi="宋体"/>
          <w:color w:val="auto"/>
          <w:szCs w:val="21"/>
          <w:highlight w:val="none"/>
        </w:rPr>
        <w:t>14.</w:t>
      </w:r>
      <w:r>
        <w:rPr>
          <w:rFonts w:hint="eastAsia" w:ascii="宋体" w:hAnsi="宋体"/>
          <w:color w:val="auto"/>
          <w:szCs w:val="21"/>
          <w:highlight w:val="none"/>
        </w:rPr>
        <w:t>3款预付款约定的支付及扣减的款项；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（4）按</w:t>
      </w:r>
      <w:r>
        <w:rPr>
          <w:rFonts w:ascii="宋体" w:hAnsi="宋体"/>
          <w:color w:val="auto"/>
          <w:szCs w:val="21"/>
          <w:highlight w:val="none"/>
        </w:rPr>
        <w:t>14.5</w:t>
      </w:r>
      <w:r>
        <w:rPr>
          <w:rFonts w:hint="eastAsia" w:ascii="宋体" w:hAnsi="宋体"/>
          <w:color w:val="auto"/>
          <w:szCs w:val="21"/>
          <w:highlight w:val="none"/>
        </w:rPr>
        <w:t>款缺陷责任保修金约定暂扣及支付的款项；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（5）根据16.2款索赔结果增减的款项；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（6）根据另行签订的本合同补充协议增减的款项。</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14.6.2</w:t>
      </w:r>
      <w:r>
        <w:rPr>
          <w:rFonts w:hint="eastAsia" w:ascii="宋体" w:hAnsi="宋体"/>
          <w:color w:val="auto"/>
          <w:szCs w:val="21"/>
          <w:highlight w:val="none"/>
        </w:rPr>
        <w:t xml:space="preserve"> 如双方约定了</w:t>
      </w:r>
      <w:r>
        <w:rPr>
          <w:rFonts w:ascii="宋体" w:hAnsi="宋体"/>
          <w:color w:val="auto"/>
          <w:szCs w:val="21"/>
          <w:highlight w:val="none"/>
        </w:rPr>
        <w:t>14.6.1</w:t>
      </w:r>
      <w:r>
        <w:rPr>
          <w:rFonts w:hint="eastAsia" w:ascii="宋体" w:hAnsi="宋体"/>
          <w:color w:val="auto"/>
          <w:szCs w:val="21"/>
          <w:highlight w:val="none"/>
        </w:rPr>
        <w:t>款按月工程进度申请付款的方式时，则不能再约定按14</w:t>
      </w:r>
      <w:r>
        <w:rPr>
          <w:rFonts w:ascii="宋体" w:hAnsi="宋体"/>
          <w:color w:val="auto"/>
          <w:szCs w:val="21"/>
          <w:highlight w:val="none"/>
        </w:rPr>
        <w:t>.7</w:t>
      </w:r>
      <w:r>
        <w:rPr>
          <w:rFonts w:hint="eastAsia" w:ascii="宋体" w:hAnsi="宋体"/>
          <w:color w:val="auto"/>
          <w:szCs w:val="21"/>
          <w:highlight w:val="none"/>
        </w:rPr>
        <w:t>款按付款计划表申请付款的方式。</w:t>
      </w:r>
    </w:p>
    <w:p>
      <w:pPr>
        <w:pStyle w:val="4"/>
        <w:rPr>
          <w:rFonts w:ascii="宋体" w:hAnsi="宋体"/>
          <w:color w:val="auto"/>
          <w:kern w:val="0"/>
          <w:sz w:val="21"/>
          <w:szCs w:val="21"/>
          <w:highlight w:val="none"/>
        </w:rPr>
      </w:pPr>
      <w:bookmarkStart w:id="1196" w:name="_Toc491277347"/>
      <w:bookmarkStart w:id="1197" w:name="_Toc419320307"/>
      <w:bookmarkStart w:id="1198" w:name="_Toc419321343"/>
      <w:bookmarkStart w:id="1199" w:name="_Toc419363765"/>
      <w:bookmarkStart w:id="1200" w:name="_Toc433988799"/>
      <w:bookmarkStart w:id="1201" w:name="_Toc419364432"/>
      <w:r>
        <w:rPr>
          <w:rFonts w:ascii="宋体" w:hAnsi="宋体"/>
          <w:color w:val="auto"/>
          <w:kern w:val="0"/>
          <w:sz w:val="21"/>
          <w:szCs w:val="21"/>
          <w:highlight w:val="none"/>
        </w:rPr>
        <w:t>14.7</w:t>
      </w:r>
      <w:r>
        <w:rPr>
          <w:rFonts w:hint="eastAsia" w:ascii="宋体" w:hAnsi="宋体"/>
          <w:color w:val="auto"/>
          <w:kern w:val="0"/>
          <w:sz w:val="21"/>
          <w:szCs w:val="21"/>
          <w:highlight w:val="none"/>
        </w:rPr>
        <w:t xml:space="preserve">  按付款计划表申请付款</w:t>
      </w:r>
      <w:bookmarkEnd w:id="1196"/>
      <w:bookmarkEnd w:id="1197"/>
      <w:bookmarkEnd w:id="1198"/>
      <w:bookmarkEnd w:id="1199"/>
      <w:bookmarkEnd w:id="1200"/>
      <w:bookmarkEnd w:id="1201"/>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w:t>
      </w:r>
      <w:r>
        <w:rPr>
          <w:rFonts w:hint="eastAsia" w:ascii="宋体" w:hAnsi="宋体"/>
          <w:color w:val="auto"/>
          <w:szCs w:val="21"/>
          <w:highlight w:val="none"/>
        </w:rPr>
        <w:t>7</w:t>
      </w:r>
      <w:r>
        <w:rPr>
          <w:rFonts w:ascii="宋体" w:hAnsi="宋体"/>
          <w:color w:val="auto"/>
          <w:szCs w:val="21"/>
          <w:highlight w:val="none"/>
        </w:rPr>
        <w:t>.1</w:t>
      </w:r>
      <w:r>
        <w:rPr>
          <w:rFonts w:hint="eastAsia" w:ascii="宋体" w:hAnsi="宋体"/>
          <w:color w:val="auto"/>
          <w:szCs w:val="21"/>
          <w:highlight w:val="none"/>
        </w:rPr>
        <w:t>按付款计划表申请付款</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每期付款申请报告中的款项包括：</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（1）按专用条款中约定的当期计划申请付款的金额；</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（2）按13.7款合同价款调整约定的增减款项；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（3）按</w:t>
      </w:r>
      <w:r>
        <w:rPr>
          <w:rFonts w:ascii="宋体" w:hAnsi="宋体"/>
          <w:color w:val="auto"/>
          <w:szCs w:val="21"/>
          <w:highlight w:val="none"/>
        </w:rPr>
        <w:t>14.3</w:t>
      </w:r>
      <w:r>
        <w:rPr>
          <w:rFonts w:hint="eastAsia" w:ascii="宋体" w:hAnsi="宋体"/>
          <w:color w:val="auto"/>
          <w:szCs w:val="21"/>
          <w:highlight w:val="none"/>
        </w:rPr>
        <w:t>款预付款约定的，支付及扣减的款项；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（4）按</w:t>
      </w:r>
      <w:r>
        <w:rPr>
          <w:rFonts w:ascii="宋体" w:hAnsi="宋体"/>
          <w:color w:val="auto"/>
          <w:szCs w:val="21"/>
          <w:highlight w:val="none"/>
        </w:rPr>
        <w:t>14.5</w:t>
      </w:r>
      <w:r>
        <w:rPr>
          <w:rFonts w:hint="eastAsia" w:ascii="宋体" w:hAnsi="宋体"/>
          <w:color w:val="auto"/>
          <w:szCs w:val="21"/>
          <w:highlight w:val="none"/>
        </w:rPr>
        <w:t>款缺陷责任保修金约定暂扣及支付的款项；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（5）根据16.2款索赔结果增减的款项；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（6）根据另行签订的本合同的补充协议增减的款项。</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14.7.2</w:t>
      </w:r>
      <w:r>
        <w:rPr>
          <w:rFonts w:hint="eastAsia" w:ascii="宋体" w:hAnsi="宋体"/>
          <w:color w:val="auto"/>
          <w:szCs w:val="21"/>
          <w:highlight w:val="none"/>
        </w:rPr>
        <w:t xml:space="preserve">  发包人按付款计划表付款时，承包人的实际工作和（或）实际进度比付款计划表约定的关键路径的目标任务落后30日及以上时，发包人有权与承包人商定减少当期付款金额，并有权与承包人共同调整付款计划表。承包人以后各期的付款申请及发包人的付款，以调整后的付款计划表为依据。</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14.7.3</w:t>
      </w:r>
      <w:r>
        <w:rPr>
          <w:rFonts w:hint="eastAsia" w:ascii="宋体" w:hAnsi="宋体"/>
          <w:color w:val="auto"/>
          <w:szCs w:val="21"/>
          <w:highlight w:val="none"/>
        </w:rPr>
        <w:t xml:space="preserve">  如双方约定了按14</w:t>
      </w:r>
      <w:r>
        <w:rPr>
          <w:rFonts w:ascii="宋体" w:hAnsi="宋体"/>
          <w:color w:val="auto"/>
          <w:szCs w:val="21"/>
          <w:highlight w:val="none"/>
        </w:rPr>
        <w:t>.7</w:t>
      </w:r>
      <w:r>
        <w:rPr>
          <w:rFonts w:hint="eastAsia" w:ascii="宋体" w:hAnsi="宋体"/>
          <w:color w:val="auto"/>
          <w:szCs w:val="21"/>
          <w:highlight w:val="none"/>
        </w:rPr>
        <w:t>款付款计划表的方式申请付款时，不能再约定按14</w:t>
      </w:r>
      <w:r>
        <w:rPr>
          <w:rFonts w:ascii="宋体" w:hAnsi="宋体"/>
          <w:color w:val="auto"/>
          <w:szCs w:val="21"/>
          <w:highlight w:val="none"/>
        </w:rPr>
        <w:t>.6</w:t>
      </w:r>
      <w:r>
        <w:rPr>
          <w:rFonts w:hint="eastAsia" w:ascii="宋体" w:hAnsi="宋体"/>
          <w:color w:val="auto"/>
          <w:szCs w:val="21"/>
          <w:highlight w:val="none"/>
        </w:rPr>
        <w:t>款按月工程进度付款申请的方式。</w:t>
      </w:r>
    </w:p>
    <w:p>
      <w:pPr>
        <w:pStyle w:val="4"/>
        <w:rPr>
          <w:rFonts w:ascii="宋体" w:hAnsi="宋体"/>
          <w:color w:val="auto"/>
          <w:kern w:val="0"/>
          <w:sz w:val="21"/>
          <w:szCs w:val="21"/>
          <w:highlight w:val="none"/>
        </w:rPr>
      </w:pPr>
      <w:bookmarkStart w:id="1202" w:name="_Toc419321344"/>
      <w:bookmarkStart w:id="1203" w:name="_Toc419364433"/>
      <w:bookmarkStart w:id="1204" w:name="_Toc433988800"/>
      <w:bookmarkStart w:id="1205" w:name="_Toc491277348"/>
      <w:bookmarkStart w:id="1206" w:name="_Toc419363766"/>
      <w:bookmarkStart w:id="1207" w:name="_Toc419320308"/>
      <w:r>
        <w:rPr>
          <w:rFonts w:hint="eastAsia" w:ascii="宋体" w:hAnsi="宋体"/>
          <w:color w:val="auto"/>
          <w:kern w:val="0"/>
          <w:sz w:val="21"/>
          <w:szCs w:val="21"/>
          <w:highlight w:val="none"/>
        </w:rPr>
        <w:t>14.8 付款条件与时间安排</w:t>
      </w:r>
      <w:bookmarkEnd w:id="1202"/>
      <w:bookmarkEnd w:id="1203"/>
      <w:bookmarkEnd w:id="1204"/>
      <w:bookmarkEnd w:id="1205"/>
      <w:bookmarkEnd w:id="1206"/>
      <w:bookmarkEnd w:id="1207"/>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14.8.1付款条件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双方约定由承包人提交履约保函时，履约保函的提交应为发包人支付各项款项的前提条件；未约定履约保函时，发包人按约定支付各项款项。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14.8.2 预付款的支付</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工程预付款的支付依据14.3.2款预付款支付的约定执行。预付款抵扣完后，发包人应及时向承包人退还付款保函。</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14.8.</w:t>
      </w:r>
      <w:r>
        <w:rPr>
          <w:rFonts w:hint="eastAsia" w:ascii="宋体" w:hAnsi="宋体"/>
          <w:color w:val="auto"/>
          <w:szCs w:val="21"/>
          <w:highlight w:val="none"/>
        </w:rPr>
        <w:t>3工程进度款</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按月工程进度申请与付款。依据</w:t>
      </w:r>
      <w:r>
        <w:rPr>
          <w:rFonts w:ascii="宋体" w:hAnsi="宋体"/>
          <w:color w:val="auto"/>
          <w:szCs w:val="21"/>
          <w:highlight w:val="none"/>
        </w:rPr>
        <w:t>14.6.1款按月</w:t>
      </w:r>
      <w:r>
        <w:rPr>
          <w:rFonts w:hint="eastAsia" w:ascii="宋体" w:hAnsi="宋体"/>
          <w:color w:val="auto"/>
          <w:szCs w:val="21"/>
          <w:highlight w:val="none"/>
        </w:rPr>
        <w:t>工程</w:t>
      </w:r>
      <w:r>
        <w:rPr>
          <w:rFonts w:ascii="宋体" w:hAnsi="宋体"/>
          <w:color w:val="auto"/>
          <w:szCs w:val="21"/>
          <w:highlight w:val="none"/>
        </w:rPr>
        <w:t>进度申请付款和付款时，</w:t>
      </w:r>
      <w:r>
        <w:rPr>
          <w:rFonts w:hint="eastAsia" w:ascii="宋体" w:hAnsi="宋体"/>
          <w:color w:val="auto"/>
          <w:szCs w:val="21"/>
          <w:highlight w:val="none"/>
        </w:rPr>
        <w:t>发包人应在收到承包人按14.6.1款提交的每月付款申请报告之日起的25日内审查并支付。</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（2）按付款计划表申请与付款。依据</w:t>
      </w:r>
      <w:r>
        <w:rPr>
          <w:rFonts w:ascii="宋体" w:hAnsi="宋体"/>
          <w:color w:val="auto"/>
          <w:szCs w:val="21"/>
          <w:highlight w:val="none"/>
        </w:rPr>
        <w:t>14.7.1</w:t>
      </w:r>
      <w:r>
        <w:rPr>
          <w:rFonts w:hint="eastAsia" w:ascii="宋体" w:hAnsi="宋体"/>
          <w:color w:val="auto"/>
          <w:szCs w:val="21"/>
          <w:highlight w:val="none"/>
        </w:rPr>
        <w:t>款按付款计划表申请付款和付款时，发包人应在收到承包人按14.7.1款提交的每期付款申请报告之日起的25日内审查并支付。</w:t>
      </w:r>
    </w:p>
    <w:p>
      <w:pPr>
        <w:pStyle w:val="4"/>
        <w:rPr>
          <w:rFonts w:ascii="宋体" w:hAnsi="宋体"/>
          <w:color w:val="auto"/>
          <w:kern w:val="0"/>
          <w:sz w:val="21"/>
          <w:szCs w:val="21"/>
          <w:highlight w:val="none"/>
        </w:rPr>
      </w:pPr>
      <w:bookmarkStart w:id="1208" w:name="_Toc419363767"/>
      <w:bookmarkStart w:id="1209" w:name="_Toc419321345"/>
      <w:bookmarkStart w:id="1210" w:name="_Toc419320309"/>
      <w:bookmarkStart w:id="1211" w:name="_Toc491277349"/>
      <w:bookmarkStart w:id="1212" w:name="_Toc419364434"/>
      <w:bookmarkStart w:id="1213" w:name="_Toc433988801"/>
      <w:r>
        <w:rPr>
          <w:rFonts w:ascii="宋体" w:hAnsi="宋体"/>
          <w:color w:val="auto"/>
          <w:kern w:val="0"/>
          <w:sz w:val="21"/>
          <w:szCs w:val="21"/>
          <w:highlight w:val="none"/>
        </w:rPr>
        <w:t>14.9  付款时间延误</w:t>
      </w:r>
      <w:bookmarkEnd w:id="1208"/>
      <w:bookmarkEnd w:id="1209"/>
      <w:bookmarkEnd w:id="1210"/>
      <w:bookmarkEnd w:id="1211"/>
      <w:bookmarkEnd w:id="1212"/>
      <w:bookmarkEnd w:id="1213"/>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14.9.1  因发包人的原因未能按14.8.3款</w:t>
      </w:r>
      <w:r>
        <w:rPr>
          <w:rFonts w:hint="eastAsia" w:ascii="宋体" w:hAnsi="宋体"/>
          <w:color w:val="auto"/>
          <w:szCs w:val="21"/>
          <w:highlight w:val="none"/>
        </w:rPr>
        <w:t>约定</w:t>
      </w:r>
      <w:r>
        <w:rPr>
          <w:rFonts w:ascii="宋体" w:hAnsi="宋体"/>
          <w:color w:val="auto"/>
          <w:szCs w:val="21"/>
          <w:highlight w:val="none"/>
        </w:rPr>
        <w:t>的时间向承包人支付工程进度款的，</w:t>
      </w:r>
      <w:r>
        <w:rPr>
          <w:rFonts w:hint="eastAsia" w:ascii="宋体" w:hAnsi="宋体"/>
          <w:color w:val="auto"/>
          <w:szCs w:val="21"/>
          <w:highlight w:val="none"/>
        </w:rPr>
        <w:t>应</w:t>
      </w:r>
      <w:r>
        <w:rPr>
          <w:rFonts w:ascii="宋体" w:hAnsi="宋体"/>
          <w:color w:val="auto"/>
          <w:szCs w:val="21"/>
          <w:highlight w:val="none"/>
        </w:rPr>
        <w:t>从</w:t>
      </w:r>
      <w:r>
        <w:rPr>
          <w:rFonts w:hint="eastAsia" w:ascii="宋体" w:hAnsi="宋体"/>
          <w:color w:val="auto"/>
          <w:szCs w:val="21"/>
          <w:highlight w:val="none"/>
        </w:rPr>
        <w:t>发包人收到付款申请报告</w:t>
      </w:r>
      <w:r>
        <w:rPr>
          <w:rFonts w:ascii="宋体" w:hAnsi="宋体"/>
          <w:color w:val="auto"/>
          <w:szCs w:val="21"/>
          <w:highlight w:val="none"/>
        </w:rPr>
        <w:t>后的第</w:t>
      </w:r>
      <w:r>
        <w:rPr>
          <w:rFonts w:hint="eastAsia" w:ascii="宋体" w:hAnsi="宋体"/>
          <w:color w:val="auto"/>
          <w:szCs w:val="21"/>
          <w:highlight w:val="none"/>
        </w:rPr>
        <w:t>26日</w:t>
      </w:r>
      <w:r>
        <w:rPr>
          <w:rFonts w:ascii="宋体" w:hAnsi="宋体"/>
          <w:color w:val="auto"/>
          <w:szCs w:val="21"/>
          <w:highlight w:val="none"/>
        </w:rPr>
        <w:t>开始，以中国人民银行颁布的同期同类贷款利率向承包人支付延期付款的利息，作为延期付款的违约金额。</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14.9.2</w:t>
      </w:r>
      <w:r>
        <w:rPr>
          <w:rFonts w:ascii="宋体" w:hAnsi="宋体"/>
          <w:color w:val="auto"/>
          <w:szCs w:val="21"/>
          <w:highlight w:val="none"/>
        </w:rPr>
        <w:t xml:space="preserve">  发包人延误付款</w:t>
      </w:r>
      <w:r>
        <w:rPr>
          <w:rFonts w:hint="eastAsia" w:ascii="宋体" w:hAnsi="宋体"/>
          <w:color w:val="auto"/>
          <w:szCs w:val="21"/>
          <w:highlight w:val="none"/>
        </w:rPr>
        <w:t>15日</w:t>
      </w:r>
      <w:r>
        <w:rPr>
          <w:rFonts w:ascii="宋体" w:hAnsi="宋体"/>
          <w:color w:val="auto"/>
          <w:szCs w:val="21"/>
          <w:highlight w:val="none"/>
        </w:rPr>
        <w:t>以上</w:t>
      </w:r>
      <w:r>
        <w:rPr>
          <w:rFonts w:hint="eastAsia" w:ascii="宋体" w:hAnsi="宋体"/>
          <w:color w:val="auto"/>
          <w:szCs w:val="21"/>
          <w:highlight w:val="none"/>
        </w:rPr>
        <w:t>，</w:t>
      </w:r>
      <w:r>
        <w:rPr>
          <w:rFonts w:ascii="宋体" w:hAnsi="宋体"/>
          <w:color w:val="auto"/>
          <w:szCs w:val="21"/>
          <w:highlight w:val="none"/>
        </w:rPr>
        <w:t>承包人有权向发包人发出</w:t>
      </w:r>
      <w:r>
        <w:rPr>
          <w:rFonts w:hint="eastAsia" w:ascii="宋体" w:hAnsi="宋体"/>
          <w:color w:val="auto"/>
          <w:szCs w:val="21"/>
          <w:highlight w:val="none"/>
        </w:rPr>
        <w:t>要</w:t>
      </w:r>
      <w:r>
        <w:rPr>
          <w:rFonts w:ascii="宋体" w:hAnsi="宋体"/>
          <w:color w:val="auto"/>
          <w:szCs w:val="21"/>
          <w:highlight w:val="none"/>
        </w:rPr>
        <w:t>求付款的通知，发包人收到通知后仍不能付款，</w:t>
      </w:r>
      <w:r>
        <w:rPr>
          <w:rFonts w:hint="eastAsia" w:ascii="宋体" w:hAnsi="宋体"/>
          <w:color w:val="auto"/>
          <w:szCs w:val="21"/>
          <w:highlight w:val="none"/>
        </w:rPr>
        <w:t>承包人可暂停部分工作，视为发包人导致的暂停，并遵照4</w:t>
      </w:r>
      <w:r>
        <w:rPr>
          <w:rFonts w:ascii="宋体" w:hAnsi="宋体"/>
          <w:color w:val="auto"/>
          <w:szCs w:val="21"/>
          <w:highlight w:val="none"/>
        </w:rPr>
        <w:t>.</w:t>
      </w:r>
      <w:r>
        <w:rPr>
          <w:rFonts w:hint="eastAsia" w:ascii="宋体" w:hAnsi="宋体"/>
          <w:color w:val="auto"/>
          <w:szCs w:val="21"/>
          <w:highlight w:val="none"/>
        </w:rPr>
        <w:t>6</w:t>
      </w:r>
      <w:r>
        <w:rPr>
          <w:rFonts w:ascii="宋体" w:hAnsi="宋体"/>
          <w:color w:val="auto"/>
          <w:szCs w:val="21"/>
          <w:highlight w:val="none"/>
        </w:rPr>
        <w:t>.1</w:t>
      </w:r>
      <w:r>
        <w:rPr>
          <w:rFonts w:hint="eastAsia" w:ascii="宋体" w:hAnsi="宋体"/>
          <w:color w:val="auto"/>
          <w:szCs w:val="21"/>
          <w:highlight w:val="none"/>
        </w:rPr>
        <w:t>款发包人的暂停的约定执行。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双方</w:t>
      </w:r>
      <w:r>
        <w:rPr>
          <w:rFonts w:ascii="宋体" w:hAnsi="宋体"/>
          <w:color w:val="auto"/>
          <w:szCs w:val="21"/>
          <w:highlight w:val="none"/>
        </w:rPr>
        <w:t>协商签订延期付款协议书</w:t>
      </w:r>
      <w:r>
        <w:rPr>
          <w:rFonts w:hint="eastAsia" w:ascii="宋体" w:hAnsi="宋体"/>
          <w:color w:val="auto"/>
          <w:szCs w:val="21"/>
          <w:highlight w:val="none"/>
        </w:rPr>
        <w:t>的</w:t>
      </w:r>
      <w:r>
        <w:rPr>
          <w:rFonts w:ascii="宋体" w:hAnsi="宋体"/>
          <w:color w:val="auto"/>
          <w:szCs w:val="21"/>
          <w:highlight w:val="none"/>
        </w:rPr>
        <w:t>，</w:t>
      </w:r>
      <w:r>
        <w:rPr>
          <w:rFonts w:hint="eastAsia" w:ascii="宋体" w:hAnsi="宋体"/>
          <w:color w:val="auto"/>
          <w:szCs w:val="21"/>
          <w:highlight w:val="none"/>
        </w:rPr>
        <w:t>发包人应</w:t>
      </w:r>
      <w:r>
        <w:rPr>
          <w:rFonts w:ascii="宋体" w:hAnsi="宋体"/>
          <w:color w:val="auto"/>
          <w:szCs w:val="21"/>
          <w:highlight w:val="none"/>
        </w:rPr>
        <w:t>按延期付款协议书</w:t>
      </w:r>
      <w:r>
        <w:rPr>
          <w:rFonts w:hint="eastAsia" w:ascii="宋体" w:hAnsi="宋体"/>
          <w:color w:val="auto"/>
          <w:szCs w:val="21"/>
          <w:highlight w:val="none"/>
        </w:rPr>
        <w:t>中约定</w:t>
      </w:r>
      <w:r>
        <w:rPr>
          <w:rFonts w:ascii="宋体" w:hAnsi="宋体"/>
          <w:color w:val="auto"/>
          <w:szCs w:val="21"/>
          <w:highlight w:val="none"/>
        </w:rPr>
        <w:t>的期数、</w:t>
      </w:r>
      <w:r>
        <w:rPr>
          <w:rFonts w:hint="eastAsia" w:ascii="宋体" w:hAnsi="宋体"/>
          <w:color w:val="auto"/>
          <w:szCs w:val="21"/>
          <w:highlight w:val="none"/>
        </w:rPr>
        <w:t>时间、</w:t>
      </w:r>
      <w:r>
        <w:rPr>
          <w:rFonts w:ascii="宋体" w:hAnsi="宋体"/>
          <w:color w:val="auto"/>
          <w:szCs w:val="21"/>
          <w:highlight w:val="none"/>
        </w:rPr>
        <w:t>金额</w:t>
      </w:r>
      <w:r>
        <w:rPr>
          <w:rFonts w:hint="eastAsia" w:ascii="宋体" w:hAnsi="宋体"/>
          <w:color w:val="auto"/>
          <w:szCs w:val="21"/>
          <w:highlight w:val="none"/>
        </w:rPr>
        <w:t>和</w:t>
      </w:r>
      <w:r>
        <w:rPr>
          <w:rFonts w:ascii="宋体" w:hAnsi="宋体"/>
          <w:color w:val="auto"/>
          <w:szCs w:val="21"/>
          <w:highlight w:val="none"/>
        </w:rPr>
        <w:t>利息付款</w:t>
      </w:r>
      <w:r>
        <w:rPr>
          <w:rFonts w:hint="eastAsia" w:ascii="宋体" w:hAnsi="宋体"/>
          <w:color w:val="auto"/>
          <w:szCs w:val="21"/>
          <w:highlight w:val="none"/>
        </w:rPr>
        <w:t>；当</w:t>
      </w:r>
      <w:r>
        <w:rPr>
          <w:rFonts w:ascii="宋体" w:hAnsi="宋体"/>
          <w:color w:val="auto"/>
          <w:szCs w:val="21"/>
          <w:highlight w:val="none"/>
        </w:rPr>
        <w:t>双方未能达成延期付款协议，导致工程无法实施，承包人可停止部分或</w:t>
      </w:r>
      <w:r>
        <w:rPr>
          <w:rFonts w:hint="eastAsia" w:ascii="宋体" w:hAnsi="宋体"/>
          <w:color w:val="auto"/>
          <w:szCs w:val="21"/>
          <w:highlight w:val="none"/>
        </w:rPr>
        <w:t>全部</w:t>
      </w:r>
      <w:r>
        <w:rPr>
          <w:rFonts w:ascii="宋体" w:hAnsi="宋体"/>
          <w:color w:val="auto"/>
          <w:szCs w:val="21"/>
          <w:highlight w:val="none"/>
        </w:rPr>
        <w:t>工程，发包人</w:t>
      </w:r>
      <w:r>
        <w:rPr>
          <w:rFonts w:hint="eastAsia" w:ascii="宋体" w:hAnsi="宋体"/>
          <w:color w:val="auto"/>
          <w:szCs w:val="21"/>
          <w:highlight w:val="none"/>
        </w:rPr>
        <w:t>应</w:t>
      </w:r>
      <w:r>
        <w:rPr>
          <w:rFonts w:ascii="宋体" w:hAnsi="宋体"/>
          <w:color w:val="auto"/>
          <w:szCs w:val="21"/>
          <w:highlight w:val="none"/>
        </w:rPr>
        <w:t>承担违约责任</w:t>
      </w:r>
      <w:r>
        <w:rPr>
          <w:rFonts w:hint="eastAsia" w:ascii="宋体" w:hAnsi="宋体"/>
          <w:color w:val="auto"/>
          <w:szCs w:val="21"/>
          <w:highlight w:val="none"/>
        </w:rPr>
        <w:t>，导致工程关键路径</w:t>
      </w:r>
      <w:r>
        <w:rPr>
          <w:rFonts w:ascii="宋体" w:hAnsi="宋体"/>
          <w:color w:val="auto"/>
          <w:szCs w:val="21"/>
          <w:highlight w:val="none"/>
        </w:rPr>
        <w:t>延</w:t>
      </w:r>
      <w:r>
        <w:rPr>
          <w:rFonts w:hint="eastAsia" w:ascii="宋体" w:hAnsi="宋体"/>
          <w:color w:val="auto"/>
          <w:szCs w:val="21"/>
          <w:highlight w:val="none"/>
        </w:rPr>
        <w:t>误时</w:t>
      </w:r>
      <w:r>
        <w:rPr>
          <w:rFonts w:ascii="宋体" w:hAnsi="宋体"/>
          <w:color w:val="auto"/>
          <w:szCs w:val="21"/>
          <w:highlight w:val="none"/>
        </w:rPr>
        <w:t>，</w:t>
      </w:r>
      <w:r>
        <w:rPr>
          <w:rFonts w:hint="eastAsia" w:ascii="宋体" w:hAnsi="宋体"/>
          <w:color w:val="auto"/>
          <w:szCs w:val="21"/>
          <w:highlight w:val="none"/>
        </w:rPr>
        <w:t>竣工日期</w:t>
      </w:r>
      <w:r>
        <w:rPr>
          <w:rFonts w:ascii="宋体" w:hAnsi="宋体"/>
          <w:color w:val="auto"/>
          <w:szCs w:val="21"/>
          <w:highlight w:val="none"/>
        </w:rPr>
        <w:t>顺延。</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14.9.3  发包人</w:t>
      </w:r>
      <w:r>
        <w:rPr>
          <w:rFonts w:hint="eastAsia" w:ascii="宋体" w:hAnsi="宋体"/>
          <w:color w:val="auto"/>
          <w:szCs w:val="21"/>
          <w:highlight w:val="none"/>
        </w:rPr>
        <w:t>的</w:t>
      </w:r>
      <w:r>
        <w:rPr>
          <w:rFonts w:ascii="宋体" w:hAnsi="宋体"/>
          <w:color w:val="auto"/>
          <w:szCs w:val="21"/>
          <w:highlight w:val="none"/>
        </w:rPr>
        <w:t>延误付款达60日以上，并影响到整个工程实施</w:t>
      </w:r>
      <w:r>
        <w:rPr>
          <w:rFonts w:hint="eastAsia" w:ascii="宋体" w:hAnsi="宋体"/>
          <w:color w:val="auto"/>
          <w:szCs w:val="21"/>
          <w:highlight w:val="none"/>
        </w:rPr>
        <w:t>的</w:t>
      </w:r>
      <w:r>
        <w:rPr>
          <w:rFonts w:ascii="宋体" w:hAnsi="宋体"/>
          <w:color w:val="auto"/>
          <w:szCs w:val="21"/>
          <w:highlight w:val="none"/>
        </w:rPr>
        <w:t>，承包人</w:t>
      </w:r>
      <w:r>
        <w:rPr>
          <w:rFonts w:hint="eastAsia" w:ascii="宋体" w:hAnsi="宋体"/>
          <w:color w:val="auto"/>
          <w:szCs w:val="21"/>
          <w:highlight w:val="none"/>
        </w:rPr>
        <w:t>有权</w:t>
      </w:r>
      <w:r>
        <w:rPr>
          <w:rFonts w:ascii="宋体" w:hAnsi="宋体"/>
          <w:color w:val="auto"/>
          <w:szCs w:val="21"/>
          <w:highlight w:val="none"/>
        </w:rPr>
        <w:t>根据18.2款</w:t>
      </w:r>
      <w:r>
        <w:rPr>
          <w:rFonts w:hint="eastAsia" w:ascii="宋体" w:hAnsi="宋体"/>
          <w:color w:val="auto"/>
          <w:szCs w:val="21"/>
          <w:highlight w:val="none"/>
        </w:rPr>
        <w:t>的约定</w:t>
      </w:r>
      <w:r>
        <w:rPr>
          <w:rFonts w:ascii="宋体" w:hAnsi="宋体"/>
          <w:color w:val="auto"/>
          <w:szCs w:val="21"/>
          <w:highlight w:val="none"/>
        </w:rPr>
        <w:t>向发包人发出解除合同的</w:t>
      </w:r>
      <w:r>
        <w:rPr>
          <w:rFonts w:hint="eastAsia" w:ascii="宋体" w:hAnsi="宋体"/>
          <w:color w:val="auto"/>
          <w:szCs w:val="21"/>
          <w:highlight w:val="none"/>
        </w:rPr>
        <w:t>通知，并有权就因此增加的相关费用向发包人提出索赔。</w:t>
      </w:r>
    </w:p>
    <w:p>
      <w:pPr>
        <w:pStyle w:val="4"/>
        <w:rPr>
          <w:rFonts w:ascii="宋体" w:hAnsi="宋体"/>
          <w:color w:val="auto"/>
          <w:kern w:val="0"/>
          <w:sz w:val="21"/>
          <w:szCs w:val="21"/>
          <w:highlight w:val="none"/>
        </w:rPr>
      </w:pPr>
      <w:bookmarkStart w:id="1214" w:name="_Toc419364435"/>
      <w:bookmarkStart w:id="1215" w:name="_Toc433988802"/>
      <w:bookmarkStart w:id="1216" w:name="_Toc491277350"/>
      <w:bookmarkStart w:id="1217" w:name="_Toc419320310"/>
      <w:bookmarkStart w:id="1218" w:name="_Toc419321346"/>
      <w:bookmarkStart w:id="1219" w:name="_Toc419363768"/>
      <w:r>
        <w:rPr>
          <w:rFonts w:hint="eastAsia" w:ascii="宋体" w:hAnsi="宋体"/>
          <w:color w:val="auto"/>
          <w:kern w:val="0"/>
          <w:sz w:val="21"/>
          <w:szCs w:val="21"/>
          <w:highlight w:val="none"/>
        </w:rPr>
        <w:t>14.10税务与关税</w:t>
      </w:r>
      <w:bookmarkEnd w:id="1214"/>
      <w:bookmarkEnd w:id="1215"/>
      <w:bookmarkEnd w:id="1216"/>
      <w:bookmarkEnd w:id="1217"/>
      <w:bookmarkEnd w:id="1218"/>
      <w:bookmarkEnd w:id="1219"/>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14.10.1发包人与承包人按国家有关纳税规定，各自履行各自的纳税义务，含与进口工程物资相关的各项纳税义务。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14.10.2合同一方享有本合同进口工程设备、材料、设备配件等进口增值税和关税减免时，另一方有义务就办理减免税手续给予协助和配合。</w:t>
      </w:r>
    </w:p>
    <w:p>
      <w:pPr>
        <w:pStyle w:val="4"/>
        <w:rPr>
          <w:rFonts w:ascii="宋体" w:hAnsi="宋体"/>
          <w:color w:val="auto"/>
          <w:kern w:val="0"/>
          <w:sz w:val="21"/>
          <w:szCs w:val="21"/>
          <w:highlight w:val="none"/>
        </w:rPr>
      </w:pPr>
      <w:bookmarkStart w:id="1220" w:name="_Toc419321347"/>
      <w:bookmarkStart w:id="1221" w:name="_Toc419363769"/>
      <w:bookmarkStart w:id="1222" w:name="_Toc419364436"/>
      <w:bookmarkStart w:id="1223" w:name="_Toc491277351"/>
      <w:bookmarkStart w:id="1224" w:name="_Toc419320311"/>
      <w:bookmarkStart w:id="1225" w:name="_Toc433988803"/>
      <w:r>
        <w:rPr>
          <w:rFonts w:ascii="宋体" w:hAnsi="宋体"/>
          <w:color w:val="auto"/>
          <w:kern w:val="0"/>
          <w:sz w:val="21"/>
          <w:szCs w:val="21"/>
          <w:highlight w:val="none"/>
        </w:rPr>
        <w:t>14.11  索赔款项的支付</w:t>
      </w:r>
      <w:bookmarkEnd w:id="1220"/>
      <w:bookmarkEnd w:id="1221"/>
      <w:bookmarkEnd w:id="1222"/>
      <w:bookmarkEnd w:id="1223"/>
      <w:bookmarkEnd w:id="1224"/>
      <w:bookmarkEnd w:id="1225"/>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14.11.1  经协商</w:t>
      </w:r>
      <w:r>
        <w:rPr>
          <w:rFonts w:hint="eastAsia" w:ascii="宋体" w:hAnsi="宋体"/>
          <w:color w:val="auto"/>
          <w:szCs w:val="21"/>
          <w:highlight w:val="none"/>
        </w:rPr>
        <w:t>或调解</w:t>
      </w:r>
      <w:r>
        <w:rPr>
          <w:rFonts w:ascii="宋体" w:hAnsi="宋体"/>
          <w:color w:val="auto"/>
          <w:szCs w:val="21"/>
          <w:highlight w:val="none"/>
        </w:rPr>
        <w:t>确定的、或经仲裁</w:t>
      </w:r>
      <w:r>
        <w:rPr>
          <w:rFonts w:hint="eastAsia" w:ascii="宋体" w:hAnsi="宋体"/>
          <w:color w:val="auto"/>
          <w:szCs w:val="21"/>
          <w:highlight w:val="none"/>
        </w:rPr>
        <w:t>裁定的、或法院判决</w:t>
      </w:r>
      <w:r>
        <w:rPr>
          <w:rFonts w:ascii="宋体" w:hAnsi="宋体"/>
          <w:color w:val="auto"/>
          <w:szCs w:val="21"/>
          <w:highlight w:val="none"/>
        </w:rPr>
        <w:t>的发包人应得的索赔款项，发包人可从</w:t>
      </w:r>
      <w:r>
        <w:rPr>
          <w:rFonts w:hint="eastAsia" w:ascii="宋体" w:hAnsi="宋体"/>
          <w:color w:val="auto"/>
          <w:szCs w:val="21"/>
          <w:highlight w:val="none"/>
        </w:rPr>
        <w:t>应</w:t>
      </w:r>
      <w:r>
        <w:rPr>
          <w:rFonts w:ascii="宋体" w:hAnsi="宋体"/>
          <w:color w:val="auto"/>
          <w:szCs w:val="21"/>
          <w:highlight w:val="none"/>
        </w:rPr>
        <w:t>支付给承包人的当月工程进度款或当期付款计划表的付款中扣减</w:t>
      </w:r>
      <w:r>
        <w:rPr>
          <w:rFonts w:hint="eastAsia" w:ascii="宋体" w:hAnsi="宋体"/>
          <w:color w:val="auto"/>
          <w:szCs w:val="21"/>
          <w:highlight w:val="none"/>
        </w:rPr>
        <w:t>该索赔款项</w:t>
      </w:r>
      <w:r>
        <w:rPr>
          <w:rFonts w:ascii="宋体" w:hAnsi="宋体"/>
          <w:color w:val="auto"/>
          <w:szCs w:val="21"/>
          <w:highlight w:val="none"/>
        </w:rPr>
        <w:t>。</w:t>
      </w:r>
      <w:r>
        <w:rPr>
          <w:rFonts w:hint="eastAsia" w:ascii="宋体" w:hAnsi="宋体"/>
          <w:color w:val="auto"/>
          <w:szCs w:val="21"/>
          <w:highlight w:val="none"/>
        </w:rPr>
        <w:t>当</w:t>
      </w:r>
      <w:r>
        <w:rPr>
          <w:rFonts w:ascii="宋体" w:hAnsi="宋体"/>
          <w:color w:val="auto"/>
          <w:szCs w:val="21"/>
          <w:highlight w:val="none"/>
        </w:rPr>
        <w:t>支付给承包人的各期工程进度款中不足以抵扣发包人的索赔款项时，</w:t>
      </w:r>
      <w:r>
        <w:rPr>
          <w:rFonts w:hint="eastAsia" w:ascii="宋体" w:hAnsi="宋体"/>
          <w:color w:val="auto"/>
          <w:szCs w:val="21"/>
          <w:highlight w:val="none"/>
        </w:rPr>
        <w:t>承包人应当另行支付。承包人未能支付，可协商支付协议，仍未支付时，发包人可从履约保函（如有）中抵扣</w:t>
      </w:r>
      <w:r>
        <w:rPr>
          <w:rFonts w:ascii="宋体" w:hAnsi="宋体"/>
          <w:color w:val="auto"/>
          <w:szCs w:val="21"/>
          <w:highlight w:val="none"/>
        </w:rPr>
        <w:t>。</w:t>
      </w:r>
      <w:r>
        <w:rPr>
          <w:rFonts w:hint="eastAsia" w:ascii="宋体" w:hAnsi="宋体"/>
          <w:color w:val="auto"/>
          <w:szCs w:val="21"/>
          <w:highlight w:val="none"/>
        </w:rPr>
        <w:t>如</w:t>
      </w:r>
      <w:r>
        <w:rPr>
          <w:rFonts w:ascii="宋体" w:hAnsi="宋体"/>
          <w:color w:val="auto"/>
          <w:szCs w:val="21"/>
          <w:highlight w:val="none"/>
        </w:rPr>
        <w:t>履约保函不足以抵扣</w:t>
      </w:r>
      <w:r>
        <w:rPr>
          <w:rFonts w:hint="eastAsia" w:ascii="宋体" w:hAnsi="宋体"/>
          <w:color w:val="auto"/>
          <w:szCs w:val="21"/>
          <w:highlight w:val="none"/>
        </w:rPr>
        <w:t>时</w:t>
      </w:r>
      <w:r>
        <w:rPr>
          <w:rFonts w:ascii="宋体" w:hAnsi="宋体"/>
          <w:color w:val="auto"/>
          <w:szCs w:val="21"/>
          <w:highlight w:val="none"/>
        </w:rPr>
        <w:t>，</w:t>
      </w:r>
      <w:r>
        <w:rPr>
          <w:rFonts w:hint="eastAsia" w:ascii="宋体" w:hAnsi="宋体"/>
          <w:color w:val="auto"/>
          <w:szCs w:val="21"/>
          <w:highlight w:val="none"/>
        </w:rPr>
        <w:t>承包人须另行支付该索赔款项，</w:t>
      </w:r>
      <w:r>
        <w:rPr>
          <w:rFonts w:ascii="宋体" w:hAnsi="宋体"/>
          <w:color w:val="auto"/>
          <w:szCs w:val="21"/>
          <w:highlight w:val="none"/>
        </w:rPr>
        <w:t>或</w:t>
      </w:r>
      <w:r>
        <w:rPr>
          <w:rFonts w:hint="eastAsia" w:ascii="宋体" w:hAnsi="宋体"/>
          <w:color w:val="auto"/>
          <w:szCs w:val="21"/>
          <w:highlight w:val="none"/>
        </w:rPr>
        <w:t>以双方协商一致的支付协议的期限支付</w:t>
      </w:r>
      <w:r>
        <w:rPr>
          <w:rFonts w:ascii="宋体" w:hAnsi="宋体"/>
          <w:color w:val="auto"/>
          <w:szCs w:val="21"/>
          <w:highlight w:val="none"/>
        </w:rPr>
        <w:t>。</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14.11.2</w:t>
      </w:r>
      <w:r>
        <w:rPr>
          <w:rFonts w:ascii="宋体" w:hAnsi="宋体"/>
          <w:color w:val="auto"/>
          <w:szCs w:val="21"/>
          <w:highlight w:val="none"/>
        </w:rPr>
        <w:t xml:space="preserve">  经协商</w:t>
      </w:r>
      <w:r>
        <w:rPr>
          <w:rFonts w:hint="eastAsia" w:ascii="宋体" w:hAnsi="宋体"/>
          <w:color w:val="auto"/>
          <w:szCs w:val="21"/>
          <w:highlight w:val="none"/>
        </w:rPr>
        <w:t>或调解</w:t>
      </w:r>
      <w:r>
        <w:rPr>
          <w:rFonts w:ascii="宋体" w:hAnsi="宋体"/>
          <w:color w:val="auto"/>
          <w:szCs w:val="21"/>
          <w:highlight w:val="none"/>
        </w:rPr>
        <w:t>确定的、或经仲裁</w:t>
      </w:r>
      <w:r>
        <w:rPr>
          <w:rFonts w:hint="eastAsia" w:ascii="宋体" w:hAnsi="宋体"/>
          <w:color w:val="auto"/>
          <w:szCs w:val="21"/>
          <w:highlight w:val="none"/>
        </w:rPr>
        <w:t>裁决的、或法院判决</w:t>
      </w:r>
      <w:r>
        <w:rPr>
          <w:rFonts w:ascii="宋体" w:hAnsi="宋体"/>
          <w:color w:val="auto"/>
          <w:szCs w:val="21"/>
          <w:highlight w:val="none"/>
        </w:rPr>
        <w:t>的承包人应得的索赔款项，承包人</w:t>
      </w:r>
      <w:r>
        <w:rPr>
          <w:rFonts w:hint="eastAsia" w:ascii="宋体" w:hAnsi="宋体"/>
          <w:color w:val="auto"/>
          <w:szCs w:val="21"/>
          <w:highlight w:val="none"/>
        </w:rPr>
        <w:t>可</w:t>
      </w:r>
      <w:r>
        <w:rPr>
          <w:rFonts w:ascii="宋体" w:hAnsi="宋体"/>
          <w:color w:val="auto"/>
          <w:szCs w:val="21"/>
          <w:highlight w:val="none"/>
        </w:rPr>
        <w:t>在当月工程进度款或当期付款计划表的付款申请中单列</w:t>
      </w:r>
      <w:r>
        <w:rPr>
          <w:rFonts w:hint="eastAsia" w:ascii="宋体" w:hAnsi="宋体"/>
          <w:color w:val="auto"/>
          <w:szCs w:val="21"/>
          <w:highlight w:val="none"/>
        </w:rPr>
        <w:t>该索赔</w:t>
      </w:r>
      <w:r>
        <w:rPr>
          <w:rFonts w:ascii="宋体" w:hAnsi="宋体"/>
          <w:color w:val="auto"/>
          <w:szCs w:val="21"/>
          <w:highlight w:val="none"/>
        </w:rPr>
        <w:t>款项，发包人</w:t>
      </w:r>
      <w:r>
        <w:rPr>
          <w:rFonts w:hint="eastAsia" w:ascii="宋体" w:hAnsi="宋体"/>
          <w:color w:val="auto"/>
          <w:szCs w:val="21"/>
          <w:highlight w:val="none"/>
        </w:rPr>
        <w:t>应</w:t>
      </w:r>
      <w:r>
        <w:rPr>
          <w:rFonts w:ascii="宋体" w:hAnsi="宋体"/>
          <w:color w:val="auto"/>
          <w:szCs w:val="21"/>
          <w:highlight w:val="none"/>
        </w:rPr>
        <w:t>在当期付款中支付该索赔款项。</w:t>
      </w:r>
      <w:r>
        <w:rPr>
          <w:rFonts w:hint="eastAsia" w:ascii="宋体" w:hAnsi="宋体"/>
          <w:color w:val="auto"/>
          <w:szCs w:val="21"/>
          <w:highlight w:val="none"/>
        </w:rPr>
        <w:t>发包人未能支付该索赔款项时，承包人有权从发包人提交的支付保函（如有）中抵扣。如未约定支付保函时，发包人须</w:t>
      </w:r>
      <w:r>
        <w:rPr>
          <w:rFonts w:ascii="宋体" w:hAnsi="宋体"/>
          <w:color w:val="auto"/>
          <w:szCs w:val="21"/>
          <w:highlight w:val="none"/>
        </w:rPr>
        <w:t>另行支付</w:t>
      </w:r>
      <w:r>
        <w:rPr>
          <w:rFonts w:hint="eastAsia" w:ascii="宋体" w:hAnsi="宋体"/>
          <w:color w:val="auto"/>
          <w:szCs w:val="21"/>
          <w:highlight w:val="none"/>
        </w:rPr>
        <w:t>该</w:t>
      </w:r>
      <w:r>
        <w:rPr>
          <w:rFonts w:ascii="宋体" w:hAnsi="宋体"/>
          <w:color w:val="auto"/>
          <w:szCs w:val="21"/>
          <w:highlight w:val="none"/>
        </w:rPr>
        <w:t>索赔款项</w:t>
      </w:r>
      <w:r>
        <w:rPr>
          <w:rFonts w:hint="eastAsia" w:ascii="宋体" w:hAnsi="宋体"/>
          <w:color w:val="auto"/>
          <w:szCs w:val="21"/>
          <w:highlight w:val="none"/>
        </w:rPr>
        <w:t>。</w:t>
      </w:r>
    </w:p>
    <w:p>
      <w:pPr>
        <w:pStyle w:val="4"/>
        <w:rPr>
          <w:rFonts w:ascii="宋体" w:hAnsi="宋体"/>
          <w:color w:val="auto"/>
          <w:kern w:val="0"/>
          <w:sz w:val="21"/>
          <w:szCs w:val="21"/>
          <w:highlight w:val="none"/>
        </w:rPr>
      </w:pPr>
      <w:bookmarkStart w:id="1226" w:name="_Toc419320312"/>
      <w:bookmarkStart w:id="1227" w:name="_Toc419321348"/>
      <w:bookmarkStart w:id="1228" w:name="_Toc433988804"/>
      <w:bookmarkStart w:id="1229" w:name="_Toc419364437"/>
      <w:bookmarkStart w:id="1230" w:name="_Toc419363770"/>
      <w:bookmarkStart w:id="1231" w:name="_Toc491277352"/>
      <w:r>
        <w:rPr>
          <w:rFonts w:ascii="宋体" w:hAnsi="宋体"/>
          <w:color w:val="auto"/>
          <w:kern w:val="0"/>
          <w:sz w:val="21"/>
          <w:szCs w:val="21"/>
          <w:highlight w:val="none"/>
        </w:rPr>
        <w:t>14.12  竣工结算</w:t>
      </w:r>
      <w:bookmarkEnd w:id="1226"/>
      <w:bookmarkEnd w:id="1227"/>
      <w:bookmarkEnd w:id="1228"/>
      <w:bookmarkEnd w:id="1229"/>
      <w:bookmarkEnd w:id="1230"/>
      <w:bookmarkEnd w:id="1231"/>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14.12.1  提交竣工结算资料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承包人应在</w:t>
      </w:r>
      <w:r>
        <w:rPr>
          <w:rFonts w:ascii="宋体" w:hAnsi="宋体"/>
          <w:color w:val="auto"/>
          <w:szCs w:val="21"/>
          <w:highlight w:val="none"/>
        </w:rPr>
        <w:t>根据12.1款的</w:t>
      </w:r>
      <w:r>
        <w:rPr>
          <w:rFonts w:hint="eastAsia" w:ascii="宋体" w:hAnsi="宋体"/>
          <w:color w:val="auto"/>
          <w:szCs w:val="21"/>
          <w:highlight w:val="none"/>
        </w:rPr>
        <w:t>约定</w:t>
      </w:r>
      <w:r>
        <w:rPr>
          <w:rFonts w:ascii="宋体" w:hAnsi="宋体"/>
          <w:color w:val="auto"/>
          <w:szCs w:val="21"/>
          <w:highlight w:val="none"/>
        </w:rPr>
        <w:t>提交的</w:t>
      </w:r>
      <w:r>
        <w:rPr>
          <w:rFonts w:hint="eastAsia" w:ascii="宋体" w:hAnsi="宋体"/>
          <w:color w:val="auto"/>
          <w:szCs w:val="21"/>
          <w:highlight w:val="none"/>
        </w:rPr>
        <w:t>竣工验收报告和完整的</w:t>
      </w:r>
      <w:r>
        <w:rPr>
          <w:rFonts w:ascii="宋体" w:hAnsi="宋体"/>
          <w:color w:val="auto"/>
          <w:szCs w:val="21"/>
          <w:highlight w:val="none"/>
        </w:rPr>
        <w:t>竣工资料被发包人</w:t>
      </w:r>
      <w:r>
        <w:rPr>
          <w:rFonts w:hint="eastAsia" w:ascii="宋体" w:hAnsi="宋体"/>
          <w:color w:val="auto"/>
          <w:szCs w:val="21"/>
          <w:highlight w:val="none"/>
        </w:rPr>
        <w:t>确定</w:t>
      </w:r>
      <w:r>
        <w:rPr>
          <w:rFonts w:ascii="宋体" w:hAnsi="宋体"/>
          <w:color w:val="auto"/>
          <w:szCs w:val="21"/>
          <w:highlight w:val="none"/>
        </w:rPr>
        <w:t>后的30</w:t>
      </w:r>
      <w:r>
        <w:rPr>
          <w:rFonts w:hint="eastAsia" w:ascii="宋体" w:hAnsi="宋体"/>
          <w:color w:val="auto"/>
          <w:szCs w:val="21"/>
          <w:highlight w:val="none"/>
        </w:rPr>
        <w:t>日</w:t>
      </w:r>
      <w:r>
        <w:rPr>
          <w:rFonts w:ascii="宋体" w:hAnsi="宋体"/>
          <w:color w:val="auto"/>
          <w:szCs w:val="21"/>
          <w:highlight w:val="none"/>
        </w:rPr>
        <w:t>内，向发包人递交竣工结算报告和完整的竣工结算资料。</w:t>
      </w:r>
      <w:r>
        <w:rPr>
          <w:rFonts w:hint="eastAsia" w:ascii="宋体" w:hAnsi="宋体"/>
          <w:color w:val="auto"/>
          <w:szCs w:val="21"/>
          <w:highlight w:val="none"/>
        </w:rPr>
        <w:t>竣工结算资料的格式、内容和份数，在专用条款中约定。</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14.12.2  最终竣工结算资料</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发包人</w:t>
      </w:r>
      <w:r>
        <w:rPr>
          <w:rFonts w:hint="eastAsia" w:ascii="宋体" w:hAnsi="宋体"/>
          <w:color w:val="auto"/>
          <w:szCs w:val="21"/>
          <w:highlight w:val="none"/>
        </w:rPr>
        <w:t>应在</w:t>
      </w:r>
      <w:r>
        <w:rPr>
          <w:rFonts w:ascii="宋体" w:hAnsi="宋体"/>
          <w:color w:val="auto"/>
          <w:szCs w:val="21"/>
          <w:highlight w:val="none"/>
        </w:rPr>
        <w:t>收到承包人提交的竣工结算报告和完整的竣工结算资料后的30</w:t>
      </w:r>
      <w:r>
        <w:rPr>
          <w:rFonts w:hint="eastAsia" w:ascii="宋体" w:hAnsi="宋体"/>
          <w:color w:val="auto"/>
          <w:szCs w:val="21"/>
          <w:highlight w:val="none"/>
        </w:rPr>
        <w:t>日</w:t>
      </w:r>
      <w:r>
        <w:rPr>
          <w:rFonts w:ascii="宋体" w:hAnsi="宋体"/>
          <w:color w:val="auto"/>
          <w:szCs w:val="21"/>
          <w:highlight w:val="none"/>
        </w:rPr>
        <w:t>内，</w:t>
      </w:r>
      <w:r>
        <w:rPr>
          <w:rFonts w:hint="eastAsia" w:ascii="宋体" w:hAnsi="宋体"/>
          <w:color w:val="auto"/>
          <w:szCs w:val="21"/>
          <w:highlight w:val="none"/>
        </w:rPr>
        <w:t>进行审查并</w:t>
      </w:r>
      <w:r>
        <w:rPr>
          <w:rFonts w:ascii="宋体" w:hAnsi="宋体"/>
          <w:color w:val="auto"/>
          <w:szCs w:val="21"/>
          <w:highlight w:val="none"/>
        </w:rPr>
        <w:t>提出修改意见</w:t>
      </w:r>
      <w:r>
        <w:rPr>
          <w:rFonts w:hint="eastAsia" w:ascii="宋体" w:hAnsi="宋体"/>
          <w:color w:val="auto"/>
          <w:szCs w:val="21"/>
          <w:highlight w:val="none"/>
        </w:rPr>
        <w:t>，双方就竣工结算报告和完整的竣工结算资料的修改达成一致意见后，由承包人自费进行修正，并提交最终的竣工结算报告和最终的结算资料。</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14.12.3  结清竣工结算的款项</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发包人</w:t>
      </w:r>
      <w:r>
        <w:rPr>
          <w:rFonts w:hint="eastAsia" w:ascii="宋体" w:hAnsi="宋体"/>
          <w:color w:val="auto"/>
          <w:szCs w:val="21"/>
          <w:highlight w:val="none"/>
        </w:rPr>
        <w:t>应</w:t>
      </w:r>
      <w:r>
        <w:rPr>
          <w:rFonts w:ascii="宋体" w:hAnsi="宋体"/>
          <w:color w:val="auto"/>
          <w:szCs w:val="21"/>
          <w:highlight w:val="none"/>
        </w:rPr>
        <w:t>在</w:t>
      </w:r>
      <w:r>
        <w:rPr>
          <w:rFonts w:hint="eastAsia" w:ascii="宋体" w:hAnsi="宋体"/>
          <w:color w:val="auto"/>
          <w:szCs w:val="21"/>
          <w:highlight w:val="none"/>
        </w:rPr>
        <w:t>收到</w:t>
      </w:r>
      <w:r>
        <w:rPr>
          <w:rFonts w:ascii="宋体" w:hAnsi="宋体"/>
          <w:color w:val="auto"/>
          <w:szCs w:val="21"/>
          <w:highlight w:val="none"/>
        </w:rPr>
        <w:t>承包人按14.12.2款</w:t>
      </w:r>
      <w:r>
        <w:rPr>
          <w:rFonts w:hint="eastAsia" w:ascii="宋体" w:hAnsi="宋体"/>
          <w:color w:val="auto"/>
          <w:szCs w:val="21"/>
          <w:highlight w:val="none"/>
        </w:rPr>
        <w:t>的约定</w:t>
      </w:r>
      <w:r>
        <w:rPr>
          <w:rFonts w:ascii="宋体" w:hAnsi="宋体"/>
          <w:color w:val="auto"/>
          <w:szCs w:val="21"/>
          <w:highlight w:val="none"/>
        </w:rPr>
        <w:t>提交</w:t>
      </w:r>
      <w:r>
        <w:rPr>
          <w:rFonts w:hint="eastAsia" w:ascii="宋体" w:hAnsi="宋体"/>
          <w:color w:val="auto"/>
          <w:szCs w:val="21"/>
          <w:highlight w:val="none"/>
        </w:rPr>
        <w:t>的</w:t>
      </w:r>
      <w:r>
        <w:rPr>
          <w:rFonts w:ascii="宋体" w:hAnsi="宋体"/>
          <w:color w:val="auto"/>
          <w:szCs w:val="21"/>
          <w:highlight w:val="none"/>
        </w:rPr>
        <w:t>最终竣工结算资料的30</w:t>
      </w:r>
      <w:r>
        <w:rPr>
          <w:rFonts w:hint="eastAsia" w:ascii="宋体" w:hAnsi="宋体"/>
          <w:color w:val="auto"/>
          <w:szCs w:val="21"/>
          <w:highlight w:val="none"/>
        </w:rPr>
        <w:t>日</w:t>
      </w:r>
      <w:r>
        <w:rPr>
          <w:rFonts w:ascii="宋体" w:hAnsi="宋体"/>
          <w:color w:val="auto"/>
          <w:szCs w:val="21"/>
          <w:highlight w:val="none"/>
        </w:rPr>
        <w:t>内，结清竣工结算的款项</w:t>
      </w:r>
      <w:r>
        <w:rPr>
          <w:rFonts w:hint="eastAsia" w:ascii="宋体" w:hAnsi="宋体"/>
          <w:color w:val="auto"/>
          <w:szCs w:val="21"/>
          <w:highlight w:val="none"/>
        </w:rPr>
        <w:t>。竣工款结清后5日内，发包人应</w:t>
      </w:r>
      <w:r>
        <w:rPr>
          <w:rFonts w:ascii="宋体" w:hAnsi="宋体"/>
          <w:color w:val="auto"/>
          <w:szCs w:val="21"/>
          <w:highlight w:val="none"/>
        </w:rPr>
        <w:t>将承包人按14.2.1款</w:t>
      </w:r>
      <w:r>
        <w:rPr>
          <w:rFonts w:hint="eastAsia" w:ascii="宋体" w:hAnsi="宋体"/>
          <w:color w:val="auto"/>
          <w:szCs w:val="21"/>
          <w:highlight w:val="none"/>
        </w:rPr>
        <w:t>约定</w:t>
      </w:r>
      <w:r>
        <w:rPr>
          <w:rFonts w:ascii="宋体" w:hAnsi="宋体"/>
          <w:color w:val="auto"/>
          <w:szCs w:val="21"/>
          <w:highlight w:val="none"/>
        </w:rPr>
        <w:t>提交的履约保函返还给承包人</w:t>
      </w:r>
      <w:r>
        <w:rPr>
          <w:rFonts w:hint="eastAsia" w:ascii="宋体" w:hAnsi="宋体"/>
          <w:color w:val="auto"/>
          <w:szCs w:val="21"/>
          <w:highlight w:val="none"/>
        </w:rPr>
        <w:t>；</w:t>
      </w:r>
      <w:r>
        <w:rPr>
          <w:rFonts w:ascii="宋体" w:hAnsi="宋体"/>
          <w:color w:val="auto"/>
          <w:szCs w:val="21"/>
          <w:highlight w:val="none"/>
        </w:rPr>
        <w:t>承包人</w:t>
      </w:r>
      <w:r>
        <w:rPr>
          <w:rFonts w:hint="eastAsia" w:ascii="宋体" w:hAnsi="宋体"/>
          <w:color w:val="auto"/>
          <w:szCs w:val="21"/>
          <w:highlight w:val="none"/>
        </w:rPr>
        <w:t>应</w:t>
      </w:r>
      <w:r>
        <w:rPr>
          <w:rFonts w:ascii="宋体" w:hAnsi="宋体"/>
          <w:color w:val="auto"/>
          <w:szCs w:val="21"/>
          <w:highlight w:val="none"/>
        </w:rPr>
        <w:t>将发包人按14.2.2款</w:t>
      </w:r>
      <w:r>
        <w:rPr>
          <w:rFonts w:hint="eastAsia" w:ascii="宋体" w:hAnsi="宋体"/>
          <w:color w:val="auto"/>
          <w:szCs w:val="21"/>
          <w:highlight w:val="none"/>
        </w:rPr>
        <w:t>约定</w:t>
      </w:r>
      <w:r>
        <w:rPr>
          <w:rFonts w:ascii="宋体" w:hAnsi="宋体"/>
          <w:color w:val="auto"/>
          <w:szCs w:val="21"/>
          <w:highlight w:val="none"/>
        </w:rPr>
        <w:t>提交的支付保函返还给发包人。</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14.12.4  未能答复竣工结算报告</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发包人</w:t>
      </w:r>
      <w:r>
        <w:rPr>
          <w:rFonts w:hint="eastAsia" w:ascii="宋体" w:hAnsi="宋体"/>
          <w:color w:val="auto"/>
          <w:szCs w:val="21"/>
          <w:highlight w:val="none"/>
        </w:rPr>
        <w:t>在</w:t>
      </w:r>
      <w:r>
        <w:rPr>
          <w:rFonts w:ascii="宋体" w:hAnsi="宋体"/>
          <w:color w:val="auto"/>
          <w:szCs w:val="21"/>
          <w:highlight w:val="none"/>
        </w:rPr>
        <w:t>接到承包人根据14.12.1款</w:t>
      </w:r>
      <w:r>
        <w:rPr>
          <w:rFonts w:hint="eastAsia" w:ascii="宋体" w:hAnsi="宋体"/>
          <w:color w:val="auto"/>
          <w:szCs w:val="21"/>
          <w:highlight w:val="none"/>
        </w:rPr>
        <w:t>约定</w:t>
      </w:r>
      <w:r>
        <w:rPr>
          <w:rFonts w:ascii="宋体" w:hAnsi="宋体"/>
          <w:color w:val="auto"/>
          <w:szCs w:val="21"/>
          <w:highlight w:val="none"/>
        </w:rPr>
        <w:t>提交的竣工结算报告和完整的竣工结算资料的30</w:t>
      </w:r>
      <w:r>
        <w:rPr>
          <w:rFonts w:hint="eastAsia" w:ascii="宋体" w:hAnsi="宋体"/>
          <w:color w:val="auto"/>
          <w:szCs w:val="21"/>
          <w:highlight w:val="none"/>
        </w:rPr>
        <w:t>日</w:t>
      </w:r>
      <w:r>
        <w:rPr>
          <w:rFonts w:ascii="宋体" w:hAnsi="宋体"/>
          <w:color w:val="auto"/>
          <w:szCs w:val="21"/>
          <w:highlight w:val="none"/>
        </w:rPr>
        <w:t>内，未能提出修改意见，也未予答复</w:t>
      </w:r>
      <w:r>
        <w:rPr>
          <w:rFonts w:hint="eastAsia" w:ascii="宋体" w:hAnsi="宋体"/>
          <w:color w:val="auto"/>
          <w:szCs w:val="21"/>
          <w:highlight w:val="none"/>
        </w:rPr>
        <w:t>的</w:t>
      </w:r>
      <w:r>
        <w:rPr>
          <w:rFonts w:ascii="宋体" w:hAnsi="宋体"/>
          <w:color w:val="auto"/>
          <w:szCs w:val="21"/>
          <w:highlight w:val="none"/>
        </w:rPr>
        <w:t>，视为发包人认可了该竣工结算资料作为最终竣工结算资料。发包人</w:t>
      </w:r>
      <w:r>
        <w:rPr>
          <w:rFonts w:hint="eastAsia" w:ascii="宋体" w:hAnsi="宋体"/>
          <w:color w:val="auto"/>
          <w:szCs w:val="21"/>
          <w:highlight w:val="none"/>
        </w:rPr>
        <w:t>应</w:t>
      </w:r>
      <w:r>
        <w:rPr>
          <w:rFonts w:ascii="宋体" w:hAnsi="宋体"/>
          <w:color w:val="auto"/>
          <w:szCs w:val="21"/>
          <w:highlight w:val="none"/>
        </w:rPr>
        <w:t>根据14.12.3款的</w:t>
      </w:r>
      <w:r>
        <w:rPr>
          <w:rFonts w:hint="eastAsia" w:ascii="宋体" w:hAnsi="宋体"/>
          <w:color w:val="auto"/>
          <w:szCs w:val="21"/>
          <w:highlight w:val="none"/>
        </w:rPr>
        <w:t>约定</w:t>
      </w:r>
      <w:r>
        <w:rPr>
          <w:rFonts w:ascii="宋体" w:hAnsi="宋体"/>
          <w:color w:val="auto"/>
          <w:szCs w:val="21"/>
          <w:highlight w:val="none"/>
        </w:rPr>
        <w:t>，结清竣工结算的款项。</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14.12.5  发包人未能</w:t>
      </w:r>
      <w:r>
        <w:rPr>
          <w:rFonts w:hint="eastAsia" w:ascii="宋体" w:hAnsi="宋体"/>
          <w:color w:val="auto"/>
          <w:szCs w:val="21"/>
          <w:highlight w:val="none"/>
        </w:rPr>
        <w:t>结清</w:t>
      </w:r>
      <w:r>
        <w:rPr>
          <w:rFonts w:ascii="宋体" w:hAnsi="宋体"/>
          <w:color w:val="auto"/>
          <w:szCs w:val="21"/>
          <w:highlight w:val="none"/>
        </w:rPr>
        <w:t>竣工结算的款项</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（1）发包人未能按14.12.3款的</w:t>
      </w:r>
      <w:r>
        <w:rPr>
          <w:rFonts w:hint="eastAsia" w:ascii="宋体" w:hAnsi="宋体"/>
          <w:color w:val="auto"/>
          <w:szCs w:val="21"/>
          <w:highlight w:val="none"/>
        </w:rPr>
        <w:t>约定</w:t>
      </w:r>
      <w:r>
        <w:rPr>
          <w:rFonts w:ascii="宋体" w:hAnsi="宋体"/>
          <w:color w:val="auto"/>
          <w:szCs w:val="21"/>
          <w:highlight w:val="none"/>
        </w:rPr>
        <w:t>，结清应付给承包人的竣工结算的款项余额</w:t>
      </w:r>
      <w:r>
        <w:rPr>
          <w:rFonts w:hint="eastAsia" w:ascii="宋体" w:hAnsi="宋体"/>
          <w:color w:val="auto"/>
          <w:szCs w:val="21"/>
          <w:highlight w:val="none"/>
        </w:rPr>
        <w:t>的</w:t>
      </w:r>
      <w:r>
        <w:rPr>
          <w:rFonts w:ascii="宋体" w:hAnsi="宋体"/>
          <w:color w:val="auto"/>
          <w:szCs w:val="21"/>
          <w:highlight w:val="none"/>
        </w:rPr>
        <w:t>，承包人有权从发包人根据14.2.2款</w:t>
      </w:r>
      <w:r>
        <w:rPr>
          <w:rFonts w:hint="eastAsia" w:ascii="宋体" w:hAnsi="宋体"/>
          <w:color w:val="auto"/>
          <w:szCs w:val="21"/>
          <w:highlight w:val="none"/>
        </w:rPr>
        <w:t>约定</w:t>
      </w:r>
      <w:r>
        <w:rPr>
          <w:rFonts w:ascii="宋体" w:hAnsi="宋体"/>
          <w:color w:val="auto"/>
          <w:szCs w:val="21"/>
          <w:highlight w:val="none"/>
        </w:rPr>
        <w:t>提交的支付保函中扣减该款项的余额。</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合同未</w:t>
      </w:r>
      <w:r>
        <w:rPr>
          <w:rFonts w:hint="eastAsia" w:ascii="宋体" w:hAnsi="宋体"/>
          <w:color w:val="auto"/>
          <w:szCs w:val="21"/>
          <w:highlight w:val="none"/>
        </w:rPr>
        <w:t>约定</w:t>
      </w:r>
      <w:r>
        <w:rPr>
          <w:rFonts w:ascii="宋体" w:hAnsi="宋体"/>
          <w:color w:val="auto"/>
          <w:szCs w:val="21"/>
          <w:highlight w:val="none"/>
        </w:rPr>
        <w:t>发包人按14.2.2款提交支付保函</w:t>
      </w:r>
      <w:r>
        <w:rPr>
          <w:rFonts w:hint="eastAsia" w:ascii="宋体" w:hAnsi="宋体"/>
          <w:color w:val="auto"/>
          <w:szCs w:val="21"/>
          <w:highlight w:val="none"/>
        </w:rPr>
        <w:t>或支付保函不足以抵偿应向承包人支付的竣工结算款项时</w:t>
      </w:r>
      <w:r>
        <w:rPr>
          <w:rFonts w:ascii="宋体" w:hAnsi="宋体"/>
          <w:color w:val="auto"/>
          <w:szCs w:val="21"/>
          <w:highlight w:val="none"/>
        </w:rPr>
        <w:t>，发包人从承包人提交最终结算资料后的第31</w:t>
      </w:r>
      <w:r>
        <w:rPr>
          <w:rFonts w:hint="eastAsia" w:ascii="宋体" w:hAnsi="宋体"/>
          <w:color w:val="auto"/>
          <w:szCs w:val="21"/>
          <w:highlight w:val="none"/>
        </w:rPr>
        <w:t>日</w:t>
      </w:r>
      <w:r>
        <w:rPr>
          <w:rFonts w:ascii="宋体" w:hAnsi="宋体"/>
          <w:color w:val="auto"/>
          <w:szCs w:val="21"/>
          <w:highlight w:val="none"/>
        </w:rPr>
        <w:t>起，</w:t>
      </w:r>
      <w:r>
        <w:rPr>
          <w:rFonts w:hint="eastAsia" w:ascii="宋体" w:hAnsi="宋体"/>
          <w:color w:val="auto"/>
          <w:szCs w:val="21"/>
          <w:highlight w:val="none"/>
        </w:rPr>
        <w:t>支付拖欠的竣工结算款项的余额，并</w:t>
      </w:r>
      <w:r>
        <w:rPr>
          <w:rFonts w:ascii="宋体" w:hAnsi="宋体"/>
          <w:color w:val="auto"/>
          <w:szCs w:val="21"/>
          <w:highlight w:val="none"/>
        </w:rPr>
        <w:t>按中国人民银行同期同类贷款利率支付</w:t>
      </w:r>
      <w:r>
        <w:rPr>
          <w:rFonts w:hint="eastAsia" w:ascii="宋体" w:hAnsi="宋体"/>
          <w:color w:val="auto"/>
          <w:szCs w:val="21"/>
          <w:highlight w:val="none"/>
        </w:rPr>
        <w:t>相应利息</w:t>
      </w:r>
      <w:r>
        <w:rPr>
          <w:rFonts w:ascii="宋体" w:hAnsi="宋体"/>
          <w:color w:val="auto"/>
          <w:szCs w:val="21"/>
          <w:highlight w:val="none"/>
        </w:rPr>
        <w:t>。</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（2）根据14.12.4款的</w:t>
      </w:r>
      <w:r>
        <w:rPr>
          <w:rFonts w:hint="eastAsia" w:ascii="宋体" w:hAnsi="宋体"/>
          <w:color w:val="auto"/>
          <w:szCs w:val="21"/>
          <w:highlight w:val="none"/>
        </w:rPr>
        <w:t>约定</w:t>
      </w:r>
      <w:r>
        <w:rPr>
          <w:rFonts w:ascii="宋体" w:hAnsi="宋体"/>
          <w:color w:val="auto"/>
          <w:szCs w:val="21"/>
          <w:highlight w:val="none"/>
        </w:rPr>
        <w:t>，发包人未能在</w:t>
      </w:r>
      <w:r>
        <w:rPr>
          <w:rFonts w:hint="eastAsia" w:ascii="宋体" w:hAnsi="宋体"/>
          <w:color w:val="auto"/>
          <w:szCs w:val="21"/>
          <w:highlight w:val="none"/>
        </w:rPr>
        <w:t>约定</w:t>
      </w:r>
      <w:r>
        <w:rPr>
          <w:rFonts w:ascii="宋体" w:hAnsi="宋体"/>
          <w:color w:val="auto"/>
          <w:szCs w:val="21"/>
          <w:highlight w:val="none"/>
        </w:rPr>
        <w:t>的30</w:t>
      </w:r>
      <w:r>
        <w:rPr>
          <w:rFonts w:hint="eastAsia" w:ascii="宋体" w:hAnsi="宋体"/>
          <w:color w:val="auto"/>
          <w:szCs w:val="21"/>
          <w:highlight w:val="none"/>
        </w:rPr>
        <w:t>日</w:t>
      </w:r>
      <w:r>
        <w:rPr>
          <w:rFonts w:ascii="宋体" w:hAnsi="宋体"/>
          <w:color w:val="auto"/>
          <w:szCs w:val="21"/>
          <w:highlight w:val="none"/>
        </w:rPr>
        <w:t>内对竣工结算资料提出修改意见和答复，也未能向承包人支付竣工结算款项的余额</w:t>
      </w:r>
      <w:r>
        <w:rPr>
          <w:rFonts w:hint="eastAsia" w:ascii="宋体" w:hAnsi="宋体"/>
          <w:color w:val="auto"/>
          <w:szCs w:val="21"/>
          <w:highlight w:val="none"/>
        </w:rPr>
        <w:t>的</w:t>
      </w:r>
      <w:r>
        <w:rPr>
          <w:rFonts w:ascii="宋体" w:hAnsi="宋体"/>
          <w:color w:val="auto"/>
          <w:szCs w:val="21"/>
          <w:highlight w:val="none"/>
        </w:rPr>
        <w:t>，</w:t>
      </w:r>
      <w:r>
        <w:rPr>
          <w:rFonts w:hint="eastAsia" w:ascii="宋体" w:hAnsi="宋体"/>
          <w:color w:val="auto"/>
          <w:szCs w:val="21"/>
          <w:highlight w:val="none"/>
        </w:rPr>
        <w:t>应</w:t>
      </w:r>
      <w:r>
        <w:rPr>
          <w:rFonts w:ascii="宋体" w:hAnsi="宋体"/>
          <w:color w:val="auto"/>
          <w:szCs w:val="21"/>
          <w:highlight w:val="none"/>
        </w:rPr>
        <w:t>从承包人提交该报告后的第31</w:t>
      </w:r>
      <w:r>
        <w:rPr>
          <w:rFonts w:hint="eastAsia" w:ascii="宋体" w:hAnsi="宋体"/>
          <w:color w:val="auto"/>
          <w:szCs w:val="21"/>
          <w:highlight w:val="none"/>
        </w:rPr>
        <w:t>日</w:t>
      </w:r>
      <w:r>
        <w:rPr>
          <w:rFonts w:ascii="宋体" w:hAnsi="宋体"/>
          <w:color w:val="auto"/>
          <w:szCs w:val="21"/>
          <w:highlight w:val="none"/>
        </w:rPr>
        <w:t>起，</w:t>
      </w:r>
      <w:r>
        <w:rPr>
          <w:rFonts w:hint="eastAsia" w:ascii="宋体" w:hAnsi="宋体"/>
          <w:color w:val="auto"/>
          <w:szCs w:val="21"/>
          <w:highlight w:val="none"/>
        </w:rPr>
        <w:t>支付拖欠的竣工结算款项的余额，并</w:t>
      </w:r>
      <w:r>
        <w:rPr>
          <w:rFonts w:ascii="宋体" w:hAnsi="宋体"/>
          <w:color w:val="auto"/>
          <w:szCs w:val="21"/>
          <w:highlight w:val="none"/>
        </w:rPr>
        <w:t>按中国人民银行同期同类的贷款利率支付</w:t>
      </w:r>
      <w:r>
        <w:rPr>
          <w:rFonts w:hint="eastAsia" w:ascii="宋体" w:hAnsi="宋体"/>
          <w:color w:val="auto"/>
          <w:szCs w:val="21"/>
          <w:highlight w:val="none"/>
        </w:rPr>
        <w:t>相应</w:t>
      </w:r>
      <w:r>
        <w:rPr>
          <w:rFonts w:ascii="宋体" w:hAnsi="宋体"/>
          <w:color w:val="auto"/>
          <w:szCs w:val="21"/>
          <w:highlight w:val="none"/>
        </w:rPr>
        <w:t>利息。</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发包人在承包人提交最终竣工结算资料的90日内，仍未结清竣工结算款项的，承包人可依据第</w:t>
      </w:r>
      <w:r>
        <w:rPr>
          <w:rFonts w:ascii="宋体" w:hAnsi="宋体"/>
          <w:color w:val="auto"/>
          <w:szCs w:val="21"/>
          <w:highlight w:val="none"/>
        </w:rPr>
        <w:t>16.3</w:t>
      </w:r>
      <w:r>
        <w:rPr>
          <w:rFonts w:hint="eastAsia" w:ascii="宋体" w:hAnsi="宋体"/>
          <w:color w:val="auto"/>
          <w:szCs w:val="21"/>
          <w:highlight w:val="none"/>
        </w:rPr>
        <w:t>款争议和裁决的约定解决。</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14.12.6  未能按时提交竣工结算报告及完整的结算资料</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工程竣工验收报告经发包人认可后的30</w:t>
      </w:r>
      <w:r>
        <w:rPr>
          <w:rFonts w:hint="eastAsia" w:ascii="宋体" w:hAnsi="宋体"/>
          <w:color w:val="auto"/>
          <w:szCs w:val="21"/>
          <w:highlight w:val="none"/>
        </w:rPr>
        <w:t>日</w:t>
      </w:r>
      <w:r>
        <w:rPr>
          <w:rFonts w:ascii="宋体" w:hAnsi="宋体"/>
          <w:color w:val="auto"/>
          <w:szCs w:val="21"/>
          <w:highlight w:val="none"/>
        </w:rPr>
        <w:t>内，承包人未能向发包人提交竣工结算报告及完整的结算资料，造成工程竣工结算不能正常进行、或工程竣工结算不能按时结清，发包人要求</w:t>
      </w:r>
      <w:r>
        <w:rPr>
          <w:rFonts w:hint="eastAsia" w:ascii="宋体" w:hAnsi="宋体"/>
          <w:color w:val="auto"/>
          <w:szCs w:val="21"/>
          <w:highlight w:val="none"/>
        </w:rPr>
        <w:t>承包人</w:t>
      </w:r>
      <w:r>
        <w:rPr>
          <w:rFonts w:ascii="宋体" w:hAnsi="宋体"/>
          <w:color w:val="auto"/>
          <w:szCs w:val="21"/>
          <w:highlight w:val="none"/>
        </w:rPr>
        <w:t>交付工程时，承包人</w:t>
      </w:r>
      <w:r>
        <w:rPr>
          <w:rFonts w:hint="eastAsia" w:ascii="宋体" w:hAnsi="宋体"/>
          <w:color w:val="auto"/>
          <w:szCs w:val="21"/>
          <w:highlight w:val="none"/>
        </w:rPr>
        <w:t>应进行</w:t>
      </w:r>
      <w:r>
        <w:rPr>
          <w:rFonts w:ascii="宋体" w:hAnsi="宋体"/>
          <w:color w:val="auto"/>
          <w:szCs w:val="21"/>
          <w:highlight w:val="none"/>
        </w:rPr>
        <w:t>交付；发包人</w:t>
      </w:r>
      <w:r>
        <w:rPr>
          <w:rFonts w:hint="eastAsia" w:ascii="宋体" w:hAnsi="宋体"/>
          <w:color w:val="auto"/>
          <w:szCs w:val="21"/>
          <w:highlight w:val="none"/>
        </w:rPr>
        <w:t>未</w:t>
      </w:r>
      <w:r>
        <w:rPr>
          <w:rFonts w:ascii="宋体" w:hAnsi="宋体"/>
          <w:color w:val="auto"/>
          <w:szCs w:val="21"/>
          <w:highlight w:val="none"/>
        </w:rPr>
        <w:t>要求交付工程时，承包人须承担保管、维护和保养的费用和责任，不包括根据第9条工程接收</w:t>
      </w:r>
      <w:r>
        <w:rPr>
          <w:rFonts w:hint="eastAsia" w:ascii="宋体" w:hAnsi="宋体"/>
          <w:color w:val="auto"/>
          <w:szCs w:val="21"/>
          <w:highlight w:val="none"/>
        </w:rPr>
        <w:t>的约定</w:t>
      </w:r>
      <w:r>
        <w:rPr>
          <w:rFonts w:ascii="宋体" w:hAnsi="宋体"/>
          <w:color w:val="auto"/>
          <w:szCs w:val="21"/>
          <w:highlight w:val="none"/>
        </w:rPr>
        <w:t>已被发包人使用、接收的单项工程和工程的任何部分。</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14.12.7  承包人未能支付竣工结算的款项</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（1）承包人未能按14.12.3款的</w:t>
      </w:r>
      <w:r>
        <w:rPr>
          <w:rFonts w:hint="eastAsia" w:ascii="宋体" w:hAnsi="宋体"/>
          <w:color w:val="auto"/>
          <w:szCs w:val="21"/>
          <w:highlight w:val="none"/>
        </w:rPr>
        <w:t>约定</w:t>
      </w:r>
      <w:r>
        <w:rPr>
          <w:rFonts w:ascii="宋体" w:hAnsi="宋体"/>
          <w:color w:val="auto"/>
          <w:szCs w:val="21"/>
          <w:highlight w:val="none"/>
        </w:rPr>
        <w:t>，结清应付给发包人的竣工结算中的款项余额</w:t>
      </w:r>
      <w:r>
        <w:rPr>
          <w:rFonts w:hint="eastAsia" w:ascii="宋体" w:hAnsi="宋体"/>
          <w:color w:val="auto"/>
          <w:szCs w:val="21"/>
          <w:highlight w:val="none"/>
        </w:rPr>
        <w:t>时</w:t>
      </w:r>
      <w:r>
        <w:rPr>
          <w:rFonts w:ascii="宋体" w:hAnsi="宋体"/>
          <w:color w:val="auto"/>
          <w:szCs w:val="21"/>
          <w:highlight w:val="none"/>
        </w:rPr>
        <w:t>，发包人有权从承包人根据14.2.1款</w:t>
      </w:r>
      <w:r>
        <w:rPr>
          <w:rFonts w:hint="eastAsia" w:ascii="宋体" w:hAnsi="宋体"/>
          <w:color w:val="auto"/>
          <w:szCs w:val="21"/>
          <w:highlight w:val="none"/>
        </w:rPr>
        <w:t>约定</w:t>
      </w:r>
      <w:r>
        <w:rPr>
          <w:rFonts w:ascii="宋体" w:hAnsi="宋体"/>
          <w:color w:val="auto"/>
          <w:szCs w:val="21"/>
          <w:highlight w:val="none"/>
        </w:rPr>
        <w:t>提交的履约保函中扣减该款项的余额。</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履约保函</w:t>
      </w:r>
      <w:r>
        <w:rPr>
          <w:rFonts w:hint="eastAsia" w:ascii="宋体" w:hAnsi="宋体"/>
          <w:color w:val="auto"/>
          <w:szCs w:val="21"/>
          <w:highlight w:val="none"/>
        </w:rPr>
        <w:t>的</w:t>
      </w:r>
      <w:r>
        <w:rPr>
          <w:rFonts w:ascii="宋体" w:hAnsi="宋体"/>
          <w:color w:val="auto"/>
          <w:szCs w:val="21"/>
          <w:highlight w:val="none"/>
        </w:rPr>
        <w:t>金额不足以抵偿</w:t>
      </w:r>
      <w:r>
        <w:rPr>
          <w:rFonts w:hint="eastAsia" w:ascii="宋体" w:hAnsi="宋体"/>
          <w:color w:val="auto"/>
          <w:szCs w:val="21"/>
          <w:highlight w:val="none"/>
        </w:rPr>
        <w:t>时</w:t>
      </w:r>
      <w:r>
        <w:rPr>
          <w:rFonts w:ascii="宋体" w:hAnsi="宋体"/>
          <w:color w:val="auto"/>
          <w:szCs w:val="21"/>
          <w:highlight w:val="none"/>
        </w:rPr>
        <w:t>，</w:t>
      </w:r>
      <w:r>
        <w:rPr>
          <w:rFonts w:hint="eastAsia" w:ascii="宋体" w:hAnsi="宋体"/>
          <w:color w:val="auto"/>
          <w:szCs w:val="21"/>
          <w:highlight w:val="none"/>
        </w:rPr>
        <w:t>承包人应</w:t>
      </w:r>
      <w:r>
        <w:rPr>
          <w:rFonts w:ascii="宋体" w:hAnsi="宋体"/>
          <w:color w:val="auto"/>
          <w:szCs w:val="21"/>
          <w:highlight w:val="none"/>
        </w:rPr>
        <w:t>从最终竣工结算</w:t>
      </w:r>
      <w:r>
        <w:rPr>
          <w:rFonts w:hint="eastAsia" w:ascii="宋体" w:hAnsi="宋体"/>
          <w:color w:val="auto"/>
          <w:szCs w:val="21"/>
          <w:highlight w:val="none"/>
        </w:rPr>
        <w:t>资料</w:t>
      </w:r>
      <w:r>
        <w:rPr>
          <w:rFonts w:ascii="宋体" w:hAnsi="宋体"/>
          <w:color w:val="auto"/>
          <w:szCs w:val="21"/>
          <w:highlight w:val="none"/>
        </w:rPr>
        <w:t>提交之后的31</w:t>
      </w:r>
      <w:r>
        <w:rPr>
          <w:rFonts w:hint="eastAsia" w:ascii="宋体" w:hAnsi="宋体"/>
          <w:color w:val="auto"/>
          <w:szCs w:val="21"/>
          <w:highlight w:val="none"/>
        </w:rPr>
        <w:t>日</w:t>
      </w:r>
      <w:r>
        <w:rPr>
          <w:rFonts w:ascii="宋体" w:hAnsi="宋体"/>
          <w:color w:val="auto"/>
          <w:szCs w:val="21"/>
          <w:highlight w:val="none"/>
        </w:rPr>
        <w:t>起，</w:t>
      </w:r>
      <w:r>
        <w:rPr>
          <w:rFonts w:hint="eastAsia" w:ascii="宋体" w:hAnsi="宋体"/>
          <w:color w:val="auto"/>
          <w:szCs w:val="21"/>
          <w:highlight w:val="none"/>
        </w:rPr>
        <w:t>支付拖欠的竣工结算款项的余额，并按</w:t>
      </w:r>
      <w:r>
        <w:rPr>
          <w:rFonts w:ascii="宋体" w:hAnsi="宋体"/>
          <w:color w:val="auto"/>
          <w:szCs w:val="21"/>
          <w:highlight w:val="none"/>
        </w:rPr>
        <w:t>中国人民银行同期同类贷款利率支付</w:t>
      </w:r>
      <w:r>
        <w:rPr>
          <w:rFonts w:hint="eastAsia" w:ascii="宋体" w:hAnsi="宋体"/>
          <w:color w:val="auto"/>
          <w:szCs w:val="21"/>
          <w:highlight w:val="none"/>
        </w:rPr>
        <w:t>相应</w:t>
      </w:r>
      <w:r>
        <w:rPr>
          <w:rFonts w:ascii="宋体" w:hAnsi="宋体"/>
          <w:color w:val="auto"/>
          <w:szCs w:val="21"/>
          <w:highlight w:val="none"/>
        </w:rPr>
        <w:t>利息。承包人在最终竣工结算资料提交后的90</w:t>
      </w:r>
      <w:r>
        <w:rPr>
          <w:rFonts w:hint="eastAsia" w:ascii="宋体" w:hAnsi="宋体"/>
          <w:color w:val="auto"/>
          <w:szCs w:val="21"/>
          <w:highlight w:val="none"/>
        </w:rPr>
        <w:t>日</w:t>
      </w:r>
      <w:r>
        <w:rPr>
          <w:rFonts w:ascii="宋体" w:hAnsi="宋体"/>
          <w:color w:val="auto"/>
          <w:szCs w:val="21"/>
          <w:highlight w:val="none"/>
        </w:rPr>
        <w:t>内仍未支付</w:t>
      </w:r>
      <w:r>
        <w:rPr>
          <w:rFonts w:hint="eastAsia" w:ascii="宋体" w:hAnsi="宋体"/>
          <w:color w:val="auto"/>
          <w:szCs w:val="21"/>
          <w:highlight w:val="none"/>
        </w:rPr>
        <w:t>时</w:t>
      </w:r>
      <w:r>
        <w:rPr>
          <w:rFonts w:ascii="宋体" w:hAnsi="宋体"/>
          <w:color w:val="auto"/>
          <w:szCs w:val="21"/>
          <w:highlight w:val="none"/>
        </w:rPr>
        <w:t>，发包人有权根据第16.3款争议和裁决的</w:t>
      </w:r>
      <w:r>
        <w:rPr>
          <w:rFonts w:hint="eastAsia" w:ascii="宋体" w:hAnsi="宋体"/>
          <w:color w:val="auto"/>
          <w:szCs w:val="21"/>
          <w:highlight w:val="none"/>
        </w:rPr>
        <w:t>约定</w:t>
      </w:r>
      <w:r>
        <w:rPr>
          <w:rFonts w:ascii="宋体" w:hAnsi="宋体"/>
          <w:color w:val="auto"/>
          <w:szCs w:val="21"/>
          <w:highlight w:val="none"/>
        </w:rPr>
        <w:t>解决。</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（2）合同未</w:t>
      </w:r>
      <w:r>
        <w:rPr>
          <w:rFonts w:hint="eastAsia" w:ascii="宋体" w:hAnsi="宋体"/>
          <w:color w:val="auto"/>
          <w:szCs w:val="21"/>
          <w:highlight w:val="none"/>
        </w:rPr>
        <w:t>约定</w:t>
      </w:r>
      <w:r>
        <w:rPr>
          <w:rFonts w:ascii="宋体" w:hAnsi="宋体"/>
          <w:color w:val="auto"/>
          <w:szCs w:val="21"/>
          <w:highlight w:val="none"/>
        </w:rPr>
        <w:t>履约保函</w:t>
      </w:r>
      <w:r>
        <w:rPr>
          <w:rFonts w:hint="eastAsia" w:ascii="宋体" w:hAnsi="宋体"/>
          <w:color w:val="auto"/>
          <w:szCs w:val="21"/>
          <w:highlight w:val="none"/>
        </w:rPr>
        <w:t>时</w:t>
      </w:r>
      <w:r>
        <w:rPr>
          <w:rFonts w:ascii="宋体" w:hAnsi="宋体"/>
          <w:color w:val="auto"/>
          <w:szCs w:val="21"/>
          <w:highlight w:val="none"/>
        </w:rPr>
        <w:t>，承包人</w:t>
      </w:r>
      <w:r>
        <w:rPr>
          <w:rFonts w:hint="eastAsia" w:ascii="宋体" w:hAnsi="宋体"/>
          <w:color w:val="auto"/>
          <w:szCs w:val="21"/>
          <w:highlight w:val="none"/>
        </w:rPr>
        <w:t>应</w:t>
      </w:r>
      <w:r>
        <w:rPr>
          <w:rFonts w:ascii="宋体" w:hAnsi="宋体"/>
          <w:color w:val="auto"/>
          <w:szCs w:val="21"/>
          <w:highlight w:val="none"/>
        </w:rPr>
        <w:t>从最终竣工结算资料提交后的第31</w:t>
      </w:r>
      <w:r>
        <w:rPr>
          <w:rFonts w:hint="eastAsia" w:ascii="宋体" w:hAnsi="宋体"/>
          <w:color w:val="auto"/>
          <w:szCs w:val="21"/>
          <w:highlight w:val="none"/>
        </w:rPr>
        <w:t>日</w:t>
      </w:r>
      <w:r>
        <w:rPr>
          <w:rFonts w:ascii="宋体" w:hAnsi="宋体"/>
          <w:color w:val="auto"/>
          <w:szCs w:val="21"/>
          <w:highlight w:val="none"/>
        </w:rPr>
        <w:t>起，</w:t>
      </w:r>
      <w:r>
        <w:rPr>
          <w:rFonts w:hint="eastAsia" w:ascii="宋体" w:hAnsi="宋体"/>
          <w:color w:val="auto"/>
          <w:szCs w:val="21"/>
          <w:highlight w:val="none"/>
        </w:rPr>
        <w:t>支付拖欠的竣工结算款项的余额，并</w:t>
      </w:r>
      <w:r>
        <w:rPr>
          <w:rFonts w:ascii="宋体" w:hAnsi="宋体"/>
          <w:color w:val="auto"/>
          <w:szCs w:val="21"/>
          <w:highlight w:val="none"/>
        </w:rPr>
        <w:t>按中国人民银行同期同类贷款利率</w:t>
      </w:r>
      <w:r>
        <w:rPr>
          <w:rFonts w:hint="eastAsia" w:ascii="宋体" w:hAnsi="宋体"/>
          <w:color w:val="auto"/>
          <w:szCs w:val="21"/>
          <w:highlight w:val="none"/>
        </w:rPr>
        <w:t>支付相应利息。如</w:t>
      </w:r>
      <w:r>
        <w:rPr>
          <w:rFonts w:ascii="宋体" w:hAnsi="宋体"/>
          <w:color w:val="auto"/>
          <w:szCs w:val="21"/>
          <w:highlight w:val="none"/>
        </w:rPr>
        <w:t>承包人在最终竣工结算资料提交后的90</w:t>
      </w:r>
      <w:r>
        <w:rPr>
          <w:rFonts w:hint="eastAsia" w:ascii="宋体" w:hAnsi="宋体"/>
          <w:color w:val="auto"/>
          <w:szCs w:val="21"/>
          <w:highlight w:val="none"/>
        </w:rPr>
        <w:t>日</w:t>
      </w:r>
      <w:r>
        <w:rPr>
          <w:rFonts w:ascii="宋体" w:hAnsi="宋体"/>
          <w:color w:val="auto"/>
          <w:szCs w:val="21"/>
          <w:highlight w:val="none"/>
        </w:rPr>
        <w:t>内仍未支付</w:t>
      </w:r>
      <w:r>
        <w:rPr>
          <w:rFonts w:hint="eastAsia" w:ascii="宋体" w:hAnsi="宋体"/>
          <w:color w:val="auto"/>
          <w:szCs w:val="21"/>
          <w:highlight w:val="none"/>
        </w:rPr>
        <w:t>时</w:t>
      </w:r>
      <w:r>
        <w:rPr>
          <w:rFonts w:ascii="宋体" w:hAnsi="宋体"/>
          <w:color w:val="auto"/>
          <w:szCs w:val="21"/>
          <w:highlight w:val="none"/>
        </w:rPr>
        <w:t>，发包人有权根据第16.3款争议和裁决的</w:t>
      </w:r>
      <w:r>
        <w:rPr>
          <w:rFonts w:hint="eastAsia" w:ascii="宋体" w:hAnsi="宋体"/>
          <w:color w:val="auto"/>
          <w:szCs w:val="21"/>
          <w:highlight w:val="none"/>
        </w:rPr>
        <w:t>约定</w:t>
      </w:r>
      <w:r>
        <w:rPr>
          <w:rFonts w:ascii="宋体" w:hAnsi="宋体"/>
          <w:color w:val="auto"/>
          <w:szCs w:val="21"/>
          <w:highlight w:val="none"/>
        </w:rPr>
        <w:t>解决。</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14.12.8 竣工结算的争议</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如在发包人收到承包人递交的竣工结算报告及完整的结算资料后的</w:t>
      </w:r>
      <w:r>
        <w:rPr>
          <w:rFonts w:ascii="宋体" w:hAnsi="宋体"/>
          <w:color w:val="auto"/>
          <w:szCs w:val="21"/>
          <w:highlight w:val="none"/>
        </w:rPr>
        <w:t>30</w:t>
      </w:r>
      <w:r>
        <w:rPr>
          <w:rFonts w:hint="eastAsia" w:ascii="宋体" w:hAnsi="宋体"/>
          <w:color w:val="auto"/>
          <w:szCs w:val="21"/>
          <w:highlight w:val="none"/>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Pr>
          <w:rFonts w:ascii="宋体" w:hAnsi="宋体"/>
          <w:color w:val="auto"/>
          <w:szCs w:val="21"/>
          <w:highlight w:val="none"/>
        </w:rPr>
        <w:t>16.3</w:t>
      </w:r>
      <w:r>
        <w:rPr>
          <w:rFonts w:hint="eastAsia" w:ascii="宋体" w:hAnsi="宋体"/>
          <w:color w:val="auto"/>
          <w:szCs w:val="21"/>
          <w:highlight w:val="none"/>
        </w:rPr>
        <w:t>款争议和裁决的约定解决。</w:t>
      </w:r>
    </w:p>
    <w:p>
      <w:pPr>
        <w:pStyle w:val="2"/>
        <w:rPr>
          <w:rFonts w:ascii="宋体" w:hAnsi="宋体" w:eastAsia="宋体"/>
          <w:color w:val="auto"/>
          <w:sz w:val="28"/>
          <w:szCs w:val="28"/>
          <w:highlight w:val="none"/>
        </w:rPr>
      </w:pPr>
      <w:bookmarkStart w:id="1232" w:name="_Toc419320313"/>
      <w:bookmarkStart w:id="1233" w:name="_Toc433988805"/>
      <w:bookmarkStart w:id="1234" w:name="_Toc419321349"/>
      <w:bookmarkStart w:id="1235" w:name="_Toc419364438"/>
      <w:bookmarkStart w:id="1236" w:name="_Toc491277353"/>
      <w:bookmarkStart w:id="1237" w:name="_Toc419363771"/>
      <w:r>
        <w:rPr>
          <w:rFonts w:hint="eastAsia" w:ascii="宋体" w:hAnsi="宋体" w:eastAsia="宋体"/>
          <w:color w:val="auto"/>
          <w:sz w:val="28"/>
          <w:szCs w:val="28"/>
          <w:highlight w:val="none"/>
        </w:rPr>
        <w:t>第</w:t>
      </w:r>
      <w:r>
        <w:rPr>
          <w:rFonts w:ascii="宋体" w:hAnsi="宋体" w:eastAsia="宋体"/>
          <w:color w:val="auto"/>
          <w:sz w:val="28"/>
          <w:szCs w:val="28"/>
          <w:highlight w:val="none"/>
        </w:rPr>
        <w:t>15</w:t>
      </w:r>
      <w:r>
        <w:rPr>
          <w:rFonts w:hint="eastAsia" w:ascii="宋体" w:hAnsi="宋体" w:eastAsia="宋体"/>
          <w:color w:val="auto"/>
          <w:sz w:val="28"/>
          <w:szCs w:val="28"/>
          <w:highlight w:val="none"/>
        </w:rPr>
        <w:t>条保险</w:t>
      </w:r>
      <w:bookmarkEnd w:id="1232"/>
      <w:bookmarkEnd w:id="1233"/>
      <w:bookmarkEnd w:id="1234"/>
      <w:bookmarkEnd w:id="1235"/>
      <w:bookmarkEnd w:id="1236"/>
      <w:bookmarkEnd w:id="1237"/>
    </w:p>
    <w:p>
      <w:pPr>
        <w:pStyle w:val="4"/>
        <w:rPr>
          <w:rFonts w:ascii="宋体" w:hAnsi="宋体"/>
          <w:color w:val="auto"/>
          <w:kern w:val="0"/>
          <w:sz w:val="21"/>
          <w:szCs w:val="21"/>
          <w:highlight w:val="none"/>
        </w:rPr>
      </w:pPr>
      <w:bookmarkStart w:id="1238" w:name="_Toc419321350"/>
      <w:bookmarkStart w:id="1239" w:name="_Toc419363772"/>
      <w:bookmarkStart w:id="1240" w:name="_Toc419320314"/>
      <w:bookmarkStart w:id="1241" w:name="_Toc433988806"/>
      <w:bookmarkStart w:id="1242" w:name="_Toc419364439"/>
      <w:bookmarkStart w:id="1243" w:name="_Toc491277354"/>
      <w:r>
        <w:rPr>
          <w:rFonts w:hint="eastAsia" w:ascii="宋体" w:hAnsi="宋体"/>
          <w:color w:val="auto"/>
          <w:kern w:val="0"/>
          <w:sz w:val="21"/>
          <w:szCs w:val="21"/>
          <w:highlight w:val="none"/>
        </w:rPr>
        <w:t>15.1  承包人的投保</w:t>
      </w:r>
      <w:bookmarkEnd w:id="1238"/>
      <w:bookmarkEnd w:id="1239"/>
      <w:bookmarkEnd w:id="1240"/>
      <w:bookmarkEnd w:id="1241"/>
      <w:bookmarkEnd w:id="1242"/>
      <w:bookmarkEnd w:id="1243"/>
    </w:p>
    <w:p>
      <w:pPr>
        <w:spacing w:line="300" w:lineRule="auto"/>
        <w:ind w:firstLine="420" w:firstLineChars="200"/>
        <w:rPr>
          <w:rFonts w:ascii="宋体" w:hAnsi="宋体"/>
          <w:color w:val="auto"/>
          <w:szCs w:val="21"/>
          <w:highlight w:val="none"/>
        </w:rPr>
      </w:pPr>
      <w:r>
        <w:rPr>
          <w:rFonts w:ascii="宋体" w:hAnsi="宋体"/>
          <w:color w:val="auto"/>
          <w:szCs w:val="21"/>
          <w:highlight w:val="none"/>
        </w:rPr>
        <w:t>15.1.1  按适用法律</w:t>
      </w:r>
      <w:r>
        <w:rPr>
          <w:rFonts w:hint="eastAsia" w:ascii="宋体" w:hAnsi="宋体"/>
          <w:color w:val="auto"/>
          <w:szCs w:val="21"/>
          <w:highlight w:val="none"/>
        </w:rPr>
        <w:t>和专用条款约定的投保类别，由承包人</w:t>
      </w:r>
      <w:r>
        <w:rPr>
          <w:rFonts w:ascii="宋体" w:hAnsi="宋体"/>
          <w:color w:val="auto"/>
          <w:szCs w:val="21"/>
          <w:highlight w:val="none"/>
        </w:rPr>
        <w:t>投保</w:t>
      </w:r>
      <w:r>
        <w:rPr>
          <w:rFonts w:hint="eastAsia" w:ascii="宋体" w:hAnsi="宋体"/>
          <w:color w:val="auto"/>
          <w:szCs w:val="21"/>
          <w:highlight w:val="none"/>
        </w:rPr>
        <w:t>的</w:t>
      </w:r>
      <w:r>
        <w:rPr>
          <w:rFonts w:ascii="宋体" w:hAnsi="宋体"/>
          <w:color w:val="auto"/>
          <w:szCs w:val="21"/>
          <w:highlight w:val="none"/>
        </w:rPr>
        <w:t>保险种类</w:t>
      </w:r>
      <w:r>
        <w:rPr>
          <w:rFonts w:hint="eastAsia" w:ascii="宋体" w:hAnsi="宋体"/>
          <w:color w:val="auto"/>
          <w:szCs w:val="21"/>
          <w:highlight w:val="none"/>
        </w:rPr>
        <w:t>，其</w:t>
      </w:r>
      <w:r>
        <w:rPr>
          <w:rFonts w:ascii="宋体" w:hAnsi="宋体"/>
          <w:color w:val="auto"/>
          <w:szCs w:val="21"/>
          <w:highlight w:val="none"/>
        </w:rPr>
        <w:t>投保费用包含在合同价格中。</w:t>
      </w:r>
      <w:r>
        <w:rPr>
          <w:rFonts w:hint="eastAsia" w:ascii="宋体" w:hAnsi="宋体"/>
          <w:color w:val="auto"/>
          <w:szCs w:val="21"/>
          <w:highlight w:val="none"/>
        </w:rPr>
        <w:t>由承包人投保的保险种类、保险范围、投保金额、保险期限和持续有效的时间等在专用条款中约定。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（1）适用法律规定及专用条款约定的，由承包人负责投保的，承包人应依据工程实施阶段的需要按期投保；</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2</w:t>
      </w:r>
      <w:r>
        <w:rPr>
          <w:rFonts w:ascii="宋体" w:hAnsi="宋体"/>
          <w:color w:val="auto"/>
          <w:szCs w:val="21"/>
          <w:highlight w:val="none"/>
        </w:rPr>
        <w:t>）在合同执行过程中，</w:t>
      </w:r>
      <w:r>
        <w:rPr>
          <w:rFonts w:hint="eastAsia" w:ascii="宋体" w:hAnsi="宋体"/>
          <w:color w:val="auto"/>
          <w:szCs w:val="21"/>
          <w:highlight w:val="none"/>
        </w:rPr>
        <w:t>新颁布的</w:t>
      </w:r>
      <w:r>
        <w:rPr>
          <w:rFonts w:ascii="宋体" w:hAnsi="宋体"/>
          <w:color w:val="auto"/>
          <w:szCs w:val="21"/>
          <w:highlight w:val="none"/>
        </w:rPr>
        <w:t>适用法律规定</w:t>
      </w:r>
      <w:r>
        <w:rPr>
          <w:rFonts w:hint="eastAsia" w:ascii="宋体" w:hAnsi="宋体"/>
          <w:color w:val="auto"/>
          <w:szCs w:val="21"/>
          <w:highlight w:val="none"/>
        </w:rPr>
        <w:t>由</w:t>
      </w:r>
      <w:r>
        <w:rPr>
          <w:rFonts w:ascii="宋体" w:hAnsi="宋体"/>
          <w:color w:val="auto"/>
          <w:szCs w:val="21"/>
          <w:highlight w:val="none"/>
        </w:rPr>
        <w:t>承包人投保的强制性保险，根据13条变更和合同价格调整的</w:t>
      </w:r>
      <w:r>
        <w:rPr>
          <w:rFonts w:hint="eastAsia" w:ascii="宋体" w:hAnsi="宋体"/>
          <w:color w:val="auto"/>
          <w:szCs w:val="21"/>
          <w:highlight w:val="none"/>
        </w:rPr>
        <w:t>约定</w:t>
      </w:r>
      <w:r>
        <w:rPr>
          <w:rFonts w:ascii="宋体" w:hAnsi="宋体"/>
          <w:color w:val="auto"/>
          <w:szCs w:val="21"/>
          <w:highlight w:val="none"/>
        </w:rPr>
        <w:t>调整合同价格。</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15.1.2  保险单对联合被保险人提供保险时，保险赔偿对每个联合被保险人分别施用。承包人</w:t>
      </w:r>
      <w:r>
        <w:rPr>
          <w:rFonts w:hint="eastAsia" w:ascii="宋体" w:hAnsi="宋体"/>
          <w:color w:val="auto"/>
          <w:szCs w:val="21"/>
          <w:highlight w:val="none"/>
        </w:rPr>
        <w:t>应</w:t>
      </w:r>
      <w:r>
        <w:rPr>
          <w:rFonts w:ascii="宋体" w:hAnsi="宋体"/>
          <w:color w:val="auto"/>
          <w:szCs w:val="21"/>
          <w:highlight w:val="none"/>
        </w:rPr>
        <w:t>代表自己的被保险人，保证其被保险人遵守保险单</w:t>
      </w:r>
      <w:r>
        <w:rPr>
          <w:rFonts w:hint="eastAsia" w:ascii="宋体" w:hAnsi="宋体"/>
          <w:color w:val="auto"/>
          <w:szCs w:val="21"/>
          <w:highlight w:val="none"/>
        </w:rPr>
        <w:t>约定</w:t>
      </w:r>
      <w:r>
        <w:rPr>
          <w:rFonts w:ascii="宋体" w:hAnsi="宋体"/>
          <w:color w:val="auto"/>
          <w:szCs w:val="21"/>
          <w:highlight w:val="none"/>
        </w:rPr>
        <w:t>的条件</w:t>
      </w:r>
      <w:r>
        <w:rPr>
          <w:rFonts w:hint="eastAsia" w:ascii="宋体" w:hAnsi="宋体"/>
          <w:color w:val="auto"/>
          <w:szCs w:val="21"/>
          <w:highlight w:val="none"/>
        </w:rPr>
        <w:t>及其</w:t>
      </w:r>
      <w:r>
        <w:rPr>
          <w:rFonts w:ascii="宋体" w:hAnsi="宋体"/>
          <w:color w:val="auto"/>
          <w:szCs w:val="21"/>
          <w:highlight w:val="none"/>
        </w:rPr>
        <w:t>赔偿</w:t>
      </w:r>
      <w:r>
        <w:rPr>
          <w:rFonts w:hint="eastAsia" w:ascii="宋体" w:hAnsi="宋体"/>
          <w:color w:val="auto"/>
          <w:szCs w:val="21"/>
          <w:highlight w:val="none"/>
        </w:rPr>
        <w:t>金额</w:t>
      </w:r>
      <w:r>
        <w:rPr>
          <w:rFonts w:ascii="宋体" w:hAnsi="宋体"/>
          <w:color w:val="auto"/>
          <w:szCs w:val="21"/>
          <w:highlight w:val="none"/>
        </w:rPr>
        <w:t>。</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 xml:space="preserve">15.1.3  </w:t>
      </w:r>
      <w:r>
        <w:rPr>
          <w:rFonts w:hint="eastAsia" w:ascii="宋体" w:hAnsi="宋体"/>
          <w:color w:val="auto"/>
          <w:szCs w:val="21"/>
          <w:highlight w:val="none"/>
        </w:rPr>
        <w:t>承包人</w:t>
      </w:r>
      <w:r>
        <w:rPr>
          <w:rFonts w:ascii="宋体" w:hAnsi="宋体"/>
          <w:color w:val="auto"/>
          <w:szCs w:val="21"/>
          <w:highlight w:val="none"/>
        </w:rPr>
        <w:t>从保险人收到的理赔款项，</w:t>
      </w:r>
      <w:r>
        <w:rPr>
          <w:rFonts w:hint="eastAsia" w:ascii="宋体" w:hAnsi="宋体"/>
          <w:color w:val="auto"/>
          <w:szCs w:val="21"/>
          <w:highlight w:val="none"/>
        </w:rPr>
        <w:t>应</w:t>
      </w:r>
      <w:r>
        <w:rPr>
          <w:rFonts w:ascii="宋体" w:hAnsi="宋体"/>
          <w:color w:val="auto"/>
          <w:szCs w:val="21"/>
          <w:highlight w:val="none"/>
        </w:rPr>
        <w:t>用于保单</w:t>
      </w:r>
      <w:r>
        <w:rPr>
          <w:rFonts w:hint="eastAsia" w:ascii="宋体" w:hAnsi="宋体"/>
          <w:color w:val="auto"/>
          <w:szCs w:val="21"/>
          <w:highlight w:val="none"/>
        </w:rPr>
        <w:t>约定</w:t>
      </w:r>
      <w:r>
        <w:rPr>
          <w:rFonts w:ascii="宋体" w:hAnsi="宋体"/>
          <w:color w:val="auto"/>
          <w:szCs w:val="21"/>
          <w:highlight w:val="none"/>
        </w:rPr>
        <w:t>的损失、损害、伤害的修复、购置、重建和赔偿。</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 xml:space="preserve">15.1.4  </w:t>
      </w:r>
      <w:r>
        <w:rPr>
          <w:rFonts w:hint="eastAsia" w:ascii="宋体" w:hAnsi="宋体"/>
          <w:color w:val="auto"/>
          <w:szCs w:val="21"/>
          <w:highlight w:val="none"/>
        </w:rPr>
        <w:t>承包人应</w:t>
      </w:r>
      <w:r>
        <w:rPr>
          <w:rFonts w:ascii="宋体" w:hAnsi="宋体"/>
          <w:color w:val="auto"/>
          <w:szCs w:val="21"/>
          <w:highlight w:val="none"/>
        </w:rPr>
        <w:t>在投保项目及其</w:t>
      </w:r>
      <w:r>
        <w:rPr>
          <w:rFonts w:hint="eastAsia" w:ascii="宋体" w:hAnsi="宋体"/>
          <w:color w:val="auto"/>
          <w:szCs w:val="21"/>
          <w:highlight w:val="none"/>
        </w:rPr>
        <w:t>投保</w:t>
      </w:r>
      <w:r>
        <w:rPr>
          <w:rFonts w:ascii="宋体" w:hAnsi="宋体"/>
          <w:color w:val="auto"/>
          <w:szCs w:val="21"/>
          <w:highlight w:val="none"/>
        </w:rPr>
        <w:t>期限内，向</w:t>
      </w:r>
      <w:r>
        <w:rPr>
          <w:rFonts w:hint="eastAsia" w:ascii="宋体" w:hAnsi="宋体"/>
          <w:color w:val="auto"/>
          <w:szCs w:val="21"/>
          <w:highlight w:val="none"/>
        </w:rPr>
        <w:t>发包人</w:t>
      </w:r>
      <w:r>
        <w:rPr>
          <w:rFonts w:ascii="宋体" w:hAnsi="宋体"/>
          <w:color w:val="auto"/>
          <w:szCs w:val="21"/>
          <w:highlight w:val="none"/>
        </w:rPr>
        <w:t>提供保险单副本、保费支付单据复印件和保险单生效的证明。</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承包人未提交上述证明文件的，视为未按合同约定投保，发包人可以自己名义投保相应保险，由此引起的费用及理赔损失，由承包人承担。</w:t>
      </w:r>
    </w:p>
    <w:p>
      <w:pPr>
        <w:pStyle w:val="4"/>
        <w:rPr>
          <w:rFonts w:ascii="宋体" w:hAnsi="宋体"/>
          <w:color w:val="auto"/>
          <w:kern w:val="0"/>
          <w:sz w:val="21"/>
          <w:szCs w:val="21"/>
          <w:highlight w:val="none"/>
        </w:rPr>
      </w:pPr>
      <w:bookmarkStart w:id="1244" w:name="_Toc419321351"/>
      <w:bookmarkStart w:id="1245" w:name="_Toc491277355"/>
      <w:bookmarkStart w:id="1246" w:name="_Toc419320315"/>
      <w:bookmarkStart w:id="1247" w:name="_Toc433988807"/>
      <w:bookmarkStart w:id="1248" w:name="_Toc419364440"/>
      <w:bookmarkStart w:id="1249" w:name="_Toc419363773"/>
      <w:r>
        <w:rPr>
          <w:rFonts w:ascii="宋体" w:hAnsi="宋体"/>
          <w:color w:val="auto"/>
          <w:kern w:val="0"/>
          <w:sz w:val="21"/>
          <w:szCs w:val="21"/>
          <w:highlight w:val="none"/>
        </w:rPr>
        <w:t>15.2  一切险和第三方责任险</w:t>
      </w:r>
      <w:bookmarkEnd w:id="1244"/>
      <w:bookmarkEnd w:id="1245"/>
      <w:bookmarkEnd w:id="1246"/>
      <w:bookmarkEnd w:id="1247"/>
      <w:bookmarkEnd w:id="1248"/>
      <w:bookmarkEnd w:id="1249"/>
    </w:p>
    <w:p>
      <w:pPr>
        <w:spacing w:line="300" w:lineRule="auto"/>
        <w:ind w:firstLine="420" w:firstLineChars="200"/>
        <w:rPr>
          <w:rFonts w:ascii="宋体" w:hAnsi="宋体"/>
          <w:color w:val="auto"/>
          <w:szCs w:val="21"/>
          <w:highlight w:val="none"/>
        </w:rPr>
      </w:pPr>
      <w:r>
        <w:rPr>
          <w:rFonts w:ascii="宋体" w:hAnsi="宋体"/>
          <w:color w:val="auto"/>
          <w:szCs w:val="21"/>
          <w:highlight w:val="none"/>
        </w:rPr>
        <w:t>对于建筑工程一切险、安装工程一切险和第三者责任险，无论应投保方是任何一方，其在投保时均</w:t>
      </w:r>
      <w:r>
        <w:rPr>
          <w:rFonts w:hint="eastAsia" w:ascii="宋体" w:hAnsi="宋体"/>
          <w:color w:val="auto"/>
          <w:szCs w:val="21"/>
          <w:highlight w:val="none"/>
        </w:rPr>
        <w:t>应</w:t>
      </w:r>
      <w:r>
        <w:rPr>
          <w:rFonts w:ascii="宋体" w:hAnsi="宋体"/>
          <w:color w:val="auto"/>
          <w:szCs w:val="21"/>
          <w:highlight w:val="none"/>
        </w:rPr>
        <w:t>将本合同</w:t>
      </w:r>
      <w:r>
        <w:rPr>
          <w:rFonts w:hint="eastAsia" w:ascii="宋体" w:hAnsi="宋体"/>
          <w:color w:val="auto"/>
          <w:szCs w:val="21"/>
          <w:highlight w:val="none"/>
        </w:rPr>
        <w:t>的</w:t>
      </w:r>
      <w:r>
        <w:rPr>
          <w:rFonts w:ascii="宋体" w:hAnsi="宋体"/>
          <w:color w:val="auto"/>
          <w:szCs w:val="21"/>
          <w:highlight w:val="none"/>
        </w:rPr>
        <w:t>另一方</w:t>
      </w:r>
      <w:r>
        <w:rPr>
          <w:rFonts w:hint="eastAsia" w:ascii="宋体" w:hAnsi="宋体"/>
          <w:color w:val="auto"/>
          <w:szCs w:val="21"/>
          <w:highlight w:val="none"/>
        </w:rPr>
        <w:t>、本合同项下分包商、供货商、服务商</w:t>
      </w:r>
      <w:r>
        <w:rPr>
          <w:rFonts w:ascii="宋体" w:hAnsi="宋体"/>
          <w:color w:val="auto"/>
          <w:szCs w:val="21"/>
          <w:highlight w:val="none"/>
        </w:rPr>
        <w:t>同时列为保险合同项下的被保险人。具体</w:t>
      </w:r>
      <w:r>
        <w:rPr>
          <w:rFonts w:hint="eastAsia" w:ascii="宋体" w:hAnsi="宋体"/>
          <w:color w:val="auto"/>
          <w:szCs w:val="21"/>
          <w:highlight w:val="none"/>
        </w:rPr>
        <w:t>的应</w:t>
      </w:r>
      <w:r>
        <w:rPr>
          <w:rFonts w:ascii="宋体" w:hAnsi="宋体"/>
          <w:color w:val="auto"/>
          <w:szCs w:val="21"/>
          <w:highlight w:val="none"/>
        </w:rPr>
        <w:t>投保方在专用条款中</w:t>
      </w:r>
      <w:r>
        <w:rPr>
          <w:rFonts w:hint="eastAsia" w:ascii="宋体" w:hAnsi="宋体"/>
          <w:color w:val="auto"/>
          <w:szCs w:val="21"/>
          <w:highlight w:val="none"/>
        </w:rPr>
        <w:t>约定</w:t>
      </w:r>
      <w:r>
        <w:rPr>
          <w:rFonts w:ascii="宋体" w:hAnsi="宋体"/>
          <w:color w:val="auto"/>
          <w:szCs w:val="21"/>
          <w:highlight w:val="none"/>
        </w:rPr>
        <w:t>。</w:t>
      </w:r>
    </w:p>
    <w:p>
      <w:pPr>
        <w:pStyle w:val="4"/>
        <w:rPr>
          <w:rFonts w:ascii="宋体" w:hAnsi="宋体"/>
          <w:color w:val="auto"/>
          <w:kern w:val="0"/>
          <w:sz w:val="21"/>
          <w:szCs w:val="21"/>
          <w:highlight w:val="none"/>
        </w:rPr>
      </w:pPr>
      <w:bookmarkStart w:id="1250" w:name="_Toc419363774"/>
      <w:bookmarkStart w:id="1251" w:name="_Toc419321352"/>
      <w:bookmarkStart w:id="1252" w:name="_Toc419320316"/>
      <w:bookmarkStart w:id="1253" w:name="_Toc491277356"/>
      <w:bookmarkStart w:id="1254" w:name="_Toc419364441"/>
      <w:bookmarkStart w:id="1255" w:name="_Toc433988808"/>
      <w:r>
        <w:rPr>
          <w:rFonts w:ascii="宋体" w:hAnsi="宋体"/>
          <w:color w:val="auto"/>
          <w:kern w:val="0"/>
          <w:sz w:val="21"/>
          <w:szCs w:val="21"/>
          <w:highlight w:val="none"/>
        </w:rPr>
        <w:t>15.3  保险的其它规定</w:t>
      </w:r>
      <w:bookmarkEnd w:id="1250"/>
      <w:bookmarkEnd w:id="1251"/>
      <w:bookmarkEnd w:id="1252"/>
      <w:bookmarkEnd w:id="1253"/>
      <w:bookmarkEnd w:id="1254"/>
      <w:bookmarkEnd w:id="1255"/>
    </w:p>
    <w:p>
      <w:pPr>
        <w:spacing w:line="300" w:lineRule="auto"/>
        <w:ind w:firstLine="420" w:firstLineChars="200"/>
        <w:rPr>
          <w:rFonts w:ascii="宋体" w:hAnsi="宋体"/>
          <w:color w:val="auto"/>
          <w:szCs w:val="21"/>
          <w:highlight w:val="none"/>
        </w:rPr>
      </w:pPr>
      <w:r>
        <w:rPr>
          <w:rFonts w:ascii="宋体" w:hAnsi="宋体"/>
          <w:color w:val="auto"/>
          <w:szCs w:val="21"/>
          <w:highlight w:val="none"/>
        </w:rPr>
        <w:t xml:space="preserve">15.3.1  </w:t>
      </w:r>
      <w:r>
        <w:rPr>
          <w:rFonts w:hint="eastAsia" w:ascii="宋体" w:hAnsi="宋体"/>
          <w:color w:val="auto"/>
          <w:szCs w:val="21"/>
          <w:highlight w:val="none"/>
        </w:rPr>
        <w:t>由承包人负责</w:t>
      </w:r>
      <w:r>
        <w:rPr>
          <w:rFonts w:ascii="宋体" w:hAnsi="宋体"/>
          <w:color w:val="auto"/>
          <w:szCs w:val="21"/>
          <w:highlight w:val="none"/>
        </w:rPr>
        <w:t>采购运输的设备、材料、部件的运输险</w:t>
      </w:r>
      <w:r>
        <w:rPr>
          <w:rFonts w:hint="eastAsia" w:ascii="宋体" w:hAnsi="宋体"/>
          <w:color w:val="auto"/>
          <w:szCs w:val="21"/>
          <w:highlight w:val="none"/>
        </w:rPr>
        <w:t>，由承包人</w:t>
      </w:r>
      <w:r>
        <w:rPr>
          <w:rFonts w:ascii="宋体" w:hAnsi="宋体"/>
          <w:color w:val="auto"/>
          <w:szCs w:val="21"/>
          <w:highlight w:val="none"/>
        </w:rPr>
        <w:t>投保。此项保险费用已包含在合同价格中</w:t>
      </w:r>
      <w:r>
        <w:rPr>
          <w:rFonts w:hint="eastAsia" w:ascii="宋体" w:hAnsi="宋体"/>
          <w:color w:val="auto"/>
          <w:szCs w:val="21"/>
          <w:highlight w:val="none"/>
        </w:rPr>
        <w:t>，专用条款中另有约定时除外。</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15.3.2  保险事项的</w:t>
      </w:r>
      <w:r>
        <w:rPr>
          <w:rFonts w:hint="eastAsia" w:ascii="宋体" w:hAnsi="宋体"/>
          <w:color w:val="auto"/>
          <w:szCs w:val="21"/>
          <w:highlight w:val="none"/>
        </w:rPr>
        <w:t>意外事件</w:t>
      </w:r>
      <w:r>
        <w:rPr>
          <w:rFonts w:ascii="宋体" w:hAnsi="宋体"/>
          <w:color w:val="auto"/>
          <w:szCs w:val="21"/>
          <w:highlight w:val="none"/>
        </w:rPr>
        <w:t>发生时，</w:t>
      </w:r>
      <w:r>
        <w:rPr>
          <w:rFonts w:hint="eastAsia" w:ascii="宋体" w:hAnsi="宋体"/>
          <w:color w:val="auto"/>
          <w:szCs w:val="21"/>
          <w:highlight w:val="none"/>
        </w:rPr>
        <w:t>在场的各</w:t>
      </w:r>
      <w:r>
        <w:rPr>
          <w:rFonts w:ascii="宋体" w:hAnsi="宋体"/>
          <w:color w:val="auto"/>
          <w:szCs w:val="21"/>
          <w:highlight w:val="none"/>
        </w:rPr>
        <w:t>方均有责任努力采取必要措施，防止损失、损害的扩大。</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15.3.3  本合同</w:t>
      </w:r>
      <w:r>
        <w:rPr>
          <w:rFonts w:hint="eastAsia" w:ascii="宋体" w:hAnsi="宋体"/>
          <w:color w:val="auto"/>
          <w:szCs w:val="21"/>
          <w:highlight w:val="none"/>
        </w:rPr>
        <w:t>约定</w:t>
      </w:r>
      <w:r>
        <w:rPr>
          <w:rFonts w:ascii="宋体" w:hAnsi="宋体"/>
          <w:color w:val="auto"/>
          <w:szCs w:val="21"/>
          <w:highlight w:val="none"/>
        </w:rPr>
        <w:t>以外的险种，根据各自的需要自行投保，保险费用</w:t>
      </w:r>
      <w:r>
        <w:rPr>
          <w:rFonts w:hint="eastAsia" w:ascii="宋体" w:hAnsi="宋体"/>
          <w:color w:val="auto"/>
          <w:szCs w:val="21"/>
          <w:highlight w:val="none"/>
        </w:rPr>
        <w:t>由</w:t>
      </w:r>
      <w:r>
        <w:rPr>
          <w:rFonts w:ascii="宋体" w:hAnsi="宋体"/>
          <w:color w:val="auto"/>
          <w:szCs w:val="21"/>
          <w:highlight w:val="none"/>
        </w:rPr>
        <w:t>各自承担。</w:t>
      </w:r>
    </w:p>
    <w:p>
      <w:pPr>
        <w:pStyle w:val="2"/>
        <w:rPr>
          <w:rFonts w:ascii="宋体" w:hAnsi="宋体" w:eastAsia="宋体"/>
          <w:color w:val="auto"/>
          <w:sz w:val="28"/>
          <w:szCs w:val="28"/>
          <w:highlight w:val="none"/>
        </w:rPr>
      </w:pPr>
      <w:bookmarkStart w:id="1256" w:name="_Toc491277357"/>
      <w:bookmarkStart w:id="1257" w:name="_Toc419321353"/>
      <w:bookmarkStart w:id="1258" w:name="_Toc433988809"/>
      <w:bookmarkStart w:id="1259" w:name="_Toc419364442"/>
      <w:bookmarkStart w:id="1260" w:name="_Toc419363775"/>
      <w:bookmarkStart w:id="1261" w:name="_Toc419320317"/>
      <w:r>
        <w:rPr>
          <w:rFonts w:hint="eastAsia" w:ascii="宋体" w:hAnsi="宋体" w:eastAsia="宋体"/>
          <w:color w:val="auto"/>
          <w:sz w:val="28"/>
          <w:szCs w:val="28"/>
          <w:highlight w:val="none"/>
        </w:rPr>
        <w:t>第</w:t>
      </w:r>
      <w:r>
        <w:rPr>
          <w:rFonts w:ascii="宋体" w:hAnsi="宋体" w:eastAsia="宋体"/>
          <w:color w:val="auto"/>
          <w:sz w:val="28"/>
          <w:szCs w:val="28"/>
          <w:highlight w:val="none"/>
        </w:rPr>
        <w:t>16</w:t>
      </w:r>
      <w:r>
        <w:rPr>
          <w:rFonts w:hint="eastAsia" w:ascii="宋体" w:hAnsi="宋体" w:eastAsia="宋体"/>
          <w:color w:val="auto"/>
          <w:sz w:val="28"/>
          <w:szCs w:val="28"/>
          <w:highlight w:val="none"/>
        </w:rPr>
        <w:t>条 违约、索赔和争议</w:t>
      </w:r>
      <w:bookmarkEnd w:id="1256"/>
      <w:bookmarkEnd w:id="1257"/>
      <w:bookmarkEnd w:id="1258"/>
      <w:bookmarkEnd w:id="1259"/>
      <w:bookmarkEnd w:id="1260"/>
      <w:bookmarkEnd w:id="1261"/>
    </w:p>
    <w:p>
      <w:pPr>
        <w:pStyle w:val="4"/>
        <w:rPr>
          <w:rFonts w:ascii="宋体" w:hAnsi="宋体"/>
          <w:color w:val="auto"/>
          <w:kern w:val="0"/>
          <w:sz w:val="21"/>
          <w:szCs w:val="21"/>
          <w:highlight w:val="none"/>
        </w:rPr>
      </w:pPr>
      <w:bookmarkStart w:id="1262" w:name="_Toc491277358"/>
      <w:bookmarkStart w:id="1263" w:name="_Toc419321354"/>
      <w:bookmarkStart w:id="1264" w:name="_Toc419363776"/>
      <w:bookmarkStart w:id="1265" w:name="_Toc433988810"/>
      <w:bookmarkStart w:id="1266" w:name="_Toc419320318"/>
      <w:bookmarkStart w:id="1267" w:name="_Toc419364443"/>
      <w:r>
        <w:rPr>
          <w:rFonts w:ascii="宋体" w:hAnsi="宋体"/>
          <w:color w:val="auto"/>
          <w:kern w:val="0"/>
          <w:sz w:val="21"/>
          <w:szCs w:val="21"/>
          <w:highlight w:val="none"/>
        </w:rPr>
        <w:t>16.1</w:t>
      </w:r>
      <w:r>
        <w:rPr>
          <w:rFonts w:hint="eastAsia" w:ascii="宋体" w:hAnsi="宋体"/>
          <w:color w:val="auto"/>
          <w:kern w:val="0"/>
          <w:sz w:val="21"/>
          <w:szCs w:val="21"/>
          <w:highlight w:val="none"/>
        </w:rPr>
        <w:t xml:space="preserve">  违约责任</w:t>
      </w:r>
      <w:bookmarkEnd w:id="1262"/>
      <w:bookmarkEnd w:id="1263"/>
      <w:bookmarkEnd w:id="1264"/>
      <w:bookmarkEnd w:id="1265"/>
      <w:bookmarkEnd w:id="1266"/>
      <w:bookmarkEnd w:id="1267"/>
    </w:p>
    <w:p>
      <w:pPr>
        <w:spacing w:line="300" w:lineRule="auto"/>
        <w:ind w:firstLine="420" w:firstLineChars="200"/>
        <w:rPr>
          <w:rFonts w:ascii="宋体" w:hAnsi="宋体"/>
          <w:color w:val="auto"/>
          <w:szCs w:val="21"/>
          <w:highlight w:val="none"/>
        </w:rPr>
      </w:pPr>
      <w:r>
        <w:rPr>
          <w:rFonts w:ascii="宋体" w:hAnsi="宋体"/>
          <w:color w:val="auto"/>
          <w:szCs w:val="21"/>
          <w:highlight w:val="none"/>
        </w:rPr>
        <w:t>16.1.1</w:t>
      </w:r>
      <w:r>
        <w:rPr>
          <w:rFonts w:hint="eastAsia" w:ascii="宋体" w:hAnsi="宋体"/>
          <w:color w:val="auto"/>
          <w:szCs w:val="21"/>
          <w:highlight w:val="none"/>
        </w:rPr>
        <w:t xml:space="preserve">  发包人的违约责任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当发生下列情况时：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（1）发包人未能履行5.1.2款、5.2.1款第（1）、（2）项的约定，未能按时提供真实、准确、齐全的工艺技术和（或）建筑设计方案、项目基础资料和现场障碍资料；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（2）发包人未能按13条的约定调整合同价格，未能按14条有关预付款、工程进度款、竣工结算约定的款项类别、金额、承包人指定的账户和时间支付相应款项；</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（3）发包人未能履行合同中约定的其它责任和义务。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16.1.2</w:t>
      </w:r>
      <w:r>
        <w:rPr>
          <w:rFonts w:hint="eastAsia" w:ascii="宋体" w:hAnsi="宋体"/>
          <w:color w:val="auto"/>
          <w:szCs w:val="21"/>
          <w:highlight w:val="none"/>
        </w:rPr>
        <w:t xml:space="preserve">  承包人的违约责任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当发生下列情况时：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（1）承包人未能履行第6.2款对其提供的工程物资进行检验的约定、7.5款施工质量与检验的约定，未能修复缺陷； </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 承包人经三次试验仍未能通过竣工试验、或经三次试验仍未能通过竣工后试验，导致的工程任何主要部分或整个工程丧失了使用价值、生产价值、使用利益；</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（3） 承包人未经发包人同意、或未经必要的许可、或适用法律不允许分包的，将工程分包给他人； </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 承包人未能履行合同约定的其他责任和义务。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承包人应采取补救措施，并赔偿因上述违约行为给发包人造成的损失。承包人承担违约责任，并不能减轻或免除合同中约定的由承包人继续履行的其它责任和义务。</w:t>
      </w:r>
    </w:p>
    <w:p>
      <w:pPr>
        <w:pStyle w:val="4"/>
        <w:rPr>
          <w:rFonts w:ascii="宋体" w:hAnsi="宋体"/>
          <w:color w:val="auto"/>
          <w:kern w:val="0"/>
          <w:sz w:val="21"/>
          <w:szCs w:val="21"/>
          <w:highlight w:val="none"/>
        </w:rPr>
      </w:pPr>
      <w:bookmarkStart w:id="1268" w:name="_Toc433988811"/>
      <w:bookmarkStart w:id="1269" w:name="_Toc419364444"/>
      <w:bookmarkStart w:id="1270" w:name="_Toc419321355"/>
      <w:bookmarkStart w:id="1271" w:name="_Toc419363777"/>
      <w:bookmarkStart w:id="1272" w:name="_Toc491277359"/>
      <w:bookmarkStart w:id="1273" w:name="_Toc419320319"/>
      <w:r>
        <w:rPr>
          <w:rFonts w:ascii="宋体" w:hAnsi="宋体"/>
          <w:color w:val="auto"/>
          <w:kern w:val="0"/>
          <w:sz w:val="21"/>
          <w:szCs w:val="21"/>
          <w:highlight w:val="none"/>
        </w:rPr>
        <w:t>16.2</w:t>
      </w:r>
      <w:r>
        <w:rPr>
          <w:rFonts w:hint="eastAsia" w:ascii="宋体" w:hAnsi="宋体"/>
          <w:color w:val="auto"/>
          <w:kern w:val="0"/>
          <w:sz w:val="21"/>
          <w:szCs w:val="21"/>
          <w:highlight w:val="none"/>
        </w:rPr>
        <w:t xml:space="preserve">  索  赔</w:t>
      </w:r>
      <w:bookmarkEnd w:id="1268"/>
      <w:bookmarkEnd w:id="1269"/>
      <w:bookmarkEnd w:id="1270"/>
      <w:bookmarkEnd w:id="1271"/>
      <w:bookmarkEnd w:id="1272"/>
      <w:bookmarkEnd w:id="1273"/>
    </w:p>
    <w:p>
      <w:pPr>
        <w:spacing w:line="300" w:lineRule="auto"/>
        <w:ind w:firstLine="420" w:firstLineChars="200"/>
        <w:rPr>
          <w:rFonts w:ascii="宋体" w:hAnsi="宋体"/>
          <w:color w:val="auto"/>
          <w:szCs w:val="21"/>
          <w:highlight w:val="none"/>
        </w:rPr>
      </w:pPr>
      <w:r>
        <w:rPr>
          <w:rFonts w:ascii="宋体" w:hAnsi="宋体"/>
          <w:color w:val="auto"/>
          <w:szCs w:val="21"/>
          <w:highlight w:val="none"/>
        </w:rPr>
        <w:t>16.2.1</w:t>
      </w:r>
      <w:r>
        <w:rPr>
          <w:rFonts w:hint="eastAsia" w:ascii="宋体" w:hAnsi="宋体"/>
          <w:color w:val="auto"/>
          <w:szCs w:val="21"/>
          <w:highlight w:val="none"/>
        </w:rPr>
        <w:t>发包人的索赔</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）发包人应在索赔事件发生后的</w:t>
      </w:r>
      <w:r>
        <w:rPr>
          <w:rFonts w:ascii="宋体" w:hAnsi="宋体"/>
          <w:color w:val="auto"/>
          <w:szCs w:val="21"/>
          <w:highlight w:val="none"/>
        </w:rPr>
        <w:t>30</w:t>
      </w:r>
      <w:r>
        <w:rPr>
          <w:rFonts w:hint="eastAsia" w:ascii="宋体" w:hAnsi="宋体"/>
          <w:color w:val="auto"/>
          <w:szCs w:val="21"/>
          <w:highlight w:val="none"/>
        </w:rPr>
        <w:t>日内，向承包人送交索赔通知。未能在索赔事件发生后的</w:t>
      </w:r>
      <w:r>
        <w:rPr>
          <w:rFonts w:ascii="宋体" w:hAnsi="宋体"/>
          <w:color w:val="auto"/>
          <w:szCs w:val="21"/>
          <w:highlight w:val="none"/>
        </w:rPr>
        <w:t xml:space="preserve">30 </w:t>
      </w:r>
      <w:r>
        <w:rPr>
          <w:rFonts w:hint="eastAsia" w:ascii="宋体" w:hAnsi="宋体"/>
          <w:color w:val="auto"/>
          <w:szCs w:val="21"/>
          <w:highlight w:val="none"/>
        </w:rPr>
        <w:t>日内发出索赔通知，承包人不再承担任何责任，法律另有规定的除外；</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（2）发包人应在发出索赔通知后的</w:t>
      </w:r>
      <w:r>
        <w:rPr>
          <w:rFonts w:ascii="宋体" w:hAnsi="宋体"/>
          <w:color w:val="auto"/>
          <w:szCs w:val="21"/>
          <w:highlight w:val="none"/>
        </w:rPr>
        <w:t>30</w:t>
      </w:r>
      <w:r>
        <w:rPr>
          <w:rFonts w:hint="eastAsia" w:ascii="宋体" w:hAnsi="宋体"/>
          <w:color w:val="auto"/>
          <w:szCs w:val="21"/>
          <w:highlight w:val="none"/>
        </w:rPr>
        <w:t>日内，以书面形式向承包人提供说明索赔事件的正当理由、条款根据、有效的可证实的证据和索赔估算等相关资料；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（3）承包人应在收到发包人送交的索赔资料后</w:t>
      </w:r>
      <w:r>
        <w:rPr>
          <w:rFonts w:ascii="宋体" w:hAnsi="宋体"/>
          <w:color w:val="auto"/>
          <w:szCs w:val="21"/>
          <w:highlight w:val="none"/>
        </w:rPr>
        <w:t>30</w:t>
      </w:r>
      <w:r>
        <w:rPr>
          <w:rFonts w:hint="eastAsia" w:ascii="宋体" w:hAnsi="宋体"/>
          <w:color w:val="auto"/>
          <w:szCs w:val="21"/>
          <w:highlight w:val="none"/>
        </w:rPr>
        <w:t>日内与发包人协商解决，或给予答复，或要求发包人进一步补充提供索赔的理由和证据；</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（4）承包人在收到发包人送交的索赔资料后</w:t>
      </w:r>
      <w:r>
        <w:rPr>
          <w:rFonts w:ascii="宋体" w:hAnsi="宋体"/>
          <w:color w:val="auto"/>
          <w:szCs w:val="21"/>
          <w:highlight w:val="none"/>
        </w:rPr>
        <w:t>30</w:t>
      </w:r>
      <w:r>
        <w:rPr>
          <w:rFonts w:hint="eastAsia" w:ascii="宋体" w:hAnsi="宋体"/>
          <w:color w:val="auto"/>
          <w:szCs w:val="21"/>
          <w:highlight w:val="none"/>
        </w:rPr>
        <w:t>日内未与发包人协商、未于答复、或未向发包人提出进一步要求，视为该项索赔已被承包人认可。</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（5）当发包人提出的索赔事件持续影响时，发包人每周应向承包人发出索赔事件的延续影响情况，在该索赔事件延续影响停止后的</w:t>
      </w:r>
      <w:r>
        <w:rPr>
          <w:rFonts w:ascii="宋体" w:hAnsi="宋体"/>
          <w:color w:val="auto"/>
          <w:szCs w:val="21"/>
          <w:highlight w:val="none"/>
        </w:rPr>
        <w:t>30</w:t>
      </w:r>
      <w:r>
        <w:rPr>
          <w:rFonts w:hint="eastAsia" w:ascii="宋体" w:hAnsi="宋体"/>
          <w:color w:val="auto"/>
          <w:szCs w:val="21"/>
          <w:highlight w:val="none"/>
        </w:rPr>
        <w:t>日内，发包人应向承包人送交最终索赔报告和最终索赔估算。索赔程序与本款第（1）项至第（4）项的约定相同。</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16.2.2</w:t>
      </w:r>
      <w:r>
        <w:rPr>
          <w:rFonts w:hint="eastAsia" w:ascii="宋体" w:hAnsi="宋体"/>
          <w:color w:val="auto"/>
          <w:szCs w:val="21"/>
          <w:highlight w:val="none"/>
        </w:rPr>
        <w:t xml:space="preserve">  承包人的索赔</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承包人应在索赔事件发生后</w:t>
      </w:r>
      <w:r>
        <w:rPr>
          <w:rFonts w:ascii="宋体" w:hAnsi="宋体"/>
          <w:color w:val="auto"/>
          <w:szCs w:val="21"/>
          <w:highlight w:val="none"/>
        </w:rPr>
        <w:t>30</w:t>
      </w:r>
      <w:r>
        <w:rPr>
          <w:rFonts w:hint="eastAsia" w:ascii="宋体" w:hAnsi="宋体"/>
          <w:color w:val="auto"/>
          <w:szCs w:val="21"/>
          <w:highlight w:val="none"/>
        </w:rPr>
        <w:t>日内，向发包人发出索赔通知。未在索赔事件发生后的</w:t>
      </w:r>
      <w:r>
        <w:rPr>
          <w:rFonts w:ascii="宋体" w:hAnsi="宋体"/>
          <w:color w:val="auto"/>
          <w:szCs w:val="21"/>
          <w:highlight w:val="none"/>
        </w:rPr>
        <w:t>30</w:t>
      </w:r>
      <w:r>
        <w:rPr>
          <w:rFonts w:hint="eastAsia" w:ascii="宋体" w:hAnsi="宋体"/>
          <w:color w:val="auto"/>
          <w:szCs w:val="21"/>
          <w:highlight w:val="none"/>
        </w:rPr>
        <w:t>日内发出索赔通知，发包人不再承担任何责任，法律另有规定除外，</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）承包人应在发出索赔事件通知后的</w:t>
      </w:r>
      <w:r>
        <w:rPr>
          <w:rFonts w:ascii="宋体" w:hAnsi="宋体"/>
          <w:color w:val="auto"/>
          <w:szCs w:val="21"/>
          <w:highlight w:val="none"/>
        </w:rPr>
        <w:t>30</w:t>
      </w:r>
      <w:r>
        <w:rPr>
          <w:rFonts w:hint="eastAsia" w:ascii="宋体" w:hAnsi="宋体"/>
          <w:color w:val="auto"/>
          <w:szCs w:val="21"/>
          <w:highlight w:val="none"/>
        </w:rPr>
        <w:t>日内，以书面形式向发包人提交说明索赔事件的正当理由、条款根据、有效的可证实的证据和索赔估算资料的报告；</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）发包人应在收到承包人送交的有关索赔资料的报告后</w:t>
      </w:r>
      <w:r>
        <w:rPr>
          <w:rFonts w:ascii="宋体" w:hAnsi="宋体"/>
          <w:color w:val="auto"/>
          <w:szCs w:val="21"/>
          <w:highlight w:val="none"/>
        </w:rPr>
        <w:t>30</w:t>
      </w:r>
      <w:r>
        <w:rPr>
          <w:rFonts w:hint="eastAsia" w:ascii="宋体" w:hAnsi="宋体"/>
          <w:color w:val="auto"/>
          <w:szCs w:val="21"/>
          <w:highlight w:val="none"/>
        </w:rPr>
        <w:t>日内与承包人协商解决，或给予答复，或要求承包人进一步补充索赔理由和证据；</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）发包人在收到承包人按本款第（3）项提交的报告和补充资料后的</w:t>
      </w:r>
      <w:r>
        <w:rPr>
          <w:rFonts w:ascii="宋体" w:hAnsi="宋体"/>
          <w:color w:val="auto"/>
          <w:szCs w:val="21"/>
          <w:highlight w:val="none"/>
        </w:rPr>
        <w:t>30</w:t>
      </w:r>
      <w:r>
        <w:rPr>
          <w:rFonts w:hint="eastAsia" w:ascii="宋体" w:hAnsi="宋体"/>
          <w:color w:val="auto"/>
          <w:szCs w:val="21"/>
          <w:highlight w:val="none"/>
        </w:rPr>
        <w:t>日内未与承包人协商、或未予答复、或未向承包人提出进一步补充要求，视为该项索赔已被发包人认可。</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 当承包人提出的索赔事件持续影响时，承包人每周应向发包人发出索赔事件的延续影响情况，在该索赔事件延续影响停止后的</w:t>
      </w:r>
      <w:r>
        <w:rPr>
          <w:rFonts w:ascii="宋体" w:hAnsi="宋体"/>
          <w:color w:val="auto"/>
          <w:szCs w:val="21"/>
          <w:highlight w:val="none"/>
        </w:rPr>
        <w:t>30</w:t>
      </w:r>
      <w:r>
        <w:rPr>
          <w:rFonts w:hint="eastAsia" w:ascii="宋体" w:hAnsi="宋体"/>
          <w:color w:val="auto"/>
          <w:szCs w:val="21"/>
          <w:highlight w:val="none"/>
        </w:rPr>
        <w:t>日内，承包人向发包人送交最终索赔报告和最终索赔估算。索赔程序与本款第（1）项至第（</w:t>
      </w:r>
      <w:r>
        <w:rPr>
          <w:rFonts w:ascii="宋体" w:hAnsi="宋体"/>
          <w:color w:val="auto"/>
          <w:szCs w:val="21"/>
          <w:highlight w:val="none"/>
        </w:rPr>
        <w:t>4</w:t>
      </w:r>
      <w:r>
        <w:rPr>
          <w:rFonts w:hint="eastAsia" w:ascii="宋体" w:hAnsi="宋体"/>
          <w:color w:val="auto"/>
          <w:szCs w:val="21"/>
          <w:highlight w:val="none"/>
        </w:rPr>
        <w:t>）项的约定相同。</w:t>
      </w:r>
    </w:p>
    <w:p>
      <w:pPr>
        <w:pStyle w:val="4"/>
        <w:rPr>
          <w:rFonts w:ascii="宋体" w:hAnsi="宋体"/>
          <w:color w:val="auto"/>
          <w:kern w:val="0"/>
          <w:sz w:val="21"/>
          <w:szCs w:val="21"/>
          <w:highlight w:val="none"/>
        </w:rPr>
      </w:pPr>
      <w:bookmarkStart w:id="1274" w:name="_Toc419320320"/>
      <w:bookmarkStart w:id="1275" w:name="_Toc491277360"/>
      <w:bookmarkStart w:id="1276" w:name="_Toc419321356"/>
      <w:bookmarkStart w:id="1277" w:name="_Toc419364445"/>
      <w:bookmarkStart w:id="1278" w:name="_Toc419363778"/>
      <w:bookmarkStart w:id="1279" w:name="_Toc433988812"/>
      <w:r>
        <w:rPr>
          <w:rFonts w:ascii="宋体" w:hAnsi="宋体"/>
          <w:color w:val="auto"/>
          <w:kern w:val="0"/>
          <w:sz w:val="21"/>
          <w:szCs w:val="21"/>
          <w:highlight w:val="none"/>
        </w:rPr>
        <w:t>16.3</w:t>
      </w:r>
      <w:r>
        <w:rPr>
          <w:rFonts w:hint="eastAsia" w:ascii="宋体" w:hAnsi="宋体"/>
          <w:color w:val="auto"/>
          <w:kern w:val="0"/>
          <w:sz w:val="21"/>
          <w:szCs w:val="21"/>
          <w:highlight w:val="none"/>
        </w:rPr>
        <w:t>争议和裁决</w:t>
      </w:r>
      <w:bookmarkEnd w:id="1274"/>
      <w:bookmarkEnd w:id="1275"/>
      <w:bookmarkEnd w:id="1276"/>
      <w:bookmarkEnd w:id="1277"/>
      <w:bookmarkEnd w:id="1278"/>
      <w:bookmarkEnd w:id="1279"/>
    </w:p>
    <w:p>
      <w:pPr>
        <w:spacing w:line="300" w:lineRule="auto"/>
        <w:ind w:firstLine="420" w:firstLineChars="200"/>
        <w:rPr>
          <w:rFonts w:ascii="宋体" w:hAnsi="宋体"/>
          <w:color w:val="auto"/>
          <w:szCs w:val="21"/>
          <w:highlight w:val="none"/>
        </w:rPr>
      </w:pPr>
      <w:r>
        <w:rPr>
          <w:rFonts w:ascii="宋体" w:hAnsi="宋体"/>
          <w:color w:val="auto"/>
          <w:szCs w:val="21"/>
          <w:highlight w:val="none"/>
        </w:rPr>
        <w:t>16.3.1</w:t>
      </w:r>
      <w:r>
        <w:rPr>
          <w:rFonts w:hint="eastAsia" w:ascii="宋体" w:hAnsi="宋体"/>
          <w:color w:val="auto"/>
          <w:szCs w:val="21"/>
          <w:highlight w:val="none"/>
        </w:rPr>
        <w:t>争议的解决程序</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根据本合同或与本合同相关的事项所发生的任何索赔争议，合同双方首先应通过友好协商解决。争议的一方，应以书面形式通知另一方，说明争议的内容、细节及因由。在上述书面通知发出之日起的</w:t>
      </w:r>
      <w:r>
        <w:rPr>
          <w:rFonts w:ascii="宋体" w:hAnsi="宋体"/>
          <w:color w:val="auto"/>
          <w:szCs w:val="21"/>
          <w:highlight w:val="none"/>
        </w:rPr>
        <w:t>30</w:t>
      </w:r>
      <w:r>
        <w:rPr>
          <w:rFonts w:hint="eastAsia" w:ascii="宋体" w:hAnsi="宋体"/>
          <w:color w:val="auto"/>
          <w:szCs w:val="21"/>
          <w:highlight w:val="none"/>
        </w:rPr>
        <w:t>日内，经友好协商后仍存争议时，合同双方可提请双方一致同意的工程所在地有关单位或权威机构对此项争议进行调解；在争议提交调解之日起</w:t>
      </w:r>
      <w:r>
        <w:rPr>
          <w:rFonts w:ascii="宋体" w:hAnsi="宋体"/>
          <w:color w:val="auto"/>
          <w:szCs w:val="21"/>
          <w:highlight w:val="none"/>
        </w:rPr>
        <w:t>30</w:t>
      </w:r>
      <w:r>
        <w:rPr>
          <w:rFonts w:hint="eastAsia" w:ascii="宋体" w:hAnsi="宋体"/>
          <w:color w:val="auto"/>
          <w:szCs w:val="21"/>
          <w:highlight w:val="none"/>
        </w:rPr>
        <w:t>日内，双方仍存争议时，或合同任何一方不同意调解的，按专用条款的约定通过仲裁或诉讼方式解决争议事顷。</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16.3.2</w:t>
      </w:r>
      <w:r>
        <w:rPr>
          <w:rFonts w:hint="eastAsia" w:ascii="宋体" w:hAnsi="宋体"/>
          <w:color w:val="auto"/>
          <w:szCs w:val="21"/>
          <w:highlight w:val="none"/>
        </w:rPr>
        <w:t xml:space="preserve">  争议不应影响履约</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发生争议后，须继续履行其合同约定的责任和义务，保持工程继续实施。除非出现下列情况，任何一方不得停止工程或部分工程的实施，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 当事人一方违约导致合同确已无法履行，经合同双方协议停止实施；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 仲裁机构或法院责令停止实施。</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16.3.3</w:t>
      </w:r>
      <w:r>
        <w:rPr>
          <w:rFonts w:hint="eastAsia" w:ascii="宋体" w:hAnsi="宋体"/>
          <w:color w:val="auto"/>
          <w:szCs w:val="21"/>
          <w:highlight w:val="none"/>
        </w:rPr>
        <w:t xml:space="preserve">  停止实施的工程保护</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根据16.3.2款约定，停止实施的工程或部分工程，当事人按合同约定的职责、责任和义务，保护好与合同工程有关的各种文件、资料、图纸、已完工程，以及尚未使用的工程物资。</w:t>
      </w:r>
    </w:p>
    <w:p>
      <w:pPr>
        <w:pStyle w:val="2"/>
        <w:rPr>
          <w:rFonts w:ascii="宋体" w:hAnsi="宋体" w:eastAsia="宋体"/>
          <w:color w:val="auto"/>
          <w:sz w:val="28"/>
          <w:szCs w:val="28"/>
          <w:highlight w:val="none"/>
        </w:rPr>
      </w:pPr>
      <w:bookmarkStart w:id="1280" w:name="_Toc419363779"/>
      <w:bookmarkStart w:id="1281" w:name="_Toc433988813"/>
      <w:bookmarkStart w:id="1282" w:name="_Toc419364446"/>
      <w:bookmarkStart w:id="1283" w:name="_Toc419321357"/>
      <w:bookmarkStart w:id="1284" w:name="_Toc419320321"/>
      <w:bookmarkStart w:id="1285" w:name="_Toc491277361"/>
      <w:r>
        <w:rPr>
          <w:rFonts w:hint="eastAsia" w:ascii="宋体" w:hAnsi="宋体" w:eastAsia="宋体"/>
          <w:color w:val="auto"/>
          <w:sz w:val="28"/>
          <w:szCs w:val="28"/>
          <w:highlight w:val="none"/>
        </w:rPr>
        <w:t>第</w:t>
      </w:r>
      <w:r>
        <w:rPr>
          <w:rFonts w:ascii="宋体" w:hAnsi="宋体" w:eastAsia="宋体"/>
          <w:color w:val="auto"/>
          <w:sz w:val="28"/>
          <w:szCs w:val="28"/>
          <w:highlight w:val="none"/>
        </w:rPr>
        <w:t>17</w:t>
      </w:r>
      <w:r>
        <w:rPr>
          <w:rFonts w:hint="eastAsia" w:ascii="宋体" w:hAnsi="宋体" w:eastAsia="宋体"/>
          <w:color w:val="auto"/>
          <w:sz w:val="28"/>
          <w:szCs w:val="28"/>
          <w:highlight w:val="none"/>
        </w:rPr>
        <w:t>条不可抗力</w:t>
      </w:r>
      <w:bookmarkEnd w:id="1280"/>
      <w:bookmarkEnd w:id="1281"/>
      <w:bookmarkEnd w:id="1282"/>
      <w:bookmarkEnd w:id="1283"/>
      <w:bookmarkEnd w:id="1284"/>
      <w:bookmarkEnd w:id="1285"/>
    </w:p>
    <w:p>
      <w:pPr>
        <w:pStyle w:val="4"/>
        <w:rPr>
          <w:rFonts w:ascii="宋体" w:hAnsi="宋体"/>
          <w:color w:val="auto"/>
          <w:kern w:val="0"/>
          <w:sz w:val="21"/>
          <w:szCs w:val="21"/>
          <w:highlight w:val="none"/>
        </w:rPr>
      </w:pPr>
      <w:bookmarkStart w:id="1286" w:name="_Toc419321358"/>
      <w:bookmarkStart w:id="1287" w:name="_Toc419320322"/>
      <w:bookmarkStart w:id="1288" w:name="_Toc433988814"/>
      <w:bookmarkStart w:id="1289" w:name="_Toc419363780"/>
      <w:bookmarkStart w:id="1290" w:name="_Toc419364447"/>
      <w:bookmarkStart w:id="1291" w:name="_Toc491277362"/>
      <w:r>
        <w:rPr>
          <w:rFonts w:ascii="宋体" w:hAnsi="宋体"/>
          <w:color w:val="auto"/>
          <w:kern w:val="0"/>
          <w:sz w:val="21"/>
          <w:szCs w:val="21"/>
          <w:highlight w:val="none"/>
        </w:rPr>
        <w:t>17.</w:t>
      </w:r>
      <w:r>
        <w:rPr>
          <w:rFonts w:hint="eastAsia" w:ascii="宋体" w:hAnsi="宋体"/>
          <w:color w:val="auto"/>
          <w:kern w:val="0"/>
          <w:sz w:val="21"/>
          <w:szCs w:val="21"/>
          <w:highlight w:val="none"/>
        </w:rPr>
        <w:t xml:space="preserve">1  </w:t>
      </w:r>
      <w:r>
        <w:rPr>
          <w:rFonts w:ascii="宋体" w:hAnsi="宋体"/>
          <w:color w:val="auto"/>
          <w:kern w:val="0"/>
          <w:sz w:val="21"/>
          <w:szCs w:val="21"/>
          <w:highlight w:val="none"/>
        </w:rPr>
        <w:t>不可抗力发生</w:t>
      </w:r>
      <w:r>
        <w:rPr>
          <w:rFonts w:hint="eastAsia" w:ascii="宋体" w:hAnsi="宋体"/>
          <w:color w:val="auto"/>
          <w:kern w:val="0"/>
          <w:sz w:val="21"/>
          <w:szCs w:val="21"/>
          <w:highlight w:val="none"/>
        </w:rPr>
        <w:t>时的义务</w:t>
      </w:r>
      <w:bookmarkEnd w:id="1286"/>
      <w:bookmarkEnd w:id="1287"/>
      <w:bookmarkEnd w:id="1288"/>
      <w:bookmarkEnd w:id="1289"/>
      <w:bookmarkEnd w:id="1290"/>
      <w:bookmarkEnd w:id="1291"/>
    </w:p>
    <w:p>
      <w:pPr>
        <w:spacing w:line="300" w:lineRule="auto"/>
        <w:ind w:firstLine="420" w:firstLineChars="200"/>
        <w:rPr>
          <w:rFonts w:ascii="宋体" w:hAnsi="宋体"/>
          <w:color w:val="auto"/>
          <w:szCs w:val="21"/>
          <w:highlight w:val="none"/>
        </w:rPr>
      </w:pPr>
      <w:r>
        <w:rPr>
          <w:rFonts w:ascii="宋体" w:hAnsi="宋体"/>
          <w:color w:val="auto"/>
          <w:szCs w:val="21"/>
          <w:highlight w:val="none"/>
        </w:rPr>
        <w:t>17.</w:t>
      </w:r>
      <w:r>
        <w:rPr>
          <w:rFonts w:hint="eastAsia" w:ascii="宋体" w:hAnsi="宋体"/>
          <w:color w:val="auto"/>
          <w:szCs w:val="21"/>
          <w:highlight w:val="none"/>
        </w:rPr>
        <w:t>1</w:t>
      </w:r>
      <w:r>
        <w:rPr>
          <w:rFonts w:ascii="宋体" w:hAnsi="宋体"/>
          <w:color w:val="auto"/>
          <w:szCs w:val="21"/>
          <w:highlight w:val="none"/>
        </w:rPr>
        <w:t xml:space="preserve">.1 </w:t>
      </w:r>
      <w:r>
        <w:rPr>
          <w:rFonts w:hint="eastAsia" w:ascii="宋体" w:hAnsi="宋体"/>
          <w:color w:val="auto"/>
          <w:szCs w:val="21"/>
          <w:highlight w:val="none"/>
        </w:rPr>
        <w:t xml:space="preserve"> 通知义务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17.</w:t>
      </w:r>
      <w:r>
        <w:rPr>
          <w:rFonts w:hint="eastAsia" w:ascii="宋体" w:hAnsi="宋体"/>
          <w:color w:val="auto"/>
          <w:szCs w:val="21"/>
          <w:highlight w:val="none"/>
        </w:rPr>
        <w:t>1</w:t>
      </w:r>
      <w:r>
        <w:rPr>
          <w:rFonts w:ascii="宋体" w:hAnsi="宋体"/>
          <w:color w:val="auto"/>
          <w:szCs w:val="21"/>
          <w:highlight w:val="none"/>
        </w:rPr>
        <w:t>.2  通报义务</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工程现场发生</w:t>
      </w:r>
      <w:r>
        <w:rPr>
          <w:rFonts w:ascii="宋体" w:hAnsi="宋体"/>
          <w:color w:val="auto"/>
          <w:szCs w:val="21"/>
          <w:highlight w:val="none"/>
        </w:rPr>
        <w:t>不可抗力</w:t>
      </w:r>
      <w:r>
        <w:rPr>
          <w:rFonts w:hint="eastAsia" w:ascii="宋体" w:hAnsi="宋体"/>
          <w:color w:val="auto"/>
          <w:szCs w:val="21"/>
          <w:highlight w:val="none"/>
        </w:rPr>
        <w:t>时，在不可抗力</w:t>
      </w:r>
      <w:r>
        <w:rPr>
          <w:rFonts w:ascii="宋体" w:hAnsi="宋体"/>
          <w:color w:val="auto"/>
          <w:szCs w:val="21"/>
          <w:highlight w:val="none"/>
        </w:rPr>
        <w:t>事件结束后的48小时内，</w:t>
      </w:r>
      <w:r>
        <w:rPr>
          <w:rFonts w:hint="eastAsia" w:ascii="宋体" w:hAnsi="宋体"/>
          <w:color w:val="auto"/>
          <w:szCs w:val="21"/>
          <w:highlight w:val="none"/>
        </w:rPr>
        <w:t>承包人（如为工程现场的照管方）须</w:t>
      </w:r>
      <w:r>
        <w:rPr>
          <w:rFonts w:ascii="宋体" w:hAnsi="宋体"/>
          <w:color w:val="auto"/>
          <w:szCs w:val="21"/>
          <w:highlight w:val="none"/>
        </w:rPr>
        <w:t>向发包人通报受害和损失情况。</w:t>
      </w:r>
      <w:r>
        <w:rPr>
          <w:rFonts w:hint="eastAsia" w:ascii="宋体" w:hAnsi="宋体"/>
          <w:color w:val="auto"/>
          <w:szCs w:val="21"/>
          <w:highlight w:val="none"/>
        </w:rPr>
        <w:t>当</w:t>
      </w:r>
      <w:r>
        <w:rPr>
          <w:rFonts w:ascii="宋体" w:hAnsi="宋体"/>
          <w:color w:val="auto"/>
          <w:szCs w:val="21"/>
          <w:highlight w:val="none"/>
        </w:rPr>
        <w:t>不可抗力事件持续发生</w:t>
      </w:r>
      <w:r>
        <w:rPr>
          <w:rFonts w:hint="eastAsia" w:ascii="宋体" w:hAnsi="宋体"/>
          <w:color w:val="auto"/>
          <w:szCs w:val="21"/>
          <w:highlight w:val="none"/>
        </w:rPr>
        <w:t>时</w:t>
      </w:r>
      <w:r>
        <w:rPr>
          <w:rFonts w:ascii="宋体" w:hAnsi="宋体"/>
          <w:color w:val="auto"/>
          <w:szCs w:val="21"/>
          <w:highlight w:val="none"/>
        </w:rPr>
        <w:t>，承包人每周</w:t>
      </w:r>
      <w:r>
        <w:rPr>
          <w:rFonts w:hint="eastAsia" w:ascii="宋体" w:hAnsi="宋体"/>
          <w:color w:val="auto"/>
          <w:szCs w:val="21"/>
          <w:highlight w:val="none"/>
        </w:rPr>
        <w:t>应</w:t>
      </w:r>
      <w:r>
        <w:rPr>
          <w:rFonts w:ascii="宋体" w:hAnsi="宋体"/>
          <w:color w:val="auto"/>
          <w:szCs w:val="21"/>
          <w:highlight w:val="none"/>
        </w:rPr>
        <w:t>向发包人和工程总监报告受害情况。对报告周期另有约定</w:t>
      </w:r>
      <w:r>
        <w:rPr>
          <w:rFonts w:hint="eastAsia" w:ascii="宋体" w:hAnsi="宋体"/>
          <w:color w:val="auto"/>
          <w:szCs w:val="21"/>
          <w:highlight w:val="none"/>
        </w:rPr>
        <w:t>时</w:t>
      </w:r>
      <w:r>
        <w:rPr>
          <w:rFonts w:ascii="宋体" w:hAnsi="宋体"/>
          <w:color w:val="auto"/>
          <w:szCs w:val="21"/>
          <w:highlight w:val="none"/>
        </w:rPr>
        <w:t>除外。</w:t>
      </w:r>
    </w:p>
    <w:p>
      <w:pPr>
        <w:pStyle w:val="4"/>
        <w:rPr>
          <w:rFonts w:ascii="宋体" w:hAnsi="宋体"/>
          <w:color w:val="auto"/>
          <w:kern w:val="0"/>
          <w:sz w:val="21"/>
          <w:szCs w:val="21"/>
          <w:highlight w:val="none"/>
        </w:rPr>
      </w:pPr>
      <w:bookmarkStart w:id="1292" w:name="_Toc419321359"/>
      <w:bookmarkStart w:id="1293" w:name="_Toc419320323"/>
      <w:bookmarkStart w:id="1294" w:name="_Toc433988815"/>
      <w:bookmarkStart w:id="1295" w:name="_Toc419364448"/>
      <w:bookmarkStart w:id="1296" w:name="_Toc419363781"/>
      <w:bookmarkStart w:id="1297" w:name="_Toc491277363"/>
      <w:r>
        <w:rPr>
          <w:rFonts w:ascii="宋体" w:hAnsi="宋体"/>
          <w:color w:val="auto"/>
          <w:kern w:val="0"/>
          <w:sz w:val="21"/>
          <w:szCs w:val="21"/>
          <w:highlight w:val="none"/>
        </w:rPr>
        <w:t>17.</w:t>
      </w:r>
      <w:r>
        <w:rPr>
          <w:rFonts w:hint="eastAsia" w:ascii="宋体" w:hAnsi="宋体"/>
          <w:color w:val="auto"/>
          <w:kern w:val="0"/>
          <w:sz w:val="21"/>
          <w:szCs w:val="21"/>
          <w:highlight w:val="none"/>
        </w:rPr>
        <w:t>2</w:t>
      </w:r>
      <w:r>
        <w:rPr>
          <w:rFonts w:ascii="宋体" w:hAnsi="宋体"/>
          <w:color w:val="auto"/>
          <w:kern w:val="0"/>
          <w:sz w:val="21"/>
          <w:szCs w:val="21"/>
          <w:highlight w:val="none"/>
        </w:rPr>
        <w:t xml:space="preserve">  不可抗力的后果</w:t>
      </w:r>
      <w:bookmarkEnd w:id="1292"/>
      <w:bookmarkEnd w:id="1293"/>
      <w:bookmarkEnd w:id="1294"/>
      <w:bookmarkEnd w:id="1295"/>
      <w:bookmarkEnd w:id="1296"/>
      <w:bookmarkEnd w:id="1297"/>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因不可抗力事件导致的损失、损害、伤害所发生的费用及延误的竣工日期，按如下约定处理：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）永久性工程和工程物资等的损失、损害，由发包人承担；</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（2）受雇人员的伤害，分别按照各自的雇用合同关系负责处理；</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（3）承包人的机具、设备、财产和临时工程的损失、损害，由承包人承担；</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（4）承包人的停工损失，由承包人承担； </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（5）不可抗力事件发生后，因一方迟延履行合同约定的保护义务导致的延续损失、损害，由迟延履行义务的一方承担相应责任及其损失；</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（6）发包人通知恢复建设时，承包人应在接到通知后的</w:t>
      </w:r>
      <w:r>
        <w:rPr>
          <w:rFonts w:ascii="宋体" w:hAnsi="宋体"/>
          <w:color w:val="auto"/>
          <w:szCs w:val="21"/>
          <w:highlight w:val="none"/>
        </w:rPr>
        <w:t>20</w:t>
      </w:r>
      <w:r>
        <w:rPr>
          <w:rFonts w:hint="eastAsia" w:ascii="宋体" w:hAnsi="宋体"/>
          <w:color w:val="auto"/>
          <w:szCs w:val="21"/>
          <w:highlight w:val="none"/>
        </w:rPr>
        <w:t>日内、或双方根据具体情况约定的时间内，提交清理、修复的方案及其估算，以及进度计划安排的资料和报告，经发包人确认后，所需的清理、修复费用由发包人承担。恢复建设的竣工日期相应顺延。</w:t>
      </w:r>
    </w:p>
    <w:p>
      <w:pPr>
        <w:pStyle w:val="2"/>
        <w:rPr>
          <w:rFonts w:ascii="宋体" w:hAnsi="宋体" w:eastAsia="宋体"/>
          <w:color w:val="auto"/>
          <w:sz w:val="28"/>
          <w:szCs w:val="28"/>
          <w:highlight w:val="none"/>
        </w:rPr>
      </w:pPr>
      <w:bookmarkStart w:id="1298" w:name="_Toc419363782"/>
      <w:bookmarkStart w:id="1299" w:name="_Toc491277364"/>
      <w:bookmarkStart w:id="1300" w:name="_Toc433988816"/>
      <w:bookmarkStart w:id="1301" w:name="_Toc419321360"/>
      <w:bookmarkStart w:id="1302" w:name="_Toc419320324"/>
      <w:bookmarkStart w:id="1303" w:name="_Toc419364449"/>
      <w:r>
        <w:rPr>
          <w:rFonts w:hint="eastAsia" w:ascii="宋体" w:hAnsi="宋体" w:eastAsia="宋体"/>
          <w:color w:val="auto"/>
          <w:sz w:val="28"/>
          <w:szCs w:val="28"/>
          <w:highlight w:val="none"/>
        </w:rPr>
        <w:t>第</w:t>
      </w:r>
      <w:r>
        <w:rPr>
          <w:rFonts w:ascii="宋体" w:hAnsi="宋体" w:eastAsia="宋体"/>
          <w:color w:val="auto"/>
          <w:sz w:val="28"/>
          <w:szCs w:val="28"/>
          <w:highlight w:val="none"/>
        </w:rPr>
        <w:t>18</w:t>
      </w:r>
      <w:r>
        <w:rPr>
          <w:rFonts w:hint="eastAsia" w:ascii="宋体" w:hAnsi="宋体" w:eastAsia="宋体"/>
          <w:color w:val="auto"/>
          <w:sz w:val="28"/>
          <w:szCs w:val="28"/>
          <w:highlight w:val="none"/>
        </w:rPr>
        <w:t>条合同解除</w:t>
      </w:r>
      <w:bookmarkEnd w:id="1298"/>
      <w:bookmarkEnd w:id="1299"/>
      <w:bookmarkEnd w:id="1300"/>
      <w:bookmarkEnd w:id="1301"/>
      <w:bookmarkEnd w:id="1302"/>
      <w:bookmarkEnd w:id="1303"/>
    </w:p>
    <w:p>
      <w:pPr>
        <w:pStyle w:val="4"/>
        <w:rPr>
          <w:rFonts w:ascii="宋体" w:hAnsi="宋体"/>
          <w:color w:val="auto"/>
          <w:kern w:val="0"/>
          <w:sz w:val="21"/>
          <w:szCs w:val="21"/>
          <w:highlight w:val="none"/>
        </w:rPr>
      </w:pPr>
      <w:bookmarkStart w:id="1304" w:name="_Toc419363783"/>
      <w:bookmarkStart w:id="1305" w:name="_Toc419364450"/>
      <w:bookmarkStart w:id="1306" w:name="_Toc491277365"/>
      <w:bookmarkStart w:id="1307" w:name="_Toc433988817"/>
      <w:bookmarkStart w:id="1308" w:name="_Toc419321361"/>
      <w:bookmarkStart w:id="1309" w:name="_Toc419320325"/>
      <w:r>
        <w:rPr>
          <w:rFonts w:hint="eastAsia" w:ascii="宋体" w:hAnsi="宋体"/>
          <w:color w:val="auto"/>
          <w:kern w:val="0"/>
          <w:sz w:val="21"/>
          <w:szCs w:val="21"/>
          <w:highlight w:val="none"/>
        </w:rPr>
        <w:t>18.1由发包人解除合同</w:t>
      </w:r>
      <w:bookmarkEnd w:id="1304"/>
      <w:bookmarkEnd w:id="1305"/>
      <w:bookmarkEnd w:id="1306"/>
      <w:bookmarkEnd w:id="1307"/>
      <w:bookmarkEnd w:id="1308"/>
      <w:bookmarkEnd w:id="1309"/>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18.1.1通知改正</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承包人未能按合同履行其职责、责任和义务，发包人可通知承包人，在合理的时间内纠正并补救其违约行为。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18.1.2由发包人解除合同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发包人有权基于下列原因，以书面形式通知解除合同或解除合同的部分工作。发包人应在发出解除合同通知15日前告知承包人。发包人解除合同并不影响其根据合同约定享有的任何其它权利。</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（1）承包人未能遵守14.2.1款履约保函的约定；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（2）承包人未能执行18.1.1款通知改正的约定；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（3）承包人未能遵守3.8.1款至</w:t>
      </w:r>
      <w:r>
        <w:rPr>
          <w:rFonts w:ascii="宋体" w:hAnsi="宋体"/>
          <w:color w:val="auto"/>
          <w:szCs w:val="21"/>
          <w:highlight w:val="none"/>
        </w:rPr>
        <w:t>3.</w:t>
      </w:r>
      <w:r>
        <w:rPr>
          <w:rFonts w:hint="eastAsia" w:ascii="宋体" w:hAnsi="宋体"/>
          <w:color w:val="auto"/>
          <w:szCs w:val="21"/>
          <w:highlight w:val="none"/>
        </w:rPr>
        <w:t>8</w:t>
      </w:r>
      <w:r>
        <w:rPr>
          <w:rFonts w:ascii="宋体" w:hAnsi="宋体"/>
          <w:color w:val="auto"/>
          <w:szCs w:val="21"/>
          <w:highlight w:val="none"/>
        </w:rPr>
        <w:t>.</w:t>
      </w:r>
      <w:r>
        <w:rPr>
          <w:rFonts w:hint="eastAsia" w:ascii="宋体" w:hAnsi="宋体"/>
          <w:color w:val="auto"/>
          <w:szCs w:val="21"/>
          <w:highlight w:val="none"/>
        </w:rPr>
        <w:t>4款的有关分包和转包的约定；</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（4）承包人实际进度明显落后于进度计划，发包人指令其采取措施并修正进度计划时，承包人无作为；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（5）工程质量有严重缺陷，承包人无正当理由使修复开始日期拖延达30日以上；</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（6）承包人明确表示或以自己的行为明显表明不履行合同、或经发包人以书面形式通知其履约后仍未能依约履行合同、或以明显不适当的方式履行合同；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（7）根据8.6.2款第（4）项（或）和10.8款的约定，未能通过的竣工试验、未能通过的竣工后试验，使工程的任何部分和（或）整个工程丧失了主要使用功能、生产功能；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（8）承包人破产、停业清理或进入清算程序，或情况表明承包人将进入破产和（或）清算程序。</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发包人不能为另行安排其它承包人实施工程而解除合同或解除合同的部分工作。发包人违反该约定时，承包人有权依据本项约定，提出仲裁或诉讼。</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18.1.3解除合同通知后停止和进行的工作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承包人收到解除合同通知后的工作。承包人应在解除合同30日内或双方约定的时间内，完成以下工作：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）除了为保护生命、财产或工程安全、清理和必须执行的工作外，停止执行所有被通知解除的工作；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（2）将发包人提供的所有信息及承包人为本工程编制的设计文件、技术资料及其它文件移交给发包人。在承包人留有的资料文件中，销毁与发包人提供的所有信息相关的数据及资料的备份；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（3） </w:t>
      </w:r>
      <w:r>
        <w:rPr>
          <w:rFonts w:ascii="宋体" w:hAnsi="宋体"/>
          <w:color w:val="auto"/>
          <w:szCs w:val="21"/>
          <w:highlight w:val="none"/>
        </w:rPr>
        <w:t>移交</w:t>
      </w:r>
      <w:r>
        <w:rPr>
          <w:rFonts w:hint="eastAsia" w:ascii="宋体" w:hAnsi="宋体"/>
          <w:color w:val="auto"/>
          <w:szCs w:val="21"/>
          <w:highlight w:val="none"/>
        </w:rPr>
        <w:t>已完成的永久性</w:t>
      </w:r>
      <w:r>
        <w:rPr>
          <w:rFonts w:ascii="宋体" w:hAnsi="宋体"/>
          <w:color w:val="auto"/>
          <w:szCs w:val="21"/>
          <w:highlight w:val="none"/>
        </w:rPr>
        <w:t>工程及</w:t>
      </w:r>
      <w:r>
        <w:rPr>
          <w:rFonts w:hint="eastAsia" w:ascii="宋体" w:hAnsi="宋体"/>
          <w:color w:val="auto"/>
          <w:szCs w:val="21"/>
          <w:highlight w:val="none"/>
        </w:rPr>
        <w:t>负责已运抵现场的永久性工程物资。在移交前，</w:t>
      </w:r>
      <w:r>
        <w:rPr>
          <w:rFonts w:ascii="宋体" w:hAnsi="宋体"/>
          <w:color w:val="auto"/>
          <w:szCs w:val="21"/>
          <w:highlight w:val="none"/>
        </w:rPr>
        <w:t>妥善做好已完工程和已运抵</w:t>
      </w:r>
      <w:r>
        <w:rPr>
          <w:rFonts w:hint="eastAsia" w:ascii="宋体" w:hAnsi="宋体"/>
          <w:color w:val="auto"/>
          <w:szCs w:val="21"/>
          <w:highlight w:val="none"/>
        </w:rPr>
        <w:t>现场的</w:t>
      </w:r>
      <w:r>
        <w:rPr>
          <w:rFonts w:ascii="宋体" w:hAnsi="宋体"/>
          <w:color w:val="auto"/>
          <w:szCs w:val="21"/>
          <w:highlight w:val="none"/>
        </w:rPr>
        <w:t>永久性工程物资的</w:t>
      </w:r>
      <w:r>
        <w:rPr>
          <w:rFonts w:hint="eastAsia" w:ascii="宋体" w:hAnsi="宋体"/>
          <w:color w:val="auto"/>
          <w:szCs w:val="21"/>
          <w:highlight w:val="none"/>
        </w:rPr>
        <w:t>保管、维护和保养；</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（4）移交相应实施阶段已经付款的并已完成的和尚待完成的设计文件、图纸、资料、操作维修手册、施工组织设计、质检资料、竣工资料等；</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（7）承包人按照合同约定，继续履行其未被解除的合同部分工作；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（8）在解除合同的结算尚未结清之前，承包人不得将其机具、设备、设施、周转材料、措施材料撤离现场和（或）拆除，除非得到发包人同意。</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18.1.4解除日期的结算</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根据18.1.2款的约定，承包人收到解除合同或解除合同部分工作的通知后，发包人应立即与承包人商定已发生的合同款项，包括14.3款的预付款、14.4款的工程进度款、13.7款的合同价格调整的款项、14.5款的缺陷责任保修金暂扣的款项、16.2.款的索赔款项、本合同补充协议的款项，及合同约定的任何应增减的款项。经双方协商一致的合同款项，作为解除日期的结算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18.1.5解除合同后的结算</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双方应根据18.1.4款解除合同日期的结算资料，结清双方应收应付款项的余额。此后，发包人应将承包人根据14.2.1款约定提交的履约保函返还给承包人，承包人应将发包人根据14.2.2款约定提交的支付保函返还给发包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（2）如合同解除时仍有未被扣减完的预付款，发包人应根据14.3.3预付款抵扣的约定扣除，并在此后将约定提交的预付款保函返还给承包人。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（3）发包人尚有其它未能扣减完的应收款余额时，有权从</w:t>
      </w:r>
      <w:r>
        <w:rPr>
          <w:rFonts w:ascii="宋体" w:hAnsi="宋体"/>
          <w:color w:val="auto"/>
          <w:szCs w:val="21"/>
          <w:highlight w:val="none"/>
        </w:rPr>
        <w:t>14.2.1</w:t>
      </w:r>
      <w:r>
        <w:rPr>
          <w:rFonts w:hint="eastAsia" w:ascii="宋体" w:hAnsi="宋体"/>
          <w:color w:val="auto"/>
          <w:szCs w:val="21"/>
          <w:highlight w:val="none"/>
        </w:rPr>
        <w:t>款约定的承包人提交的履约保函中扣减，并在此后将履约保函返还给承包人。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发包人按上述约定扣减后，仍有未能收回的款项时；或合同未能约定提交履约保函和预付款保函时，仍有未能扣减应收款项的余额时，可扣留与应收款价值相当的承包人的机具、设备、设施、周转材料等作为抵偿。</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18.1.6承包人的撤离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（1）全部合同解除的撤离。承包人有权按18.1.5款第（4）项的约定，承将未被因抵偿扣留的机具、设备、设施等自行撤离现场。并承担撤离和拆除临时设施的费用。发包人为此提供必要条件。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 部分合同解除的撤离。承包人接到发包人发出撤离现场的通知后，将其多余的机具、设备、设施等自费拆除并自费撤离现场（不包括根据18.1.5款第（4）项约定被抵偿的机具等）。发包人为此提供必要条件。</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18.1.7解除合同后继续实施工程的权利。发包人可继续完成工程或委托其他承包人继续完成工程。发包人有权与其它承包人使用已移交的永久性工程的物资，及承包人为本工程编制的设计文件、实施文件及资料，以及使用根据18.1.5款第（4）项约定扣留抵偿的设施、机具和设备。</w:t>
      </w:r>
    </w:p>
    <w:p>
      <w:pPr>
        <w:pStyle w:val="4"/>
        <w:rPr>
          <w:rFonts w:ascii="宋体" w:hAnsi="宋体"/>
          <w:color w:val="auto"/>
          <w:kern w:val="0"/>
          <w:sz w:val="21"/>
          <w:szCs w:val="21"/>
          <w:highlight w:val="none"/>
        </w:rPr>
      </w:pPr>
      <w:bookmarkStart w:id="1310" w:name="_Toc491277366"/>
      <w:bookmarkStart w:id="1311" w:name="_Toc419364451"/>
      <w:bookmarkStart w:id="1312" w:name="_Toc433988818"/>
      <w:bookmarkStart w:id="1313" w:name="_Toc419321362"/>
      <w:bookmarkStart w:id="1314" w:name="_Toc419320326"/>
      <w:bookmarkStart w:id="1315" w:name="_Toc419363784"/>
      <w:r>
        <w:rPr>
          <w:rFonts w:hint="eastAsia" w:ascii="宋体" w:hAnsi="宋体"/>
          <w:color w:val="auto"/>
          <w:kern w:val="0"/>
          <w:sz w:val="21"/>
          <w:szCs w:val="21"/>
          <w:highlight w:val="none"/>
        </w:rPr>
        <w:t>18.2由承包人解除合同</w:t>
      </w:r>
      <w:bookmarkEnd w:id="1310"/>
      <w:bookmarkEnd w:id="1311"/>
      <w:bookmarkEnd w:id="1312"/>
      <w:bookmarkEnd w:id="1313"/>
      <w:bookmarkEnd w:id="1314"/>
      <w:bookmarkEnd w:id="1315"/>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18.2.1由承包人解除合同。基于下列原因，承包人有权以书面形式通知发包人解除合同，但在发出解除合同通知15日前告知发包人：</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（1）发包人延误付款达60日以上，或根据4.</w:t>
      </w:r>
      <w:r>
        <w:rPr>
          <w:rFonts w:hint="eastAsia" w:ascii="宋体" w:hAnsi="宋体"/>
          <w:color w:val="auto"/>
          <w:szCs w:val="21"/>
          <w:highlight w:val="none"/>
        </w:rPr>
        <w:t>6</w:t>
      </w:r>
      <w:r>
        <w:rPr>
          <w:rFonts w:ascii="宋体" w:hAnsi="宋体"/>
          <w:color w:val="auto"/>
          <w:szCs w:val="21"/>
          <w:highlight w:val="none"/>
        </w:rPr>
        <w:t>.4款承包人要求复工</w:t>
      </w:r>
      <w:r>
        <w:rPr>
          <w:rFonts w:hint="eastAsia" w:ascii="宋体" w:hAnsi="宋体"/>
          <w:color w:val="auto"/>
          <w:szCs w:val="21"/>
          <w:highlight w:val="none"/>
        </w:rPr>
        <w:t>，但发包人在180日内仍未通知复工的</w:t>
      </w:r>
      <w:r>
        <w:rPr>
          <w:rFonts w:ascii="宋体" w:hAnsi="宋体"/>
          <w:color w:val="auto"/>
          <w:szCs w:val="21"/>
          <w:highlight w:val="none"/>
        </w:rPr>
        <w:t>；</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（2）发包人实质上未能根据合同约定履行其义务，影响承包人实施工作停止30日以上；</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（3）发包人未能按</w:t>
      </w:r>
      <w:r>
        <w:rPr>
          <w:rFonts w:hint="eastAsia" w:ascii="宋体" w:hAnsi="宋体"/>
          <w:color w:val="auto"/>
          <w:szCs w:val="21"/>
          <w:highlight w:val="none"/>
        </w:rPr>
        <w:t>14.2.2款的</w:t>
      </w:r>
      <w:r>
        <w:rPr>
          <w:rFonts w:ascii="宋体" w:hAnsi="宋体"/>
          <w:color w:val="auto"/>
          <w:szCs w:val="21"/>
          <w:highlight w:val="none"/>
        </w:rPr>
        <w:t>约定提交支付保函；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（4）出现第17条约定的不可抗力事件，导致继续履行合同主要义务已成为不可能或不必要；</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（5）发包人破产、停业清理或进入清算程序、或情况表明发包人将进入破产和（或）清算程序，或发包人无力支付合同款项。</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发包人接到承包人根据本款第（1）项、（2）项、（3）项解除合同的通知后，发包人随后给予了付款，或同意复工、或继续履行其义务、或提供了支付保函时，承包人</w:t>
      </w:r>
      <w:r>
        <w:rPr>
          <w:rFonts w:hint="eastAsia" w:ascii="宋体" w:hAnsi="宋体"/>
          <w:color w:val="auto"/>
          <w:szCs w:val="21"/>
          <w:highlight w:val="none"/>
        </w:rPr>
        <w:t>应</w:t>
      </w:r>
      <w:r>
        <w:rPr>
          <w:rFonts w:ascii="宋体" w:hAnsi="宋体"/>
          <w:color w:val="auto"/>
          <w:szCs w:val="21"/>
          <w:highlight w:val="none"/>
        </w:rPr>
        <w:t>尽快安排并恢复正常工作。因此造成</w:t>
      </w:r>
      <w:r>
        <w:rPr>
          <w:rFonts w:hint="eastAsia" w:ascii="宋体" w:hAnsi="宋体"/>
          <w:color w:val="auto"/>
          <w:szCs w:val="21"/>
          <w:highlight w:val="none"/>
        </w:rPr>
        <w:t>关键路线</w:t>
      </w:r>
      <w:r>
        <w:rPr>
          <w:rFonts w:ascii="宋体" w:hAnsi="宋体"/>
          <w:color w:val="auto"/>
          <w:szCs w:val="21"/>
          <w:highlight w:val="none"/>
        </w:rPr>
        <w:t>延误时，竣工日期顺延；</w:t>
      </w:r>
      <w:r>
        <w:rPr>
          <w:rFonts w:hint="eastAsia" w:ascii="宋体" w:hAnsi="宋体"/>
          <w:color w:val="auto"/>
          <w:szCs w:val="21"/>
          <w:highlight w:val="none"/>
        </w:rPr>
        <w:t>承包人</w:t>
      </w:r>
      <w:r>
        <w:rPr>
          <w:rFonts w:ascii="宋体" w:hAnsi="宋体"/>
          <w:color w:val="auto"/>
          <w:szCs w:val="21"/>
          <w:highlight w:val="none"/>
        </w:rPr>
        <w:t>因此增加的费用，由发包人承担。</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18.2.2承包人发出解除合同的通知后，有权停止和必须进行的工作如下：</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）除为保护生命、财产、工程安全、清理和必须执行的工作外，停止所有进一步的工作；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移交</w:t>
      </w:r>
      <w:r>
        <w:rPr>
          <w:rFonts w:hint="eastAsia" w:ascii="宋体" w:hAnsi="宋体"/>
          <w:color w:val="auto"/>
          <w:szCs w:val="21"/>
          <w:highlight w:val="none"/>
        </w:rPr>
        <w:t>已完成的永久性</w:t>
      </w:r>
      <w:r>
        <w:rPr>
          <w:rFonts w:ascii="宋体" w:hAnsi="宋体"/>
          <w:color w:val="auto"/>
          <w:szCs w:val="21"/>
          <w:highlight w:val="none"/>
        </w:rPr>
        <w:t>工程及</w:t>
      </w:r>
      <w:r>
        <w:rPr>
          <w:rFonts w:hint="eastAsia" w:ascii="宋体" w:hAnsi="宋体"/>
          <w:color w:val="auto"/>
          <w:szCs w:val="21"/>
          <w:highlight w:val="none"/>
        </w:rPr>
        <w:t>承包人提供的工程物资（包括现场保管的、已经订货的、正在加工制造的、正在运输途中的、现场尚未交接的）。在未移交之前，承包人有义务</w:t>
      </w:r>
      <w:r>
        <w:rPr>
          <w:rFonts w:ascii="宋体" w:hAnsi="宋体"/>
          <w:color w:val="auto"/>
          <w:szCs w:val="21"/>
          <w:highlight w:val="none"/>
        </w:rPr>
        <w:t>妥善做好已完工程和已购工程物资</w:t>
      </w:r>
      <w:r>
        <w:rPr>
          <w:rFonts w:hint="eastAsia" w:ascii="宋体" w:hAnsi="宋体"/>
          <w:color w:val="auto"/>
          <w:szCs w:val="21"/>
          <w:highlight w:val="none"/>
        </w:rPr>
        <w:t>的保管、维护和保养；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移交已经付款</w:t>
      </w:r>
      <w:r>
        <w:rPr>
          <w:rFonts w:hint="eastAsia" w:ascii="宋体" w:hAnsi="宋体"/>
          <w:color w:val="auto"/>
          <w:szCs w:val="21"/>
          <w:highlight w:val="none"/>
        </w:rPr>
        <w:t>并已经完成和尚待完成</w:t>
      </w:r>
      <w:r>
        <w:rPr>
          <w:rFonts w:ascii="宋体" w:hAnsi="宋体"/>
          <w:color w:val="auto"/>
          <w:szCs w:val="21"/>
          <w:highlight w:val="none"/>
        </w:rPr>
        <w:t>的设计文件、图纸、资料、操作维修手册、施工组织设计、质检资料、竣工资料</w:t>
      </w:r>
      <w:r>
        <w:rPr>
          <w:rFonts w:hint="eastAsia" w:ascii="宋体" w:hAnsi="宋体"/>
          <w:color w:val="auto"/>
          <w:szCs w:val="21"/>
          <w:highlight w:val="none"/>
        </w:rPr>
        <w:t>等。应发包人的要求，对已经完成但尚未付款的相关设计文件、图纸和资料等，按商定的价格付款后，承包人按约定的时间提交给发包人。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（4）向发包人提交全部分包合同及执行情况说明，由发包人承担其费用。</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（5）应发包人的要求，承包人将分包合同转让至发包人和（或）发包人指定方的名下，包括永久性工程及其物资，以及相关工作；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（6）在承包人自留文件资料中，销毁发包人提供的所有信息及其相关的数据及资料的备份。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18.2.3解除合同日期的结算资料</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根据18.2.1款的约定，发包人收到解除合同的通知后，应与承包人商定已发生的工程款项，包括：14.3款预付款、14.4款工程进度款、13.7款合同价格调整的款项、14.5款保修金暂扣与支付的款项、16.2款索赔的款项、本合同补充协议的款项，及合同任何条款约定的增减款项，以及承包人拆除临时设施和机具、设备等撤离到承包人企业所在地的费用（当出现18.2.1款第（4）项不可抗力的情况，撤离费用由承包人承担）。经双方协商一致的合同款项，作为解除日期的结算依据。</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18.2.4解除合同后的结算</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双方应根据18.2.3款解除合同日期的结算资料，结清解除合同时双方的应收应付款项的余额。此后，承包人应将发包人根据14.2.2款约定提交的支付保函返还给发包人，发包人将承包人根据14.2.1款约定提交的履约保函返还给承包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（2）如合同解除时发包人仍有未被扣减完的预付款，发包人可根据14.3.3款预付款抵扣的约定扣除，此后，应将预付款保函返还给承包人。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（3）如合同解除时承包人尚有其它未能收回的应收款余额，承包人可从</w:t>
      </w:r>
      <w:r>
        <w:rPr>
          <w:rFonts w:ascii="宋体" w:hAnsi="宋体"/>
          <w:color w:val="auto"/>
          <w:szCs w:val="21"/>
          <w:highlight w:val="none"/>
        </w:rPr>
        <w:t>14.2.</w:t>
      </w:r>
      <w:r>
        <w:rPr>
          <w:rFonts w:hint="eastAsia" w:ascii="宋体" w:hAnsi="宋体"/>
          <w:color w:val="auto"/>
          <w:szCs w:val="21"/>
          <w:highlight w:val="none"/>
        </w:rPr>
        <w:t>2款约定的发包人提交的支付保函中扣减，此后，应将支付保函返还给发包人。</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（4）如合同解除时承包人尚有其它未能收回的应收款余额，而合同未约定发包人按</w:t>
      </w:r>
      <w:r>
        <w:rPr>
          <w:rFonts w:ascii="宋体" w:hAnsi="宋体"/>
          <w:color w:val="auto"/>
          <w:szCs w:val="21"/>
          <w:highlight w:val="none"/>
        </w:rPr>
        <w:t>14.2.</w:t>
      </w:r>
      <w:r>
        <w:rPr>
          <w:rFonts w:hint="eastAsia" w:ascii="宋体" w:hAnsi="宋体"/>
          <w:color w:val="auto"/>
          <w:szCs w:val="21"/>
          <w:highlight w:val="none"/>
        </w:rPr>
        <w:t>2款提交支付保函时，发包人应根据18.2.3款的约定，经协商一致的解除合同日期结算资料后的第1日起，</w:t>
      </w:r>
      <w:r>
        <w:rPr>
          <w:rFonts w:ascii="宋体" w:hAnsi="宋体"/>
          <w:color w:val="auto"/>
          <w:szCs w:val="21"/>
          <w:highlight w:val="none"/>
        </w:rPr>
        <w:t>按中国人民银行同期同类贷款利率，支付拖欠的余额和利息。</w:t>
      </w:r>
      <w:r>
        <w:rPr>
          <w:rFonts w:hint="eastAsia" w:ascii="宋体" w:hAnsi="宋体"/>
          <w:color w:val="auto"/>
          <w:szCs w:val="21"/>
          <w:highlight w:val="none"/>
        </w:rPr>
        <w:t>发</w:t>
      </w:r>
      <w:r>
        <w:rPr>
          <w:rFonts w:ascii="宋体" w:hAnsi="宋体"/>
          <w:color w:val="auto"/>
          <w:szCs w:val="21"/>
          <w:highlight w:val="none"/>
        </w:rPr>
        <w:t>包人在</w:t>
      </w:r>
      <w:r>
        <w:rPr>
          <w:rFonts w:hint="eastAsia" w:ascii="宋体" w:hAnsi="宋体"/>
          <w:color w:val="auto"/>
          <w:szCs w:val="21"/>
          <w:highlight w:val="none"/>
        </w:rPr>
        <w:t>此后的6</w:t>
      </w:r>
      <w:r>
        <w:rPr>
          <w:rFonts w:ascii="宋体" w:hAnsi="宋体"/>
          <w:color w:val="auto"/>
          <w:szCs w:val="21"/>
          <w:highlight w:val="none"/>
        </w:rPr>
        <w:t>0</w:t>
      </w:r>
      <w:r>
        <w:rPr>
          <w:rFonts w:hint="eastAsia" w:ascii="宋体" w:hAnsi="宋体"/>
          <w:color w:val="auto"/>
          <w:szCs w:val="21"/>
          <w:highlight w:val="none"/>
        </w:rPr>
        <w:t>日</w:t>
      </w:r>
      <w:r>
        <w:rPr>
          <w:rFonts w:ascii="宋体" w:hAnsi="宋体"/>
          <w:color w:val="auto"/>
          <w:szCs w:val="21"/>
          <w:highlight w:val="none"/>
        </w:rPr>
        <w:t>内仍未支付，</w:t>
      </w:r>
      <w:r>
        <w:rPr>
          <w:rFonts w:hint="eastAsia" w:ascii="宋体" w:hAnsi="宋体"/>
          <w:color w:val="auto"/>
          <w:szCs w:val="21"/>
          <w:highlight w:val="none"/>
        </w:rPr>
        <w:t>承</w:t>
      </w:r>
      <w:r>
        <w:rPr>
          <w:rFonts w:ascii="宋体" w:hAnsi="宋体"/>
          <w:color w:val="auto"/>
          <w:szCs w:val="21"/>
          <w:highlight w:val="none"/>
        </w:rPr>
        <w:t>包人有权根据第16.3款争议和裁决的</w:t>
      </w:r>
      <w:r>
        <w:rPr>
          <w:rFonts w:hint="eastAsia" w:ascii="宋体" w:hAnsi="宋体"/>
          <w:color w:val="auto"/>
          <w:szCs w:val="21"/>
          <w:highlight w:val="none"/>
        </w:rPr>
        <w:t>约定</w:t>
      </w:r>
      <w:r>
        <w:rPr>
          <w:rFonts w:ascii="宋体" w:hAnsi="宋体"/>
          <w:color w:val="auto"/>
          <w:szCs w:val="21"/>
          <w:highlight w:val="none"/>
        </w:rPr>
        <w:t>解决。</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（5）如合同解除时承包人尚有未能付给发包人的付款余额，发包人有权根据18.1.5款约定的解除合同后的结算中的第（2）项至第（4）项进行结算。</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18.2.5承包人的撤离。在合同解除后，承包人应将除为安全需要以外的所有其它物资、机具、设备和设施，全部撤离现场。</w:t>
      </w:r>
    </w:p>
    <w:p>
      <w:pPr>
        <w:pStyle w:val="4"/>
        <w:rPr>
          <w:rFonts w:ascii="宋体" w:hAnsi="宋体"/>
          <w:color w:val="auto"/>
          <w:kern w:val="0"/>
          <w:sz w:val="21"/>
          <w:szCs w:val="21"/>
          <w:highlight w:val="none"/>
        </w:rPr>
      </w:pPr>
      <w:bookmarkStart w:id="1316" w:name="_Toc419320327"/>
      <w:bookmarkStart w:id="1317" w:name="_Toc419321363"/>
      <w:bookmarkStart w:id="1318" w:name="_Toc433988819"/>
      <w:bookmarkStart w:id="1319" w:name="_Toc491277367"/>
      <w:bookmarkStart w:id="1320" w:name="_Toc419364452"/>
      <w:bookmarkStart w:id="1321" w:name="_Toc419363785"/>
      <w:r>
        <w:rPr>
          <w:rFonts w:hint="eastAsia" w:ascii="宋体" w:hAnsi="宋体"/>
          <w:color w:val="auto"/>
          <w:kern w:val="0"/>
          <w:sz w:val="21"/>
          <w:szCs w:val="21"/>
          <w:highlight w:val="none"/>
        </w:rPr>
        <w:t xml:space="preserve">18.3  </w:t>
      </w:r>
      <w:r>
        <w:rPr>
          <w:rFonts w:ascii="宋体" w:hAnsi="宋体"/>
          <w:color w:val="auto"/>
          <w:kern w:val="0"/>
          <w:sz w:val="21"/>
          <w:szCs w:val="21"/>
          <w:highlight w:val="none"/>
        </w:rPr>
        <w:t>合同解除后的事项</w:t>
      </w:r>
      <w:bookmarkEnd w:id="1316"/>
      <w:bookmarkEnd w:id="1317"/>
      <w:bookmarkEnd w:id="1318"/>
      <w:bookmarkEnd w:id="1319"/>
      <w:bookmarkEnd w:id="1320"/>
      <w:bookmarkEnd w:id="1321"/>
    </w:p>
    <w:p>
      <w:pPr>
        <w:spacing w:line="300" w:lineRule="auto"/>
        <w:ind w:firstLine="420" w:firstLineChars="200"/>
        <w:rPr>
          <w:rFonts w:ascii="宋体" w:hAnsi="宋体"/>
          <w:color w:val="auto"/>
          <w:szCs w:val="21"/>
          <w:highlight w:val="none"/>
        </w:rPr>
      </w:pPr>
      <w:r>
        <w:rPr>
          <w:rFonts w:ascii="宋体" w:hAnsi="宋体"/>
          <w:color w:val="auto"/>
          <w:szCs w:val="21"/>
          <w:highlight w:val="none"/>
        </w:rPr>
        <w:t>18.</w:t>
      </w:r>
      <w:r>
        <w:rPr>
          <w:rFonts w:hint="eastAsia" w:ascii="宋体" w:hAnsi="宋体"/>
          <w:color w:val="auto"/>
          <w:szCs w:val="21"/>
          <w:highlight w:val="none"/>
        </w:rPr>
        <w:t>3</w:t>
      </w:r>
      <w:r>
        <w:rPr>
          <w:rFonts w:ascii="宋体" w:hAnsi="宋体"/>
          <w:color w:val="auto"/>
          <w:szCs w:val="21"/>
          <w:highlight w:val="none"/>
        </w:rPr>
        <w:t xml:space="preserve">.1  </w:t>
      </w:r>
      <w:r>
        <w:rPr>
          <w:rFonts w:hint="eastAsia" w:ascii="宋体" w:hAnsi="宋体"/>
          <w:color w:val="auto"/>
          <w:szCs w:val="21"/>
          <w:highlight w:val="none"/>
        </w:rPr>
        <w:t>付款约定仍然有效</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合同解除后，</w:t>
      </w:r>
      <w:r>
        <w:rPr>
          <w:rFonts w:hint="eastAsia" w:ascii="宋体" w:hAnsi="宋体"/>
          <w:color w:val="auto"/>
          <w:szCs w:val="21"/>
          <w:highlight w:val="none"/>
        </w:rPr>
        <w:t>由发包人或由承包人解除合同</w:t>
      </w:r>
      <w:r>
        <w:rPr>
          <w:rFonts w:ascii="宋体" w:hAnsi="宋体"/>
          <w:color w:val="auto"/>
          <w:szCs w:val="21"/>
          <w:highlight w:val="none"/>
        </w:rPr>
        <w:t>的结算及结算后的付款</w:t>
      </w:r>
      <w:r>
        <w:rPr>
          <w:rFonts w:hint="eastAsia" w:ascii="宋体" w:hAnsi="宋体"/>
          <w:color w:val="auto"/>
          <w:szCs w:val="21"/>
          <w:highlight w:val="none"/>
        </w:rPr>
        <w:t>约定</w:t>
      </w:r>
      <w:r>
        <w:rPr>
          <w:rFonts w:ascii="宋体" w:hAnsi="宋体"/>
          <w:color w:val="auto"/>
          <w:szCs w:val="21"/>
          <w:highlight w:val="none"/>
        </w:rPr>
        <w:t>仍然有效，直至</w:t>
      </w:r>
      <w:r>
        <w:rPr>
          <w:rFonts w:hint="eastAsia" w:ascii="宋体" w:hAnsi="宋体"/>
          <w:color w:val="auto"/>
          <w:szCs w:val="21"/>
          <w:highlight w:val="none"/>
        </w:rPr>
        <w:t>解除合同的结算工作</w:t>
      </w:r>
      <w:r>
        <w:rPr>
          <w:rFonts w:ascii="宋体" w:hAnsi="宋体"/>
          <w:color w:val="auto"/>
          <w:szCs w:val="21"/>
          <w:highlight w:val="none"/>
        </w:rPr>
        <w:t>结清。</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18.</w:t>
      </w:r>
      <w:r>
        <w:rPr>
          <w:rFonts w:hint="eastAsia" w:ascii="宋体" w:hAnsi="宋体"/>
          <w:color w:val="auto"/>
          <w:szCs w:val="21"/>
          <w:highlight w:val="none"/>
        </w:rPr>
        <w:t>3</w:t>
      </w:r>
      <w:r>
        <w:rPr>
          <w:rFonts w:ascii="宋体" w:hAnsi="宋体"/>
          <w:color w:val="auto"/>
          <w:szCs w:val="21"/>
          <w:highlight w:val="none"/>
        </w:rPr>
        <w:t>.2  解除合同的争议</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合同</w:t>
      </w:r>
      <w:r>
        <w:rPr>
          <w:rFonts w:hint="eastAsia" w:ascii="宋体" w:hAnsi="宋体"/>
          <w:color w:val="auto"/>
          <w:szCs w:val="21"/>
          <w:highlight w:val="none"/>
        </w:rPr>
        <w:t>双</w:t>
      </w:r>
      <w:r>
        <w:rPr>
          <w:rFonts w:ascii="宋体" w:hAnsi="宋体"/>
          <w:color w:val="auto"/>
          <w:szCs w:val="21"/>
          <w:highlight w:val="none"/>
        </w:rPr>
        <w:t>方对解除合同或对解除日期的结算有争议</w:t>
      </w:r>
      <w:r>
        <w:rPr>
          <w:rFonts w:hint="eastAsia" w:ascii="宋体" w:hAnsi="宋体"/>
          <w:color w:val="auto"/>
          <w:szCs w:val="21"/>
          <w:highlight w:val="none"/>
        </w:rPr>
        <w:t>的</w:t>
      </w:r>
      <w:r>
        <w:rPr>
          <w:rFonts w:ascii="宋体" w:hAnsi="宋体"/>
          <w:color w:val="auto"/>
          <w:szCs w:val="21"/>
          <w:highlight w:val="none"/>
        </w:rPr>
        <w:t>，</w:t>
      </w:r>
      <w:r>
        <w:rPr>
          <w:rFonts w:hint="eastAsia" w:ascii="宋体" w:hAnsi="宋体"/>
          <w:color w:val="auto"/>
          <w:szCs w:val="21"/>
          <w:highlight w:val="none"/>
        </w:rPr>
        <w:t>应采取</w:t>
      </w:r>
      <w:r>
        <w:rPr>
          <w:rFonts w:ascii="宋体" w:hAnsi="宋体"/>
          <w:color w:val="auto"/>
          <w:szCs w:val="21"/>
          <w:highlight w:val="none"/>
        </w:rPr>
        <w:t>友好协商</w:t>
      </w:r>
      <w:r>
        <w:rPr>
          <w:rFonts w:hint="eastAsia" w:ascii="宋体" w:hAnsi="宋体"/>
          <w:color w:val="auto"/>
          <w:szCs w:val="21"/>
          <w:highlight w:val="none"/>
        </w:rPr>
        <w:t>方式</w:t>
      </w:r>
      <w:r>
        <w:rPr>
          <w:rFonts w:ascii="宋体" w:hAnsi="宋体"/>
          <w:color w:val="auto"/>
          <w:szCs w:val="21"/>
          <w:highlight w:val="none"/>
        </w:rPr>
        <w:t>解决。经友好协商仍存在争议、或</w:t>
      </w:r>
      <w:r>
        <w:rPr>
          <w:rFonts w:hint="eastAsia" w:ascii="宋体" w:hAnsi="宋体"/>
          <w:color w:val="auto"/>
          <w:szCs w:val="21"/>
          <w:highlight w:val="none"/>
        </w:rPr>
        <w:t>有一方</w:t>
      </w:r>
      <w:r>
        <w:rPr>
          <w:rFonts w:ascii="宋体" w:hAnsi="宋体"/>
          <w:color w:val="auto"/>
          <w:szCs w:val="21"/>
          <w:highlight w:val="none"/>
        </w:rPr>
        <w:t>不接受友好协商</w:t>
      </w:r>
      <w:r>
        <w:rPr>
          <w:rFonts w:hint="eastAsia" w:ascii="宋体" w:hAnsi="宋体"/>
          <w:color w:val="auto"/>
          <w:szCs w:val="21"/>
          <w:highlight w:val="none"/>
        </w:rPr>
        <w:t>时</w:t>
      </w:r>
      <w:r>
        <w:rPr>
          <w:rFonts w:ascii="宋体" w:hAnsi="宋体"/>
          <w:color w:val="auto"/>
          <w:szCs w:val="21"/>
          <w:highlight w:val="none"/>
        </w:rPr>
        <w:t>，根据16.3款争议和裁决的</w:t>
      </w:r>
      <w:r>
        <w:rPr>
          <w:rFonts w:hint="eastAsia" w:ascii="宋体" w:hAnsi="宋体"/>
          <w:color w:val="auto"/>
          <w:szCs w:val="21"/>
          <w:highlight w:val="none"/>
        </w:rPr>
        <w:t>约定</w:t>
      </w:r>
      <w:r>
        <w:rPr>
          <w:rFonts w:ascii="宋体" w:hAnsi="宋体"/>
          <w:color w:val="auto"/>
          <w:szCs w:val="21"/>
          <w:highlight w:val="none"/>
        </w:rPr>
        <w:t>解决。</w:t>
      </w:r>
    </w:p>
    <w:p>
      <w:pPr>
        <w:pStyle w:val="2"/>
        <w:rPr>
          <w:rFonts w:ascii="宋体" w:hAnsi="宋体" w:eastAsia="宋体"/>
          <w:color w:val="auto"/>
          <w:sz w:val="28"/>
          <w:szCs w:val="28"/>
          <w:highlight w:val="none"/>
        </w:rPr>
      </w:pPr>
      <w:bookmarkStart w:id="1322" w:name="_Toc491277368"/>
      <w:bookmarkStart w:id="1323" w:name="_Toc419364453"/>
      <w:bookmarkStart w:id="1324" w:name="_Toc419320328"/>
      <w:bookmarkStart w:id="1325" w:name="_Toc433988820"/>
      <w:bookmarkStart w:id="1326" w:name="_Toc419321364"/>
      <w:bookmarkStart w:id="1327" w:name="_Toc419363786"/>
      <w:r>
        <w:rPr>
          <w:rFonts w:ascii="宋体" w:hAnsi="宋体" w:eastAsia="宋体"/>
          <w:color w:val="auto"/>
          <w:sz w:val="28"/>
          <w:szCs w:val="28"/>
          <w:highlight w:val="none"/>
        </w:rPr>
        <w:t>第19条  合同生效与终止</w:t>
      </w:r>
      <w:bookmarkEnd w:id="1322"/>
      <w:bookmarkEnd w:id="1323"/>
      <w:bookmarkEnd w:id="1324"/>
      <w:bookmarkEnd w:id="1325"/>
      <w:bookmarkEnd w:id="1326"/>
      <w:bookmarkEnd w:id="1327"/>
    </w:p>
    <w:p>
      <w:pPr>
        <w:pStyle w:val="4"/>
        <w:rPr>
          <w:rFonts w:ascii="宋体" w:hAnsi="宋体"/>
          <w:color w:val="auto"/>
          <w:kern w:val="0"/>
          <w:sz w:val="21"/>
          <w:szCs w:val="21"/>
          <w:highlight w:val="none"/>
        </w:rPr>
      </w:pPr>
      <w:bookmarkStart w:id="1328" w:name="_Toc419363787"/>
      <w:bookmarkStart w:id="1329" w:name="_Toc491277369"/>
      <w:bookmarkStart w:id="1330" w:name="_Toc419321365"/>
      <w:bookmarkStart w:id="1331" w:name="_Toc419320329"/>
      <w:bookmarkStart w:id="1332" w:name="_Toc433988821"/>
      <w:bookmarkStart w:id="1333" w:name="_Toc419364454"/>
      <w:r>
        <w:rPr>
          <w:rFonts w:ascii="宋体" w:hAnsi="宋体"/>
          <w:color w:val="auto"/>
          <w:kern w:val="0"/>
          <w:sz w:val="21"/>
          <w:szCs w:val="21"/>
          <w:highlight w:val="none"/>
        </w:rPr>
        <w:t>19.1  合同生效</w:t>
      </w:r>
      <w:bookmarkEnd w:id="1328"/>
      <w:bookmarkEnd w:id="1329"/>
      <w:bookmarkEnd w:id="1330"/>
      <w:bookmarkEnd w:id="1331"/>
      <w:bookmarkEnd w:id="1332"/>
      <w:bookmarkEnd w:id="1333"/>
    </w:p>
    <w:p>
      <w:pPr>
        <w:spacing w:line="300" w:lineRule="auto"/>
        <w:ind w:firstLine="420" w:firstLineChars="200"/>
        <w:rPr>
          <w:color w:val="auto"/>
          <w:szCs w:val="21"/>
          <w:highlight w:val="none"/>
        </w:rPr>
      </w:pPr>
      <w:r>
        <w:rPr>
          <w:color w:val="auto"/>
          <w:szCs w:val="21"/>
          <w:highlight w:val="none"/>
        </w:rPr>
        <w:t>在合同协议书中</w:t>
      </w:r>
      <w:r>
        <w:rPr>
          <w:rFonts w:hint="eastAsia"/>
          <w:color w:val="auto"/>
          <w:szCs w:val="21"/>
          <w:highlight w:val="none"/>
        </w:rPr>
        <w:t>约定</w:t>
      </w:r>
      <w:r>
        <w:rPr>
          <w:color w:val="auto"/>
          <w:szCs w:val="21"/>
          <w:highlight w:val="none"/>
        </w:rPr>
        <w:t>的合同生效条件满足之日生效。</w:t>
      </w:r>
    </w:p>
    <w:p>
      <w:pPr>
        <w:pStyle w:val="4"/>
        <w:rPr>
          <w:rFonts w:ascii="宋体" w:hAnsi="宋体"/>
          <w:color w:val="auto"/>
          <w:kern w:val="0"/>
          <w:sz w:val="21"/>
          <w:szCs w:val="21"/>
          <w:highlight w:val="none"/>
        </w:rPr>
      </w:pPr>
      <w:bookmarkStart w:id="1334" w:name="_Toc491277370"/>
      <w:bookmarkStart w:id="1335" w:name="_Toc419363788"/>
      <w:bookmarkStart w:id="1336" w:name="_Toc419320330"/>
      <w:bookmarkStart w:id="1337" w:name="_Toc433988822"/>
      <w:bookmarkStart w:id="1338" w:name="_Toc419364455"/>
      <w:bookmarkStart w:id="1339" w:name="_Toc419321366"/>
      <w:r>
        <w:rPr>
          <w:rFonts w:ascii="宋体" w:hAnsi="宋体"/>
          <w:color w:val="auto"/>
          <w:kern w:val="0"/>
          <w:sz w:val="21"/>
          <w:szCs w:val="21"/>
          <w:highlight w:val="none"/>
        </w:rPr>
        <w:t xml:space="preserve">19.2  </w:t>
      </w:r>
      <w:r>
        <w:rPr>
          <w:rFonts w:hint="eastAsia" w:ascii="宋体" w:hAnsi="宋体"/>
          <w:color w:val="auto"/>
          <w:kern w:val="0"/>
          <w:sz w:val="21"/>
          <w:szCs w:val="21"/>
          <w:highlight w:val="none"/>
        </w:rPr>
        <w:t>合同份数</w:t>
      </w:r>
      <w:bookmarkEnd w:id="1334"/>
      <w:bookmarkEnd w:id="1335"/>
      <w:bookmarkEnd w:id="1336"/>
      <w:bookmarkEnd w:id="1337"/>
      <w:bookmarkEnd w:id="1338"/>
      <w:bookmarkEnd w:id="1339"/>
    </w:p>
    <w:p>
      <w:pPr>
        <w:spacing w:line="300" w:lineRule="auto"/>
        <w:ind w:firstLine="420" w:firstLineChars="200"/>
        <w:rPr>
          <w:color w:val="auto"/>
          <w:szCs w:val="21"/>
          <w:highlight w:val="none"/>
        </w:rPr>
      </w:pPr>
      <w:r>
        <w:rPr>
          <w:color w:val="auto"/>
          <w:szCs w:val="21"/>
          <w:highlight w:val="none"/>
        </w:rPr>
        <w:t>合同</w:t>
      </w:r>
      <w:r>
        <w:rPr>
          <w:rFonts w:hint="eastAsia"/>
          <w:color w:val="auto"/>
          <w:szCs w:val="21"/>
          <w:highlight w:val="none"/>
        </w:rPr>
        <w:t>正本、合同副本的份数，及合同双方应持的份数，在专用条款中约定。</w:t>
      </w:r>
    </w:p>
    <w:p>
      <w:pPr>
        <w:pStyle w:val="4"/>
        <w:rPr>
          <w:rFonts w:ascii="宋体" w:hAnsi="宋体"/>
          <w:color w:val="auto"/>
          <w:kern w:val="0"/>
          <w:sz w:val="21"/>
          <w:szCs w:val="21"/>
          <w:highlight w:val="none"/>
        </w:rPr>
      </w:pPr>
      <w:bookmarkStart w:id="1340" w:name="_Toc419321367"/>
      <w:bookmarkStart w:id="1341" w:name="_Toc419363789"/>
      <w:bookmarkStart w:id="1342" w:name="_Toc419364456"/>
      <w:bookmarkStart w:id="1343" w:name="_Toc433988823"/>
      <w:bookmarkStart w:id="1344" w:name="_Toc491277371"/>
      <w:bookmarkStart w:id="1345" w:name="_Toc419320331"/>
      <w:r>
        <w:rPr>
          <w:rFonts w:ascii="宋体" w:hAnsi="宋体"/>
          <w:color w:val="auto"/>
          <w:kern w:val="0"/>
          <w:sz w:val="21"/>
          <w:szCs w:val="21"/>
          <w:highlight w:val="none"/>
        </w:rPr>
        <w:t xml:space="preserve">19.3  </w:t>
      </w:r>
      <w:r>
        <w:rPr>
          <w:rFonts w:hint="eastAsia" w:ascii="宋体" w:hAnsi="宋体"/>
          <w:color w:val="auto"/>
          <w:kern w:val="0"/>
          <w:sz w:val="21"/>
          <w:szCs w:val="21"/>
          <w:highlight w:val="none"/>
        </w:rPr>
        <w:t>后合同义务</w:t>
      </w:r>
      <w:bookmarkEnd w:id="1340"/>
      <w:bookmarkEnd w:id="1341"/>
      <w:bookmarkEnd w:id="1342"/>
      <w:bookmarkEnd w:id="1343"/>
      <w:bookmarkEnd w:id="1344"/>
      <w:bookmarkEnd w:id="1345"/>
    </w:p>
    <w:p>
      <w:pPr>
        <w:spacing w:line="300" w:lineRule="auto"/>
        <w:ind w:firstLine="420" w:firstLineChars="200"/>
        <w:rPr>
          <w:color w:val="auto"/>
          <w:szCs w:val="21"/>
          <w:highlight w:val="none"/>
        </w:rPr>
      </w:pPr>
      <w:r>
        <w:rPr>
          <w:color w:val="auto"/>
          <w:szCs w:val="21"/>
          <w:highlight w:val="none"/>
        </w:rPr>
        <w:t>合同双方</w:t>
      </w:r>
      <w:r>
        <w:rPr>
          <w:rFonts w:hint="eastAsia"/>
          <w:color w:val="auto"/>
          <w:szCs w:val="21"/>
          <w:highlight w:val="none"/>
        </w:rPr>
        <w:t>应</w:t>
      </w:r>
      <w:r>
        <w:rPr>
          <w:color w:val="auto"/>
          <w:szCs w:val="21"/>
          <w:highlight w:val="none"/>
        </w:rPr>
        <w:t>在合同终止后，遵循诚实信用原则，履行通知、协助、保密等义务。</w:t>
      </w:r>
    </w:p>
    <w:p>
      <w:pPr>
        <w:pStyle w:val="2"/>
        <w:rPr>
          <w:rFonts w:ascii="宋体" w:hAnsi="宋体" w:eastAsia="宋体"/>
          <w:color w:val="auto"/>
          <w:sz w:val="28"/>
          <w:szCs w:val="28"/>
          <w:highlight w:val="none"/>
        </w:rPr>
      </w:pPr>
      <w:bookmarkStart w:id="1346" w:name="_Toc419363790"/>
      <w:bookmarkStart w:id="1347" w:name="_Toc491277372"/>
      <w:bookmarkStart w:id="1348" w:name="_Toc419364457"/>
      <w:bookmarkStart w:id="1349" w:name="_Toc419320332"/>
      <w:bookmarkStart w:id="1350" w:name="_Toc433988824"/>
      <w:bookmarkStart w:id="1351" w:name="_Toc419321368"/>
      <w:r>
        <w:rPr>
          <w:rFonts w:ascii="宋体" w:hAnsi="宋体" w:eastAsia="宋体"/>
          <w:color w:val="auto"/>
          <w:sz w:val="28"/>
          <w:szCs w:val="28"/>
          <w:highlight w:val="none"/>
        </w:rPr>
        <w:t>第20条 补充条款</w:t>
      </w:r>
      <w:bookmarkEnd w:id="1346"/>
      <w:bookmarkEnd w:id="1347"/>
      <w:bookmarkEnd w:id="1348"/>
      <w:bookmarkEnd w:id="1349"/>
      <w:bookmarkEnd w:id="1350"/>
      <w:bookmarkEnd w:id="1351"/>
    </w:p>
    <w:p>
      <w:pPr>
        <w:spacing w:line="300" w:lineRule="auto"/>
        <w:ind w:firstLine="420" w:firstLineChars="200"/>
        <w:rPr>
          <w:color w:val="auto"/>
          <w:szCs w:val="21"/>
          <w:highlight w:val="none"/>
        </w:rPr>
      </w:pPr>
      <w:r>
        <w:rPr>
          <w:rFonts w:hint="eastAsia"/>
          <w:color w:val="auto"/>
          <w:szCs w:val="21"/>
          <w:highlight w:val="none"/>
        </w:rPr>
        <w:t>双方对本通用条款内容的具体约定、补充或修改在专用条款中约定。</w:t>
      </w: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widowControl/>
        <w:rPr>
          <w:color w:val="auto"/>
          <w:szCs w:val="21"/>
          <w:highlight w:val="none"/>
        </w:rPr>
      </w:pPr>
    </w:p>
    <w:p>
      <w:pPr>
        <w:pStyle w:val="3"/>
        <w:jc w:val="center"/>
        <w:rPr>
          <w:color w:val="auto"/>
          <w:highlight w:val="none"/>
        </w:rPr>
      </w:pPr>
      <w:bookmarkStart w:id="1352" w:name="_Toc419320333"/>
      <w:bookmarkStart w:id="1353" w:name="_Toc419321369"/>
      <w:bookmarkStart w:id="1354" w:name="_Toc419363791"/>
      <w:bookmarkStart w:id="1355" w:name="_Toc433988825"/>
      <w:bookmarkStart w:id="1356" w:name="_Toc419364458"/>
      <w:bookmarkStart w:id="1357" w:name="_Toc491277373"/>
      <w:r>
        <w:rPr>
          <w:rFonts w:hint="eastAsia"/>
          <w:color w:val="auto"/>
          <w:highlight w:val="none"/>
        </w:rPr>
        <w:t>第三部分  专用合同条款</w:t>
      </w:r>
      <w:bookmarkEnd w:id="1352"/>
      <w:bookmarkEnd w:id="1353"/>
      <w:bookmarkEnd w:id="1354"/>
      <w:bookmarkEnd w:id="1355"/>
      <w:bookmarkEnd w:id="1356"/>
      <w:bookmarkEnd w:id="1357"/>
    </w:p>
    <w:p>
      <w:pPr>
        <w:rPr>
          <w:color w:val="auto"/>
          <w:highlight w:val="none"/>
        </w:rPr>
      </w:pPr>
    </w:p>
    <w:p>
      <w:pPr>
        <w:pStyle w:val="2"/>
        <w:rPr>
          <w:rFonts w:ascii="宋体" w:hAnsi="宋体" w:eastAsia="宋体"/>
          <w:color w:val="auto"/>
          <w:sz w:val="28"/>
          <w:szCs w:val="28"/>
          <w:highlight w:val="none"/>
        </w:rPr>
      </w:pPr>
      <w:bookmarkStart w:id="1358" w:name="_Toc419320334"/>
      <w:bookmarkStart w:id="1359" w:name="_Toc491277374"/>
      <w:bookmarkStart w:id="1360" w:name="_Toc433988826"/>
      <w:bookmarkStart w:id="1361" w:name="_Toc419321370"/>
      <w:bookmarkStart w:id="1362" w:name="_Toc419363792"/>
      <w:bookmarkStart w:id="1363" w:name="_Toc419364459"/>
      <w:r>
        <w:rPr>
          <w:rFonts w:hint="eastAsia" w:ascii="宋体" w:hAnsi="宋体" w:eastAsia="宋体"/>
          <w:color w:val="auto"/>
          <w:sz w:val="28"/>
          <w:szCs w:val="28"/>
          <w:highlight w:val="none"/>
        </w:rPr>
        <w:t>第</w:t>
      </w:r>
      <w:r>
        <w:rPr>
          <w:rFonts w:ascii="宋体" w:hAnsi="宋体" w:eastAsia="宋体"/>
          <w:color w:val="auto"/>
          <w:sz w:val="28"/>
          <w:szCs w:val="28"/>
          <w:highlight w:val="none"/>
        </w:rPr>
        <w:t>1</w:t>
      </w:r>
      <w:r>
        <w:rPr>
          <w:rFonts w:hint="eastAsia" w:ascii="宋体" w:hAnsi="宋体" w:eastAsia="宋体"/>
          <w:color w:val="auto"/>
          <w:sz w:val="28"/>
          <w:szCs w:val="28"/>
          <w:highlight w:val="none"/>
        </w:rPr>
        <w:t>条一般规定</w:t>
      </w:r>
      <w:bookmarkEnd w:id="1358"/>
      <w:bookmarkEnd w:id="1359"/>
      <w:bookmarkEnd w:id="1360"/>
      <w:bookmarkEnd w:id="1361"/>
      <w:bookmarkEnd w:id="1362"/>
      <w:bookmarkEnd w:id="1363"/>
    </w:p>
    <w:p>
      <w:pPr>
        <w:pStyle w:val="4"/>
        <w:rPr>
          <w:rFonts w:ascii="宋体" w:hAnsi="宋体"/>
          <w:color w:val="auto"/>
          <w:kern w:val="0"/>
          <w:sz w:val="21"/>
          <w:szCs w:val="21"/>
          <w:highlight w:val="none"/>
        </w:rPr>
      </w:pPr>
      <w:bookmarkStart w:id="1364" w:name="_Toc419364460"/>
      <w:bookmarkStart w:id="1365" w:name="_Toc433988827"/>
      <w:bookmarkStart w:id="1366" w:name="_Toc419363793"/>
      <w:bookmarkStart w:id="1367" w:name="_Toc419320335"/>
      <w:bookmarkStart w:id="1368" w:name="_Toc491277375"/>
      <w:bookmarkStart w:id="1369" w:name="_Toc419321371"/>
      <w:r>
        <w:rPr>
          <w:rFonts w:ascii="宋体" w:hAnsi="宋体"/>
          <w:color w:val="auto"/>
          <w:kern w:val="0"/>
          <w:sz w:val="21"/>
          <w:szCs w:val="21"/>
          <w:highlight w:val="none"/>
        </w:rPr>
        <w:t xml:space="preserve">1.1  </w:t>
      </w:r>
      <w:r>
        <w:rPr>
          <w:rFonts w:hint="eastAsia" w:ascii="宋体" w:hAnsi="宋体"/>
          <w:color w:val="auto"/>
          <w:kern w:val="0"/>
          <w:sz w:val="21"/>
          <w:szCs w:val="21"/>
          <w:highlight w:val="none"/>
        </w:rPr>
        <w:t>定义与解释</w:t>
      </w:r>
      <w:bookmarkEnd w:id="1364"/>
      <w:bookmarkEnd w:id="1365"/>
      <w:bookmarkEnd w:id="1366"/>
      <w:bookmarkEnd w:id="1367"/>
      <w:bookmarkEnd w:id="1368"/>
      <w:bookmarkEnd w:id="1369"/>
    </w:p>
    <w:p>
      <w:pPr>
        <w:tabs>
          <w:tab w:val="left" w:pos="1276"/>
        </w:tabs>
        <w:spacing w:before="120" w:beforeLines="50" w:after="120" w:afterLines="50" w:line="300" w:lineRule="auto"/>
        <w:ind w:firstLine="420" w:firstLineChars="200"/>
        <w:rPr>
          <w:color w:val="auto"/>
          <w:highlight w:val="none"/>
        </w:rPr>
      </w:pPr>
      <w:r>
        <w:rPr>
          <w:rFonts w:hint="eastAsia"/>
          <w:color w:val="auto"/>
          <w:highlight w:val="none"/>
        </w:rPr>
        <w:t>1.1.38工期：</w:t>
      </w:r>
      <w:r>
        <w:rPr>
          <w:rFonts w:hint="eastAsia"/>
          <w:color w:val="auto"/>
          <w:szCs w:val="21"/>
          <w:highlight w:val="none"/>
          <w:u w:val="single"/>
        </w:rPr>
        <w:t xml:space="preserve"> 270</w:t>
      </w:r>
      <w:r>
        <w:rPr>
          <w:rFonts w:hint="eastAsia"/>
          <w:color w:val="auto"/>
          <w:szCs w:val="21"/>
          <w:highlight w:val="none"/>
        </w:rPr>
        <w:t>天，其中设计工期</w:t>
      </w:r>
      <w:r>
        <w:rPr>
          <w:rFonts w:hint="eastAsia"/>
          <w:color w:val="auto"/>
          <w:szCs w:val="21"/>
          <w:highlight w:val="none"/>
          <w:u w:val="single"/>
        </w:rPr>
        <w:t xml:space="preserve"> 30 </w:t>
      </w:r>
      <w:r>
        <w:rPr>
          <w:rFonts w:hint="eastAsia"/>
          <w:color w:val="auto"/>
          <w:szCs w:val="21"/>
          <w:highlight w:val="none"/>
        </w:rPr>
        <w:t>天，施工工期</w:t>
      </w:r>
      <w:r>
        <w:rPr>
          <w:rFonts w:hint="eastAsia"/>
          <w:color w:val="auto"/>
          <w:szCs w:val="21"/>
          <w:highlight w:val="none"/>
          <w:u w:val="single"/>
        </w:rPr>
        <w:t xml:space="preserve"> 240</w:t>
      </w:r>
      <w:r>
        <w:rPr>
          <w:rFonts w:hint="eastAsia"/>
          <w:color w:val="auto"/>
          <w:szCs w:val="21"/>
          <w:highlight w:val="none"/>
        </w:rPr>
        <w:t>天。</w:t>
      </w:r>
    </w:p>
    <w:p>
      <w:pPr>
        <w:tabs>
          <w:tab w:val="left" w:pos="1276"/>
        </w:tabs>
        <w:spacing w:before="120" w:beforeLines="50" w:after="120" w:afterLines="50" w:line="300" w:lineRule="auto"/>
        <w:ind w:firstLine="420" w:firstLineChars="200"/>
        <w:rPr>
          <w:color w:val="auto"/>
          <w:highlight w:val="none"/>
        </w:rPr>
      </w:pPr>
      <w:r>
        <w:rPr>
          <w:rFonts w:hint="eastAsia"/>
          <w:color w:val="auto"/>
          <w:highlight w:val="none"/>
        </w:rPr>
        <w:t>1.1.54缺陷责任期期限：24个月</w:t>
      </w:r>
    </w:p>
    <w:p>
      <w:pPr>
        <w:tabs>
          <w:tab w:val="left" w:pos="1276"/>
        </w:tabs>
        <w:adjustRightInd w:val="0"/>
        <w:snapToGrid w:val="0"/>
        <w:spacing w:line="440" w:lineRule="exact"/>
        <w:ind w:firstLine="420" w:firstLineChars="200"/>
        <w:rPr>
          <w:rFonts w:ascii="宋体" w:hAnsi="宋体"/>
          <w:color w:val="auto"/>
          <w:szCs w:val="21"/>
          <w:highlight w:val="none"/>
          <w:u w:val="single"/>
        </w:rPr>
      </w:pPr>
      <w:r>
        <w:rPr>
          <w:color w:val="auto"/>
          <w:highlight w:val="none"/>
        </w:rPr>
        <w:t>1.1.5</w:t>
      </w:r>
      <w:r>
        <w:rPr>
          <w:rFonts w:hint="eastAsia"/>
          <w:color w:val="auto"/>
          <w:highlight w:val="none"/>
        </w:rPr>
        <w:t>7双方约定的视为不可抗力时间处理的其它情形如下：</w:t>
      </w:r>
      <w:r>
        <w:rPr>
          <w:rFonts w:hint="eastAsia" w:ascii="宋体" w:hAnsi="宋体"/>
          <w:color w:val="auto"/>
          <w:szCs w:val="21"/>
          <w:highlight w:val="none"/>
          <w:u w:val="single"/>
        </w:rPr>
        <w:t>（1）六级以上地震、海啸、火山爆发、八级以上持续1天的大风、十年一遇（及以上）的洪水及其直接引起的泥石流；日气温超过40℃高温或低于-100℃的严寒大于2天；持续30天高温天气；造成工程损坏的冰雹或大雪灾害（2）战争、骚乱、暴动，但纯属施工总承包中标单位或其分包人的原因引起者除外；（3）核反应、核辐射或核放射性污染；（4）空中飞行物坠落或非施工总承包中标单位责任造成的爆炸、火灾；（5）瘟疫。</w:t>
      </w:r>
    </w:p>
    <w:p>
      <w:pPr>
        <w:tabs>
          <w:tab w:val="left" w:pos="1276"/>
        </w:tabs>
        <w:spacing w:before="120" w:beforeLines="50" w:after="120" w:afterLines="50" w:line="300" w:lineRule="auto"/>
        <w:ind w:firstLine="420" w:firstLineChars="200"/>
        <w:rPr>
          <w:color w:val="auto"/>
          <w:highlight w:val="none"/>
          <w:u w:val="single"/>
        </w:rPr>
      </w:pPr>
    </w:p>
    <w:p>
      <w:pPr>
        <w:spacing w:before="120" w:beforeLines="50" w:after="120" w:afterLines="50" w:line="300" w:lineRule="auto"/>
        <w:ind w:firstLine="420" w:firstLineChars="200"/>
        <w:rPr>
          <w:color w:val="auto"/>
          <w:highlight w:val="none"/>
          <w:u w:val="single"/>
        </w:rPr>
      </w:pPr>
      <w:r>
        <w:rPr>
          <w:color w:val="auto"/>
          <w:highlight w:val="none"/>
        </w:rPr>
        <w:t>1.1.5</w:t>
      </w:r>
      <w:r>
        <w:rPr>
          <w:rFonts w:hint="eastAsia"/>
          <w:color w:val="auto"/>
          <w:highlight w:val="none"/>
        </w:rPr>
        <w:t xml:space="preserve">8双方根据本合同工程的特点，补充约定的其它定义：无 </w:t>
      </w:r>
    </w:p>
    <w:p>
      <w:pPr>
        <w:pStyle w:val="4"/>
        <w:rPr>
          <w:rFonts w:ascii="宋体" w:hAnsi="宋体"/>
          <w:color w:val="auto"/>
          <w:kern w:val="0"/>
          <w:sz w:val="21"/>
          <w:szCs w:val="21"/>
          <w:highlight w:val="none"/>
        </w:rPr>
      </w:pPr>
      <w:bookmarkStart w:id="1370" w:name="_Toc419364461"/>
      <w:bookmarkStart w:id="1371" w:name="_Toc419363794"/>
      <w:bookmarkStart w:id="1372" w:name="_Toc419321372"/>
      <w:bookmarkStart w:id="1373" w:name="_Toc491277376"/>
      <w:bookmarkStart w:id="1374" w:name="_Toc433988828"/>
      <w:bookmarkStart w:id="1375" w:name="_Toc419320336"/>
      <w:r>
        <w:rPr>
          <w:rFonts w:ascii="宋体" w:hAnsi="宋体"/>
          <w:color w:val="auto"/>
          <w:kern w:val="0"/>
          <w:sz w:val="21"/>
          <w:szCs w:val="21"/>
          <w:highlight w:val="none"/>
        </w:rPr>
        <w:t xml:space="preserve">1.3  </w:t>
      </w:r>
      <w:r>
        <w:rPr>
          <w:rFonts w:hint="eastAsia" w:ascii="宋体" w:hAnsi="宋体"/>
          <w:color w:val="auto"/>
          <w:kern w:val="0"/>
          <w:sz w:val="21"/>
          <w:szCs w:val="21"/>
          <w:highlight w:val="none"/>
        </w:rPr>
        <w:t>语言文字</w:t>
      </w:r>
      <w:bookmarkEnd w:id="1370"/>
      <w:bookmarkEnd w:id="1371"/>
      <w:bookmarkEnd w:id="1372"/>
      <w:bookmarkEnd w:id="1373"/>
      <w:bookmarkEnd w:id="1374"/>
      <w:bookmarkEnd w:id="1375"/>
    </w:p>
    <w:p>
      <w:pPr>
        <w:spacing w:before="120" w:beforeLines="50" w:after="120" w:afterLines="50" w:line="300" w:lineRule="auto"/>
        <w:ind w:firstLine="420" w:firstLineChars="200"/>
        <w:rPr>
          <w:color w:val="auto"/>
          <w:highlight w:val="none"/>
        </w:rPr>
      </w:pPr>
      <w:r>
        <w:rPr>
          <w:rFonts w:hint="eastAsia"/>
          <w:color w:val="auto"/>
          <w:highlight w:val="none"/>
        </w:rPr>
        <w:t>本合同除使用汉语外，还使用语言。</w:t>
      </w:r>
    </w:p>
    <w:p>
      <w:pPr>
        <w:pStyle w:val="4"/>
        <w:rPr>
          <w:rFonts w:ascii="宋体" w:hAnsi="宋体"/>
          <w:color w:val="auto"/>
          <w:kern w:val="0"/>
          <w:sz w:val="21"/>
          <w:szCs w:val="21"/>
          <w:highlight w:val="none"/>
        </w:rPr>
      </w:pPr>
      <w:bookmarkStart w:id="1376" w:name="_Toc419363795"/>
      <w:bookmarkStart w:id="1377" w:name="_Toc419321373"/>
      <w:bookmarkStart w:id="1378" w:name="_Toc433988829"/>
      <w:bookmarkStart w:id="1379" w:name="_Toc419364462"/>
      <w:bookmarkStart w:id="1380" w:name="_Toc491277377"/>
      <w:bookmarkStart w:id="1381" w:name="_Toc419320337"/>
      <w:r>
        <w:rPr>
          <w:rFonts w:ascii="宋体" w:hAnsi="宋体"/>
          <w:color w:val="auto"/>
          <w:kern w:val="0"/>
          <w:sz w:val="21"/>
          <w:szCs w:val="21"/>
          <w:highlight w:val="none"/>
        </w:rPr>
        <w:t xml:space="preserve">1.4  </w:t>
      </w:r>
      <w:r>
        <w:rPr>
          <w:rFonts w:hint="eastAsia" w:ascii="宋体" w:hAnsi="宋体"/>
          <w:color w:val="auto"/>
          <w:kern w:val="0"/>
          <w:sz w:val="21"/>
          <w:szCs w:val="21"/>
          <w:highlight w:val="none"/>
        </w:rPr>
        <w:t>适用法律</w:t>
      </w:r>
      <w:bookmarkEnd w:id="1376"/>
      <w:bookmarkEnd w:id="1377"/>
      <w:bookmarkEnd w:id="1378"/>
      <w:bookmarkEnd w:id="1379"/>
      <w:bookmarkEnd w:id="1380"/>
      <w:bookmarkEnd w:id="1381"/>
    </w:p>
    <w:p>
      <w:pPr>
        <w:spacing w:before="120" w:beforeLines="50" w:after="120" w:afterLines="50" w:line="300" w:lineRule="auto"/>
        <w:ind w:firstLine="420" w:firstLineChars="200"/>
        <w:rPr>
          <w:color w:val="auto"/>
          <w:highlight w:val="none"/>
        </w:rPr>
      </w:pPr>
      <w:r>
        <w:rPr>
          <w:rFonts w:hint="eastAsia"/>
          <w:color w:val="auto"/>
          <w:highlight w:val="none"/>
        </w:rPr>
        <w:t>合同双方需要明示的法律、行政法规、地方性法规：</w:t>
      </w:r>
    </w:p>
    <w:p>
      <w:pPr>
        <w:pStyle w:val="4"/>
        <w:rPr>
          <w:rFonts w:ascii="宋体" w:hAnsi="宋体"/>
          <w:color w:val="auto"/>
          <w:kern w:val="0"/>
          <w:sz w:val="21"/>
          <w:szCs w:val="21"/>
          <w:highlight w:val="none"/>
        </w:rPr>
      </w:pPr>
      <w:bookmarkStart w:id="1382" w:name="_Toc433988830"/>
      <w:bookmarkStart w:id="1383" w:name="_Toc491277378"/>
      <w:bookmarkStart w:id="1384" w:name="_Toc419320338"/>
      <w:bookmarkStart w:id="1385" w:name="_Toc419364463"/>
      <w:bookmarkStart w:id="1386" w:name="_Toc419363796"/>
      <w:bookmarkStart w:id="1387" w:name="_Toc419321374"/>
      <w:r>
        <w:rPr>
          <w:rFonts w:ascii="宋体" w:hAnsi="宋体"/>
          <w:color w:val="auto"/>
          <w:kern w:val="0"/>
          <w:sz w:val="21"/>
          <w:szCs w:val="21"/>
          <w:highlight w:val="none"/>
        </w:rPr>
        <w:t xml:space="preserve">1.5  </w:t>
      </w:r>
      <w:r>
        <w:rPr>
          <w:rFonts w:hint="eastAsia" w:ascii="宋体" w:hAnsi="宋体"/>
          <w:color w:val="auto"/>
          <w:kern w:val="0"/>
          <w:sz w:val="21"/>
          <w:szCs w:val="21"/>
          <w:highlight w:val="none"/>
        </w:rPr>
        <w:t>标准、规范</w:t>
      </w:r>
      <w:bookmarkEnd w:id="1382"/>
      <w:bookmarkEnd w:id="1383"/>
      <w:bookmarkEnd w:id="1384"/>
      <w:bookmarkEnd w:id="1385"/>
      <w:bookmarkEnd w:id="1386"/>
      <w:bookmarkEnd w:id="1387"/>
    </w:p>
    <w:p>
      <w:pPr>
        <w:spacing w:line="300" w:lineRule="auto"/>
        <w:ind w:firstLine="420" w:firstLineChars="200"/>
        <w:rPr>
          <w:color w:val="auto"/>
          <w:highlight w:val="none"/>
          <w:u w:val="single"/>
        </w:rPr>
      </w:pPr>
      <w:r>
        <w:rPr>
          <w:color w:val="auto"/>
          <w:highlight w:val="none"/>
        </w:rPr>
        <w:t>1.5.1</w:t>
      </w:r>
      <w:r>
        <w:rPr>
          <w:rFonts w:hint="eastAsia"/>
          <w:color w:val="auto"/>
          <w:highlight w:val="none"/>
        </w:rPr>
        <w:t>本合同适用的标准、规范（名称）：</w:t>
      </w:r>
      <w:r>
        <w:rPr>
          <w:rFonts w:hint="eastAsia" w:ascii="宋体" w:hAnsi="宋体"/>
          <w:color w:val="auto"/>
          <w:szCs w:val="21"/>
          <w:highlight w:val="none"/>
          <w:u w:val="single"/>
        </w:rPr>
        <w:t xml:space="preserve"> 现行的国家标准、规范及行业标准、规范</w:t>
      </w:r>
    </w:p>
    <w:p>
      <w:pPr>
        <w:spacing w:line="300" w:lineRule="auto"/>
        <w:ind w:firstLine="420" w:firstLineChars="200"/>
        <w:rPr>
          <w:color w:val="auto"/>
          <w:highlight w:val="none"/>
        </w:rPr>
      </w:pPr>
      <w:r>
        <w:rPr>
          <w:color w:val="auto"/>
          <w:highlight w:val="none"/>
        </w:rPr>
        <w:t>1.5.2</w:t>
      </w:r>
      <w:r>
        <w:rPr>
          <w:rFonts w:hint="eastAsia"/>
          <w:color w:val="auto"/>
          <w:highlight w:val="none"/>
        </w:rPr>
        <w:t>发包人提供的国外标准、规范的名称、份数和时间：无</w:t>
      </w:r>
    </w:p>
    <w:p>
      <w:pPr>
        <w:spacing w:line="300" w:lineRule="auto"/>
        <w:ind w:firstLine="420" w:firstLineChars="200"/>
        <w:rPr>
          <w:color w:val="auto"/>
          <w:highlight w:val="none"/>
          <w:u w:val="single"/>
        </w:rPr>
      </w:pPr>
      <w:r>
        <w:rPr>
          <w:color w:val="auto"/>
          <w:highlight w:val="none"/>
        </w:rPr>
        <w:t>1.5.3</w:t>
      </w:r>
      <w:r>
        <w:rPr>
          <w:rFonts w:hint="eastAsia"/>
          <w:color w:val="auto"/>
          <w:highlight w:val="none"/>
        </w:rPr>
        <w:t>没有成文规范、标准规定的约定：无</w:t>
      </w:r>
    </w:p>
    <w:p>
      <w:pPr>
        <w:spacing w:line="300" w:lineRule="auto"/>
        <w:ind w:firstLine="420" w:firstLineChars="200"/>
        <w:rPr>
          <w:color w:val="auto"/>
          <w:highlight w:val="none"/>
        </w:rPr>
      </w:pPr>
      <w:r>
        <w:rPr>
          <w:rFonts w:hint="eastAsia"/>
          <w:color w:val="auto"/>
          <w:highlight w:val="none"/>
        </w:rPr>
        <w:t>发包人的技术要求及提交时间：</w:t>
      </w:r>
      <w:r>
        <w:rPr>
          <w:rFonts w:hint="eastAsia" w:ascii="宋体" w:hAnsi="宋体"/>
          <w:color w:val="auto"/>
          <w:szCs w:val="21"/>
          <w:highlight w:val="none"/>
          <w:u w:val="single"/>
        </w:rPr>
        <w:t xml:space="preserve"> 按通用条款执行</w:t>
      </w:r>
    </w:p>
    <w:p>
      <w:pPr>
        <w:spacing w:line="300" w:lineRule="auto"/>
        <w:ind w:firstLine="465"/>
        <w:rPr>
          <w:color w:val="auto"/>
          <w:highlight w:val="none"/>
          <w:u w:val="single"/>
        </w:rPr>
      </w:pPr>
      <w:r>
        <w:rPr>
          <w:rFonts w:hint="eastAsia"/>
          <w:color w:val="auto"/>
          <w:highlight w:val="none"/>
        </w:rPr>
        <w:t>承包人提交实施方法的时间：</w:t>
      </w:r>
      <w:r>
        <w:rPr>
          <w:rFonts w:hint="eastAsia" w:ascii="宋体" w:hAnsi="宋体"/>
          <w:color w:val="auto"/>
          <w:szCs w:val="21"/>
          <w:highlight w:val="none"/>
          <w:u w:val="single"/>
        </w:rPr>
        <w:t xml:space="preserve"> 按通用条款执行</w:t>
      </w:r>
    </w:p>
    <w:p>
      <w:pPr>
        <w:pStyle w:val="4"/>
        <w:rPr>
          <w:rFonts w:ascii="宋体" w:hAnsi="宋体"/>
          <w:color w:val="auto"/>
          <w:kern w:val="0"/>
          <w:sz w:val="21"/>
          <w:szCs w:val="21"/>
          <w:highlight w:val="none"/>
        </w:rPr>
      </w:pPr>
      <w:bookmarkStart w:id="1388" w:name="_Toc419364464"/>
      <w:bookmarkStart w:id="1389" w:name="_Toc419363797"/>
      <w:bookmarkStart w:id="1390" w:name="_Toc419320339"/>
      <w:bookmarkStart w:id="1391" w:name="_Toc491277379"/>
      <w:bookmarkStart w:id="1392" w:name="_Toc433988831"/>
      <w:bookmarkStart w:id="1393" w:name="_Toc419321375"/>
      <w:r>
        <w:rPr>
          <w:rFonts w:ascii="宋体" w:hAnsi="宋体"/>
          <w:color w:val="auto"/>
          <w:kern w:val="0"/>
          <w:sz w:val="21"/>
          <w:szCs w:val="21"/>
          <w:highlight w:val="none"/>
        </w:rPr>
        <w:t>1.6</w:t>
      </w:r>
      <w:r>
        <w:rPr>
          <w:rFonts w:hint="eastAsia" w:ascii="宋体" w:hAnsi="宋体"/>
          <w:color w:val="auto"/>
          <w:kern w:val="0"/>
          <w:sz w:val="21"/>
          <w:szCs w:val="21"/>
          <w:highlight w:val="none"/>
        </w:rPr>
        <w:t xml:space="preserve">  保密事项</w:t>
      </w:r>
      <w:bookmarkEnd w:id="1388"/>
      <w:bookmarkEnd w:id="1389"/>
      <w:bookmarkEnd w:id="1390"/>
      <w:bookmarkEnd w:id="1391"/>
      <w:bookmarkEnd w:id="1392"/>
      <w:bookmarkEnd w:id="1393"/>
    </w:p>
    <w:p>
      <w:pPr>
        <w:spacing w:line="300" w:lineRule="auto"/>
        <w:ind w:firstLine="420" w:firstLineChars="200"/>
        <w:rPr>
          <w:color w:val="auto"/>
          <w:highlight w:val="none"/>
        </w:rPr>
      </w:pPr>
      <w:r>
        <w:rPr>
          <w:rFonts w:hint="eastAsia"/>
          <w:color w:val="auto"/>
          <w:highlight w:val="none"/>
        </w:rPr>
        <w:t>双方签订的商业保密协议（名称）：，作为本合同附件。</w:t>
      </w:r>
    </w:p>
    <w:p>
      <w:pPr>
        <w:spacing w:line="300" w:lineRule="auto"/>
        <w:ind w:firstLine="420" w:firstLineChars="200"/>
        <w:rPr>
          <w:color w:val="auto"/>
          <w:highlight w:val="none"/>
        </w:rPr>
      </w:pPr>
      <w:r>
        <w:rPr>
          <w:rFonts w:hint="eastAsia"/>
          <w:color w:val="auto"/>
          <w:highlight w:val="none"/>
        </w:rPr>
        <w:t>双方签订的技术保密协议（名称）：，作为本合同附件。</w:t>
      </w:r>
    </w:p>
    <w:p>
      <w:pPr>
        <w:pStyle w:val="2"/>
        <w:rPr>
          <w:rFonts w:ascii="宋体" w:hAnsi="宋体" w:eastAsia="宋体"/>
          <w:color w:val="auto"/>
          <w:sz w:val="28"/>
          <w:szCs w:val="28"/>
          <w:highlight w:val="none"/>
        </w:rPr>
      </w:pPr>
      <w:bookmarkStart w:id="1394" w:name="_Toc419364465"/>
      <w:bookmarkStart w:id="1395" w:name="_Toc433988832"/>
      <w:bookmarkStart w:id="1396" w:name="_Toc419320340"/>
      <w:bookmarkStart w:id="1397" w:name="_Toc419363798"/>
      <w:bookmarkStart w:id="1398" w:name="_Toc491277380"/>
      <w:bookmarkStart w:id="1399" w:name="_Toc419321376"/>
      <w:r>
        <w:rPr>
          <w:rFonts w:hint="eastAsia" w:ascii="宋体" w:hAnsi="宋体" w:eastAsia="宋体"/>
          <w:color w:val="auto"/>
          <w:sz w:val="28"/>
          <w:szCs w:val="28"/>
          <w:highlight w:val="none"/>
        </w:rPr>
        <w:t>第</w:t>
      </w:r>
      <w:r>
        <w:rPr>
          <w:rFonts w:ascii="宋体" w:hAnsi="宋体" w:eastAsia="宋体"/>
          <w:color w:val="auto"/>
          <w:sz w:val="28"/>
          <w:szCs w:val="28"/>
          <w:highlight w:val="none"/>
        </w:rPr>
        <w:t>2</w:t>
      </w:r>
      <w:r>
        <w:rPr>
          <w:rFonts w:hint="eastAsia" w:ascii="宋体" w:hAnsi="宋体" w:eastAsia="宋体"/>
          <w:color w:val="auto"/>
          <w:sz w:val="28"/>
          <w:szCs w:val="28"/>
          <w:highlight w:val="none"/>
        </w:rPr>
        <w:t>条发包人</w:t>
      </w:r>
      <w:bookmarkEnd w:id="1394"/>
      <w:bookmarkEnd w:id="1395"/>
      <w:bookmarkEnd w:id="1396"/>
      <w:bookmarkEnd w:id="1397"/>
      <w:bookmarkEnd w:id="1398"/>
      <w:bookmarkEnd w:id="1399"/>
    </w:p>
    <w:p>
      <w:pPr>
        <w:pStyle w:val="4"/>
        <w:rPr>
          <w:rFonts w:ascii="宋体" w:hAnsi="宋体"/>
          <w:color w:val="auto"/>
          <w:kern w:val="0"/>
          <w:sz w:val="21"/>
          <w:szCs w:val="21"/>
          <w:highlight w:val="none"/>
        </w:rPr>
      </w:pPr>
      <w:bookmarkStart w:id="1400" w:name="_Toc491277381"/>
      <w:bookmarkStart w:id="1401" w:name="_Toc419364466"/>
      <w:bookmarkStart w:id="1402" w:name="_Toc433988833"/>
      <w:bookmarkStart w:id="1403" w:name="_Toc419321377"/>
      <w:bookmarkStart w:id="1404" w:name="_Toc419320341"/>
      <w:bookmarkStart w:id="1405" w:name="_Toc419363799"/>
      <w:r>
        <w:rPr>
          <w:rFonts w:ascii="宋体" w:hAnsi="宋体"/>
          <w:color w:val="auto"/>
          <w:kern w:val="0"/>
          <w:sz w:val="21"/>
          <w:szCs w:val="21"/>
          <w:highlight w:val="none"/>
        </w:rPr>
        <w:t xml:space="preserve">2.2 </w:t>
      </w:r>
      <w:r>
        <w:rPr>
          <w:rFonts w:hint="eastAsia" w:ascii="宋体" w:hAnsi="宋体"/>
          <w:color w:val="auto"/>
          <w:kern w:val="0"/>
          <w:sz w:val="21"/>
          <w:szCs w:val="21"/>
          <w:highlight w:val="none"/>
        </w:rPr>
        <w:t xml:space="preserve"> 发包人代表</w:t>
      </w:r>
      <w:bookmarkEnd w:id="1400"/>
      <w:bookmarkEnd w:id="1401"/>
      <w:bookmarkEnd w:id="1402"/>
      <w:bookmarkEnd w:id="1403"/>
      <w:bookmarkEnd w:id="1404"/>
      <w:bookmarkEnd w:id="1405"/>
    </w:p>
    <w:p>
      <w:pPr>
        <w:spacing w:line="300" w:lineRule="auto"/>
        <w:ind w:firstLine="420" w:firstLineChars="200"/>
        <w:rPr>
          <w:color w:val="auto"/>
          <w:highlight w:val="none"/>
        </w:rPr>
      </w:pPr>
      <w:r>
        <w:rPr>
          <w:rFonts w:hint="eastAsia"/>
          <w:color w:val="auto"/>
          <w:highlight w:val="none"/>
        </w:rPr>
        <w:t>发包人代表的姓名：</w:t>
      </w:r>
      <w:r>
        <w:rPr>
          <w:rFonts w:hint="eastAsia"/>
          <w:color w:val="auto"/>
          <w:highlight w:val="none"/>
          <w:u w:val="single"/>
        </w:rPr>
        <w:t xml:space="preserve">                     </w:t>
      </w:r>
      <w:r>
        <w:rPr>
          <w:rFonts w:hint="eastAsia"/>
          <w:color w:val="auto"/>
          <w:highlight w:val="none"/>
        </w:rPr>
        <w:t>；</w:t>
      </w:r>
    </w:p>
    <w:p>
      <w:pPr>
        <w:spacing w:line="300" w:lineRule="auto"/>
        <w:ind w:firstLine="420" w:firstLineChars="200"/>
        <w:rPr>
          <w:color w:val="auto"/>
          <w:highlight w:val="none"/>
        </w:rPr>
      </w:pPr>
      <w:r>
        <w:rPr>
          <w:rFonts w:hint="eastAsia"/>
          <w:color w:val="auto"/>
          <w:highlight w:val="none"/>
        </w:rPr>
        <w:t>发包人代表的职务：</w:t>
      </w:r>
      <w:r>
        <w:rPr>
          <w:rFonts w:hint="eastAsia"/>
          <w:color w:val="auto"/>
          <w:highlight w:val="none"/>
          <w:u w:val="single"/>
        </w:rPr>
        <w:t xml:space="preserve">                     </w:t>
      </w:r>
      <w:r>
        <w:rPr>
          <w:rFonts w:hint="eastAsia"/>
          <w:color w:val="auto"/>
          <w:highlight w:val="none"/>
        </w:rPr>
        <w:t>；</w:t>
      </w:r>
    </w:p>
    <w:p>
      <w:pPr>
        <w:spacing w:line="300" w:lineRule="auto"/>
        <w:ind w:firstLine="420" w:firstLineChars="200"/>
        <w:rPr>
          <w:color w:val="auto"/>
          <w:highlight w:val="none"/>
        </w:rPr>
      </w:pPr>
      <w:r>
        <w:rPr>
          <w:rFonts w:hint="eastAsia" w:ascii="宋体" w:hAnsi="宋体"/>
          <w:color w:val="auto"/>
          <w:szCs w:val="21"/>
          <w:highlight w:val="none"/>
        </w:rPr>
        <w:t>联系电话</w:t>
      </w:r>
      <w:r>
        <w:rPr>
          <w:rFonts w:hint="eastAsia"/>
          <w:color w:val="auto"/>
          <w:highlight w:val="none"/>
        </w:rPr>
        <w:t>：</w:t>
      </w:r>
      <w:r>
        <w:rPr>
          <w:rFonts w:hint="eastAsia"/>
          <w:color w:val="auto"/>
          <w:highlight w:val="none"/>
          <w:u w:val="single"/>
        </w:rPr>
        <w:t xml:space="preserve">                     </w:t>
      </w:r>
      <w:r>
        <w:rPr>
          <w:rFonts w:hint="eastAsia"/>
          <w:color w:val="auto"/>
          <w:highlight w:val="none"/>
        </w:rPr>
        <w:t>；</w:t>
      </w:r>
    </w:p>
    <w:p>
      <w:pPr>
        <w:spacing w:line="300" w:lineRule="auto"/>
        <w:ind w:firstLine="420" w:firstLineChars="200"/>
        <w:rPr>
          <w:color w:val="auto"/>
          <w:highlight w:val="none"/>
        </w:rPr>
      </w:pPr>
      <w:r>
        <w:rPr>
          <w:rFonts w:hint="eastAsia" w:ascii="宋体" w:hAnsi="宋体"/>
          <w:color w:val="auto"/>
          <w:szCs w:val="21"/>
          <w:highlight w:val="none"/>
        </w:rPr>
        <w:t>联系邮箱</w:t>
      </w:r>
      <w:r>
        <w:rPr>
          <w:rFonts w:hint="eastAsia"/>
          <w:color w:val="auto"/>
          <w:highlight w:val="none"/>
        </w:rPr>
        <w:t>：</w:t>
      </w:r>
      <w:r>
        <w:rPr>
          <w:rFonts w:hint="eastAsia"/>
          <w:color w:val="auto"/>
          <w:highlight w:val="none"/>
          <w:u w:val="single"/>
        </w:rPr>
        <w:t xml:space="preserve">                     </w:t>
      </w:r>
    </w:p>
    <w:p>
      <w:pPr>
        <w:spacing w:line="300" w:lineRule="auto"/>
        <w:ind w:firstLine="420" w:firstLineChars="200"/>
        <w:rPr>
          <w:color w:val="auto"/>
          <w:highlight w:val="none"/>
        </w:rPr>
      </w:pPr>
      <w:r>
        <w:rPr>
          <w:rFonts w:hint="eastAsia"/>
          <w:color w:val="auto"/>
          <w:highlight w:val="none"/>
        </w:rPr>
        <w:t>发包人代表的职责：</w:t>
      </w:r>
      <w:r>
        <w:rPr>
          <w:rFonts w:hint="eastAsia"/>
          <w:color w:val="auto"/>
          <w:highlight w:val="none"/>
          <w:u w:val="single"/>
        </w:rPr>
        <w:t xml:space="preserve">                     </w:t>
      </w:r>
    </w:p>
    <w:p>
      <w:pPr>
        <w:pStyle w:val="4"/>
        <w:rPr>
          <w:rFonts w:ascii="宋体" w:hAnsi="宋体"/>
          <w:color w:val="auto"/>
          <w:kern w:val="0"/>
          <w:sz w:val="21"/>
          <w:szCs w:val="21"/>
          <w:highlight w:val="none"/>
        </w:rPr>
      </w:pPr>
      <w:bookmarkStart w:id="1406" w:name="_Toc419320342"/>
      <w:bookmarkStart w:id="1407" w:name="_Toc433988834"/>
      <w:bookmarkStart w:id="1408" w:name="_Toc419364467"/>
      <w:bookmarkStart w:id="1409" w:name="_Toc419321378"/>
      <w:bookmarkStart w:id="1410" w:name="_Toc419363800"/>
      <w:bookmarkStart w:id="1411" w:name="_Toc491277382"/>
      <w:r>
        <w:rPr>
          <w:rFonts w:ascii="宋体" w:hAnsi="宋体"/>
          <w:color w:val="auto"/>
          <w:kern w:val="0"/>
          <w:sz w:val="21"/>
          <w:szCs w:val="21"/>
          <w:highlight w:val="none"/>
        </w:rPr>
        <w:t xml:space="preserve">2.3  </w:t>
      </w:r>
      <w:r>
        <w:rPr>
          <w:rFonts w:hint="eastAsia" w:ascii="宋体" w:hAnsi="宋体"/>
          <w:color w:val="auto"/>
          <w:kern w:val="0"/>
          <w:sz w:val="21"/>
          <w:szCs w:val="21"/>
          <w:highlight w:val="none"/>
        </w:rPr>
        <w:t>监理人</w:t>
      </w:r>
      <w:bookmarkEnd w:id="1406"/>
      <w:bookmarkEnd w:id="1407"/>
      <w:bookmarkEnd w:id="1408"/>
      <w:bookmarkEnd w:id="1409"/>
      <w:bookmarkEnd w:id="1410"/>
      <w:bookmarkEnd w:id="1411"/>
    </w:p>
    <w:p>
      <w:pPr>
        <w:spacing w:line="300" w:lineRule="auto"/>
        <w:ind w:firstLine="420" w:firstLineChars="200"/>
        <w:rPr>
          <w:color w:val="auto"/>
          <w:highlight w:val="none"/>
          <w:u w:val="single"/>
        </w:rPr>
      </w:pPr>
      <w:r>
        <w:rPr>
          <w:color w:val="auto"/>
          <w:highlight w:val="none"/>
        </w:rPr>
        <w:t>2.3.1</w:t>
      </w:r>
      <w:r>
        <w:rPr>
          <w:rFonts w:hint="eastAsia"/>
          <w:color w:val="auto"/>
          <w:highlight w:val="none"/>
        </w:rPr>
        <w:t>监理单位名称</w:t>
      </w:r>
      <w:r>
        <w:rPr>
          <w:rFonts w:hint="eastAsia"/>
          <w:color w:val="auto"/>
          <w:highlight w:val="none"/>
          <w:u w:val="single"/>
        </w:rPr>
        <w:t xml:space="preserve">：                              </w:t>
      </w:r>
    </w:p>
    <w:p>
      <w:pPr>
        <w:spacing w:line="300" w:lineRule="auto"/>
        <w:ind w:firstLine="420" w:firstLineChars="200"/>
        <w:rPr>
          <w:color w:val="auto"/>
          <w:highlight w:val="none"/>
        </w:rPr>
      </w:pPr>
      <w:r>
        <w:rPr>
          <w:rFonts w:hint="eastAsia"/>
          <w:color w:val="auto"/>
          <w:highlight w:val="none"/>
        </w:rPr>
        <w:t>工程总监理姓名：</w:t>
      </w:r>
      <w:r>
        <w:rPr>
          <w:rFonts w:hint="eastAsia"/>
          <w:color w:val="auto"/>
          <w:highlight w:val="none"/>
          <w:u w:val="single"/>
        </w:rPr>
        <w:t xml:space="preserve">                     </w:t>
      </w:r>
    </w:p>
    <w:p>
      <w:pPr>
        <w:spacing w:line="300" w:lineRule="auto"/>
        <w:ind w:firstLine="420" w:firstLineChars="200"/>
        <w:rPr>
          <w:color w:val="auto"/>
          <w:highlight w:val="none"/>
        </w:rPr>
      </w:pPr>
      <w:r>
        <w:rPr>
          <w:rFonts w:hint="eastAsia"/>
          <w:color w:val="auto"/>
          <w:highlight w:val="none"/>
        </w:rPr>
        <w:t>监理的范围：</w:t>
      </w:r>
      <w:r>
        <w:rPr>
          <w:rFonts w:hint="eastAsia"/>
          <w:color w:val="auto"/>
          <w:highlight w:val="none"/>
          <w:u w:val="single"/>
        </w:rPr>
        <w:t xml:space="preserve">                     </w:t>
      </w:r>
    </w:p>
    <w:p>
      <w:pPr>
        <w:spacing w:line="300" w:lineRule="auto"/>
        <w:ind w:firstLine="420" w:firstLineChars="200"/>
        <w:rPr>
          <w:color w:val="auto"/>
          <w:highlight w:val="none"/>
        </w:rPr>
      </w:pPr>
      <w:r>
        <w:rPr>
          <w:rFonts w:hint="eastAsia"/>
          <w:color w:val="auto"/>
          <w:highlight w:val="none"/>
        </w:rPr>
        <w:t>监理的内容：</w:t>
      </w:r>
      <w:r>
        <w:rPr>
          <w:rFonts w:hint="eastAsia"/>
          <w:color w:val="auto"/>
          <w:highlight w:val="none"/>
          <w:u w:val="single"/>
        </w:rPr>
        <w:t xml:space="preserve">                     </w:t>
      </w:r>
    </w:p>
    <w:p>
      <w:pPr>
        <w:spacing w:line="300" w:lineRule="auto"/>
        <w:ind w:firstLine="420" w:firstLineChars="200"/>
        <w:rPr>
          <w:color w:val="auto"/>
          <w:highlight w:val="none"/>
        </w:rPr>
      </w:pPr>
      <w:r>
        <w:rPr>
          <w:rFonts w:hint="eastAsia"/>
          <w:color w:val="auto"/>
          <w:highlight w:val="none"/>
        </w:rPr>
        <w:t>监理的权限：</w:t>
      </w:r>
      <w:r>
        <w:rPr>
          <w:rFonts w:hint="eastAsia"/>
          <w:color w:val="auto"/>
          <w:highlight w:val="none"/>
          <w:u w:val="single"/>
        </w:rPr>
        <w:t xml:space="preserve">                     </w:t>
      </w:r>
    </w:p>
    <w:p>
      <w:pPr>
        <w:pStyle w:val="4"/>
        <w:rPr>
          <w:rFonts w:ascii="宋体" w:hAnsi="宋体"/>
          <w:color w:val="auto"/>
          <w:kern w:val="0"/>
          <w:sz w:val="21"/>
          <w:szCs w:val="21"/>
          <w:highlight w:val="none"/>
        </w:rPr>
      </w:pPr>
      <w:bookmarkStart w:id="1412" w:name="_Toc491277383"/>
      <w:bookmarkStart w:id="1413" w:name="_Toc433988835"/>
      <w:bookmarkStart w:id="1414" w:name="_Toc419320343"/>
      <w:bookmarkStart w:id="1415" w:name="_Toc419321379"/>
      <w:bookmarkStart w:id="1416" w:name="_Toc419363801"/>
      <w:bookmarkStart w:id="1417" w:name="_Toc419364468"/>
      <w:r>
        <w:rPr>
          <w:rFonts w:ascii="宋体" w:hAnsi="宋体"/>
          <w:color w:val="auto"/>
          <w:kern w:val="0"/>
          <w:sz w:val="21"/>
          <w:szCs w:val="21"/>
          <w:highlight w:val="none"/>
        </w:rPr>
        <w:t>2.5</w:t>
      </w:r>
      <w:r>
        <w:rPr>
          <w:rFonts w:hint="eastAsia" w:ascii="宋体" w:hAnsi="宋体"/>
          <w:color w:val="auto"/>
          <w:kern w:val="0"/>
          <w:sz w:val="21"/>
          <w:szCs w:val="21"/>
          <w:highlight w:val="none"/>
        </w:rPr>
        <w:t xml:space="preserve">  保安责任</w:t>
      </w:r>
      <w:bookmarkEnd w:id="1412"/>
      <w:bookmarkEnd w:id="1413"/>
      <w:bookmarkEnd w:id="1414"/>
      <w:bookmarkEnd w:id="1415"/>
      <w:bookmarkEnd w:id="1416"/>
      <w:bookmarkEnd w:id="1417"/>
    </w:p>
    <w:p>
      <w:pPr>
        <w:spacing w:line="300" w:lineRule="auto"/>
        <w:ind w:firstLine="420" w:firstLineChars="200"/>
        <w:rPr>
          <w:color w:val="auto"/>
          <w:highlight w:val="none"/>
        </w:rPr>
      </w:pPr>
      <w:r>
        <w:rPr>
          <w:color w:val="auto"/>
          <w:highlight w:val="none"/>
        </w:rPr>
        <w:t>2.5.1</w:t>
      </w:r>
      <w:r>
        <w:rPr>
          <w:rFonts w:hint="eastAsia"/>
          <w:color w:val="auto"/>
          <w:highlight w:val="none"/>
        </w:rPr>
        <w:t>现场保安责任的约定。在以下两者中选择其一，作为合同双方对现场保安责任的约定。</w:t>
      </w:r>
    </w:p>
    <w:p>
      <w:pPr>
        <w:spacing w:line="300" w:lineRule="auto"/>
        <w:ind w:firstLine="420" w:firstLineChars="200"/>
        <w:rPr>
          <w:color w:val="auto"/>
          <w:highlight w:val="none"/>
        </w:rPr>
      </w:pPr>
      <w:r>
        <w:rPr>
          <w:rFonts w:hint="eastAsia"/>
          <w:color w:val="auto"/>
          <w:highlight w:val="none"/>
        </w:rPr>
        <w:sym w:font="Wingdings 2" w:char="00A3"/>
      </w:r>
      <w:r>
        <w:rPr>
          <w:rFonts w:hint="eastAsia"/>
          <w:color w:val="auto"/>
          <w:highlight w:val="none"/>
        </w:rPr>
        <w:t>发包人负责保安的归口管理</w:t>
      </w:r>
    </w:p>
    <w:p>
      <w:pPr>
        <w:spacing w:line="300" w:lineRule="auto"/>
        <w:ind w:firstLine="420" w:firstLineChars="200"/>
        <w:rPr>
          <w:color w:val="auto"/>
          <w:highlight w:val="none"/>
        </w:rPr>
      </w:pPr>
      <w:r>
        <w:rPr>
          <w:rFonts w:hint="eastAsia"/>
          <w:color w:val="auto"/>
          <w:highlight w:val="none"/>
        </w:rPr>
        <w:sym w:font="Wingdings 2" w:char="0052"/>
      </w:r>
      <w:r>
        <w:rPr>
          <w:rFonts w:hint="eastAsia"/>
          <w:color w:val="auto"/>
          <w:highlight w:val="none"/>
        </w:rPr>
        <w:t>委托承包人负责保安管理</w:t>
      </w:r>
    </w:p>
    <w:p>
      <w:pPr>
        <w:adjustRightInd w:val="0"/>
        <w:snapToGrid w:val="0"/>
        <w:spacing w:line="440" w:lineRule="exact"/>
        <w:ind w:firstLine="420" w:firstLineChars="200"/>
        <w:rPr>
          <w:rFonts w:ascii="宋体" w:hAnsi="宋体"/>
          <w:color w:val="auto"/>
          <w:szCs w:val="21"/>
          <w:highlight w:val="none"/>
        </w:rPr>
      </w:pPr>
      <w:r>
        <w:rPr>
          <w:color w:val="auto"/>
          <w:highlight w:val="none"/>
        </w:rPr>
        <w:t>2.5.2</w:t>
      </w:r>
      <w:r>
        <w:rPr>
          <w:rFonts w:hint="eastAsia"/>
          <w:color w:val="auto"/>
          <w:highlight w:val="none"/>
        </w:rPr>
        <w:t>保安区域责任划分及双方相关保安制度、责任制度和报告制度的约定：</w:t>
      </w:r>
      <w:r>
        <w:rPr>
          <w:rFonts w:hint="eastAsia" w:ascii="宋体" w:hAnsi="宋体"/>
          <w:color w:val="auto"/>
          <w:szCs w:val="21"/>
          <w:highlight w:val="none"/>
          <w:u w:val="single"/>
        </w:rPr>
        <w:t xml:space="preserve">承包人负责管理，所发生的费用由发包人承担 </w:t>
      </w:r>
    </w:p>
    <w:p>
      <w:pPr>
        <w:spacing w:line="300" w:lineRule="auto"/>
        <w:ind w:firstLine="420" w:firstLineChars="200"/>
        <w:rPr>
          <w:color w:val="auto"/>
          <w:highlight w:val="none"/>
        </w:rPr>
      </w:pPr>
    </w:p>
    <w:p>
      <w:pPr>
        <w:pStyle w:val="2"/>
        <w:rPr>
          <w:rFonts w:ascii="宋体" w:hAnsi="宋体" w:eastAsia="宋体"/>
          <w:color w:val="auto"/>
          <w:sz w:val="28"/>
          <w:szCs w:val="28"/>
          <w:highlight w:val="none"/>
        </w:rPr>
      </w:pPr>
      <w:bookmarkStart w:id="1418" w:name="_Toc419363802"/>
      <w:bookmarkStart w:id="1419" w:name="_Toc491277384"/>
      <w:bookmarkStart w:id="1420" w:name="_Toc419320344"/>
      <w:bookmarkStart w:id="1421" w:name="_Toc419321380"/>
      <w:bookmarkStart w:id="1422" w:name="_Toc419364469"/>
      <w:bookmarkStart w:id="1423" w:name="_Toc433988836"/>
      <w:r>
        <w:rPr>
          <w:rFonts w:hint="eastAsia" w:ascii="宋体" w:hAnsi="宋体" w:eastAsia="宋体"/>
          <w:color w:val="auto"/>
          <w:sz w:val="28"/>
          <w:szCs w:val="28"/>
          <w:highlight w:val="none"/>
        </w:rPr>
        <w:t>第</w:t>
      </w:r>
      <w:r>
        <w:rPr>
          <w:rFonts w:ascii="宋体" w:hAnsi="宋体" w:eastAsia="宋体"/>
          <w:color w:val="auto"/>
          <w:sz w:val="28"/>
          <w:szCs w:val="28"/>
          <w:highlight w:val="none"/>
        </w:rPr>
        <w:t>3</w:t>
      </w:r>
      <w:r>
        <w:rPr>
          <w:rFonts w:hint="eastAsia" w:ascii="宋体" w:hAnsi="宋体" w:eastAsia="宋体"/>
          <w:color w:val="auto"/>
          <w:sz w:val="28"/>
          <w:szCs w:val="28"/>
          <w:highlight w:val="none"/>
        </w:rPr>
        <w:t>条承包人</w:t>
      </w:r>
      <w:bookmarkEnd w:id="1418"/>
      <w:bookmarkEnd w:id="1419"/>
      <w:bookmarkEnd w:id="1420"/>
      <w:bookmarkEnd w:id="1421"/>
      <w:bookmarkEnd w:id="1422"/>
      <w:bookmarkEnd w:id="1423"/>
    </w:p>
    <w:p>
      <w:pPr>
        <w:pStyle w:val="4"/>
        <w:rPr>
          <w:rFonts w:ascii="宋体" w:hAnsi="宋体"/>
          <w:color w:val="auto"/>
          <w:kern w:val="0"/>
          <w:sz w:val="21"/>
          <w:szCs w:val="21"/>
          <w:highlight w:val="none"/>
        </w:rPr>
      </w:pPr>
      <w:bookmarkStart w:id="1424" w:name="_Toc433988837"/>
      <w:bookmarkStart w:id="1425" w:name="_Toc419320345"/>
      <w:bookmarkStart w:id="1426" w:name="_Toc419364470"/>
      <w:bookmarkStart w:id="1427" w:name="_Toc491277385"/>
      <w:bookmarkStart w:id="1428" w:name="_Toc419363803"/>
      <w:bookmarkStart w:id="1429" w:name="_Toc419321381"/>
      <w:r>
        <w:rPr>
          <w:rFonts w:ascii="宋体" w:hAnsi="宋体"/>
          <w:color w:val="auto"/>
          <w:kern w:val="0"/>
          <w:sz w:val="21"/>
          <w:szCs w:val="21"/>
          <w:highlight w:val="none"/>
        </w:rPr>
        <w:t>3.1</w:t>
      </w:r>
      <w:r>
        <w:rPr>
          <w:rFonts w:hint="eastAsia" w:ascii="宋体" w:hAnsi="宋体"/>
          <w:color w:val="auto"/>
          <w:kern w:val="0"/>
          <w:sz w:val="21"/>
          <w:szCs w:val="21"/>
          <w:highlight w:val="none"/>
        </w:rPr>
        <w:t xml:space="preserve">  承包人的一般义务和权力</w:t>
      </w:r>
      <w:bookmarkEnd w:id="1424"/>
      <w:bookmarkEnd w:id="1425"/>
      <w:bookmarkEnd w:id="1426"/>
      <w:bookmarkEnd w:id="1427"/>
      <w:bookmarkEnd w:id="1428"/>
      <w:bookmarkEnd w:id="1429"/>
    </w:p>
    <w:p>
      <w:pPr>
        <w:adjustRightInd w:val="0"/>
        <w:snapToGrid w:val="0"/>
        <w:spacing w:line="440" w:lineRule="exact"/>
        <w:ind w:firstLine="420" w:firstLineChars="200"/>
        <w:rPr>
          <w:color w:val="auto"/>
          <w:highlight w:val="none"/>
        </w:rPr>
      </w:pPr>
      <w:r>
        <w:rPr>
          <w:color w:val="auto"/>
          <w:highlight w:val="none"/>
        </w:rPr>
        <w:t>3.1.3</w:t>
      </w:r>
      <w:r>
        <w:rPr>
          <w:rFonts w:hint="eastAsia"/>
          <w:color w:val="auto"/>
          <w:highlight w:val="none"/>
        </w:rPr>
        <w:t>经合同双方商定，承包人应提交的报表类别、名称、要求、报告期、提交的时间和份数：</w:t>
      </w:r>
    </w:p>
    <w:p>
      <w:pPr>
        <w:adjustRightInd w:val="0"/>
        <w:snapToGrid w:val="0"/>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（1）合同签订后7天内承包人向监理人、发包人提交详细施工组织设计文件；</w:t>
      </w:r>
    </w:p>
    <w:p>
      <w:pPr>
        <w:adjustRightInd w:val="0"/>
        <w:snapToGrid w:val="0"/>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（2） 项目开工建设后，承包人每月向监理人、发包人提交施工月报。</w:t>
      </w:r>
    </w:p>
    <w:p>
      <w:pPr>
        <w:spacing w:before="120" w:beforeLines="50" w:after="120" w:afterLines="50" w:line="300" w:lineRule="auto"/>
        <w:ind w:firstLine="420" w:firstLineChars="200"/>
        <w:rPr>
          <w:color w:val="auto"/>
          <w:highlight w:val="none"/>
        </w:rPr>
      </w:pPr>
    </w:p>
    <w:p>
      <w:pPr>
        <w:spacing w:before="120" w:beforeLines="50" w:after="120" w:afterLines="50" w:line="300" w:lineRule="auto"/>
        <w:ind w:firstLine="420" w:firstLineChars="200"/>
        <w:rPr>
          <w:color w:val="auto"/>
          <w:highlight w:val="none"/>
        </w:rPr>
      </w:pPr>
    </w:p>
    <w:p>
      <w:pPr>
        <w:pStyle w:val="4"/>
        <w:rPr>
          <w:rFonts w:ascii="宋体" w:hAnsi="宋体"/>
          <w:color w:val="auto"/>
          <w:kern w:val="0"/>
          <w:sz w:val="21"/>
          <w:szCs w:val="21"/>
          <w:highlight w:val="none"/>
        </w:rPr>
      </w:pPr>
      <w:bookmarkStart w:id="1430" w:name="_Toc433988838"/>
      <w:bookmarkStart w:id="1431" w:name="_Toc419321382"/>
      <w:bookmarkStart w:id="1432" w:name="_Toc419320346"/>
      <w:bookmarkStart w:id="1433" w:name="_Toc491277386"/>
      <w:bookmarkStart w:id="1434" w:name="_Toc419364471"/>
      <w:bookmarkStart w:id="1435" w:name="_Toc419363804"/>
      <w:r>
        <w:rPr>
          <w:rFonts w:ascii="宋体" w:hAnsi="宋体"/>
          <w:color w:val="auto"/>
          <w:kern w:val="0"/>
          <w:sz w:val="21"/>
          <w:szCs w:val="21"/>
          <w:highlight w:val="none"/>
        </w:rPr>
        <w:t>3.2</w:t>
      </w:r>
      <w:r>
        <w:rPr>
          <w:rFonts w:hint="eastAsia" w:ascii="宋体" w:hAnsi="宋体"/>
          <w:color w:val="auto"/>
          <w:kern w:val="0"/>
          <w:sz w:val="21"/>
          <w:szCs w:val="21"/>
          <w:highlight w:val="none"/>
        </w:rPr>
        <w:t xml:space="preserve">  项目总负责人</w:t>
      </w:r>
      <w:bookmarkEnd w:id="1430"/>
      <w:bookmarkEnd w:id="1431"/>
      <w:bookmarkEnd w:id="1432"/>
      <w:bookmarkEnd w:id="1433"/>
      <w:bookmarkEnd w:id="1434"/>
      <w:bookmarkEnd w:id="1435"/>
    </w:p>
    <w:p>
      <w:pPr>
        <w:spacing w:line="300" w:lineRule="auto"/>
        <w:ind w:firstLine="420" w:firstLineChars="200"/>
        <w:rPr>
          <w:color w:val="auto"/>
          <w:highlight w:val="none"/>
          <w:u w:val="single"/>
        </w:rPr>
      </w:pPr>
      <w:r>
        <w:rPr>
          <w:color w:val="auto"/>
          <w:highlight w:val="none"/>
        </w:rPr>
        <w:t>3.2.1</w:t>
      </w:r>
      <w:r>
        <w:rPr>
          <w:rFonts w:hint="eastAsia"/>
          <w:color w:val="auto"/>
          <w:highlight w:val="none"/>
        </w:rPr>
        <w:t>项目总负责人姓名：</w:t>
      </w:r>
      <w:r>
        <w:rPr>
          <w:rFonts w:hint="eastAsia"/>
          <w:color w:val="auto"/>
          <w:highlight w:val="none"/>
          <w:u w:val="single"/>
        </w:rPr>
        <w:t xml:space="preserve">                     </w:t>
      </w:r>
    </w:p>
    <w:p>
      <w:pPr>
        <w:spacing w:line="300" w:lineRule="auto"/>
        <w:ind w:firstLine="420" w:firstLineChars="200"/>
        <w:rPr>
          <w:color w:val="auto"/>
          <w:highlight w:val="none"/>
          <w:u w:val="single"/>
        </w:rPr>
      </w:pPr>
      <w:r>
        <w:rPr>
          <w:rFonts w:hint="eastAsia"/>
          <w:color w:val="auto"/>
          <w:highlight w:val="none"/>
        </w:rPr>
        <w:t>执业资格等级：</w:t>
      </w:r>
      <w:r>
        <w:rPr>
          <w:rFonts w:hint="eastAsia"/>
          <w:color w:val="auto"/>
          <w:highlight w:val="none"/>
          <w:u w:val="single"/>
        </w:rPr>
        <w:t xml:space="preserve">                     </w:t>
      </w:r>
    </w:p>
    <w:p>
      <w:pPr>
        <w:spacing w:line="300" w:lineRule="auto"/>
        <w:ind w:firstLine="420" w:firstLineChars="200"/>
        <w:rPr>
          <w:color w:val="auto"/>
          <w:highlight w:val="none"/>
          <w:u w:val="single"/>
        </w:rPr>
      </w:pPr>
      <w:r>
        <w:rPr>
          <w:rFonts w:hint="eastAsia"/>
          <w:color w:val="auto"/>
          <w:highlight w:val="none"/>
        </w:rPr>
        <w:t>执业资格证书号：</w:t>
      </w:r>
      <w:r>
        <w:rPr>
          <w:rFonts w:hint="eastAsia"/>
          <w:color w:val="auto"/>
          <w:highlight w:val="none"/>
          <w:u w:val="single"/>
        </w:rPr>
        <w:t xml:space="preserve">                     </w:t>
      </w:r>
    </w:p>
    <w:p>
      <w:pPr>
        <w:spacing w:line="300" w:lineRule="auto"/>
        <w:ind w:firstLine="420" w:firstLineChars="200"/>
        <w:rPr>
          <w:color w:val="auto"/>
          <w:highlight w:val="none"/>
          <w:u w:val="single"/>
        </w:rPr>
      </w:pPr>
      <w:r>
        <w:rPr>
          <w:rFonts w:hint="eastAsia"/>
          <w:color w:val="auto"/>
          <w:highlight w:val="none"/>
        </w:rPr>
        <w:t>注册证书号：</w:t>
      </w:r>
      <w:r>
        <w:rPr>
          <w:rFonts w:hint="eastAsia"/>
          <w:color w:val="auto"/>
          <w:highlight w:val="none"/>
          <w:u w:val="single"/>
        </w:rPr>
        <w:t xml:space="preserve">                     </w:t>
      </w:r>
    </w:p>
    <w:p>
      <w:pPr>
        <w:spacing w:line="300" w:lineRule="auto"/>
        <w:ind w:firstLine="420" w:firstLineChars="200"/>
        <w:rPr>
          <w:color w:val="auto"/>
          <w:highlight w:val="none"/>
          <w:u w:val="single"/>
        </w:rPr>
      </w:pPr>
      <w:r>
        <w:rPr>
          <w:rFonts w:hint="eastAsia"/>
          <w:color w:val="auto"/>
          <w:highlight w:val="none"/>
        </w:rPr>
        <w:t>执业印章号：</w:t>
      </w:r>
      <w:r>
        <w:rPr>
          <w:rFonts w:hint="eastAsia"/>
          <w:color w:val="auto"/>
          <w:highlight w:val="none"/>
          <w:u w:val="single"/>
        </w:rPr>
        <w:t xml:space="preserve">                     </w:t>
      </w: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项目总负责人职责：</w:t>
      </w:r>
      <w:r>
        <w:rPr>
          <w:rFonts w:hint="eastAsia" w:ascii="宋体" w:hAnsi="宋体"/>
          <w:color w:val="auto"/>
          <w:szCs w:val="21"/>
          <w:highlight w:val="none"/>
          <w:u w:val="single"/>
        </w:rPr>
        <w:t xml:space="preserve">是工程总承包项目的负责人，经授权代表工程总承包企业负责执行项目合同，负责项目实施的计划、组织、领导和控制，对项目的质量、安全、费用和进度全面负责 </w:t>
      </w:r>
    </w:p>
    <w:p>
      <w:pPr>
        <w:spacing w:line="300" w:lineRule="auto"/>
        <w:ind w:firstLine="420" w:firstLineChars="200"/>
        <w:rPr>
          <w:color w:val="auto"/>
          <w:highlight w:val="none"/>
        </w:rPr>
      </w:pP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项目总负责人权限：</w:t>
      </w:r>
      <w:r>
        <w:rPr>
          <w:rFonts w:hint="eastAsia" w:ascii="宋体" w:hAnsi="宋体"/>
          <w:color w:val="auto"/>
          <w:szCs w:val="21"/>
          <w:highlight w:val="none"/>
          <w:u w:val="single"/>
        </w:rPr>
        <w:t>1）经授权组建总承包管理项目部，提出项目部的组织机构，选择、聘用项目部成员，确定项目部人员的职责；2）在授权范围内，按以上项目总负责人职责规定的职责，行使相应的管理权；3）在合同范围内，有权按规定程序使用工程总承包企业的相关资源，并取得有关部门的支持；4）主持项目部的工作，组织制定项目的各项管理规定；5）根据企业法定代表人授权，协调和处理与项目有关的内、外部事项。</w:t>
      </w:r>
    </w:p>
    <w:p>
      <w:pPr>
        <w:spacing w:line="300" w:lineRule="auto"/>
        <w:ind w:firstLine="420" w:firstLineChars="200"/>
        <w:rPr>
          <w:color w:val="auto"/>
          <w:highlight w:val="none"/>
        </w:rPr>
      </w:pPr>
    </w:p>
    <w:p>
      <w:pPr>
        <w:spacing w:line="300" w:lineRule="auto"/>
        <w:ind w:firstLine="420" w:firstLineChars="200"/>
        <w:rPr>
          <w:color w:val="auto"/>
          <w:highlight w:val="none"/>
          <w:u w:val="single"/>
        </w:rPr>
      </w:pPr>
      <w:r>
        <w:rPr>
          <w:rFonts w:hint="eastAsia"/>
          <w:color w:val="auto"/>
          <w:highlight w:val="none"/>
        </w:rPr>
        <w:t>因擅自更换项目总负责人或项目总负责人兼职其它项目经理的违约约定：</w:t>
      </w:r>
      <w:r>
        <w:rPr>
          <w:rFonts w:hint="eastAsia"/>
          <w:color w:val="auto"/>
          <w:highlight w:val="none"/>
          <w:u w:val="single"/>
        </w:rPr>
        <w:t xml:space="preserve">  /   </w:t>
      </w:r>
    </w:p>
    <w:p>
      <w:pPr>
        <w:pStyle w:val="4"/>
        <w:rPr>
          <w:rFonts w:ascii="宋体" w:hAnsi="宋体"/>
          <w:color w:val="auto"/>
          <w:kern w:val="0"/>
          <w:sz w:val="21"/>
          <w:szCs w:val="21"/>
          <w:highlight w:val="none"/>
        </w:rPr>
      </w:pPr>
      <w:bookmarkStart w:id="1436" w:name="_Toc491277387"/>
      <w:bookmarkStart w:id="1437" w:name="_Toc433988839"/>
      <w:bookmarkStart w:id="1438" w:name="_Toc419320347"/>
      <w:bookmarkStart w:id="1439" w:name="_Toc419321383"/>
      <w:bookmarkStart w:id="1440" w:name="_Toc419363805"/>
      <w:bookmarkStart w:id="1441" w:name="_Toc419364472"/>
      <w:r>
        <w:rPr>
          <w:rFonts w:ascii="宋体" w:hAnsi="宋体"/>
          <w:color w:val="auto"/>
          <w:kern w:val="0"/>
          <w:sz w:val="21"/>
          <w:szCs w:val="21"/>
          <w:highlight w:val="none"/>
        </w:rPr>
        <w:t>3.</w:t>
      </w:r>
      <w:r>
        <w:rPr>
          <w:rFonts w:hint="eastAsia" w:ascii="宋体" w:hAnsi="宋体"/>
          <w:color w:val="auto"/>
          <w:kern w:val="0"/>
          <w:sz w:val="21"/>
          <w:szCs w:val="21"/>
          <w:highlight w:val="none"/>
        </w:rPr>
        <w:t>3 项目设计负责人</w:t>
      </w:r>
      <w:bookmarkEnd w:id="1436"/>
      <w:bookmarkEnd w:id="1437"/>
      <w:bookmarkEnd w:id="1438"/>
      <w:bookmarkEnd w:id="1439"/>
      <w:bookmarkEnd w:id="1440"/>
      <w:bookmarkEnd w:id="1441"/>
    </w:p>
    <w:p>
      <w:pPr>
        <w:spacing w:line="300" w:lineRule="auto"/>
        <w:ind w:firstLine="420" w:firstLineChars="200"/>
        <w:rPr>
          <w:color w:val="auto"/>
          <w:highlight w:val="none"/>
        </w:rPr>
      </w:pPr>
      <w:r>
        <w:rPr>
          <w:rFonts w:hint="eastAsia"/>
          <w:color w:val="auto"/>
          <w:highlight w:val="none"/>
        </w:rPr>
        <w:t>项目设计负责人姓名：</w:t>
      </w:r>
      <w:r>
        <w:rPr>
          <w:rFonts w:hint="eastAsia"/>
          <w:color w:val="auto"/>
          <w:highlight w:val="none"/>
          <w:u w:val="single"/>
        </w:rPr>
        <w:t xml:space="preserve">                     </w:t>
      </w:r>
    </w:p>
    <w:p>
      <w:pPr>
        <w:spacing w:line="300" w:lineRule="auto"/>
        <w:ind w:firstLine="420" w:firstLineChars="200"/>
        <w:rPr>
          <w:color w:val="auto"/>
          <w:highlight w:val="none"/>
          <w:u w:val="single"/>
        </w:rPr>
      </w:pPr>
      <w:r>
        <w:rPr>
          <w:rFonts w:hint="eastAsia"/>
          <w:color w:val="auto"/>
          <w:highlight w:val="none"/>
        </w:rPr>
        <w:t>执业资格等级：</w:t>
      </w:r>
      <w:r>
        <w:rPr>
          <w:rFonts w:hint="eastAsia"/>
          <w:color w:val="auto"/>
          <w:highlight w:val="none"/>
          <w:u w:val="single"/>
        </w:rPr>
        <w:t xml:space="preserve">                     </w:t>
      </w:r>
    </w:p>
    <w:p>
      <w:pPr>
        <w:spacing w:line="300" w:lineRule="auto"/>
        <w:ind w:firstLine="420" w:firstLineChars="200"/>
        <w:rPr>
          <w:color w:val="auto"/>
          <w:highlight w:val="none"/>
          <w:u w:val="single"/>
        </w:rPr>
      </w:pPr>
      <w:r>
        <w:rPr>
          <w:rFonts w:hint="eastAsia"/>
          <w:color w:val="auto"/>
          <w:highlight w:val="none"/>
        </w:rPr>
        <w:t>执业资格证书号：</w:t>
      </w:r>
      <w:r>
        <w:rPr>
          <w:rFonts w:hint="eastAsia"/>
          <w:color w:val="auto"/>
          <w:highlight w:val="none"/>
          <w:u w:val="single"/>
        </w:rPr>
        <w:t xml:space="preserve">                     </w:t>
      </w:r>
    </w:p>
    <w:p>
      <w:pPr>
        <w:spacing w:line="300" w:lineRule="auto"/>
        <w:ind w:firstLine="420" w:firstLineChars="200"/>
        <w:rPr>
          <w:color w:val="auto"/>
          <w:highlight w:val="none"/>
          <w:u w:val="single"/>
        </w:rPr>
      </w:pPr>
      <w:r>
        <w:rPr>
          <w:rFonts w:hint="eastAsia"/>
          <w:color w:val="auto"/>
          <w:highlight w:val="none"/>
        </w:rPr>
        <w:t>注册证书号：</w:t>
      </w:r>
      <w:r>
        <w:rPr>
          <w:rFonts w:hint="eastAsia"/>
          <w:color w:val="auto"/>
          <w:highlight w:val="none"/>
          <w:u w:val="single"/>
        </w:rPr>
        <w:t xml:space="preserve">                     </w:t>
      </w:r>
    </w:p>
    <w:p>
      <w:pPr>
        <w:spacing w:line="300" w:lineRule="auto"/>
        <w:ind w:firstLine="420" w:firstLineChars="200"/>
        <w:rPr>
          <w:color w:val="auto"/>
          <w:highlight w:val="none"/>
          <w:u w:val="single"/>
        </w:rPr>
      </w:pPr>
      <w:r>
        <w:rPr>
          <w:rFonts w:hint="eastAsia"/>
          <w:color w:val="auto"/>
          <w:highlight w:val="none"/>
        </w:rPr>
        <w:t>执业印章号：</w:t>
      </w:r>
      <w:r>
        <w:rPr>
          <w:rFonts w:hint="eastAsia"/>
          <w:color w:val="auto"/>
          <w:highlight w:val="none"/>
          <w:u w:val="single"/>
        </w:rPr>
        <w:t xml:space="preserve">                     </w:t>
      </w: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设计负责人职责：</w:t>
      </w:r>
      <w:r>
        <w:rPr>
          <w:rFonts w:hint="eastAsia" w:ascii="宋体" w:hAnsi="宋体"/>
          <w:color w:val="auto"/>
          <w:szCs w:val="21"/>
          <w:highlight w:val="none"/>
        </w:rPr>
        <w:t>：</w:t>
      </w:r>
      <w:r>
        <w:rPr>
          <w:rFonts w:hint="eastAsia" w:ascii="宋体" w:hAnsi="宋体"/>
          <w:color w:val="auto"/>
          <w:szCs w:val="21"/>
          <w:highlight w:val="none"/>
          <w:u w:val="single"/>
        </w:rPr>
        <w:t>负责组织、指导、协调项目的设计工作，确保设计工作按合同要求组织实施，对设计进度、质量和费用进行有效的管理与控制。</w:t>
      </w:r>
    </w:p>
    <w:p>
      <w:pPr>
        <w:spacing w:line="300" w:lineRule="auto"/>
        <w:ind w:firstLine="420" w:firstLineChars="200"/>
        <w:rPr>
          <w:color w:val="auto"/>
          <w:highlight w:val="none"/>
        </w:rPr>
      </w:pP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设计负责人权限：</w:t>
      </w:r>
      <w:r>
        <w:rPr>
          <w:rFonts w:hint="eastAsia" w:ascii="宋体" w:hAnsi="宋体"/>
          <w:color w:val="auto"/>
          <w:szCs w:val="21"/>
          <w:highlight w:val="none"/>
          <w:u w:val="single"/>
        </w:rPr>
        <w:t>1）经授权组建项目设计部，提出项目设计部的组织机构，选择、聘用设计部成员，确定设计部人员的职责；2）在授权范围内，按以上项目设计负责人职责规定的职责，行使相应的管理权；3）在合同范围内，有权按规定程序使用工程总承包企业的相关资源，并取得有关部门的支持；4）主持项目设计部的工作，组织制定项目设计的各项管理规定；5）根据企业法定代表人授权，协调和处理与项目设计有关的内、外部事项。</w:t>
      </w:r>
    </w:p>
    <w:p>
      <w:pPr>
        <w:spacing w:line="300" w:lineRule="auto"/>
        <w:ind w:firstLine="420" w:firstLineChars="200"/>
        <w:rPr>
          <w:color w:val="auto"/>
          <w:highlight w:val="none"/>
        </w:rPr>
      </w:pPr>
    </w:p>
    <w:p>
      <w:pPr>
        <w:spacing w:line="300" w:lineRule="auto"/>
        <w:ind w:firstLine="420" w:firstLineChars="200"/>
        <w:rPr>
          <w:color w:val="auto"/>
          <w:highlight w:val="none"/>
        </w:rPr>
      </w:pPr>
    </w:p>
    <w:p>
      <w:pPr>
        <w:pStyle w:val="4"/>
        <w:rPr>
          <w:rFonts w:ascii="宋体" w:hAnsi="宋体"/>
          <w:color w:val="auto"/>
          <w:kern w:val="0"/>
          <w:sz w:val="21"/>
          <w:szCs w:val="21"/>
          <w:highlight w:val="none"/>
        </w:rPr>
      </w:pPr>
      <w:bookmarkStart w:id="1442" w:name="_Toc419320348"/>
      <w:bookmarkStart w:id="1443" w:name="_Toc419363806"/>
      <w:bookmarkStart w:id="1444" w:name="_Toc433988840"/>
      <w:bookmarkStart w:id="1445" w:name="_Toc419321384"/>
      <w:bookmarkStart w:id="1446" w:name="_Toc491277388"/>
      <w:bookmarkStart w:id="1447" w:name="_Toc419364473"/>
      <w:r>
        <w:rPr>
          <w:rFonts w:ascii="宋体" w:hAnsi="宋体"/>
          <w:color w:val="auto"/>
          <w:kern w:val="0"/>
          <w:sz w:val="21"/>
          <w:szCs w:val="21"/>
          <w:highlight w:val="none"/>
        </w:rPr>
        <w:t>3.</w:t>
      </w:r>
      <w:r>
        <w:rPr>
          <w:rFonts w:hint="eastAsia" w:ascii="宋体" w:hAnsi="宋体"/>
          <w:color w:val="auto"/>
          <w:kern w:val="0"/>
          <w:sz w:val="21"/>
          <w:szCs w:val="21"/>
          <w:highlight w:val="none"/>
        </w:rPr>
        <w:t>4 项目经理</w:t>
      </w:r>
      <w:bookmarkEnd w:id="1442"/>
      <w:bookmarkEnd w:id="1443"/>
      <w:bookmarkEnd w:id="1444"/>
      <w:bookmarkEnd w:id="1445"/>
      <w:bookmarkEnd w:id="1446"/>
      <w:bookmarkEnd w:id="1447"/>
    </w:p>
    <w:p>
      <w:pPr>
        <w:spacing w:line="300" w:lineRule="auto"/>
        <w:ind w:firstLine="420" w:firstLineChars="200"/>
        <w:rPr>
          <w:color w:val="auto"/>
          <w:highlight w:val="none"/>
          <w:u w:val="single"/>
        </w:rPr>
      </w:pPr>
      <w:r>
        <w:rPr>
          <w:rFonts w:hint="eastAsia"/>
          <w:color w:val="auto"/>
          <w:highlight w:val="none"/>
        </w:rPr>
        <w:t>项目经理姓名：</w:t>
      </w:r>
      <w:r>
        <w:rPr>
          <w:rFonts w:hint="eastAsia"/>
          <w:color w:val="auto"/>
          <w:highlight w:val="none"/>
          <w:u w:val="single"/>
        </w:rPr>
        <w:t xml:space="preserve">                     </w:t>
      </w:r>
    </w:p>
    <w:p>
      <w:pPr>
        <w:spacing w:line="300" w:lineRule="auto"/>
        <w:ind w:firstLine="420" w:firstLineChars="200"/>
        <w:rPr>
          <w:color w:val="auto"/>
          <w:highlight w:val="none"/>
        </w:rPr>
      </w:pPr>
      <w:r>
        <w:rPr>
          <w:rFonts w:hint="eastAsia"/>
          <w:color w:val="auto"/>
          <w:highlight w:val="none"/>
        </w:rPr>
        <w:t>执业资格等级：</w:t>
      </w:r>
      <w:r>
        <w:rPr>
          <w:rFonts w:hint="eastAsia"/>
          <w:color w:val="auto"/>
          <w:highlight w:val="none"/>
          <w:u w:val="single"/>
        </w:rPr>
        <w:t xml:space="preserve">                     </w:t>
      </w:r>
    </w:p>
    <w:p>
      <w:pPr>
        <w:spacing w:line="300" w:lineRule="auto"/>
        <w:ind w:firstLine="420" w:firstLineChars="200"/>
        <w:rPr>
          <w:color w:val="auto"/>
          <w:highlight w:val="none"/>
        </w:rPr>
      </w:pPr>
      <w:r>
        <w:rPr>
          <w:rFonts w:hint="eastAsia"/>
          <w:color w:val="auto"/>
          <w:highlight w:val="none"/>
        </w:rPr>
        <w:t>执业资格证书号：</w:t>
      </w:r>
      <w:r>
        <w:rPr>
          <w:rFonts w:hint="eastAsia"/>
          <w:color w:val="auto"/>
          <w:highlight w:val="none"/>
          <w:u w:val="single"/>
        </w:rPr>
        <w:t xml:space="preserve">                     </w:t>
      </w:r>
    </w:p>
    <w:p>
      <w:pPr>
        <w:spacing w:line="300" w:lineRule="auto"/>
        <w:ind w:firstLine="420" w:firstLineChars="200"/>
        <w:rPr>
          <w:color w:val="auto"/>
          <w:highlight w:val="none"/>
        </w:rPr>
      </w:pPr>
      <w:r>
        <w:rPr>
          <w:rFonts w:hint="eastAsia"/>
          <w:color w:val="auto"/>
          <w:highlight w:val="none"/>
        </w:rPr>
        <w:t>注册证书号：</w:t>
      </w:r>
      <w:r>
        <w:rPr>
          <w:rFonts w:hint="eastAsia"/>
          <w:color w:val="auto"/>
          <w:highlight w:val="none"/>
          <w:u w:val="single"/>
        </w:rPr>
        <w:t xml:space="preserve">                     </w:t>
      </w:r>
    </w:p>
    <w:p>
      <w:pPr>
        <w:spacing w:line="300" w:lineRule="auto"/>
        <w:ind w:firstLine="420" w:firstLineChars="200"/>
        <w:rPr>
          <w:color w:val="auto"/>
          <w:highlight w:val="none"/>
        </w:rPr>
      </w:pPr>
      <w:r>
        <w:rPr>
          <w:rFonts w:hint="eastAsia"/>
          <w:color w:val="auto"/>
          <w:highlight w:val="none"/>
        </w:rPr>
        <w:t>执业印章号：</w:t>
      </w:r>
      <w:r>
        <w:rPr>
          <w:rFonts w:hint="eastAsia"/>
          <w:color w:val="auto"/>
          <w:highlight w:val="none"/>
          <w:u w:val="single"/>
        </w:rPr>
        <w:t xml:space="preserve">                     </w:t>
      </w: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项目经理职责：</w:t>
      </w:r>
      <w:r>
        <w:rPr>
          <w:rFonts w:hint="eastAsia" w:ascii="宋体" w:hAnsi="宋体"/>
          <w:color w:val="auto"/>
          <w:szCs w:val="21"/>
          <w:highlight w:val="none"/>
          <w:u w:val="single"/>
        </w:rPr>
        <w:t>负责项目的施工管理，对施工进度，施工质量和施工费用以及施工安全进行全面监控。当具体施工任务由施工分包商进行时，负责对分包商的协调、监督和管理工作。</w:t>
      </w:r>
    </w:p>
    <w:p>
      <w:pPr>
        <w:adjustRightInd w:val="0"/>
        <w:snapToGrid w:val="0"/>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rPr>
        <w:t>项目经理权限：</w:t>
      </w:r>
      <w:r>
        <w:rPr>
          <w:rFonts w:hint="eastAsia" w:ascii="宋体" w:hAnsi="宋体"/>
          <w:color w:val="auto"/>
          <w:szCs w:val="21"/>
          <w:highlight w:val="none"/>
          <w:u w:val="single"/>
        </w:rPr>
        <w:t>1）经授权组建项目施工部，提出项目施工部的组织机构，选择、聘用施工部成员，确定施工部人员的职责；2）在授权范围内，按以上项目施工经理职责规定的职责，行使相应的管理权；3）在合同范围内，有权按规定程序使用工程总承包企业的相关资源，并取得有关部门的支持；4）主持项目施工部的工作，组织制定项目施工的各项管理规定；5）根据企业法定代表人授权，协调和处理与项目施工有关的内、外部事项。6)负责工地的文明施工，并对整个项目施工安全全面负责。7）项目施工经理仅限于工程的现场施工管理，但未经承包人盖章同意，不得以承包人名义向外采购材料设备、租用建筑周转材料、雇用劳动力、签订分包合同等从事一切为承包人设立义务或责任的行为。</w:t>
      </w:r>
    </w:p>
    <w:p>
      <w:pPr>
        <w:spacing w:line="300" w:lineRule="auto"/>
        <w:ind w:firstLine="420" w:firstLineChars="200"/>
        <w:rPr>
          <w:color w:val="auto"/>
          <w:highlight w:val="none"/>
        </w:rPr>
      </w:pPr>
    </w:p>
    <w:p>
      <w:pPr>
        <w:pStyle w:val="4"/>
        <w:rPr>
          <w:rFonts w:ascii="宋体" w:hAnsi="宋体"/>
          <w:color w:val="auto"/>
          <w:kern w:val="0"/>
          <w:sz w:val="21"/>
          <w:szCs w:val="21"/>
          <w:highlight w:val="none"/>
        </w:rPr>
      </w:pPr>
      <w:bookmarkStart w:id="1448" w:name="_Toc491277389"/>
      <w:bookmarkStart w:id="1449" w:name="_Toc433988841"/>
      <w:r>
        <w:rPr>
          <w:rFonts w:ascii="宋体" w:hAnsi="宋体"/>
          <w:color w:val="auto"/>
          <w:kern w:val="0"/>
          <w:sz w:val="21"/>
          <w:szCs w:val="21"/>
          <w:highlight w:val="none"/>
        </w:rPr>
        <w:t>3.</w:t>
      </w:r>
      <w:r>
        <w:rPr>
          <w:rFonts w:hint="eastAsia" w:ascii="宋体" w:hAnsi="宋体"/>
          <w:color w:val="auto"/>
          <w:kern w:val="0"/>
          <w:sz w:val="21"/>
          <w:szCs w:val="21"/>
          <w:highlight w:val="none"/>
        </w:rPr>
        <w:t>5  项目采购负责人（如有）</w:t>
      </w:r>
      <w:bookmarkEnd w:id="1448"/>
      <w:bookmarkEnd w:id="1449"/>
    </w:p>
    <w:p>
      <w:pPr>
        <w:spacing w:line="300" w:lineRule="auto"/>
        <w:ind w:firstLine="420" w:firstLineChars="200"/>
        <w:rPr>
          <w:color w:val="auto"/>
          <w:highlight w:val="none"/>
        </w:rPr>
      </w:pPr>
      <w:r>
        <w:rPr>
          <w:rFonts w:hint="eastAsia"/>
          <w:color w:val="auto"/>
          <w:highlight w:val="none"/>
        </w:rPr>
        <w:t>项目采购负责人姓名：</w:t>
      </w:r>
      <w:r>
        <w:rPr>
          <w:rFonts w:hint="eastAsia"/>
          <w:color w:val="auto"/>
          <w:highlight w:val="none"/>
          <w:u w:val="single"/>
        </w:rPr>
        <w:t xml:space="preserve">         /            </w:t>
      </w:r>
    </w:p>
    <w:p>
      <w:pPr>
        <w:spacing w:line="300" w:lineRule="auto"/>
        <w:ind w:firstLine="420" w:firstLineChars="200"/>
        <w:rPr>
          <w:color w:val="auto"/>
          <w:highlight w:val="none"/>
        </w:rPr>
      </w:pPr>
      <w:r>
        <w:rPr>
          <w:rFonts w:hint="eastAsia"/>
          <w:color w:val="auto"/>
          <w:highlight w:val="none"/>
        </w:rPr>
        <w:t>项目采购负责人职责：</w:t>
      </w:r>
      <w:r>
        <w:rPr>
          <w:rFonts w:hint="eastAsia"/>
          <w:color w:val="auto"/>
          <w:highlight w:val="none"/>
          <w:u w:val="single"/>
        </w:rPr>
        <w:t xml:space="preserve">         </w:t>
      </w:r>
      <w:r>
        <w:rPr>
          <w:color w:val="auto"/>
          <w:highlight w:val="none"/>
          <w:u w:val="single"/>
        </w:rPr>
        <w:t>/</w:t>
      </w:r>
      <w:r>
        <w:rPr>
          <w:rFonts w:hint="eastAsia"/>
          <w:color w:val="auto"/>
          <w:highlight w:val="none"/>
          <w:u w:val="single"/>
        </w:rPr>
        <w:t xml:space="preserve">            </w:t>
      </w:r>
    </w:p>
    <w:p>
      <w:pPr>
        <w:spacing w:line="300" w:lineRule="auto"/>
        <w:ind w:firstLine="420" w:firstLineChars="200"/>
        <w:rPr>
          <w:color w:val="auto"/>
          <w:highlight w:val="none"/>
          <w:u w:val="single"/>
        </w:rPr>
      </w:pPr>
      <w:r>
        <w:rPr>
          <w:rFonts w:hint="eastAsia"/>
          <w:color w:val="auto"/>
          <w:highlight w:val="none"/>
        </w:rPr>
        <w:t>项目采购负责人权限：</w:t>
      </w:r>
      <w:r>
        <w:rPr>
          <w:rFonts w:hint="eastAsia"/>
          <w:color w:val="auto"/>
          <w:highlight w:val="none"/>
          <w:u w:val="single"/>
        </w:rPr>
        <w:t xml:space="preserve">         </w:t>
      </w:r>
      <w:r>
        <w:rPr>
          <w:color w:val="auto"/>
          <w:highlight w:val="none"/>
          <w:u w:val="single"/>
        </w:rPr>
        <w:t>/</w:t>
      </w:r>
      <w:r>
        <w:rPr>
          <w:rFonts w:hint="eastAsia"/>
          <w:color w:val="auto"/>
          <w:highlight w:val="none"/>
          <w:u w:val="single"/>
        </w:rPr>
        <w:t xml:space="preserve">            </w:t>
      </w:r>
    </w:p>
    <w:p>
      <w:pPr>
        <w:pStyle w:val="4"/>
        <w:rPr>
          <w:rFonts w:ascii="宋体" w:hAnsi="宋体"/>
          <w:color w:val="auto"/>
          <w:kern w:val="0"/>
          <w:sz w:val="21"/>
          <w:szCs w:val="21"/>
          <w:highlight w:val="none"/>
        </w:rPr>
      </w:pPr>
      <w:bookmarkStart w:id="1450" w:name="_Toc433988842"/>
      <w:bookmarkStart w:id="1451" w:name="_Toc491277390"/>
      <w:r>
        <w:rPr>
          <w:rFonts w:ascii="宋体" w:hAnsi="宋体"/>
          <w:color w:val="auto"/>
          <w:kern w:val="0"/>
          <w:sz w:val="21"/>
          <w:szCs w:val="21"/>
          <w:highlight w:val="none"/>
        </w:rPr>
        <w:t>3.</w:t>
      </w:r>
      <w:r>
        <w:rPr>
          <w:rFonts w:hint="eastAsia" w:ascii="宋体" w:hAnsi="宋体"/>
          <w:color w:val="auto"/>
          <w:kern w:val="0"/>
          <w:sz w:val="21"/>
          <w:szCs w:val="21"/>
          <w:highlight w:val="none"/>
        </w:rPr>
        <w:t>6  项目施工专职安全员</w:t>
      </w:r>
      <w:bookmarkEnd w:id="1450"/>
      <w:bookmarkEnd w:id="1451"/>
    </w:p>
    <w:p>
      <w:pPr>
        <w:spacing w:line="300" w:lineRule="auto"/>
        <w:rPr>
          <w:color w:val="auto"/>
          <w:highlight w:val="none"/>
        </w:rPr>
      </w:pPr>
      <w:r>
        <w:rPr>
          <w:rFonts w:hint="eastAsia"/>
          <w:color w:val="auto"/>
          <w:highlight w:val="none"/>
        </w:rPr>
        <w:t>3.6.1项目施工专职安全员1</w:t>
      </w:r>
    </w:p>
    <w:p>
      <w:pPr>
        <w:spacing w:line="300" w:lineRule="auto"/>
        <w:ind w:firstLine="420" w:firstLineChars="200"/>
        <w:rPr>
          <w:color w:val="auto"/>
          <w:highlight w:val="none"/>
        </w:rPr>
      </w:pPr>
      <w:r>
        <w:rPr>
          <w:rFonts w:hint="eastAsia"/>
          <w:color w:val="auto"/>
          <w:highlight w:val="none"/>
        </w:rPr>
        <w:t>姓名：</w:t>
      </w:r>
      <w:r>
        <w:rPr>
          <w:rFonts w:hint="eastAsia"/>
          <w:color w:val="auto"/>
          <w:highlight w:val="none"/>
          <w:u w:val="single"/>
        </w:rPr>
        <w:t xml:space="preserve">                     </w:t>
      </w:r>
    </w:p>
    <w:p>
      <w:pPr>
        <w:spacing w:line="300" w:lineRule="auto"/>
        <w:ind w:firstLine="420" w:firstLineChars="200"/>
        <w:rPr>
          <w:color w:val="auto"/>
          <w:highlight w:val="none"/>
        </w:rPr>
      </w:pPr>
      <w:r>
        <w:rPr>
          <w:rFonts w:hint="eastAsia"/>
          <w:color w:val="auto"/>
          <w:highlight w:val="none"/>
        </w:rPr>
        <w:t>C证证书号：</w:t>
      </w:r>
      <w:r>
        <w:rPr>
          <w:rFonts w:hint="eastAsia"/>
          <w:color w:val="auto"/>
          <w:highlight w:val="none"/>
          <w:u w:val="single"/>
        </w:rPr>
        <w:t xml:space="preserve">                     </w:t>
      </w:r>
    </w:p>
    <w:p>
      <w:pPr>
        <w:spacing w:line="300" w:lineRule="auto"/>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r>
        <w:rPr>
          <w:rFonts w:hint="eastAsia"/>
          <w:color w:val="auto"/>
          <w:highlight w:val="none"/>
        </w:rPr>
        <w:t>3.6.4</w:t>
      </w:r>
      <w:r>
        <w:rPr>
          <w:color w:val="auto"/>
          <w:highlight w:val="none"/>
        </w:rPr>
        <w:t xml:space="preserve"> </w:t>
      </w:r>
      <w:r>
        <w:rPr>
          <w:rFonts w:hint="eastAsia"/>
          <w:color w:val="auto"/>
          <w:highlight w:val="none"/>
        </w:rPr>
        <w:t>人</w:t>
      </w:r>
      <w:r>
        <w:rPr>
          <w:color w:val="auto"/>
          <w:highlight w:val="none"/>
        </w:rPr>
        <w:t>员管理要求</w:t>
      </w:r>
    </w:p>
    <w:p>
      <w:pPr>
        <w:pStyle w:val="7"/>
        <w:ind w:firstLine="420" w:firstLineChars="200"/>
        <w:rPr>
          <w:color w:val="auto"/>
          <w:highlight w:val="none"/>
        </w:rPr>
      </w:pPr>
      <w:r>
        <w:rPr>
          <w:rFonts w:hint="eastAsia"/>
          <w:color w:val="auto"/>
          <w:highlight w:val="none"/>
        </w:rPr>
        <w:t>项目经理每月在施工现场的时间要求：项目</w:t>
      </w:r>
      <w:r>
        <w:rPr>
          <w:color w:val="auto"/>
          <w:highlight w:val="none"/>
        </w:rPr>
        <w:t>开工</w:t>
      </w:r>
      <w:r>
        <w:rPr>
          <w:rFonts w:hint="eastAsia"/>
          <w:color w:val="auto"/>
          <w:highlight w:val="none"/>
        </w:rPr>
        <w:t>到通过竣工验收之日止的正常施工过程，项目经理每周至少5日，每天必须不少于8小时在现场组织施工。</w:t>
      </w:r>
    </w:p>
    <w:p>
      <w:pPr>
        <w:pStyle w:val="7"/>
        <w:ind w:firstLine="420" w:firstLineChars="200"/>
        <w:rPr>
          <w:color w:val="auto"/>
          <w:highlight w:val="none"/>
        </w:rPr>
      </w:pPr>
      <w:r>
        <w:rPr>
          <w:rFonts w:hint="eastAsia"/>
          <w:color w:val="auto"/>
          <w:highlight w:val="none"/>
        </w:rPr>
        <w:t>项目经理未经批准，少在岗带班一天，承包人必须向发包人交纳违约金</w:t>
      </w:r>
      <w:r>
        <w:rPr>
          <w:color w:val="auto"/>
          <w:highlight w:val="none"/>
        </w:rPr>
        <w:t>5</w:t>
      </w:r>
      <w:r>
        <w:rPr>
          <w:rFonts w:hint="eastAsia"/>
          <w:color w:val="auto"/>
          <w:highlight w:val="none"/>
        </w:rPr>
        <w:t>00元/日（人民币）。</w:t>
      </w:r>
    </w:p>
    <w:p>
      <w:pPr>
        <w:pStyle w:val="7"/>
        <w:ind w:firstLine="420" w:firstLineChars="200"/>
        <w:rPr>
          <w:color w:val="auto"/>
          <w:highlight w:val="none"/>
        </w:rPr>
      </w:pPr>
      <w:r>
        <w:rPr>
          <w:rFonts w:hint="eastAsia"/>
          <w:color w:val="auto"/>
          <w:highlight w:val="none"/>
        </w:rPr>
        <w:t>项</w:t>
      </w:r>
      <w:r>
        <w:rPr>
          <w:color w:val="auto"/>
          <w:highlight w:val="none"/>
        </w:rPr>
        <w:t>目总负责人、</w:t>
      </w:r>
      <w:r>
        <w:rPr>
          <w:rFonts w:hint="eastAsia"/>
          <w:color w:val="auto"/>
          <w:highlight w:val="none"/>
        </w:rPr>
        <w:t xml:space="preserve"> 设计</w:t>
      </w:r>
      <w:r>
        <w:rPr>
          <w:color w:val="auto"/>
          <w:highlight w:val="none"/>
        </w:rPr>
        <w:t>负责人：</w:t>
      </w:r>
      <w:r>
        <w:rPr>
          <w:rFonts w:hint="eastAsia"/>
          <w:color w:val="auto"/>
          <w:highlight w:val="none"/>
        </w:rPr>
        <w:t>视发</w:t>
      </w:r>
      <w:r>
        <w:rPr>
          <w:color w:val="auto"/>
          <w:highlight w:val="none"/>
        </w:rPr>
        <w:t>包人要求其参加</w:t>
      </w:r>
      <w:r>
        <w:rPr>
          <w:rFonts w:hint="eastAsia"/>
          <w:color w:val="auto"/>
          <w:highlight w:val="none"/>
        </w:rPr>
        <w:t>重要</w:t>
      </w:r>
      <w:r>
        <w:rPr>
          <w:color w:val="auto"/>
          <w:highlight w:val="none"/>
        </w:rPr>
        <w:t>会议</w:t>
      </w:r>
      <w:r>
        <w:rPr>
          <w:rFonts w:hint="eastAsia"/>
          <w:color w:val="auto"/>
          <w:highlight w:val="none"/>
        </w:rPr>
        <w:t>必须</w:t>
      </w:r>
      <w:r>
        <w:rPr>
          <w:color w:val="auto"/>
          <w:highlight w:val="none"/>
        </w:rPr>
        <w:t>到场</w:t>
      </w:r>
      <w:r>
        <w:rPr>
          <w:rFonts w:hint="eastAsia"/>
          <w:color w:val="auto"/>
          <w:highlight w:val="none"/>
        </w:rPr>
        <w:t>，</w:t>
      </w:r>
      <w:r>
        <w:rPr>
          <w:color w:val="auto"/>
          <w:highlight w:val="none"/>
        </w:rPr>
        <w:t>否则</w:t>
      </w:r>
      <w:r>
        <w:rPr>
          <w:rFonts w:hint="eastAsia"/>
          <w:color w:val="auto"/>
          <w:highlight w:val="none"/>
        </w:rPr>
        <w:t>承包人必须向发包人交纳违约金500元/次（人民币）。</w:t>
      </w:r>
    </w:p>
    <w:p>
      <w:pPr>
        <w:spacing w:line="300" w:lineRule="auto"/>
        <w:ind w:firstLine="420" w:firstLineChars="200"/>
        <w:rPr>
          <w:color w:val="auto"/>
          <w:highlight w:val="none"/>
        </w:rPr>
      </w:pPr>
    </w:p>
    <w:p>
      <w:pPr>
        <w:pStyle w:val="2"/>
        <w:rPr>
          <w:rFonts w:ascii="宋体" w:hAnsi="宋体" w:eastAsia="宋体"/>
          <w:color w:val="auto"/>
          <w:sz w:val="28"/>
          <w:szCs w:val="28"/>
          <w:highlight w:val="none"/>
        </w:rPr>
      </w:pPr>
      <w:bookmarkStart w:id="1452" w:name="_Toc419320350"/>
      <w:bookmarkStart w:id="1453" w:name="_Toc419363808"/>
      <w:bookmarkStart w:id="1454" w:name="_Toc433988844"/>
      <w:bookmarkStart w:id="1455" w:name="_Toc419364475"/>
      <w:bookmarkStart w:id="1456" w:name="_Toc491277392"/>
      <w:bookmarkStart w:id="1457" w:name="_Toc419321386"/>
      <w:r>
        <w:rPr>
          <w:rFonts w:hint="eastAsia" w:ascii="宋体" w:hAnsi="宋体" w:eastAsia="宋体"/>
          <w:color w:val="auto"/>
          <w:sz w:val="28"/>
          <w:szCs w:val="28"/>
          <w:highlight w:val="none"/>
        </w:rPr>
        <w:t>第</w:t>
      </w:r>
      <w:r>
        <w:rPr>
          <w:rFonts w:ascii="宋体" w:hAnsi="宋体" w:eastAsia="宋体"/>
          <w:color w:val="auto"/>
          <w:sz w:val="28"/>
          <w:szCs w:val="28"/>
          <w:highlight w:val="none"/>
        </w:rPr>
        <w:t>4</w:t>
      </w:r>
      <w:r>
        <w:rPr>
          <w:rFonts w:hint="eastAsia" w:ascii="宋体" w:hAnsi="宋体" w:eastAsia="宋体"/>
          <w:color w:val="auto"/>
          <w:sz w:val="28"/>
          <w:szCs w:val="28"/>
          <w:highlight w:val="none"/>
        </w:rPr>
        <w:t>条进度计划、延误和暂停</w:t>
      </w:r>
      <w:bookmarkEnd w:id="1452"/>
      <w:bookmarkEnd w:id="1453"/>
      <w:bookmarkEnd w:id="1454"/>
      <w:bookmarkEnd w:id="1455"/>
      <w:bookmarkEnd w:id="1456"/>
      <w:bookmarkEnd w:id="1457"/>
    </w:p>
    <w:p>
      <w:pPr>
        <w:pStyle w:val="4"/>
        <w:rPr>
          <w:rFonts w:ascii="宋体" w:hAnsi="宋体"/>
          <w:color w:val="auto"/>
          <w:kern w:val="0"/>
          <w:sz w:val="21"/>
          <w:szCs w:val="21"/>
          <w:highlight w:val="none"/>
        </w:rPr>
      </w:pPr>
      <w:bookmarkStart w:id="1458" w:name="_Toc419363809"/>
      <w:bookmarkStart w:id="1459" w:name="_Toc419321387"/>
      <w:bookmarkStart w:id="1460" w:name="_Toc419364476"/>
      <w:bookmarkStart w:id="1461" w:name="_Toc433988845"/>
      <w:bookmarkStart w:id="1462" w:name="_Toc491277393"/>
      <w:bookmarkStart w:id="1463" w:name="_Toc419320351"/>
      <w:r>
        <w:rPr>
          <w:rFonts w:ascii="宋体" w:hAnsi="宋体"/>
          <w:color w:val="auto"/>
          <w:kern w:val="0"/>
          <w:sz w:val="21"/>
          <w:szCs w:val="21"/>
          <w:highlight w:val="none"/>
        </w:rPr>
        <w:t>4.1</w:t>
      </w:r>
      <w:r>
        <w:rPr>
          <w:rFonts w:hint="eastAsia" w:ascii="宋体" w:hAnsi="宋体"/>
          <w:color w:val="auto"/>
          <w:kern w:val="0"/>
          <w:sz w:val="21"/>
          <w:szCs w:val="21"/>
          <w:highlight w:val="none"/>
        </w:rPr>
        <w:t xml:space="preserve">  项目进度计划</w:t>
      </w:r>
      <w:bookmarkEnd w:id="1458"/>
      <w:bookmarkEnd w:id="1459"/>
      <w:bookmarkEnd w:id="1460"/>
      <w:bookmarkEnd w:id="1461"/>
      <w:bookmarkEnd w:id="1462"/>
      <w:bookmarkEnd w:id="1463"/>
    </w:p>
    <w:p>
      <w:pPr>
        <w:adjustRightInd w:val="0"/>
        <w:snapToGrid w:val="0"/>
        <w:spacing w:line="440" w:lineRule="exact"/>
        <w:ind w:firstLine="420" w:firstLineChars="200"/>
        <w:rPr>
          <w:rFonts w:ascii="宋体" w:hAnsi="宋体"/>
          <w:color w:val="auto"/>
          <w:szCs w:val="21"/>
          <w:highlight w:val="none"/>
          <w:u w:val="single"/>
        </w:rPr>
      </w:pPr>
      <w:r>
        <w:rPr>
          <w:color w:val="auto"/>
          <w:highlight w:val="none"/>
        </w:rPr>
        <w:t>4.1.1</w:t>
      </w:r>
      <w:r>
        <w:rPr>
          <w:rFonts w:hint="eastAsia"/>
          <w:color w:val="auto"/>
          <w:highlight w:val="none"/>
        </w:rPr>
        <w:t>项目进度计划中的关键路径及关键路径变化的确定原则：</w:t>
      </w:r>
      <w:r>
        <w:rPr>
          <w:rFonts w:hint="eastAsia" w:ascii="宋体" w:hAnsi="宋体"/>
          <w:color w:val="auto"/>
          <w:szCs w:val="21"/>
          <w:highlight w:val="none"/>
          <w:u w:val="single"/>
        </w:rPr>
        <w:t>承包人提交修订关键路径及关键路径变化方案，发包人和监理人在收到修订的施工计划7天内后确认或提出修改意见。</w:t>
      </w:r>
    </w:p>
    <w:p>
      <w:pPr>
        <w:adjustRightInd w:val="0"/>
        <w:snapToGrid w:val="0"/>
        <w:spacing w:line="440" w:lineRule="exact"/>
        <w:ind w:firstLine="525" w:firstLineChars="250"/>
        <w:rPr>
          <w:rFonts w:ascii="宋体" w:hAnsi="宋体"/>
          <w:color w:val="auto"/>
          <w:szCs w:val="21"/>
          <w:highlight w:val="none"/>
          <w:u w:val="single"/>
        </w:rPr>
      </w:pPr>
      <w:r>
        <w:rPr>
          <w:rFonts w:hint="eastAsia" w:ascii="宋体" w:hAnsi="宋体"/>
          <w:color w:val="auto"/>
          <w:szCs w:val="21"/>
          <w:highlight w:val="none"/>
        </w:rPr>
        <w:t>承包人提交项目进度计划的份数和时间：</w:t>
      </w:r>
      <w:r>
        <w:rPr>
          <w:rFonts w:hint="eastAsia" w:ascii="宋体" w:hAnsi="宋体"/>
          <w:color w:val="auto"/>
          <w:szCs w:val="21"/>
          <w:highlight w:val="none"/>
          <w:u w:val="single"/>
        </w:rPr>
        <w:t>肆份，合同签订后7天内。</w:t>
      </w:r>
    </w:p>
    <w:p>
      <w:pPr>
        <w:pStyle w:val="4"/>
        <w:rPr>
          <w:rFonts w:ascii="宋体" w:hAnsi="宋体"/>
          <w:color w:val="auto"/>
          <w:kern w:val="0"/>
          <w:sz w:val="21"/>
          <w:szCs w:val="21"/>
          <w:highlight w:val="none"/>
        </w:rPr>
      </w:pPr>
      <w:bookmarkStart w:id="1464" w:name="_Toc433988846"/>
      <w:bookmarkStart w:id="1465" w:name="_Toc419363810"/>
      <w:bookmarkStart w:id="1466" w:name="_Toc419321388"/>
      <w:bookmarkStart w:id="1467" w:name="_Toc419364477"/>
      <w:bookmarkStart w:id="1468" w:name="_Toc491277394"/>
      <w:bookmarkStart w:id="1469" w:name="_Toc419320352"/>
      <w:r>
        <w:rPr>
          <w:rFonts w:ascii="宋体" w:hAnsi="宋体"/>
          <w:color w:val="auto"/>
          <w:kern w:val="0"/>
          <w:sz w:val="21"/>
          <w:szCs w:val="21"/>
          <w:highlight w:val="none"/>
        </w:rPr>
        <w:t>4.2</w:t>
      </w:r>
      <w:r>
        <w:rPr>
          <w:rFonts w:hint="eastAsia" w:ascii="宋体" w:hAnsi="宋体"/>
          <w:color w:val="auto"/>
          <w:kern w:val="0"/>
          <w:sz w:val="21"/>
          <w:szCs w:val="21"/>
          <w:highlight w:val="none"/>
        </w:rPr>
        <w:t xml:space="preserve">  设计进度计划</w:t>
      </w:r>
      <w:bookmarkEnd w:id="1464"/>
      <w:bookmarkEnd w:id="1465"/>
      <w:bookmarkEnd w:id="1466"/>
      <w:bookmarkEnd w:id="1467"/>
      <w:bookmarkEnd w:id="1468"/>
      <w:bookmarkEnd w:id="1469"/>
    </w:p>
    <w:p>
      <w:pPr>
        <w:adjustRightInd w:val="0"/>
        <w:snapToGrid w:val="0"/>
        <w:spacing w:line="440" w:lineRule="exact"/>
        <w:ind w:firstLine="420" w:firstLineChars="200"/>
        <w:rPr>
          <w:rFonts w:ascii="宋体" w:hAnsi="宋体"/>
          <w:color w:val="auto"/>
          <w:sz w:val="28"/>
          <w:szCs w:val="28"/>
          <w:highlight w:val="none"/>
        </w:rPr>
      </w:pPr>
      <w:r>
        <w:rPr>
          <w:color w:val="auto"/>
          <w:highlight w:val="none"/>
        </w:rPr>
        <w:t xml:space="preserve">4.2.1  </w:t>
      </w:r>
      <w:r>
        <w:rPr>
          <w:rFonts w:hint="eastAsia"/>
          <w:color w:val="auto"/>
          <w:highlight w:val="none"/>
        </w:rPr>
        <w:t>承包人提交设计进度计划的份数和时间：</w:t>
      </w:r>
      <w:r>
        <w:rPr>
          <w:rFonts w:hint="eastAsia" w:ascii="宋体" w:hAnsi="宋体"/>
          <w:color w:val="auto"/>
          <w:szCs w:val="21"/>
          <w:highlight w:val="none"/>
          <w:u w:val="single"/>
        </w:rPr>
        <w:t>合同签订后15个日历天内出具方案设计文本，方案设计经</w:t>
      </w:r>
      <w:r>
        <w:rPr>
          <w:rFonts w:ascii="宋体" w:hAnsi="宋体"/>
          <w:color w:val="auto"/>
          <w:szCs w:val="21"/>
          <w:highlight w:val="none"/>
          <w:u w:val="single"/>
        </w:rPr>
        <w:t>发包人</w:t>
      </w:r>
      <w:r>
        <w:rPr>
          <w:rFonts w:hint="eastAsia" w:ascii="宋体" w:hAnsi="宋体"/>
          <w:color w:val="auto"/>
          <w:szCs w:val="21"/>
          <w:highlight w:val="none"/>
          <w:u w:val="single"/>
        </w:rPr>
        <w:t>审批核后15日提交施工图设计。</w:t>
      </w:r>
      <w:r>
        <w:rPr>
          <w:rFonts w:ascii="宋体" w:hAnsi="宋体"/>
          <w:color w:val="auto"/>
          <w:sz w:val="28"/>
          <w:szCs w:val="28"/>
          <w:highlight w:val="none"/>
        </w:rPr>
        <w:t xml:space="preserve"> </w:t>
      </w:r>
    </w:p>
    <w:p>
      <w:pPr>
        <w:spacing w:before="120" w:beforeLines="50" w:after="120" w:afterLines="50" w:line="300" w:lineRule="auto"/>
        <w:ind w:firstLine="560" w:firstLineChars="200"/>
        <w:rPr>
          <w:color w:val="auto"/>
          <w:sz w:val="28"/>
          <w:szCs w:val="28"/>
          <w:highlight w:val="none"/>
        </w:rPr>
      </w:pPr>
    </w:p>
    <w:p>
      <w:pPr>
        <w:pStyle w:val="4"/>
        <w:rPr>
          <w:rFonts w:ascii="宋体" w:hAnsi="宋体"/>
          <w:color w:val="auto"/>
          <w:kern w:val="0"/>
          <w:sz w:val="21"/>
          <w:szCs w:val="21"/>
          <w:highlight w:val="none"/>
        </w:rPr>
      </w:pPr>
      <w:bookmarkStart w:id="1470" w:name="_Toc433988847"/>
      <w:bookmarkStart w:id="1471" w:name="_Toc419320353"/>
      <w:bookmarkStart w:id="1472" w:name="_Toc491277395"/>
      <w:bookmarkStart w:id="1473" w:name="_Toc419321389"/>
      <w:bookmarkStart w:id="1474" w:name="_Toc419363811"/>
      <w:bookmarkStart w:id="1475" w:name="_Toc419364478"/>
      <w:r>
        <w:rPr>
          <w:rFonts w:ascii="宋体" w:hAnsi="宋体"/>
          <w:color w:val="auto"/>
          <w:kern w:val="0"/>
          <w:sz w:val="21"/>
          <w:szCs w:val="21"/>
          <w:highlight w:val="none"/>
        </w:rPr>
        <w:t xml:space="preserve">4.3  </w:t>
      </w:r>
      <w:r>
        <w:rPr>
          <w:rFonts w:hint="eastAsia" w:ascii="宋体" w:hAnsi="宋体"/>
          <w:color w:val="auto"/>
          <w:kern w:val="0"/>
          <w:sz w:val="21"/>
          <w:szCs w:val="21"/>
          <w:highlight w:val="none"/>
        </w:rPr>
        <w:t>采购进度计划</w:t>
      </w:r>
      <w:bookmarkEnd w:id="1470"/>
      <w:bookmarkEnd w:id="1471"/>
      <w:bookmarkEnd w:id="1472"/>
      <w:bookmarkEnd w:id="1473"/>
      <w:bookmarkEnd w:id="1474"/>
      <w:bookmarkEnd w:id="1475"/>
    </w:p>
    <w:p>
      <w:pPr>
        <w:adjustRightInd w:val="0"/>
        <w:snapToGrid w:val="0"/>
        <w:spacing w:line="440" w:lineRule="exact"/>
        <w:ind w:firstLine="420" w:firstLineChars="200"/>
        <w:rPr>
          <w:rFonts w:ascii="宋体" w:hAnsi="宋体"/>
          <w:color w:val="auto"/>
          <w:szCs w:val="21"/>
          <w:highlight w:val="none"/>
          <w:u w:val="single"/>
        </w:rPr>
      </w:pPr>
      <w:r>
        <w:rPr>
          <w:rFonts w:ascii="宋体" w:hAnsi="宋体"/>
          <w:color w:val="auto"/>
          <w:szCs w:val="21"/>
          <w:highlight w:val="none"/>
        </w:rPr>
        <w:t>4.3.1</w:t>
      </w:r>
      <w:r>
        <w:rPr>
          <w:rFonts w:hint="eastAsia" w:ascii="宋体" w:hAnsi="宋体"/>
          <w:color w:val="auto"/>
          <w:szCs w:val="21"/>
          <w:highlight w:val="none"/>
        </w:rPr>
        <w:t>采购进度计划提交的份数和日期：</w:t>
      </w:r>
      <w:r>
        <w:rPr>
          <w:rFonts w:hint="eastAsia" w:ascii="宋体" w:hAnsi="宋体"/>
          <w:color w:val="auto"/>
          <w:szCs w:val="21"/>
          <w:highlight w:val="none"/>
          <w:u w:val="single"/>
        </w:rPr>
        <w:t>四份，经发</w:t>
      </w:r>
      <w:r>
        <w:rPr>
          <w:rFonts w:ascii="宋体" w:hAnsi="宋体"/>
          <w:color w:val="auto"/>
          <w:szCs w:val="21"/>
          <w:highlight w:val="none"/>
          <w:u w:val="single"/>
        </w:rPr>
        <w:t>包人审定</w:t>
      </w:r>
      <w:r>
        <w:rPr>
          <w:rFonts w:hint="eastAsia" w:ascii="宋体" w:hAnsi="宋体"/>
          <w:color w:val="auto"/>
          <w:szCs w:val="21"/>
          <w:highlight w:val="none"/>
          <w:u w:val="single"/>
        </w:rPr>
        <w:t>施工图后1个月内向发包人提交。</w:t>
      </w:r>
    </w:p>
    <w:p>
      <w:pPr>
        <w:adjustRightInd w:val="0"/>
        <w:snapToGrid w:val="0"/>
        <w:spacing w:line="440" w:lineRule="exact"/>
        <w:ind w:firstLine="420" w:firstLineChars="200"/>
        <w:rPr>
          <w:rFonts w:ascii="宋体" w:hAnsi="宋体"/>
          <w:color w:val="auto"/>
          <w:szCs w:val="21"/>
          <w:highlight w:val="none"/>
          <w:u w:val="single"/>
        </w:rPr>
      </w:pPr>
      <w:r>
        <w:rPr>
          <w:rFonts w:ascii="宋体" w:hAnsi="宋体"/>
          <w:color w:val="auto"/>
          <w:szCs w:val="21"/>
          <w:highlight w:val="none"/>
        </w:rPr>
        <w:t>4.3.2</w:t>
      </w:r>
      <w:r>
        <w:rPr>
          <w:rFonts w:hint="eastAsia" w:ascii="宋体" w:hAnsi="宋体"/>
          <w:color w:val="auto"/>
          <w:szCs w:val="21"/>
          <w:highlight w:val="none"/>
        </w:rPr>
        <w:t>采购开始日期：</w:t>
      </w:r>
      <w:r>
        <w:rPr>
          <w:rFonts w:hint="eastAsia" w:ascii="宋体" w:hAnsi="宋体"/>
          <w:color w:val="auto"/>
          <w:szCs w:val="21"/>
          <w:highlight w:val="none"/>
          <w:u w:val="single"/>
        </w:rPr>
        <w:t>由承办人在项目进度计划中安排。</w:t>
      </w:r>
    </w:p>
    <w:p>
      <w:pPr>
        <w:spacing w:before="120" w:beforeLines="50" w:after="120" w:afterLines="50" w:line="300" w:lineRule="auto"/>
        <w:ind w:firstLine="420" w:firstLineChars="200"/>
        <w:rPr>
          <w:color w:val="auto"/>
          <w:highlight w:val="none"/>
          <w:u w:val="single"/>
        </w:rPr>
      </w:pPr>
      <w:r>
        <w:rPr>
          <w:rFonts w:hint="eastAsia"/>
          <w:color w:val="auto"/>
          <w:highlight w:val="none"/>
          <w:u w:val="single"/>
        </w:rPr>
        <w:t>4.3.3 采购形式：</w:t>
      </w:r>
      <w:r>
        <w:rPr>
          <w:rFonts w:hint="eastAsia" w:hAnsi="宋体"/>
          <w:b/>
          <w:color w:val="auto"/>
          <w:highlight w:val="none"/>
        </w:rPr>
        <w:t>□</w:t>
      </w:r>
      <w:r>
        <w:rPr>
          <w:rFonts w:hint="eastAsia"/>
          <w:color w:val="auto"/>
          <w:highlight w:val="none"/>
          <w:u w:val="single"/>
        </w:rPr>
        <w:t xml:space="preserve">发包人自行采购 </w:t>
      </w:r>
      <w:r>
        <w:rPr>
          <w:rFonts w:hint="eastAsia" w:hAnsi="宋体"/>
          <w:b/>
          <w:color w:val="auto"/>
          <w:highlight w:val="none"/>
        </w:rPr>
        <w:sym w:font="Wingdings 2" w:char="0052"/>
      </w:r>
      <w:r>
        <w:rPr>
          <w:rFonts w:hint="eastAsia"/>
          <w:color w:val="auto"/>
          <w:highlight w:val="none"/>
          <w:u w:val="single"/>
        </w:rPr>
        <w:t xml:space="preserve">承包人负责采购，发包人有一定的知情权与参与权 </w:t>
      </w:r>
      <w:r>
        <w:rPr>
          <w:rFonts w:hint="eastAsia" w:hAnsi="宋体"/>
          <w:b/>
          <w:color w:val="auto"/>
          <w:highlight w:val="none"/>
        </w:rPr>
        <w:t>□</w:t>
      </w:r>
      <w:r>
        <w:rPr>
          <w:rFonts w:hint="eastAsia"/>
          <w:color w:val="auto"/>
          <w:highlight w:val="none"/>
          <w:u w:val="single"/>
        </w:rPr>
        <w:t>承包人自行采购。</w:t>
      </w:r>
    </w:p>
    <w:p>
      <w:pPr>
        <w:pStyle w:val="4"/>
        <w:rPr>
          <w:rFonts w:ascii="宋体" w:hAnsi="宋体"/>
          <w:color w:val="auto"/>
          <w:kern w:val="0"/>
          <w:sz w:val="21"/>
          <w:szCs w:val="21"/>
          <w:highlight w:val="none"/>
        </w:rPr>
      </w:pPr>
      <w:bookmarkStart w:id="1476" w:name="_Toc419363812"/>
      <w:bookmarkStart w:id="1477" w:name="_Toc491277396"/>
      <w:bookmarkStart w:id="1478" w:name="_Toc419320354"/>
      <w:bookmarkStart w:id="1479" w:name="_Toc419364479"/>
      <w:bookmarkStart w:id="1480" w:name="_Toc433988848"/>
      <w:bookmarkStart w:id="1481" w:name="_Toc419321390"/>
      <w:r>
        <w:rPr>
          <w:rFonts w:ascii="宋体" w:hAnsi="宋体"/>
          <w:color w:val="auto"/>
          <w:kern w:val="0"/>
          <w:sz w:val="21"/>
          <w:szCs w:val="21"/>
          <w:highlight w:val="none"/>
        </w:rPr>
        <w:t xml:space="preserve">4.4  </w:t>
      </w:r>
      <w:r>
        <w:rPr>
          <w:rFonts w:hint="eastAsia" w:ascii="宋体" w:hAnsi="宋体"/>
          <w:color w:val="auto"/>
          <w:kern w:val="0"/>
          <w:sz w:val="21"/>
          <w:szCs w:val="21"/>
          <w:highlight w:val="none"/>
        </w:rPr>
        <w:t>施工进度计划</w:t>
      </w:r>
      <w:bookmarkEnd w:id="1476"/>
      <w:bookmarkEnd w:id="1477"/>
      <w:bookmarkEnd w:id="1478"/>
      <w:bookmarkEnd w:id="1479"/>
      <w:bookmarkEnd w:id="1480"/>
      <w:bookmarkEnd w:id="1481"/>
    </w:p>
    <w:p>
      <w:pPr>
        <w:spacing w:line="300" w:lineRule="auto"/>
        <w:ind w:firstLine="420" w:firstLineChars="200"/>
        <w:rPr>
          <w:color w:val="auto"/>
          <w:highlight w:val="none"/>
        </w:rPr>
      </w:pPr>
      <w:r>
        <w:rPr>
          <w:color w:val="auto"/>
          <w:highlight w:val="none"/>
        </w:rPr>
        <w:t>4.4.1</w:t>
      </w:r>
      <w:r>
        <w:rPr>
          <w:rFonts w:hint="eastAsia"/>
          <w:color w:val="auto"/>
          <w:highlight w:val="none"/>
        </w:rPr>
        <w:t>施工进度计划（以表格或文字表述）</w:t>
      </w: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提交关键单项工程施工计划的名称、份数和时间：</w:t>
      </w:r>
      <w:r>
        <w:rPr>
          <w:rFonts w:hint="eastAsia" w:ascii="宋体" w:hAnsi="宋体"/>
          <w:color w:val="auto"/>
          <w:szCs w:val="21"/>
          <w:highlight w:val="none"/>
          <w:u w:val="single"/>
        </w:rPr>
        <w:t>与施工组织设计（施工方案）一起提交。</w:t>
      </w: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提交关键分部分项工程施工计划的名称、份数和时间：</w:t>
      </w:r>
      <w:r>
        <w:rPr>
          <w:rFonts w:hint="eastAsia" w:ascii="宋体" w:hAnsi="宋体"/>
          <w:color w:val="auto"/>
          <w:szCs w:val="21"/>
          <w:highlight w:val="none"/>
          <w:u w:val="single"/>
        </w:rPr>
        <w:t>与施工组织设计（施工方案）一起提交。</w:t>
      </w:r>
    </w:p>
    <w:p>
      <w:pPr>
        <w:pStyle w:val="4"/>
        <w:rPr>
          <w:rFonts w:ascii="宋体" w:hAnsi="宋体"/>
          <w:color w:val="auto"/>
          <w:kern w:val="0"/>
          <w:sz w:val="21"/>
          <w:szCs w:val="21"/>
          <w:highlight w:val="none"/>
        </w:rPr>
      </w:pPr>
      <w:bookmarkStart w:id="1482" w:name="_Toc419363813"/>
      <w:bookmarkStart w:id="1483" w:name="_Toc491277397"/>
      <w:bookmarkStart w:id="1484" w:name="_Toc419364480"/>
      <w:bookmarkStart w:id="1485" w:name="_Toc433988849"/>
      <w:bookmarkStart w:id="1486" w:name="_Toc419321391"/>
      <w:bookmarkStart w:id="1487" w:name="_Toc419320355"/>
      <w:r>
        <w:rPr>
          <w:rFonts w:ascii="宋体" w:hAnsi="宋体"/>
          <w:color w:val="auto"/>
          <w:kern w:val="0"/>
          <w:sz w:val="21"/>
          <w:szCs w:val="21"/>
          <w:highlight w:val="none"/>
        </w:rPr>
        <w:t xml:space="preserve">4.5  </w:t>
      </w:r>
      <w:r>
        <w:rPr>
          <w:rFonts w:hint="eastAsia" w:ascii="宋体" w:hAnsi="宋体"/>
          <w:color w:val="auto"/>
          <w:kern w:val="0"/>
          <w:sz w:val="21"/>
          <w:szCs w:val="21"/>
          <w:highlight w:val="none"/>
        </w:rPr>
        <w:t>误期赔偿</w:t>
      </w:r>
      <w:bookmarkEnd w:id="1482"/>
      <w:bookmarkEnd w:id="1483"/>
      <w:bookmarkEnd w:id="1484"/>
      <w:bookmarkEnd w:id="1485"/>
      <w:bookmarkEnd w:id="1486"/>
      <w:bookmarkEnd w:id="1487"/>
    </w:p>
    <w:p>
      <w:pPr>
        <w:spacing w:before="120" w:beforeLines="50" w:after="120" w:afterLines="50" w:line="300" w:lineRule="auto"/>
        <w:ind w:firstLine="420" w:firstLineChars="200"/>
        <w:rPr>
          <w:color w:val="auto"/>
          <w:highlight w:val="none"/>
        </w:rPr>
      </w:pPr>
      <w:r>
        <w:rPr>
          <w:rFonts w:hint="eastAsia"/>
          <w:color w:val="auto"/>
          <w:highlight w:val="none"/>
        </w:rPr>
        <w:t>因承包人原因使竣工日期延误，每延误</w:t>
      </w:r>
      <w:r>
        <w:rPr>
          <w:color w:val="auto"/>
          <w:highlight w:val="none"/>
        </w:rPr>
        <w:t>1</w:t>
      </w:r>
      <w:r>
        <w:rPr>
          <w:rFonts w:hint="eastAsia"/>
          <w:color w:val="auto"/>
          <w:highlight w:val="none"/>
        </w:rPr>
        <w:t>日的误期赔偿金额为</w:t>
      </w:r>
      <w:r>
        <w:rPr>
          <w:rFonts w:hint="eastAsia" w:ascii="宋体" w:hAnsi="宋体"/>
          <w:color w:val="auto"/>
          <w:szCs w:val="21"/>
          <w:highlight w:val="none"/>
        </w:rPr>
        <w:t>合同价款扣除社会保险费、发包人材料价款、暂估专业工程、暂列金额后的的万分之四</w:t>
      </w:r>
      <w:r>
        <w:rPr>
          <w:rFonts w:hint="eastAsia"/>
          <w:color w:val="auto"/>
          <w:highlight w:val="none"/>
        </w:rPr>
        <w:t xml:space="preserve"> 或人民币金额为：</w:t>
      </w:r>
      <w:r>
        <w:rPr>
          <w:rFonts w:hint="eastAsia"/>
          <w:color w:val="auto"/>
          <w:highlight w:val="none"/>
          <w:u w:val="single"/>
        </w:rPr>
        <w:t xml:space="preserve"> / </w:t>
      </w:r>
      <w:r>
        <w:rPr>
          <w:rFonts w:hint="eastAsia"/>
          <w:color w:val="auto"/>
          <w:highlight w:val="none"/>
        </w:rPr>
        <w:t>；累计最高赔偿金额为的：</w:t>
      </w:r>
      <w:r>
        <w:rPr>
          <w:rFonts w:hint="eastAsia" w:ascii="宋体" w:hAnsi="宋体"/>
          <w:color w:val="auto"/>
          <w:szCs w:val="21"/>
          <w:highlight w:val="none"/>
        </w:rPr>
        <w:t>合同价款扣除社会保险费、发包人材料价款、暂估专业工程、暂列金额后的的</w:t>
      </w:r>
      <w:r>
        <w:rPr>
          <w:rFonts w:hint="eastAsia" w:ascii="宋体" w:hAnsi="宋体"/>
          <w:color w:val="auto"/>
          <w:szCs w:val="21"/>
          <w:highlight w:val="none"/>
          <w:u w:val="single"/>
        </w:rPr>
        <w:t xml:space="preserve"> </w:t>
      </w:r>
      <w:r>
        <w:rPr>
          <w:rFonts w:ascii="宋体" w:hAnsi="宋体"/>
          <w:color w:val="auto"/>
          <w:szCs w:val="21"/>
          <w:highlight w:val="none"/>
          <w:u w:val="single"/>
        </w:rPr>
        <w:t>5</w:t>
      </w:r>
      <w:r>
        <w:rPr>
          <w:rFonts w:hint="eastAsia" w:ascii="宋体" w:hAnsi="宋体"/>
          <w:color w:val="auto"/>
          <w:szCs w:val="21"/>
          <w:highlight w:val="none"/>
          <w:u w:val="single"/>
        </w:rPr>
        <w:t xml:space="preserve"> </w:t>
      </w:r>
      <w:r>
        <w:rPr>
          <w:color w:val="auto"/>
          <w:highlight w:val="none"/>
        </w:rPr>
        <w:t>%</w:t>
      </w:r>
      <w:r>
        <w:rPr>
          <w:rFonts w:hint="eastAsia"/>
          <w:color w:val="auto"/>
          <w:highlight w:val="none"/>
        </w:rPr>
        <w:t xml:space="preserve"> 或人民币金额为：</w:t>
      </w:r>
      <w:r>
        <w:rPr>
          <w:rFonts w:hint="eastAsia"/>
          <w:color w:val="auto"/>
          <w:highlight w:val="none"/>
          <w:u w:val="single"/>
        </w:rPr>
        <w:t xml:space="preserve"> / </w:t>
      </w:r>
      <w:r>
        <w:rPr>
          <w:rFonts w:hint="eastAsia"/>
          <w:color w:val="auto"/>
          <w:highlight w:val="none"/>
        </w:rPr>
        <w:t>。（</w:t>
      </w:r>
      <w:r>
        <w:rPr>
          <w:color w:val="auto"/>
          <w:highlight w:val="none"/>
        </w:rPr>
        <w:t>清单</w:t>
      </w:r>
      <w:r>
        <w:rPr>
          <w:rFonts w:hint="eastAsia"/>
          <w:color w:val="auto"/>
          <w:highlight w:val="none"/>
        </w:rPr>
        <w:t>计价</w:t>
      </w:r>
      <w:r>
        <w:rPr>
          <w:color w:val="auto"/>
          <w:highlight w:val="none"/>
        </w:rPr>
        <w:t>规范）</w:t>
      </w:r>
    </w:p>
    <w:p>
      <w:pPr>
        <w:pStyle w:val="4"/>
        <w:rPr>
          <w:rFonts w:ascii="宋体" w:hAnsi="宋体"/>
          <w:color w:val="auto"/>
          <w:kern w:val="0"/>
          <w:sz w:val="21"/>
          <w:highlight w:val="none"/>
        </w:rPr>
      </w:pPr>
      <w:bookmarkStart w:id="1488" w:name="_Toc491277398"/>
      <w:r>
        <w:rPr>
          <w:rFonts w:ascii="宋体" w:hAnsi="宋体"/>
          <w:color w:val="auto"/>
          <w:kern w:val="0"/>
          <w:sz w:val="21"/>
          <w:highlight w:val="none"/>
        </w:rPr>
        <w:t xml:space="preserve">4.6  </w:t>
      </w:r>
      <w:r>
        <w:rPr>
          <w:rFonts w:hint="eastAsia" w:ascii="宋体" w:hAnsi="宋体"/>
          <w:color w:val="auto"/>
          <w:kern w:val="0"/>
          <w:sz w:val="21"/>
          <w:highlight w:val="none"/>
        </w:rPr>
        <w:t>暂停</w:t>
      </w:r>
      <w:bookmarkEnd w:id="1488"/>
    </w:p>
    <w:p>
      <w:pPr>
        <w:spacing w:after="120" w:afterLines="50" w:line="300" w:lineRule="auto"/>
        <w:ind w:firstLine="420" w:firstLineChars="200"/>
        <w:rPr>
          <w:color w:val="auto"/>
          <w:highlight w:val="none"/>
        </w:rPr>
      </w:pPr>
      <w:r>
        <w:rPr>
          <w:color w:val="auto"/>
          <w:highlight w:val="none"/>
        </w:rPr>
        <w:t>4.6.</w:t>
      </w:r>
      <w:r>
        <w:rPr>
          <w:rFonts w:hint="eastAsia"/>
          <w:color w:val="auto"/>
          <w:highlight w:val="none"/>
        </w:rPr>
        <w:t>8</w:t>
      </w:r>
      <w:r>
        <w:rPr>
          <w:rFonts w:hint="eastAsia" w:ascii="宋体" w:hAnsi="宋体"/>
          <w:color w:val="auto"/>
          <w:szCs w:val="21"/>
          <w:highlight w:val="none"/>
        </w:rPr>
        <w:t>因非承包人原因导致工期延误：</w:t>
      </w:r>
      <w:r>
        <w:rPr>
          <w:rFonts w:hint="eastAsia" w:ascii="宋体" w:hAnsi="宋体"/>
          <w:color w:val="auto"/>
          <w:szCs w:val="21"/>
          <w:highlight w:val="none"/>
          <w:u w:val="single"/>
        </w:rPr>
        <w:t xml:space="preserve">工期顺延 </w:t>
      </w:r>
    </w:p>
    <w:p>
      <w:pPr>
        <w:spacing w:before="120" w:beforeLines="50" w:after="120" w:afterLines="50" w:line="300" w:lineRule="auto"/>
        <w:ind w:firstLine="420" w:firstLineChars="200"/>
        <w:rPr>
          <w:color w:val="auto"/>
          <w:highlight w:val="none"/>
          <w:u w:val="single"/>
        </w:rPr>
      </w:pPr>
    </w:p>
    <w:p>
      <w:pPr>
        <w:pStyle w:val="2"/>
        <w:rPr>
          <w:rFonts w:ascii="宋体" w:hAnsi="宋体" w:eastAsia="宋体"/>
          <w:color w:val="auto"/>
          <w:sz w:val="28"/>
          <w:szCs w:val="28"/>
          <w:highlight w:val="none"/>
        </w:rPr>
      </w:pPr>
      <w:bookmarkStart w:id="1489" w:name="_Toc419364481"/>
      <w:bookmarkStart w:id="1490" w:name="_Toc433988850"/>
      <w:bookmarkStart w:id="1491" w:name="_Toc419363814"/>
      <w:bookmarkStart w:id="1492" w:name="_Toc419320356"/>
      <w:bookmarkStart w:id="1493" w:name="_Toc419321392"/>
      <w:bookmarkStart w:id="1494" w:name="_Toc491277399"/>
      <w:r>
        <w:rPr>
          <w:rFonts w:hint="eastAsia" w:ascii="宋体" w:hAnsi="宋体" w:eastAsia="宋体"/>
          <w:color w:val="auto"/>
          <w:sz w:val="28"/>
          <w:szCs w:val="28"/>
          <w:highlight w:val="none"/>
        </w:rPr>
        <w:t>第</w:t>
      </w:r>
      <w:r>
        <w:rPr>
          <w:rFonts w:ascii="宋体" w:hAnsi="宋体" w:eastAsia="宋体"/>
          <w:color w:val="auto"/>
          <w:sz w:val="28"/>
          <w:szCs w:val="28"/>
          <w:highlight w:val="none"/>
        </w:rPr>
        <w:t>5</w:t>
      </w:r>
      <w:r>
        <w:rPr>
          <w:rFonts w:hint="eastAsia" w:ascii="宋体" w:hAnsi="宋体" w:eastAsia="宋体"/>
          <w:color w:val="auto"/>
          <w:sz w:val="28"/>
          <w:szCs w:val="28"/>
          <w:highlight w:val="none"/>
        </w:rPr>
        <w:t>条技术与设计</w:t>
      </w:r>
      <w:bookmarkEnd w:id="1489"/>
      <w:bookmarkEnd w:id="1490"/>
      <w:bookmarkEnd w:id="1491"/>
      <w:bookmarkEnd w:id="1492"/>
      <w:bookmarkEnd w:id="1493"/>
      <w:bookmarkEnd w:id="1494"/>
    </w:p>
    <w:p>
      <w:pPr>
        <w:pStyle w:val="4"/>
        <w:rPr>
          <w:rFonts w:ascii="宋体" w:hAnsi="宋体"/>
          <w:color w:val="auto"/>
          <w:kern w:val="0"/>
          <w:sz w:val="21"/>
          <w:szCs w:val="21"/>
          <w:highlight w:val="none"/>
        </w:rPr>
      </w:pPr>
      <w:bookmarkStart w:id="1495" w:name="_Toc419364482"/>
      <w:bookmarkStart w:id="1496" w:name="_Toc419320357"/>
      <w:bookmarkStart w:id="1497" w:name="_Toc491277400"/>
      <w:bookmarkStart w:id="1498" w:name="_Toc433988851"/>
      <w:bookmarkStart w:id="1499" w:name="_Toc419321393"/>
      <w:bookmarkStart w:id="1500" w:name="_Toc419363815"/>
      <w:r>
        <w:rPr>
          <w:rFonts w:ascii="宋体" w:hAnsi="宋体"/>
          <w:color w:val="auto"/>
          <w:kern w:val="0"/>
          <w:sz w:val="21"/>
          <w:szCs w:val="21"/>
          <w:highlight w:val="none"/>
        </w:rPr>
        <w:t xml:space="preserve">5.1  </w:t>
      </w:r>
      <w:r>
        <w:rPr>
          <w:rFonts w:hint="eastAsia" w:ascii="宋体" w:hAnsi="宋体"/>
          <w:color w:val="auto"/>
          <w:kern w:val="0"/>
          <w:sz w:val="21"/>
          <w:szCs w:val="21"/>
          <w:highlight w:val="none"/>
        </w:rPr>
        <w:t>生产工艺技术、建筑设计方案</w:t>
      </w:r>
      <w:bookmarkEnd w:id="1495"/>
      <w:bookmarkEnd w:id="1496"/>
      <w:bookmarkEnd w:id="1497"/>
      <w:bookmarkEnd w:id="1498"/>
      <w:bookmarkEnd w:id="1499"/>
      <w:bookmarkEnd w:id="1500"/>
    </w:p>
    <w:p>
      <w:pPr>
        <w:spacing w:line="300" w:lineRule="auto"/>
        <w:ind w:firstLine="420" w:firstLineChars="200"/>
        <w:rPr>
          <w:color w:val="auto"/>
          <w:highlight w:val="none"/>
        </w:rPr>
      </w:pPr>
      <w:r>
        <w:rPr>
          <w:color w:val="auto"/>
          <w:highlight w:val="none"/>
        </w:rPr>
        <w:t>5.1.1</w:t>
      </w:r>
      <w:r>
        <w:rPr>
          <w:rFonts w:hint="eastAsia"/>
          <w:color w:val="auto"/>
          <w:highlight w:val="none"/>
        </w:rPr>
        <w:t>承包人提供的生产工艺技术和（或）建筑设计方案</w:t>
      </w:r>
    </w:p>
    <w:p>
      <w:pPr>
        <w:spacing w:line="300" w:lineRule="auto"/>
        <w:ind w:firstLine="420" w:firstLineChars="200"/>
        <w:rPr>
          <w:color w:val="auto"/>
          <w:highlight w:val="none"/>
        </w:rPr>
      </w:pPr>
      <w:r>
        <w:rPr>
          <w:rFonts w:hint="eastAsia"/>
          <w:color w:val="auto"/>
          <w:highlight w:val="none"/>
        </w:rPr>
        <w:t>根据工程考核特点，在以下类型中选择其一，作为双方的约定。</w:t>
      </w:r>
    </w:p>
    <w:p>
      <w:pPr>
        <w:numPr>
          <w:ilvl w:val="0"/>
          <w:numId w:val="3"/>
        </w:numPr>
        <w:spacing w:line="300" w:lineRule="auto"/>
        <w:rPr>
          <w:color w:val="auto"/>
          <w:highlight w:val="none"/>
          <w:u w:val="single"/>
        </w:rPr>
      </w:pPr>
      <w:r>
        <w:rPr>
          <w:rFonts w:hint="eastAsia"/>
          <w:color w:val="auto"/>
          <w:highlight w:val="none"/>
        </w:rPr>
        <w:t>按工程量考核，工程考核保证值和（或）使用功能说明：</w:t>
      </w:r>
    </w:p>
    <w:p>
      <w:pPr>
        <w:spacing w:line="300" w:lineRule="auto"/>
        <w:ind w:left="480"/>
        <w:rPr>
          <w:color w:val="auto"/>
          <w:highlight w:val="none"/>
          <w:u w:val="single"/>
        </w:rPr>
      </w:pPr>
    </w:p>
    <w:p>
      <w:pPr>
        <w:spacing w:line="300" w:lineRule="auto"/>
        <w:ind w:left="480"/>
        <w:rPr>
          <w:color w:val="auto"/>
          <w:highlight w:val="none"/>
        </w:rPr>
      </w:pPr>
      <w:r>
        <w:rPr>
          <w:rFonts w:hint="eastAsia" w:ascii="MS Mincho" w:hAnsi="MS Mincho" w:eastAsia="MS Mincho" w:cs="MS Mincho"/>
          <w:color w:val="auto"/>
          <w:szCs w:val="21"/>
          <w:highlight w:val="none"/>
        </w:rPr>
        <w:t>☑</w:t>
      </w:r>
      <w:r>
        <w:rPr>
          <w:rFonts w:hint="eastAsia"/>
          <w:color w:val="auto"/>
          <w:highlight w:val="none"/>
        </w:rPr>
        <w:t>按单项工程考核，各单项工程考核保证值和（或）使用功能说明：</w:t>
      </w:r>
    </w:p>
    <w:p>
      <w:pPr>
        <w:spacing w:line="300" w:lineRule="auto"/>
        <w:ind w:firstLine="371" w:firstLineChars="177"/>
        <w:rPr>
          <w:color w:val="auto"/>
          <w:highlight w:val="none"/>
          <w:u w:val="single"/>
        </w:rPr>
      </w:pPr>
    </w:p>
    <w:p>
      <w:pPr>
        <w:spacing w:line="300" w:lineRule="auto"/>
        <w:ind w:firstLine="420" w:firstLineChars="200"/>
        <w:rPr>
          <w:color w:val="auto"/>
          <w:highlight w:val="none"/>
        </w:rPr>
      </w:pPr>
      <w:r>
        <w:rPr>
          <w:color w:val="auto"/>
          <w:highlight w:val="none"/>
        </w:rPr>
        <w:t>5.1.2</w:t>
      </w:r>
      <w:r>
        <w:rPr>
          <w:rFonts w:hint="eastAsia"/>
          <w:color w:val="auto"/>
          <w:highlight w:val="none"/>
        </w:rPr>
        <w:t>发包人提供生产工艺技术和（或）建筑设计方案</w:t>
      </w:r>
    </w:p>
    <w:p>
      <w:pPr>
        <w:spacing w:line="300" w:lineRule="auto"/>
        <w:ind w:firstLine="420" w:firstLineChars="200"/>
        <w:rPr>
          <w:color w:val="auto"/>
          <w:highlight w:val="none"/>
        </w:rPr>
      </w:pPr>
      <w:r>
        <w:rPr>
          <w:rFonts w:hint="eastAsia"/>
          <w:color w:val="auto"/>
          <w:highlight w:val="none"/>
        </w:rPr>
        <w:t>其中，</w:t>
      </w:r>
    </w:p>
    <w:p>
      <w:pPr>
        <w:spacing w:line="300" w:lineRule="auto"/>
        <w:ind w:firstLine="420" w:firstLineChars="200"/>
        <w:rPr>
          <w:color w:val="auto"/>
          <w:highlight w:val="none"/>
        </w:rPr>
      </w:pPr>
      <w:r>
        <w:rPr>
          <w:rFonts w:hint="eastAsia"/>
          <w:color w:val="auto"/>
          <w:highlight w:val="none"/>
        </w:rPr>
        <w:t>发包人应承担的工程和（或）单项工程试运行考核保证值和（或）使用功能说明如下：</w:t>
      </w:r>
      <w:r>
        <w:rPr>
          <w:rFonts w:hint="eastAsia"/>
          <w:color w:val="auto"/>
          <w:highlight w:val="none"/>
          <w:u w:val="single"/>
        </w:rPr>
        <w:t xml:space="preserve">      /      </w:t>
      </w:r>
    </w:p>
    <w:p>
      <w:pPr>
        <w:spacing w:line="300" w:lineRule="auto"/>
        <w:ind w:firstLine="420" w:firstLineChars="200"/>
        <w:rPr>
          <w:color w:val="auto"/>
          <w:highlight w:val="none"/>
        </w:rPr>
      </w:pPr>
      <w:r>
        <w:rPr>
          <w:rFonts w:hint="eastAsia"/>
          <w:color w:val="auto"/>
          <w:highlight w:val="none"/>
        </w:rPr>
        <w:t>承包人应承担的工程和（或）单项工程试运行考核保证值和（或）使用功能说明如下：</w:t>
      </w:r>
      <w:r>
        <w:rPr>
          <w:rFonts w:hint="eastAsia"/>
          <w:color w:val="auto"/>
          <w:highlight w:val="none"/>
          <w:u w:val="single"/>
        </w:rPr>
        <w:t xml:space="preserve">      /      </w:t>
      </w:r>
    </w:p>
    <w:p>
      <w:pPr>
        <w:pStyle w:val="4"/>
        <w:rPr>
          <w:rFonts w:ascii="宋体" w:hAnsi="宋体"/>
          <w:color w:val="auto"/>
          <w:kern w:val="0"/>
          <w:sz w:val="21"/>
          <w:szCs w:val="21"/>
          <w:highlight w:val="none"/>
        </w:rPr>
      </w:pPr>
      <w:bookmarkStart w:id="1501" w:name="_Toc419363816"/>
      <w:bookmarkStart w:id="1502" w:name="_Toc433988852"/>
      <w:bookmarkStart w:id="1503" w:name="_Toc419320358"/>
      <w:bookmarkStart w:id="1504" w:name="_Toc419321394"/>
      <w:bookmarkStart w:id="1505" w:name="_Toc419364483"/>
      <w:bookmarkStart w:id="1506" w:name="_Toc491277401"/>
      <w:r>
        <w:rPr>
          <w:rFonts w:ascii="宋体" w:hAnsi="宋体"/>
          <w:color w:val="auto"/>
          <w:kern w:val="0"/>
          <w:sz w:val="21"/>
          <w:szCs w:val="21"/>
          <w:highlight w:val="none"/>
        </w:rPr>
        <w:t>5.2</w:t>
      </w:r>
      <w:r>
        <w:rPr>
          <w:rFonts w:hint="eastAsia" w:ascii="宋体" w:hAnsi="宋体"/>
          <w:color w:val="auto"/>
          <w:kern w:val="0"/>
          <w:sz w:val="21"/>
          <w:szCs w:val="21"/>
          <w:highlight w:val="none"/>
        </w:rPr>
        <w:t>设计</w:t>
      </w:r>
      <w:bookmarkEnd w:id="1501"/>
      <w:bookmarkEnd w:id="1502"/>
      <w:bookmarkEnd w:id="1503"/>
      <w:bookmarkEnd w:id="1504"/>
      <w:bookmarkEnd w:id="1505"/>
      <w:bookmarkEnd w:id="1506"/>
    </w:p>
    <w:p>
      <w:pPr>
        <w:spacing w:line="300" w:lineRule="auto"/>
        <w:ind w:firstLine="420" w:firstLineChars="200"/>
        <w:rPr>
          <w:color w:val="auto"/>
          <w:highlight w:val="none"/>
        </w:rPr>
      </w:pPr>
      <w:r>
        <w:rPr>
          <w:color w:val="auto"/>
          <w:highlight w:val="none"/>
        </w:rPr>
        <w:t>5.2.1</w:t>
      </w:r>
      <w:r>
        <w:rPr>
          <w:rFonts w:hint="eastAsia"/>
          <w:color w:val="auto"/>
          <w:highlight w:val="none"/>
        </w:rPr>
        <w:t>发包人的义务</w:t>
      </w:r>
    </w:p>
    <w:p>
      <w:pPr>
        <w:spacing w:line="300" w:lineRule="auto"/>
        <w:ind w:firstLine="420" w:firstLineChars="200"/>
        <w:rPr>
          <w:color w:val="auto"/>
          <w:highlight w:val="none"/>
          <w:u w:val="single"/>
        </w:rPr>
      </w:pPr>
      <w:r>
        <w:rPr>
          <w:rFonts w:hint="eastAsia"/>
          <w:color w:val="auto"/>
          <w:highlight w:val="none"/>
        </w:rPr>
        <w:t>（</w:t>
      </w:r>
      <w:r>
        <w:rPr>
          <w:color w:val="auto"/>
          <w:highlight w:val="none"/>
        </w:rPr>
        <w:t>1</w:t>
      </w:r>
      <w:r>
        <w:rPr>
          <w:rFonts w:hint="eastAsia"/>
          <w:color w:val="auto"/>
          <w:highlight w:val="none"/>
        </w:rPr>
        <w:t>）提供项目基础资料。发包人提供的项目基础资料的类别、内容、份数和时间：</w:t>
      </w:r>
      <w:r>
        <w:rPr>
          <w:rFonts w:hint="eastAsia" w:ascii="宋体" w:hAnsi="宋体"/>
          <w:color w:val="auto"/>
          <w:szCs w:val="21"/>
          <w:highlight w:val="none"/>
          <w:u w:val="single"/>
        </w:rPr>
        <w:t>合</w:t>
      </w:r>
      <w:r>
        <w:rPr>
          <w:rFonts w:ascii="宋体" w:hAnsi="宋体"/>
          <w:color w:val="auto"/>
          <w:szCs w:val="21"/>
          <w:highlight w:val="none"/>
          <w:u w:val="single"/>
        </w:rPr>
        <w:t>同签订后7</w:t>
      </w:r>
      <w:r>
        <w:rPr>
          <w:rFonts w:hint="eastAsia" w:ascii="宋体" w:hAnsi="宋体"/>
          <w:color w:val="auto"/>
          <w:szCs w:val="21"/>
          <w:highlight w:val="none"/>
          <w:u w:val="single"/>
        </w:rPr>
        <w:t>天</w:t>
      </w:r>
      <w:r>
        <w:rPr>
          <w:rFonts w:ascii="宋体" w:hAnsi="宋体"/>
          <w:color w:val="auto"/>
          <w:szCs w:val="21"/>
          <w:highlight w:val="none"/>
          <w:u w:val="single"/>
        </w:rPr>
        <w:t>内提供</w:t>
      </w:r>
      <w:r>
        <w:rPr>
          <w:rFonts w:hint="eastAsia" w:ascii="宋体" w:hAnsi="宋体"/>
          <w:color w:val="auto"/>
          <w:szCs w:val="21"/>
          <w:highlight w:val="none"/>
          <w:u w:val="single"/>
        </w:rPr>
        <w:t>《设计任务书》壹份。</w:t>
      </w: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w:t>
      </w:r>
      <w:r>
        <w:rPr>
          <w:color w:val="auto"/>
          <w:highlight w:val="none"/>
        </w:rPr>
        <w:t>2</w:t>
      </w:r>
      <w:r>
        <w:rPr>
          <w:rFonts w:hint="eastAsia"/>
          <w:color w:val="auto"/>
          <w:highlight w:val="none"/>
        </w:rPr>
        <w:t>）提供现场障碍资料。发包人提供的现场障碍资料的类别、内容、份数和时间</w:t>
      </w:r>
      <w:r>
        <w:rPr>
          <w:rFonts w:hint="eastAsia"/>
          <w:color w:val="auto"/>
          <w:highlight w:val="none"/>
          <w:u w:val="single"/>
        </w:rPr>
        <w:t xml:space="preserve">： </w:t>
      </w:r>
      <w:r>
        <w:rPr>
          <w:rFonts w:hint="eastAsia" w:ascii="宋体" w:hAnsi="宋体"/>
          <w:color w:val="auto"/>
          <w:szCs w:val="21"/>
          <w:highlight w:val="none"/>
          <w:u w:val="single"/>
        </w:rPr>
        <w:t>合同生效后15天内。</w:t>
      </w:r>
    </w:p>
    <w:p>
      <w:pPr>
        <w:spacing w:line="300" w:lineRule="auto"/>
        <w:ind w:firstLine="420" w:firstLineChars="200"/>
        <w:rPr>
          <w:color w:val="auto"/>
          <w:highlight w:val="none"/>
        </w:rPr>
      </w:pPr>
    </w:p>
    <w:p>
      <w:pPr>
        <w:spacing w:line="300" w:lineRule="auto"/>
        <w:ind w:firstLine="420" w:firstLineChars="200"/>
        <w:rPr>
          <w:color w:val="auto"/>
          <w:highlight w:val="none"/>
        </w:rPr>
      </w:pPr>
      <w:r>
        <w:rPr>
          <w:color w:val="auto"/>
          <w:highlight w:val="none"/>
        </w:rPr>
        <w:t>5.2.2</w:t>
      </w:r>
      <w:r>
        <w:rPr>
          <w:rFonts w:hint="eastAsia"/>
          <w:color w:val="auto"/>
          <w:highlight w:val="none"/>
        </w:rPr>
        <w:t>承包人的义务</w:t>
      </w:r>
    </w:p>
    <w:p>
      <w:pPr>
        <w:spacing w:line="30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）经合同双方商定，发包人提供的项目基础资料、现场障碍资料的如下部分，可按本款中约定的如下时间期限，提出进一步要求</w:t>
      </w:r>
    </w:p>
    <w:p>
      <w:pPr>
        <w:spacing w:line="300" w:lineRule="auto"/>
        <w:ind w:firstLine="420" w:firstLineChars="200"/>
        <w:rPr>
          <w:color w:val="auto"/>
          <w:highlight w:val="none"/>
        </w:rPr>
      </w:pPr>
      <w:r>
        <w:rPr>
          <w:color w:val="auto"/>
          <w:highlight w:val="none"/>
        </w:rPr>
        <w:t>5.2.4</w:t>
      </w:r>
      <w:r>
        <w:rPr>
          <w:rFonts w:hint="eastAsia"/>
          <w:color w:val="auto"/>
          <w:highlight w:val="none"/>
        </w:rPr>
        <w:t>操作维修手册</w:t>
      </w:r>
    </w:p>
    <w:p>
      <w:pPr>
        <w:spacing w:line="300" w:lineRule="auto"/>
        <w:ind w:firstLine="420" w:firstLineChars="200"/>
        <w:rPr>
          <w:color w:val="auto"/>
          <w:highlight w:val="none"/>
        </w:rPr>
      </w:pPr>
      <w:r>
        <w:rPr>
          <w:rFonts w:hint="eastAsia"/>
          <w:color w:val="auto"/>
          <w:highlight w:val="none"/>
        </w:rPr>
        <w:t>发包人提交的操作指南、分析手册的份数和提交期限：/</w:t>
      </w:r>
    </w:p>
    <w:p>
      <w:pPr>
        <w:spacing w:line="300" w:lineRule="auto"/>
        <w:ind w:firstLine="420" w:firstLineChars="200"/>
        <w:rPr>
          <w:color w:val="auto"/>
          <w:highlight w:val="none"/>
          <w:u w:val="single"/>
        </w:rPr>
      </w:pPr>
    </w:p>
    <w:p>
      <w:pPr>
        <w:spacing w:line="300" w:lineRule="auto"/>
        <w:ind w:firstLine="420" w:firstLineChars="200"/>
        <w:rPr>
          <w:color w:val="auto"/>
          <w:highlight w:val="none"/>
        </w:rPr>
      </w:pPr>
      <w:r>
        <w:rPr>
          <w:rFonts w:hint="eastAsia"/>
          <w:color w:val="auto"/>
          <w:highlight w:val="none"/>
        </w:rPr>
        <w:t>承包人提交的操作维修手册的份数和最终提交期限：/</w:t>
      </w:r>
    </w:p>
    <w:p>
      <w:pPr>
        <w:spacing w:line="300" w:lineRule="auto"/>
        <w:ind w:firstLine="420" w:firstLineChars="200"/>
        <w:rPr>
          <w:color w:val="auto"/>
          <w:highlight w:val="none"/>
        </w:rPr>
      </w:pPr>
      <w:r>
        <w:rPr>
          <w:color w:val="auto"/>
          <w:highlight w:val="none"/>
        </w:rPr>
        <w:t>5.2.5</w:t>
      </w:r>
      <w:r>
        <w:rPr>
          <w:rFonts w:hint="eastAsia"/>
          <w:color w:val="auto"/>
          <w:highlight w:val="none"/>
        </w:rPr>
        <w:t>设计文件的份数和提交时间</w:t>
      </w:r>
    </w:p>
    <w:p>
      <w:pPr>
        <w:spacing w:line="300" w:lineRule="auto"/>
        <w:ind w:firstLine="420" w:firstLineChars="200"/>
        <w:rPr>
          <w:color w:val="auto"/>
          <w:highlight w:val="none"/>
        </w:rPr>
      </w:pPr>
      <w:r>
        <w:rPr>
          <w:rFonts w:hint="eastAsia"/>
          <w:color w:val="auto"/>
          <w:highlight w:val="none"/>
        </w:rPr>
        <w:t>规划设计阶段设计文件、资料和图纸的份数和提交时间：/</w:t>
      </w: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初步设计阶段设计文件、资料和图纸的份数和提交时间：</w:t>
      </w:r>
      <w:r>
        <w:rPr>
          <w:rFonts w:hint="eastAsia" w:ascii="宋体" w:hAnsi="宋体"/>
          <w:color w:val="auto"/>
          <w:szCs w:val="21"/>
          <w:highlight w:val="none"/>
          <w:u w:val="single"/>
        </w:rPr>
        <w:t>/</w:t>
      </w:r>
    </w:p>
    <w:p>
      <w:pPr>
        <w:spacing w:line="300" w:lineRule="auto"/>
        <w:ind w:firstLine="420" w:firstLineChars="200"/>
        <w:rPr>
          <w:color w:val="auto"/>
          <w:highlight w:val="none"/>
        </w:rPr>
      </w:pPr>
    </w:p>
    <w:p>
      <w:pPr>
        <w:spacing w:line="300" w:lineRule="auto"/>
        <w:ind w:firstLine="420" w:firstLineChars="200"/>
        <w:rPr>
          <w:color w:val="auto"/>
          <w:highlight w:val="none"/>
        </w:rPr>
      </w:pPr>
      <w:r>
        <w:rPr>
          <w:rFonts w:hint="eastAsia"/>
          <w:color w:val="auto"/>
          <w:highlight w:val="none"/>
        </w:rPr>
        <w:t>技术设计阶段设计文件、资料和图纸的份数和提交时间：/</w:t>
      </w:r>
    </w:p>
    <w:p>
      <w:pPr>
        <w:adjustRightInd w:val="0"/>
        <w:snapToGrid w:val="0"/>
        <w:spacing w:line="440" w:lineRule="exact"/>
        <w:ind w:firstLine="420" w:firstLineChars="200"/>
        <w:rPr>
          <w:rFonts w:ascii="宋体" w:hAnsi="宋体"/>
          <w:color w:val="auto"/>
          <w:sz w:val="28"/>
          <w:szCs w:val="28"/>
          <w:highlight w:val="none"/>
        </w:rPr>
      </w:pPr>
      <w:r>
        <w:rPr>
          <w:rFonts w:hint="eastAsia"/>
          <w:color w:val="auto"/>
          <w:highlight w:val="none"/>
        </w:rPr>
        <w:t>施工图设计阶段设计文件、资料和图纸的份数和提交时间：</w:t>
      </w:r>
      <w:r>
        <w:rPr>
          <w:rFonts w:hint="eastAsia" w:ascii="宋体" w:hAnsi="宋体"/>
          <w:color w:val="auto"/>
          <w:szCs w:val="21"/>
          <w:highlight w:val="none"/>
          <w:u w:val="single"/>
        </w:rPr>
        <w:t>提交16份</w:t>
      </w:r>
      <w:r>
        <w:rPr>
          <w:rFonts w:ascii="宋体" w:hAnsi="宋体"/>
          <w:color w:val="auto"/>
          <w:sz w:val="28"/>
          <w:szCs w:val="28"/>
          <w:highlight w:val="none"/>
        </w:rPr>
        <w:t xml:space="preserve"> </w:t>
      </w:r>
    </w:p>
    <w:p>
      <w:pPr>
        <w:spacing w:line="300" w:lineRule="auto"/>
        <w:ind w:firstLine="420" w:firstLineChars="200"/>
        <w:rPr>
          <w:color w:val="auto"/>
          <w:highlight w:val="none"/>
        </w:rPr>
      </w:pPr>
    </w:p>
    <w:p>
      <w:pPr>
        <w:spacing w:line="300" w:lineRule="auto"/>
        <w:ind w:firstLine="420" w:firstLineChars="200"/>
        <w:rPr>
          <w:color w:val="auto"/>
          <w:highlight w:val="none"/>
        </w:rPr>
      </w:pPr>
    </w:p>
    <w:p>
      <w:pPr>
        <w:pStyle w:val="4"/>
        <w:rPr>
          <w:rFonts w:ascii="宋体" w:hAnsi="宋体"/>
          <w:color w:val="auto"/>
          <w:kern w:val="0"/>
          <w:sz w:val="21"/>
          <w:szCs w:val="21"/>
          <w:highlight w:val="none"/>
        </w:rPr>
      </w:pPr>
      <w:bookmarkStart w:id="1507" w:name="_Toc433988853"/>
      <w:bookmarkStart w:id="1508" w:name="_Toc491277402"/>
      <w:bookmarkStart w:id="1509" w:name="_Toc419363817"/>
      <w:bookmarkStart w:id="1510" w:name="_Toc419321395"/>
      <w:bookmarkStart w:id="1511" w:name="_Toc419364484"/>
      <w:bookmarkStart w:id="1512" w:name="_Toc419320359"/>
      <w:r>
        <w:rPr>
          <w:rFonts w:ascii="宋体" w:hAnsi="宋体"/>
          <w:color w:val="auto"/>
          <w:kern w:val="0"/>
          <w:sz w:val="21"/>
          <w:szCs w:val="21"/>
          <w:highlight w:val="none"/>
        </w:rPr>
        <w:t xml:space="preserve">5.3  </w:t>
      </w:r>
      <w:r>
        <w:rPr>
          <w:rFonts w:hint="eastAsia" w:ascii="宋体" w:hAnsi="宋体"/>
          <w:color w:val="auto"/>
          <w:kern w:val="0"/>
          <w:sz w:val="21"/>
          <w:szCs w:val="21"/>
          <w:highlight w:val="none"/>
        </w:rPr>
        <w:t>设计阶段审查</w:t>
      </w:r>
      <w:bookmarkEnd w:id="1507"/>
      <w:bookmarkEnd w:id="1508"/>
      <w:bookmarkEnd w:id="1509"/>
      <w:bookmarkEnd w:id="1510"/>
      <w:bookmarkEnd w:id="1511"/>
      <w:bookmarkEnd w:id="1512"/>
    </w:p>
    <w:p>
      <w:pPr>
        <w:spacing w:line="300" w:lineRule="auto"/>
        <w:ind w:firstLine="420" w:firstLineChars="200"/>
        <w:rPr>
          <w:color w:val="auto"/>
          <w:highlight w:val="none"/>
        </w:rPr>
      </w:pPr>
      <w:r>
        <w:rPr>
          <w:color w:val="auto"/>
          <w:highlight w:val="none"/>
        </w:rPr>
        <w:t>5.3.1</w:t>
      </w:r>
      <w:r>
        <w:rPr>
          <w:rFonts w:hint="eastAsia"/>
          <w:color w:val="auto"/>
          <w:highlight w:val="none"/>
        </w:rPr>
        <w:t>设计审查阶段及审查会议时间</w:t>
      </w:r>
    </w:p>
    <w:p>
      <w:pPr>
        <w:spacing w:line="300" w:lineRule="auto"/>
        <w:ind w:firstLine="420" w:firstLineChars="200"/>
        <w:rPr>
          <w:color w:val="auto"/>
          <w:highlight w:val="none"/>
        </w:rPr>
      </w:pPr>
      <w:r>
        <w:rPr>
          <w:rFonts w:hint="eastAsia"/>
          <w:color w:val="auto"/>
          <w:highlight w:val="none"/>
        </w:rPr>
        <w:t>本工程的设计阶段（名称）：</w:t>
      </w:r>
    </w:p>
    <w:p>
      <w:pPr>
        <w:spacing w:line="300" w:lineRule="auto"/>
        <w:ind w:firstLine="420" w:firstLineChars="200"/>
        <w:rPr>
          <w:color w:val="auto"/>
          <w:highlight w:val="none"/>
          <w:u w:val="single"/>
        </w:rPr>
      </w:pPr>
      <w:r>
        <w:rPr>
          <w:rFonts w:hint="eastAsia"/>
          <w:color w:val="auto"/>
          <w:highlight w:val="none"/>
        </w:rPr>
        <w:t>设计审查阶段及其审查会议的时间安排：</w:t>
      </w:r>
    </w:p>
    <w:p>
      <w:pPr>
        <w:spacing w:line="300" w:lineRule="auto"/>
        <w:ind w:firstLine="420" w:firstLineChars="200"/>
        <w:rPr>
          <w:color w:val="auto"/>
          <w:highlight w:val="none"/>
        </w:rPr>
      </w:pPr>
      <w:r>
        <w:rPr>
          <w:color w:val="auto"/>
          <w:highlight w:val="none"/>
        </w:rPr>
        <w:t>5.3.2</w:t>
      </w:r>
      <w:r>
        <w:rPr>
          <w:rFonts w:hint="eastAsia"/>
          <w:color w:val="auto"/>
          <w:highlight w:val="none"/>
        </w:rPr>
        <w:t xml:space="preserve"> 施工图设计文件审查：</w:t>
      </w:r>
      <w:r>
        <w:rPr>
          <w:rFonts w:hint="eastAsia" w:ascii="宋体" w:hAnsi="宋体"/>
          <w:color w:val="auto"/>
          <w:szCs w:val="21"/>
          <w:highlight w:val="none"/>
          <w:u w:val="single"/>
        </w:rPr>
        <w:t>按照相关法规规定须进行施工图设计文件审查的工程总承包项目，发包人根据项目实施情况施工图审查可依法分阶段将施工图报施工图审查机构审查并承担费用。</w:t>
      </w:r>
    </w:p>
    <w:p>
      <w:pPr>
        <w:pStyle w:val="2"/>
        <w:rPr>
          <w:rFonts w:ascii="宋体" w:hAnsi="宋体" w:eastAsia="宋体"/>
          <w:color w:val="auto"/>
          <w:sz w:val="28"/>
          <w:szCs w:val="28"/>
          <w:highlight w:val="none"/>
        </w:rPr>
      </w:pPr>
      <w:bookmarkStart w:id="1513" w:name="_Toc419320360"/>
      <w:bookmarkStart w:id="1514" w:name="_Toc419364485"/>
      <w:bookmarkStart w:id="1515" w:name="_Toc491277403"/>
      <w:bookmarkStart w:id="1516" w:name="_Toc433988854"/>
      <w:bookmarkStart w:id="1517" w:name="_Toc419321396"/>
      <w:bookmarkStart w:id="1518" w:name="_Toc419363818"/>
      <w:r>
        <w:rPr>
          <w:rFonts w:hint="eastAsia" w:ascii="宋体" w:hAnsi="宋体" w:eastAsia="宋体"/>
          <w:color w:val="auto"/>
          <w:sz w:val="28"/>
          <w:szCs w:val="28"/>
          <w:highlight w:val="none"/>
        </w:rPr>
        <w:t>第</w:t>
      </w:r>
      <w:r>
        <w:rPr>
          <w:rFonts w:ascii="宋体" w:hAnsi="宋体" w:eastAsia="宋体"/>
          <w:color w:val="auto"/>
          <w:sz w:val="28"/>
          <w:szCs w:val="28"/>
          <w:highlight w:val="none"/>
        </w:rPr>
        <w:t>6</w:t>
      </w:r>
      <w:r>
        <w:rPr>
          <w:rFonts w:hint="eastAsia" w:ascii="宋体" w:hAnsi="宋体" w:eastAsia="宋体"/>
          <w:color w:val="auto"/>
          <w:sz w:val="28"/>
          <w:szCs w:val="28"/>
          <w:highlight w:val="none"/>
        </w:rPr>
        <w:t>条工程物资</w:t>
      </w:r>
      <w:bookmarkEnd w:id="1513"/>
      <w:bookmarkEnd w:id="1514"/>
      <w:bookmarkEnd w:id="1515"/>
      <w:bookmarkEnd w:id="1516"/>
      <w:bookmarkEnd w:id="1517"/>
      <w:bookmarkEnd w:id="1518"/>
    </w:p>
    <w:p>
      <w:pPr>
        <w:pStyle w:val="4"/>
        <w:rPr>
          <w:rFonts w:ascii="宋体" w:hAnsi="宋体"/>
          <w:color w:val="auto"/>
          <w:kern w:val="0"/>
          <w:sz w:val="21"/>
          <w:szCs w:val="21"/>
          <w:highlight w:val="none"/>
        </w:rPr>
      </w:pPr>
      <w:bookmarkStart w:id="1519" w:name="_Toc419321397"/>
      <w:bookmarkStart w:id="1520" w:name="_Toc419320361"/>
      <w:bookmarkStart w:id="1521" w:name="_Toc419363819"/>
      <w:bookmarkStart w:id="1522" w:name="_Toc419364486"/>
      <w:bookmarkStart w:id="1523" w:name="_Toc433988855"/>
      <w:bookmarkStart w:id="1524" w:name="_Toc491277404"/>
      <w:r>
        <w:rPr>
          <w:rFonts w:ascii="宋体" w:hAnsi="宋体"/>
          <w:color w:val="auto"/>
          <w:kern w:val="0"/>
          <w:sz w:val="21"/>
          <w:szCs w:val="21"/>
          <w:highlight w:val="none"/>
        </w:rPr>
        <w:t xml:space="preserve">6.1  </w:t>
      </w:r>
      <w:r>
        <w:rPr>
          <w:rFonts w:hint="eastAsia" w:ascii="宋体" w:hAnsi="宋体"/>
          <w:color w:val="auto"/>
          <w:kern w:val="0"/>
          <w:sz w:val="21"/>
          <w:szCs w:val="21"/>
          <w:highlight w:val="none"/>
        </w:rPr>
        <w:t>工程物资的提供</w:t>
      </w:r>
      <w:bookmarkEnd w:id="1519"/>
      <w:bookmarkEnd w:id="1520"/>
      <w:bookmarkEnd w:id="1521"/>
      <w:bookmarkEnd w:id="1522"/>
      <w:bookmarkEnd w:id="1523"/>
      <w:bookmarkEnd w:id="1524"/>
    </w:p>
    <w:p>
      <w:pPr>
        <w:spacing w:line="300" w:lineRule="auto"/>
        <w:ind w:firstLine="420" w:firstLineChars="200"/>
        <w:rPr>
          <w:color w:val="auto"/>
          <w:highlight w:val="none"/>
        </w:rPr>
      </w:pPr>
      <w:r>
        <w:rPr>
          <w:color w:val="auto"/>
          <w:highlight w:val="none"/>
        </w:rPr>
        <w:t>6.1.1</w:t>
      </w:r>
      <w:r>
        <w:rPr>
          <w:rFonts w:hint="eastAsia"/>
          <w:color w:val="auto"/>
          <w:highlight w:val="none"/>
        </w:rPr>
        <w:t>发包人提供的工程物资</w:t>
      </w: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w:t>
      </w:r>
      <w:r>
        <w:rPr>
          <w:color w:val="auto"/>
          <w:highlight w:val="none"/>
        </w:rPr>
        <w:t>1</w:t>
      </w:r>
      <w:r>
        <w:rPr>
          <w:rFonts w:hint="eastAsia"/>
          <w:color w:val="auto"/>
          <w:highlight w:val="none"/>
        </w:rPr>
        <w:t>）工程物资的类别、估算数量：</w:t>
      </w:r>
      <w:r>
        <w:rPr>
          <w:rFonts w:hint="eastAsia" w:ascii="宋体" w:hAnsi="宋体"/>
          <w:color w:val="auto"/>
          <w:szCs w:val="21"/>
          <w:highlight w:val="none"/>
          <w:u w:val="single"/>
        </w:rPr>
        <w:t>按施工需要双方协商确定。</w:t>
      </w:r>
    </w:p>
    <w:p>
      <w:pPr>
        <w:spacing w:line="300" w:lineRule="auto"/>
        <w:ind w:firstLine="420" w:firstLineChars="200"/>
        <w:rPr>
          <w:color w:val="auto"/>
          <w:highlight w:val="none"/>
        </w:rPr>
      </w:pPr>
      <w:r>
        <w:rPr>
          <w:color w:val="auto"/>
          <w:highlight w:val="none"/>
        </w:rPr>
        <w:t>6.1.2</w:t>
      </w:r>
      <w:r>
        <w:rPr>
          <w:rFonts w:hint="eastAsia"/>
          <w:color w:val="auto"/>
          <w:highlight w:val="none"/>
        </w:rPr>
        <w:t>承包人提供的工程物资</w:t>
      </w: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w:t>
      </w:r>
      <w:r>
        <w:rPr>
          <w:color w:val="auto"/>
          <w:highlight w:val="none"/>
        </w:rPr>
        <w:t>1</w:t>
      </w:r>
      <w:r>
        <w:rPr>
          <w:rFonts w:hint="eastAsia"/>
          <w:color w:val="auto"/>
          <w:highlight w:val="none"/>
        </w:rPr>
        <w:t>）工程物资的类别、估算数量：</w:t>
      </w:r>
      <w:r>
        <w:rPr>
          <w:rFonts w:hint="eastAsia" w:ascii="宋体" w:hAnsi="宋体"/>
          <w:color w:val="auto"/>
          <w:szCs w:val="21"/>
          <w:highlight w:val="none"/>
          <w:u w:val="single"/>
        </w:rPr>
        <w:t>除发包人提供的工程物资外，其余工程物资包括设备与材料全部由承包人负责采购、运输、保管。</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（2）竣工后试验的生产性材料的类别或（和）清单：</w:t>
      </w:r>
      <w:r>
        <w:rPr>
          <w:rFonts w:hint="eastAsia" w:ascii="宋体" w:hAnsi="宋体"/>
          <w:color w:val="auto"/>
          <w:szCs w:val="21"/>
          <w:highlight w:val="none"/>
          <w:u w:val="single"/>
        </w:rPr>
        <w:t>根据施工图纸规定，发包人有特别说明的除外。</w:t>
      </w:r>
    </w:p>
    <w:p>
      <w:pPr>
        <w:spacing w:line="300" w:lineRule="auto"/>
        <w:ind w:firstLine="420" w:firstLineChars="200"/>
        <w:rPr>
          <w:color w:val="auto"/>
          <w:highlight w:val="none"/>
        </w:rPr>
      </w:pPr>
    </w:p>
    <w:p>
      <w:pPr>
        <w:spacing w:line="300" w:lineRule="auto"/>
        <w:ind w:firstLine="525" w:firstLineChars="250"/>
        <w:rPr>
          <w:color w:val="auto"/>
          <w:highlight w:val="none"/>
        </w:rPr>
      </w:pPr>
    </w:p>
    <w:p>
      <w:pPr>
        <w:pStyle w:val="4"/>
        <w:rPr>
          <w:rFonts w:ascii="宋体" w:hAnsi="宋体"/>
          <w:color w:val="auto"/>
          <w:kern w:val="0"/>
          <w:sz w:val="21"/>
          <w:szCs w:val="21"/>
          <w:highlight w:val="none"/>
        </w:rPr>
      </w:pPr>
      <w:bookmarkStart w:id="1525" w:name="_Toc491277405"/>
      <w:bookmarkStart w:id="1526" w:name="_Toc433988856"/>
      <w:bookmarkStart w:id="1527" w:name="_Toc419364487"/>
      <w:bookmarkStart w:id="1528" w:name="_Toc419320362"/>
      <w:bookmarkStart w:id="1529" w:name="_Toc419363820"/>
      <w:bookmarkStart w:id="1530" w:name="_Toc419321398"/>
      <w:r>
        <w:rPr>
          <w:rFonts w:ascii="宋体" w:hAnsi="宋体"/>
          <w:color w:val="auto"/>
          <w:kern w:val="0"/>
          <w:sz w:val="21"/>
          <w:szCs w:val="21"/>
          <w:highlight w:val="none"/>
        </w:rPr>
        <w:t xml:space="preserve">6.2  </w:t>
      </w:r>
      <w:r>
        <w:rPr>
          <w:rFonts w:hint="eastAsia" w:ascii="宋体" w:hAnsi="宋体"/>
          <w:color w:val="auto"/>
          <w:kern w:val="0"/>
          <w:sz w:val="21"/>
          <w:szCs w:val="21"/>
          <w:highlight w:val="none"/>
        </w:rPr>
        <w:t>检验</w:t>
      </w:r>
      <w:bookmarkEnd w:id="1525"/>
      <w:bookmarkEnd w:id="1526"/>
      <w:bookmarkEnd w:id="1527"/>
      <w:bookmarkEnd w:id="1528"/>
      <w:bookmarkEnd w:id="1529"/>
      <w:bookmarkEnd w:id="1530"/>
    </w:p>
    <w:p>
      <w:pPr>
        <w:spacing w:line="300" w:lineRule="auto"/>
        <w:ind w:firstLine="420" w:firstLineChars="200"/>
        <w:rPr>
          <w:color w:val="auto"/>
          <w:highlight w:val="none"/>
        </w:rPr>
      </w:pPr>
      <w:r>
        <w:rPr>
          <w:color w:val="auto"/>
          <w:highlight w:val="none"/>
        </w:rPr>
        <w:t>6.2.1</w:t>
      </w:r>
      <w:r>
        <w:rPr>
          <w:rFonts w:hint="eastAsia"/>
          <w:color w:val="auto"/>
          <w:highlight w:val="none"/>
        </w:rPr>
        <w:t>工程检验与报告</w:t>
      </w:r>
    </w:p>
    <w:p>
      <w:pPr>
        <w:adjustRightInd w:val="0"/>
        <w:snapToGrid w:val="0"/>
        <w:spacing w:line="440" w:lineRule="exact"/>
        <w:ind w:firstLine="420" w:firstLineChars="200"/>
        <w:rPr>
          <w:rFonts w:ascii="宋体" w:hAnsi="宋体"/>
          <w:color w:val="auto"/>
          <w:szCs w:val="21"/>
          <w:highlight w:val="none"/>
        </w:rPr>
      </w:pPr>
      <w:r>
        <w:rPr>
          <w:rFonts w:hint="eastAsia"/>
          <w:color w:val="auto"/>
          <w:highlight w:val="none"/>
        </w:rPr>
        <w:t>（</w:t>
      </w:r>
      <w:r>
        <w:rPr>
          <w:color w:val="auto"/>
          <w:highlight w:val="none"/>
        </w:rPr>
        <w:t>1</w:t>
      </w:r>
      <w:r>
        <w:rPr>
          <w:rFonts w:hint="eastAsia"/>
          <w:color w:val="auto"/>
          <w:highlight w:val="none"/>
        </w:rPr>
        <w:t>）报告提交日期、报告内容和提交份数：</w:t>
      </w:r>
      <w:r>
        <w:rPr>
          <w:rFonts w:hint="eastAsia" w:ascii="宋体" w:hAnsi="宋体"/>
          <w:color w:val="auto"/>
          <w:szCs w:val="21"/>
          <w:highlight w:val="none"/>
          <w:u w:val="single"/>
        </w:rPr>
        <w:t>按有关规定和通用条款执行。</w:t>
      </w:r>
    </w:p>
    <w:p>
      <w:pPr>
        <w:spacing w:line="300" w:lineRule="auto"/>
        <w:ind w:firstLine="420" w:firstLineChars="200"/>
        <w:rPr>
          <w:color w:val="auto"/>
          <w:highlight w:val="none"/>
        </w:rPr>
      </w:pPr>
    </w:p>
    <w:p>
      <w:pPr>
        <w:spacing w:line="300" w:lineRule="auto"/>
        <w:ind w:firstLine="422" w:firstLineChars="200"/>
        <w:rPr>
          <w:b/>
          <w:color w:val="auto"/>
          <w:highlight w:val="none"/>
          <w:u w:val="single"/>
        </w:rPr>
      </w:pPr>
    </w:p>
    <w:p>
      <w:pPr>
        <w:pStyle w:val="4"/>
        <w:rPr>
          <w:rFonts w:ascii="宋体" w:hAnsi="宋体"/>
          <w:color w:val="auto"/>
          <w:kern w:val="0"/>
          <w:sz w:val="21"/>
          <w:szCs w:val="21"/>
          <w:highlight w:val="none"/>
        </w:rPr>
      </w:pPr>
      <w:bookmarkStart w:id="1531" w:name="_Toc419321399"/>
      <w:bookmarkStart w:id="1532" w:name="_Toc419363821"/>
      <w:bookmarkStart w:id="1533" w:name="_Toc491277406"/>
      <w:bookmarkStart w:id="1534" w:name="_Toc419364488"/>
      <w:bookmarkStart w:id="1535" w:name="_Toc419320363"/>
      <w:bookmarkStart w:id="1536" w:name="_Toc433988857"/>
      <w:r>
        <w:rPr>
          <w:rFonts w:ascii="宋体" w:hAnsi="宋体"/>
          <w:color w:val="auto"/>
          <w:kern w:val="0"/>
          <w:sz w:val="21"/>
          <w:szCs w:val="21"/>
          <w:highlight w:val="none"/>
        </w:rPr>
        <w:t xml:space="preserve">6.3  </w:t>
      </w:r>
      <w:r>
        <w:rPr>
          <w:rFonts w:hint="eastAsia" w:ascii="宋体" w:hAnsi="宋体"/>
          <w:color w:val="auto"/>
          <w:kern w:val="0"/>
          <w:sz w:val="21"/>
          <w:szCs w:val="21"/>
          <w:highlight w:val="none"/>
        </w:rPr>
        <w:t>进口工程物资的采购、</w:t>
      </w:r>
      <w:bookmarkEnd w:id="1531"/>
      <w:bookmarkEnd w:id="1532"/>
      <w:bookmarkEnd w:id="1533"/>
      <w:bookmarkEnd w:id="1534"/>
      <w:bookmarkEnd w:id="1535"/>
      <w:bookmarkEnd w:id="1536"/>
    </w:p>
    <w:p>
      <w:pPr>
        <w:spacing w:line="300" w:lineRule="auto"/>
        <w:ind w:firstLine="420" w:firstLineChars="200"/>
        <w:rPr>
          <w:color w:val="auto"/>
          <w:highlight w:val="none"/>
          <w:u w:val="single"/>
        </w:rPr>
      </w:pPr>
      <w:r>
        <w:rPr>
          <w:color w:val="auto"/>
          <w:highlight w:val="none"/>
        </w:rPr>
        <w:t>6.3.1</w:t>
      </w:r>
      <w:r>
        <w:rPr>
          <w:rFonts w:hint="eastAsia"/>
          <w:color w:val="auto"/>
          <w:highlight w:val="none"/>
        </w:rPr>
        <w:t>采购责任方及采购方式：</w:t>
      </w:r>
      <w:r>
        <w:rPr>
          <w:rFonts w:hint="eastAsia"/>
          <w:color w:val="auto"/>
          <w:highlight w:val="none"/>
          <w:u w:val="single"/>
        </w:rPr>
        <w:t xml:space="preserve">  /   </w:t>
      </w:r>
    </w:p>
    <w:p>
      <w:pPr>
        <w:spacing w:line="300" w:lineRule="auto"/>
        <w:ind w:firstLine="420" w:firstLineChars="200"/>
        <w:rPr>
          <w:color w:val="auto"/>
          <w:highlight w:val="none"/>
          <w:u w:val="single"/>
        </w:rPr>
      </w:pPr>
    </w:p>
    <w:p>
      <w:pPr>
        <w:pStyle w:val="4"/>
        <w:rPr>
          <w:rFonts w:ascii="宋体" w:hAnsi="宋体"/>
          <w:color w:val="auto"/>
          <w:kern w:val="0"/>
          <w:sz w:val="21"/>
          <w:szCs w:val="21"/>
          <w:highlight w:val="none"/>
        </w:rPr>
      </w:pPr>
      <w:bookmarkStart w:id="1537" w:name="_Toc491277407"/>
      <w:bookmarkStart w:id="1538" w:name="_Toc419321400"/>
      <w:bookmarkStart w:id="1539" w:name="_Toc433988858"/>
      <w:bookmarkStart w:id="1540" w:name="_Toc419320364"/>
      <w:bookmarkStart w:id="1541" w:name="_Toc419363822"/>
      <w:bookmarkStart w:id="1542" w:name="_Toc419364489"/>
      <w:r>
        <w:rPr>
          <w:rFonts w:ascii="宋体" w:hAnsi="宋体"/>
          <w:color w:val="auto"/>
          <w:kern w:val="0"/>
          <w:sz w:val="21"/>
          <w:szCs w:val="21"/>
          <w:highlight w:val="none"/>
        </w:rPr>
        <w:t xml:space="preserve">6.6  </w:t>
      </w:r>
      <w:r>
        <w:rPr>
          <w:rFonts w:hint="eastAsia" w:ascii="宋体" w:hAnsi="宋体"/>
          <w:color w:val="auto"/>
          <w:kern w:val="0"/>
          <w:sz w:val="21"/>
          <w:szCs w:val="21"/>
          <w:highlight w:val="none"/>
        </w:rPr>
        <w:t>工程物资保管与剩余</w:t>
      </w:r>
      <w:bookmarkEnd w:id="1537"/>
      <w:bookmarkEnd w:id="1538"/>
      <w:bookmarkEnd w:id="1539"/>
      <w:bookmarkEnd w:id="1540"/>
      <w:bookmarkEnd w:id="1541"/>
      <w:bookmarkEnd w:id="1542"/>
    </w:p>
    <w:p>
      <w:pPr>
        <w:spacing w:line="300" w:lineRule="auto"/>
        <w:ind w:firstLine="420" w:firstLineChars="200"/>
        <w:rPr>
          <w:color w:val="auto"/>
          <w:highlight w:val="none"/>
        </w:rPr>
      </w:pPr>
      <w:r>
        <w:rPr>
          <w:color w:val="auto"/>
          <w:highlight w:val="none"/>
        </w:rPr>
        <w:t xml:space="preserve">6.6.1  </w:t>
      </w:r>
      <w:r>
        <w:rPr>
          <w:rFonts w:hint="eastAsia"/>
          <w:color w:val="auto"/>
          <w:highlight w:val="none"/>
        </w:rPr>
        <w:t>工程物资保管</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委托承包人保管的工程物资的类别和估算数量：</w:t>
      </w:r>
      <w:r>
        <w:rPr>
          <w:rFonts w:hint="eastAsia" w:ascii="宋体" w:hAnsi="宋体"/>
          <w:color w:val="auto"/>
          <w:szCs w:val="21"/>
          <w:highlight w:val="none"/>
          <w:u w:val="single"/>
        </w:rPr>
        <w:t>双方另行协商确定</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承包人提交保管、维护方案的时间：</w:t>
      </w:r>
      <w:r>
        <w:rPr>
          <w:rFonts w:hint="eastAsia" w:ascii="宋体" w:hAnsi="宋体"/>
          <w:color w:val="auto"/>
          <w:szCs w:val="21"/>
          <w:highlight w:val="none"/>
          <w:u w:val="single"/>
        </w:rPr>
        <w:t>双方另行协商确定</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由发包人提供的库房、堆场、设施及设备：</w:t>
      </w:r>
      <w:r>
        <w:rPr>
          <w:rFonts w:hint="eastAsia" w:ascii="宋体" w:hAnsi="宋体"/>
          <w:color w:val="auto"/>
          <w:szCs w:val="21"/>
          <w:highlight w:val="none"/>
          <w:u w:val="single"/>
        </w:rPr>
        <w:t xml:space="preserve">  / </w:t>
      </w:r>
    </w:p>
    <w:p>
      <w:pPr>
        <w:spacing w:line="300" w:lineRule="auto"/>
        <w:ind w:firstLine="420" w:firstLineChars="200"/>
        <w:rPr>
          <w:color w:val="auto"/>
          <w:highlight w:val="none"/>
        </w:rPr>
      </w:pPr>
    </w:p>
    <w:p>
      <w:pPr>
        <w:widowControl/>
        <w:rPr>
          <w:color w:val="auto"/>
          <w:szCs w:val="21"/>
          <w:highlight w:val="none"/>
        </w:rPr>
      </w:pPr>
    </w:p>
    <w:p>
      <w:pPr>
        <w:pStyle w:val="2"/>
        <w:rPr>
          <w:rFonts w:ascii="宋体" w:hAnsi="宋体" w:eastAsia="宋体"/>
          <w:color w:val="auto"/>
          <w:sz w:val="28"/>
          <w:szCs w:val="28"/>
          <w:highlight w:val="none"/>
        </w:rPr>
      </w:pPr>
      <w:bookmarkStart w:id="1543" w:name="_Toc419320365"/>
      <w:bookmarkStart w:id="1544" w:name="_Toc433988859"/>
      <w:bookmarkStart w:id="1545" w:name="_Toc491277408"/>
      <w:bookmarkStart w:id="1546" w:name="_Toc419363823"/>
      <w:bookmarkStart w:id="1547" w:name="_Toc419321401"/>
      <w:bookmarkStart w:id="1548" w:name="_Toc419364490"/>
      <w:r>
        <w:rPr>
          <w:rFonts w:hint="eastAsia" w:ascii="宋体" w:hAnsi="宋体" w:eastAsia="宋体"/>
          <w:color w:val="auto"/>
          <w:sz w:val="28"/>
          <w:szCs w:val="28"/>
          <w:highlight w:val="none"/>
        </w:rPr>
        <w:t>第</w:t>
      </w:r>
      <w:r>
        <w:rPr>
          <w:rFonts w:ascii="宋体" w:hAnsi="宋体" w:eastAsia="宋体"/>
          <w:color w:val="auto"/>
          <w:sz w:val="28"/>
          <w:szCs w:val="28"/>
          <w:highlight w:val="none"/>
        </w:rPr>
        <w:t>7</w:t>
      </w:r>
      <w:r>
        <w:rPr>
          <w:rFonts w:hint="eastAsia" w:ascii="宋体" w:hAnsi="宋体" w:eastAsia="宋体"/>
          <w:color w:val="auto"/>
          <w:sz w:val="28"/>
          <w:szCs w:val="28"/>
          <w:highlight w:val="none"/>
        </w:rPr>
        <w:t>条施工</w:t>
      </w:r>
      <w:bookmarkEnd w:id="1543"/>
      <w:bookmarkEnd w:id="1544"/>
      <w:bookmarkEnd w:id="1545"/>
      <w:bookmarkEnd w:id="1546"/>
      <w:bookmarkEnd w:id="1547"/>
      <w:bookmarkEnd w:id="1548"/>
    </w:p>
    <w:p>
      <w:pPr>
        <w:pStyle w:val="4"/>
        <w:rPr>
          <w:rFonts w:ascii="宋体" w:hAnsi="宋体"/>
          <w:color w:val="auto"/>
          <w:kern w:val="0"/>
          <w:sz w:val="21"/>
          <w:szCs w:val="21"/>
          <w:highlight w:val="none"/>
        </w:rPr>
      </w:pPr>
      <w:bookmarkStart w:id="1549" w:name="_Toc419364491"/>
      <w:bookmarkStart w:id="1550" w:name="_Toc419363824"/>
      <w:bookmarkStart w:id="1551" w:name="_Toc419321402"/>
      <w:bookmarkStart w:id="1552" w:name="_Toc419320366"/>
      <w:bookmarkStart w:id="1553" w:name="_Toc433988860"/>
      <w:bookmarkStart w:id="1554" w:name="_Toc491277409"/>
      <w:r>
        <w:rPr>
          <w:rFonts w:hint="eastAsia" w:ascii="宋体" w:hAnsi="宋体"/>
          <w:color w:val="auto"/>
          <w:kern w:val="0"/>
          <w:sz w:val="21"/>
          <w:szCs w:val="21"/>
          <w:highlight w:val="none"/>
        </w:rPr>
        <w:t>7.1  发包人的义务</w:t>
      </w:r>
      <w:bookmarkEnd w:id="1549"/>
      <w:bookmarkEnd w:id="1550"/>
      <w:bookmarkEnd w:id="1551"/>
      <w:bookmarkEnd w:id="1552"/>
      <w:bookmarkEnd w:id="1553"/>
      <w:bookmarkEnd w:id="1554"/>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7.1.3  进场条件和进场日期</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承包人的进场条件：</w:t>
      </w:r>
      <w:r>
        <w:rPr>
          <w:rFonts w:ascii="宋体" w:hAnsi="宋体"/>
          <w:color w:val="auto"/>
          <w:szCs w:val="21"/>
          <w:highlight w:val="none"/>
          <w:u w:val="single"/>
        </w:rPr>
        <w:t>“三通一平”完成，</w:t>
      </w:r>
      <w:r>
        <w:rPr>
          <w:rFonts w:hint="eastAsia" w:ascii="宋体" w:hAnsi="宋体"/>
          <w:color w:val="auto"/>
          <w:szCs w:val="21"/>
          <w:highlight w:val="none"/>
          <w:u w:val="single"/>
        </w:rPr>
        <w:t xml:space="preserve">满足施工需要。                               </w:t>
      </w:r>
    </w:p>
    <w:p>
      <w:pPr>
        <w:adjustRightInd w:val="0"/>
        <w:snapToGrid w:val="0"/>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rPr>
        <w:t>承包人的进场日期：</w:t>
      </w:r>
      <w:r>
        <w:rPr>
          <w:rFonts w:hint="eastAsia" w:ascii="宋体" w:hAnsi="宋体"/>
          <w:color w:val="auto"/>
          <w:szCs w:val="21"/>
          <w:highlight w:val="none"/>
          <w:u w:val="single"/>
        </w:rPr>
        <w:t>合同签订并具备进场条件5天内</w:t>
      </w:r>
    </w:p>
    <w:p>
      <w:pPr>
        <w:spacing w:line="420" w:lineRule="exact"/>
        <w:ind w:left="561" w:leftChars="267"/>
        <w:rPr>
          <w:rFonts w:ascii="宋体" w:hAnsi="宋体"/>
          <w:color w:val="auto"/>
          <w:szCs w:val="21"/>
          <w:highlight w:val="none"/>
        </w:rPr>
      </w:pPr>
      <w:r>
        <w:rPr>
          <w:rFonts w:hint="eastAsia" w:ascii="宋体" w:hAnsi="宋体"/>
          <w:color w:val="auto"/>
          <w:szCs w:val="21"/>
          <w:highlight w:val="none"/>
        </w:rPr>
        <w:t>7.1.4  临时用水电等提供和节点铺设</w:t>
      </w:r>
    </w:p>
    <w:p>
      <w:pPr>
        <w:spacing w:line="300" w:lineRule="auto"/>
        <w:ind w:firstLine="420" w:firstLineChars="200"/>
        <w:rPr>
          <w:rFonts w:ascii="宋体" w:hAnsi="宋体"/>
          <w:color w:val="auto"/>
          <w:szCs w:val="21"/>
          <w:highlight w:val="none"/>
          <w:u w:val="single"/>
        </w:rPr>
      </w:pPr>
      <w:r>
        <w:rPr>
          <w:rFonts w:hint="eastAsia" w:ascii="宋体" w:hAnsi="宋体"/>
          <w:color w:val="auto"/>
          <w:szCs w:val="21"/>
          <w:highlight w:val="none"/>
        </w:rPr>
        <w:t>发包人提供的临时用水、用电等类别、取费单价：</w:t>
      </w:r>
      <w:r>
        <w:rPr>
          <w:rFonts w:ascii="宋体" w:hAnsi="宋体"/>
          <w:color w:val="auto"/>
          <w:szCs w:val="21"/>
          <w:highlight w:val="none"/>
          <w:u w:val="single"/>
        </w:rPr>
        <w:t>费用按照当地标准价格计费</w:t>
      </w:r>
      <w:r>
        <w:rPr>
          <w:rFonts w:hint="eastAsia" w:ascii="宋体" w:hAnsi="宋体"/>
          <w:color w:val="auto"/>
          <w:szCs w:val="21"/>
          <w:highlight w:val="none"/>
          <w:u w:val="single"/>
        </w:rPr>
        <w:t xml:space="preserve">。   </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7.1.10  由发包人履行的其它义务：</w:t>
      </w:r>
    </w:p>
    <w:p>
      <w:pPr>
        <w:spacing w:line="420" w:lineRule="exact"/>
        <w:ind w:firstLine="420" w:firstLineChars="200"/>
        <w:rPr>
          <w:rFonts w:ascii="宋体" w:hAnsi="宋体"/>
          <w:color w:val="auto"/>
          <w:szCs w:val="21"/>
          <w:highlight w:val="none"/>
          <w:u w:val="singl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）施工场地具备施工条件的要求及完成的时间：</w:t>
      </w:r>
      <w:r>
        <w:rPr>
          <w:rFonts w:hint="eastAsia" w:ascii="宋体" w:hAnsi="宋体"/>
          <w:color w:val="auto"/>
          <w:szCs w:val="21"/>
          <w:highlight w:val="none"/>
          <w:u w:val="single"/>
        </w:rPr>
        <w:t>施工场地已具备施工条件。</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（2）工程地质和地下管线资料的提供时间：</w:t>
      </w:r>
      <w:r>
        <w:rPr>
          <w:rFonts w:hint="eastAsia" w:ascii="宋体" w:hAnsi="宋体"/>
          <w:color w:val="auto"/>
          <w:szCs w:val="21"/>
          <w:highlight w:val="none"/>
          <w:u w:val="single"/>
        </w:rPr>
        <w:t xml:space="preserve">/。 </w:t>
      </w:r>
    </w:p>
    <w:p>
      <w:pPr>
        <w:spacing w:line="420" w:lineRule="exact"/>
        <w:ind w:firstLine="420" w:firstLineChars="200"/>
        <w:rPr>
          <w:rFonts w:ascii="宋体" w:hAnsi="宋体"/>
          <w:color w:val="auto"/>
          <w:szCs w:val="21"/>
          <w:highlight w:val="none"/>
          <w:u w:val="single"/>
        </w:rPr>
      </w:pPr>
      <w:r>
        <w:rPr>
          <w:rFonts w:hint="eastAsia" w:ascii="宋体" w:hAnsi="宋体"/>
          <w:color w:val="auto"/>
          <w:szCs w:val="21"/>
          <w:highlight w:val="none"/>
        </w:rPr>
        <w:t>（3）由发包人办理的施工所需证件、批件的名称和完成时间：</w:t>
      </w:r>
      <w:r>
        <w:rPr>
          <w:rFonts w:hint="eastAsia" w:ascii="宋体" w:hAnsi="宋体"/>
          <w:color w:val="auto"/>
          <w:szCs w:val="21"/>
          <w:highlight w:val="none"/>
          <w:u w:val="single"/>
        </w:rPr>
        <w:t>/。</w:t>
      </w:r>
    </w:p>
    <w:p>
      <w:pPr>
        <w:spacing w:line="420" w:lineRule="exact"/>
        <w:ind w:firstLine="420" w:firstLineChars="200"/>
        <w:rPr>
          <w:rFonts w:ascii="宋体" w:hAnsi="宋体"/>
          <w:color w:val="auto"/>
          <w:szCs w:val="21"/>
          <w:highlight w:val="none"/>
          <w:u w:val="single"/>
        </w:rPr>
      </w:pPr>
      <w:r>
        <w:rPr>
          <w:rFonts w:hint="eastAsia" w:ascii="宋体" w:hAnsi="宋体"/>
          <w:color w:val="auto"/>
          <w:szCs w:val="21"/>
          <w:highlight w:val="none"/>
        </w:rPr>
        <w:t>（4）水准点与坐标控制点交验要求：</w:t>
      </w:r>
      <w:r>
        <w:rPr>
          <w:rFonts w:hint="eastAsia" w:ascii="宋体" w:hAnsi="宋体"/>
          <w:color w:val="auto"/>
          <w:szCs w:val="21"/>
          <w:highlight w:val="none"/>
          <w:u w:val="single"/>
        </w:rPr>
        <w:t>/。</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（5）协调处理施工场地周围地下管线和邻近建筑物、构筑物（含文物保护建筑）、古树名木的保护工作</w:t>
      </w:r>
      <w:r>
        <w:rPr>
          <w:rFonts w:hint="eastAsia" w:ascii="宋体" w:hAnsi="宋体"/>
          <w:color w:val="auto"/>
          <w:sz w:val="28"/>
          <w:szCs w:val="28"/>
          <w:highlight w:val="none"/>
        </w:rPr>
        <w:t>，</w:t>
      </w:r>
      <w:r>
        <w:rPr>
          <w:rFonts w:hint="eastAsia" w:ascii="宋体" w:hAnsi="宋体"/>
          <w:color w:val="auto"/>
          <w:szCs w:val="21"/>
          <w:highlight w:val="none"/>
        </w:rPr>
        <w:t>以及地上附着物处理。</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）因发包人未按本合同约定完成上述工作，造成损失由发包人承担。</w:t>
      </w:r>
    </w:p>
    <w:p>
      <w:pPr>
        <w:pStyle w:val="4"/>
        <w:rPr>
          <w:rFonts w:ascii="宋体" w:hAnsi="宋体"/>
          <w:color w:val="auto"/>
          <w:kern w:val="0"/>
          <w:sz w:val="21"/>
          <w:szCs w:val="21"/>
          <w:highlight w:val="none"/>
        </w:rPr>
      </w:pPr>
      <w:bookmarkStart w:id="1555" w:name="_Toc419363825"/>
      <w:bookmarkStart w:id="1556" w:name="_Toc491277410"/>
      <w:bookmarkStart w:id="1557" w:name="_Toc419364492"/>
      <w:bookmarkStart w:id="1558" w:name="_Toc419321403"/>
      <w:bookmarkStart w:id="1559" w:name="_Toc433988861"/>
      <w:bookmarkStart w:id="1560" w:name="_Toc419320367"/>
      <w:r>
        <w:rPr>
          <w:rFonts w:hint="eastAsia" w:ascii="宋体" w:hAnsi="宋体"/>
          <w:color w:val="auto"/>
          <w:kern w:val="0"/>
          <w:sz w:val="21"/>
          <w:szCs w:val="21"/>
          <w:highlight w:val="none"/>
        </w:rPr>
        <w:t>7.2  承包人的义务</w:t>
      </w:r>
      <w:bookmarkEnd w:id="1555"/>
      <w:bookmarkEnd w:id="1556"/>
      <w:bookmarkEnd w:id="1557"/>
      <w:bookmarkEnd w:id="1558"/>
      <w:bookmarkEnd w:id="1559"/>
      <w:bookmarkEnd w:id="1560"/>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7.2.2  施工组织设计</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提交工程总体施工组织设计的份数和时间：</w:t>
      </w:r>
      <w:r>
        <w:rPr>
          <w:rFonts w:hint="eastAsia" w:ascii="宋体" w:hAnsi="宋体"/>
          <w:color w:val="auto"/>
          <w:szCs w:val="21"/>
          <w:highlight w:val="none"/>
          <w:u w:val="single"/>
        </w:rPr>
        <w:t>开工前30天，承包人提交详细施工组织设计。</w:t>
      </w:r>
    </w:p>
    <w:p>
      <w:pPr>
        <w:adjustRightInd w:val="0"/>
        <w:snapToGrid w:val="0"/>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rPr>
        <w:t>需要提交的主要单项工程、主要分部分项工程施工组织设计的名称、份数和时间：</w:t>
      </w:r>
      <w:r>
        <w:rPr>
          <w:rFonts w:hint="eastAsia" w:ascii="宋体" w:hAnsi="宋体"/>
          <w:color w:val="auto"/>
          <w:szCs w:val="21"/>
          <w:highlight w:val="none"/>
          <w:u w:val="single"/>
        </w:rPr>
        <w:t>四份，开工前30天。</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7.2.3  提交临时占地资料</w:t>
      </w:r>
    </w:p>
    <w:p>
      <w:pPr>
        <w:spacing w:line="420" w:lineRule="exact"/>
        <w:ind w:firstLine="420" w:firstLineChars="200"/>
        <w:rPr>
          <w:rFonts w:ascii="宋体" w:hAnsi="宋体"/>
          <w:color w:val="auto"/>
          <w:szCs w:val="21"/>
          <w:highlight w:val="none"/>
          <w:u w:val="single"/>
        </w:rPr>
      </w:pPr>
      <w:r>
        <w:rPr>
          <w:rFonts w:hint="eastAsia" w:ascii="宋体" w:hAnsi="宋体"/>
          <w:color w:val="auto"/>
          <w:szCs w:val="21"/>
          <w:highlight w:val="none"/>
        </w:rPr>
        <w:t>提交临时占地资料的时间：</w:t>
      </w:r>
      <w:r>
        <w:rPr>
          <w:rFonts w:hint="eastAsia" w:ascii="宋体" w:hAnsi="宋体"/>
          <w:color w:val="auto"/>
          <w:szCs w:val="21"/>
          <w:highlight w:val="none"/>
          <w:u w:val="single"/>
        </w:rPr>
        <w:t>开工前30天。</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7.2.4  提供临时用水电等资料</w:t>
      </w:r>
    </w:p>
    <w:p>
      <w:pPr>
        <w:adjustRightInd w:val="0"/>
        <w:snapToGrid w:val="0"/>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rPr>
        <w:t>承包人需要水电等品质、正常用量、高峰量和使用时间：</w:t>
      </w:r>
      <w:r>
        <w:rPr>
          <w:rFonts w:hint="eastAsia" w:ascii="宋体" w:hAnsi="宋体"/>
          <w:color w:val="auto"/>
          <w:szCs w:val="21"/>
          <w:highlight w:val="none"/>
          <w:u w:val="single"/>
        </w:rPr>
        <w:t>双方另行协商确定</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发包人能够满足施工临时用水、电等类别和数量：</w:t>
      </w:r>
      <w:r>
        <w:rPr>
          <w:rFonts w:hint="eastAsia" w:ascii="宋体" w:hAnsi="宋体"/>
          <w:color w:val="auto"/>
          <w:szCs w:val="21"/>
          <w:highlight w:val="none"/>
          <w:u w:val="single"/>
        </w:rPr>
        <w:t>双方另行协商确定</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水电等节点位置资料的提交时间：</w:t>
      </w:r>
      <w:r>
        <w:rPr>
          <w:rFonts w:hint="eastAsia" w:ascii="宋体" w:hAnsi="宋体"/>
          <w:color w:val="auto"/>
          <w:szCs w:val="21"/>
          <w:highlight w:val="none"/>
          <w:u w:val="single"/>
        </w:rPr>
        <w:t>按实际移交时间</w:t>
      </w:r>
    </w:p>
    <w:p>
      <w:pPr>
        <w:adjustRightInd w:val="0"/>
        <w:snapToGrid w:val="0"/>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rPr>
        <w:t>7.2.12  清理现场的费用：</w:t>
      </w:r>
      <w:r>
        <w:rPr>
          <w:rFonts w:hint="eastAsia" w:ascii="宋体" w:hAnsi="宋体"/>
          <w:color w:val="auto"/>
          <w:szCs w:val="21"/>
          <w:highlight w:val="none"/>
          <w:u w:val="single"/>
        </w:rPr>
        <w:t>承包人自行承担</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7.2.13  由承包人履行的其它义务：</w:t>
      </w:r>
    </w:p>
    <w:p>
      <w:pPr>
        <w:spacing w:line="420" w:lineRule="exact"/>
        <w:ind w:firstLine="420" w:firstLineChars="200"/>
        <w:rPr>
          <w:rFonts w:ascii="宋体" w:hAnsi="宋体"/>
          <w:color w:val="auto"/>
          <w:kern w:val="0"/>
          <w:szCs w:val="21"/>
          <w:highlight w:val="none"/>
          <w:u w:val="single"/>
        </w:rPr>
      </w:pPr>
      <w:r>
        <w:rPr>
          <w:rFonts w:hint="eastAsia" w:ascii="宋体" w:hAnsi="宋体"/>
          <w:color w:val="auto"/>
          <w:kern w:val="0"/>
          <w:szCs w:val="21"/>
          <w:highlight w:val="none"/>
        </w:rPr>
        <w:t>（1）施工场地周围地下管线和邻近建筑物、构筑物（含文物保护建筑）、古树名木的保护要求及费用承担：</w:t>
      </w:r>
      <w:r>
        <w:rPr>
          <w:rFonts w:hint="eastAsia" w:ascii="宋体" w:hAnsi="宋体"/>
          <w:color w:val="auto"/>
          <w:kern w:val="0"/>
          <w:szCs w:val="21"/>
          <w:highlight w:val="none"/>
          <w:u w:val="single"/>
        </w:rPr>
        <w:t>承包人施工时因承包人原因损坏地下管线、邻近建筑物、构筑物，所发生费用由承包人承担。若因发包人提供的资料有误等非承包人原因造成的地下管线、邻近建筑物、构筑物损坏的，所发生的费用由发包人承担。</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（2）图纸会审和设计交底时间：</w:t>
      </w:r>
      <w:r>
        <w:rPr>
          <w:rFonts w:hint="eastAsia" w:ascii="宋体" w:hAnsi="宋体"/>
          <w:color w:val="auto"/>
          <w:szCs w:val="21"/>
          <w:highlight w:val="none"/>
          <w:u w:val="single"/>
        </w:rPr>
        <w:t xml:space="preserve"> 在开工前 5 天，由承包人组织设计负责单位、施工负责单位、发包人进行图纸会审和设计交底。</w:t>
      </w:r>
    </w:p>
    <w:p>
      <w:pPr>
        <w:pStyle w:val="4"/>
        <w:rPr>
          <w:rFonts w:ascii="宋体" w:hAnsi="宋体"/>
          <w:color w:val="auto"/>
          <w:kern w:val="0"/>
          <w:sz w:val="21"/>
          <w:szCs w:val="21"/>
          <w:highlight w:val="none"/>
        </w:rPr>
      </w:pPr>
      <w:bookmarkStart w:id="1561" w:name="_Toc419320368"/>
      <w:bookmarkStart w:id="1562" w:name="_Toc419364493"/>
      <w:bookmarkStart w:id="1563" w:name="_Toc419321404"/>
      <w:bookmarkStart w:id="1564" w:name="_Toc491277411"/>
      <w:bookmarkStart w:id="1565" w:name="_Toc419363826"/>
      <w:bookmarkStart w:id="1566" w:name="_Toc433988862"/>
      <w:r>
        <w:rPr>
          <w:rFonts w:hint="eastAsia" w:ascii="宋体" w:hAnsi="宋体"/>
          <w:color w:val="auto"/>
          <w:kern w:val="0"/>
          <w:sz w:val="21"/>
          <w:szCs w:val="21"/>
          <w:highlight w:val="none"/>
        </w:rPr>
        <w:t>7.4 人力和机具资源</w:t>
      </w:r>
      <w:bookmarkEnd w:id="1561"/>
      <w:bookmarkEnd w:id="1562"/>
      <w:bookmarkEnd w:id="1563"/>
      <w:bookmarkEnd w:id="1564"/>
      <w:bookmarkEnd w:id="1565"/>
      <w:bookmarkEnd w:id="1566"/>
    </w:p>
    <w:p>
      <w:pPr>
        <w:adjustRightInd w:val="0"/>
        <w:snapToGrid w:val="0"/>
        <w:spacing w:line="440" w:lineRule="exact"/>
        <w:ind w:firstLine="420" w:firstLineChars="200"/>
        <w:rPr>
          <w:rFonts w:ascii="宋体" w:hAnsi="宋体"/>
          <w:color w:val="auto"/>
          <w:szCs w:val="21"/>
          <w:highlight w:val="none"/>
          <w:u w:val="single"/>
        </w:rPr>
      </w:pPr>
      <w:bookmarkStart w:id="1567" w:name="_Toc419363827"/>
      <w:bookmarkStart w:id="1568" w:name="_Toc419320369"/>
      <w:bookmarkStart w:id="1569" w:name="_Toc491277412"/>
      <w:bookmarkStart w:id="1570" w:name="_Toc419321405"/>
      <w:bookmarkStart w:id="1571" w:name="_Toc433988863"/>
      <w:bookmarkStart w:id="1572" w:name="_Toc419364494"/>
      <w:r>
        <w:rPr>
          <w:rFonts w:hint="eastAsia" w:ascii="宋体" w:hAnsi="宋体"/>
          <w:color w:val="auto"/>
          <w:szCs w:val="21"/>
          <w:highlight w:val="none"/>
        </w:rPr>
        <w:t>7.4.1  人力资源计划一览表的格式、内容、份数和提交时间：</w:t>
      </w:r>
      <w:r>
        <w:rPr>
          <w:rFonts w:hint="eastAsia" w:ascii="宋体" w:hAnsi="宋体"/>
          <w:color w:val="auto"/>
          <w:szCs w:val="21"/>
          <w:highlight w:val="none"/>
          <w:u w:val="single"/>
        </w:rPr>
        <w:t>根据发包人批准的承包人施工组织设计确定。</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人力资源实际进场的报表格式、份数和报告期：</w:t>
      </w:r>
      <w:r>
        <w:rPr>
          <w:rFonts w:hint="eastAsia" w:ascii="宋体" w:hAnsi="宋体"/>
          <w:color w:val="auto"/>
          <w:szCs w:val="21"/>
          <w:highlight w:val="none"/>
          <w:u w:val="single"/>
        </w:rPr>
        <w:t>格式参照发包人批准的承包人施工组织设计，施工队伍进场后7日内提交2份。</w:t>
      </w:r>
    </w:p>
    <w:p>
      <w:pPr>
        <w:adjustRightInd w:val="0"/>
        <w:snapToGrid w:val="0"/>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rPr>
        <w:t>7.4.2主要机具计划一览表的格式、内容、份数和提交时间：</w:t>
      </w:r>
      <w:r>
        <w:rPr>
          <w:rFonts w:hint="eastAsia" w:ascii="宋体" w:hAnsi="宋体"/>
          <w:color w:val="auto"/>
          <w:szCs w:val="21"/>
          <w:highlight w:val="none"/>
          <w:u w:val="single"/>
        </w:rPr>
        <w:t>根据承包人施工组织设计确定。</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主要机具实际进场的报表格式、份数和报告期：</w:t>
      </w:r>
      <w:r>
        <w:rPr>
          <w:rFonts w:hint="eastAsia" w:ascii="宋体" w:hAnsi="宋体"/>
          <w:color w:val="auto"/>
          <w:szCs w:val="21"/>
          <w:highlight w:val="none"/>
          <w:u w:val="single"/>
        </w:rPr>
        <w:t>格式参照发包人批准的承包人施工组织设计，施工队伍进场后7日内提交2份。</w:t>
      </w:r>
    </w:p>
    <w:p>
      <w:pPr>
        <w:pStyle w:val="4"/>
        <w:rPr>
          <w:rFonts w:ascii="宋体" w:hAnsi="宋体"/>
          <w:color w:val="auto"/>
          <w:kern w:val="0"/>
          <w:sz w:val="21"/>
          <w:szCs w:val="21"/>
          <w:highlight w:val="none"/>
        </w:rPr>
      </w:pPr>
      <w:r>
        <w:rPr>
          <w:rFonts w:hint="eastAsia" w:ascii="宋体" w:hAnsi="宋体"/>
          <w:color w:val="auto"/>
          <w:kern w:val="0"/>
          <w:sz w:val="21"/>
          <w:szCs w:val="21"/>
          <w:highlight w:val="none"/>
        </w:rPr>
        <w:t>7.5  质量与检验</w:t>
      </w:r>
      <w:bookmarkEnd w:id="1567"/>
      <w:bookmarkEnd w:id="1568"/>
      <w:bookmarkEnd w:id="1569"/>
      <w:bookmarkEnd w:id="1570"/>
      <w:bookmarkEnd w:id="1571"/>
      <w:bookmarkEnd w:id="1572"/>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7.5.2 质检部位与参检方</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三方参检的部位、标准及表格形式：</w:t>
      </w:r>
      <w:r>
        <w:rPr>
          <w:rFonts w:hint="eastAsia" w:ascii="宋体" w:hAnsi="宋体"/>
          <w:color w:val="auto"/>
          <w:szCs w:val="21"/>
          <w:highlight w:val="none"/>
          <w:u w:val="single"/>
        </w:rPr>
        <w:t>满足国家标准规范、或（和）行业标准规范要求。</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两方参检的部位、标准及表格形式：</w:t>
      </w:r>
      <w:r>
        <w:rPr>
          <w:rFonts w:hint="eastAsia" w:ascii="宋体" w:hAnsi="宋体"/>
          <w:color w:val="auto"/>
          <w:szCs w:val="21"/>
          <w:highlight w:val="none"/>
          <w:u w:val="single"/>
        </w:rPr>
        <w:t>满足国家标准规范、或（和）行业标准规范要求。</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第三方检查的部位、标准及表格形式：</w:t>
      </w:r>
      <w:r>
        <w:rPr>
          <w:rFonts w:hint="eastAsia" w:ascii="宋体" w:hAnsi="宋体"/>
          <w:color w:val="auto"/>
          <w:szCs w:val="21"/>
          <w:highlight w:val="none"/>
          <w:u w:val="single"/>
        </w:rPr>
        <w:t>满足国家标准规范、或（和）行业标准规范要求。</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承包人自检的部位、标准及表格形式：</w:t>
      </w:r>
      <w:r>
        <w:rPr>
          <w:rFonts w:hint="eastAsia" w:ascii="宋体" w:hAnsi="宋体"/>
          <w:color w:val="auto"/>
          <w:szCs w:val="21"/>
          <w:highlight w:val="none"/>
          <w:u w:val="single"/>
        </w:rPr>
        <w:t>满足国家标准规范、或（和）行业标准规范要求。</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u w:val="single"/>
        </w:rPr>
        <w:t>根据有关规定进行的专项检测和见证取样等有发包人委托有检测资质的第三方检测机构进行，其发生的费用由发包人承担。</w:t>
      </w:r>
    </w:p>
    <w:p>
      <w:pPr>
        <w:pStyle w:val="4"/>
        <w:rPr>
          <w:rFonts w:ascii="宋体" w:hAnsi="宋体"/>
          <w:color w:val="auto"/>
          <w:kern w:val="0"/>
          <w:sz w:val="21"/>
          <w:szCs w:val="21"/>
          <w:highlight w:val="none"/>
        </w:rPr>
      </w:pPr>
      <w:bookmarkStart w:id="1573" w:name="_Toc491277413"/>
      <w:bookmarkStart w:id="1574" w:name="_Toc419321406"/>
      <w:bookmarkStart w:id="1575" w:name="_Toc433988864"/>
      <w:bookmarkStart w:id="1576" w:name="_Toc419320370"/>
      <w:bookmarkStart w:id="1577" w:name="_Toc419364495"/>
      <w:bookmarkStart w:id="1578" w:name="_Toc419363828"/>
      <w:r>
        <w:rPr>
          <w:rFonts w:hint="eastAsia" w:ascii="宋体" w:hAnsi="宋体"/>
          <w:color w:val="auto"/>
          <w:kern w:val="0"/>
          <w:sz w:val="21"/>
          <w:szCs w:val="21"/>
          <w:highlight w:val="none"/>
        </w:rPr>
        <w:t>7.6  隐蔽工程和中间验收</w:t>
      </w:r>
      <w:bookmarkEnd w:id="1573"/>
      <w:bookmarkEnd w:id="1574"/>
      <w:bookmarkEnd w:id="1575"/>
      <w:bookmarkEnd w:id="1576"/>
      <w:bookmarkEnd w:id="1577"/>
      <w:bookmarkEnd w:id="1578"/>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7.6.1  隐蔽工程和中间验收。</w:t>
      </w:r>
    </w:p>
    <w:p>
      <w:pPr>
        <w:spacing w:line="420" w:lineRule="exact"/>
        <w:ind w:firstLine="420" w:firstLineChars="200"/>
        <w:rPr>
          <w:rFonts w:hAnsi="宋体"/>
          <w:bCs/>
          <w:color w:val="auto"/>
          <w:szCs w:val="21"/>
          <w:highlight w:val="none"/>
          <w:u w:val="single"/>
        </w:rPr>
      </w:pPr>
      <w:r>
        <w:rPr>
          <w:rFonts w:hint="eastAsia" w:ascii="宋体" w:hAnsi="宋体"/>
          <w:color w:val="auto"/>
          <w:szCs w:val="21"/>
          <w:highlight w:val="none"/>
        </w:rPr>
        <w:t>需要质检的隐蔽工程和中间验收部位的分类、部位、质检内容、标准、表格和参检方的约定：</w:t>
      </w:r>
      <w:r>
        <w:rPr>
          <w:rFonts w:hint="eastAsia" w:hAnsi="宋体"/>
          <w:bCs/>
          <w:color w:val="auto"/>
          <w:szCs w:val="21"/>
          <w:highlight w:val="none"/>
          <w:u w:val="single"/>
        </w:rPr>
        <w:t>工程隐蔽或中间验收前48小时以书面形式通知发包人和监理工程师验收的内容、时间、地点，承包人准备验收记录单（印制的表格）由双方签证。验收合格，承包人可进行隐蔽和继续施工；验收不合格，双方商订时限内修改后按上述循序重新验收</w:t>
      </w:r>
      <w:r>
        <w:rPr>
          <w:rFonts w:hint="eastAsia" w:ascii="宋体" w:hAnsi="宋体"/>
          <w:color w:val="auto"/>
          <w:szCs w:val="21"/>
          <w:highlight w:val="none"/>
          <w:u w:val="single"/>
        </w:rPr>
        <w:t>，</w:t>
      </w:r>
      <w:r>
        <w:rPr>
          <w:rFonts w:hint="eastAsia" w:hAnsi="宋体"/>
          <w:bCs/>
          <w:color w:val="auto"/>
          <w:szCs w:val="21"/>
          <w:highlight w:val="none"/>
          <w:u w:val="single"/>
        </w:rPr>
        <w:t>并视隐蔽工程或中间验收的关键部位和重要性处 /  元的罚款。</w:t>
      </w:r>
    </w:p>
    <w:p>
      <w:pPr>
        <w:pStyle w:val="4"/>
        <w:rPr>
          <w:rFonts w:ascii="宋体" w:hAnsi="宋体"/>
          <w:b w:val="0"/>
          <w:color w:val="auto"/>
          <w:sz w:val="28"/>
          <w:szCs w:val="28"/>
          <w:highlight w:val="none"/>
        </w:rPr>
      </w:pPr>
      <w:bookmarkStart w:id="1579" w:name="_Toc419364496"/>
      <w:bookmarkStart w:id="1580" w:name="_Toc433988865"/>
      <w:bookmarkStart w:id="1581" w:name="_Toc419321407"/>
      <w:bookmarkStart w:id="1582" w:name="_Toc419363829"/>
      <w:bookmarkStart w:id="1583" w:name="_Toc419320371"/>
      <w:bookmarkStart w:id="1584" w:name="_Toc491277414"/>
      <w:r>
        <w:rPr>
          <w:rFonts w:hint="eastAsia" w:ascii="宋体" w:hAnsi="宋体"/>
          <w:color w:val="auto"/>
          <w:kern w:val="0"/>
          <w:sz w:val="21"/>
          <w:szCs w:val="21"/>
          <w:highlight w:val="none"/>
        </w:rPr>
        <w:t>7.8  职业健康、安全、环境保护</w:t>
      </w:r>
      <w:bookmarkEnd w:id="1579"/>
      <w:bookmarkEnd w:id="1580"/>
      <w:bookmarkEnd w:id="1581"/>
      <w:bookmarkEnd w:id="1582"/>
      <w:bookmarkEnd w:id="1583"/>
      <w:bookmarkEnd w:id="1584"/>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7.8.1  职业健康、安全、环境保护管理</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（2）提交职业健康、安全、环境管理计划的份数和时间：</w:t>
      </w:r>
      <w:r>
        <w:rPr>
          <w:rFonts w:hint="eastAsia" w:ascii="宋体" w:hAnsi="宋体"/>
          <w:color w:val="auto"/>
          <w:szCs w:val="21"/>
          <w:highlight w:val="none"/>
          <w:u w:val="single"/>
        </w:rPr>
        <w:t>在监理人发出开工令前15天内向监理人提交6份职业健康、安全、环境管理计划。</w:t>
      </w:r>
    </w:p>
    <w:p>
      <w:pPr>
        <w:spacing w:line="420" w:lineRule="exact"/>
        <w:ind w:firstLine="420" w:firstLineChars="200"/>
        <w:rPr>
          <w:rFonts w:ascii="宋体" w:hAnsi="宋体"/>
          <w:color w:val="auto"/>
          <w:szCs w:val="21"/>
          <w:highlight w:val="none"/>
        </w:rPr>
      </w:pPr>
    </w:p>
    <w:p>
      <w:pPr>
        <w:spacing w:line="420" w:lineRule="exact"/>
        <w:ind w:firstLine="420" w:firstLineChars="200"/>
        <w:rPr>
          <w:rFonts w:ascii="宋体" w:hAnsi="宋体"/>
          <w:color w:val="auto"/>
          <w:szCs w:val="21"/>
          <w:highlight w:val="none"/>
        </w:rPr>
      </w:pPr>
    </w:p>
    <w:p>
      <w:pPr>
        <w:pStyle w:val="2"/>
        <w:rPr>
          <w:rFonts w:ascii="宋体" w:hAnsi="宋体" w:eastAsia="宋体"/>
          <w:color w:val="auto"/>
          <w:sz w:val="28"/>
          <w:szCs w:val="28"/>
          <w:highlight w:val="none"/>
        </w:rPr>
      </w:pPr>
      <w:bookmarkStart w:id="1585" w:name="_Toc491277415"/>
      <w:bookmarkStart w:id="1586" w:name="_Toc419320372"/>
      <w:bookmarkStart w:id="1587" w:name="_Toc419364497"/>
      <w:bookmarkStart w:id="1588" w:name="_Toc419321408"/>
      <w:bookmarkStart w:id="1589" w:name="_Toc433988866"/>
      <w:bookmarkStart w:id="1590" w:name="_Toc419363830"/>
      <w:r>
        <w:rPr>
          <w:rFonts w:hint="eastAsia" w:ascii="宋体" w:hAnsi="宋体" w:eastAsia="宋体"/>
          <w:color w:val="auto"/>
          <w:sz w:val="28"/>
          <w:szCs w:val="28"/>
          <w:highlight w:val="none"/>
        </w:rPr>
        <w:t>第</w:t>
      </w:r>
      <w:r>
        <w:rPr>
          <w:rFonts w:ascii="宋体" w:hAnsi="宋体" w:eastAsia="宋体"/>
          <w:color w:val="auto"/>
          <w:sz w:val="28"/>
          <w:szCs w:val="28"/>
          <w:highlight w:val="none"/>
        </w:rPr>
        <w:t>8</w:t>
      </w:r>
      <w:r>
        <w:rPr>
          <w:rFonts w:hint="eastAsia" w:ascii="宋体" w:hAnsi="宋体" w:eastAsia="宋体"/>
          <w:color w:val="auto"/>
          <w:sz w:val="28"/>
          <w:szCs w:val="28"/>
          <w:highlight w:val="none"/>
        </w:rPr>
        <w:t>条竣工试验</w:t>
      </w:r>
      <w:bookmarkEnd w:id="1585"/>
      <w:bookmarkEnd w:id="1586"/>
      <w:bookmarkEnd w:id="1587"/>
      <w:bookmarkEnd w:id="1588"/>
      <w:bookmarkEnd w:id="1589"/>
      <w:bookmarkEnd w:id="1590"/>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本合同工程，包含</w:t>
      </w:r>
      <w:r>
        <w:rPr>
          <w:rFonts w:hint="eastAsia" w:ascii="宋体" w:hAnsi="宋体"/>
          <w:color w:val="auto"/>
          <w:szCs w:val="21"/>
          <w:highlight w:val="none"/>
        </w:rPr>
        <w:sym w:font="Wingdings 2" w:char="0052"/>
      </w:r>
      <w:r>
        <w:rPr>
          <w:rFonts w:hint="eastAsia" w:ascii="宋体" w:hAnsi="宋体"/>
          <w:color w:val="auto"/>
          <w:szCs w:val="21"/>
          <w:highlight w:val="none"/>
        </w:rPr>
        <w:t>竣工试验阶段/</w:t>
      </w:r>
      <w:r>
        <w:rPr>
          <w:rFonts w:hint="eastAsia" w:ascii="宋体" w:hAnsi="宋体"/>
          <w:color w:val="auto"/>
          <w:szCs w:val="21"/>
          <w:highlight w:val="none"/>
        </w:rPr>
        <w:sym w:font="Wingdings 2" w:char="00A3"/>
      </w:r>
      <w:r>
        <w:rPr>
          <w:rFonts w:hint="eastAsia" w:ascii="宋体" w:hAnsi="宋体"/>
          <w:color w:val="auto"/>
          <w:szCs w:val="21"/>
          <w:highlight w:val="none"/>
        </w:rPr>
        <w:t>不包含竣工试验阶段。保留其一，作为双方约定。</w:t>
      </w:r>
    </w:p>
    <w:p>
      <w:pPr>
        <w:pStyle w:val="4"/>
        <w:rPr>
          <w:rFonts w:ascii="宋体" w:hAnsi="宋体"/>
          <w:color w:val="auto"/>
          <w:kern w:val="0"/>
          <w:sz w:val="21"/>
          <w:szCs w:val="21"/>
          <w:highlight w:val="none"/>
        </w:rPr>
      </w:pPr>
      <w:bookmarkStart w:id="1591" w:name="_Toc419321409"/>
      <w:bookmarkStart w:id="1592" w:name="_Toc491277416"/>
      <w:bookmarkStart w:id="1593" w:name="_Toc419320373"/>
      <w:bookmarkStart w:id="1594" w:name="_Toc419364498"/>
      <w:bookmarkStart w:id="1595" w:name="_Toc433988867"/>
      <w:bookmarkStart w:id="1596" w:name="_Toc419363831"/>
      <w:r>
        <w:rPr>
          <w:rFonts w:ascii="宋体" w:hAnsi="宋体"/>
          <w:color w:val="auto"/>
          <w:kern w:val="0"/>
          <w:sz w:val="21"/>
          <w:szCs w:val="21"/>
          <w:highlight w:val="none"/>
        </w:rPr>
        <w:t>8.1</w:t>
      </w:r>
      <w:r>
        <w:rPr>
          <w:rFonts w:hint="eastAsia" w:ascii="宋体" w:hAnsi="宋体"/>
          <w:color w:val="auto"/>
          <w:kern w:val="0"/>
          <w:sz w:val="21"/>
          <w:szCs w:val="21"/>
          <w:highlight w:val="none"/>
        </w:rPr>
        <w:t xml:space="preserve">  竣工试验的义务</w:t>
      </w:r>
      <w:bookmarkEnd w:id="1591"/>
      <w:bookmarkEnd w:id="1592"/>
      <w:bookmarkEnd w:id="1593"/>
      <w:bookmarkEnd w:id="1594"/>
      <w:bookmarkEnd w:id="1595"/>
      <w:bookmarkEnd w:id="1596"/>
    </w:p>
    <w:p>
      <w:pPr>
        <w:ind w:firstLine="630" w:firstLineChars="300"/>
        <w:rPr>
          <w:color w:val="auto"/>
          <w:highlight w:val="none"/>
        </w:rPr>
      </w:pPr>
      <w:r>
        <w:rPr>
          <w:color w:val="auto"/>
          <w:highlight w:val="none"/>
        </w:rPr>
        <w:t>8.1.1</w:t>
      </w:r>
      <w:r>
        <w:rPr>
          <w:rFonts w:hint="eastAsia"/>
          <w:color w:val="auto"/>
          <w:highlight w:val="none"/>
        </w:rPr>
        <w:t xml:space="preserve">  承包人的一般义务</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（4） 竣工试验方案</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提交竣工试验方案的份数和时间：一式六份。</w:t>
      </w:r>
    </w:p>
    <w:p>
      <w:pPr>
        <w:spacing w:line="420" w:lineRule="exact"/>
        <w:ind w:firstLine="420" w:firstLineChars="200"/>
        <w:rPr>
          <w:rFonts w:ascii="宋体" w:hAnsi="宋体"/>
          <w:color w:val="auto"/>
          <w:szCs w:val="21"/>
          <w:highlight w:val="none"/>
        </w:rPr>
      </w:pPr>
    </w:p>
    <w:p>
      <w:pPr>
        <w:pStyle w:val="2"/>
        <w:rPr>
          <w:rFonts w:ascii="宋体" w:hAnsi="宋体" w:eastAsia="宋体"/>
          <w:color w:val="auto"/>
          <w:sz w:val="28"/>
          <w:szCs w:val="28"/>
          <w:highlight w:val="none"/>
        </w:rPr>
      </w:pPr>
      <w:bookmarkStart w:id="1597" w:name="_Toc419363832"/>
      <w:bookmarkStart w:id="1598" w:name="_Toc419320374"/>
      <w:bookmarkStart w:id="1599" w:name="_Toc419364499"/>
      <w:bookmarkStart w:id="1600" w:name="_Toc419321410"/>
      <w:bookmarkStart w:id="1601" w:name="_Toc491277417"/>
      <w:bookmarkStart w:id="1602" w:name="_Toc433988868"/>
      <w:r>
        <w:rPr>
          <w:rFonts w:hint="eastAsia" w:ascii="宋体" w:hAnsi="宋体" w:eastAsia="宋体"/>
          <w:color w:val="auto"/>
          <w:sz w:val="28"/>
          <w:szCs w:val="28"/>
          <w:highlight w:val="none"/>
        </w:rPr>
        <w:t>第9条  工程接收</w:t>
      </w:r>
      <w:bookmarkEnd w:id="1597"/>
      <w:bookmarkEnd w:id="1598"/>
      <w:bookmarkEnd w:id="1599"/>
      <w:bookmarkEnd w:id="1600"/>
      <w:bookmarkEnd w:id="1601"/>
      <w:bookmarkEnd w:id="1602"/>
    </w:p>
    <w:p>
      <w:pPr>
        <w:pStyle w:val="4"/>
        <w:rPr>
          <w:rFonts w:ascii="宋体" w:hAnsi="宋体"/>
          <w:color w:val="auto"/>
          <w:kern w:val="0"/>
          <w:sz w:val="21"/>
          <w:szCs w:val="21"/>
          <w:highlight w:val="none"/>
        </w:rPr>
      </w:pPr>
      <w:bookmarkStart w:id="1603" w:name="_Toc419320375"/>
      <w:bookmarkStart w:id="1604" w:name="_Toc419363833"/>
      <w:bookmarkStart w:id="1605" w:name="_Toc491277418"/>
      <w:bookmarkStart w:id="1606" w:name="_Toc419364500"/>
      <w:bookmarkStart w:id="1607" w:name="_Toc433988869"/>
      <w:bookmarkStart w:id="1608" w:name="_Toc419321411"/>
      <w:r>
        <w:rPr>
          <w:rFonts w:ascii="宋体" w:hAnsi="宋体"/>
          <w:color w:val="auto"/>
          <w:kern w:val="0"/>
          <w:sz w:val="21"/>
          <w:szCs w:val="21"/>
          <w:highlight w:val="none"/>
        </w:rPr>
        <w:t>9.1</w:t>
      </w:r>
      <w:r>
        <w:rPr>
          <w:rFonts w:hint="eastAsia" w:ascii="宋体" w:hAnsi="宋体"/>
          <w:color w:val="auto"/>
          <w:kern w:val="0"/>
          <w:sz w:val="21"/>
          <w:szCs w:val="21"/>
          <w:highlight w:val="none"/>
        </w:rPr>
        <w:t xml:space="preserve">  工程接收</w:t>
      </w:r>
      <w:bookmarkEnd w:id="1603"/>
      <w:bookmarkEnd w:id="1604"/>
      <w:bookmarkEnd w:id="1605"/>
      <w:bookmarkEnd w:id="1606"/>
      <w:bookmarkEnd w:id="1607"/>
      <w:bookmarkEnd w:id="1608"/>
    </w:p>
    <w:p>
      <w:pPr>
        <w:spacing w:line="300" w:lineRule="auto"/>
        <w:ind w:firstLine="420" w:firstLineChars="200"/>
        <w:rPr>
          <w:color w:val="auto"/>
          <w:highlight w:val="none"/>
        </w:rPr>
      </w:pPr>
      <w:bookmarkStart w:id="1609" w:name="_Toc419320376"/>
      <w:bookmarkStart w:id="1610" w:name="_Toc419321412"/>
      <w:bookmarkStart w:id="1611" w:name="_Toc419363834"/>
      <w:r>
        <w:rPr>
          <w:color w:val="auto"/>
          <w:highlight w:val="none"/>
        </w:rPr>
        <w:t>9.1.1</w:t>
      </w:r>
      <w:r>
        <w:rPr>
          <w:rFonts w:hint="eastAsia"/>
          <w:color w:val="auto"/>
          <w:highlight w:val="none"/>
        </w:rPr>
        <w:t xml:space="preserve">  按单项工程或（和）按工程接收</w:t>
      </w:r>
      <w:bookmarkEnd w:id="1609"/>
      <w:bookmarkEnd w:id="1610"/>
      <w:bookmarkEnd w:id="1611"/>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在以下两种情况中选择其一，作为双方对工程接受的约定。</w:t>
      </w:r>
    </w:p>
    <w:p>
      <w:pPr>
        <w:adjustRightInd w:val="0"/>
        <w:snapToGrid w:val="0"/>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rPr>
        <w:sym w:font="Wingdings 2" w:char="0052"/>
      </w:r>
      <w:r>
        <w:rPr>
          <w:rFonts w:hint="eastAsia" w:ascii="宋体" w:hAnsi="宋体"/>
          <w:color w:val="auto"/>
          <w:szCs w:val="21"/>
          <w:highlight w:val="none"/>
        </w:rPr>
        <w:t xml:space="preserve"> 由承包人负责指导发包人进行单项工程或（和）工程竣工后试验，并承担试运行考核责任的，接收单项工程的先后顺序及时间安排，或接受工程的时间安排如下：</w:t>
      </w:r>
      <w:r>
        <w:rPr>
          <w:rFonts w:hint="eastAsia" w:ascii="宋体" w:hAnsi="宋体"/>
          <w:color w:val="auto"/>
          <w:szCs w:val="21"/>
          <w:highlight w:val="none"/>
          <w:u w:val="single"/>
        </w:rPr>
        <w:t>根据承包人施工组织设计确定。</w:t>
      </w:r>
    </w:p>
    <w:p>
      <w:pPr>
        <w:spacing w:line="420" w:lineRule="exact"/>
        <w:ind w:firstLine="420" w:firstLineChars="200"/>
        <w:rPr>
          <w:rFonts w:ascii="宋体" w:hAnsi="宋体"/>
          <w:color w:val="auto"/>
          <w:szCs w:val="21"/>
          <w:highlight w:val="none"/>
          <w:u w:val="single"/>
        </w:rPr>
      </w:pP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 由发包人负责单项工程或（和）工程竣工后试验及其试运行考核责任的，接收单项工程的先后顺序及时间安排，或接受工程的时间安排如下：/</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9.1.2  接收工程提交的资料</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提交竣工试验资料的类别、内容、份数和时间：</w:t>
      </w:r>
    </w:p>
    <w:p>
      <w:pPr>
        <w:pStyle w:val="2"/>
        <w:rPr>
          <w:rFonts w:ascii="宋体" w:hAnsi="宋体" w:eastAsia="宋体"/>
          <w:color w:val="auto"/>
          <w:sz w:val="28"/>
          <w:szCs w:val="28"/>
          <w:highlight w:val="none"/>
        </w:rPr>
      </w:pPr>
      <w:bookmarkStart w:id="1612" w:name="_Toc491277419"/>
      <w:bookmarkStart w:id="1613" w:name="_Toc419363835"/>
      <w:bookmarkStart w:id="1614" w:name="_Toc419320377"/>
      <w:bookmarkStart w:id="1615" w:name="_Toc419364501"/>
      <w:bookmarkStart w:id="1616" w:name="_Toc433988870"/>
      <w:bookmarkStart w:id="1617" w:name="_Toc419321413"/>
      <w:r>
        <w:rPr>
          <w:rFonts w:hint="eastAsia" w:ascii="宋体" w:hAnsi="宋体" w:eastAsia="宋体"/>
          <w:color w:val="auto"/>
          <w:sz w:val="28"/>
          <w:szCs w:val="28"/>
          <w:highlight w:val="none"/>
        </w:rPr>
        <w:t>第</w:t>
      </w:r>
      <w:r>
        <w:rPr>
          <w:rFonts w:ascii="宋体" w:hAnsi="宋体" w:eastAsia="宋体"/>
          <w:color w:val="auto"/>
          <w:sz w:val="28"/>
          <w:szCs w:val="28"/>
          <w:highlight w:val="none"/>
        </w:rPr>
        <w:t>10</w:t>
      </w:r>
      <w:r>
        <w:rPr>
          <w:rFonts w:hint="eastAsia" w:ascii="宋体" w:hAnsi="宋体" w:eastAsia="宋体"/>
          <w:color w:val="auto"/>
          <w:sz w:val="28"/>
          <w:szCs w:val="28"/>
          <w:highlight w:val="none"/>
        </w:rPr>
        <w:t>条竣工后试验</w:t>
      </w:r>
      <w:bookmarkEnd w:id="1612"/>
      <w:bookmarkEnd w:id="1613"/>
      <w:bookmarkEnd w:id="1614"/>
      <w:bookmarkEnd w:id="1615"/>
      <w:bookmarkEnd w:id="1616"/>
      <w:bookmarkEnd w:id="1617"/>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本合同包含承包人指导□竣工后试验/□不含承包人指导竣工后试验。保留其一，作为双方约定。</w:t>
      </w:r>
    </w:p>
    <w:p>
      <w:pPr>
        <w:pStyle w:val="4"/>
        <w:rPr>
          <w:rFonts w:ascii="宋体" w:hAnsi="宋体"/>
          <w:color w:val="auto"/>
          <w:kern w:val="0"/>
          <w:sz w:val="21"/>
          <w:szCs w:val="21"/>
          <w:highlight w:val="none"/>
        </w:rPr>
      </w:pPr>
      <w:bookmarkStart w:id="1618" w:name="_Toc419320378"/>
      <w:bookmarkStart w:id="1619" w:name="_Toc433988871"/>
      <w:bookmarkStart w:id="1620" w:name="_Toc419364502"/>
      <w:bookmarkStart w:id="1621" w:name="_Toc419363836"/>
      <w:bookmarkStart w:id="1622" w:name="_Toc491277420"/>
      <w:bookmarkStart w:id="1623" w:name="_Toc419321414"/>
      <w:r>
        <w:rPr>
          <w:rFonts w:ascii="宋体" w:hAnsi="宋体"/>
          <w:color w:val="auto"/>
          <w:kern w:val="0"/>
          <w:sz w:val="21"/>
          <w:szCs w:val="21"/>
          <w:highlight w:val="none"/>
        </w:rPr>
        <w:t>10.</w:t>
      </w:r>
      <w:r>
        <w:rPr>
          <w:rFonts w:hint="eastAsia" w:ascii="宋体" w:hAnsi="宋体"/>
          <w:color w:val="auto"/>
          <w:kern w:val="0"/>
          <w:sz w:val="21"/>
          <w:szCs w:val="21"/>
          <w:highlight w:val="none"/>
        </w:rPr>
        <w:t>1  权利和义务</w:t>
      </w:r>
      <w:bookmarkEnd w:id="1618"/>
      <w:bookmarkEnd w:id="1619"/>
      <w:bookmarkEnd w:id="1620"/>
      <w:bookmarkEnd w:id="1621"/>
      <w:bookmarkEnd w:id="1622"/>
      <w:bookmarkEnd w:id="1623"/>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10.1.1  发包人的权利和义务</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（6） 其它义务和工作：/</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10.1.2  承包人的责任和义务</w:t>
      </w:r>
    </w:p>
    <w:p>
      <w:pPr>
        <w:spacing w:line="42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 竣工后试验方案的份数和完成时间：</w:t>
      </w:r>
      <w:r>
        <w:rPr>
          <w:rFonts w:hint="eastAsia" w:ascii="宋体" w:hAnsi="宋体"/>
          <w:color w:val="auto"/>
          <w:szCs w:val="21"/>
          <w:highlight w:val="none"/>
          <w:u w:val="single"/>
        </w:rPr>
        <w:t xml:space="preserve"> 2份，竣工后试验开始14天前提交； </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（7） 其它义务和工作：/</w:t>
      </w:r>
    </w:p>
    <w:p>
      <w:pPr>
        <w:pStyle w:val="4"/>
        <w:rPr>
          <w:rFonts w:ascii="宋体" w:hAnsi="宋体"/>
          <w:color w:val="auto"/>
          <w:kern w:val="0"/>
          <w:sz w:val="21"/>
          <w:szCs w:val="21"/>
          <w:highlight w:val="none"/>
        </w:rPr>
      </w:pPr>
      <w:bookmarkStart w:id="1624" w:name="_Toc419321415"/>
      <w:bookmarkStart w:id="1625" w:name="_Toc419320379"/>
      <w:bookmarkStart w:id="1626" w:name="_Toc419363837"/>
      <w:bookmarkStart w:id="1627" w:name="_Toc491277421"/>
      <w:bookmarkStart w:id="1628" w:name="_Toc419364503"/>
      <w:bookmarkStart w:id="1629" w:name="_Toc433988872"/>
      <w:r>
        <w:rPr>
          <w:rFonts w:ascii="宋体" w:hAnsi="宋体"/>
          <w:color w:val="auto"/>
          <w:kern w:val="0"/>
          <w:sz w:val="21"/>
          <w:szCs w:val="21"/>
          <w:highlight w:val="none"/>
        </w:rPr>
        <w:t>10.2</w:t>
      </w:r>
      <w:r>
        <w:rPr>
          <w:rFonts w:hint="eastAsia" w:ascii="宋体" w:hAnsi="宋体"/>
          <w:color w:val="auto"/>
          <w:kern w:val="0"/>
          <w:sz w:val="21"/>
          <w:szCs w:val="21"/>
          <w:highlight w:val="none"/>
        </w:rPr>
        <w:t xml:space="preserve">  竣工后试验程序</w:t>
      </w:r>
      <w:bookmarkEnd w:id="1624"/>
      <w:bookmarkEnd w:id="1625"/>
      <w:bookmarkEnd w:id="1626"/>
      <w:bookmarkEnd w:id="1627"/>
      <w:bookmarkEnd w:id="1628"/>
      <w:bookmarkEnd w:id="1629"/>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10.2.5竣工后试验日期的通知</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单项工程或（和）工程竣工后试验开始日期的约定：</w:t>
      </w:r>
      <w:r>
        <w:rPr>
          <w:rFonts w:hint="eastAsia" w:ascii="宋体" w:hAnsi="宋体"/>
          <w:color w:val="auto"/>
          <w:szCs w:val="21"/>
          <w:highlight w:val="none"/>
          <w:u w:val="single"/>
        </w:rPr>
        <w:t>根据发包人批准的承包人施工组织设计确定</w:t>
      </w:r>
    </w:p>
    <w:p>
      <w:pPr>
        <w:spacing w:line="420" w:lineRule="exact"/>
        <w:ind w:firstLine="420" w:firstLineChars="200"/>
        <w:rPr>
          <w:rFonts w:ascii="宋体" w:hAnsi="宋体"/>
          <w:color w:val="auto"/>
          <w:szCs w:val="21"/>
          <w:highlight w:val="none"/>
        </w:rPr>
      </w:pPr>
    </w:p>
    <w:p>
      <w:pPr>
        <w:pStyle w:val="4"/>
        <w:rPr>
          <w:rFonts w:ascii="宋体" w:hAnsi="宋体"/>
          <w:color w:val="auto"/>
          <w:kern w:val="0"/>
          <w:sz w:val="21"/>
          <w:szCs w:val="21"/>
          <w:highlight w:val="none"/>
        </w:rPr>
      </w:pPr>
      <w:bookmarkStart w:id="1630" w:name="_Toc491277422"/>
      <w:bookmarkStart w:id="1631" w:name="_Toc419363838"/>
      <w:bookmarkStart w:id="1632" w:name="_Toc433988873"/>
      <w:bookmarkStart w:id="1633" w:name="_Toc419320380"/>
      <w:bookmarkStart w:id="1634" w:name="_Toc419321416"/>
      <w:bookmarkStart w:id="1635" w:name="_Toc419364504"/>
      <w:r>
        <w:rPr>
          <w:rFonts w:ascii="宋体" w:hAnsi="宋体"/>
          <w:color w:val="auto"/>
          <w:kern w:val="0"/>
          <w:sz w:val="21"/>
          <w:szCs w:val="21"/>
          <w:highlight w:val="none"/>
        </w:rPr>
        <w:t>10.</w:t>
      </w:r>
      <w:r>
        <w:rPr>
          <w:rFonts w:hint="eastAsia" w:ascii="宋体" w:hAnsi="宋体"/>
          <w:color w:val="auto"/>
          <w:kern w:val="0"/>
          <w:sz w:val="21"/>
          <w:szCs w:val="21"/>
          <w:highlight w:val="none"/>
        </w:rPr>
        <w:t>3  竣工后试验及试运行考核</w:t>
      </w:r>
      <w:bookmarkEnd w:id="1630"/>
      <w:bookmarkEnd w:id="1631"/>
      <w:bookmarkEnd w:id="1632"/>
      <w:bookmarkEnd w:id="1633"/>
      <w:bookmarkEnd w:id="1634"/>
      <w:bookmarkEnd w:id="1635"/>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10.3.3 试运行考核</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（3）试运行考核周期：</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小时（或日、周、月、年）</w:t>
      </w:r>
    </w:p>
    <w:p>
      <w:pPr>
        <w:pStyle w:val="4"/>
        <w:rPr>
          <w:rFonts w:ascii="宋体" w:hAnsi="宋体"/>
          <w:color w:val="auto"/>
          <w:kern w:val="0"/>
          <w:sz w:val="21"/>
          <w:szCs w:val="21"/>
          <w:highlight w:val="none"/>
        </w:rPr>
      </w:pPr>
      <w:bookmarkStart w:id="1636" w:name="_Toc491277423"/>
      <w:bookmarkStart w:id="1637" w:name="_Toc433988874"/>
      <w:bookmarkStart w:id="1638" w:name="_Toc419363839"/>
      <w:bookmarkStart w:id="1639" w:name="_Toc419320381"/>
      <w:bookmarkStart w:id="1640" w:name="_Toc419321417"/>
      <w:bookmarkStart w:id="1641" w:name="_Toc419364505"/>
      <w:r>
        <w:rPr>
          <w:rFonts w:ascii="宋体" w:hAnsi="宋体"/>
          <w:color w:val="auto"/>
          <w:kern w:val="0"/>
          <w:sz w:val="21"/>
          <w:szCs w:val="21"/>
          <w:highlight w:val="none"/>
        </w:rPr>
        <w:t>10.</w:t>
      </w:r>
      <w:r>
        <w:rPr>
          <w:rFonts w:hint="eastAsia" w:ascii="宋体" w:hAnsi="宋体"/>
          <w:color w:val="auto"/>
          <w:kern w:val="0"/>
          <w:sz w:val="21"/>
          <w:szCs w:val="21"/>
          <w:highlight w:val="none"/>
        </w:rPr>
        <w:t>6  未能通过考核</w:t>
      </w:r>
      <w:bookmarkEnd w:id="1636"/>
      <w:bookmarkEnd w:id="1637"/>
      <w:bookmarkEnd w:id="1638"/>
      <w:bookmarkEnd w:id="1639"/>
      <w:bookmarkEnd w:id="1640"/>
      <w:bookmarkEnd w:id="1641"/>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（1）未能通过试运行考核的赔偿</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1）承包人提供的生产工艺技术或建筑设计方案未能通过试运行考核的赔偿</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根据工程情况，在以下方式中选择一项，作为双方的考核赔偿约定，</w:t>
      </w:r>
    </w:p>
    <w:p>
      <w:pPr>
        <w:numPr>
          <w:ilvl w:val="0"/>
          <w:numId w:val="4"/>
        </w:numPr>
        <w:spacing w:line="420" w:lineRule="exact"/>
        <w:rPr>
          <w:rFonts w:ascii="宋体" w:hAnsi="宋体"/>
          <w:color w:val="auto"/>
          <w:szCs w:val="21"/>
          <w:highlight w:val="none"/>
        </w:rPr>
      </w:pPr>
      <w:r>
        <w:rPr>
          <w:rFonts w:hint="eastAsia" w:ascii="宋体" w:hAnsi="宋体"/>
          <w:color w:val="auto"/>
          <w:highlight w:val="none"/>
        </w:rPr>
        <w:t xml:space="preserve"> 各单项工程的赔偿金额（或赔偿公式）分别为：</w:t>
      </w:r>
      <w:r>
        <w:rPr>
          <w:rFonts w:hint="eastAsia" w:ascii="宋体" w:hAnsi="宋体"/>
          <w:color w:val="auto"/>
          <w:szCs w:val="21"/>
          <w:highlight w:val="none"/>
          <w:u w:val="single"/>
        </w:rPr>
        <w:t xml:space="preserve">按通用条款及相关法律法规执行 </w:t>
      </w:r>
    </w:p>
    <w:p>
      <w:pPr>
        <w:numPr>
          <w:ilvl w:val="0"/>
          <w:numId w:val="5"/>
        </w:numPr>
        <w:adjustRightInd w:val="0"/>
        <w:snapToGrid w:val="0"/>
        <w:spacing w:line="440" w:lineRule="exact"/>
        <w:rPr>
          <w:rFonts w:ascii="宋体" w:hAnsi="宋体"/>
          <w:color w:val="auto"/>
          <w:szCs w:val="21"/>
          <w:highlight w:val="none"/>
        </w:rPr>
      </w:pPr>
      <w:r>
        <w:rPr>
          <w:rFonts w:hint="eastAsia" w:ascii="宋体" w:hAnsi="宋体"/>
          <w:color w:val="auto"/>
          <w:szCs w:val="21"/>
          <w:highlight w:val="none"/>
        </w:rPr>
        <w:t xml:space="preserve">  工程的赔偿金额（或赔偿公式）：</w:t>
      </w:r>
      <w:r>
        <w:rPr>
          <w:rFonts w:hint="eastAsia" w:ascii="宋体" w:hAnsi="宋体"/>
          <w:color w:val="auto"/>
          <w:szCs w:val="21"/>
          <w:highlight w:val="none"/>
          <w:u w:val="single"/>
        </w:rPr>
        <w:t>按通用条款及相关法律法规执行</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2）发包人提供的生产工艺技术或建筑设计方案未能通过试运行考核的赔偿</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其中，</w:t>
      </w:r>
    </w:p>
    <w:p>
      <w:pPr>
        <w:spacing w:line="420" w:lineRule="exact"/>
        <w:ind w:firstLine="420" w:firstLineChars="200"/>
        <w:rPr>
          <w:rFonts w:ascii="宋体" w:hAnsi="宋体"/>
          <w:color w:val="auto"/>
          <w:szCs w:val="21"/>
          <w:highlight w:val="none"/>
          <w:u w:val="single"/>
        </w:rPr>
      </w:pPr>
      <w:r>
        <w:rPr>
          <w:rFonts w:hint="eastAsia" w:ascii="宋体" w:hAnsi="宋体"/>
          <w:color w:val="auto"/>
          <w:szCs w:val="21"/>
          <w:highlight w:val="none"/>
        </w:rPr>
        <w:t>承包人应承担相关责任的赔偿金额（或赔偿公式）分别为：</w:t>
      </w:r>
      <w:r>
        <w:rPr>
          <w:rFonts w:hint="eastAsia" w:ascii="宋体" w:hAnsi="宋体"/>
          <w:color w:val="auto"/>
          <w:szCs w:val="21"/>
          <w:highlight w:val="none"/>
          <w:u w:val="single"/>
        </w:rPr>
        <w:t xml:space="preserve">   /    </w:t>
      </w:r>
    </w:p>
    <w:p>
      <w:pPr>
        <w:pStyle w:val="4"/>
        <w:rPr>
          <w:rFonts w:ascii="宋体" w:hAnsi="宋体"/>
          <w:color w:val="auto"/>
          <w:kern w:val="0"/>
          <w:sz w:val="21"/>
          <w:szCs w:val="21"/>
          <w:highlight w:val="none"/>
        </w:rPr>
      </w:pPr>
      <w:bookmarkStart w:id="1642" w:name="_Toc491277424"/>
      <w:bookmarkStart w:id="1643" w:name="_Toc419320382"/>
      <w:bookmarkStart w:id="1644" w:name="_Toc419363840"/>
      <w:bookmarkStart w:id="1645" w:name="_Toc419321418"/>
      <w:bookmarkStart w:id="1646" w:name="_Toc419364506"/>
      <w:bookmarkStart w:id="1647" w:name="_Toc433988875"/>
      <w:r>
        <w:rPr>
          <w:rFonts w:ascii="宋体" w:hAnsi="宋体"/>
          <w:color w:val="auto"/>
          <w:kern w:val="0"/>
          <w:sz w:val="21"/>
          <w:szCs w:val="21"/>
          <w:highlight w:val="none"/>
        </w:rPr>
        <w:t>10.</w:t>
      </w:r>
      <w:r>
        <w:rPr>
          <w:rFonts w:hint="eastAsia" w:ascii="宋体" w:hAnsi="宋体"/>
          <w:color w:val="auto"/>
          <w:kern w:val="0"/>
          <w:sz w:val="21"/>
          <w:szCs w:val="21"/>
          <w:highlight w:val="none"/>
        </w:rPr>
        <w:t>7  考核验收证书</w:t>
      </w:r>
      <w:bookmarkEnd w:id="1642"/>
      <w:bookmarkEnd w:id="1643"/>
      <w:bookmarkEnd w:id="1644"/>
      <w:bookmarkEnd w:id="1645"/>
      <w:bookmarkEnd w:id="1646"/>
      <w:bookmarkEnd w:id="1647"/>
    </w:p>
    <w:p>
      <w:pPr>
        <w:spacing w:line="420" w:lineRule="exact"/>
        <w:ind w:firstLine="420" w:firstLineChars="200"/>
        <w:rPr>
          <w:rFonts w:ascii="宋体" w:hAnsi="宋体"/>
          <w:color w:val="auto"/>
          <w:szCs w:val="21"/>
          <w:highlight w:val="none"/>
        </w:rPr>
      </w:pPr>
      <w:r>
        <w:rPr>
          <w:rFonts w:ascii="宋体" w:hAnsi="宋体"/>
          <w:color w:val="auto"/>
          <w:szCs w:val="21"/>
          <w:highlight w:val="none"/>
        </w:rPr>
        <w:t>10.</w:t>
      </w:r>
      <w:r>
        <w:rPr>
          <w:rFonts w:hint="eastAsia" w:ascii="宋体" w:hAnsi="宋体"/>
          <w:color w:val="auto"/>
          <w:szCs w:val="21"/>
          <w:highlight w:val="none"/>
        </w:rPr>
        <w:t>7</w:t>
      </w:r>
      <w:r>
        <w:rPr>
          <w:rFonts w:ascii="宋体" w:hAnsi="宋体"/>
          <w:color w:val="auto"/>
          <w:szCs w:val="21"/>
          <w:highlight w:val="none"/>
        </w:rPr>
        <w:t>.1</w:t>
      </w:r>
      <w:r>
        <w:rPr>
          <w:rFonts w:hint="eastAsia" w:ascii="宋体" w:hAnsi="宋体"/>
          <w:color w:val="auto"/>
          <w:szCs w:val="21"/>
          <w:highlight w:val="none"/>
        </w:rPr>
        <w:t>在以下方式中选择其一，作为颁发竣工后试验及考核验收证书的约定。</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 xml:space="preserve"> 按工程颁发竣工后试验及考核验收证书</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 按单项工程和工程颁发竣工后试验及考核验收证书</w:t>
      </w:r>
    </w:p>
    <w:p>
      <w:pPr>
        <w:pStyle w:val="2"/>
        <w:rPr>
          <w:rFonts w:ascii="宋体" w:hAnsi="宋体" w:eastAsia="宋体"/>
          <w:color w:val="auto"/>
          <w:sz w:val="28"/>
          <w:szCs w:val="28"/>
          <w:highlight w:val="none"/>
        </w:rPr>
      </w:pPr>
      <w:bookmarkStart w:id="1648" w:name="_Toc419321419"/>
      <w:bookmarkStart w:id="1649" w:name="_Toc433988876"/>
      <w:bookmarkStart w:id="1650" w:name="_Toc419320383"/>
      <w:bookmarkStart w:id="1651" w:name="_Toc419364507"/>
      <w:bookmarkStart w:id="1652" w:name="_Toc419363841"/>
      <w:bookmarkStart w:id="1653" w:name="_Toc491277425"/>
      <w:r>
        <w:rPr>
          <w:rFonts w:ascii="宋体" w:hAnsi="宋体" w:eastAsia="宋体"/>
          <w:color w:val="auto"/>
          <w:sz w:val="28"/>
          <w:szCs w:val="28"/>
          <w:highlight w:val="none"/>
        </w:rPr>
        <w:t>第11条 质量保修责任</w:t>
      </w:r>
      <w:bookmarkEnd w:id="1648"/>
      <w:bookmarkEnd w:id="1649"/>
      <w:bookmarkEnd w:id="1650"/>
      <w:bookmarkEnd w:id="1651"/>
      <w:bookmarkEnd w:id="1652"/>
      <w:bookmarkEnd w:id="1653"/>
    </w:p>
    <w:p>
      <w:pPr>
        <w:pStyle w:val="4"/>
        <w:rPr>
          <w:rFonts w:ascii="宋体" w:hAnsi="宋体"/>
          <w:color w:val="auto"/>
          <w:kern w:val="0"/>
          <w:sz w:val="21"/>
          <w:szCs w:val="21"/>
          <w:highlight w:val="none"/>
        </w:rPr>
      </w:pPr>
      <w:bookmarkStart w:id="1654" w:name="_Toc419320384"/>
      <w:bookmarkStart w:id="1655" w:name="_Toc433988877"/>
      <w:bookmarkStart w:id="1656" w:name="_Toc419321420"/>
      <w:bookmarkStart w:id="1657" w:name="_Toc491277426"/>
      <w:bookmarkStart w:id="1658" w:name="_Toc419364508"/>
      <w:bookmarkStart w:id="1659" w:name="_Toc419363842"/>
      <w:r>
        <w:rPr>
          <w:rFonts w:hint="eastAsia" w:ascii="宋体" w:hAnsi="宋体"/>
          <w:color w:val="auto"/>
          <w:kern w:val="0"/>
          <w:sz w:val="21"/>
          <w:szCs w:val="21"/>
          <w:highlight w:val="none"/>
        </w:rPr>
        <w:t>11.2  缺陷责任保修金</w:t>
      </w:r>
      <w:bookmarkEnd w:id="1654"/>
      <w:bookmarkEnd w:id="1655"/>
      <w:bookmarkEnd w:id="1656"/>
      <w:bookmarkEnd w:id="1657"/>
      <w:bookmarkEnd w:id="1658"/>
      <w:bookmarkEnd w:id="1659"/>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11.2.1  缺陷责任保修金金额</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缺陷责任保修金金额为合同协议书约定的建筑安装工程费（含设备采购费）的</w:t>
      </w:r>
      <w:r>
        <w:rPr>
          <w:rFonts w:hint="eastAsia" w:ascii="宋体" w:hAnsi="宋体"/>
          <w:color w:val="auto"/>
          <w:szCs w:val="21"/>
          <w:highlight w:val="none"/>
          <w:u w:val="single"/>
        </w:rPr>
        <w:t xml:space="preserve"> 3 </w:t>
      </w:r>
      <w:r>
        <w:rPr>
          <w:rFonts w:hint="eastAsia" w:ascii="宋体" w:hAnsi="宋体"/>
          <w:color w:val="auto"/>
          <w:szCs w:val="21"/>
          <w:highlight w:val="none"/>
        </w:rPr>
        <w:t xml:space="preserve"> %。（根据建质</w:t>
      </w:r>
      <w:r>
        <w:rPr>
          <w:rFonts w:hint="eastAsia"/>
          <w:color w:val="auto"/>
          <w:highlight w:val="none"/>
        </w:rPr>
        <w:t>〔2017〕</w:t>
      </w:r>
      <w:r>
        <w:rPr>
          <w:rFonts w:hint="eastAsia" w:ascii="宋体" w:hAnsi="宋体"/>
          <w:color w:val="auto"/>
          <w:szCs w:val="21"/>
          <w:highlight w:val="none"/>
        </w:rPr>
        <w:t>138号文，最高不超过建筑安装工程费（含设备采购费）的3%。形式可采用现金或银行保函或工程保险保证）</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11.2.2  缺陷责任保修金金额的暂扣</w:t>
      </w:r>
    </w:p>
    <w:p>
      <w:pPr>
        <w:spacing w:line="420" w:lineRule="exact"/>
        <w:ind w:firstLine="420" w:firstLineChars="200"/>
        <w:rPr>
          <w:rFonts w:ascii="宋体" w:hAnsi="宋体"/>
          <w:color w:val="auto"/>
          <w:sz w:val="28"/>
          <w:szCs w:val="28"/>
          <w:highlight w:val="none"/>
          <w:u w:val="single"/>
        </w:rPr>
      </w:pPr>
      <w:r>
        <w:rPr>
          <w:rFonts w:hint="eastAsia" w:ascii="宋体" w:hAnsi="宋体"/>
          <w:color w:val="auto"/>
          <w:szCs w:val="21"/>
          <w:highlight w:val="none"/>
        </w:rPr>
        <w:t>缺陷责任保修金金额的暂扣方式：</w:t>
      </w:r>
      <w:r>
        <w:rPr>
          <w:rFonts w:hint="eastAsia" w:ascii="宋体" w:hAnsi="宋体"/>
          <w:color w:val="auto"/>
          <w:szCs w:val="21"/>
          <w:highlight w:val="none"/>
          <w:u w:val="single"/>
        </w:rPr>
        <w:t xml:space="preserve">工程款中对应缺陷责任保修金金额部分暂扣，缺陷责任期满后28日内将相应缺陷责任保修金无息返支付给承包人       </w:t>
      </w:r>
    </w:p>
    <w:p>
      <w:pPr>
        <w:pStyle w:val="2"/>
        <w:rPr>
          <w:rFonts w:ascii="宋体" w:hAnsi="宋体" w:eastAsia="宋体"/>
          <w:color w:val="auto"/>
          <w:sz w:val="28"/>
          <w:szCs w:val="28"/>
          <w:highlight w:val="none"/>
        </w:rPr>
      </w:pPr>
      <w:bookmarkStart w:id="1660" w:name="_Toc419364509"/>
      <w:bookmarkStart w:id="1661" w:name="_Toc419321421"/>
      <w:bookmarkStart w:id="1662" w:name="_Toc433988878"/>
      <w:bookmarkStart w:id="1663" w:name="_Toc419363843"/>
      <w:bookmarkStart w:id="1664" w:name="_Toc419320385"/>
      <w:bookmarkStart w:id="1665" w:name="_Toc491277427"/>
      <w:r>
        <w:rPr>
          <w:rFonts w:hint="eastAsia" w:ascii="宋体" w:hAnsi="宋体" w:eastAsia="宋体"/>
          <w:color w:val="auto"/>
          <w:sz w:val="28"/>
          <w:szCs w:val="28"/>
          <w:highlight w:val="none"/>
        </w:rPr>
        <w:t>第</w:t>
      </w:r>
      <w:r>
        <w:rPr>
          <w:rFonts w:ascii="宋体" w:hAnsi="宋体" w:eastAsia="宋体"/>
          <w:color w:val="auto"/>
          <w:sz w:val="28"/>
          <w:szCs w:val="28"/>
          <w:highlight w:val="none"/>
        </w:rPr>
        <w:t>12</w:t>
      </w:r>
      <w:r>
        <w:rPr>
          <w:rFonts w:hint="eastAsia" w:ascii="宋体" w:hAnsi="宋体" w:eastAsia="宋体"/>
          <w:color w:val="auto"/>
          <w:sz w:val="28"/>
          <w:szCs w:val="28"/>
          <w:highlight w:val="none"/>
        </w:rPr>
        <w:t>条工程竣工验收</w:t>
      </w:r>
      <w:bookmarkEnd w:id="1660"/>
      <w:bookmarkEnd w:id="1661"/>
      <w:bookmarkEnd w:id="1662"/>
      <w:bookmarkEnd w:id="1663"/>
      <w:bookmarkEnd w:id="1664"/>
      <w:bookmarkEnd w:id="1665"/>
    </w:p>
    <w:p>
      <w:pPr>
        <w:pStyle w:val="4"/>
        <w:rPr>
          <w:rFonts w:ascii="宋体" w:hAnsi="宋体"/>
          <w:color w:val="auto"/>
          <w:kern w:val="0"/>
          <w:sz w:val="21"/>
          <w:szCs w:val="21"/>
          <w:highlight w:val="none"/>
        </w:rPr>
      </w:pPr>
      <w:bookmarkStart w:id="1666" w:name="_Toc419320386"/>
      <w:bookmarkStart w:id="1667" w:name="_Toc433988879"/>
      <w:bookmarkStart w:id="1668" w:name="_Toc419321422"/>
      <w:bookmarkStart w:id="1669" w:name="_Toc419364510"/>
      <w:bookmarkStart w:id="1670" w:name="_Toc491277428"/>
      <w:bookmarkStart w:id="1671" w:name="_Toc419363844"/>
      <w:r>
        <w:rPr>
          <w:rFonts w:ascii="宋体" w:hAnsi="宋体"/>
          <w:color w:val="auto"/>
          <w:kern w:val="0"/>
          <w:sz w:val="21"/>
          <w:szCs w:val="21"/>
          <w:highlight w:val="none"/>
        </w:rPr>
        <w:t>12.1</w:t>
      </w:r>
      <w:r>
        <w:rPr>
          <w:rFonts w:hint="eastAsia" w:ascii="宋体" w:hAnsi="宋体"/>
          <w:color w:val="auto"/>
          <w:kern w:val="0"/>
          <w:sz w:val="21"/>
          <w:szCs w:val="21"/>
          <w:highlight w:val="none"/>
        </w:rPr>
        <w:t xml:space="preserve">  竣工资料及竣工验收报告</w:t>
      </w:r>
      <w:bookmarkEnd w:id="1666"/>
      <w:bookmarkEnd w:id="1667"/>
      <w:bookmarkEnd w:id="1668"/>
      <w:bookmarkEnd w:id="1669"/>
      <w:bookmarkEnd w:id="1670"/>
      <w:bookmarkEnd w:id="1671"/>
    </w:p>
    <w:p>
      <w:pPr>
        <w:spacing w:line="420" w:lineRule="exact"/>
        <w:ind w:firstLine="420" w:firstLineChars="200"/>
        <w:rPr>
          <w:rFonts w:ascii="宋体" w:hAnsi="宋体"/>
          <w:color w:val="auto"/>
          <w:szCs w:val="21"/>
          <w:highlight w:val="none"/>
        </w:rPr>
      </w:pPr>
      <w:r>
        <w:rPr>
          <w:rFonts w:ascii="宋体" w:hAnsi="宋体"/>
          <w:color w:val="auto"/>
          <w:szCs w:val="21"/>
          <w:highlight w:val="none"/>
        </w:rPr>
        <w:t>12.1.1</w:t>
      </w:r>
      <w:r>
        <w:rPr>
          <w:rFonts w:hint="eastAsia" w:ascii="宋体" w:hAnsi="宋体"/>
          <w:color w:val="auto"/>
          <w:szCs w:val="21"/>
          <w:highlight w:val="none"/>
        </w:rPr>
        <w:t>竣工资料和竣工验收报告</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竣工验收报告的格式、份数和提交时间：</w:t>
      </w:r>
      <w:r>
        <w:rPr>
          <w:rFonts w:hint="eastAsia" w:ascii="宋体" w:hAnsi="宋体"/>
          <w:color w:val="auto"/>
          <w:szCs w:val="21"/>
          <w:highlight w:val="none"/>
          <w:u w:val="single"/>
        </w:rPr>
        <w:t>格式及份数按照行业相关规定和发包人的要求确定，竣工试验后7天内</w:t>
      </w:r>
    </w:p>
    <w:p>
      <w:pPr>
        <w:spacing w:line="420" w:lineRule="exact"/>
        <w:ind w:firstLine="420" w:firstLineChars="200"/>
        <w:rPr>
          <w:rFonts w:ascii="宋体" w:hAnsi="宋体"/>
          <w:color w:val="auto"/>
          <w:szCs w:val="21"/>
          <w:highlight w:val="none"/>
        </w:rPr>
      </w:pP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完整竣工资料的格式、份数和提交时间：</w:t>
      </w:r>
      <w:r>
        <w:rPr>
          <w:rFonts w:hint="eastAsia" w:ascii="宋体" w:hAnsi="宋体"/>
          <w:color w:val="auto"/>
          <w:szCs w:val="21"/>
          <w:highlight w:val="none"/>
          <w:u w:val="single"/>
        </w:rPr>
        <w:t>格式及份数按照行业相关规定和发包人的要求确定，竣工试验后7天内</w:t>
      </w:r>
    </w:p>
    <w:p>
      <w:pPr>
        <w:spacing w:line="420" w:lineRule="exact"/>
        <w:ind w:firstLine="420" w:firstLineChars="200"/>
        <w:rPr>
          <w:rFonts w:ascii="宋体" w:hAnsi="宋体"/>
          <w:color w:val="auto"/>
          <w:szCs w:val="21"/>
          <w:highlight w:val="none"/>
        </w:rPr>
      </w:pPr>
    </w:p>
    <w:p>
      <w:pPr>
        <w:pStyle w:val="2"/>
        <w:rPr>
          <w:rFonts w:ascii="宋体" w:hAnsi="宋体" w:eastAsia="宋体"/>
          <w:color w:val="auto"/>
          <w:sz w:val="28"/>
          <w:szCs w:val="28"/>
          <w:highlight w:val="none"/>
        </w:rPr>
      </w:pPr>
      <w:bookmarkStart w:id="1672" w:name="_Toc419321423"/>
      <w:bookmarkStart w:id="1673" w:name="_Toc433988880"/>
      <w:bookmarkStart w:id="1674" w:name="_Toc419363845"/>
      <w:bookmarkStart w:id="1675" w:name="_Toc491277429"/>
      <w:bookmarkStart w:id="1676" w:name="_Toc419320387"/>
      <w:bookmarkStart w:id="1677" w:name="_Toc419364511"/>
      <w:r>
        <w:rPr>
          <w:rFonts w:hint="eastAsia" w:ascii="宋体" w:hAnsi="宋体" w:eastAsia="宋体"/>
          <w:color w:val="auto"/>
          <w:sz w:val="28"/>
          <w:szCs w:val="28"/>
          <w:highlight w:val="none"/>
        </w:rPr>
        <w:t>第</w:t>
      </w:r>
      <w:r>
        <w:rPr>
          <w:rFonts w:ascii="宋体" w:hAnsi="宋体" w:eastAsia="宋体"/>
          <w:color w:val="auto"/>
          <w:sz w:val="28"/>
          <w:szCs w:val="28"/>
          <w:highlight w:val="none"/>
        </w:rPr>
        <w:t>13</w:t>
      </w:r>
      <w:r>
        <w:rPr>
          <w:rFonts w:hint="eastAsia" w:ascii="宋体" w:hAnsi="宋体" w:eastAsia="宋体"/>
          <w:color w:val="auto"/>
          <w:sz w:val="28"/>
          <w:szCs w:val="28"/>
          <w:highlight w:val="none"/>
        </w:rPr>
        <w:t>条变更和合同价格调整</w:t>
      </w:r>
      <w:bookmarkEnd w:id="1672"/>
      <w:bookmarkEnd w:id="1673"/>
      <w:bookmarkEnd w:id="1674"/>
      <w:bookmarkEnd w:id="1675"/>
      <w:bookmarkEnd w:id="1676"/>
      <w:bookmarkEnd w:id="1677"/>
    </w:p>
    <w:p>
      <w:pPr>
        <w:pStyle w:val="4"/>
        <w:rPr>
          <w:rFonts w:ascii="宋体" w:hAnsi="宋体"/>
          <w:color w:val="auto"/>
          <w:kern w:val="0"/>
          <w:sz w:val="21"/>
          <w:szCs w:val="21"/>
          <w:highlight w:val="none"/>
        </w:rPr>
      </w:pPr>
      <w:bookmarkStart w:id="1678" w:name="_Toc433988881"/>
      <w:bookmarkStart w:id="1679" w:name="_Toc491277430"/>
      <w:bookmarkStart w:id="1680" w:name="_Toc419320388"/>
      <w:bookmarkStart w:id="1681" w:name="_Toc419364512"/>
      <w:bookmarkStart w:id="1682" w:name="_Toc419321424"/>
      <w:bookmarkStart w:id="1683" w:name="_Toc419363846"/>
      <w:r>
        <w:rPr>
          <w:rFonts w:hint="eastAsia" w:ascii="宋体" w:hAnsi="宋体"/>
          <w:color w:val="auto"/>
          <w:kern w:val="0"/>
          <w:sz w:val="21"/>
          <w:szCs w:val="21"/>
          <w:highlight w:val="none"/>
        </w:rPr>
        <w:t>13</w:t>
      </w:r>
      <w:r>
        <w:rPr>
          <w:rFonts w:ascii="宋体" w:hAnsi="宋体"/>
          <w:color w:val="auto"/>
          <w:kern w:val="0"/>
          <w:sz w:val="21"/>
          <w:szCs w:val="21"/>
          <w:highlight w:val="none"/>
        </w:rPr>
        <w:t>.</w:t>
      </w:r>
      <w:r>
        <w:rPr>
          <w:rFonts w:hint="eastAsia" w:ascii="宋体" w:hAnsi="宋体"/>
          <w:color w:val="auto"/>
          <w:kern w:val="0"/>
          <w:sz w:val="21"/>
          <w:szCs w:val="21"/>
          <w:highlight w:val="none"/>
        </w:rPr>
        <w:t>2变更范围</w:t>
      </w:r>
      <w:bookmarkEnd w:id="1678"/>
      <w:bookmarkEnd w:id="1679"/>
      <w:bookmarkEnd w:id="1680"/>
      <w:bookmarkEnd w:id="1681"/>
      <w:bookmarkEnd w:id="1682"/>
      <w:bookmarkEnd w:id="1683"/>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13.2.6其它变更</w:t>
      </w:r>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双方根据本工程特点，商定的其它变更范围：</w:t>
      </w:r>
      <w:r>
        <w:rPr>
          <w:rFonts w:hint="eastAsia" w:ascii="宋体" w:hAnsi="宋体"/>
          <w:color w:val="auto"/>
          <w:szCs w:val="21"/>
          <w:highlight w:val="none"/>
          <w:u w:val="single"/>
        </w:rPr>
        <w:t>/</w:t>
      </w:r>
    </w:p>
    <w:p>
      <w:pPr>
        <w:spacing w:line="420" w:lineRule="exact"/>
        <w:ind w:firstLine="420" w:firstLineChars="200"/>
        <w:rPr>
          <w:rFonts w:ascii="宋体" w:hAnsi="宋体"/>
          <w:color w:val="auto"/>
          <w:szCs w:val="21"/>
          <w:highlight w:val="none"/>
        </w:rPr>
      </w:pPr>
    </w:p>
    <w:p>
      <w:pPr>
        <w:pStyle w:val="4"/>
        <w:rPr>
          <w:rFonts w:ascii="宋体" w:hAnsi="宋体"/>
          <w:b w:val="0"/>
          <w:color w:val="auto"/>
          <w:sz w:val="28"/>
          <w:szCs w:val="28"/>
          <w:highlight w:val="none"/>
        </w:rPr>
      </w:pPr>
      <w:bookmarkStart w:id="1684" w:name="_Toc419321425"/>
      <w:bookmarkStart w:id="1685" w:name="_Toc419320389"/>
      <w:bookmarkStart w:id="1686" w:name="_Toc491277431"/>
      <w:bookmarkStart w:id="1687" w:name="_Toc433988882"/>
      <w:bookmarkStart w:id="1688" w:name="_Toc419363847"/>
      <w:bookmarkStart w:id="1689" w:name="_Toc419364513"/>
      <w:r>
        <w:rPr>
          <w:rFonts w:ascii="宋体" w:hAnsi="宋体"/>
          <w:color w:val="auto"/>
          <w:kern w:val="0"/>
          <w:sz w:val="21"/>
          <w:szCs w:val="21"/>
          <w:highlight w:val="none"/>
        </w:rPr>
        <w:t>13.</w:t>
      </w:r>
      <w:r>
        <w:rPr>
          <w:rFonts w:hint="eastAsia" w:ascii="宋体" w:hAnsi="宋体"/>
          <w:color w:val="auto"/>
          <w:kern w:val="0"/>
          <w:sz w:val="21"/>
          <w:szCs w:val="21"/>
          <w:highlight w:val="none"/>
        </w:rPr>
        <w:t>5  变更价款确定</w:t>
      </w:r>
      <w:bookmarkEnd w:id="1684"/>
      <w:bookmarkEnd w:id="1685"/>
      <w:bookmarkEnd w:id="1686"/>
      <w:bookmarkEnd w:id="1687"/>
      <w:bookmarkEnd w:id="1688"/>
      <w:bookmarkEnd w:id="1689"/>
    </w:p>
    <w:p>
      <w:pPr>
        <w:spacing w:line="360" w:lineRule="auto"/>
        <w:ind w:firstLine="420" w:firstLineChars="200"/>
        <w:rPr>
          <w:rFonts w:ascii="宋体" w:hAnsi="宋体"/>
          <w:bCs/>
          <w:color w:val="auto"/>
          <w:szCs w:val="21"/>
          <w:highlight w:val="none"/>
          <w:u w:val="single"/>
        </w:rPr>
      </w:pPr>
      <w:r>
        <w:rPr>
          <w:rFonts w:hint="eastAsia" w:ascii="宋体" w:hAnsi="宋体"/>
          <w:color w:val="auto"/>
          <w:szCs w:val="21"/>
          <w:highlight w:val="none"/>
        </w:rPr>
        <w:t>13.5.4变更价款约定的其他方法：</w:t>
      </w:r>
      <w:r>
        <w:rPr>
          <w:rFonts w:hint="eastAsia" w:ascii="宋体" w:hAnsi="宋体"/>
          <w:bCs/>
          <w:color w:val="auto"/>
          <w:szCs w:val="21"/>
          <w:highlight w:val="none"/>
          <w:u w:val="single"/>
        </w:rPr>
        <w:t>除政策性调整外，</w:t>
      </w:r>
      <w:r>
        <w:rPr>
          <w:rFonts w:ascii="宋体" w:hAnsi="宋体"/>
          <w:bCs/>
          <w:color w:val="auto"/>
          <w:szCs w:val="21"/>
          <w:highlight w:val="none"/>
          <w:u w:val="single"/>
        </w:rPr>
        <w:t>其他</w:t>
      </w:r>
      <w:r>
        <w:rPr>
          <w:rFonts w:hint="eastAsia" w:ascii="宋体" w:hAnsi="宋体"/>
          <w:bCs/>
          <w:color w:val="auto"/>
          <w:szCs w:val="21"/>
          <w:highlight w:val="none"/>
          <w:u w:val="single"/>
        </w:rPr>
        <w:t>均</w:t>
      </w:r>
      <w:r>
        <w:rPr>
          <w:rFonts w:ascii="宋体" w:hAnsi="宋体"/>
          <w:bCs/>
          <w:color w:val="auto"/>
          <w:szCs w:val="21"/>
          <w:highlight w:val="none"/>
          <w:u w:val="single"/>
        </w:rPr>
        <w:t>不允许调整</w:t>
      </w:r>
      <w:r>
        <w:rPr>
          <w:rFonts w:hint="eastAsia" w:ascii="宋体" w:hAnsi="宋体"/>
          <w:bCs/>
          <w:color w:val="auto"/>
          <w:szCs w:val="21"/>
          <w:highlight w:val="none"/>
          <w:u w:val="singl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需调整价格的情况发生后30日内，合同双方均有权将调整合同价格的原因及调整金额，以书面形式通知对方和监理人。经发包人确认的合理金额，作为合同价格的调整金额，并在支付当期工程进度款时支付或扣减调整的金额。一方收到另一方通知后30日内不予确认，也未能提出修改意见的，视为已经同意该项价格的调整。合同价格调整按如下情况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合同签订后，因法律、国家政策和需遵守的行业规定发生变化，影响到合同价格增减的；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一周内非承包人原因的停水、停电、停气、道路中断等，造成工程现场停工累计超过8小时的（承包人须提交报告并提供可证实的证明和估算）；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发包人根据</w:t>
      </w:r>
      <w:r>
        <w:rPr>
          <w:rFonts w:ascii="宋体" w:hAnsi="宋体"/>
          <w:color w:val="auto"/>
          <w:szCs w:val="21"/>
          <w:highlight w:val="none"/>
        </w:rPr>
        <w:t>13.3</w:t>
      </w:r>
      <w:r>
        <w:rPr>
          <w:rFonts w:hint="eastAsia" w:ascii="宋体" w:hAnsi="宋体"/>
          <w:color w:val="auto"/>
          <w:szCs w:val="21"/>
          <w:highlight w:val="none"/>
        </w:rPr>
        <w:t>款至13.5款变更程序中批准的变更估算的增减；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本合同约定的其它增减的款项调整。</w:t>
      </w:r>
    </w:p>
    <w:p>
      <w:pPr>
        <w:spacing w:line="420" w:lineRule="exact"/>
        <w:ind w:firstLine="420" w:firstLineChars="200"/>
        <w:rPr>
          <w:rFonts w:ascii="宋体" w:hAnsi="宋体"/>
          <w:bCs/>
          <w:color w:val="auto"/>
          <w:szCs w:val="21"/>
          <w:highlight w:val="none"/>
          <w:u w:val="single"/>
        </w:rPr>
      </w:pPr>
    </w:p>
    <w:p>
      <w:pPr>
        <w:pStyle w:val="4"/>
        <w:rPr>
          <w:rFonts w:ascii="宋体" w:hAnsi="宋体"/>
          <w:color w:val="auto"/>
          <w:kern w:val="0"/>
          <w:sz w:val="21"/>
          <w:szCs w:val="21"/>
          <w:highlight w:val="none"/>
        </w:rPr>
      </w:pPr>
      <w:bookmarkStart w:id="1690" w:name="_Toc419363848"/>
      <w:bookmarkStart w:id="1691" w:name="_Toc419321426"/>
      <w:bookmarkStart w:id="1692" w:name="_Toc419320390"/>
      <w:bookmarkStart w:id="1693" w:name="_Toc433988883"/>
      <w:bookmarkStart w:id="1694" w:name="_Toc419364514"/>
      <w:bookmarkStart w:id="1695" w:name="_Toc491277432"/>
      <w:r>
        <w:rPr>
          <w:rFonts w:ascii="宋体" w:hAnsi="宋体"/>
          <w:color w:val="auto"/>
          <w:kern w:val="0"/>
          <w:sz w:val="21"/>
          <w:szCs w:val="21"/>
          <w:highlight w:val="none"/>
        </w:rPr>
        <w:t>13.</w:t>
      </w:r>
      <w:r>
        <w:rPr>
          <w:rFonts w:hint="eastAsia" w:ascii="宋体" w:hAnsi="宋体"/>
          <w:color w:val="auto"/>
          <w:kern w:val="0"/>
          <w:sz w:val="21"/>
          <w:szCs w:val="21"/>
          <w:highlight w:val="none"/>
        </w:rPr>
        <w:t>6  建议变更的利益分享</w:t>
      </w:r>
      <w:bookmarkEnd w:id="1690"/>
      <w:bookmarkEnd w:id="1691"/>
      <w:bookmarkEnd w:id="1692"/>
      <w:bookmarkEnd w:id="1693"/>
      <w:bookmarkEnd w:id="1694"/>
      <w:bookmarkEnd w:id="1695"/>
    </w:p>
    <w:p>
      <w:pPr>
        <w:spacing w:line="420" w:lineRule="exact"/>
        <w:ind w:firstLine="420" w:firstLineChars="200"/>
        <w:rPr>
          <w:rFonts w:ascii="宋体" w:hAnsi="宋体"/>
          <w:color w:val="auto"/>
          <w:szCs w:val="21"/>
          <w:highlight w:val="none"/>
          <w:u w:val="single"/>
        </w:rPr>
      </w:pPr>
      <w:r>
        <w:rPr>
          <w:rFonts w:hint="eastAsia" w:ascii="宋体" w:hAnsi="宋体"/>
          <w:color w:val="auto"/>
          <w:szCs w:val="21"/>
          <w:highlight w:val="none"/>
        </w:rPr>
        <w:t>建议变更的利益分享的约定：</w:t>
      </w:r>
      <w:r>
        <w:rPr>
          <w:rFonts w:hint="eastAsia" w:ascii="宋体" w:hAnsi="宋体"/>
          <w:color w:val="auto"/>
          <w:szCs w:val="21"/>
          <w:highlight w:val="none"/>
          <w:u w:val="single"/>
        </w:rPr>
        <w:t xml:space="preserve">双方另行协商 </w:t>
      </w:r>
    </w:p>
    <w:p>
      <w:pPr>
        <w:pStyle w:val="4"/>
        <w:numPr>
          <w:ilvl w:val="1"/>
          <w:numId w:val="6"/>
        </w:numPr>
        <w:rPr>
          <w:rFonts w:ascii="宋体" w:hAnsi="宋体"/>
          <w:color w:val="auto"/>
          <w:kern w:val="0"/>
          <w:sz w:val="21"/>
          <w:szCs w:val="21"/>
          <w:highlight w:val="none"/>
        </w:rPr>
      </w:pPr>
      <w:bookmarkStart w:id="1696" w:name="_Toc491277433"/>
      <w:r>
        <w:rPr>
          <w:rFonts w:hint="eastAsia" w:ascii="宋体" w:hAnsi="宋体"/>
          <w:color w:val="auto"/>
          <w:kern w:val="0"/>
          <w:sz w:val="21"/>
          <w:szCs w:val="21"/>
          <w:highlight w:val="none"/>
        </w:rPr>
        <w:t xml:space="preserve"> 合同价格调整</w:t>
      </w:r>
      <w:bookmarkEnd w:id="1696"/>
    </w:p>
    <w:p>
      <w:pPr>
        <w:spacing w:line="300" w:lineRule="auto"/>
        <w:ind w:firstLine="105" w:firstLineChars="50"/>
        <w:rPr>
          <w:rFonts w:ascii="宋体" w:hAnsi="宋体"/>
          <w:color w:val="auto"/>
          <w:szCs w:val="21"/>
          <w:highlight w:val="none"/>
        </w:rPr>
      </w:pPr>
      <w:r>
        <w:rPr>
          <w:rFonts w:hint="eastAsia" w:ascii="宋体" w:hAnsi="宋体"/>
          <w:color w:val="auto"/>
          <w:szCs w:val="21"/>
          <w:highlight w:val="none"/>
        </w:rPr>
        <w:t xml:space="preserve">本合同约定的其它增减的款项调整: </w:t>
      </w:r>
      <w:r>
        <w:rPr>
          <w:rFonts w:ascii="宋体" w:hAnsi="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widowControl/>
        <w:rPr>
          <w:color w:val="auto"/>
          <w:szCs w:val="21"/>
          <w:highlight w:val="none"/>
        </w:rPr>
      </w:pPr>
    </w:p>
    <w:p>
      <w:pPr>
        <w:pStyle w:val="2"/>
        <w:rPr>
          <w:rFonts w:ascii="宋体" w:hAnsi="宋体" w:eastAsia="宋体"/>
          <w:color w:val="auto"/>
          <w:sz w:val="28"/>
          <w:szCs w:val="28"/>
          <w:highlight w:val="none"/>
        </w:rPr>
      </w:pPr>
      <w:bookmarkStart w:id="1697" w:name="_Toc491277434"/>
      <w:bookmarkStart w:id="1698" w:name="_Toc419364515"/>
      <w:bookmarkStart w:id="1699" w:name="_Toc419363849"/>
      <w:bookmarkStart w:id="1700" w:name="_Toc419321427"/>
      <w:bookmarkStart w:id="1701" w:name="_Toc433988884"/>
      <w:bookmarkStart w:id="1702" w:name="_Toc419320391"/>
      <w:r>
        <w:rPr>
          <w:rFonts w:hint="eastAsia" w:ascii="宋体" w:hAnsi="宋体" w:eastAsia="宋体"/>
          <w:color w:val="auto"/>
          <w:sz w:val="28"/>
          <w:szCs w:val="28"/>
          <w:highlight w:val="none"/>
        </w:rPr>
        <w:t>第</w:t>
      </w:r>
      <w:r>
        <w:rPr>
          <w:rFonts w:ascii="宋体" w:hAnsi="宋体" w:eastAsia="宋体"/>
          <w:color w:val="auto"/>
          <w:sz w:val="28"/>
          <w:szCs w:val="28"/>
          <w:highlight w:val="none"/>
        </w:rPr>
        <w:t>14</w:t>
      </w:r>
      <w:r>
        <w:rPr>
          <w:rFonts w:hint="eastAsia" w:ascii="宋体" w:hAnsi="宋体" w:eastAsia="宋体"/>
          <w:color w:val="auto"/>
          <w:sz w:val="28"/>
          <w:szCs w:val="28"/>
          <w:highlight w:val="none"/>
        </w:rPr>
        <w:t>条合同总价和付款</w:t>
      </w:r>
      <w:bookmarkEnd w:id="1697"/>
      <w:bookmarkEnd w:id="1698"/>
      <w:bookmarkEnd w:id="1699"/>
      <w:bookmarkEnd w:id="1700"/>
      <w:bookmarkEnd w:id="1701"/>
      <w:bookmarkEnd w:id="1702"/>
    </w:p>
    <w:p>
      <w:pPr>
        <w:pStyle w:val="4"/>
        <w:spacing w:before="120" w:after="120" w:line="415" w:lineRule="auto"/>
        <w:rPr>
          <w:rFonts w:ascii="宋体" w:hAnsi="宋体"/>
          <w:color w:val="auto"/>
          <w:kern w:val="0"/>
          <w:sz w:val="21"/>
          <w:szCs w:val="21"/>
          <w:highlight w:val="none"/>
        </w:rPr>
      </w:pPr>
      <w:bookmarkStart w:id="1703" w:name="_Toc419321428"/>
      <w:bookmarkStart w:id="1704" w:name="_Toc491277435"/>
      <w:bookmarkStart w:id="1705" w:name="_Toc419320392"/>
      <w:bookmarkStart w:id="1706" w:name="_Toc419364516"/>
      <w:bookmarkStart w:id="1707" w:name="_Toc419363850"/>
      <w:bookmarkStart w:id="1708" w:name="_Toc433988885"/>
      <w:r>
        <w:rPr>
          <w:rFonts w:ascii="宋体" w:hAnsi="宋体"/>
          <w:color w:val="auto"/>
          <w:kern w:val="0"/>
          <w:sz w:val="21"/>
          <w:szCs w:val="21"/>
          <w:highlight w:val="none"/>
        </w:rPr>
        <w:t>14</w:t>
      </w:r>
      <w:r>
        <w:rPr>
          <w:rFonts w:hint="eastAsia" w:ascii="宋体" w:hAnsi="宋体"/>
          <w:color w:val="auto"/>
          <w:kern w:val="0"/>
          <w:sz w:val="21"/>
          <w:szCs w:val="21"/>
          <w:highlight w:val="none"/>
        </w:rPr>
        <w:t>.1  合同总价和付款</w:t>
      </w:r>
      <w:bookmarkEnd w:id="1703"/>
      <w:bookmarkEnd w:id="1704"/>
      <w:bookmarkEnd w:id="1705"/>
      <w:bookmarkEnd w:id="1706"/>
      <w:bookmarkEnd w:id="1707"/>
      <w:bookmarkEnd w:id="1708"/>
    </w:p>
    <w:p>
      <w:pPr>
        <w:spacing w:line="420" w:lineRule="exact"/>
        <w:ind w:firstLine="420" w:firstLineChars="200"/>
        <w:rPr>
          <w:rFonts w:ascii="宋体"/>
          <w:color w:val="auto"/>
          <w:szCs w:val="21"/>
          <w:highlight w:val="none"/>
          <w:u w:val="single"/>
        </w:rPr>
      </w:pPr>
      <w:r>
        <w:rPr>
          <w:rFonts w:ascii="宋体" w:hAnsi="宋体"/>
          <w:color w:val="auto"/>
          <w:szCs w:val="21"/>
          <w:highlight w:val="none"/>
        </w:rPr>
        <w:t>14.1.1</w:t>
      </w:r>
      <w:r>
        <w:rPr>
          <w:rFonts w:hint="eastAsia" w:ascii="宋体" w:hAnsi="宋体"/>
          <w:color w:val="auto"/>
          <w:szCs w:val="21"/>
          <w:highlight w:val="none"/>
        </w:rPr>
        <w:t>合同价格形式：</w:t>
      </w:r>
      <w:r>
        <w:rPr>
          <w:rFonts w:hint="eastAsia" w:ascii="宋体" w:hAnsi="宋体"/>
          <w:color w:val="auto"/>
          <w:szCs w:val="21"/>
          <w:highlight w:val="none"/>
          <w:u w:val="single"/>
        </w:rPr>
        <w:t>总价合同(包</w:t>
      </w:r>
      <w:r>
        <w:rPr>
          <w:rFonts w:ascii="宋体" w:hAnsi="宋体"/>
          <w:color w:val="auto"/>
          <w:szCs w:val="21"/>
          <w:highlight w:val="none"/>
          <w:u w:val="single"/>
        </w:rPr>
        <w:t>干</w:t>
      </w:r>
      <w:r>
        <w:rPr>
          <w:rFonts w:hint="eastAsia" w:ascii="宋体" w:hAnsi="宋体"/>
          <w:color w:val="auto"/>
          <w:szCs w:val="21"/>
          <w:highlight w:val="none"/>
          <w:u w:val="single"/>
        </w:rPr>
        <w:t>)。</w:t>
      </w:r>
    </w:p>
    <w:p>
      <w:pPr>
        <w:spacing w:line="420" w:lineRule="exact"/>
        <w:ind w:firstLine="420" w:firstLineChars="200"/>
        <w:jc w:val="left"/>
        <w:rPr>
          <w:rFonts w:ascii="宋体"/>
          <w:color w:val="auto"/>
          <w:szCs w:val="21"/>
          <w:highlight w:val="none"/>
        </w:rPr>
      </w:pPr>
      <w:r>
        <w:rPr>
          <w:rFonts w:hint="eastAsia" w:ascii="宋体" w:hAnsi="宋体"/>
          <w:color w:val="auto"/>
          <w:szCs w:val="21"/>
          <w:highlight w:val="none"/>
        </w:rPr>
        <w:t>风险范围以外合同价格的调整方法：</w:t>
      </w:r>
    </w:p>
    <w:p>
      <w:pPr>
        <w:spacing w:line="420" w:lineRule="exact"/>
        <w:ind w:firstLine="420" w:firstLineChars="200"/>
        <w:jc w:val="left"/>
        <w:rPr>
          <w:rFonts w:ascii="宋体"/>
          <w:color w:val="auto"/>
          <w:szCs w:val="21"/>
          <w:highlight w:val="none"/>
        </w:rPr>
      </w:pPr>
      <w:r>
        <w:rPr>
          <w:rFonts w:hint="eastAsia" w:ascii="宋体" w:hAnsi="宋体"/>
          <w:color w:val="auto"/>
          <w:szCs w:val="21"/>
          <w:highlight w:val="none"/>
        </w:rPr>
        <w:t>①政策性调整：按自治区建设行政主管部门颁布的文件执行。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14.1.2 付款</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（2）承包人指定的开户银行及银行账户：</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单位名称：</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开户银行：</w:t>
      </w:r>
    </w:p>
    <w:p>
      <w:pPr>
        <w:adjustRightInd w:val="0"/>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账　　号：</w:t>
      </w:r>
    </w:p>
    <w:p>
      <w:pPr>
        <w:adjustRightInd w:val="0"/>
        <w:snapToGrid w:val="0"/>
        <w:spacing w:line="400" w:lineRule="exact"/>
        <w:rPr>
          <w:color w:val="auto"/>
          <w:szCs w:val="21"/>
          <w:highlight w:val="none"/>
          <w:u w:val="single"/>
        </w:rPr>
      </w:pPr>
    </w:p>
    <w:p>
      <w:pPr>
        <w:pStyle w:val="4"/>
        <w:rPr>
          <w:rFonts w:ascii="宋体" w:hAnsi="宋体"/>
          <w:color w:val="auto"/>
          <w:kern w:val="0"/>
          <w:sz w:val="21"/>
          <w:szCs w:val="21"/>
          <w:highlight w:val="none"/>
        </w:rPr>
      </w:pPr>
      <w:bookmarkStart w:id="1709" w:name="_Toc433988886"/>
      <w:bookmarkStart w:id="1710" w:name="_Toc419320393"/>
      <w:bookmarkStart w:id="1711" w:name="_Toc419321429"/>
      <w:bookmarkStart w:id="1712" w:name="_Toc419363851"/>
      <w:bookmarkStart w:id="1713" w:name="_Toc419364517"/>
      <w:bookmarkStart w:id="1714" w:name="_Toc491277436"/>
      <w:r>
        <w:rPr>
          <w:rFonts w:ascii="宋体" w:hAnsi="宋体"/>
          <w:color w:val="auto"/>
          <w:kern w:val="0"/>
          <w:sz w:val="21"/>
          <w:szCs w:val="21"/>
          <w:highlight w:val="none"/>
        </w:rPr>
        <w:t>14</w:t>
      </w:r>
      <w:r>
        <w:rPr>
          <w:rFonts w:hint="eastAsia" w:ascii="宋体" w:hAnsi="宋体"/>
          <w:color w:val="auto"/>
          <w:kern w:val="0"/>
          <w:sz w:val="21"/>
          <w:szCs w:val="21"/>
          <w:highlight w:val="none"/>
        </w:rPr>
        <w:t>.2  担保</w:t>
      </w:r>
      <w:bookmarkEnd w:id="1709"/>
      <w:bookmarkEnd w:id="1710"/>
      <w:bookmarkEnd w:id="1711"/>
      <w:bookmarkEnd w:id="1712"/>
      <w:bookmarkEnd w:id="1713"/>
      <w:bookmarkEnd w:id="1714"/>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w:t>
      </w:r>
      <w:r>
        <w:rPr>
          <w:rFonts w:hint="eastAsia" w:ascii="宋体" w:hAnsi="宋体"/>
          <w:color w:val="auto"/>
          <w:szCs w:val="21"/>
          <w:highlight w:val="none"/>
        </w:rPr>
        <w:t>2</w:t>
      </w:r>
      <w:r>
        <w:rPr>
          <w:rFonts w:ascii="宋体" w:hAnsi="宋体"/>
          <w:color w:val="auto"/>
          <w:szCs w:val="21"/>
          <w:highlight w:val="none"/>
        </w:rPr>
        <w:t>.1</w:t>
      </w:r>
      <w:r>
        <w:rPr>
          <w:rFonts w:hint="eastAsia" w:ascii="宋体" w:hAnsi="宋体"/>
          <w:color w:val="auto"/>
          <w:szCs w:val="21"/>
          <w:highlight w:val="none"/>
        </w:rPr>
        <w:t xml:space="preserve"> 履约保函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在以下方式中选择其一，作为双方对履约保函的约定。</w:t>
      </w:r>
    </w:p>
    <w:p>
      <w:pPr>
        <w:spacing w:line="300" w:lineRule="auto"/>
        <w:ind w:left="480"/>
        <w:rPr>
          <w:rFonts w:ascii="宋体" w:hAnsi="宋体"/>
          <w:color w:val="auto"/>
          <w:szCs w:val="21"/>
          <w:highlight w:val="none"/>
        </w:rPr>
      </w:pPr>
      <w:r>
        <w:rPr>
          <w:rFonts w:hint="eastAsia" w:ascii="MS Mincho" w:hAnsi="MS Mincho" w:eastAsia="MS Mincho" w:cs="MS Mincho"/>
          <w:color w:val="auto"/>
          <w:szCs w:val="21"/>
          <w:highlight w:val="none"/>
        </w:rPr>
        <w:t>☑</w:t>
      </w:r>
      <w:r>
        <w:rPr>
          <w:rFonts w:hint="eastAsia" w:ascii="宋体" w:hAnsi="宋体"/>
          <w:color w:val="auto"/>
          <w:szCs w:val="21"/>
          <w:highlight w:val="none"/>
        </w:rPr>
        <w:t>承包人不提交履约保函。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承包人提交履约保函的格式、金额和时间：/</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14.2.2 支付保函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在以下方式中选择其一，作为双方对支付保函的约定。</w:t>
      </w:r>
    </w:p>
    <w:p>
      <w:pPr>
        <w:spacing w:line="300" w:lineRule="auto"/>
        <w:ind w:left="480"/>
        <w:rPr>
          <w:rFonts w:ascii="宋体" w:hAnsi="宋体"/>
          <w:color w:val="auto"/>
          <w:szCs w:val="21"/>
          <w:highlight w:val="none"/>
        </w:rPr>
      </w:pPr>
      <w:r>
        <w:rPr>
          <w:rFonts w:hint="eastAsia" w:ascii="MS Mincho" w:hAnsi="MS Mincho" w:eastAsia="MS Mincho" w:cs="MS Mincho"/>
          <w:color w:val="auto"/>
          <w:szCs w:val="21"/>
          <w:highlight w:val="none"/>
        </w:rPr>
        <w:t>☑</w:t>
      </w:r>
      <w:r>
        <w:rPr>
          <w:rFonts w:hint="eastAsia" w:ascii="宋体" w:hAnsi="宋体"/>
          <w:color w:val="auto"/>
          <w:szCs w:val="21"/>
          <w:highlight w:val="none"/>
        </w:rPr>
        <w:t>发包人不提交支付保函。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发包人提交支付保函的格式、金额和时间：/</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w:t>
      </w: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3 预付款保函</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在以下方式中选择其一，作为双方对预付款保函的约定。</w:t>
      </w:r>
    </w:p>
    <w:p>
      <w:pPr>
        <w:spacing w:line="300" w:lineRule="auto"/>
        <w:ind w:left="480"/>
        <w:rPr>
          <w:rFonts w:ascii="宋体" w:hAnsi="宋体"/>
          <w:color w:val="auto"/>
          <w:szCs w:val="21"/>
          <w:highlight w:val="none"/>
        </w:rPr>
      </w:pPr>
      <w:r>
        <w:rPr>
          <w:rFonts w:hint="eastAsia" w:ascii="MS Mincho" w:hAnsi="MS Mincho" w:eastAsia="MS Mincho" w:cs="MS Mincho"/>
          <w:color w:val="auto"/>
          <w:szCs w:val="21"/>
          <w:highlight w:val="none"/>
        </w:rPr>
        <w:t>☑</w:t>
      </w:r>
      <w:r>
        <w:rPr>
          <w:rFonts w:hint="eastAsia" w:ascii="宋体" w:hAnsi="宋体"/>
          <w:color w:val="auto"/>
          <w:szCs w:val="21"/>
          <w:highlight w:val="none"/>
        </w:rPr>
        <w:t>承包人不提交预付款保函。</w:t>
      </w:r>
    </w:p>
    <w:p>
      <w:pPr>
        <w:spacing w:line="300" w:lineRule="auto"/>
        <w:ind w:firstLine="420" w:firstLineChars="200"/>
        <w:rPr>
          <w:rFonts w:ascii="宋体" w:hAnsi="宋体"/>
          <w:color w:val="auto"/>
          <w:szCs w:val="21"/>
          <w:highlight w:val="none"/>
          <w:u w:val="single"/>
        </w:rPr>
      </w:pPr>
      <w:r>
        <w:rPr>
          <w:rFonts w:hint="eastAsia" w:ascii="宋体" w:hAnsi="宋体"/>
          <w:color w:val="auto"/>
          <w:szCs w:val="21"/>
          <w:highlight w:val="none"/>
        </w:rPr>
        <w:t>□ 承包人提交预付款保函的格式、金额和时间：</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14.2.4</w:t>
      </w:r>
      <w:r>
        <w:rPr>
          <w:rFonts w:hint="eastAsia" w:ascii="宋体" w:hAnsi="宋体"/>
          <w:color w:val="auto"/>
          <w:szCs w:val="21"/>
          <w:highlight w:val="none"/>
        </w:rPr>
        <w:t xml:space="preserve"> 履约担保和支付担保的形式：</w:t>
      </w:r>
      <w:r>
        <w:rPr>
          <w:rFonts w:hint="eastAsia" w:ascii="宋体" w:hAnsi="宋体"/>
          <w:color w:val="auto"/>
          <w:szCs w:val="21"/>
          <w:highlight w:val="none"/>
          <w:u w:val="single"/>
        </w:rPr>
        <w:t>履约担保和支付担保可以银行保函、担保、工程保证保险等方式缴纳，严禁要求只能以现金方式缴纳的行为。</w:t>
      </w:r>
    </w:p>
    <w:p>
      <w:pPr>
        <w:pStyle w:val="4"/>
        <w:rPr>
          <w:rFonts w:ascii="宋体" w:hAnsi="宋体"/>
          <w:color w:val="auto"/>
          <w:kern w:val="0"/>
          <w:sz w:val="21"/>
          <w:szCs w:val="21"/>
          <w:highlight w:val="none"/>
        </w:rPr>
      </w:pPr>
      <w:bookmarkStart w:id="1715" w:name="_Toc433988887"/>
      <w:bookmarkStart w:id="1716" w:name="_Toc419321430"/>
      <w:bookmarkStart w:id="1717" w:name="_Toc419320394"/>
      <w:bookmarkStart w:id="1718" w:name="_Toc491277437"/>
      <w:bookmarkStart w:id="1719" w:name="_Toc419364518"/>
      <w:bookmarkStart w:id="1720" w:name="_Toc419363852"/>
      <w:r>
        <w:rPr>
          <w:rFonts w:ascii="宋体" w:hAnsi="宋体"/>
          <w:color w:val="auto"/>
          <w:kern w:val="0"/>
          <w:sz w:val="21"/>
          <w:szCs w:val="21"/>
          <w:highlight w:val="none"/>
        </w:rPr>
        <w:t>14.</w:t>
      </w:r>
      <w:r>
        <w:rPr>
          <w:rFonts w:hint="eastAsia" w:ascii="宋体" w:hAnsi="宋体"/>
          <w:color w:val="auto"/>
          <w:kern w:val="0"/>
          <w:sz w:val="21"/>
          <w:szCs w:val="21"/>
          <w:highlight w:val="none"/>
        </w:rPr>
        <w:t>3  预付款</w:t>
      </w:r>
      <w:bookmarkEnd w:id="1715"/>
      <w:bookmarkEnd w:id="1716"/>
      <w:bookmarkEnd w:id="1717"/>
      <w:bookmarkEnd w:id="1718"/>
      <w:bookmarkEnd w:id="1719"/>
      <w:bookmarkEnd w:id="1720"/>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14.3.1  预付款金额</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预付款的金额与支付：</w:t>
      </w:r>
      <w:r>
        <w:rPr>
          <w:rFonts w:hint="eastAsia" w:ascii="宋体" w:hAnsi="宋体"/>
          <w:color w:val="auto"/>
          <w:szCs w:val="21"/>
          <w:highlight w:val="none"/>
          <w:u w:val="single"/>
        </w:rPr>
        <w:t>1</w:t>
      </w:r>
      <w:r>
        <w:rPr>
          <w:rFonts w:ascii="宋体" w:hAnsi="宋体"/>
          <w:color w:val="auto"/>
          <w:szCs w:val="21"/>
          <w:highlight w:val="none"/>
          <w:u w:val="single"/>
        </w:rPr>
        <w:t>5%</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14.3.3 预付款抵扣</w:t>
      </w:r>
    </w:p>
    <w:p>
      <w:pPr>
        <w:spacing w:line="300" w:lineRule="auto"/>
        <w:ind w:firstLine="420" w:firstLineChars="200"/>
        <w:rPr>
          <w:rFonts w:ascii="宋体" w:hAnsi="宋体"/>
          <w:color w:val="auto"/>
          <w:szCs w:val="21"/>
          <w:highlight w:val="none"/>
          <w:u w:val="single"/>
        </w:rPr>
      </w:pPr>
      <w:r>
        <w:rPr>
          <w:rFonts w:hint="eastAsia" w:ascii="宋体" w:hAnsi="宋体"/>
          <w:color w:val="auto"/>
          <w:szCs w:val="21"/>
          <w:highlight w:val="none"/>
        </w:rPr>
        <w:t>（1）预付款的抵扣方式、抵扣比例和抵扣时间安排：/</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14.3.4</w:t>
      </w:r>
      <w:r>
        <w:rPr>
          <w:rFonts w:ascii="宋体" w:hAnsi="宋体"/>
          <w:color w:val="auto"/>
          <w:szCs w:val="21"/>
          <w:highlight w:val="none"/>
        </w:rPr>
        <w:t>发包人的责任</w:t>
      </w:r>
      <w:r>
        <w:rPr>
          <w:rFonts w:hint="eastAsia" w:ascii="宋体" w:hAnsi="宋体"/>
          <w:color w:val="auto"/>
          <w:szCs w:val="21"/>
          <w:highlight w:val="none"/>
        </w:rPr>
        <w:t>：</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发包人没有按时支付预付款的，承包人可催告发包人支付；发包人在付款期满后的</w:t>
      </w:r>
      <w:r>
        <w:rPr>
          <w:rFonts w:hint="eastAsia" w:ascii="宋体" w:hAnsi="宋体"/>
          <w:color w:val="auto"/>
          <w:szCs w:val="21"/>
          <w:highlight w:val="none"/>
        </w:rPr>
        <w:t>/</w:t>
      </w:r>
      <w:r>
        <w:rPr>
          <w:rFonts w:ascii="宋体" w:hAnsi="宋体"/>
          <w:color w:val="auto"/>
          <w:szCs w:val="21"/>
          <w:highlight w:val="none"/>
        </w:rPr>
        <w:t>天内仍未支付的，承包人可在付款期满后的第</w:t>
      </w:r>
      <w:r>
        <w:rPr>
          <w:rFonts w:hint="eastAsia" w:ascii="宋体" w:hAnsi="宋体"/>
          <w:color w:val="auto"/>
          <w:szCs w:val="21"/>
          <w:highlight w:val="none"/>
        </w:rPr>
        <w:t>/</w:t>
      </w:r>
      <w:r>
        <w:rPr>
          <w:rFonts w:ascii="宋体" w:hAnsi="宋体"/>
          <w:color w:val="auto"/>
          <w:szCs w:val="21"/>
          <w:highlight w:val="none"/>
        </w:rPr>
        <w:t>天起暂停施工。发包人应承担由此增加的费用和（或）</w:t>
      </w:r>
      <w:r>
        <w:rPr>
          <w:rFonts w:hint="eastAsia" w:ascii="宋体" w:hAnsi="宋体"/>
          <w:color w:val="auto"/>
          <w:szCs w:val="21"/>
          <w:highlight w:val="none"/>
        </w:rPr>
        <w:t>顺延</w:t>
      </w:r>
      <w:r>
        <w:rPr>
          <w:rFonts w:ascii="宋体" w:hAnsi="宋体"/>
          <w:color w:val="auto"/>
          <w:szCs w:val="21"/>
          <w:highlight w:val="none"/>
        </w:rPr>
        <w:t>工期。</w:t>
      </w:r>
    </w:p>
    <w:p>
      <w:pPr>
        <w:pStyle w:val="4"/>
        <w:rPr>
          <w:rFonts w:ascii="宋体" w:hAnsi="宋体"/>
          <w:color w:val="auto"/>
          <w:kern w:val="0"/>
          <w:sz w:val="21"/>
          <w:szCs w:val="21"/>
          <w:highlight w:val="none"/>
        </w:rPr>
      </w:pPr>
      <w:bookmarkStart w:id="1721" w:name="_Toc491277438"/>
      <w:bookmarkStart w:id="1722" w:name="_Toc419364519"/>
      <w:bookmarkStart w:id="1723" w:name="_Toc419363853"/>
      <w:bookmarkStart w:id="1724" w:name="_Toc433988888"/>
      <w:bookmarkStart w:id="1725" w:name="_Toc419321431"/>
      <w:bookmarkStart w:id="1726" w:name="_Toc419320395"/>
      <w:r>
        <w:rPr>
          <w:rFonts w:hint="eastAsia" w:ascii="宋体" w:hAnsi="宋体"/>
          <w:color w:val="auto"/>
          <w:kern w:val="0"/>
          <w:sz w:val="21"/>
          <w:szCs w:val="21"/>
          <w:highlight w:val="none"/>
        </w:rPr>
        <w:t>14.4  工程进度款</w:t>
      </w:r>
      <w:bookmarkEnd w:id="1721"/>
      <w:bookmarkEnd w:id="1722"/>
      <w:bookmarkEnd w:id="1723"/>
      <w:bookmarkEnd w:id="1724"/>
      <w:bookmarkEnd w:id="1725"/>
      <w:bookmarkEnd w:id="1726"/>
    </w:p>
    <w:p>
      <w:pPr>
        <w:adjustRightInd w:val="0"/>
        <w:snapToGrid w:val="0"/>
        <w:spacing w:line="440" w:lineRule="exact"/>
        <w:ind w:firstLine="420" w:firstLineChars="200"/>
        <w:rPr>
          <w:rFonts w:ascii="宋体" w:hAnsi="宋体"/>
          <w:color w:val="auto"/>
          <w:sz w:val="28"/>
          <w:szCs w:val="28"/>
          <w:highlight w:val="none"/>
          <w:u w:val="single"/>
        </w:rPr>
      </w:pPr>
      <w:r>
        <w:rPr>
          <w:rFonts w:hint="eastAsia" w:ascii="宋体" w:hAnsi="宋体" w:cs="宋体"/>
          <w:color w:val="auto"/>
          <w:kern w:val="0"/>
          <w:szCs w:val="21"/>
          <w:highlight w:val="none"/>
        </w:rPr>
        <w:t>支付方式、支付条款和支付时间：</w:t>
      </w:r>
      <w:r>
        <w:rPr>
          <w:rFonts w:hint="eastAsia" w:ascii="宋体" w:hAnsi="宋体" w:cs="宋体"/>
          <w:color w:val="auto"/>
          <w:kern w:val="0"/>
          <w:szCs w:val="21"/>
          <w:highlight w:val="none"/>
          <w:u w:val="single"/>
        </w:rPr>
        <w:t>合同签订后支付合同价的15%；承包</w:t>
      </w:r>
      <w:r>
        <w:rPr>
          <w:rFonts w:ascii="宋体" w:hAnsi="宋体" w:cs="宋体"/>
          <w:color w:val="auto"/>
          <w:kern w:val="0"/>
          <w:szCs w:val="21"/>
          <w:highlight w:val="none"/>
          <w:u w:val="single"/>
        </w:rPr>
        <w:t>人提供预埋件的采购合同后支付到合同价的</w:t>
      </w:r>
      <w:r>
        <w:rPr>
          <w:rFonts w:hint="eastAsia" w:ascii="宋体" w:hAnsi="宋体" w:cs="宋体"/>
          <w:color w:val="auto"/>
          <w:kern w:val="0"/>
          <w:szCs w:val="21"/>
          <w:highlight w:val="none"/>
          <w:u w:val="single"/>
        </w:rPr>
        <w:t>35%；</w:t>
      </w:r>
      <w:r>
        <w:rPr>
          <w:rFonts w:ascii="宋体" w:hAnsi="宋体" w:cs="宋体"/>
          <w:color w:val="auto"/>
          <w:kern w:val="0"/>
          <w:szCs w:val="21"/>
          <w:highlight w:val="none"/>
          <w:u w:val="single"/>
        </w:rPr>
        <w:t>预</w:t>
      </w:r>
      <w:r>
        <w:rPr>
          <w:rFonts w:hint="eastAsia" w:ascii="宋体" w:hAnsi="宋体" w:cs="宋体"/>
          <w:color w:val="auto"/>
          <w:kern w:val="0"/>
          <w:szCs w:val="21"/>
          <w:highlight w:val="none"/>
          <w:u w:val="single"/>
        </w:rPr>
        <w:t>埋</w:t>
      </w:r>
      <w:r>
        <w:rPr>
          <w:rFonts w:ascii="宋体" w:hAnsi="宋体" w:cs="宋体"/>
          <w:color w:val="auto"/>
          <w:kern w:val="0"/>
          <w:szCs w:val="21"/>
          <w:highlight w:val="none"/>
          <w:u w:val="single"/>
        </w:rPr>
        <w:t>件</w:t>
      </w:r>
      <w:r>
        <w:rPr>
          <w:rFonts w:hint="eastAsia" w:ascii="宋体" w:hAnsi="宋体" w:cs="宋体"/>
          <w:color w:val="auto"/>
          <w:kern w:val="0"/>
          <w:szCs w:val="21"/>
          <w:highlight w:val="none"/>
          <w:u w:val="single"/>
        </w:rPr>
        <w:t>全部</w:t>
      </w:r>
      <w:r>
        <w:rPr>
          <w:rFonts w:ascii="宋体" w:hAnsi="宋体" w:cs="宋体"/>
          <w:color w:val="auto"/>
          <w:kern w:val="0"/>
          <w:szCs w:val="21"/>
          <w:highlight w:val="none"/>
          <w:u w:val="single"/>
        </w:rPr>
        <w:t>进场</w:t>
      </w:r>
      <w:r>
        <w:rPr>
          <w:rFonts w:hint="eastAsia" w:ascii="宋体" w:hAnsi="宋体" w:cs="宋体"/>
          <w:color w:val="auto"/>
          <w:kern w:val="0"/>
          <w:szCs w:val="21"/>
          <w:highlight w:val="none"/>
          <w:u w:val="single"/>
        </w:rPr>
        <w:t>后支</w:t>
      </w:r>
      <w:r>
        <w:rPr>
          <w:rFonts w:ascii="宋体" w:hAnsi="宋体" w:cs="宋体"/>
          <w:color w:val="auto"/>
          <w:kern w:val="0"/>
          <w:szCs w:val="21"/>
          <w:highlight w:val="none"/>
          <w:u w:val="single"/>
        </w:rPr>
        <w:t>付</w:t>
      </w:r>
      <w:r>
        <w:rPr>
          <w:rFonts w:hint="eastAsia" w:ascii="宋体" w:hAnsi="宋体" w:cs="宋体"/>
          <w:color w:val="auto"/>
          <w:kern w:val="0"/>
          <w:szCs w:val="21"/>
          <w:highlight w:val="none"/>
          <w:u w:val="single"/>
        </w:rPr>
        <w:t>到</w:t>
      </w:r>
      <w:r>
        <w:rPr>
          <w:rFonts w:ascii="宋体" w:hAnsi="宋体" w:cs="宋体"/>
          <w:color w:val="auto"/>
          <w:kern w:val="0"/>
          <w:szCs w:val="21"/>
          <w:highlight w:val="none"/>
          <w:u w:val="single"/>
        </w:rPr>
        <w:t>合同价的5</w:t>
      </w:r>
      <w:r>
        <w:rPr>
          <w:rFonts w:hint="eastAsia" w:ascii="宋体" w:hAnsi="宋体" w:cs="宋体"/>
          <w:color w:val="auto"/>
          <w:kern w:val="0"/>
          <w:szCs w:val="21"/>
          <w:highlight w:val="none"/>
          <w:u w:val="single"/>
        </w:rPr>
        <w:t>0%；完成</w:t>
      </w:r>
      <w:r>
        <w:rPr>
          <w:rFonts w:ascii="宋体" w:hAnsi="宋体" w:cs="宋体"/>
          <w:color w:val="auto"/>
          <w:kern w:val="0"/>
          <w:szCs w:val="21"/>
          <w:highlight w:val="none"/>
          <w:u w:val="single"/>
        </w:rPr>
        <w:t>台座及反力墙结构支付</w:t>
      </w:r>
      <w:r>
        <w:rPr>
          <w:rFonts w:hint="eastAsia" w:ascii="宋体" w:hAnsi="宋体" w:cs="宋体"/>
          <w:color w:val="auto"/>
          <w:kern w:val="0"/>
          <w:szCs w:val="21"/>
          <w:highlight w:val="none"/>
          <w:u w:val="single"/>
        </w:rPr>
        <w:t>到</w:t>
      </w:r>
      <w:r>
        <w:rPr>
          <w:rFonts w:ascii="宋体" w:hAnsi="宋体" w:cs="宋体"/>
          <w:color w:val="auto"/>
          <w:kern w:val="0"/>
          <w:szCs w:val="21"/>
          <w:highlight w:val="none"/>
          <w:u w:val="single"/>
        </w:rPr>
        <w:t>合同价的65</w:t>
      </w:r>
      <w:r>
        <w:rPr>
          <w:rFonts w:hint="eastAsia" w:ascii="宋体" w:hAnsi="宋体" w:cs="宋体"/>
          <w:color w:val="auto"/>
          <w:kern w:val="0"/>
          <w:szCs w:val="21"/>
          <w:highlight w:val="none"/>
          <w:u w:val="single"/>
        </w:rPr>
        <w:t>%；</w:t>
      </w:r>
      <w:r>
        <w:rPr>
          <w:rFonts w:hint="eastAsia" w:ascii="宋体" w:hAnsi="宋体"/>
          <w:color w:val="auto"/>
          <w:szCs w:val="21"/>
          <w:highlight w:val="none"/>
          <w:u w:val="single"/>
        </w:rPr>
        <w:t>竣工验收合格支</w:t>
      </w:r>
      <w:r>
        <w:rPr>
          <w:rFonts w:ascii="宋体" w:hAnsi="宋体"/>
          <w:color w:val="auto"/>
          <w:szCs w:val="21"/>
          <w:highlight w:val="none"/>
          <w:u w:val="single"/>
        </w:rPr>
        <w:t>付到合同价的</w:t>
      </w:r>
      <w:r>
        <w:rPr>
          <w:rFonts w:hint="eastAsia" w:ascii="宋体" w:hAnsi="宋体"/>
          <w:color w:val="auto"/>
          <w:szCs w:val="21"/>
          <w:highlight w:val="none"/>
          <w:u w:val="single"/>
        </w:rPr>
        <w:t>80%，调</w:t>
      </w:r>
      <w:r>
        <w:rPr>
          <w:rFonts w:ascii="宋体" w:hAnsi="宋体"/>
          <w:color w:val="auto"/>
          <w:szCs w:val="21"/>
          <w:highlight w:val="none"/>
          <w:u w:val="single"/>
        </w:rPr>
        <w:t>试运行</w:t>
      </w:r>
      <w:r>
        <w:rPr>
          <w:rFonts w:hint="eastAsia" w:ascii="宋体" w:hAnsi="宋体"/>
          <w:color w:val="auto"/>
          <w:szCs w:val="21"/>
          <w:highlight w:val="none"/>
          <w:u w:val="single"/>
        </w:rPr>
        <w:t>合</w:t>
      </w:r>
      <w:r>
        <w:rPr>
          <w:rFonts w:ascii="宋体" w:hAnsi="宋体"/>
          <w:color w:val="auto"/>
          <w:szCs w:val="21"/>
          <w:highlight w:val="none"/>
          <w:u w:val="single"/>
        </w:rPr>
        <w:t>格</w:t>
      </w:r>
      <w:r>
        <w:rPr>
          <w:rFonts w:hint="eastAsia" w:ascii="宋体" w:hAnsi="宋体"/>
          <w:color w:val="auto"/>
          <w:szCs w:val="21"/>
          <w:highlight w:val="none"/>
          <w:u w:val="single"/>
        </w:rPr>
        <w:t>并经结算审定后支付至结算审定的97%，剩余结算审定价的3%作为工程质量保修金。工程质量保修金在缺陷责任期满后7日内返还。</w:t>
      </w:r>
    </w:p>
    <w:p>
      <w:pPr>
        <w:spacing w:line="300" w:lineRule="auto"/>
        <w:ind w:firstLine="420" w:firstLineChars="200"/>
        <w:rPr>
          <w:rFonts w:ascii="宋体" w:hAnsi="宋体"/>
          <w:color w:val="auto"/>
          <w:szCs w:val="21"/>
          <w:highlight w:val="none"/>
        </w:rPr>
      </w:pPr>
    </w:p>
    <w:p>
      <w:pPr>
        <w:pStyle w:val="4"/>
        <w:rPr>
          <w:rFonts w:ascii="宋体" w:hAnsi="宋体"/>
          <w:color w:val="auto"/>
          <w:kern w:val="0"/>
          <w:sz w:val="21"/>
          <w:szCs w:val="21"/>
          <w:highlight w:val="none"/>
        </w:rPr>
      </w:pPr>
      <w:bookmarkStart w:id="1727" w:name="_Toc419321435"/>
      <w:bookmarkStart w:id="1728" w:name="_Toc419364523"/>
      <w:bookmarkStart w:id="1729" w:name="_Toc433988892"/>
      <w:bookmarkStart w:id="1730" w:name="_Toc419363857"/>
      <w:bookmarkStart w:id="1731" w:name="_Toc419320399"/>
      <w:bookmarkStart w:id="1732" w:name="_Toc491277442"/>
      <w:r>
        <w:rPr>
          <w:rFonts w:hint="eastAsia" w:ascii="宋体" w:hAnsi="宋体"/>
          <w:color w:val="auto"/>
          <w:kern w:val="0"/>
          <w:sz w:val="21"/>
          <w:szCs w:val="21"/>
          <w:highlight w:val="none"/>
        </w:rPr>
        <w:t>14.12  竣工结算</w:t>
      </w:r>
      <w:bookmarkEnd w:id="1727"/>
      <w:bookmarkEnd w:id="1728"/>
      <w:bookmarkEnd w:id="1729"/>
      <w:bookmarkEnd w:id="1730"/>
      <w:bookmarkEnd w:id="1731"/>
      <w:bookmarkEnd w:id="1732"/>
    </w:p>
    <w:p>
      <w:pPr>
        <w:spacing w:line="300" w:lineRule="auto"/>
        <w:ind w:firstLine="420" w:firstLineChars="200"/>
        <w:rPr>
          <w:color w:val="auto"/>
          <w:highlight w:val="none"/>
        </w:rPr>
      </w:pPr>
      <w:bookmarkStart w:id="1733" w:name="_Toc419363858"/>
      <w:bookmarkStart w:id="1734" w:name="_Toc419320400"/>
      <w:bookmarkStart w:id="1735" w:name="_Toc419321436"/>
      <w:r>
        <w:rPr>
          <w:color w:val="auto"/>
          <w:highlight w:val="none"/>
        </w:rPr>
        <w:t>14.</w:t>
      </w:r>
      <w:r>
        <w:rPr>
          <w:rFonts w:hint="eastAsia"/>
          <w:color w:val="auto"/>
          <w:highlight w:val="none"/>
        </w:rPr>
        <w:t>12.1 提交竣工结算资料</w:t>
      </w:r>
      <w:bookmarkEnd w:id="1733"/>
      <w:bookmarkEnd w:id="1734"/>
      <w:bookmarkEnd w:id="1735"/>
    </w:p>
    <w:p>
      <w:pPr>
        <w:adjustRightInd w:val="0"/>
        <w:snapToGrid w:val="0"/>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竣工结算资料的格式、内容和份数：</w:t>
      </w:r>
      <w:r>
        <w:rPr>
          <w:rFonts w:hint="eastAsia" w:ascii="宋体" w:hAnsi="宋体"/>
          <w:color w:val="auto"/>
          <w:szCs w:val="21"/>
          <w:highlight w:val="none"/>
          <w:u w:val="single"/>
        </w:rPr>
        <w:t>承包人应在竣工后30天内按照发包人的要求提供2份竣工资料及</w:t>
      </w:r>
      <w:r>
        <w:rPr>
          <w:rFonts w:ascii="宋体" w:hAnsi="宋体"/>
          <w:color w:val="auto"/>
          <w:szCs w:val="21"/>
          <w:highlight w:val="none"/>
          <w:u w:val="single"/>
        </w:rPr>
        <w:t>3</w:t>
      </w:r>
      <w:r>
        <w:rPr>
          <w:rFonts w:hint="eastAsia" w:ascii="宋体" w:hAnsi="宋体"/>
          <w:color w:val="auto"/>
          <w:szCs w:val="21"/>
          <w:highlight w:val="none"/>
          <w:u w:val="single"/>
        </w:rPr>
        <w:t>套竣工图。</w:t>
      </w:r>
      <w:r>
        <w:rPr>
          <w:rFonts w:ascii="宋体" w:hAnsi="宋体"/>
          <w:color w:val="auto"/>
          <w:szCs w:val="21"/>
          <w:highlight w:val="none"/>
        </w:rPr>
        <w:tab/>
      </w:r>
    </w:p>
    <w:p>
      <w:pPr>
        <w:tabs>
          <w:tab w:val="left" w:pos="8925"/>
        </w:tabs>
        <w:rPr>
          <w:rFonts w:ascii="宋体" w:hAnsi="宋体"/>
          <w:color w:val="auto"/>
          <w:sz w:val="28"/>
          <w:szCs w:val="28"/>
          <w:highlight w:val="none"/>
        </w:rPr>
      </w:pPr>
      <w:r>
        <w:rPr>
          <w:rFonts w:ascii="宋体" w:hAnsi="宋体"/>
          <w:color w:val="auto"/>
          <w:sz w:val="28"/>
          <w:szCs w:val="28"/>
          <w:highlight w:val="none"/>
        </w:rPr>
        <w:tab/>
      </w:r>
    </w:p>
    <w:p>
      <w:pPr>
        <w:pStyle w:val="2"/>
        <w:rPr>
          <w:rFonts w:ascii="宋体" w:hAnsi="宋体" w:eastAsia="宋体"/>
          <w:color w:val="auto"/>
          <w:sz w:val="28"/>
          <w:szCs w:val="28"/>
          <w:highlight w:val="none"/>
        </w:rPr>
      </w:pPr>
      <w:bookmarkStart w:id="1736" w:name="_Toc419364524"/>
      <w:bookmarkStart w:id="1737" w:name="_Toc419321437"/>
      <w:bookmarkStart w:id="1738" w:name="_Toc433988893"/>
      <w:bookmarkStart w:id="1739" w:name="_Toc491277443"/>
      <w:bookmarkStart w:id="1740" w:name="_Toc419320401"/>
      <w:bookmarkStart w:id="1741" w:name="_Toc419363859"/>
      <w:r>
        <w:rPr>
          <w:rFonts w:hint="eastAsia" w:ascii="宋体" w:hAnsi="宋体" w:eastAsia="宋体"/>
          <w:color w:val="auto"/>
          <w:sz w:val="28"/>
          <w:szCs w:val="28"/>
          <w:highlight w:val="none"/>
        </w:rPr>
        <w:t>第</w:t>
      </w:r>
      <w:r>
        <w:rPr>
          <w:rFonts w:ascii="宋体" w:hAnsi="宋体" w:eastAsia="宋体"/>
          <w:color w:val="auto"/>
          <w:sz w:val="28"/>
          <w:szCs w:val="28"/>
          <w:highlight w:val="none"/>
        </w:rPr>
        <w:t>1</w:t>
      </w:r>
      <w:r>
        <w:rPr>
          <w:rFonts w:hint="eastAsia" w:ascii="宋体" w:hAnsi="宋体" w:eastAsia="宋体"/>
          <w:color w:val="auto"/>
          <w:sz w:val="28"/>
          <w:szCs w:val="28"/>
          <w:highlight w:val="none"/>
        </w:rPr>
        <w:t>5条  保险</w:t>
      </w:r>
      <w:bookmarkEnd w:id="1736"/>
      <w:bookmarkEnd w:id="1737"/>
      <w:bookmarkEnd w:id="1738"/>
      <w:bookmarkEnd w:id="1739"/>
      <w:bookmarkEnd w:id="1740"/>
      <w:bookmarkEnd w:id="1741"/>
    </w:p>
    <w:p>
      <w:pPr>
        <w:pStyle w:val="4"/>
        <w:rPr>
          <w:rFonts w:ascii="宋体" w:hAnsi="宋体"/>
          <w:color w:val="auto"/>
          <w:kern w:val="0"/>
          <w:sz w:val="21"/>
          <w:szCs w:val="21"/>
          <w:highlight w:val="none"/>
        </w:rPr>
      </w:pPr>
      <w:bookmarkStart w:id="1742" w:name="_Toc419321438"/>
      <w:bookmarkStart w:id="1743" w:name="_Toc419320402"/>
      <w:bookmarkStart w:id="1744" w:name="_Toc419364525"/>
      <w:bookmarkStart w:id="1745" w:name="_Toc433988894"/>
      <w:bookmarkStart w:id="1746" w:name="_Toc419363860"/>
      <w:bookmarkStart w:id="1747" w:name="_Toc491277444"/>
      <w:r>
        <w:rPr>
          <w:rFonts w:hint="eastAsia" w:ascii="宋体" w:hAnsi="宋体"/>
          <w:color w:val="auto"/>
          <w:kern w:val="0"/>
          <w:sz w:val="21"/>
          <w:szCs w:val="21"/>
          <w:highlight w:val="none"/>
        </w:rPr>
        <w:t>15.1  承包人的投保</w:t>
      </w:r>
      <w:bookmarkEnd w:id="1742"/>
      <w:bookmarkEnd w:id="1743"/>
      <w:bookmarkEnd w:id="1744"/>
      <w:bookmarkEnd w:id="1745"/>
      <w:bookmarkEnd w:id="1746"/>
      <w:bookmarkEnd w:id="1747"/>
    </w:p>
    <w:p>
      <w:pPr>
        <w:spacing w:line="360" w:lineRule="auto"/>
        <w:ind w:firstLine="420" w:firstLineChars="200"/>
        <w:rPr>
          <w:rFonts w:ascii="宋体" w:hAnsi="宋体"/>
          <w:color w:val="auto"/>
          <w:szCs w:val="21"/>
          <w:highlight w:val="none"/>
        </w:rPr>
      </w:pPr>
      <w:r>
        <w:rPr>
          <w:rFonts w:ascii="宋体" w:hAnsi="宋体"/>
          <w:color w:val="auto"/>
          <w:szCs w:val="21"/>
          <w:highlight w:val="none"/>
        </w:rPr>
        <w:t>15.1.</w:t>
      </w:r>
      <w:r>
        <w:rPr>
          <w:rFonts w:hint="eastAsia" w:ascii="宋体" w:hAnsi="宋体"/>
          <w:color w:val="auto"/>
          <w:szCs w:val="21"/>
          <w:highlight w:val="none"/>
        </w:rPr>
        <w:t>1合同双方商定，由承包人负责投保的保险种类、</w:t>
      </w:r>
      <w:r>
        <w:rPr>
          <w:rFonts w:ascii="宋体" w:hAnsi="宋体"/>
          <w:color w:val="auto"/>
          <w:szCs w:val="21"/>
          <w:highlight w:val="none"/>
        </w:rPr>
        <w:t>保险范围、投保金额、保险期限和持续有效</w:t>
      </w:r>
      <w:r>
        <w:rPr>
          <w:rFonts w:hint="eastAsia" w:ascii="宋体" w:hAnsi="宋体"/>
          <w:color w:val="auto"/>
          <w:szCs w:val="21"/>
          <w:highlight w:val="none"/>
        </w:rPr>
        <w:t>的时间：</w:t>
      </w:r>
      <w:r>
        <w:rPr>
          <w:rFonts w:hint="eastAsia" w:ascii="宋体" w:hAnsi="宋体"/>
          <w:color w:val="auto"/>
          <w:szCs w:val="21"/>
          <w:highlight w:val="none"/>
          <w:u w:val="single"/>
        </w:rPr>
        <w:t>按通用条款执行</w:t>
      </w:r>
    </w:p>
    <w:p>
      <w:pPr>
        <w:ind w:firstLine="525" w:firstLineChars="250"/>
        <w:rPr>
          <w:color w:val="auto"/>
          <w:highlight w:val="none"/>
        </w:rPr>
      </w:pPr>
    </w:p>
    <w:p>
      <w:pPr>
        <w:pStyle w:val="4"/>
        <w:rPr>
          <w:rFonts w:ascii="宋体" w:hAnsi="宋体"/>
          <w:color w:val="auto"/>
          <w:kern w:val="0"/>
          <w:sz w:val="21"/>
          <w:szCs w:val="21"/>
          <w:highlight w:val="none"/>
        </w:rPr>
      </w:pPr>
      <w:bookmarkStart w:id="1748" w:name="_Toc419320403"/>
      <w:bookmarkStart w:id="1749" w:name="_Toc491277445"/>
      <w:bookmarkStart w:id="1750" w:name="_Toc419321439"/>
      <w:bookmarkStart w:id="1751" w:name="_Toc419364526"/>
      <w:bookmarkStart w:id="1752" w:name="_Toc433988895"/>
      <w:bookmarkStart w:id="1753" w:name="_Toc419363861"/>
      <w:r>
        <w:rPr>
          <w:rFonts w:hint="eastAsia" w:ascii="宋体" w:hAnsi="宋体"/>
          <w:color w:val="auto"/>
          <w:kern w:val="0"/>
          <w:sz w:val="21"/>
          <w:szCs w:val="21"/>
          <w:highlight w:val="none"/>
        </w:rPr>
        <w:t>15.2  一切险和第三方责任</w:t>
      </w:r>
      <w:bookmarkEnd w:id="1748"/>
      <w:bookmarkEnd w:id="1749"/>
      <w:bookmarkEnd w:id="1750"/>
      <w:bookmarkEnd w:id="1751"/>
      <w:bookmarkEnd w:id="1752"/>
      <w:bookmarkEnd w:id="1753"/>
    </w:p>
    <w:p>
      <w:pPr>
        <w:adjustRightInd w:val="0"/>
        <w:snapToGrid w:val="0"/>
        <w:spacing w:line="440" w:lineRule="exact"/>
        <w:ind w:firstLine="420" w:firstLineChars="200"/>
        <w:rPr>
          <w:rFonts w:ascii="宋体" w:hAnsi="宋体"/>
          <w:color w:val="auto"/>
          <w:szCs w:val="21"/>
          <w:highlight w:val="none"/>
        </w:rPr>
      </w:pPr>
      <w:r>
        <w:rPr>
          <w:rFonts w:hint="eastAsia"/>
          <w:color w:val="auto"/>
          <w:szCs w:val="21"/>
          <w:highlight w:val="none"/>
        </w:rPr>
        <w:t>土建工程一切险的投保方及对投保的相关要求：</w:t>
      </w:r>
      <w:r>
        <w:rPr>
          <w:rFonts w:hint="eastAsia" w:ascii="宋体" w:hAnsi="宋体"/>
          <w:color w:val="auto"/>
          <w:szCs w:val="21"/>
          <w:highlight w:val="none"/>
          <w:u w:val="single"/>
        </w:rPr>
        <w:t>按国家法律法规强制性要求执行</w:t>
      </w:r>
    </w:p>
    <w:p>
      <w:pPr>
        <w:spacing w:line="300" w:lineRule="auto"/>
        <w:ind w:firstLine="420" w:firstLineChars="200"/>
        <w:rPr>
          <w:color w:val="auto"/>
          <w:szCs w:val="21"/>
          <w:highlight w:val="none"/>
        </w:rPr>
      </w:pPr>
    </w:p>
    <w:p>
      <w:pPr>
        <w:adjustRightInd w:val="0"/>
        <w:snapToGrid w:val="0"/>
        <w:spacing w:line="440" w:lineRule="exact"/>
        <w:ind w:firstLine="420" w:firstLineChars="200"/>
        <w:rPr>
          <w:rFonts w:ascii="宋体" w:hAnsi="宋体"/>
          <w:color w:val="auto"/>
          <w:szCs w:val="21"/>
          <w:highlight w:val="none"/>
        </w:rPr>
      </w:pPr>
      <w:r>
        <w:rPr>
          <w:rFonts w:hint="eastAsia"/>
          <w:color w:val="auto"/>
          <w:szCs w:val="21"/>
          <w:highlight w:val="none"/>
        </w:rPr>
        <w:t>安装工程及竣工试验一切险的投保方及对投保的相关要求：</w:t>
      </w:r>
      <w:r>
        <w:rPr>
          <w:rFonts w:hint="eastAsia" w:ascii="宋体" w:hAnsi="宋体"/>
          <w:color w:val="auto"/>
          <w:szCs w:val="21"/>
          <w:highlight w:val="none"/>
          <w:u w:val="single"/>
        </w:rPr>
        <w:t>按国家法律法规强制性要求执行</w:t>
      </w:r>
    </w:p>
    <w:p>
      <w:pPr>
        <w:spacing w:line="300" w:lineRule="auto"/>
        <w:ind w:firstLine="420" w:firstLineChars="200"/>
        <w:rPr>
          <w:color w:val="auto"/>
          <w:szCs w:val="21"/>
          <w:highlight w:val="none"/>
        </w:rPr>
      </w:pPr>
    </w:p>
    <w:p>
      <w:pPr>
        <w:adjustRightInd w:val="0"/>
        <w:snapToGrid w:val="0"/>
        <w:spacing w:line="440" w:lineRule="exact"/>
        <w:ind w:firstLine="420" w:firstLineChars="200"/>
        <w:rPr>
          <w:rFonts w:ascii="宋体" w:hAnsi="宋体"/>
          <w:color w:val="auto"/>
          <w:szCs w:val="21"/>
          <w:highlight w:val="none"/>
        </w:rPr>
      </w:pPr>
      <w:r>
        <w:rPr>
          <w:rFonts w:hint="eastAsia"/>
          <w:color w:val="auto"/>
          <w:szCs w:val="21"/>
          <w:highlight w:val="none"/>
        </w:rPr>
        <w:t>第三者责任险的应投保方及对投保的相关要求</w:t>
      </w:r>
      <w:r>
        <w:rPr>
          <w:rFonts w:hint="eastAsia"/>
          <w:color w:val="auto"/>
          <w:szCs w:val="21"/>
          <w:highlight w:val="none"/>
          <w:u w:val="single"/>
        </w:rPr>
        <w:t xml:space="preserve">：  </w:t>
      </w:r>
      <w:r>
        <w:rPr>
          <w:rFonts w:hint="eastAsia" w:ascii="宋体" w:hAnsi="宋体"/>
          <w:color w:val="auto"/>
          <w:szCs w:val="21"/>
          <w:highlight w:val="none"/>
          <w:u w:val="single"/>
        </w:rPr>
        <w:t>按国家法律法规强制性要求执行</w:t>
      </w:r>
    </w:p>
    <w:p>
      <w:pPr>
        <w:spacing w:line="300" w:lineRule="auto"/>
        <w:ind w:firstLine="420" w:firstLineChars="200"/>
        <w:rPr>
          <w:color w:val="auto"/>
          <w:szCs w:val="21"/>
          <w:highlight w:val="none"/>
        </w:rPr>
      </w:pPr>
    </w:p>
    <w:p>
      <w:pPr>
        <w:pStyle w:val="2"/>
        <w:rPr>
          <w:rFonts w:ascii="宋体" w:hAnsi="宋体" w:eastAsia="宋体"/>
          <w:color w:val="auto"/>
          <w:sz w:val="28"/>
          <w:szCs w:val="28"/>
          <w:highlight w:val="none"/>
        </w:rPr>
      </w:pPr>
      <w:bookmarkStart w:id="1754" w:name="_Toc419320404"/>
      <w:bookmarkStart w:id="1755" w:name="_Toc419321440"/>
      <w:bookmarkStart w:id="1756" w:name="_Toc419363862"/>
      <w:bookmarkStart w:id="1757" w:name="_Toc491277446"/>
      <w:bookmarkStart w:id="1758" w:name="_Toc419364527"/>
      <w:bookmarkStart w:id="1759" w:name="_Toc433988896"/>
      <w:r>
        <w:rPr>
          <w:rFonts w:hint="eastAsia" w:ascii="宋体" w:hAnsi="宋体" w:eastAsia="宋体"/>
          <w:color w:val="auto"/>
          <w:sz w:val="28"/>
          <w:szCs w:val="28"/>
          <w:highlight w:val="none"/>
        </w:rPr>
        <w:t>第</w:t>
      </w:r>
      <w:r>
        <w:rPr>
          <w:rFonts w:ascii="宋体" w:hAnsi="宋体" w:eastAsia="宋体"/>
          <w:color w:val="auto"/>
          <w:sz w:val="28"/>
          <w:szCs w:val="28"/>
          <w:highlight w:val="none"/>
        </w:rPr>
        <w:t>16</w:t>
      </w:r>
      <w:r>
        <w:rPr>
          <w:rFonts w:hint="eastAsia" w:ascii="宋体" w:hAnsi="宋体" w:eastAsia="宋体"/>
          <w:color w:val="auto"/>
          <w:sz w:val="28"/>
          <w:szCs w:val="28"/>
          <w:highlight w:val="none"/>
        </w:rPr>
        <w:t>条 违约、索赔和裁决</w:t>
      </w:r>
      <w:bookmarkEnd w:id="1754"/>
      <w:bookmarkEnd w:id="1755"/>
      <w:bookmarkEnd w:id="1756"/>
      <w:bookmarkEnd w:id="1757"/>
      <w:bookmarkEnd w:id="1758"/>
      <w:bookmarkEnd w:id="1759"/>
    </w:p>
    <w:p>
      <w:pPr>
        <w:pStyle w:val="2"/>
        <w:rPr>
          <w:rFonts w:ascii="宋体" w:hAnsi="宋体" w:eastAsia="宋体"/>
          <w:color w:val="auto"/>
          <w:sz w:val="28"/>
          <w:szCs w:val="28"/>
          <w:highlight w:val="none"/>
        </w:rPr>
      </w:pPr>
      <w:r>
        <w:rPr>
          <w:rFonts w:hint="eastAsia" w:ascii="宋体" w:hAnsi="宋体" w:eastAsia="宋体"/>
          <w:color w:val="auto"/>
          <w:sz w:val="28"/>
          <w:szCs w:val="28"/>
          <w:highlight w:val="none"/>
        </w:rPr>
        <w:t>第</w:t>
      </w:r>
      <w:r>
        <w:rPr>
          <w:rFonts w:ascii="宋体" w:hAnsi="宋体" w:eastAsia="宋体"/>
          <w:color w:val="auto"/>
          <w:sz w:val="28"/>
          <w:szCs w:val="28"/>
          <w:highlight w:val="none"/>
        </w:rPr>
        <w:t>16</w:t>
      </w:r>
      <w:r>
        <w:rPr>
          <w:rFonts w:hint="eastAsia" w:ascii="宋体" w:hAnsi="宋体" w:eastAsia="宋体"/>
          <w:color w:val="auto"/>
          <w:sz w:val="28"/>
          <w:szCs w:val="28"/>
          <w:highlight w:val="none"/>
        </w:rPr>
        <w:t>条 违约、索赔和裁决</w:t>
      </w:r>
    </w:p>
    <w:p>
      <w:pPr>
        <w:pStyle w:val="4"/>
        <w:rPr>
          <w:rFonts w:ascii="宋体" w:hAnsi="宋体"/>
          <w:color w:val="auto"/>
          <w:kern w:val="0"/>
          <w:sz w:val="21"/>
          <w:szCs w:val="21"/>
          <w:highlight w:val="none"/>
        </w:rPr>
      </w:pPr>
      <w:bookmarkStart w:id="1760" w:name="_Toc491277447"/>
      <w:bookmarkStart w:id="1761" w:name="_Toc433988897"/>
      <w:bookmarkStart w:id="1762" w:name="_Toc419321441"/>
      <w:bookmarkStart w:id="1763" w:name="_Toc419364528"/>
      <w:bookmarkStart w:id="1764" w:name="_Toc419320405"/>
      <w:bookmarkStart w:id="1765" w:name="_Toc419363863"/>
      <w:r>
        <w:rPr>
          <w:rFonts w:hint="eastAsia" w:ascii="宋体" w:hAnsi="宋体"/>
          <w:color w:val="auto"/>
          <w:kern w:val="0"/>
          <w:sz w:val="21"/>
          <w:szCs w:val="21"/>
          <w:highlight w:val="none"/>
        </w:rPr>
        <w:t>16.1  违约责任</w:t>
      </w:r>
      <w:bookmarkEnd w:id="1760"/>
      <w:bookmarkEnd w:id="1761"/>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16.1.1 发包人的违约责任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（1）发包人未能按合同约定时间支付工程款或结算款的，从违约之日起，发包人每日按延付金额的</w:t>
      </w:r>
    </w:p>
    <w:p>
      <w:pPr>
        <w:spacing w:line="300" w:lineRule="auto"/>
        <w:rPr>
          <w:rFonts w:ascii="宋体" w:hAnsi="宋体"/>
          <w:color w:val="auto"/>
          <w:szCs w:val="21"/>
          <w:highlight w:val="none"/>
        </w:rPr>
      </w:pPr>
      <w:r>
        <w:rPr>
          <w:rFonts w:hint="eastAsia" w:ascii="宋体" w:hAnsi="宋体"/>
          <w:color w:val="auto"/>
          <w:szCs w:val="21"/>
          <w:highlight w:val="none"/>
          <w:u w:val="single"/>
        </w:rPr>
        <w:t>0.04 %</w:t>
      </w:r>
      <w:r>
        <w:rPr>
          <w:rFonts w:hint="eastAsia" w:ascii="宋体" w:hAnsi="宋体"/>
          <w:color w:val="auto"/>
          <w:szCs w:val="21"/>
          <w:highlight w:val="none"/>
        </w:rPr>
        <w:t xml:space="preserve">向承包人支付违约金，承包人的损失按实际发生计，所耽误的工期相应顺延。对于违约金超过合同总价 </w:t>
      </w:r>
      <w:r>
        <w:rPr>
          <w:rFonts w:hint="eastAsia" w:ascii="宋体" w:hAnsi="宋体"/>
          <w:color w:val="auto"/>
          <w:szCs w:val="21"/>
          <w:highlight w:val="none"/>
          <w:u w:val="single"/>
        </w:rPr>
        <w:t>2 %</w:t>
      </w:r>
      <w:r>
        <w:rPr>
          <w:rFonts w:hint="eastAsia" w:ascii="宋体" w:hAnsi="宋体"/>
          <w:color w:val="auto"/>
          <w:szCs w:val="21"/>
          <w:highlight w:val="none"/>
        </w:rPr>
        <w:t>或发包人拒不支付时，承包人可按专用条款16.3条的规定进入争议解决程序。</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（2）其他：/ 。</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16.1.2 承包人的违约责任</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承包人未能按合同约定时间且因承包人自身原因导致工程延期竣工或无法验收时，每日延误的赔偿金额及累计的最高赔偿金额按专用条款4.5条的规定执行，发包人的损失按实际发生计。当承包人拒不支付时，发包人可按专用条款16.3条的规定进入争议解决程序。</w:t>
      </w:r>
    </w:p>
    <w:p>
      <w:pPr>
        <w:pStyle w:val="7"/>
        <w:ind w:firstLine="315" w:firstLineChars="150"/>
        <w:rPr>
          <w:color w:val="auto"/>
          <w:highlight w:val="none"/>
        </w:rPr>
      </w:pPr>
      <w:r>
        <w:rPr>
          <w:rFonts w:hint="eastAsia"/>
          <w:color w:val="auto"/>
          <w:highlight w:val="none"/>
        </w:rPr>
        <w:t>16.2.1 承包人违约的情形</w:t>
      </w:r>
    </w:p>
    <w:p>
      <w:pPr>
        <w:pStyle w:val="7"/>
        <w:ind w:firstLine="315" w:firstLineChars="150"/>
        <w:rPr>
          <w:color w:val="auto"/>
          <w:highlight w:val="none"/>
        </w:rPr>
      </w:pPr>
      <w:r>
        <w:rPr>
          <w:rFonts w:hint="eastAsia"/>
          <w:color w:val="auto"/>
          <w:highlight w:val="none"/>
        </w:rPr>
        <w:t>承包人违约的其他情形：</w:t>
      </w:r>
      <w:r>
        <w:rPr>
          <w:rFonts w:hint="eastAsia"/>
          <w:color w:val="auto"/>
          <w:highlight w:val="none"/>
          <w:u w:val="single"/>
        </w:rPr>
        <w:t>按通用条款,无特殊约定。</w:t>
      </w:r>
    </w:p>
    <w:p>
      <w:pPr>
        <w:pStyle w:val="7"/>
        <w:ind w:firstLine="420" w:firstLineChars="200"/>
        <w:rPr>
          <w:color w:val="auto"/>
          <w:highlight w:val="none"/>
        </w:rPr>
      </w:pPr>
      <w:r>
        <w:rPr>
          <w:rFonts w:hint="eastAsia"/>
          <w:color w:val="auto"/>
          <w:highlight w:val="none"/>
        </w:rPr>
        <w:t>16.2.2承包人违约的责任</w:t>
      </w:r>
    </w:p>
    <w:p>
      <w:pPr>
        <w:pStyle w:val="7"/>
        <w:ind w:firstLine="315" w:firstLineChars="150"/>
        <w:rPr>
          <w:color w:val="auto"/>
          <w:highlight w:val="none"/>
        </w:rPr>
      </w:pPr>
      <w:r>
        <w:rPr>
          <w:rFonts w:hint="eastAsia"/>
          <w:color w:val="auto"/>
          <w:highlight w:val="none"/>
        </w:rPr>
        <w:t>承包人违约责任的承担方式和计算方法：</w:t>
      </w:r>
    </w:p>
    <w:p>
      <w:pPr>
        <w:spacing w:line="300" w:lineRule="auto"/>
        <w:ind w:firstLine="420" w:firstLineChars="200"/>
        <w:rPr>
          <w:rFonts w:ascii="宋体" w:hAnsi="宋体"/>
          <w:color w:val="auto"/>
          <w:szCs w:val="21"/>
          <w:highlight w:val="none"/>
        </w:rPr>
      </w:pPr>
      <w:r>
        <w:rPr>
          <w:rFonts w:hint="eastAsia"/>
          <w:color w:val="auto"/>
          <w:highlight w:val="none"/>
        </w:rPr>
        <w:t>（</w:t>
      </w:r>
      <w:r>
        <w:rPr>
          <w:rFonts w:hint="eastAsia" w:ascii="宋体" w:hAnsi="宋体"/>
          <w:color w:val="auto"/>
          <w:szCs w:val="21"/>
          <w:highlight w:val="none"/>
        </w:rPr>
        <w:t>1）承包人出现本合同通用条款第16.2.1项第（2）目 约定的违约情形，按本合同通用条款第8.5.1、8.5.2项处理。违约情形还包括：施工现场堆放或正在使用的建筑、装修、水电等材料必须为发包人指定的参考品牌之一且为总厂生产，如发现其品牌、品种、规格、型号不是合同、清单约定的参考品牌及等级，或其性能参数指标不符合国家及有关规范、标准的要求，或被相关部门认定为假冒伪劣产品，或为分厂生产，承包人必须将相应材料清退出场。如不退场，发包人将在付款和结算时扣除涉及此材料的相应清单项目的全部费用，承包人还须承担由此产生的相应后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承包人出现本合同通用条款第16.2.1项第（3）目约定的违约情形，承包人无条件在发包人（含监理人）规定的时间内返工整改至工程质量符合合同要求，并承担相关费用，逾期未完成的，每延期一天，处违约金1000元/天•次（人民币）；同一整改内容出现2次以上的，处违约金2000-5000元/•次（人民币）。如承包人拒不整改，发包人将在付款和结算时扣除涉及未整改的相应清单项目的全部费用，承包人还须承担由此产生的后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承包人不按设计图纸和施工规范施工的每被发现一次，处违约金5000-20000元/次（人民币）；存在明显的施工质量问题的每被发现一次，处罚违约金5000-100000元/次（人民币），并由承包人负责相关整改工作；工程存在明显的施工质量缺陷的，发包人视情况对承包人处罚金1000-5000元/处（人民币），并由承包人负责相关整改工作。</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（3）承包人出现本合同通用条款第16.2.1项第（6）目约定的违约情形，发包人将扣除承包人全部质量保修金。</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（4）前道工序未经监理人、发包人检查验收确认，承包人擅自进入下一道工序施工的，处违约金1000元/次（人民币）。 </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（5）分部分项工程施工时，无专项施工方案，无书面技术交底，处违约金500元/次（人民币）。</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（6）不按交底要求施工，处违约金500元/次（人民币）。</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（7）交底错误，未造成后果，处违约金500元/次；造成后果的视其严重程度处违约金1000-5000元/次（人民币）。</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（8）因承包人原因造成工程资料与工程进度不同步，或者资料不真实，暂停支付工程进度款，另处违约金1000元/次（人民币）。 </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16.2.3 因承包人违约解除合同</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关于承包人违约解除合同的特别约定：承包人有违反以下情况之一的，发包人有权解除合同，并没收其全部履约保证金。</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(1)承包人无正当理由不按开工通知的要求及时进场组织施工和不按签订协议书时商定的进度计划有效地开展施工准备，造成工期延误的；</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(2)承包人违反本合同通用条款第3.5条规定私自将合同或合同的任何部分或任何权利转让给其他人，或私自将工程或工程的一部分分包出去的；</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(3)未经监理人批准，承包人私自将已按投标文件承诺进入工地的工程设备、施工设备、临时工程或材料撤离工地的；</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(4)由于承包人原因拒绝按合同进度计划及时完成合同规定的工程，而又未采取有效措施赶上进度，造成工期严重延误的；</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(5)承包人否认合同有效或拒绝履行合同规定的承包人义务，或由于法律、财务等原因导致承包人无法继续履行或实质上已停止履行合同的义务的；</w:t>
      </w:r>
    </w:p>
    <w:p>
      <w:pPr>
        <w:spacing w:line="300" w:lineRule="auto"/>
        <w:ind w:firstLine="420" w:firstLineChars="200"/>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发包人使用承包人在施工现场的材料、设备、临时工程、承包人文件和由承包人或以其名义编制的其他文件的费用承担方式：双方另行协商。</w:t>
      </w:r>
    </w:p>
    <w:p>
      <w:pPr>
        <w:spacing w:line="300" w:lineRule="auto"/>
        <w:ind w:firstLine="420" w:firstLineChars="200"/>
        <w:rPr>
          <w:rFonts w:ascii="宋体" w:hAnsi="宋体"/>
          <w:color w:val="auto"/>
          <w:szCs w:val="21"/>
          <w:highlight w:val="none"/>
        </w:rPr>
      </w:pPr>
    </w:p>
    <w:p>
      <w:pPr>
        <w:pStyle w:val="4"/>
        <w:rPr>
          <w:rFonts w:ascii="宋体" w:hAnsi="宋体"/>
          <w:color w:val="auto"/>
          <w:kern w:val="0"/>
          <w:sz w:val="21"/>
          <w:szCs w:val="21"/>
          <w:highlight w:val="none"/>
        </w:rPr>
      </w:pPr>
      <w:bookmarkStart w:id="1766" w:name="_Toc433988898"/>
      <w:bookmarkStart w:id="1767" w:name="_Toc491277448"/>
      <w:r>
        <w:rPr>
          <w:rFonts w:hint="eastAsia" w:ascii="宋体" w:hAnsi="宋体"/>
          <w:color w:val="auto"/>
          <w:kern w:val="0"/>
          <w:sz w:val="21"/>
          <w:szCs w:val="21"/>
          <w:highlight w:val="none"/>
        </w:rPr>
        <w:t>16.2  索赔</w:t>
      </w:r>
      <w:bookmarkEnd w:id="1766"/>
      <w:bookmarkEnd w:id="1767"/>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16.2.2 承包人的索赔</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索赔金额按国家及地方相关规定计算，并在承包人提交给发包人的索赔报告中说明理由。并与工程进度款同期支付。</w:t>
      </w:r>
    </w:p>
    <w:p>
      <w:pPr>
        <w:pStyle w:val="4"/>
        <w:rPr>
          <w:rFonts w:ascii="宋体" w:hAnsi="宋体"/>
          <w:color w:val="auto"/>
          <w:kern w:val="0"/>
          <w:sz w:val="21"/>
          <w:szCs w:val="21"/>
          <w:highlight w:val="none"/>
        </w:rPr>
      </w:pPr>
      <w:bookmarkStart w:id="1768" w:name="_Toc433988899"/>
      <w:bookmarkStart w:id="1769" w:name="_Toc491277449"/>
      <w:r>
        <w:rPr>
          <w:rFonts w:ascii="宋体" w:hAnsi="宋体"/>
          <w:color w:val="auto"/>
          <w:kern w:val="0"/>
          <w:sz w:val="21"/>
          <w:szCs w:val="21"/>
          <w:highlight w:val="none"/>
        </w:rPr>
        <w:t>16.</w:t>
      </w:r>
      <w:r>
        <w:rPr>
          <w:rFonts w:hint="eastAsia" w:ascii="宋体" w:hAnsi="宋体"/>
          <w:color w:val="auto"/>
          <w:kern w:val="0"/>
          <w:sz w:val="21"/>
          <w:szCs w:val="21"/>
          <w:highlight w:val="none"/>
        </w:rPr>
        <w:t>3  争议和裁决</w:t>
      </w:r>
      <w:bookmarkEnd w:id="1762"/>
      <w:bookmarkEnd w:id="1763"/>
      <w:bookmarkEnd w:id="1764"/>
      <w:bookmarkEnd w:id="1765"/>
      <w:bookmarkEnd w:id="1768"/>
      <w:bookmarkEnd w:id="1769"/>
    </w:p>
    <w:p>
      <w:pPr>
        <w:spacing w:line="300" w:lineRule="auto"/>
        <w:ind w:firstLine="420" w:firstLineChars="200"/>
        <w:rPr>
          <w:rFonts w:ascii="宋体" w:hAnsi="宋体"/>
          <w:color w:val="auto"/>
          <w:szCs w:val="21"/>
          <w:highlight w:val="none"/>
        </w:rPr>
      </w:pPr>
      <w:r>
        <w:rPr>
          <w:rFonts w:ascii="宋体" w:hAnsi="宋体"/>
          <w:color w:val="auto"/>
          <w:szCs w:val="21"/>
          <w:highlight w:val="none"/>
        </w:rPr>
        <w:t>16.</w:t>
      </w:r>
      <w:r>
        <w:rPr>
          <w:rFonts w:hint="eastAsia" w:ascii="宋体" w:hAnsi="宋体"/>
          <w:color w:val="auto"/>
          <w:szCs w:val="21"/>
          <w:highlight w:val="none"/>
        </w:rPr>
        <w:t>3</w:t>
      </w:r>
      <w:r>
        <w:rPr>
          <w:rFonts w:ascii="宋体" w:hAnsi="宋体"/>
          <w:color w:val="auto"/>
          <w:szCs w:val="21"/>
          <w:highlight w:val="none"/>
        </w:rPr>
        <w:t>.1</w:t>
      </w:r>
      <w:r>
        <w:rPr>
          <w:rFonts w:hint="eastAsia" w:ascii="宋体" w:hAnsi="宋体"/>
          <w:color w:val="auto"/>
          <w:szCs w:val="21"/>
          <w:highlight w:val="none"/>
        </w:rPr>
        <w:t xml:space="preserve">  争议的解决程序</w:t>
      </w:r>
    </w:p>
    <w:p>
      <w:pPr>
        <w:spacing w:line="300" w:lineRule="auto"/>
        <w:ind w:firstLine="420" w:firstLineChars="200"/>
        <w:rPr>
          <w:rFonts w:ascii="宋体" w:hAnsi="宋体"/>
          <w:color w:val="auto"/>
          <w:szCs w:val="21"/>
          <w:highlight w:val="none"/>
        </w:rPr>
      </w:pPr>
      <w:r>
        <w:rPr>
          <w:rFonts w:hint="eastAsia" w:ascii="宋体" w:hAnsi="宋体"/>
          <w:color w:val="auto"/>
          <w:szCs w:val="21"/>
          <w:highlight w:val="none"/>
        </w:rPr>
        <w:t>在争议提交调解之日起30日内，双方仍存有争议时，或合同任何一方不同意调解的，在以下方式中选择其一，作为双方解决争议事项的约定。</w:t>
      </w:r>
    </w:p>
    <w:p>
      <w:pPr>
        <w:numPr>
          <w:ilvl w:val="0"/>
          <w:numId w:val="7"/>
        </w:numPr>
        <w:spacing w:line="300" w:lineRule="auto"/>
        <w:ind w:left="0" w:firstLine="420" w:firstLineChars="200"/>
        <w:rPr>
          <w:rFonts w:ascii="宋体" w:hAnsi="宋体"/>
          <w:color w:val="auto"/>
          <w:szCs w:val="21"/>
          <w:highlight w:val="none"/>
        </w:rPr>
      </w:pPr>
      <w:r>
        <w:rPr>
          <w:rFonts w:hint="eastAsia" w:ascii="宋体" w:hAnsi="宋体"/>
          <w:color w:val="auto"/>
          <w:szCs w:val="21"/>
          <w:highlight w:val="none"/>
        </w:rPr>
        <w:t>提交仲裁委员会，按照申请仲裁时该会有效的仲裁规则进行仲裁。仲裁裁决是终局的，对双方均有约束力。</w:t>
      </w:r>
    </w:p>
    <w:p>
      <w:pPr>
        <w:spacing w:line="300" w:lineRule="auto"/>
        <w:ind w:left="420" w:leftChars="200"/>
        <w:rPr>
          <w:rFonts w:ascii="宋体" w:hAnsi="宋体"/>
          <w:color w:val="auto"/>
          <w:szCs w:val="21"/>
          <w:highlight w:val="none"/>
        </w:rPr>
      </w:pPr>
      <w:r>
        <w:rPr>
          <w:rFonts w:hint="eastAsia" w:ascii="MS Mincho" w:hAnsi="MS Mincho" w:eastAsia="MS Mincho" w:cs="MS Mincho"/>
          <w:color w:val="auto"/>
          <w:szCs w:val="21"/>
          <w:highlight w:val="none"/>
        </w:rPr>
        <w:t>☑</w:t>
      </w:r>
      <w:r>
        <w:rPr>
          <w:rFonts w:hint="eastAsia" w:ascii="宋体" w:hAnsi="宋体"/>
          <w:color w:val="auto"/>
          <w:szCs w:val="21"/>
          <w:highlight w:val="none"/>
        </w:rPr>
        <w:t>向</w:t>
      </w:r>
      <w:r>
        <w:rPr>
          <w:rFonts w:hint="eastAsia" w:ascii="宋体" w:hAnsi="宋体"/>
          <w:color w:val="auto"/>
          <w:szCs w:val="21"/>
          <w:highlight w:val="none"/>
          <w:u w:val="single"/>
        </w:rPr>
        <w:t>本项目</w:t>
      </w:r>
      <w:r>
        <w:rPr>
          <w:rFonts w:hint="eastAsia" w:ascii="宋体" w:hAnsi="宋体"/>
          <w:color w:val="auto"/>
          <w:szCs w:val="21"/>
          <w:highlight w:val="none"/>
        </w:rPr>
        <w:t>所在地人民法院提起诉讼。</w:t>
      </w:r>
    </w:p>
    <w:p>
      <w:pPr>
        <w:spacing w:line="300" w:lineRule="auto"/>
        <w:rPr>
          <w:rFonts w:ascii="宋体" w:hAnsi="宋体"/>
          <w:color w:val="auto"/>
          <w:szCs w:val="21"/>
          <w:highlight w:val="none"/>
        </w:rPr>
      </w:pPr>
      <w:r>
        <w:rPr>
          <w:rFonts w:hint="eastAsia" w:ascii="宋体" w:hAnsi="宋体"/>
          <w:color w:val="auto"/>
          <w:szCs w:val="21"/>
          <w:highlight w:val="none"/>
        </w:rPr>
        <w:t xml:space="preserve">    16.3.4 双方在合同履约过程中针对本合同的条款及合同附件中的约定存在争议的，由双方友好协商解决。</w:t>
      </w:r>
    </w:p>
    <w:p>
      <w:pPr>
        <w:pStyle w:val="2"/>
        <w:rPr>
          <w:rFonts w:ascii="宋体" w:hAnsi="宋体" w:eastAsia="宋体"/>
          <w:color w:val="auto"/>
          <w:sz w:val="28"/>
          <w:szCs w:val="28"/>
          <w:highlight w:val="none"/>
        </w:rPr>
      </w:pPr>
      <w:bookmarkStart w:id="1770" w:name="_Toc419320406"/>
      <w:bookmarkStart w:id="1771" w:name="_Toc433988900"/>
      <w:bookmarkStart w:id="1772" w:name="_Toc419363864"/>
      <w:bookmarkStart w:id="1773" w:name="_Toc419364529"/>
      <w:bookmarkStart w:id="1774" w:name="_Toc419321442"/>
      <w:bookmarkStart w:id="1775" w:name="_Toc491277450"/>
      <w:r>
        <w:rPr>
          <w:rFonts w:ascii="宋体" w:hAnsi="宋体" w:eastAsia="宋体"/>
          <w:color w:val="auto"/>
          <w:sz w:val="28"/>
          <w:szCs w:val="28"/>
          <w:highlight w:val="none"/>
        </w:rPr>
        <w:t>第1</w:t>
      </w:r>
      <w:r>
        <w:rPr>
          <w:rFonts w:hint="eastAsia" w:ascii="宋体" w:hAnsi="宋体" w:eastAsia="宋体"/>
          <w:color w:val="auto"/>
          <w:sz w:val="28"/>
          <w:szCs w:val="28"/>
          <w:highlight w:val="none"/>
        </w:rPr>
        <w:t>9</w:t>
      </w:r>
      <w:r>
        <w:rPr>
          <w:rFonts w:ascii="宋体" w:hAnsi="宋体" w:eastAsia="宋体"/>
          <w:color w:val="auto"/>
          <w:sz w:val="28"/>
          <w:szCs w:val="28"/>
          <w:highlight w:val="none"/>
        </w:rPr>
        <w:t>条  合同生效与</w:t>
      </w:r>
      <w:r>
        <w:rPr>
          <w:rFonts w:hint="eastAsia" w:ascii="宋体" w:hAnsi="宋体" w:eastAsia="宋体"/>
          <w:color w:val="auto"/>
          <w:sz w:val="28"/>
          <w:szCs w:val="28"/>
          <w:highlight w:val="none"/>
        </w:rPr>
        <w:t>合同</w:t>
      </w:r>
      <w:r>
        <w:rPr>
          <w:rFonts w:ascii="宋体" w:hAnsi="宋体" w:eastAsia="宋体"/>
          <w:color w:val="auto"/>
          <w:sz w:val="28"/>
          <w:szCs w:val="28"/>
          <w:highlight w:val="none"/>
        </w:rPr>
        <w:t>终止</w:t>
      </w:r>
      <w:bookmarkEnd w:id="1770"/>
      <w:bookmarkEnd w:id="1771"/>
      <w:bookmarkEnd w:id="1772"/>
      <w:bookmarkEnd w:id="1773"/>
      <w:bookmarkEnd w:id="1774"/>
      <w:bookmarkEnd w:id="1775"/>
    </w:p>
    <w:p>
      <w:pPr>
        <w:pStyle w:val="4"/>
        <w:rPr>
          <w:rFonts w:ascii="宋体" w:hAnsi="宋体"/>
          <w:color w:val="auto"/>
          <w:kern w:val="0"/>
          <w:sz w:val="21"/>
          <w:szCs w:val="21"/>
          <w:highlight w:val="none"/>
        </w:rPr>
      </w:pPr>
      <w:bookmarkStart w:id="1776" w:name="_Toc433988901"/>
      <w:bookmarkStart w:id="1777" w:name="_Toc491277451"/>
      <w:bookmarkStart w:id="1778" w:name="_Toc419364530"/>
      <w:bookmarkStart w:id="1779" w:name="_Toc419321443"/>
      <w:bookmarkStart w:id="1780" w:name="_Toc419363865"/>
      <w:bookmarkStart w:id="1781" w:name="_Toc419320407"/>
      <w:r>
        <w:rPr>
          <w:rFonts w:ascii="宋体" w:hAnsi="宋体"/>
          <w:color w:val="auto"/>
          <w:kern w:val="0"/>
          <w:sz w:val="21"/>
          <w:szCs w:val="21"/>
          <w:highlight w:val="none"/>
        </w:rPr>
        <w:t>1</w:t>
      </w:r>
      <w:r>
        <w:rPr>
          <w:rFonts w:hint="eastAsia" w:ascii="宋体" w:hAnsi="宋体"/>
          <w:color w:val="auto"/>
          <w:kern w:val="0"/>
          <w:sz w:val="21"/>
          <w:szCs w:val="21"/>
          <w:highlight w:val="none"/>
        </w:rPr>
        <w:t>9</w:t>
      </w:r>
      <w:r>
        <w:rPr>
          <w:rFonts w:ascii="宋体" w:hAnsi="宋体"/>
          <w:color w:val="auto"/>
          <w:kern w:val="0"/>
          <w:sz w:val="21"/>
          <w:szCs w:val="21"/>
          <w:highlight w:val="none"/>
        </w:rPr>
        <w:t>.</w:t>
      </w:r>
      <w:r>
        <w:rPr>
          <w:rFonts w:hint="eastAsia" w:ascii="宋体" w:hAnsi="宋体"/>
          <w:color w:val="auto"/>
          <w:kern w:val="0"/>
          <w:sz w:val="21"/>
          <w:szCs w:val="21"/>
          <w:highlight w:val="none"/>
        </w:rPr>
        <w:t xml:space="preserve">2  </w:t>
      </w:r>
      <w:r>
        <w:rPr>
          <w:rFonts w:ascii="宋体" w:hAnsi="宋体"/>
          <w:color w:val="auto"/>
          <w:kern w:val="0"/>
          <w:sz w:val="21"/>
          <w:szCs w:val="21"/>
          <w:highlight w:val="none"/>
        </w:rPr>
        <w:t>合同</w:t>
      </w:r>
      <w:r>
        <w:rPr>
          <w:rFonts w:hint="eastAsia" w:ascii="宋体" w:hAnsi="宋体"/>
          <w:color w:val="auto"/>
          <w:kern w:val="0"/>
          <w:sz w:val="21"/>
          <w:szCs w:val="21"/>
          <w:highlight w:val="none"/>
        </w:rPr>
        <w:t>份数</w:t>
      </w:r>
      <w:bookmarkEnd w:id="1776"/>
      <w:bookmarkEnd w:id="1777"/>
      <w:bookmarkEnd w:id="1778"/>
      <w:bookmarkEnd w:id="1779"/>
      <w:bookmarkEnd w:id="1780"/>
      <w:bookmarkEnd w:id="1781"/>
    </w:p>
    <w:p>
      <w:pPr>
        <w:spacing w:before="120" w:beforeLines="50" w:after="120" w:afterLines="50" w:line="300" w:lineRule="auto"/>
        <w:ind w:firstLine="420" w:firstLineChars="200"/>
        <w:rPr>
          <w:rFonts w:ascii="宋体" w:hAnsi="宋体"/>
          <w:color w:val="auto"/>
          <w:szCs w:val="21"/>
          <w:highlight w:val="none"/>
        </w:rPr>
      </w:pPr>
      <w:r>
        <w:rPr>
          <w:rFonts w:ascii="宋体" w:hAnsi="宋体"/>
          <w:color w:val="auto"/>
          <w:szCs w:val="21"/>
          <w:highlight w:val="none"/>
        </w:rPr>
        <w:t>本合同正本一式：</w:t>
      </w:r>
      <w:r>
        <w:rPr>
          <w:rFonts w:hint="eastAsia" w:ascii="宋体" w:hAnsi="宋体"/>
          <w:color w:val="auto"/>
          <w:szCs w:val="21"/>
          <w:highlight w:val="none"/>
        </w:rPr>
        <w:t>3</w:t>
      </w:r>
      <w:r>
        <w:rPr>
          <w:rFonts w:ascii="宋体" w:hAnsi="宋体"/>
          <w:color w:val="auto"/>
          <w:szCs w:val="21"/>
          <w:highlight w:val="none"/>
        </w:rPr>
        <w:t>份，</w:t>
      </w:r>
      <w:r>
        <w:rPr>
          <w:rFonts w:hint="eastAsia"/>
          <w:color w:val="auto"/>
          <w:szCs w:val="21"/>
          <w:highlight w:val="none"/>
        </w:rPr>
        <w:t>发包人执1份，承包人执2份；</w:t>
      </w:r>
      <w:r>
        <w:rPr>
          <w:rFonts w:ascii="宋体" w:hAnsi="宋体"/>
          <w:color w:val="auto"/>
          <w:szCs w:val="21"/>
          <w:highlight w:val="none"/>
        </w:rPr>
        <w:t>合同副本一式：</w:t>
      </w:r>
      <w:r>
        <w:rPr>
          <w:rFonts w:hint="eastAsia" w:ascii="宋体" w:hAnsi="宋体"/>
          <w:color w:val="auto"/>
          <w:szCs w:val="21"/>
          <w:highlight w:val="none"/>
        </w:rPr>
        <w:t>9</w:t>
      </w:r>
      <w:r>
        <w:rPr>
          <w:rFonts w:ascii="宋体" w:hAnsi="宋体"/>
          <w:color w:val="auto"/>
          <w:szCs w:val="21"/>
          <w:highlight w:val="none"/>
        </w:rPr>
        <w:t xml:space="preserve"> 份</w:t>
      </w:r>
      <w:r>
        <w:rPr>
          <w:rFonts w:hint="eastAsia" w:ascii="宋体" w:hAnsi="宋体"/>
          <w:color w:val="auto"/>
          <w:szCs w:val="21"/>
          <w:highlight w:val="none"/>
        </w:rPr>
        <w:t>，</w:t>
      </w:r>
      <w:r>
        <w:rPr>
          <w:rFonts w:hint="eastAsia"/>
          <w:color w:val="auto"/>
          <w:szCs w:val="21"/>
          <w:highlight w:val="none"/>
        </w:rPr>
        <w:t>发包人执3份，承包人执6份。当正本与副本内容不一致时，以正本为准。</w:t>
      </w:r>
    </w:p>
    <w:p>
      <w:pPr>
        <w:pStyle w:val="2"/>
        <w:rPr>
          <w:rFonts w:ascii="宋体" w:hAnsi="宋体" w:eastAsia="宋体"/>
          <w:color w:val="auto"/>
          <w:sz w:val="28"/>
          <w:szCs w:val="28"/>
          <w:highlight w:val="none"/>
        </w:rPr>
      </w:pPr>
      <w:bookmarkStart w:id="1782" w:name="_Toc419363866"/>
      <w:bookmarkStart w:id="1783" w:name="_Toc419320408"/>
      <w:bookmarkStart w:id="1784" w:name="_Toc419364531"/>
      <w:bookmarkStart w:id="1785" w:name="_Toc491277452"/>
      <w:bookmarkStart w:id="1786" w:name="_Toc433988902"/>
      <w:bookmarkStart w:id="1787" w:name="_Toc419321444"/>
      <w:r>
        <w:rPr>
          <w:rFonts w:ascii="宋体" w:hAnsi="宋体" w:eastAsia="宋体"/>
          <w:color w:val="auto"/>
          <w:sz w:val="28"/>
          <w:szCs w:val="28"/>
          <w:highlight w:val="none"/>
        </w:rPr>
        <w:t>第</w:t>
      </w:r>
      <w:r>
        <w:rPr>
          <w:rFonts w:hint="eastAsia" w:ascii="宋体" w:hAnsi="宋体" w:eastAsia="宋体"/>
          <w:color w:val="auto"/>
          <w:sz w:val="28"/>
          <w:szCs w:val="28"/>
          <w:highlight w:val="none"/>
        </w:rPr>
        <w:t>20</w:t>
      </w:r>
      <w:r>
        <w:rPr>
          <w:rFonts w:ascii="宋体" w:hAnsi="宋体" w:eastAsia="宋体"/>
          <w:color w:val="auto"/>
          <w:sz w:val="28"/>
          <w:szCs w:val="28"/>
          <w:highlight w:val="none"/>
        </w:rPr>
        <w:t xml:space="preserve">条  </w:t>
      </w:r>
      <w:r>
        <w:rPr>
          <w:rFonts w:hint="eastAsia" w:ascii="宋体" w:hAnsi="宋体" w:eastAsia="宋体"/>
          <w:color w:val="auto"/>
          <w:sz w:val="28"/>
          <w:szCs w:val="28"/>
          <w:highlight w:val="none"/>
        </w:rPr>
        <w:t>补充条款</w:t>
      </w:r>
      <w:bookmarkEnd w:id="1782"/>
      <w:bookmarkEnd w:id="1783"/>
      <w:bookmarkEnd w:id="1784"/>
      <w:bookmarkEnd w:id="1785"/>
      <w:bookmarkEnd w:id="1786"/>
      <w:bookmarkEnd w:id="1787"/>
    </w:p>
    <w:p>
      <w:pPr>
        <w:widowControl/>
        <w:spacing w:before="120" w:beforeLines="50" w:after="120" w:afterLines="50" w:line="300" w:lineRule="auto"/>
        <w:ind w:firstLine="420" w:firstLineChars="200"/>
        <w:rPr>
          <w:color w:val="auto"/>
          <w:szCs w:val="21"/>
          <w:highlight w:val="none"/>
        </w:rPr>
      </w:pPr>
      <w:r>
        <w:rPr>
          <w:rFonts w:ascii="宋体" w:hAnsi="宋体"/>
          <w:color w:val="auto"/>
          <w:szCs w:val="21"/>
          <w:highlight w:val="none"/>
        </w:rPr>
        <w:t>20.1</w:t>
      </w:r>
      <w:r>
        <w:rPr>
          <w:rFonts w:hint="eastAsia" w:ascii="宋体" w:hAnsi="宋体"/>
          <w:color w:val="auto"/>
          <w:szCs w:val="21"/>
          <w:highlight w:val="none"/>
        </w:rPr>
        <w:t xml:space="preserve">  本工程合同价款已包含安全防护、文明施工措施费。使用要求：专款专用，具体按</w:t>
      </w:r>
      <w:r>
        <w:rPr>
          <w:rFonts w:hint="eastAsia" w:ascii="宋体" w:hAnsi="宋体" w:cs="宋体"/>
          <w:bCs/>
          <w:color w:val="auto"/>
          <w:szCs w:val="21"/>
          <w:highlight w:val="none"/>
          <w:u w:val="single"/>
        </w:rPr>
        <w:t>《广西壮族自治区建设工程安全文明施工费使用管理细则》</w:t>
      </w:r>
      <w:r>
        <w:rPr>
          <w:rFonts w:hint="eastAsia" w:ascii="宋体" w:hAnsi="宋体"/>
          <w:color w:val="auto"/>
          <w:szCs w:val="21"/>
          <w:highlight w:val="none"/>
          <w:u w:val="single"/>
        </w:rPr>
        <w:t>（桂建质【</w:t>
      </w:r>
      <w:r>
        <w:rPr>
          <w:rFonts w:ascii="宋体" w:hAnsi="宋体"/>
          <w:color w:val="auto"/>
          <w:szCs w:val="21"/>
          <w:highlight w:val="none"/>
          <w:u w:val="single"/>
        </w:rPr>
        <w:t>2015</w:t>
      </w:r>
      <w:r>
        <w:rPr>
          <w:rFonts w:hint="eastAsia" w:ascii="宋体" w:hAnsi="宋体"/>
          <w:color w:val="auto"/>
          <w:szCs w:val="21"/>
          <w:highlight w:val="none"/>
          <w:u w:val="single"/>
        </w:rPr>
        <w:t>】</w:t>
      </w:r>
      <w:r>
        <w:rPr>
          <w:rFonts w:ascii="宋体" w:hAnsi="宋体"/>
          <w:color w:val="auto"/>
          <w:szCs w:val="21"/>
          <w:highlight w:val="none"/>
          <w:u w:val="single"/>
        </w:rPr>
        <w:t>16</w:t>
      </w:r>
      <w:r>
        <w:rPr>
          <w:rFonts w:hint="eastAsia" w:ascii="宋体" w:hAnsi="宋体"/>
          <w:color w:val="auto"/>
          <w:szCs w:val="21"/>
          <w:highlight w:val="none"/>
          <w:u w:val="single"/>
        </w:rPr>
        <w:t>号）</w:t>
      </w:r>
      <w:r>
        <w:rPr>
          <w:rFonts w:hAnsi="宋体"/>
          <w:color w:val="auto"/>
          <w:kern w:val="0"/>
          <w:szCs w:val="21"/>
          <w:highlight w:val="none"/>
        </w:rPr>
        <w:t>和市相关规定执行</w:t>
      </w:r>
      <w:r>
        <w:rPr>
          <w:rFonts w:hint="eastAsia" w:ascii="宋体" w:hAnsi="宋体"/>
          <w:color w:val="auto"/>
          <w:szCs w:val="21"/>
          <w:highlight w:val="none"/>
        </w:rPr>
        <w:t>。安全防护、文明施工措施费与工程款同步支付（按相关规定缴纳及支付）。安全防护、文明施工措施费暂定为</w:t>
      </w:r>
      <w:r>
        <w:rPr>
          <w:rFonts w:hint="eastAsia" w:hAnsi="宋体"/>
          <w:color w:val="auto"/>
          <w:kern w:val="0"/>
          <w:szCs w:val="21"/>
          <w:highlight w:val="none"/>
        </w:rPr>
        <w:t>元。</w:t>
      </w:r>
    </w:p>
    <w:p>
      <w:pPr>
        <w:widowControl/>
        <w:ind w:firstLine="420" w:firstLineChars="200"/>
        <w:rPr>
          <w:color w:val="auto"/>
          <w:szCs w:val="21"/>
          <w:highlight w:val="none"/>
        </w:rPr>
      </w:pPr>
      <w:r>
        <w:rPr>
          <w:rFonts w:ascii="宋体" w:hAnsi="宋体"/>
          <w:color w:val="auto"/>
          <w:szCs w:val="21"/>
          <w:highlight w:val="none"/>
        </w:rPr>
        <w:t>2</w:t>
      </w:r>
      <w:r>
        <w:rPr>
          <w:rFonts w:ascii="宋体"/>
          <w:color w:val="auto"/>
          <w:szCs w:val="21"/>
          <w:highlight w:val="none"/>
        </w:rPr>
        <w:t>0</w:t>
      </w:r>
      <w:r>
        <w:rPr>
          <w:rFonts w:ascii="宋体" w:hAnsi="宋体"/>
          <w:color w:val="auto"/>
          <w:szCs w:val="21"/>
          <w:highlight w:val="none"/>
        </w:rPr>
        <w:t>.2</w:t>
      </w:r>
      <w:r>
        <w:rPr>
          <w:rFonts w:hint="eastAsia" w:ascii="宋体" w:hAnsi="宋体" w:cs="宋体"/>
          <w:color w:val="auto"/>
          <w:szCs w:val="21"/>
          <w:highlight w:val="none"/>
        </w:rPr>
        <w:t>实现债权的费用承担：因任何一方违约致使相对方采取诉讼方式实现债权的，违约方应承担相对方为此支付的合理费用，包括但不限于诉讼费、律师费、差旅费等。</w:t>
      </w:r>
    </w:p>
    <w:p>
      <w:pPr>
        <w:spacing w:line="360" w:lineRule="auto"/>
        <w:ind w:firstLine="420" w:firstLineChars="200"/>
        <w:jc w:val="left"/>
        <w:rPr>
          <w:rFonts w:ascii="宋体"/>
          <w:color w:val="auto"/>
          <w:szCs w:val="21"/>
          <w:highlight w:val="none"/>
        </w:rPr>
      </w:pPr>
      <w:r>
        <w:rPr>
          <w:rFonts w:ascii="宋体" w:hAnsi="宋体" w:cs="宋体"/>
          <w:color w:val="auto"/>
          <w:szCs w:val="21"/>
          <w:highlight w:val="none"/>
        </w:rPr>
        <w:t>2</w:t>
      </w:r>
      <w:r>
        <w:rPr>
          <w:rFonts w:ascii="宋体" w:cs="宋体"/>
          <w:color w:val="auto"/>
          <w:szCs w:val="21"/>
          <w:highlight w:val="none"/>
        </w:rPr>
        <w:t>0.</w:t>
      </w:r>
      <w:r>
        <w:rPr>
          <w:rFonts w:hint="eastAsia" w:ascii="宋体" w:hAnsi="宋体" w:cs="宋体"/>
          <w:color w:val="auto"/>
          <w:szCs w:val="21"/>
          <w:highlight w:val="none"/>
        </w:rPr>
        <w:t xml:space="preserve">3  </w:t>
      </w:r>
      <w:r>
        <w:rPr>
          <w:rFonts w:hint="eastAsia" w:ascii="宋体" w:hAnsi="宋体"/>
          <w:color w:val="auto"/>
          <w:szCs w:val="21"/>
          <w:highlight w:val="none"/>
        </w:rPr>
        <w:t>承包人在合同期内，完成合同约定的全部工程，且质量合格，竣工验收后十五天内发包人返还给承包人全部与工期有关（或里程碑罚款）的违约处罚金</w:t>
      </w:r>
      <w:r>
        <w:rPr>
          <w:rFonts w:ascii="宋体" w:hAnsi="宋体"/>
          <w:color w:val="auto"/>
          <w:szCs w:val="21"/>
          <w:highlight w:val="none"/>
        </w:rPr>
        <w:t>(</w:t>
      </w:r>
      <w:r>
        <w:rPr>
          <w:rFonts w:hint="eastAsia" w:ascii="宋体" w:hAnsi="宋体"/>
          <w:color w:val="auto"/>
          <w:szCs w:val="21"/>
          <w:highlight w:val="none"/>
        </w:rPr>
        <w:t>不包括利息</w:t>
      </w:r>
      <w:r>
        <w:rPr>
          <w:rFonts w:ascii="宋体" w:hAnsi="宋体"/>
          <w:color w:val="auto"/>
          <w:szCs w:val="21"/>
          <w:highlight w:val="none"/>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20.</w:t>
      </w:r>
      <w:r>
        <w:rPr>
          <w:rFonts w:hint="eastAsia" w:ascii="宋体" w:hAnsi="宋体"/>
          <w:color w:val="auto"/>
          <w:szCs w:val="21"/>
          <w:highlight w:val="none"/>
        </w:rPr>
        <w:t>4  与本合同有关的通知应以书面形式作出并直接送达有关方，或经电子邮件、专递方式送达有关方或其代表人（包括：发包人现场代表、承包人项目总负责人、总监理工程师）在本合同中注明的电子信箱或通信地址。除接受通知一方可另行证明，一方以电子邮件发出的通知应视为接受通知一方于通知发出当日收悉该通知，一方以专递方式发出的通知应视为接受通知一方于通知发出当日后第二个工作日收悉该通知。</w:t>
      </w:r>
    </w:p>
    <w:p>
      <w:pPr>
        <w:spacing w:line="360" w:lineRule="auto"/>
        <w:ind w:firstLine="420" w:firstLineChars="200"/>
        <w:jc w:val="left"/>
        <w:rPr>
          <w:rFonts w:ascii="宋体" w:hAnsi="宋体"/>
          <w:color w:val="auto"/>
          <w:szCs w:val="21"/>
          <w:highlight w:val="none"/>
        </w:rPr>
      </w:pP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20.6  发包人与承包人的风险分担：</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20.6.1  发包人承担的风险包括： </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20.6.2  承包人承担的风险包括：</w:t>
      </w:r>
      <w:r>
        <w:rPr>
          <w:rFonts w:ascii="宋体" w:hAnsi="宋体"/>
          <w:color w:val="auto"/>
          <w:szCs w:val="21"/>
          <w:highlight w:val="none"/>
        </w:rPr>
        <w:t xml:space="preserve">  /    </w:t>
      </w:r>
    </w:p>
    <w:p>
      <w:pPr>
        <w:spacing w:line="360" w:lineRule="auto"/>
        <w:ind w:left="-283" w:leftChars="-135" w:right="-340" w:rightChars="-162" w:firstLine="315" w:firstLineChars="150"/>
        <w:jc w:val="left"/>
        <w:rPr>
          <w:rFonts w:ascii="宋体"/>
          <w:color w:val="auto"/>
          <w:szCs w:val="21"/>
          <w:highlight w:val="none"/>
        </w:rPr>
      </w:pP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w:t>
      </w:r>
      <w:r>
        <w:rPr>
          <w:rFonts w:ascii="宋体"/>
          <w:color w:val="auto"/>
          <w:szCs w:val="21"/>
          <w:highlight w:val="none"/>
        </w:rPr>
        <w:t>0</w:t>
      </w:r>
      <w:r>
        <w:rPr>
          <w:rFonts w:hint="eastAsia" w:ascii="宋体"/>
          <w:color w:val="auto"/>
          <w:szCs w:val="21"/>
          <w:highlight w:val="none"/>
        </w:rPr>
        <w:t>.</w:t>
      </w:r>
      <w:r>
        <w:rPr>
          <w:rFonts w:ascii="宋体"/>
          <w:color w:val="auto"/>
          <w:szCs w:val="21"/>
          <w:highlight w:val="none"/>
        </w:rPr>
        <w:t>7</w:t>
      </w:r>
      <w:r>
        <w:rPr>
          <w:rFonts w:hint="eastAsia" w:ascii="宋体"/>
          <w:color w:val="auto"/>
          <w:szCs w:val="21"/>
          <w:highlight w:val="none"/>
        </w:rPr>
        <w:t xml:space="preserve"> 结算方式：</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（1）本</w:t>
      </w:r>
      <w:r>
        <w:rPr>
          <w:rFonts w:ascii="宋体"/>
          <w:color w:val="auto"/>
          <w:szCs w:val="21"/>
          <w:highlight w:val="none"/>
        </w:rPr>
        <w:t>合同为</w:t>
      </w:r>
      <w:r>
        <w:rPr>
          <w:rFonts w:hint="eastAsia" w:ascii="宋体"/>
          <w:color w:val="auto"/>
          <w:szCs w:val="21"/>
          <w:highlight w:val="none"/>
        </w:rPr>
        <w:t>总</w:t>
      </w:r>
      <w:r>
        <w:rPr>
          <w:rFonts w:ascii="宋体"/>
          <w:color w:val="auto"/>
          <w:szCs w:val="21"/>
          <w:highlight w:val="none"/>
        </w:rPr>
        <w:t>价包干</w:t>
      </w:r>
      <w:r>
        <w:rPr>
          <w:rFonts w:hint="eastAsia" w:ascii="宋体"/>
          <w:color w:val="auto"/>
          <w:szCs w:val="21"/>
          <w:highlight w:val="none"/>
        </w:rPr>
        <w:t>方</w:t>
      </w:r>
      <w:r>
        <w:rPr>
          <w:rFonts w:ascii="宋体"/>
          <w:color w:val="auto"/>
          <w:szCs w:val="21"/>
          <w:highlight w:val="none"/>
        </w:rPr>
        <w:t>式，所有价款不做任何调整</w:t>
      </w:r>
      <w:r>
        <w:rPr>
          <w:rFonts w:hint="eastAsia" w:ascii="宋体"/>
          <w:color w:val="auto"/>
          <w:szCs w:val="21"/>
          <w:highlight w:val="none"/>
        </w:rPr>
        <w:t>。</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（2）工程施工过程中及结算时发包人将不再对任何材料（含商品混凝土、预拌砂浆）和设备的超运距进行签证，土方堆放、外弃、运距、渣土等费用,承包人在报价中自行考虑。</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（3）承包人应对送审的结算负责，若送审结算价超出审定价的5%以上时，超出部分的审核费按5%计取，审核费用由发包人财务部门从承包人工程款中扣除，其承担审核费计算公式为：【送审价格 — 审定价格ⅹ（1+5%）】ⅹ5% 。</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21.3工程变更及签证其他约定：/</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21.3.1工程变更相关规定</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承包人须严格执行合同约定及发包人有关工程变更管理办法等规定。</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1）在施工过程中，由承包人提出确需进行的工程变更，承包人填具《工程变更审批表》，各参建单位项目负责人对工程变更进行充分论证，并依次签署意见。估价10万元（含10万元）以内的工程变更，经发包人基建处处长审批签字同意并加盖基建处公章后实施；估价10万元以上的工程变更还需发包人校领导领导同意后方可实施。</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（2）未按规定完成审批的工程变更，按无效变更处理，发包人不予认可，由此产生的后果由承包人自负。</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（3）承包人提交工程结算后，发包人不再补办承包人提出的任何变更审批手续。</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21.3.2工程签证相关规定：</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在施工过程中，当发生如场地平整、土方量增加或发包人指派完成合同外工作内容等可能产生签证的情况，分别按以下情形处理：</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（1）费用估算增加1万元以上的签证项目：</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①实施签证工作内容前2个工作日内，承包人应提交联系函（附预算）。签证内容经发包人基建处处长审批签字同意，加盖发包人基建处公章后，承包人方可实施相应签证工作内容。</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②完成签证内容7个工作日内，承包人提交签证单及施工现场影像或照片、现场收方（须有发包人、监理人、承包人等的代表签字认可）等佐证材料。签证单经发包人基建处处长签字并加盖发包人基建处印章方能生效。超过10万元须报发包人校领导批准后才能生效。</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（2）费用估算增加1万元以下的签证项目：无需联系函，经发包人基建处处长同意后实施，并按上述第（1）条第②点执行。</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在实施签证工作内容前24小时，承包人应通知发包人、监理人。发包人工地代表、监理人将对施工过程实施全程跟踪，认定签证事实，并对工程量或初步计量进行草签。如签证项目属于隐蔽工程或不可再复查工程，承包人又未通知发包人工地代表、监理人，造成工作内容无法核实，则按无效签证处理。发包人对签证工作内容不予认可，由此产生的后果由承包人自负。</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3）承包人需对签证单的内容真实性和签证工程量的准确性负责。如签证单内容与实际施工内容不符,发包人将不予签证，并扣除相应项目的全部费用。为防止高估冒算，当填报工程量超出实际工程量在10%以上的，发包人将对承包人处以罚款，处虚报部分费用20%的罚款。罚款从结算工程款中直接扣除。承包人须重新如实填报。</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（4）未经发包人基建处处长审批或逾期提交的联系函、签证单，按无效处理，相应工作内容发包人不予认可。结算时直接扣除相应项目的全部费用。产生的后果由承包人自负。</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（5）工程结算时，必须要联系函、签证单及相关照片、现场收方单等材料。仅有联系函、没有签证单的项目，发包人不予认可，结算时发包人不认可该项目的全部费用，产生的后果由承包人自负。</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（6）承包人提交工程结算书后，发包人不再补办承包人提出的任何联系函和签证单审批手续。</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21.3.3无效签证情形</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（1）未有发包人基建处处长签字和基建处公章或逾期提交的联系函、签证单，按无效签证处理，相应签证内容发包人不予认可。</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签证项目属于隐蔽工程或不可再复查工程，施工前未通知发包人基建处相关人员、发包人审计人员、监理等到场、施工前后无图片影像等资料，造成工程无法核实，则按无效签证处理，相应签证内容发包人不予认可。</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（3）签证费用在1万元以上，只有联系函没有履行签证程序、只有签证单无联系函等情况按无效签证处理，相应签证内容发包人不予认可。</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（4）无联系函、签证单等资料的增加项目，按无效签证处理，相应签证内容发包人不予认可。</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21.4其它约定</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 xml:space="preserve">（1）承包人使用的劳动力均须按有关规定办理相应手续。 </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2）凡招标文件的合同条件、技术规范、设计图纸没有明显提及或明显遗漏或明显错误的，应以国内现行规范解释为依据，或以国内惯例处理。承包人发现后应及时向监理工程师报告，防止造成损失，并不得利用以上文件的含糊、遗漏、错误或缺点索取利益。</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（3）施工期间所发生的一切责任事故，全部由承包人承担经济责任和法律责任。</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 xml:space="preserve">（4）承包人未按时向农民工支付工资而导致工程进度受到影响，发包人有权直接从承包人工程款代扣支付给农民工。 </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 xml:space="preserve">（5）凡因承包人原因提出终止合同时，除合同规定的违约金外，发包人另对承包人处以已完成工程造价3%的违约金，同时发包人有权决定是否接收属于承包人在现场的一切设施、设备、材料，并保留进一步要求向承包人索赔的权利。 </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 xml:space="preserve">（6）合同终止后，承包人应无条件履行通知、协助、保密、质量保证等责任和义务。 </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（7）水电费按实结算，由发包人后勤处挂表计量，如不挂表计量，结算时按总结算价的1%扣除水电费。</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（8）承包人实际用于本工程施工的机械设备与投标时承诺的机械设备型号规格及数量存在差异，结算时将扣除差异部分机械设备相应的费用。</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（9）场地清表费按实际发生工程量或台班数量签证确定。</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（10）承包人应设立农民工工资专户，资金仅可用于发放农民工工资，不得用于其他用途。该账户接受开户银行和人民银行的监管，不得谎报账户信息，不得谎报转款用途。开户银行： （中标后填写）  ；开户名称： （中标后填写）  ；开户账号： （中标后填写）  。</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11）工程结算书内容必须真实，若发包人基建处初审时发现工程结算书存在内容不真实、工程量高估冒算等虚假行为，发包人有权对承包人处违约金10000-50000元/次（人民币），并要求承包人重新编制工程结算书，否则，发包人基建处拒绝送审工程结算书。</w:t>
      </w:r>
    </w:p>
    <w:p>
      <w:pPr>
        <w:spacing w:line="360" w:lineRule="auto"/>
        <w:ind w:left="-283" w:leftChars="-135" w:right="-340" w:rightChars="-162" w:firstLine="315" w:firstLineChars="150"/>
        <w:jc w:val="left"/>
        <w:rPr>
          <w:rFonts w:ascii="宋体"/>
          <w:color w:val="auto"/>
          <w:szCs w:val="21"/>
          <w:highlight w:val="none"/>
        </w:rPr>
      </w:pPr>
      <w:r>
        <w:rPr>
          <w:rFonts w:hint="eastAsia" w:ascii="宋体"/>
          <w:color w:val="auto"/>
          <w:szCs w:val="21"/>
          <w:highlight w:val="none"/>
        </w:rPr>
        <w:t>（12）如果承包人与第三方之间产生纠纷并由此产生的法律后果，均由承包人负责，与发包人无关。如果承包人与第三方之间产生纠纷涉及发包人的，承包人向发包人支付违约金10万元，承包人并赔偿因此给发包人造成的全部损失，损失包括但不限于发包人向产生纠纷的第三方支付的所有款项以及诉讼费、保全费、鉴定费、评估费、律师费、保险费、差旅费等。</w:t>
      </w:r>
    </w:p>
    <w:p>
      <w:pPr>
        <w:pStyle w:val="2"/>
        <w:rPr>
          <w:rFonts w:ascii="宋体" w:hAnsi="宋体" w:eastAsia="宋体"/>
          <w:color w:val="auto"/>
          <w:sz w:val="28"/>
          <w:szCs w:val="28"/>
          <w:highlight w:val="none"/>
        </w:rPr>
      </w:pPr>
      <w:r>
        <w:rPr>
          <w:rFonts w:hint="eastAsia" w:ascii="宋体" w:hAnsi="宋体" w:eastAsia="宋体"/>
          <w:color w:val="auto"/>
          <w:sz w:val="28"/>
          <w:szCs w:val="28"/>
          <w:highlight w:val="none"/>
        </w:rPr>
        <w:t>第2</w:t>
      </w:r>
      <w:r>
        <w:rPr>
          <w:rFonts w:ascii="宋体" w:hAnsi="宋体" w:eastAsia="宋体"/>
          <w:color w:val="auto"/>
          <w:sz w:val="28"/>
          <w:szCs w:val="28"/>
          <w:highlight w:val="none"/>
        </w:rPr>
        <w:t>1</w:t>
      </w:r>
      <w:r>
        <w:rPr>
          <w:rFonts w:hint="eastAsia" w:ascii="宋体" w:hAnsi="宋体" w:eastAsia="宋体"/>
          <w:color w:val="auto"/>
          <w:sz w:val="28"/>
          <w:szCs w:val="28"/>
          <w:highlight w:val="none"/>
        </w:rPr>
        <w:t>条  专用条款未约定的条款均按本合同通用条款执行。</w:t>
      </w:r>
    </w:p>
    <w:p>
      <w:pPr>
        <w:widowControl/>
        <w:rPr>
          <w:color w:val="auto"/>
          <w:szCs w:val="21"/>
          <w:highlight w:val="none"/>
        </w:rPr>
      </w:pPr>
    </w:p>
    <w:p>
      <w:pPr>
        <w:widowControl/>
        <w:rPr>
          <w:color w:val="auto"/>
          <w:szCs w:val="21"/>
          <w:highlight w:val="none"/>
        </w:rPr>
        <w:sectPr>
          <w:footerReference r:id="rId8" w:type="default"/>
          <w:pgSz w:w="11906" w:h="16838"/>
          <w:pgMar w:top="1418" w:right="1134" w:bottom="1418" w:left="1134" w:header="851" w:footer="851" w:gutter="0"/>
          <w:cols w:space="720" w:num="1"/>
          <w:docGrid w:linePitch="312" w:charSpace="0"/>
        </w:sectPr>
      </w:pPr>
    </w:p>
    <w:p>
      <w:pPr>
        <w:widowControl/>
        <w:jc w:val="center"/>
        <w:rPr>
          <w:color w:val="auto"/>
          <w:szCs w:val="21"/>
          <w:highlight w:val="none"/>
        </w:rPr>
      </w:pPr>
    </w:p>
    <w:p>
      <w:pPr>
        <w:pStyle w:val="3"/>
        <w:jc w:val="center"/>
        <w:rPr>
          <w:color w:val="auto"/>
          <w:highlight w:val="none"/>
        </w:rPr>
      </w:pPr>
      <w:bookmarkStart w:id="1788" w:name="_Toc419363868"/>
      <w:bookmarkStart w:id="1789" w:name="_Toc419364532"/>
      <w:bookmarkStart w:id="1790" w:name="_Toc419320409"/>
      <w:bookmarkStart w:id="1791" w:name="_Toc433988903"/>
      <w:bookmarkStart w:id="1792" w:name="_Toc19034917"/>
      <w:bookmarkStart w:id="1793" w:name="_Toc419321445"/>
      <w:r>
        <w:rPr>
          <w:rFonts w:hint="eastAsia"/>
          <w:color w:val="auto"/>
          <w:highlight w:val="none"/>
        </w:rPr>
        <w:t>第四部分 合同附件</w:t>
      </w:r>
      <w:bookmarkEnd w:id="1788"/>
      <w:bookmarkEnd w:id="1789"/>
      <w:bookmarkEnd w:id="1790"/>
      <w:bookmarkEnd w:id="1791"/>
      <w:bookmarkEnd w:id="1792"/>
      <w:bookmarkEnd w:id="1793"/>
    </w:p>
    <w:p>
      <w:pPr>
        <w:pStyle w:val="2"/>
        <w:rPr>
          <w:rFonts w:hint="eastAsia" w:ascii="宋体" w:hAnsi="宋体" w:eastAsia="宋体"/>
          <w:color w:val="auto"/>
          <w:sz w:val="28"/>
          <w:szCs w:val="28"/>
          <w:highlight w:val="none"/>
        </w:rPr>
      </w:pPr>
      <w:bookmarkStart w:id="1794" w:name="_Toc433988904"/>
      <w:bookmarkStart w:id="1795" w:name="_Toc419320410"/>
      <w:bookmarkStart w:id="1796" w:name="_Toc19034918"/>
      <w:bookmarkStart w:id="1797" w:name="_Toc419364533"/>
      <w:bookmarkStart w:id="1798" w:name="_Toc419363869"/>
      <w:bookmarkStart w:id="1799" w:name="_Toc419321446"/>
      <w:r>
        <w:rPr>
          <w:rFonts w:hint="eastAsia" w:ascii="宋体" w:hAnsi="宋体" w:eastAsia="宋体"/>
          <w:color w:val="auto"/>
          <w:sz w:val="28"/>
          <w:szCs w:val="28"/>
          <w:highlight w:val="none"/>
        </w:rPr>
        <w:t>附件一：主要材料设备清单</w:t>
      </w:r>
      <w:bookmarkEnd w:id="1794"/>
      <w:bookmarkEnd w:id="1795"/>
      <w:bookmarkEnd w:id="1796"/>
      <w:bookmarkEnd w:id="1797"/>
      <w:bookmarkEnd w:id="1798"/>
      <w:bookmarkEnd w:id="1799"/>
    </w:p>
    <w:tbl>
      <w:tblPr>
        <w:tblStyle w:val="22"/>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069"/>
        <w:gridCol w:w="2954"/>
        <w:gridCol w:w="16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序号</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名称</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参考品牌</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档次</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1</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钢材</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信息价中“大厂”钢筋</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2</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板</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信息价中“大厂”</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3</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方材</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柳钢、冷钢、萍钢</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4</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水泥</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“海螺”、 华润</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5</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砂石</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信息价中“大厂”</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6</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灰</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信息价中“大厂”</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7</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沥青</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信息价中“大厂”</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8</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混凝土</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永固、鲁山、家合</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9</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橡胶圈</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广西南旭、广西科力尔、广东雄塑</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10</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钢管</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信息价中“大厂”</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11</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铸铁管</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大通铸业、鑫海、新兴</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12</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油漆</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国产</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13</w:t>
            </w:r>
          </w:p>
        </w:tc>
        <w:tc>
          <w:tcPr>
            <w:tcW w:w="1069"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管材</w:t>
            </w:r>
          </w:p>
        </w:tc>
        <w:tc>
          <w:tcPr>
            <w:tcW w:w="295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广西南旭、广西科力尔、广东雄塑</w:t>
            </w:r>
          </w:p>
        </w:tc>
        <w:tc>
          <w:tcPr>
            <w:tcW w:w="1674" w:type="dxa"/>
            <w:noWrap w:val="0"/>
            <w:vAlign w:val="center"/>
          </w:tcPr>
          <w:p>
            <w:pPr>
              <w:rPr>
                <w:rFonts w:hint="eastAsia"/>
                <w:color w:val="auto"/>
                <w:highlight w:val="none"/>
                <w:lang w:val="en-US" w:eastAsia="zh-CN"/>
              </w:rPr>
            </w:pPr>
            <w:r>
              <w:rPr>
                <w:rFonts w:hint="eastAsia" w:asciiTheme="minorHAnsi" w:eastAsiaTheme="minorEastAsia"/>
                <w:color w:val="auto"/>
                <w:highlight w:val="none"/>
                <w:lang w:val="en-US" w:eastAsia="zh-CN"/>
              </w:rPr>
              <w:t>相当于或优于</w:t>
            </w:r>
          </w:p>
        </w:tc>
        <w:tc>
          <w:tcPr>
            <w:tcW w:w="1674" w:type="dxa"/>
            <w:noWrap w:val="0"/>
            <w:vAlign w:val="center"/>
          </w:tcPr>
          <w:p>
            <w:pPr>
              <w:rPr>
                <w:rFonts w:hint="eastAsia"/>
                <w:color w:val="auto"/>
                <w:highlight w:val="none"/>
                <w:lang w:val="en-US" w:eastAsia="zh-CN"/>
              </w:rPr>
            </w:pPr>
          </w:p>
        </w:tc>
      </w:tr>
    </w:tbl>
    <w:p>
      <w:pPr>
        <w:rPr>
          <w:color w:val="auto"/>
          <w:highlight w:val="none"/>
        </w:rPr>
      </w:pP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优先参考使用以上提供的品牌或者提供同等价位同等档次的品牌代替。在建设过程中，上述材料采购，需先提供样品，报发包人确认后，承包人才可进行采购。</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（七）发包人提供的其他条件，如发包人或其委托的第三人提供的设计、工艺包、用于试验检验的工器具等，以及据此对承包人提出的予以配套的要求：</w:t>
      </w:r>
    </w:p>
    <w:p>
      <w:pPr>
        <w:spacing w:line="440" w:lineRule="exact"/>
        <w:ind w:firstLine="420" w:firstLineChars="200"/>
        <w:rPr>
          <w:color w:val="auto"/>
          <w:highlight w:val="none"/>
        </w:rPr>
      </w:pPr>
      <w:r>
        <w:rPr>
          <w:rFonts w:hint="eastAsia" w:ascii="宋体" w:hAnsi="宋体"/>
          <w:color w:val="auto"/>
          <w:szCs w:val="21"/>
          <w:highlight w:val="none"/>
        </w:rPr>
        <w:t>在专业工程进场施工时承包人应提供场地、施工用水、用电的支持；发包人应对专业分包工程进行统一的施工现场指挥管理，协助专业承包人完善技术成果资料。</w:t>
      </w:r>
    </w:p>
    <w:p>
      <w:pPr>
        <w:widowControl/>
        <w:rPr>
          <w:color w:val="auto"/>
          <w:szCs w:val="21"/>
          <w:highlight w:val="none"/>
        </w:rPr>
      </w:pPr>
    </w:p>
    <w:p>
      <w:pPr>
        <w:widowControl/>
        <w:jc w:val="left"/>
        <w:rPr>
          <w:rFonts w:ascii="宋体" w:hAnsi="宋体"/>
          <w:color w:val="auto"/>
          <w:sz w:val="28"/>
          <w:szCs w:val="28"/>
          <w:highlight w:val="none"/>
        </w:rPr>
      </w:pPr>
      <w:bookmarkStart w:id="1800" w:name="_Toc389647392"/>
      <w:bookmarkStart w:id="1801" w:name="_Toc19034919"/>
      <w:bookmarkStart w:id="1802" w:name="_Toc403896982"/>
      <w:bookmarkStart w:id="1803" w:name="_Toc152042551"/>
      <w:bookmarkStart w:id="1804" w:name="_Toc433988905"/>
      <w:bookmarkStart w:id="1805" w:name="_Toc419364534"/>
      <w:bookmarkStart w:id="1806" w:name="_Toc419363870"/>
      <w:bookmarkStart w:id="1807" w:name="_Toc419320411"/>
      <w:bookmarkStart w:id="1808" w:name="_Toc152045769"/>
      <w:bookmarkStart w:id="1809" w:name="_Toc419321447"/>
      <w:bookmarkStart w:id="1810" w:name="_Toc247514200"/>
      <w:bookmarkStart w:id="1811" w:name="_Toc247527801"/>
      <w:r>
        <w:rPr>
          <w:rFonts w:ascii="宋体" w:hAnsi="宋体"/>
          <w:color w:val="auto"/>
          <w:sz w:val="28"/>
          <w:szCs w:val="28"/>
          <w:highlight w:val="none"/>
        </w:rPr>
        <w:br w:type="page"/>
      </w:r>
    </w:p>
    <w:p>
      <w:pPr>
        <w:pStyle w:val="7"/>
        <w:rPr>
          <w:rFonts w:ascii="宋体" w:hAnsi="宋体"/>
          <w:color w:val="auto"/>
          <w:sz w:val="28"/>
          <w:szCs w:val="28"/>
          <w:highlight w:val="none"/>
        </w:rPr>
      </w:pPr>
    </w:p>
    <w:p>
      <w:pPr>
        <w:pStyle w:val="2"/>
        <w:rPr>
          <w:rFonts w:ascii="宋体" w:hAnsi="宋体"/>
          <w:color w:val="auto"/>
          <w:sz w:val="28"/>
          <w:szCs w:val="28"/>
          <w:highlight w:val="none"/>
        </w:rPr>
      </w:pPr>
      <w:r>
        <w:rPr>
          <w:rFonts w:hint="eastAsia" w:ascii="宋体" w:hAnsi="宋体" w:eastAsia="宋体"/>
          <w:color w:val="auto"/>
          <w:sz w:val="28"/>
          <w:szCs w:val="28"/>
          <w:highlight w:val="none"/>
        </w:rPr>
        <w:t>附件二：履约担保格式</w:t>
      </w:r>
      <w:bookmarkEnd w:id="1800"/>
      <w:bookmarkEnd w:id="1801"/>
      <w:bookmarkEnd w:id="1802"/>
      <w:bookmarkEnd w:id="1803"/>
      <w:bookmarkEnd w:id="1804"/>
      <w:bookmarkEnd w:id="1805"/>
      <w:bookmarkEnd w:id="1806"/>
      <w:bookmarkEnd w:id="1807"/>
      <w:bookmarkEnd w:id="1808"/>
      <w:bookmarkEnd w:id="1809"/>
      <w:bookmarkEnd w:id="1810"/>
      <w:bookmarkEnd w:id="1811"/>
    </w:p>
    <w:p>
      <w:pPr>
        <w:spacing w:line="400" w:lineRule="exact"/>
        <w:rPr>
          <w:color w:val="auto"/>
          <w:highlight w:val="none"/>
        </w:rPr>
      </w:pPr>
    </w:p>
    <w:p>
      <w:pPr>
        <w:spacing w:line="440" w:lineRule="exact"/>
        <w:jc w:val="center"/>
        <w:rPr>
          <w:rFonts w:eastAsia="黑体"/>
          <w:color w:val="auto"/>
          <w:sz w:val="28"/>
          <w:szCs w:val="28"/>
          <w:highlight w:val="none"/>
        </w:rPr>
      </w:pPr>
      <w:r>
        <w:rPr>
          <w:rFonts w:hint="eastAsia" w:eastAsia="黑体"/>
          <w:color w:val="auto"/>
          <w:sz w:val="28"/>
          <w:szCs w:val="28"/>
          <w:highlight w:val="none"/>
        </w:rPr>
        <w:t>履约担保</w:t>
      </w:r>
    </w:p>
    <w:p>
      <w:pPr>
        <w:spacing w:line="440" w:lineRule="exact"/>
        <w:rPr>
          <w:rFonts w:eastAsia="黑体"/>
          <w:color w:val="auto"/>
          <w:sz w:val="20"/>
          <w:szCs w:val="20"/>
          <w:highlight w:val="none"/>
        </w:rPr>
      </w:pPr>
    </w:p>
    <w:p>
      <w:pPr>
        <w:spacing w:line="440" w:lineRule="exact"/>
        <w:rPr>
          <w:color w:val="auto"/>
          <w:szCs w:val="21"/>
          <w:highlight w:val="none"/>
        </w:rPr>
      </w:pPr>
      <w:r>
        <w:rPr>
          <w:color w:val="auto"/>
          <w:szCs w:val="21"/>
          <w:highlight w:val="none"/>
          <w:u w:val="single"/>
        </w:rPr>
        <w:tab/>
      </w:r>
      <w:r>
        <w:rPr>
          <w:color w:val="auto"/>
          <w:szCs w:val="21"/>
          <w:highlight w:val="none"/>
          <w:u w:val="single"/>
        </w:rPr>
        <w:tab/>
      </w:r>
      <w:r>
        <w:rPr>
          <w:rFonts w:hint="eastAsia"/>
          <w:color w:val="auto"/>
          <w:szCs w:val="21"/>
          <w:highlight w:val="none"/>
        </w:rPr>
        <w:t>（发包人名称）：</w:t>
      </w:r>
    </w:p>
    <w:p>
      <w:pPr>
        <w:spacing w:line="440" w:lineRule="exact"/>
        <w:rPr>
          <w:color w:val="auto"/>
          <w:szCs w:val="21"/>
          <w:highlight w:val="none"/>
        </w:rPr>
      </w:pPr>
    </w:p>
    <w:p>
      <w:pPr>
        <w:spacing w:line="440" w:lineRule="exact"/>
        <w:ind w:firstLine="420" w:firstLineChars="200"/>
        <w:rPr>
          <w:color w:val="auto"/>
          <w:szCs w:val="21"/>
          <w:highlight w:val="none"/>
        </w:rPr>
      </w:pPr>
      <w:r>
        <w:rPr>
          <w:rFonts w:hint="eastAsia"/>
          <w:color w:val="auto"/>
          <w:szCs w:val="21"/>
          <w:highlight w:val="none"/>
        </w:rPr>
        <w:t>鉴于（发包人名称，以下简称</w:t>
      </w:r>
      <w:r>
        <w:rPr>
          <w:color w:val="auto"/>
          <w:szCs w:val="21"/>
          <w:highlight w:val="none"/>
        </w:rPr>
        <w:t>“</w:t>
      </w:r>
      <w:r>
        <w:rPr>
          <w:rFonts w:hint="eastAsia"/>
          <w:color w:val="auto"/>
          <w:szCs w:val="21"/>
          <w:highlight w:val="none"/>
        </w:rPr>
        <w:t>发包人</w:t>
      </w:r>
      <w:r>
        <w:rPr>
          <w:color w:val="auto"/>
          <w:szCs w:val="21"/>
          <w:highlight w:val="none"/>
        </w:rPr>
        <w:t>”</w:t>
      </w:r>
      <w:r>
        <w:rPr>
          <w:rFonts w:hint="eastAsia"/>
          <w:color w:val="auto"/>
          <w:szCs w:val="21"/>
          <w:highlight w:val="none"/>
        </w:rPr>
        <w:t>）接受（承包人名称，以下称</w:t>
      </w:r>
      <w:r>
        <w:rPr>
          <w:color w:val="auto"/>
          <w:szCs w:val="21"/>
          <w:highlight w:val="none"/>
        </w:rPr>
        <w:t>“</w:t>
      </w:r>
      <w:r>
        <w:rPr>
          <w:rFonts w:hint="eastAsia"/>
          <w:color w:val="auto"/>
          <w:szCs w:val="21"/>
          <w:highlight w:val="none"/>
        </w:rPr>
        <w:t>承包人</w:t>
      </w:r>
      <w:r>
        <w:rPr>
          <w:color w:val="auto"/>
          <w:szCs w:val="21"/>
          <w:highlight w:val="none"/>
        </w:rPr>
        <w:t>”</w:t>
      </w:r>
      <w:r>
        <w:rPr>
          <w:rFonts w:hint="eastAsia"/>
          <w:color w:val="auto"/>
          <w:szCs w:val="21"/>
          <w:highlight w:val="none"/>
        </w:rPr>
        <w:t>）于年月日参加（项目名称）的投标。我方愿意就承包人履行与你方订立的合同，向你方提供担保。</w:t>
      </w:r>
    </w:p>
    <w:p>
      <w:pPr>
        <w:spacing w:line="440" w:lineRule="exact"/>
        <w:ind w:firstLine="420" w:firstLineChars="200"/>
        <w:rPr>
          <w:color w:val="auto"/>
          <w:szCs w:val="21"/>
          <w:highlight w:val="none"/>
        </w:rPr>
      </w:pPr>
      <w:r>
        <w:rPr>
          <w:color w:val="auto"/>
          <w:szCs w:val="21"/>
          <w:highlight w:val="none"/>
        </w:rPr>
        <w:t xml:space="preserve">1. </w:t>
      </w:r>
      <w:r>
        <w:rPr>
          <w:rFonts w:hint="eastAsia"/>
          <w:color w:val="auto"/>
          <w:szCs w:val="21"/>
          <w:highlight w:val="none"/>
        </w:rPr>
        <w:t>担保金额人民币（大写）（</w:t>
      </w:r>
      <w:r>
        <w:rPr>
          <w:color w:val="auto"/>
          <w:szCs w:val="21"/>
          <w:highlight w:val="none"/>
        </w:rPr>
        <w:t xml:space="preserve">¥ </w:t>
      </w:r>
      <w:r>
        <w:rPr>
          <w:rFonts w:hint="eastAsia"/>
          <w:color w:val="auto"/>
          <w:szCs w:val="21"/>
          <w:highlight w:val="none"/>
        </w:rPr>
        <w:t>）。</w:t>
      </w:r>
    </w:p>
    <w:p>
      <w:pPr>
        <w:spacing w:line="440" w:lineRule="exact"/>
        <w:ind w:firstLine="420" w:firstLineChars="200"/>
        <w:rPr>
          <w:color w:val="auto"/>
          <w:szCs w:val="21"/>
          <w:highlight w:val="none"/>
        </w:rPr>
      </w:pPr>
      <w:bookmarkStart w:id="1812" w:name="_Toc419363871"/>
      <w:r>
        <w:rPr>
          <w:color w:val="auto"/>
          <w:szCs w:val="21"/>
          <w:highlight w:val="none"/>
        </w:rPr>
        <w:t xml:space="preserve">2. </w:t>
      </w:r>
      <w:r>
        <w:rPr>
          <w:rFonts w:hint="eastAsia"/>
          <w:color w:val="auto"/>
          <w:szCs w:val="21"/>
          <w:highlight w:val="none"/>
        </w:rPr>
        <w:t>担保有效期自发包人与承包人签订的合同生效之日起至发包人签发工程接收证书之日止。</w:t>
      </w:r>
      <w:bookmarkEnd w:id="1812"/>
    </w:p>
    <w:p>
      <w:pPr>
        <w:spacing w:line="440" w:lineRule="exact"/>
        <w:ind w:firstLine="420" w:firstLineChars="200"/>
        <w:rPr>
          <w:color w:val="auto"/>
          <w:szCs w:val="21"/>
          <w:highlight w:val="none"/>
        </w:rPr>
      </w:pPr>
      <w:r>
        <w:rPr>
          <w:color w:val="auto"/>
          <w:szCs w:val="21"/>
          <w:highlight w:val="none"/>
        </w:rPr>
        <w:t xml:space="preserve">2. </w:t>
      </w:r>
      <w:r>
        <w:rPr>
          <w:rFonts w:hint="eastAsia"/>
          <w:color w:val="auto"/>
          <w:szCs w:val="21"/>
          <w:highlight w:val="none"/>
        </w:rPr>
        <w:t>担保有效期自发包人与承包人签订的合同生效之日起至承包人通过竣工后试验之日止。</w:t>
      </w:r>
    </w:p>
    <w:p>
      <w:pPr>
        <w:spacing w:line="440" w:lineRule="exact"/>
        <w:ind w:firstLine="420" w:firstLineChars="200"/>
        <w:rPr>
          <w:color w:val="auto"/>
          <w:szCs w:val="21"/>
          <w:highlight w:val="none"/>
        </w:rPr>
      </w:pPr>
      <w:r>
        <w:rPr>
          <w:color w:val="auto"/>
          <w:szCs w:val="21"/>
          <w:highlight w:val="none"/>
        </w:rPr>
        <w:t xml:space="preserve">3. </w:t>
      </w:r>
      <w:r>
        <w:rPr>
          <w:rFonts w:hint="eastAsia"/>
          <w:color w:val="auto"/>
          <w:szCs w:val="21"/>
          <w:highlight w:val="none"/>
        </w:rPr>
        <w:t>在本担保有效期内，因承包人违反合同约定的义务给你方造成经济损失时，我方在收到你方以书面形式提出的在担保金额内的赔偿要求后，在</w:t>
      </w:r>
      <w:r>
        <w:rPr>
          <w:color w:val="auto"/>
          <w:szCs w:val="21"/>
          <w:highlight w:val="none"/>
        </w:rPr>
        <w:t>7</w:t>
      </w:r>
      <w:r>
        <w:rPr>
          <w:rFonts w:hint="eastAsia"/>
          <w:color w:val="auto"/>
          <w:szCs w:val="21"/>
          <w:highlight w:val="none"/>
        </w:rPr>
        <w:t>天内支付。</w:t>
      </w:r>
    </w:p>
    <w:p>
      <w:pPr>
        <w:spacing w:line="440" w:lineRule="exact"/>
        <w:ind w:firstLine="420" w:firstLineChars="200"/>
        <w:rPr>
          <w:color w:val="auto"/>
          <w:szCs w:val="21"/>
          <w:highlight w:val="none"/>
        </w:rPr>
      </w:pPr>
      <w:r>
        <w:rPr>
          <w:color w:val="auto"/>
          <w:szCs w:val="21"/>
          <w:highlight w:val="none"/>
        </w:rPr>
        <w:t xml:space="preserve">4. </w:t>
      </w:r>
      <w:r>
        <w:rPr>
          <w:rFonts w:hint="eastAsia"/>
          <w:color w:val="auto"/>
          <w:szCs w:val="21"/>
          <w:highlight w:val="none"/>
        </w:rPr>
        <w:t>发包人和承包人按《通用合同条款》第</w:t>
      </w:r>
      <w:r>
        <w:rPr>
          <w:color w:val="auto"/>
          <w:szCs w:val="21"/>
          <w:highlight w:val="none"/>
        </w:rPr>
        <w:t>1</w:t>
      </w:r>
      <w:r>
        <w:rPr>
          <w:rFonts w:hint="eastAsia"/>
          <w:color w:val="auto"/>
          <w:szCs w:val="21"/>
          <w:highlight w:val="none"/>
        </w:rPr>
        <w:t>3条变更合同时，我方承担本担保规定的义务不变。</w:t>
      </w:r>
    </w:p>
    <w:p>
      <w:pPr>
        <w:spacing w:line="440" w:lineRule="exact"/>
        <w:rPr>
          <w:color w:val="auto"/>
          <w:szCs w:val="21"/>
          <w:highlight w:val="none"/>
        </w:rPr>
      </w:pPr>
    </w:p>
    <w:p>
      <w:pPr>
        <w:spacing w:line="600" w:lineRule="exact"/>
        <w:ind w:firstLine="3418" w:firstLineChars="1628"/>
        <w:rPr>
          <w:color w:val="auto"/>
          <w:szCs w:val="21"/>
          <w:highlight w:val="none"/>
        </w:rPr>
      </w:pPr>
      <w:r>
        <w:rPr>
          <w:rFonts w:hint="eastAsia"/>
          <w:color w:val="auto"/>
          <w:szCs w:val="21"/>
          <w:highlight w:val="none"/>
        </w:rPr>
        <w:t>担保人：（盖单位章）</w:t>
      </w:r>
    </w:p>
    <w:p>
      <w:pPr>
        <w:spacing w:line="600" w:lineRule="exact"/>
        <w:ind w:firstLine="3418" w:firstLineChars="1628"/>
        <w:rPr>
          <w:color w:val="auto"/>
          <w:szCs w:val="21"/>
          <w:highlight w:val="none"/>
        </w:rPr>
      </w:pPr>
      <w:r>
        <w:rPr>
          <w:rFonts w:hint="eastAsia"/>
          <w:color w:val="auto"/>
          <w:szCs w:val="21"/>
          <w:highlight w:val="none"/>
        </w:rPr>
        <w:t>法定代表人：（签字或盖章）</w:t>
      </w:r>
    </w:p>
    <w:p>
      <w:pPr>
        <w:spacing w:line="600" w:lineRule="exact"/>
        <w:ind w:firstLine="3418" w:firstLineChars="1628"/>
        <w:rPr>
          <w:color w:val="auto"/>
          <w:szCs w:val="21"/>
          <w:highlight w:val="none"/>
        </w:rPr>
      </w:pPr>
      <w:r>
        <w:rPr>
          <w:rFonts w:hint="eastAsia"/>
          <w:color w:val="auto"/>
          <w:szCs w:val="21"/>
          <w:highlight w:val="none"/>
        </w:rPr>
        <w:t>地址：</w:t>
      </w:r>
    </w:p>
    <w:p>
      <w:pPr>
        <w:spacing w:line="600" w:lineRule="exact"/>
        <w:ind w:firstLine="3418" w:firstLineChars="1628"/>
        <w:rPr>
          <w:color w:val="auto"/>
          <w:szCs w:val="21"/>
          <w:highlight w:val="none"/>
        </w:rPr>
      </w:pPr>
      <w:r>
        <w:rPr>
          <w:rFonts w:hint="eastAsia"/>
          <w:color w:val="auto"/>
          <w:szCs w:val="21"/>
          <w:highlight w:val="none"/>
        </w:rPr>
        <w:t>邮政编码：</w:t>
      </w:r>
      <w:r>
        <w:rPr>
          <w:color w:val="auto"/>
          <w:szCs w:val="21"/>
          <w:highlight w:val="none"/>
          <w:u w:val="single"/>
        </w:rPr>
        <w:tab/>
      </w:r>
      <w:r>
        <w:rPr>
          <w:color w:val="auto"/>
          <w:szCs w:val="21"/>
          <w:highlight w:val="none"/>
          <w:u w:val="single"/>
        </w:rPr>
        <w:tab/>
      </w:r>
      <w:r>
        <w:rPr>
          <w:color w:val="auto"/>
          <w:szCs w:val="21"/>
          <w:highlight w:val="none"/>
          <w:u w:val="single"/>
        </w:rPr>
        <w:tab/>
      </w:r>
      <w:r>
        <w:rPr>
          <w:color w:val="auto"/>
          <w:szCs w:val="21"/>
          <w:highlight w:val="none"/>
          <w:u w:val="single"/>
        </w:rPr>
        <w:tab/>
      </w:r>
      <w:r>
        <w:rPr>
          <w:color w:val="auto"/>
          <w:szCs w:val="21"/>
          <w:highlight w:val="none"/>
          <w:u w:val="single"/>
        </w:rPr>
        <w:tab/>
      </w:r>
      <w:r>
        <w:rPr>
          <w:color w:val="auto"/>
          <w:szCs w:val="21"/>
          <w:highlight w:val="none"/>
          <w:u w:val="single"/>
        </w:rPr>
        <w:tab/>
      </w:r>
      <w:r>
        <w:rPr>
          <w:color w:val="auto"/>
          <w:szCs w:val="21"/>
          <w:highlight w:val="none"/>
          <w:u w:val="single"/>
        </w:rPr>
        <w:tab/>
      </w:r>
    </w:p>
    <w:p>
      <w:pPr>
        <w:spacing w:line="600" w:lineRule="exact"/>
        <w:ind w:firstLine="3418" w:firstLineChars="1628"/>
        <w:rPr>
          <w:color w:val="auto"/>
          <w:szCs w:val="21"/>
          <w:highlight w:val="none"/>
        </w:rPr>
      </w:pPr>
      <w:r>
        <w:rPr>
          <w:rFonts w:hint="eastAsia"/>
          <w:color w:val="auto"/>
          <w:szCs w:val="21"/>
          <w:highlight w:val="none"/>
        </w:rPr>
        <w:t>电话：</w:t>
      </w:r>
    </w:p>
    <w:p>
      <w:pPr>
        <w:spacing w:line="600" w:lineRule="exact"/>
        <w:ind w:firstLine="4258" w:firstLineChars="2028"/>
        <w:rPr>
          <w:color w:val="auto"/>
          <w:highlight w:val="none"/>
        </w:rPr>
      </w:pPr>
      <w:r>
        <w:rPr>
          <w:rFonts w:hint="eastAsia"/>
          <w:color w:val="auto"/>
          <w:highlight w:val="none"/>
        </w:rPr>
        <w:t xml:space="preserve">年 </w:t>
      </w:r>
      <w:r>
        <w:rPr>
          <w:color w:val="auto"/>
          <w:highlight w:val="none"/>
        </w:rPr>
        <w:t xml:space="preserve"> </w:t>
      </w:r>
      <w:r>
        <w:rPr>
          <w:rFonts w:hint="eastAsia"/>
          <w:color w:val="auto"/>
          <w:highlight w:val="none"/>
        </w:rPr>
        <w:t xml:space="preserve">月 </w:t>
      </w:r>
      <w:r>
        <w:rPr>
          <w:color w:val="auto"/>
          <w:highlight w:val="none"/>
        </w:rPr>
        <w:t xml:space="preserve"> </w:t>
      </w:r>
      <w:r>
        <w:rPr>
          <w:rFonts w:hint="eastAsia"/>
          <w:color w:val="auto"/>
          <w:highlight w:val="none"/>
        </w:rPr>
        <w:t>日</w:t>
      </w:r>
    </w:p>
    <w:p>
      <w:pPr>
        <w:pStyle w:val="2"/>
        <w:rPr>
          <w:color w:val="auto"/>
          <w:highlight w:val="none"/>
        </w:rPr>
      </w:pPr>
      <w:r>
        <w:rPr>
          <w:color w:val="auto"/>
          <w:highlight w:val="none"/>
        </w:rPr>
        <w:br w:type="page"/>
      </w:r>
      <w:bookmarkStart w:id="1813" w:name="_Toc419321448"/>
      <w:bookmarkStart w:id="1814" w:name="_Toc419364535"/>
      <w:bookmarkStart w:id="1815" w:name="_Toc419320412"/>
      <w:bookmarkStart w:id="1816" w:name="_Toc19034920"/>
      <w:bookmarkStart w:id="1817" w:name="_Toc419363872"/>
      <w:bookmarkStart w:id="1818" w:name="_Toc403896984"/>
      <w:bookmarkStart w:id="1819" w:name="_Toc389647394"/>
      <w:bookmarkStart w:id="1820" w:name="_Toc433988906"/>
      <w:r>
        <w:rPr>
          <w:rFonts w:hint="eastAsia" w:ascii="宋体" w:hAnsi="宋体" w:eastAsia="宋体"/>
          <w:color w:val="auto"/>
          <w:sz w:val="28"/>
          <w:szCs w:val="28"/>
          <w:highlight w:val="none"/>
        </w:rPr>
        <w:t>附件三：工程质量保修书</w:t>
      </w:r>
      <w:bookmarkEnd w:id="1813"/>
      <w:bookmarkEnd w:id="1814"/>
      <w:bookmarkEnd w:id="1815"/>
      <w:bookmarkEnd w:id="1816"/>
      <w:bookmarkEnd w:id="1817"/>
      <w:bookmarkEnd w:id="1818"/>
      <w:bookmarkEnd w:id="1819"/>
      <w:bookmarkEnd w:id="1820"/>
    </w:p>
    <w:p>
      <w:pPr>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工程质量保修书</w:t>
      </w:r>
    </w:p>
    <w:p>
      <w:pPr>
        <w:spacing w:line="360" w:lineRule="auto"/>
        <w:rPr>
          <w:rFonts w:ascii="宋体"/>
          <w:color w:val="auto"/>
          <w:szCs w:val="21"/>
          <w:highlight w:val="none"/>
        </w:rPr>
      </w:pPr>
      <w:r>
        <w:rPr>
          <w:rFonts w:hint="eastAsia" w:ascii="宋体" w:hAnsi="宋体"/>
          <w:color w:val="auto"/>
          <w:szCs w:val="21"/>
          <w:highlight w:val="none"/>
        </w:rPr>
        <w:t>发包人</w:t>
      </w:r>
      <w:r>
        <w:rPr>
          <w:rFonts w:ascii="宋体" w:hAnsi="宋体"/>
          <w:color w:val="auto"/>
          <w:szCs w:val="21"/>
          <w:highlight w:val="none"/>
        </w:rPr>
        <w:t>(</w:t>
      </w:r>
      <w:r>
        <w:rPr>
          <w:rFonts w:hint="eastAsia" w:ascii="宋体" w:hAnsi="宋体"/>
          <w:color w:val="auto"/>
          <w:szCs w:val="21"/>
          <w:highlight w:val="none"/>
        </w:rPr>
        <w:t>全称</w:t>
      </w:r>
      <w:r>
        <w:rPr>
          <w:rFonts w:ascii="宋体" w:hAnsi="宋体"/>
          <w:color w:val="auto"/>
          <w:szCs w:val="21"/>
          <w:highlight w:val="none"/>
        </w:rPr>
        <w:t>)</w:t>
      </w:r>
      <w:r>
        <w:rPr>
          <w:rFonts w:hint="eastAsia" w:ascii="宋体" w:hAnsi="宋体"/>
          <w:color w:val="auto"/>
          <w:szCs w:val="21"/>
          <w:highlight w:val="none"/>
        </w:rPr>
        <w:t>：</w:t>
      </w:r>
    </w:p>
    <w:p>
      <w:pPr>
        <w:snapToGrid w:val="0"/>
        <w:spacing w:line="360" w:lineRule="auto"/>
        <w:rPr>
          <w:rFonts w:ascii="宋体"/>
          <w:color w:val="auto"/>
          <w:szCs w:val="21"/>
          <w:highlight w:val="none"/>
          <w:u w:val="single"/>
        </w:rPr>
      </w:pPr>
      <w:r>
        <w:rPr>
          <w:rFonts w:hint="eastAsia" w:ascii="宋体" w:hAnsi="宋体"/>
          <w:color w:val="auto"/>
          <w:szCs w:val="21"/>
          <w:highlight w:val="none"/>
        </w:rPr>
        <w:t>承包人</w:t>
      </w:r>
      <w:r>
        <w:rPr>
          <w:rFonts w:ascii="宋体" w:hAnsi="宋体"/>
          <w:color w:val="auto"/>
          <w:szCs w:val="21"/>
          <w:highlight w:val="none"/>
        </w:rPr>
        <w:t>(</w:t>
      </w:r>
      <w:r>
        <w:rPr>
          <w:rFonts w:hint="eastAsia" w:ascii="宋体" w:hAnsi="宋体"/>
          <w:color w:val="auto"/>
          <w:szCs w:val="21"/>
          <w:highlight w:val="none"/>
        </w:rPr>
        <w:t>全称</w:t>
      </w:r>
      <w:r>
        <w:rPr>
          <w:rFonts w:ascii="宋体" w:hAnsi="宋体"/>
          <w:color w:val="auto"/>
          <w:szCs w:val="21"/>
          <w:highlight w:val="none"/>
        </w:rPr>
        <w:t>)</w:t>
      </w:r>
      <w:r>
        <w:rPr>
          <w:rFonts w:hint="eastAsia" w:ascii="宋体" w:hAnsi="宋体"/>
          <w:color w:val="auto"/>
          <w:szCs w:val="21"/>
          <w:highlight w:val="none"/>
        </w:rPr>
        <w:t>：</w:t>
      </w:r>
      <w:r>
        <w:rPr>
          <w:rFonts w:hint="eastAsia" w:ascii="宋体" w:hAnsi="宋体"/>
          <w:color w:val="auto"/>
          <w:szCs w:val="21"/>
          <w:highlight w:val="none"/>
          <w:u w:val="single"/>
        </w:rPr>
        <w:t>（联合体牵头人）、（联合体成员）</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为保证在合理使用期限内正常使用，发包人和承包人协商一致签订工程质量保修书。承包人在质量保修期内按照有关管理规定及双方约定承担工程质量保修责任。</w:t>
      </w:r>
    </w:p>
    <w:p>
      <w:pPr>
        <w:spacing w:line="360" w:lineRule="auto"/>
        <w:rPr>
          <w:rFonts w:ascii="宋体" w:hAnsi="宋体"/>
          <w:color w:val="auto"/>
          <w:szCs w:val="21"/>
          <w:highlight w:val="none"/>
        </w:rPr>
      </w:pPr>
      <w:bookmarkStart w:id="1821" w:name="_Toc419363873"/>
      <w:r>
        <w:rPr>
          <w:rFonts w:hint="eastAsia" w:ascii="宋体" w:hAnsi="宋体"/>
          <w:color w:val="auto"/>
          <w:szCs w:val="21"/>
          <w:highlight w:val="none"/>
        </w:rPr>
        <w:t>一、工程质量保修范围和内容</w:t>
      </w:r>
      <w:bookmarkEnd w:id="1821"/>
    </w:p>
    <w:p>
      <w:pPr>
        <w:spacing w:line="360" w:lineRule="auto"/>
        <w:ind w:firstLine="420" w:firstLineChars="200"/>
        <w:rPr>
          <w:rFonts w:ascii="宋体"/>
          <w:color w:val="auto"/>
          <w:szCs w:val="21"/>
          <w:highlight w:val="none"/>
        </w:rPr>
      </w:pPr>
      <w:r>
        <w:rPr>
          <w:rFonts w:hint="eastAsia" w:ascii="宋体" w:hAnsi="宋体"/>
          <w:color w:val="auto"/>
          <w:szCs w:val="21"/>
          <w:highlight w:val="none"/>
        </w:rPr>
        <w:t>质量保修范围包括合同及施工图纸所包括的工程。具体质量保修内容双方约定如下：</w:t>
      </w:r>
      <w:r>
        <w:rPr>
          <w:rFonts w:hint="eastAsia" w:ascii="宋体" w:hAnsi="宋体"/>
          <w:color w:val="auto"/>
          <w:szCs w:val="21"/>
          <w:highlight w:val="none"/>
          <w:u w:val="single"/>
        </w:rPr>
        <w:t>在承包人承包范围内，属承包人责任造成的工程质量问题，由承包人承担保修责任。</w:t>
      </w:r>
    </w:p>
    <w:p>
      <w:pPr>
        <w:spacing w:line="360" w:lineRule="auto"/>
        <w:rPr>
          <w:rFonts w:ascii="宋体" w:hAnsi="宋体"/>
          <w:color w:val="auto"/>
          <w:szCs w:val="21"/>
          <w:highlight w:val="none"/>
        </w:rPr>
      </w:pPr>
      <w:bookmarkStart w:id="1822" w:name="_Toc419363874"/>
      <w:r>
        <w:rPr>
          <w:rFonts w:hint="eastAsia" w:ascii="宋体" w:hAnsi="宋体"/>
          <w:color w:val="auto"/>
          <w:szCs w:val="21"/>
          <w:highlight w:val="none"/>
        </w:rPr>
        <w:t>二、质量保修期</w:t>
      </w:r>
      <w:bookmarkEnd w:id="1822"/>
    </w:p>
    <w:p>
      <w:pPr>
        <w:spacing w:line="360" w:lineRule="auto"/>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．双方根据《建设工程质量管理条例》及有关规定，约定本工程的质量保修期如下：</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地基基础工程和主体结构工程为设计文件规定的该工程合理使用年限；</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屋面防水工程、有防水要求的卫生间、房间和外墙面的防渗漏为</w:t>
      </w:r>
      <w:r>
        <w:rPr>
          <w:rFonts w:ascii="宋体" w:hAnsi="宋体"/>
          <w:color w:val="auto"/>
          <w:szCs w:val="21"/>
          <w:highlight w:val="none"/>
          <w:u w:val="single"/>
        </w:rPr>
        <w:t xml:space="preserve">5  </w:t>
      </w:r>
      <w:r>
        <w:rPr>
          <w:rFonts w:hint="eastAsia" w:ascii="宋体" w:hAnsi="宋体"/>
          <w:color w:val="auto"/>
          <w:szCs w:val="21"/>
          <w:highlight w:val="none"/>
        </w:rPr>
        <w:t>年；</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装修工程为</w:t>
      </w:r>
      <w:r>
        <w:rPr>
          <w:rFonts w:ascii="宋体" w:hAnsi="宋体"/>
          <w:color w:val="auto"/>
          <w:szCs w:val="21"/>
          <w:highlight w:val="none"/>
          <w:u w:val="single"/>
        </w:rPr>
        <w:t xml:space="preserve">  2  </w:t>
      </w:r>
      <w:r>
        <w:rPr>
          <w:rFonts w:hint="eastAsia" w:ascii="宋体" w:hAnsi="宋体"/>
          <w:color w:val="auto"/>
          <w:szCs w:val="21"/>
          <w:highlight w:val="none"/>
        </w:rPr>
        <w:t>年；</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电气管线、给排水管道、设备安装工程为</w:t>
      </w:r>
      <w:r>
        <w:rPr>
          <w:rFonts w:ascii="宋体" w:hAnsi="宋体"/>
          <w:color w:val="auto"/>
          <w:szCs w:val="21"/>
          <w:highlight w:val="none"/>
          <w:u w:val="single"/>
        </w:rPr>
        <w:t xml:space="preserve">  2  </w:t>
      </w:r>
      <w:r>
        <w:rPr>
          <w:rFonts w:hint="eastAsia" w:ascii="宋体" w:hAnsi="宋体"/>
          <w:color w:val="auto"/>
          <w:szCs w:val="21"/>
          <w:highlight w:val="none"/>
        </w:rPr>
        <w:t>年；</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供热与供冷系统为</w:t>
      </w:r>
      <w:r>
        <w:rPr>
          <w:rFonts w:ascii="宋体" w:hAnsi="宋体"/>
          <w:color w:val="auto"/>
          <w:szCs w:val="21"/>
          <w:highlight w:val="none"/>
          <w:u w:val="single"/>
        </w:rPr>
        <w:t xml:space="preserve">  2  </w:t>
      </w:r>
      <w:r>
        <w:rPr>
          <w:rFonts w:hint="eastAsia" w:ascii="宋体" w:hAnsi="宋体"/>
          <w:color w:val="auto"/>
          <w:szCs w:val="21"/>
          <w:highlight w:val="none"/>
        </w:rPr>
        <w:t>个采暖期、供冷期；</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景观绿化工程管养期为</w:t>
      </w:r>
      <w:r>
        <w:rPr>
          <w:rFonts w:ascii="宋体" w:hAnsi="宋体"/>
          <w:color w:val="auto"/>
          <w:szCs w:val="21"/>
          <w:highlight w:val="none"/>
          <w:u w:val="single"/>
        </w:rPr>
        <w:t xml:space="preserve">  1  </w:t>
      </w:r>
      <w:r>
        <w:rPr>
          <w:rFonts w:hint="eastAsia" w:ascii="宋体" w:hAnsi="宋体"/>
          <w:color w:val="auto"/>
          <w:szCs w:val="21"/>
          <w:highlight w:val="none"/>
        </w:rPr>
        <w:t>年；</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其他项目保修期限约定如下：。</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质量保修期自工程竣工验收合格之日起计算。</w:t>
      </w:r>
    </w:p>
    <w:p>
      <w:pPr>
        <w:spacing w:line="360" w:lineRule="auto"/>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．质量保修期自本合同工程签发的工程竣工验收合格交工证书中写明的竣工日期起计算。分单项竣工验收的工程，按单项工程分别计算质量保修期。</w:t>
      </w:r>
    </w:p>
    <w:p>
      <w:pP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．其他约定：</w:t>
      </w:r>
      <w:r>
        <w:rPr>
          <w:rFonts w:ascii="宋体" w:hAnsi="宋体"/>
          <w:color w:val="auto"/>
          <w:szCs w:val="21"/>
          <w:highlight w:val="none"/>
        </w:rPr>
        <w:t xml:space="preserve">        /                 </w:t>
      </w:r>
    </w:p>
    <w:p>
      <w:pPr>
        <w:spacing w:line="360" w:lineRule="auto"/>
        <w:rPr>
          <w:rFonts w:ascii="宋体" w:hAnsi="宋体"/>
          <w:color w:val="auto"/>
          <w:szCs w:val="21"/>
          <w:highlight w:val="none"/>
        </w:rPr>
      </w:pPr>
      <w:bookmarkStart w:id="1823" w:name="_Toc419363875"/>
      <w:r>
        <w:rPr>
          <w:rFonts w:hint="eastAsia" w:ascii="宋体" w:hAnsi="宋体"/>
          <w:color w:val="auto"/>
          <w:szCs w:val="21"/>
          <w:highlight w:val="none"/>
        </w:rPr>
        <w:t>三、质量保修保质责任</w:t>
      </w:r>
      <w:bookmarkEnd w:id="1823"/>
    </w:p>
    <w:p>
      <w:pPr>
        <w:spacing w:line="360" w:lineRule="auto"/>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．质量保修期自工程竣工验收合格之日起计算。</w:t>
      </w:r>
    </w:p>
    <w:p>
      <w:pPr>
        <w:spacing w:line="360" w:lineRule="auto"/>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．质量保修责任</w:t>
      </w:r>
    </w:p>
    <w:p>
      <w:pPr>
        <w:spacing w:line="360" w:lineRule="auto"/>
        <w:ind w:firstLine="420" w:firstLineChars="200"/>
        <w:rPr>
          <w:rFonts w:ascii="宋体"/>
          <w:color w:val="auto"/>
          <w:szCs w:val="21"/>
          <w:highlight w:val="none"/>
        </w:rPr>
      </w:pPr>
      <w:r>
        <w:rPr>
          <w:rFonts w:ascii="宋体" w:hAnsi="宋体"/>
          <w:color w:val="auto"/>
          <w:szCs w:val="21"/>
          <w:highlight w:val="none"/>
        </w:rPr>
        <w:t>2.1</w:t>
      </w:r>
      <w:r>
        <w:rPr>
          <w:rFonts w:hint="eastAsia" w:ascii="宋体" w:hAnsi="宋体"/>
          <w:color w:val="auto"/>
          <w:szCs w:val="21"/>
          <w:highlight w:val="none"/>
        </w:rPr>
        <w:t>属于保修范围、内容的项目，承包人应当在接到保修通知之日起七日内派人保修。承包人不在约定期限内派人保修的，发包人可以委托他人修理，修理费用由承包人承担。</w:t>
      </w:r>
    </w:p>
    <w:p>
      <w:pPr>
        <w:spacing w:line="360" w:lineRule="auto"/>
        <w:ind w:firstLine="420" w:firstLineChars="200"/>
        <w:rPr>
          <w:rFonts w:asci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发生紧急抢修事故的，承包人在接到事故通知后，应当立即到达事故现场抢修。非承包人施工质量引起的事故，抢修费用由发包人承担。</w:t>
      </w:r>
    </w:p>
    <w:p>
      <w:pPr>
        <w:spacing w:line="360" w:lineRule="auto"/>
        <w:ind w:firstLine="420" w:firstLineChars="200"/>
        <w:rPr>
          <w:rFonts w:ascii="宋体"/>
          <w:color w:val="auto"/>
          <w:szCs w:val="21"/>
          <w:highlight w:val="none"/>
        </w:rPr>
      </w:pPr>
      <w:r>
        <w:rPr>
          <w:rFonts w:ascii="宋体" w:hAnsi="宋体"/>
          <w:color w:val="auto"/>
          <w:szCs w:val="21"/>
          <w:highlight w:val="none"/>
        </w:rPr>
        <w:t>2.3</w:t>
      </w:r>
      <w:r>
        <w:rPr>
          <w:rFonts w:hint="eastAsia" w:ascii="宋体" w:hAnsi="宋体"/>
          <w:color w:val="auto"/>
          <w:szCs w:val="21"/>
          <w:highlight w:val="none"/>
        </w:rPr>
        <w:t>对于涉及结构安全的质量问题，应当按照有关的规定，立即向当地建设行政主管部门报告，采取安全防范措施；由原设计单位或者具有相应资质等级的设计单位提出保修方案，承包人实施保修。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color w:val="auto"/>
          <w:szCs w:val="21"/>
          <w:highlight w:val="none"/>
        </w:rPr>
      </w:pPr>
      <w:r>
        <w:rPr>
          <w:rFonts w:ascii="宋体" w:hAnsi="宋体"/>
          <w:color w:val="auto"/>
          <w:szCs w:val="21"/>
          <w:highlight w:val="none"/>
        </w:rPr>
        <w:t>2.4</w:t>
      </w:r>
      <w:r>
        <w:rPr>
          <w:rFonts w:hint="eastAsia" w:ascii="宋体" w:hAnsi="宋体"/>
          <w:color w:val="auto"/>
          <w:szCs w:val="21"/>
          <w:highlight w:val="none"/>
        </w:rPr>
        <w:t>质量保修完成后，由发包人组织验收。</w:t>
      </w:r>
    </w:p>
    <w:p>
      <w:pPr>
        <w:spacing w:line="360" w:lineRule="auto"/>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．保修费用</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保修费用由造成质量缺陷的责任方承担。</w:t>
      </w:r>
    </w:p>
    <w:p>
      <w:pPr>
        <w:spacing w:line="360" w:lineRule="auto"/>
        <w:ind w:firstLine="420" w:firstLineChars="200"/>
        <w:rPr>
          <w:rFonts w:ascii="宋体" w:hAnsi="宋体"/>
          <w:color w:val="auto"/>
          <w:szCs w:val="21"/>
          <w:highlight w:val="none"/>
        </w:rPr>
      </w:pPr>
      <w:bookmarkStart w:id="1824" w:name="_Toc419363876"/>
      <w:r>
        <w:rPr>
          <w:rFonts w:hint="eastAsia" w:ascii="宋体" w:hAnsi="宋体"/>
          <w:color w:val="auto"/>
          <w:szCs w:val="21"/>
          <w:highlight w:val="none"/>
        </w:rPr>
        <w:t>四、质量保修金的支付</w:t>
      </w:r>
      <w:bookmarkEnd w:id="1824"/>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本工程约定的工程质量保修金为建筑安装工程结算价（建筑安装工程费）的（</w:t>
      </w: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）。质量保修金不计利息。</w:t>
      </w:r>
    </w:p>
    <w:p>
      <w:pPr>
        <w:spacing w:line="360" w:lineRule="auto"/>
        <w:ind w:firstLine="420" w:firstLineChars="200"/>
        <w:rPr>
          <w:rFonts w:ascii="宋体" w:hAnsi="宋体"/>
          <w:color w:val="auto"/>
          <w:szCs w:val="21"/>
          <w:highlight w:val="none"/>
        </w:rPr>
      </w:pPr>
      <w:bookmarkStart w:id="1825" w:name="_Toc419363877"/>
      <w:r>
        <w:rPr>
          <w:rFonts w:hint="eastAsia" w:ascii="宋体" w:hAnsi="宋体"/>
          <w:color w:val="auto"/>
          <w:szCs w:val="21"/>
          <w:highlight w:val="none"/>
        </w:rPr>
        <w:t>五、质量保修金的返还</w:t>
      </w:r>
      <w:bookmarkEnd w:id="1825"/>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在工程交付验收合格之日起满一年后的</w:t>
      </w:r>
      <w:r>
        <w:rPr>
          <w:rFonts w:ascii="宋体" w:hAnsi="宋体"/>
          <w:color w:val="auto"/>
          <w:szCs w:val="21"/>
          <w:highlight w:val="none"/>
        </w:rPr>
        <w:t>15</w:t>
      </w:r>
      <w:r>
        <w:rPr>
          <w:rFonts w:hint="eastAsia" w:ascii="宋体" w:hAnsi="宋体"/>
          <w:color w:val="auto"/>
          <w:szCs w:val="21"/>
          <w:highlight w:val="none"/>
        </w:rPr>
        <w:t>日内，发包人将保修金的（无息）退还给承包人；在工程交付验收合格之日起满两年后的</w:t>
      </w:r>
      <w:r>
        <w:rPr>
          <w:rFonts w:ascii="宋体" w:hAnsi="宋体"/>
          <w:color w:val="auto"/>
          <w:szCs w:val="21"/>
          <w:highlight w:val="none"/>
        </w:rPr>
        <w:t>15</w:t>
      </w:r>
      <w:r>
        <w:rPr>
          <w:rFonts w:hint="eastAsia" w:ascii="宋体" w:hAnsi="宋体"/>
          <w:color w:val="auto"/>
          <w:szCs w:val="21"/>
          <w:highlight w:val="none"/>
        </w:rPr>
        <w:t>日内，发包人将剩余保修金（无息）全部退还给承包人。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在保修期内承包人应按保修内容进行保修，若承包人接到发包人保修通知书在七天内未派人进行修理的，发包人则安排其它公司修理，在保修期内发生的修理费用由承包人负责或由发包人从保修金中扣除。</w:t>
      </w:r>
    </w:p>
    <w:p>
      <w:pPr>
        <w:spacing w:line="360" w:lineRule="auto"/>
        <w:ind w:firstLine="420" w:firstLineChars="200"/>
        <w:rPr>
          <w:rFonts w:ascii="宋体" w:hAnsi="宋体"/>
          <w:color w:val="auto"/>
          <w:szCs w:val="21"/>
          <w:highlight w:val="none"/>
        </w:rPr>
      </w:pPr>
      <w:bookmarkStart w:id="1826" w:name="_Toc419363878"/>
      <w:r>
        <w:rPr>
          <w:rFonts w:hint="eastAsia" w:ascii="宋体" w:hAnsi="宋体"/>
          <w:color w:val="auto"/>
          <w:szCs w:val="21"/>
          <w:highlight w:val="none"/>
        </w:rPr>
        <w:t>六、其他</w:t>
      </w:r>
      <w:bookmarkEnd w:id="182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双方约定的其他工程质量保修事项：保修期内，如发生属承包人责任的质量问题，按本保修书第</w:t>
      </w:r>
      <w:r>
        <w:rPr>
          <w:rFonts w:ascii="宋体" w:hAnsi="宋体"/>
          <w:color w:val="auto"/>
          <w:szCs w:val="21"/>
          <w:highlight w:val="none"/>
        </w:rPr>
        <w:t>2.1</w:t>
      </w:r>
      <w:r>
        <w:rPr>
          <w:rFonts w:hint="eastAsia" w:ascii="宋体" w:hAnsi="宋体"/>
          <w:color w:val="auto"/>
          <w:szCs w:val="21"/>
          <w:highlight w:val="none"/>
        </w:rPr>
        <w:t>款约定，发包人委托他人修理</w:t>
      </w:r>
      <w:r>
        <w:rPr>
          <w:rFonts w:ascii="宋体" w:hAnsi="宋体"/>
          <w:color w:val="auto"/>
          <w:szCs w:val="21"/>
          <w:highlight w:val="none"/>
        </w:rPr>
        <w:t>,</w:t>
      </w:r>
      <w:r>
        <w:rPr>
          <w:rFonts w:hint="eastAsia" w:ascii="宋体" w:hAnsi="宋体"/>
          <w:color w:val="auto"/>
          <w:szCs w:val="21"/>
          <w:highlight w:val="none"/>
        </w:rPr>
        <w:t>其费用由发包人在质量保修金中扣除。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本工程质量保修书作为主合同附件，正本和副本份数与本合同专用条款第19.2条的约定相同，，由总承包合同发包人和承包人双方共同签署。</w:t>
      </w:r>
    </w:p>
    <w:p>
      <w:pPr>
        <w:spacing w:line="360" w:lineRule="auto"/>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发包人：</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color w:val="auto"/>
          <w:szCs w:val="21"/>
          <w:highlight w:val="none"/>
        </w:rPr>
      </w:pPr>
      <w:r>
        <w:rPr>
          <w:rFonts w:hint="eastAsia" w:ascii="宋体" w:hAnsi="宋体"/>
          <w:color w:val="auto"/>
          <w:szCs w:val="21"/>
          <w:highlight w:val="none"/>
        </w:rPr>
        <w:t>地址：</w:t>
      </w:r>
    </w:p>
    <w:p>
      <w:pPr>
        <w:spacing w:line="360" w:lineRule="auto"/>
        <w:rPr>
          <w:rFonts w:ascii="宋体"/>
          <w:color w:val="auto"/>
          <w:szCs w:val="21"/>
          <w:highlight w:val="none"/>
        </w:rPr>
      </w:pPr>
      <w:r>
        <w:rPr>
          <w:rFonts w:hint="eastAsia" w:ascii="宋体" w:hAnsi="宋体"/>
          <w:color w:val="auto"/>
          <w:szCs w:val="21"/>
          <w:highlight w:val="none"/>
        </w:rPr>
        <w:t>日期：</w:t>
      </w:r>
    </w:p>
    <w:p>
      <w:pPr>
        <w:spacing w:line="360" w:lineRule="auto"/>
        <w:rPr>
          <w:rFonts w:asci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承包人：（联合体牵头人）</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color w:val="auto"/>
          <w:szCs w:val="21"/>
          <w:highlight w:val="none"/>
        </w:rPr>
      </w:pPr>
      <w:r>
        <w:rPr>
          <w:rFonts w:hint="eastAsia" w:ascii="宋体" w:hAnsi="宋体"/>
          <w:color w:val="auto"/>
          <w:szCs w:val="21"/>
          <w:highlight w:val="none"/>
        </w:rPr>
        <w:t>地址：</w:t>
      </w:r>
    </w:p>
    <w:p>
      <w:pPr>
        <w:spacing w:line="360" w:lineRule="auto"/>
        <w:rPr>
          <w:rFonts w:ascii="宋体"/>
          <w:color w:val="auto"/>
          <w:szCs w:val="21"/>
          <w:highlight w:val="none"/>
        </w:rPr>
      </w:pPr>
      <w:r>
        <w:rPr>
          <w:rFonts w:hint="eastAsia" w:ascii="宋体" w:hAnsi="宋体"/>
          <w:color w:val="auto"/>
          <w:szCs w:val="21"/>
          <w:highlight w:val="none"/>
        </w:rPr>
        <w:t>日期：</w:t>
      </w:r>
    </w:p>
    <w:p>
      <w:pPr>
        <w:spacing w:line="360" w:lineRule="auto"/>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承包人：（联合体成员）</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color w:val="auto"/>
          <w:szCs w:val="21"/>
          <w:highlight w:val="none"/>
        </w:rPr>
      </w:pPr>
      <w:r>
        <w:rPr>
          <w:rFonts w:hint="eastAsia" w:ascii="宋体" w:hAnsi="宋体"/>
          <w:color w:val="auto"/>
          <w:szCs w:val="21"/>
          <w:highlight w:val="none"/>
        </w:rPr>
        <w:t>地址：</w:t>
      </w:r>
    </w:p>
    <w:p>
      <w:pPr>
        <w:spacing w:line="360" w:lineRule="auto"/>
        <w:rPr>
          <w:rFonts w:ascii="宋体"/>
          <w:color w:val="auto"/>
          <w:szCs w:val="21"/>
          <w:highlight w:val="none"/>
        </w:rPr>
      </w:pPr>
      <w:r>
        <w:rPr>
          <w:rFonts w:hint="eastAsia" w:ascii="宋体" w:hAnsi="宋体"/>
          <w:color w:val="auto"/>
          <w:szCs w:val="21"/>
          <w:highlight w:val="none"/>
        </w:rPr>
        <w:t>日期：</w:t>
      </w:r>
    </w:p>
    <w:p>
      <w:pPr>
        <w:pStyle w:val="2"/>
        <w:rPr>
          <w:rFonts w:ascii="宋体"/>
          <w:color w:val="auto"/>
          <w:sz w:val="24"/>
          <w:highlight w:val="none"/>
        </w:rPr>
      </w:pPr>
      <w:bookmarkStart w:id="1827" w:name="_Toc389647395"/>
      <w:bookmarkStart w:id="1828" w:name="_Toc419320413"/>
      <w:bookmarkStart w:id="1829" w:name="_Toc419363879"/>
      <w:bookmarkStart w:id="1830" w:name="_Toc433988907"/>
      <w:bookmarkStart w:id="1831" w:name="_Toc419364536"/>
      <w:bookmarkStart w:id="1832" w:name="_Toc403896985"/>
      <w:bookmarkStart w:id="1833" w:name="_Toc419321449"/>
      <w:bookmarkStart w:id="1834" w:name="_Toc19034921"/>
      <w:r>
        <w:rPr>
          <w:rFonts w:hint="eastAsia" w:ascii="宋体" w:hAnsi="宋体" w:eastAsia="宋体"/>
          <w:color w:val="auto"/>
          <w:sz w:val="28"/>
          <w:szCs w:val="28"/>
          <w:highlight w:val="none"/>
        </w:rPr>
        <w:t>附件四：廉政合同</w:t>
      </w:r>
      <w:bookmarkEnd w:id="1827"/>
      <w:bookmarkEnd w:id="1828"/>
      <w:bookmarkEnd w:id="1829"/>
      <w:bookmarkEnd w:id="1830"/>
      <w:bookmarkEnd w:id="1831"/>
      <w:bookmarkEnd w:id="1832"/>
      <w:bookmarkEnd w:id="1833"/>
      <w:bookmarkEnd w:id="1834"/>
    </w:p>
    <w:p>
      <w:pPr>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廉政合同</w:t>
      </w:r>
    </w:p>
    <w:p>
      <w:pPr>
        <w:snapToGrid w:val="0"/>
        <w:spacing w:line="360" w:lineRule="auto"/>
        <w:ind w:firstLine="420" w:firstLineChars="200"/>
        <w:rPr>
          <w:rFonts w:ascii="宋体"/>
          <w:color w:val="auto"/>
          <w:szCs w:val="21"/>
          <w:highlight w:val="none"/>
          <w:u w:val="single"/>
        </w:rPr>
      </w:pPr>
      <w:r>
        <w:rPr>
          <w:rFonts w:hint="eastAsia" w:ascii="宋体" w:hAnsi="宋体"/>
          <w:color w:val="auto"/>
          <w:szCs w:val="21"/>
          <w:highlight w:val="none"/>
        </w:rPr>
        <w:t>根据国家有关工程建设、廉政建设的规定，为做好工程建设中的党风廉政建设，保证工程建设高效优质，保证建设资金的安全和有效使用以及投资效益，建设工程的项目法人（以下简称“甲方”）与总承包单位</w:t>
      </w:r>
      <w:r>
        <w:rPr>
          <w:rFonts w:hint="eastAsia" w:ascii="宋体" w:hAnsi="宋体"/>
          <w:color w:val="auto"/>
          <w:szCs w:val="21"/>
          <w:highlight w:val="none"/>
          <w:u w:val="single"/>
        </w:rPr>
        <w:t>（联合体牵头人）、（联合体成员）</w:t>
      </w:r>
      <w:r>
        <w:rPr>
          <w:rFonts w:hint="eastAsia" w:ascii="宋体" w:hAnsi="宋体"/>
          <w:color w:val="auto"/>
          <w:szCs w:val="21"/>
          <w:highlight w:val="none"/>
        </w:rPr>
        <w:t>（以下简称“乙方”），特订立如下合同。</w:t>
      </w:r>
    </w:p>
    <w:p>
      <w:pPr>
        <w:snapToGrid w:val="0"/>
        <w:spacing w:line="360" w:lineRule="auto"/>
        <w:ind w:firstLine="420" w:firstLineChars="200"/>
        <w:rPr>
          <w:rFonts w:ascii="宋体" w:hAnsi="宋体"/>
          <w:color w:val="auto"/>
          <w:szCs w:val="21"/>
          <w:highlight w:val="none"/>
        </w:rPr>
      </w:pPr>
      <w:bookmarkStart w:id="1835" w:name="_Toc419363880"/>
      <w:r>
        <w:rPr>
          <w:rFonts w:ascii="宋体" w:hAnsi="宋体"/>
          <w:color w:val="auto"/>
          <w:szCs w:val="21"/>
          <w:highlight w:val="none"/>
        </w:rPr>
        <w:t>1.</w:t>
      </w:r>
      <w:r>
        <w:rPr>
          <w:rFonts w:hint="eastAsia" w:ascii="宋体" w:hAnsi="宋体"/>
          <w:color w:val="auto"/>
          <w:szCs w:val="21"/>
          <w:highlight w:val="none"/>
        </w:rPr>
        <w:t>甲乙双方的权利和义务</w:t>
      </w:r>
      <w:bookmarkEnd w:id="1835"/>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）严格遵守党和国家的有关法律法规及中纪委监察部的有关规定。</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）严格执行工程的合同文件，自觉按合同办事。</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）双方的业务活动坚持公开、公正、诚信、透明的原则（法律认定的商业秘密和合同文件另有规定除外），不得损害国家和集体利益，违反工程建设管理规章制度。</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）建立健全廉政制度，开展廉政教育，设立廉政告示牌，公布举报电话，监督并认真查处违法违纪行为。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）发现对方在业务活动中有违反廉政规定的行为，有及时提醒对方纠正的权利及义务。</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）发现对方严重违反本合同义务条款的行为，有向其上级有关部门举报、建议给予处理并要求告知处理结果的权利。</w:t>
      </w:r>
    </w:p>
    <w:p>
      <w:pPr>
        <w:snapToGrid w:val="0"/>
        <w:spacing w:line="360" w:lineRule="auto"/>
        <w:ind w:firstLine="420" w:firstLineChars="200"/>
        <w:rPr>
          <w:rFonts w:ascii="宋体" w:hAnsi="宋体"/>
          <w:color w:val="auto"/>
          <w:szCs w:val="21"/>
          <w:highlight w:val="none"/>
        </w:rPr>
      </w:pPr>
      <w:bookmarkStart w:id="1836" w:name="_Toc419363881"/>
      <w:r>
        <w:rPr>
          <w:rFonts w:ascii="宋体" w:hAnsi="宋体"/>
          <w:color w:val="auto"/>
          <w:szCs w:val="21"/>
          <w:highlight w:val="none"/>
        </w:rPr>
        <w:t>2.</w:t>
      </w:r>
      <w:r>
        <w:rPr>
          <w:rFonts w:hint="eastAsia" w:ascii="宋体" w:hAnsi="宋体"/>
          <w:color w:val="auto"/>
          <w:szCs w:val="21"/>
          <w:highlight w:val="none"/>
        </w:rPr>
        <w:t>甲方的义务</w:t>
      </w:r>
      <w:bookmarkEnd w:id="1836"/>
    </w:p>
    <w:p>
      <w:pPr>
        <w:spacing w:line="360" w:lineRule="auto"/>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）甲方及其工作人员不得索要或接受乙方的礼金、有价证券和贵重物品，不得在乙方报销任何应由甲方或甲方工作人员个人支付的费用等。</w:t>
      </w:r>
    </w:p>
    <w:p>
      <w:pPr>
        <w:spacing w:line="360" w:lineRule="auto"/>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）甲方工作人员不得参加乙方安排的超标准宴请和娱乐活动；不得接受乙方提供的通讯工具、交通工具和高档办公用品等。</w:t>
      </w:r>
    </w:p>
    <w:p>
      <w:pPr>
        <w:spacing w:line="360" w:lineRule="auto"/>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）甲方及其工作人员不得要求或者接受乙方为其住房装修、婚丧嫁娶活动、配偶子女的工作安排以及出国出境、旅游等提供方便等。</w:t>
      </w:r>
    </w:p>
    <w:p>
      <w:pPr>
        <w:spacing w:line="360" w:lineRule="auto"/>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）甲方工作人及其配偶、子女不得从事与甲方工程有关的材料设备供应、工程分包、劳务等经济活动等。</w:t>
      </w:r>
    </w:p>
    <w:p>
      <w:pPr>
        <w:spacing w:line="360" w:lineRule="auto"/>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）甲方及其工作人员不得以任何理由向乙方推荐分包单位或推销材料，不得要求乙方购买合同规定外的材料和设备。</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）甲方工作人员要秉公办事，不准营私舞弊，不准利用职权从事各种个人有偿中介活动和安排个人施工队伍。</w:t>
      </w:r>
    </w:p>
    <w:p>
      <w:pPr>
        <w:snapToGrid w:val="0"/>
        <w:spacing w:line="360" w:lineRule="auto"/>
        <w:ind w:firstLine="420" w:firstLineChars="200"/>
        <w:rPr>
          <w:rFonts w:ascii="宋体" w:hAnsi="宋体"/>
          <w:color w:val="auto"/>
          <w:szCs w:val="21"/>
          <w:highlight w:val="none"/>
        </w:rPr>
      </w:pPr>
      <w:bookmarkStart w:id="1837" w:name="_Toc419363882"/>
      <w:r>
        <w:rPr>
          <w:rFonts w:ascii="宋体" w:hAnsi="宋体"/>
          <w:color w:val="auto"/>
          <w:szCs w:val="21"/>
          <w:highlight w:val="none"/>
        </w:rPr>
        <w:t>3.</w:t>
      </w:r>
      <w:r>
        <w:rPr>
          <w:rFonts w:hint="eastAsia" w:ascii="宋体" w:hAnsi="宋体"/>
          <w:color w:val="auto"/>
          <w:szCs w:val="21"/>
          <w:highlight w:val="none"/>
        </w:rPr>
        <w:t>乙方义务</w:t>
      </w:r>
      <w:bookmarkEnd w:id="1837"/>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）乙方不得以任何理由向甲方及其工作人员行贿或馈赠礼金、有价证券、贵重礼品。</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）乙方不得以任何名义为甲方及其工作人员报销应由甲方单位或个人支付的任何费用。</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）乙方不得以任何理由安排甲方工作人员参加超标准宴请及娱乐活动。</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）乙方不得为甲方单位和个人购置或提供通讯工具、交通工具和高档办公用品等。</w:t>
      </w:r>
    </w:p>
    <w:p>
      <w:pPr>
        <w:rPr>
          <w:rFonts w:ascii="宋体"/>
          <w:b/>
          <w:color w:val="auto"/>
          <w:szCs w:val="21"/>
          <w:highlight w:val="none"/>
        </w:rPr>
      </w:pPr>
      <w:r>
        <w:rPr>
          <w:rFonts w:ascii="宋体" w:hAnsi="宋体"/>
          <w:b/>
          <w:color w:val="auto"/>
          <w:szCs w:val="21"/>
          <w:highlight w:val="none"/>
        </w:rPr>
        <w:t xml:space="preserve"> 4.</w:t>
      </w:r>
      <w:r>
        <w:rPr>
          <w:rFonts w:hint="eastAsia" w:ascii="宋体" w:hAnsi="宋体"/>
          <w:b/>
          <w:color w:val="auto"/>
          <w:szCs w:val="21"/>
          <w:highlight w:val="none"/>
        </w:rPr>
        <w:t>违约责任</w:t>
      </w:r>
    </w:p>
    <w:p>
      <w:pPr>
        <w:spacing w:line="360" w:lineRule="auto"/>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）甲方及其工作人员违反本合同第一、二条，按管理权限，依据有关规定给予党纪、政纪或组织处理；涉嫌犯罪的，移交司法机关追究刑事责任；给乙方单位造成经济损失的，应予以赔偿。</w:t>
      </w:r>
    </w:p>
    <w:p>
      <w:pPr>
        <w:spacing w:line="360" w:lineRule="auto"/>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乙方及其工作人员违反本合同第一、三条，按管理权限，依据有关规定给予党纪、政纪或组织处理；给甲方单位造成经济损失的，应予以赔偿；情节严重的，甲方建议工程建设主管部门给予乙方一至三年内不得进入其主管的工程建设市场的处罚。</w:t>
      </w:r>
    </w:p>
    <w:p>
      <w:pPr>
        <w:spacing w:line="360" w:lineRule="auto"/>
        <w:rPr>
          <w:rFonts w:ascii="宋体"/>
          <w:color w:val="auto"/>
          <w:szCs w:val="21"/>
          <w:highlight w:val="none"/>
        </w:rPr>
      </w:pPr>
      <w:r>
        <w:rPr>
          <w:rFonts w:ascii="宋体" w:hAnsi="宋体"/>
          <w:b/>
          <w:color w:val="auto"/>
          <w:szCs w:val="21"/>
          <w:highlight w:val="none"/>
        </w:rPr>
        <w:t>5.</w:t>
      </w:r>
      <w:r>
        <w:rPr>
          <w:rFonts w:hint="eastAsia" w:ascii="宋体" w:hAnsi="宋体"/>
          <w:b/>
          <w:color w:val="auto"/>
          <w:szCs w:val="21"/>
          <w:highlight w:val="none"/>
        </w:rPr>
        <w:t>双方约定</w:t>
      </w:r>
      <w:r>
        <w:rPr>
          <w:rFonts w:hint="eastAsia" w:ascii="宋体" w:hAnsi="宋体"/>
          <w:color w:val="auto"/>
          <w:szCs w:val="21"/>
          <w:highlight w:val="none"/>
        </w:rPr>
        <w:t>：本合同由双方或双方上级单位的纪检监察机关负责监督执行。由甲方或甲方上级单位的纪检监察机关约请乙方或乙方上级单位纪检监察机关对本合同执行情况进行检查，提出在本合同规定范围内的裁定意见。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rPr>
          <w:rFonts w:ascii="宋体"/>
          <w:color w:val="auto"/>
          <w:szCs w:val="21"/>
          <w:highlight w:val="none"/>
        </w:rPr>
      </w:pPr>
      <w:r>
        <w:rPr>
          <w:rFonts w:ascii="宋体" w:hAnsi="宋体"/>
          <w:color w:val="auto"/>
          <w:szCs w:val="21"/>
          <w:highlight w:val="none"/>
        </w:rPr>
        <w:t xml:space="preserve">    6.</w:t>
      </w:r>
      <w:r>
        <w:rPr>
          <w:rFonts w:hint="eastAsia" w:ascii="宋体" w:hAnsi="宋体"/>
          <w:color w:val="auto"/>
          <w:szCs w:val="21"/>
          <w:highlight w:val="none"/>
        </w:rPr>
        <w:t>本合同有效期为甲乙双方签署之日起至该工程项目竣工验收后止。</w:t>
      </w:r>
    </w:p>
    <w:p>
      <w:pPr>
        <w:spacing w:line="360" w:lineRule="auto"/>
        <w:rPr>
          <w:rFonts w:ascii="宋体"/>
          <w:color w:val="auto"/>
          <w:szCs w:val="21"/>
          <w:highlight w:val="none"/>
        </w:rPr>
      </w:pPr>
      <w:r>
        <w:rPr>
          <w:rFonts w:ascii="宋体" w:hAnsi="宋体"/>
          <w:color w:val="auto"/>
          <w:szCs w:val="21"/>
          <w:highlight w:val="none"/>
        </w:rPr>
        <w:t xml:space="preserve">    7.</w:t>
      </w:r>
      <w:r>
        <w:rPr>
          <w:rFonts w:hint="eastAsia" w:ascii="宋体" w:hAnsi="宋体"/>
          <w:color w:val="auto"/>
          <w:szCs w:val="21"/>
          <w:highlight w:val="none"/>
        </w:rPr>
        <w:t>本合同作为工程总承包合同的附件，与工程施工合同具有同等的法律效力。</w:t>
      </w:r>
    </w:p>
    <w:p>
      <w:pPr>
        <w:rPr>
          <w:rFonts w:ascii="宋体"/>
          <w:color w:val="auto"/>
          <w:szCs w:val="21"/>
          <w:highlight w:val="none"/>
        </w:rPr>
      </w:pPr>
      <w:r>
        <w:rPr>
          <w:rFonts w:ascii="宋体" w:hAnsi="宋体"/>
          <w:color w:val="auto"/>
          <w:szCs w:val="21"/>
          <w:highlight w:val="none"/>
        </w:rPr>
        <w:t xml:space="preserve">    8. </w:t>
      </w:r>
      <w:r>
        <w:rPr>
          <w:rFonts w:hint="eastAsia" w:ascii="宋体" w:hAnsi="宋体"/>
          <w:color w:val="auto"/>
          <w:szCs w:val="21"/>
          <w:highlight w:val="none"/>
        </w:rPr>
        <w:t>本合同作为主合同附件，正本和副本份数与本合同专用条款第19.2条的约定相同。由双方法定代表人或其授权的代理人签署与加盖公章后生效，全部工程竣工验收后失效。</w:t>
      </w:r>
    </w:p>
    <w:p>
      <w:pPr>
        <w:spacing w:line="360" w:lineRule="auto"/>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发包人：</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color w:val="auto"/>
          <w:szCs w:val="21"/>
          <w:highlight w:val="none"/>
        </w:rPr>
      </w:pPr>
      <w:r>
        <w:rPr>
          <w:rFonts w:hint="eastAsia" w:ascii="宋体" w:hAnsi="宋体"/>
          <w:color w:val="auto"/>
          <w:szCs w:val="21"/>
          <w:highlight w:val="none"/>
        </w:rPr>
        <w:t>地址：</w:t>
      </w:r>
    </w:p>
    <w:p>
      <w:pPr>
        <w:spacing w:line="360" w:lineRule="auto"/>
        <w:rPr>
          <w:rFonts w:ascii="宋体"/>
          <w:color w:val="auto"/>
          <w:szCs w:val="21"/>
          <w:highlight w:val="none"/>
        </w:rPr>
      </w:pPr>
      <w:r>
        <w:rPr>
          <w:rFonts w:hint="eastAsia" w:ascii="宋体" w:hAnsi="宋体"/>
          <w:color w:val="auto"/>
          <w:szCs w:val="21"/>
          <w:highlight w:val="none"/>
        </w:rPr>
        <w:t>日期：</w:t>
      </w:r>
    </w:p>
    <w:p>
      <w:pPr>
        <w:spacing w:line="360" w:lineRule="auto"/>
        <w:rPr>
          <w:rFonts w:asci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承包人：（联合体牵头人）</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color w:val="auto"/>
          <w:szCs w:val="21"/>
          <w:highlight w:val="none"/>
        </w:rPr>
      </w:pPr>
      <w:r>
        <w:rPr>
          <w:rFonts w:hint="eastAsia" w:ascii="宋体" w:hAnsi="宋体"/>
          <w:color w:val="auto"/>
          <w:szCs w:val="21"/>
          <w:highlight w:val="none"/>
        </w:rPr>
        <w:t>地址：</w:t>
      </w:r>
    </w:p>
    <w:p>
      <w:pPr>
        <w:spacing w:line="360" w:lineRule="auto"/>
        <w:rPr>
          <w:rFonts w:ascii="宋体"/>
          <w:color w:val="auto"/>
          <w:szCs w:val="21"/>
          <w:highlight w:val="none"/>
        </w:rPr>
      </w:pPr>
      <w:r>
        <w:rPr>
          <w:rFonts w:hint="eastAsia" w:ascii="宋体" w:hAnsi="宋体"/>
          <w:color w:val="auto"/>
          <w:szCs w:val="21"/>
          <w:highlight w:val="none"/>
        </w:rPr>
        <w:t>日期：</w:t>
      </w:r>
    </w:p>
    <w:p>
      <w:pPr>
        <w:spacing w:line="360" w:lineRule="auto"/>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承包人：（联合体成员）</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color w:val="auto"/>
          <w:szCs w:val="21"/>
          <w:highlight w:val="none"/>
        </w:rPr>
      </w:pPr>
      <w:r>
        <w:rPr>
          <w:rFonts w:hint="eastAsia" w:ascii="宋体" w:hAnsi="宋体"/>
          <w:color w:val="auto"/>
          <w:szCs w:val="21"/>
          <w:highlight w:val="none"/>
        </w:rPr>
        <w:t>地址：</w:t>
      </w:r>
    </w:p>
    <w:p>
      <w:pPr>
        <w:spacing w:line="360" w:lineRule="auto"/>
        <w:rPr>
          <w:rFonts w:ascii="宋体" w:hAnsi="宋体"/>
          <w:color w:val="auto"/>
          <w:szCs w:val="21"/>
          <w:highlight w:val="none"/>
        </w:rPr>
      </w:pPr>
      <w:r>
        <w:rPr>
          <w:rFonts w:hint="eastAsia" w:ascii="宋体" w:hAnsi="宋体"/>
          <w:color w:val="auto"/>
          <w:szCs w:val="21"/>
          <w:highlight w:val="none"/>
        </w:rPr>
        <w:t>日期：</w:t>
      </w:r>
    </w:p>
    <w:p>
      <w:pPr>
        <w:pStyle w:val="7"/>
        <w:rPr>
          <w:color w:val="auto"/>
          <w:highlight w:val="none"/>
        </w:rPr>
      </w:pPr>
    </w:p>
    <w:p>
      <w:pPr>
        <w:pStyle w:val="2"/>
        <w:rPr>
          <w:rFonts w:ascii="宋体" w:hAnsi="宋体" w:eastAsia="宋体"/>
          <w:color w:val="auto"/>
          <w:sz w:val="28"/>
          <w:szCs w:val="28"/>
          <w:highlight w:val="none"/>
        </w:rPr>
      </w:pPr>
      <w:bookmarkStart w:id="1838" w:name="_Toc389647396"/>
      <w:bookmarkStart w:id="1839" w:name="_Toc419363883"/>
      <w:bookmarkStart w:id="1840" w:name="_Toc419364537"/>
      <w:bookmarkStart w:id="1841" w:name="_Toc19034922"/>
      <w:bookmarkStart w:id="1842" w:name="_Toc419321450"/>
      <w:bookmarkStart w:id="1843" w:name="_Toc403896986"/>
      <w:bookmarkStart w:id="1844" w:name="_Toc433988908"/>
      <w:bookmarkStart w:id="1845" w:name="_Toc419320414"/>
      <w:r>
        <w:rPr>
          <w:rFonts w:hint="eastAsia" w:ascii="宋体" w:hAnsi="宋体" w:eastAsia="宋体"/>
          <w:color w:val="auto"/>
          <w:sz w:val="28"/>
          <w:szCs w:val="28"/>
          <w:highlight w:val="none"/>
        </w:rPr>
        <w:t>附件五：安全生产合同</w:t>
      </w:r>
      <w:bookmarkEnd w:id="1838"/>
      <w:bookmarkEnd w:id="1839"/>
      <w:bookmarkEnd w:id="1840"/>
      <w:bookmarkEnd w:id="1841"/>
      <w:bookmarkEnd w:id="1842"/>
      <w:bookmarkEnd w:id="1843"/>
      <w:bookmarkEnd w:id="1844"/>
      <w:bookmarkEnd w:id="1845"/>
    </w:p>
    <w:p>
      <w:pPr>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安全生产合同</w:t>
      </w:r>
    </w:p>
    <w:p>
      <w:pPr>
        <w:snapToGrid w:val="0"/>
        <w:spacing w:line="360" w:lineRule="auto"/>
        <w:ind w:firstLine="420" w:firstLineChars="200"/>
        <w:rPr>
          <w:rFonts w:ascii="宋体"/>
          <w:color w:val="auto"/>
          <w:szCs w:val="21"/>
          <w:highlight w:val="none"/>
        </w:rPr>
      </w:pPr>
      <w:r>
        <w:rPr>
          <w:rFonts w:hint="eastAsia" w:ascii="宋体" w:hAnsi="宋体"/>
          <w:color w:val="auto"/>
          <w:szCs w:val="21"/>
          <w:highlight w:val="none"/>
        </w:rPr>
        <w:t>为在施工合同的实施过程中创造安全、高效的施工环境，切实搞好本项目的安全管理工作，本项目业主（以下简称“甲方”）与承包人</w:t>
      </w:r>
      <w:r>
        <w:rPr>
          <w:rFonts w:hint="eastAsia" w:ascii="宋体" w:hAnsi="宋体"/>
          <w:color w:val="auto"/>
          <w:szCs w:val="21"/>
          <w:highlight w:val="none"/>
          <w:u w:val="single"/>
        </w:rPr>
        <w:t>（联合体牵头人）、（联合体成员）</w:t>
      </w:r>
      <w:r>
        <w:rPr>
          <w:rFonts w:hint="eastAsia" w:ascii="宋体" w:hAnsi="宋体"/>
          <w:color w:val="auto"/>
          <w:szCs w:val="21"/>
          <w:highlight w:val="none"/>
        </w:rPr>
        <w:t>（以下简称“乙方”）特此签订安全生产合同：</w:t>
      </w:r>
    </w:p>
    <w:p>
      <w:pPr>
        <w:snapToGrid w:val="0"/>
        <w:spacing w:line="360" w:lineRule="auto"/>
        <w:ind w:firstLine="422" w:firstLineChars="200"/>
        <w:rPr>
          <w:rFonts w:ascii="宋体" w:hAnsi="宋体"/>
          <w:b/>
          <w:color w:val="auto"/>
          <w:szCs w:val="21"/>
          <w:highlight w:val="none"/>
        </w:rPr>
      </w:pPr>
      <w:bookmarkStart w:id="1846" w:name="_Toc419363884"/>
      <w:r>
        <w:rPr>
          <w:rFonts w:hint="eastAsia" w:ascii="宋体" w:hAnsi="宋体"/>
          <w:b/>
          <w:color w:val="auto"/>
          <w:szCs w:val="21"/>
          <w:highlight w:val="none"/>
        </w:rPr>
        <w:t>一、甲方职责</w:t>
      </w:r>
      <w:bookmarkEnd w:id="1846"/>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1.</w:t>
      </w:r>
      <w:r>
        <w:rPr>
          <w:rFonts w:hint="eastAsia" w:ascii="宋体" w:hAnsi="宋体"/>
          <w:color w:val="auto"/>
          <w:szCs w:val="21"/>
          <w:highlight w:val="none"/>
        </w:rPr>
        <w:t>严格遵守国家有关安全生产的法律法规，认真执行工程承包合同中的有关安全要求。</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2.</w:t>
      </w:r>
      <w:r>
        <w:rPr>
          <w:rFonts w:hint="eastAsia" w:ascii="宋体" w:hAnsi="宋体"/>
          <w:color w:val="auto"/>
          <w:szCs w:val="21"/>
          <w:highlight w:val="none"/>
        </w:rPr>
        <w:t>按照“安全第一、预防为主”和坚持“管生产必须管安全”的原则进行安全生产管理，做到生产与安全工作同时计划、布置、检查、总结和评比。</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3.</w:t>
      </w:r>
      <w:r>
        <w:rPr>
          <w:rFonts w:hint="eastAsia" w:ascii="宋体" w:hAnsi="宋体"/>
          <w:color w:val="auto"/>
          <w:szCs w:val="21"/>
          <w:highlight w:val="none"/>
        </w:rPr>
        <w:t>重要的安全设施必须坚持与主体工程“三同时”的原则，即：同时设计、审批，同时施工，同时验收，投入使用。</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4.</w:t>
      </w:r>
      <w:r>
        <w:rPr>
          <w:rFonts w:hint="eastAsia" w:ascii="宋体" w:hAnsi="宋体"/>
          <w:color w:val="auto"/>
          <w:szCs w:val="21"/>
          <w:highlight w:val="none"/>
        </w:rPr>
        <w:t>定期召开安全生产调度会，及时传达中央及地方有关安全生产的精神。</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5.</w:t>
      </w:r>
      <w:r>
        <w:rPr>
          <w:rFonts w:hint="eastAsia" w:ascii="宋体" w:hAnsi="宋体"/>
          <w:color w:val="auto"/>
          <w:szCs w:val="21"/>
          <w:highlight w:val="none"/>
        </w:rPr>
        <w:t>组织对乙方施工现场安全生产检查，监督乙方及时处理发现的各种安全隐患。</w:t>
      </w:r>
    </w:p>
    <w:p>
      <w:pPr>
        <w:snapToGrid w:val="0"/>
        <w:spacing w:line="360" w:lineRule="auto"/>
        <w:ind w:firstLine="422" w:firstLineChars="200"/>
        <w:rPr>
          <w:rFonts w:ascii="宋体" w:hAnsi="宋体"/>
          <w:b/>
          <w:color w:val="auto"/>
          <w:szCs w:val="21"/>
          <w:highlight w:val="none"/>
        </w:rPr>
      </w:pPr>
      <w:bookmarkStart w:id="1847" w:name="_Toc419363885"/>
      <w:r>
        <w:rPr>
          <w:rFonts w:hint="eastAsia" w:ascii="宋体" w:hAnsi="宋体"/>
          <w:b/>
          <w:color w:val="auto"/>
          <w:szCs w:val="21"/>
          <w:highlight w:val="none"/>
        </w:rPr>
        <w:t>二、乙方职责</w:t>
      </w:r>
      <w:bookmarkEnd w:id="1847"/>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1.</w:t>
      </w:r>
      <w:r>
        <w:rPr>
          <w:rFonts w:hint="eastAsia" w:ascii="宋体" w:hAnsi="宋体"/>
          <w:color w:val="auto"/>
          <w:szCs w:val="21"/>
          <w:highlight w:val="none"/>
        </w:rPr>
        <w:t>严格遵守国家有关安全生产的法律法规及建筑工程有关安全生产的规定，认真执行工程承包合同中的有关安全要求。</w:t>
      </w:r>
    </w:p>
    <w:p>
      <w:pPr>
        <w:spacing w:line="360" w:lineRule="auto"/>
        <w:rPr>
          <w:rFonts w:ascii="宋体"/>
          <w:color w:val="auto"/>
          <w:szCs w:val="21"/>
          <w:highlight w:val="none"/>
        </w:rPr>
      </w:pPr>
      <w:r>
        <w:rPr>
          <w:rFonts w:ascii="宋体" w:hAnsi="宋体"/>
          <w:color w:val="auto"/>
          <w:szCs w:val="21"/>
          <w:highlight w:val="none"/>
        </w:rPr>
        <w:t xml:space="preserve">    2.</w:t>
      </w:r>
      <w:r>
        <w:rPr>
          <w:rFonts w:hint="eastAsia" w:ascii="宋体" w:hAnsi="宋体"/>
          <w:color w:val="auto"/>
          <w:szCs w:val="21"/>
          <w:highlight w:val="none"/>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360" w:lineRule="auto"/>
        <w:rPr>
          <w:rFonts w:ascii="宋体"/>
          <w:color w:val="auto"/>
          <w:szCs w:val="21"/>
          <w:highlight w:val="none"/>
        </w:rPr>
      </w:pPr>
      <w:r>
        <w:rPr>
          <w:rFonts w:ascii="宋体" w:hAnsi="宋体"/>
          <w:color w:val="auto"/>
          <w:szCs w:val="21"/>
          <w:highlight w:val="none"/>
        </w:rPr>
        <w:t xml:space="preserve">    3.</w:t>
      </w:r>
      <w:r>
        <w:rPr>
          <w:rFonts w:hint="eastAsia" w:ascii="宋体" w:hAnsi="宋体"/>
          <w:color w:val="auto"/>
          <w:szCs w:val="21"/>
          <w:highlight w:val="none"/>
        </w:rPr>
        <w:t>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w:t>
      </w:r>
      <w:r>
        <w:rPr>
          <w:rFonts w:ascii="宋体" w:hAnsi="宋体"/>
          <w:color w:val="auto"/>
          <w:szCs w:val="21"/>
          <w:highlight w:val="none"/>
        </w:rPr>
        <w:t>1%~3%</w:t>
      </w:r>
      <w:r>
        <w:rPr>
          <w:rFonts w:hint="eastAsia" w:ascii="宋体" w:hAnsi="宋体"/>
          <w:color w:val="auto"/>
          <w:szCs w:val="21"/>
          <w:highlight w:val="none"/>
        </w:rPr>
        <w:t>配备安全员，专职负责所有员工的安全和治安保卫工作及预防事故的发生。安全机构人员，有权按有关规定发布指令，并采取保护性措施防止事故发生。</w:t>
      </w:r>
    </w:p>
    <w:p>
      <w:pPr>
        <w:spacing w:line="360" w:lineRule="auto"/>
        <w:rPr>
          <w:rFonts w:ascii="宋体"/>
          <w:color w:val="auto"/>
          <w:szCs w:val="21"/>
          <w:highlight w:val="none"/>
        </w:rPr>
      </w:pPr>
      <w:r>
        <w:rPr>
          <w:rFonts w:ascii="宋体" w:hAnsi="宋体"/>
          <w:color w:val="auto"/>
          <w:szCs w:val="21"/>
          <w:highlight w:val="none"/>
        </w:rPr>
        <w:t xml:space="preserve">    4.</w:t>
      </w:r>
      <w:r>
        <w:rPr>
          <w:rFonts w:hint="eastAsia" w:ascii="宋体" w:hAnsi="宋体"/>
          <w:color w:val="auto"/>
          <w:szCs w:val="21"/>
          <w:highlight w:val="none"/>
        </w:rPr>
        <w:t>乙方在任何时候都应采取各种合理的预防措施，防止其员工发生任何违法、违禁、暴力或妨碍治安的行为。</w:t>
      </w:r>
    </w:p>
    <w:p>
      <w:pPr>
        <w:spacing w:line="360" w:lineRule="auto"/>
        <w:rPr>
          <w:rFonts w:ascii="宋体"/>
          <w:color w:val="auto"/>
          <w:szCs w:val="21"/>
          <w:highlight w:val="none"/>
        </w:rPr>
      </w:pPr>
      <w:r>
        <w:rPr>
          <w:rFonts w:ascii="宋体" w:hAnsi="宋体"/>
          <w:color w:val="auto"/>
          <w:szCs w:val="21"/>
          <w:highlight w:val="none"/>
        </w:rPr>
        <w:t xml:space="preserve">    5.</w:t>
      </w:r>
      <w:r>
        <w:rPr>
          <w:rFonts w:hint="eastAsia" w:ascii="宋体" w:hAnsi="宋体"/>
          <w:color w:val="auto"/>
          <w:szCs w:val="21"/>
          <w:highlight w:val="none"/>
        </w:rPr>
        <w:t>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负责人必须承担管理责任。</w:t>
      </w:r>
    </w:p>
    <w:p>
      <w:pPr>
        <w:spacing w:line="360" w:lineRule="auto"/>
        <w:rPr>
          <w:rFonts w:ascii="宋体"/>
          <w:color w:val="auto"/>
          <w:szCs w:val="21"/>
          <w:highlight w:val="none"/>
        </w:rPr>
      </w:pPr>
      <w:r>
        <w:rPr>
          <w:rFonts w:ascii="宋体" w:hAnsi="宋体"/>
          <w:color w:val="auto"/>
          <w:szCs w:val="21"/>
          <w:highlight w:val="none"/>
        </w:rPr>
        <w:t xml:space="preserve">    6.</w:t>
      </w:r>
      <w:r>
        <w:rPr>
          <w:rFonts w:hint="eastAsia" w:ascii="宋体" w:hAnsi="宋体"/>
          <w:color w:val="auto"/>
          <w:szCs w:val="21"/>
          <w:highlight w:val="none"/>
        </w:rPr>
        <w:t>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360" w:lineRule="auto"/>
        <w:rPr>
          <w:rFonts w:ascii="宋体"/>
          <w:color w:val="auto"/>
          <w:szCs w:val="21"/>
          <w:highlight w:val="none"/>
        </w:rPr>
      </w:pPr>
      <w:r>
        <w:rPr>
          <w:rFonts w:ascii="宋体" w:hAnsi="宋体"/>
          <w:color w:val="auto"/>
          <w:szCs w:val="21"/>
          <w:highlight w:val="none"/>
        </w:rPr>
        <w:t xml:space="preserve">    7.</w:t>
      </w:r>
      <w:r>
        <w:rPr>
          <w:rFonts w:hint="eastAsia" w:ascii="宋体" w:hAnsi="宋体"/>
          <w:color w:val="auto"/>
          <w:szCs w:val="21"/>
          <w:highlight w:val="none"/>
        </w:rPr>
        <w:t>操作人员上岗，必须按规定穿戴防护用品。项目经理和安全检查员应随时检查劳动防护用品的穿戴情况，不按规定穿戴防护用品的人员不得上岗。</w:t>
      </w:r>
    </w:p>
    <w:p>
      <w:pPr>
        <w:spacing w:line="360" w:lineRule="auto"/>
        <w:rPr>
          <w:rFonts w:ascii="宋体"/>
          <w:color w:val="auto"/>
          <w:szCs w:val="21"/>
          <w:highlight w:val="none"/>
        </w:rPr>
      </w:pPr>
      <w:r>
        <w:rPr>
          <w:rFonts w:ascii="宋体" w:hAnsi="宋体"/>
          <w:color w:val="auto"/>
          <w:szCs w:val="21"/>
          <w:highlight w:val="none"/>
        </w:rPr>
        <w:t xml:space="preserve">    8.</w:t>
      </w:r>
      <w:r>
        <w:rPr>
          <w:rFonts w:hint="eastAsia" w:ascii="宋体" w:hAnsi="宋体"/>
          <w:color w:val="auto"/>
          <w:szCs w:val="21"/>
          <w:highlight w:val="none"/>
        </w:rPr>
        <w:t>所有施工机械设备和高空作业的设备均应定期检查，并有安全员的签字记录，保证其经常处于完好状态；不合格的机具、设备和劳动保护用品严禁使用。</w:t>
      </w:r>
    </w:p>
    <w:p>
      <w:pPr>
        <w:spacing w:line="360" w:lineRule="auto"/>
        <w:rPr>
          <w:rFonts w:ascii="宋体"/>
          <w:color w:val="auto"/>
          <w:szCs w:val="21"/>
          <w:highlight w:val="none"/>
        </w:rPr>
      </w:pPr>
      <w:r>
        <w:rPr>
          <w:rFonts w:ascii="宋体" w:hAnsi="宋体"/>
          <w:color w:val="auto"/>
          <w:szCs w:val="21"/>
          <w:highlight w:val="none"/>
        </w:rPr>
        <w:t xml:space="preserve">    9.</w:t>
      </w:r>
      <w:r>
        <w:rPr>
          <w:rFonts w:hint="eastAsia" w:ascii="宋体" w:hAnsi="宋体"/>
          <w:color w:val="auto"/>
          <w:szCs w:val="21"/>
          <w:highlight w:val="none"/>
        </w:rPr>
        <w:t>施工中采用新技术、新工艺、新设备、新材料时，必须制定相应的安全技术措施，施工现场必须具有相关的安全标志牌。</w:t>
      </w:r>
    </w:p>
    <w:p>
      <w:pPr>
        <w:spacing w:line="360" w:lineRule="auto"/>
        <w:rPr>
          <w:rFonts w:ascii="宋体"/>
          <w:color w:val="auto"/>
          <w:szCs w:val="21"/>
          <w:highlight w:val="none"/>
        </w:rPr>
      </w:pPr>
      <w:r>
        <w:rPr>
          <w:rFonts w:ascii="宋体" w:hAnsi="宋体"/>
          <w:color w:val="auto"/>
          <w:szCs w:val="21"/>
          <w:highlight w:val="none"/>
        </w:rPr>
        <w:t xml:space="preserve">    10.</w:t>
      </w:r>
      <w:r>
        <w:rPr>
          <w:rFonts w:hint="eastAsia" w:ascii="宋体" w:hAnsi="宋体"/>
          <w:color w:val="auto"/>
          <w:szCs w:val="21"/>
          <w:highlight w:val="none"/>
        </w:rPr>
        <w:t>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pacing w:line="360" w:lineRule="auto"/>
        <w:rPr>
          <w:rFonts w:ascii="宋体" w:hAnsi="宋体"/>
          <w:b/>
          <w:color w:val="auto"/>
          <w:szCs w:val="21"/>
          <w:highlight w:val="none"/>
        </w:rPr>
      </w:pPr>
      <w:bookmarkStart w:id="1848" w:name="_Toc419363886"/>
      <w:r>
        <w:rPr>
          <w:rFonts w:hint="eastAsia" w:ascii="宋体" w:hAnsi="宋体"/>
          <w:b/>
          <w:color w:val="auto"/>
          <w:szCs w:val="21"/>
          <w:highlight w:val="none"/>
        </w:rPr>
        <w:t>三、违约责任</w:t>
      </w:r>
      <w:bookmarkEnd w:id="1848"/>
    </w:p>
    <w:p>
      <w:pPr>
        <w:spacing w:line="360" w:lineRule="auto"/>
        <w:rPr>
          <w:rFonts w:ascii="宋体" w:hAnsi="宋体"/>
          <w:color w:val="auto"/>
          <w:szCs w:val="21"/>
          <w:highlight w:val="none"/>
        </w:rPr>
      </w:pPr>
      <w:r>
        <w:rPr>
          <w:rFonts w:hint="eastAsia" w:ascii="宋体" w:hAnsi="宋体"/>
          <w:color w:val="auto"/>
          <w:szCs w:val="21"/>
          <w:highlight w:val="none"/>
        </w:rPr>
        <w:t>如因甲方或乙方违约造成安全事故，将依法追究责任。</w:t>
      </w:r>
    </w:p>
    <w:p>
      <w:pPr>
        <w:spacing w:line="360" w:lineRule="auto"/>
        <w:rPr>
          <w:rFonts w:ascii="宋体" w:hAnsi="宋体"/>
          <w:color w:val="auto"/>
          <w:szCs w:val="21"/>
          <w:highlight w:val="none"/>
        </w:rPr>
      </w:pPr>
      <w:r>
        <w:rPr>
          <w:rFonts w:hint="eastAsia" w:ascii="宋体" w:hAnsi="宋体"/>
          <w:color w:val="auto"/>
          <w:szCs w:val="21"/>
          <w:highlight w:val="none"/>
        </w:rPr>
        <w:t>本合同作为主合同附件，正本和副本份数与本合同专用条款第19.2条的约定相同。由双方法定代表人或其授权的代理人签署与加盖公章后生效，全部工程竣工验收后失效。</w:t>
      </w:r>
    </w:p>
    <w:p>
      <w:pPr>
        <w:spacing w:line="360" w:lineRule="auto"/>
        <w:rPr>
          <w:rFonts w:ascii="宋体"/>
          <w:color w:val="auto"/>
          <w:szCs w:val="21"/>
          <w:highlight w:val="none"/>
        </w:rPr>
      </w:pPr>
      <w:r>
        <w:rPr>
          <w:rFonts w:hint="eastAsia" w:ascii="宋体" w:hAnsi="宋体"/>
          <w:color w:val="auto"/>
          <w:szCs w:val="21"/>
          <w:highlight w:val="none"/>
        </w:rPr>
        <w:t>发包人：</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color w:val="auto"/>
          <w:szCs w:val="21"/>
          <w:highlight w:val="none"/>
        </w:rPr>
      </w:pPr>
      <w:r>
        <w:rPr>
          <w:rFonts w:hint="eastAsia" w:ascii="宋体" w:hAnsi="宋体"/>
          <w:color w:val="auto"/>
          <w:szCs w:val="21"/>
          <w:highlight w:val="none"/>
        </w:rPr>
        <w:t>地址：</w:t>
      </w:r>
    </w:p>
    <w:p>
      <w:pPr>
        <w:spacing w:line="360" w:lineRule="auto"/>
        <w:rPr>
          <w:rFonts w:ascii="宋体"/>
          <w:color w:val="auto"/>
          <w:szCs w:val="21"/>
          <w:highlight w:val="none"/>
        </w:rPr>
      </w:pPr>
      <w:r>
        <w:rPr>
          <w:rFonts w:hint="eastAsia" w:ascii="宋体" w:hAnsi="宋体"/>
          <w:color w:val="auto"/>
          <w:szCs w:val="21"/>
          <w:highlight w:val="none"/>
        </w:rPr>
        <w:t>日期：</w:t>
      </w:r>
    </w:p>
    <w:p>
      <w:pPr>
        <w:spacing w:line="360" w:lineRule="auto"/>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承包人：（联合体牵头人）</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color w:val="auto"/>
          <w:szCs w:val="21"/>
          <w:highlight w:val="none"/>
        </w:rPr>
      </w:pPr>
      <w:r>
        <w:rPr>
          <w:rFonts w:hint="eastAsia" w:ascii="宋体" w:hAnsi="宋体"/>
          <w:color w:val="auto"/>
          <w:szCs w:val="21"/>
          <w:highlight w:val="none"/>
        </w:rPr>
        <w:t>地址：</w:t>
      </w:r>
    </w:p>
    <w:p>
      <w:pPr>
        <w:spacing w:line="360" w:lineRule="auto"/>
        <w:rPr>
          <w:rFonts w:ascii="宋体"/>
          <w:color w:val="auto"/>
          <w:szCs w:val="21"/>
          <w:highlight w:val="none"/>
        </w:rPr>
      </w:pPr>
      <w:r>
        <w:rPr>
          <w:rFonts w:hint="eastAsia" w:ascii="宋体" w:hAnsi="宋体"/>
          <w:color w:val="auto"/>
          <w:szCs w:val="21"/>
          <w:highlight w:val="none"/>
        </w:rPr>
        <w:t>日期：</w:t>
      </w:r>
    </w:p>
    <w:p>
      <w:pPr>
        <w:spacing w:line="360" w:lineRule="auto"/>
        <w:rPr>
          <w:rFonts w:ascii="宋体"/>
          <w:color w:val="auto"/>
          <w:szCs w:val="21"/>
          <w:highlight w:val="none"/>
        </w:rPr>
      </w:pPr>
    </w:p>
    <w:p>
      <w:pPr>
        <w:spacing w:line="360" w:lineRule="auto"/>
        <w:rPr>
          <w:rFonts w:ascii="宋体"/>
          <w:color w:val="auto"/>
          <w:szCs w:val="21"/>
          <w:highlight w:val="none"/>
        </w:rPr>
      </w:pPr>
      <w:r>
        <w:rPr>
          <w:rFonts w:hint="eastAsia" w:ascii="宋体" w:hAnsi="宋体"/>
          <w:color w:val="auto"/>
          <w:szCs w:val="21"/>
          <w:highlight w:val="none"/>
        </w:rPr>
        <w:t>承包人：（联合体成员）</w:t>
      </w:r>
    </w:p>
    <w:p>
      <w:pPr>
        <w:spacing w:line="360" w:lineRule="auto"/>
        <w:rPr>
          <w:rFonts w:ascii="宋体"/>
          <w:color w:val="auto"/>
          <w:szCs w:val="21"/>
          <w:highlight w:val="none"/>
        </w:rPr>
      </w:pPr>
      <w:r>
        <w:rPr>
          <w:rFonts w:hint="eastAsia" w:ascii="宋体" w:hAnsi="宋体"/>
          <w:color w:val="auto"/>
          <w:szCs w:val="21"/>
          <w:highlight w:val="none"/>
        </w:rPr>
        <w:t>（公章或合同专用章）</w:t>
      </w:r>
    </w:p>
    <w:p>
      <w:pPr>
        <w:spacing w:line="360" w:lineRule="auto"/>
        <w:rPr>
          <w:rFonts w:ascii="宋体"/>
          <w:color w:val="auto"/>
          <w:szCs w:val="21"/>
          <w:highlight w:val="none"/>
        </w:rPr>
      </w:pPr>
      <w:r>
        <w:rPr>
          <w:rFonts w:hint="eastAsia" w:ascii="宋体" w:hAnsi="宋体"/>
          <w:color w:val="auto"/>
          <w:szCs w:val="21"/>
          <w:highlight w:val="none"/>
        </w:rPr>
        <w:t>法定代表人：</w:t>
      </w:r>
    </w:p>
    <w:p>
      <w:pPr>
        <w:spacing w:line="360" w:lineRule="auto"/>
        <w:rPr>
          <w:rFonts w:ascii="宋体"/>
          <w:color w:val="auto"/>
          <w:szCs w:val="21"/>
          <w:highlight w:val="none"/>
        </w:rPr>
      </w:pPr>
      <w:r>
        <w:rPr>
          <w:rFonts w:hint="eastAsia" w:ascii="宋体" w:hAnsi="宋体"/>
          <w:color w:val="auto"/>
          <w:szCs w:val="21"/>
          <w:highlight w:val="none"/>
        </w:rPr>
        <w:t>（签字或盖章）　</w:t>
      </w:r>
    </w:p>
    <w:p>
      <w:pPr>
        <w:spacing w:line="360" w:lineRule="auto"/>
        <w:rPr>
          <w:rFonts w:ascii="宋体"/>
          <w:color w:val="auto"/>
          <w:szCs w:val="21"/>
          <w:highlight w:val="none"/>
        </w:rPr>
      </w:pPr>
      <w:r>
        <w:rPr>
          <w:rFonts w:hint="eastAsia" w:ascii="宋体" w:hAnsi="宋体"/>
          <w:color w:val="auto"/>
          <w:szCs w:val="21"/>
          <w:highlight w:val="none"/>
        </w:rPr>
        <w:t>地址：</w:t>
      </w:r>
    </w:p>
    <w:p>
      <w:pPr>
        <w:spacing w:line="360" w:lineRule="auto"/>
        <w:rPr>
          <w:color w:val="auto"/>
          <w:highlight w:val="none"/>
        </w:rPr>
        <w:sectPr>
          <w:pgSz w:w="11906" w:h="16838"/>
          <w:pgMar w:top="1418" w:right="1134" w:bottom="1418" w:left="1134" w:header="851" w:footer="851" w:gutter="0"/>
          <w:cols w:space="720" w:num="1"/>
          <w:docGrid w:linePitch="312" w:charSpace="0"/>
        </w:sectPr>
      </w:pPr>
      <w:r>
        <w:rPr>
          <w:rFonts w:hint="eastAsia" w:ascii="宋体" w:hAnsi="宋体"/>
          <w:color w:val="auto"/>
          <w:szCs w:val="21"/>
          <w:highlight w:val="none"/>
        </w:rPr>
        <w:t>日期：</w:t>
      </w:r>
      <w:bookmarkEnd w:id="579"/>
      <w:bookmarkStart w:id="1849" w:name="_Toc247514202"/>
      <w:bookmarkEnd w:id="1849"/>
      <w:bookmarkStart w:id="1850" w:name="_Toc247527803"/>
      <w:bookmarkEnd w:id="1850"/>
      <w:bookmarkStart w:id="1851" w:name="_Toc152042554"/>
      <w:bookmarkEnd w:id="1851"/>
      <w:bookmarkStart w:id="1852" w:name="_Toc144974834"/>
      <w:bookmarkEnd w:id="1852"/>
      <w:bookmarkStart w:id="1853" w:name="_Toc152045772"/>
      <w:bookmarkEnd w:id="1853"/>
    </w:p>
    <w:p>
      <w:pPr>
        <w:rPr>
          <w:color w:val="auto"/>
          <w:highlight w:val="none"/>
        </w:rPr>
      </w:pPr>
    </w:p>
    <w:p>
      <w:pPr>
        <w:pStyle w:val="3"/>
        <w:jc w:val="center"/>
        <w:rPr>
          <w:color w:val="auto"/>
          <w:highlight w:val="none"/>
        </w:rPr>
      </w:pPr>
      <w:bookmarkStart w:id="1854" w:name="_Toc513198254"/>
      <w:bookmarkStart w:id="1855" w:name="_Toc419364538"/>
      <w:bookmarkStart w:id="1856" w:name="_Toc419363887"/>
      <w:bookmarkStart w:id="1857" w:name="_Toc433988909"/>
      <w:r>
        <w:rPr>
          <w:rFonts w:hint="eastAsia"/>
          <w:color w:val="auto"/>
          <w:highlight w:val="none"/>
        </w:rPr>
        <w:t>第五章  发包人要求</w:t>
      </w:r>
      <w:bookmarkEnd w:id="1854"/>
      <w:bookmarkEnd w:id="1855"/>
      <w:bookmarkEnd w:id="1856"/>
      <w:bookmarkEnd w:id="1857"/>
    </w:p>
    <w:p>
      <w:pPr>
        <w:spacing w:line="440" w:lineRule="exact"/>
        <w:rPr>
          <w:rFonts w:ascii="黑体" w:eastAsia="黑体"/>
          <w:color w:val="auto"/>
          <w:szCs w:val="21"/>
          <w:highlight w:val="none"/>
        </w:rPr>
      </w:pPr>
      <w:r>
        <w:rPr>
          <w:rFonts w:hint="eastAsia" w:ascii="黑体" w:eastAsia="黑体"/>
          <w:color w:val="auto"/>
          <w:szCs w:val="21"/>
          <w:highlight w:val="none"/>
        </w:rPr>
        <w:t>一、功能要求</w:t>
      </w:r>
    </w:p>
    <w:p>
      <w:pPr>
        <w:spacing w:line="440" w:lineRule="exact"/>
        <w:rPr>
          <w:color w:val="auto"/>
          <w:szCs w:val="21"/>
          <w:highlight w:val="none"/>
        </w:rPr>
      </w:pPr>
      <w:r>
        <w:rPr>
          <w:rFonts w:hint="eastAsia"/>
          <w:color w:val="auto"/>
          <w:szCs w:val="21"/>
          <w:highlight w:val="none"/>
        </w:rPr>
        <w:t>（一）工程的目的。</w:t>
      </w:r>
    </w:p>
    <w:p>
      <w:pPr>
        <w:spacing w:line="440" w:lineRule="exact"/>
        <w:ind w:firstLine="210" w:firstLineChars="100"/>
        <w:rPr>
          <w:color w:val="auto"/>
          <w:szCs w:val="21"/>
          <w:highlight w:val="none"/>
        </w:rPr>
      </w:pPr>
      <w:r>
        <w:rPr>
          <w:rFonts w:hint="eastAsia"/>
          <w:color w:val="auto"/>
          <w:szCs w:val="21"/>
          <w:highlight w:val="none"/>
        </w:rPr>
        <w:t>本</w:t>
      </w:r>
      <w:r>
        <w:rPr>
          <w:color w:val="auto"/>
          <w:szCs w:val="21"/>
          <w:highlight w:val="none"/>
        </w:rPr>
        <w:t>项目</w:t>
      </w:r>
      <w:r>
        <w:rPr>
          <w:rFonts w:hint="eastAsia"/>
          <w:color w:val="auto"/>
          <w:szCs w:val="21"/>
          <w:highlight w:val="none"/>
        </w:rPr>
        <w:t>的</w:t>
      </w:r>
      <w:r>
        <w:rPr>
          <w:color w:val="auto"/>
          <w:szCs w:val="21"/>
          <w:highlight w:val="none"/>
        </w:rPr>
        <w:t>建设，</w:t>
      </w:r>
      <w:r>
        <w:rPr>
          <w:rFonts w:hint="eastAsia"/>
          <w:color w:val="auto"/>
          <w:szCs w:val="21"/>
          <w:highlight w:val="none"/>
        </w:rPr>
        <w:t>进</w:t>
      </w:r>
      <w:r>
        <w:rPr>
          <w:color w:val="auto"/>
          <w:szCs w:val="21"/>
          <w:highlight w:val="none"/>
        </w:rPr>
        <w:t>一步提高提高</w:t>
      </w:r>
      <w:r>
        <w:rPr>
          <w:rFonts w:hint="eastAsia"/>
          <w:color w:val="auto"/>
          <w:szCs w:val="21"/>
          <w:highlight w:val="none"/>
        </w:rPr>
        <w:t>应</w:t>
      </w:r>
      <w:r>
        <w:rPr>
          <w:color w:val="auto"/>
          <w:szCs w:val="21"/>
          <w:highlight w:val="none"/>
        </w:rPr>
        <w:t>用型人才</w:t>
      </w:r>
      <w:r>
        <w:rPr>
          <w:rFonts w:hint="eastAsia"/>
          <w:color w:val="auto"/>
          <w:szCs w:val="21"/>
          <w:highlight w:val="none"/>
        </w:rPr>
        <w:t>培养的</w:t>
      </w:r>
      <w:r>
        <w:rPr>
          <w:color w:val="auto"/>
          <w:szCs w:val="21"/>
          <w:highlight w:val="none"/>
        </w:rPr>
        <w:t>质量</w:t>
      </w:r>
      <w:r>
        <w:rPr>
          <w:rFonts w:hint="eastAsia"/>
          <w:color w:val="auto"/>
          <w:szCs w:val="21"/>
          <w:highlight w:val="none"/>
        </w:rPr>
        <w:t>、学院</w:t>
      </w:r>
      <w:r>
        <w:rPr>
          <w:color w:val="auto"/>
          <w:szCs w:val="21"/>
          <w:highlight w:val="none"/>
        </w:rPr>
        <w:t>科研水平、提</w:t>
      </w:r>
      <w:r>
        <w:rPr>
          <w:rFonts w:hint="eastAsia"/>
          <w:color w:val="auto"/>
          <w:szCs w:val="21"/>
          <w:highlight w:val="none"/>
        </w:rPr>
        <w:t>升</w:t>
      </w:r>
      <w:r>
        <w:rPr>
          <w:color w:val="auto"/>
          <w:szCs w:val="21"/>
          <w:highlight w:val="none"/>
        </w:rPr>
        <w:t>学校综合实力</w:t>
      </w:r>
      <w:r>
        <w:rPr>
          <w:rFonts w:hint="eastAsia"/>
          <w:color w:val="auto"/>
          <w:szCs w:val="21"/>
          <w:highlight w:val="none"/>
        </w:rPr>
        <w:t>。</w:t>
      </w:r>
    </w:p>
    <w:p>
      <w:pPr>
        <w:spacing w:line="440" w:lineRule="exact"/>
        <w:outlineLvl w:val="0"/>
        <w:rPr>
          <w:color w:val="auto"/>
          <w:szCs w:val="21"/>
          <w:highlight w:val="none"/>
        </w:rPr>
      </w:pPr>
      <w:bookmarkStart w:id="1858" w:name="_Toc513198255"/>
      <w:r>
        <w:rPr>
          <w:rFonts w:hint="eastAsia"/>
          <w:color w:val="auto"/>
          <w:szCs w:val="21"/>
          <w:highlight w:val="none"/>
        </w:rPr>
        <w:t>（二）工程规模（适用于房屋建筑工程）。</w:t>
      </w:r>
      <w:bookmarkEnd w:id="1858"/>
    </w:p>
    <w:p>
      <w:pPr>
        <w:spacing w:line="440" w:lineRule="exact"/>
        <w:outlineLvl w:val="0"/>
        <w:rPr>
          <w:color w:val="auto"/>
          <w:szCs w:val="21"/>
          <w:highlight w:val="none"/>
          <w:u w:val="single"/>
        </w:rPr>
      </w:pPr>
      <w:bookmarkStart w:id="1859" w:name="_Toc513198257"/>
      <w:r>
        <w:rPr>
          <w:rFonts w:hint="eastAsia"/>
          <w:color w:val="auto"/>
          <w:szCs w:val="21"/>
          <w:highlight w:val="none"/>
        </w:rPr>
        <w:t>（1）建设规模和内容</w:t>
      </w:r>
      <w:bookmarkEnd w:id="1859"/>
      <w:r>
        <w:rPr>
          <w:rFonts w:hint="eastAsia"/>
          <w:color w:val="auto"/>
          <w:szCs w:val="21"/>
          <w:highlight w:val="none"/>
          <w:u w:val="single"/>
        </w:rPr>
        <w:t xml:space="preserve"> 本</w:t>
      </w:r>
      <w:r>
        <w:rPr>
          <w:color w:val="auto"/>
          <w:szCs w:val="21"/>
          <w:highlight w:val="none"/>
          <w:u w:val="single"/>
        </w:rPr>
        <w:t>项目为结构实验室</w:t>
      </w:r>
      <w:r>
        <w:rPr>
          <w:rFonts w:hint="eastAsia"/>
          <w:color w:val="auto"/>
          <w:szCs w:val="21"/>
          <w:highlight w:val="none"/>
          <w:u w:val="single"/>
        </w:rPr>
        <w:t>附属</w:t>
      </w:r>
      <w:r>
        <w:rPr>
          <w:color w:val="auto"/>
          <w:szCs w:val="21"/>
          <w:highlight w:val="none"/>
          <w:u w:val="single"/>
        </w:rPr>
        <w:t>设备基础</w:t>
      </w:r>
      <w:r>
        <w:rPr>
          <w:rFonts w:hint="eastAsia"/>
          <w:color w:val="auto"/>
          <w:szCs w:val="21"/>
          <w:highlight w:val="none"/>
          <w:u w:val="single"/>
        </w:rPr>
        <w:t>－</w:t>
      </w:r>
      <w:r>
        <w:rPr>
          <w:color w:val="auto"/>
          <w:szCs w:val="21"/>
          <w:highlight w:val="none"/>
          <w:u w:val="single"/>
        </w:rPr>
        <w:t>试验设备台座及反力墙。</w:t>
      </w:r>
      <w:bookmarkStart w:id="1860" w:name="_Toc513198258"/>
    </w:p>
    <w:p>
      <w:pPr>
        <w:spacing w:line="440" w:lineRule="exact"/>
        <w:outlineLvl w:val="0"/>
        <w:rPr>
          <w:color w:val="auto"/>
          <w:szCs w:val="21"/>
          <w:highlight w:val="none"/>
        </w:rPr>
      </w:pPr>
      <w:r>
        <w:rPr>
          <w:rFonts w:hint="eastAsia"/>
          <w:color w:val="auto"/>
          <w:szCs w:val="21"/>
          <w:highlight w:val="none"/>
        </w:rPr>
        <w:t>（2）建设标准</w:t>
      </w:r>
      <w:bookmarkEnd w:id="1860"/>
    </w:p>
    <w:p>
      <w:pPr>
        <w:spacing w:line="440" w:lineRule="exact"/>
        <w:rPr>
          <w:rFonts w:ascii="黑体" w:eastAsia="黑体"/>
          <w:color w:val="auto"/>
          <w:szCs w:val="21"/>
          <w:highlight w:val="none"/>
        </w:rPr>
      </w:pPr>
      <w:r>
        <w:rPr>
          <w:rFonts w:hint="eastAsia" w:ascii="黑体" w:eastAsia="黑体"/>
          <w:color w:val="auto"/>
          <w:szCs w:val="21"/>
          <w:highlight w:val="none"/>
        </w:rPr>
        <w:t>二、工程范围</w:t>
      </w:r>
    </w:p>
    <w:p>
      <w:pPr>
        <w:spacing w:line="400" w:lineRule="exact"/>
        <w:outlineLvl w:val="0"/>
        <w:rPr>
          <w:color w:val="auto"/>
          <w:highlight w:val="none"/>
          <w:u w:val="single"/>
        </w:rPr>
      </w:pPr>
      <w:bookmarkStart w:id="1861" w:name="_Toc513198259"/>
      <w:r>
        <w:rPr>
          <w:rFonts w:hint="eastAsia"/>
          <w:color w:val="auto"/>
          <w:highlight w:val="none"/>
        </w:rPr>
        <w:t>（一）概述</w:t>
      </w:r>
      <w:bookmarkEnd w:id="1861"/>
    </w:p>
    <w:p>
      <w:pPr>
        <w:spacing w:line="440" w:lineRule="exact"/>
        <w:ind w:firstLine="210" w:firstLineChars="100"/>
        <w:rPr>
          <w:color w:val="auto"/>
          <w:szCs w:val="21"/>
          <w:highlight w:val="none"/>
        </w:rPr>
      </w:pPr>
      <w:r>
        <w:rPr>
          <w:rFonts w:hint="eastAsia"/>
          <w:color w:val="auto"/>
          <w:szCs w:val="21"/>
          <w:highlight w:val="none"/>
        </w:rPr>
        <w:t>建筑</w:t>
      </w:r>
      <w:r>
        <w:rPr>
          <w:color w:val="auto"/>
          <w:szCs w:val="21"/>
          <w:highlight w:val="none"/>
        </w:rPr>
        <w:t>与工程学院结构实验室附</w:t>
      </w:r>
      <w:r>
        <w:rPr>
          <w:rFonts w:hint="eastAsia"/>
          <w:color w:val="auto"/>
          <w:szCs w:val="21"/>
          <w:highlight w:val="none"/>
        </w:rPr>
        <w:t>属</w:t>
      </w:r>
      <w:r>
        <w:rPr>
          <w:color w:val="auto"/>
          <w:szCs w:val="21"/>
          <w:highlight w:val="none"/>
        </w:rPr>
        <w:t>设备基础</w:t>
      </w:r>
      <w:r>
        <w:rPr>
          <w:rFonts w:hint="eastAsia"/>
          <w:color w:val="auto"/>
          <w:szCs w:val="21"/>
          <w:highlight w:val="none"/>
        </w:rPr>
        <w:t xml:space="preserve"> ，</w:t>
      </w:r>
      <w:r>
        <w:rPr>
          <w:color w:val="auto"/>
          <w:szCs w:val="21"/>
          <w:highlight w:val="none"/>
        </w:rPr>
        <w:t>详见</w:t>
      </w:r>
      <w:r>
        <w:rPr>
          <w:rFonts w:hint="eastAsia"/>
          <w:color w:val="auto"/>
          <w:szCs w:val="21"/>
          <w:highlight w:val="none"/>
        </w:rPr>
        <w:t>须</w:t>
      </w:r>
      <w:r>
        <w:rPr>
          <w:color w:val="auto"/>
          <w:szCs w:val="21"/>
          <w:highlight w:val="none"/>
        </w:rPr>
        <w:t>知前附表</w:t>
      </w:r>
    </w:p>
    <w:p>
      <w:pPr>
        <w:spacing w:line="400" w:lineRule="exact"/>
        <w:outlineLvl w:val="0"/>
        <w:rPr>
          <w:color w:val="auto"/>
          <w:highlight w:val="none"/>
        </w:rPr>
      </w:pPr>
      <w:bookmarkStart w:id="1862" w:name="_Toc513198260"/>
      <w:r>
        <w:rPr>
          <w:rFonts w:hint="eastAsia"/>
          <w:color w:val="auto"/>
          <w:highlight w:val="none"/>
        </w:rPr>
        <w:t>（二）包括的工作</w:t>
      </w:r>
      <w:bookmarkEnd w:id="1862"/>
    </w:p>
    <w:p>
      <w:pPr>
        <w:spacing w:line="440" w:lineRule="exact"/>
        <w:outlineLvl w:val="0"/>
        <w:rPr>
          <w:color w:val="auto"/>
          <w:szCs w:val="21"/>
          <w:highlight w:val="none"/>
          <w:u w:val="single"/>
        </w:rPr>
      </w:pPr>
      <w:bookmarkStart w:id="1863" w:name="_Toc513198261"/>
      <w:r>
        <w:rPr>
          <w:rFonts w:hint="eastAsia"/>
          <w:color w:val="auto"/>
          <w:szCs w:val="21"/>
          <w:highlight w:val="none"/>
        </w:rPr>
        <w:t>1. 永久工程的设计、采购、施工范围</w:t>
      </w:r>
      <w:bookmarkEnd w:id="1863"/>
      <w:r>
        <w:rPr>
          <w:rFonts w:hint="eastAsia"/>
          <w:color w:val="auto"/>
          <w:szCs w:val="21"/>
          <w:highlight w:val="none"/>
        </w:rPr>
        <w:t>。</w:t>
      </w:r>
    </w:p>
    <w:p>
      <w:pPr>
        <w:spacing w:line="440" w:lineRule="exact"/>
        <w:ind w:firstLine="210" w:firstLineChars="100"/>
        <w:rPr>
          <w:color w:val="auto"/>
          <w:szCs w:val="21"/>
          <w:highlight w:val="none"/>
        </w:rPr>
      </w:pPr>
      <w:r>
        <w:rPr>
          <w:rFonts w:hint="eastAsia"/>
          <w:color w:val="auto"/>
          <w:szCs w:val="21"/>
          <w:highlight w:val="none"/>
        </w:rPr>
        <w:t>上述各项目的的设计及施工。</w:t>
      </w:r>
    </w:p>
    <w:p>
      <w:pPr>
        <w:spacing w:line="440" w:lineRule="exact"/>
        <w:outlineLvl w:val="0"/>
        <w:rPr>
          <w:color w:val="auto"/>
          <w:szCs w:val="21"/>
          <w:highlight w:val="none"/>
        </w:rPr>
      </w:pPr>
      <w:bookmarkStart w:id="1864" w:name="_Toc513198262"/>
      <w:r>
        <w:rPr>
          <w:rFonts w:hint="eastAsia"/>
          <w:color w:val="auto"/>
          <w:szCs w:val="21"/>
          <w:highlight w:val="none"/>
        </w:rPr>
        <w:t>2. 临时工程的设计与施工范围。</w:t>
      </w:r>
      <w:bookmarkEnd w:id="1864"/>
    </w:p>
    <w:p>
      <w:pPr>
        <w:spacing w:line="440" w:lineRule="exact"/>
        <w:ind w:firstLine="210" w:firstLineChars="100"/>
        <w:rPr>
          <w:color w:val="auto"/>
          <w:szCs w:val="21"/>
          <w:highlight w:val="none"/>
        </w:rPr>
      </w:pPr>
      <w:r>
        <w:rPr>
          <w:rFonts w:hint="eastAsia"/>
          <w:color w:val="auto"/>
          <w:szCs w:val="21"/>
          <w:highlight w:val="none"/>
        </w:rPr>
        <w:t>施工过程中围场施工所需的临时工程的设计与施工。</w:t>
      </w:r>
    </w:p>
    <w:p>
      <w:pPr>
        <w:spacing w:line="440" w:lineRule="exact"/>
        <w:outlineLvl w:val="0"/>
        <w:rPr>
          <w:color w:val="auto"/>
          <w:szCs w:val="21"/>
          <w:highlight w:val="none"/>
        </w:rPr>
      </w:pPr>
      <w:bookmarkStart w:id="1865" w:name="_Toc513198263"/>
      <w:r>
        <w:rPr>
          <w:rFonts w:hint="eastAsia"/>
          <w:color w:val="auto"/>
          <w:szCs w:val="21"/>
          <w:highlight w:val="none"/>
        </w:rPr>
        <w:t>3. 竣工验收工作范围。</w:t>
      </w:r>
      <w:bookmarkEnd w:id="1865"/>
    </w:p>
    <w:p>
      <w:pPr>
        <w:spacing w:line="440" w:lineRule="exact"/>
        <w:ind w:firstLine="210" w:firstLineChars="100"/>
        <w:rPr>
          <w:color w:val="auto"/>
          <w:szCs w:val="21"/>
          <w:highlight w:val="none"/>
        </w:rPr>
      </w:pPr>
      <w:r>
        <w:rPr>
          <w:rFonts w:hint="eastAsia"/>
          <w:color w:val="auto"/>
          <w:szCs w:val="21"/>
          <w:highlight w:val="none"/>
        </w:rPr>
        <w:t>上述各项目的验收</w:t>
      </w:r>
    </w:p>
    <w:p>
      <w:pPr>
        <w:spacing w:line="440" w:lineRule="exact"/>
        <w:outlineLvl w:val="0"/>
        <w:rPr>
          <w:color w:val="auto"/>
          <w:szCs w:val="21"/>
          <w:highlight w:val="none"/>
        </w:rPr>
      </w:pPr>
      <w:bookmarkStart w:id="1866" w:name="_Toc513198265"/>
      <w:r>
        <w:rPr>
          <w:color w:val="auto"/>
          <w:szCs w:val="21"/>
          <w:highlight w:val="none"/>
        </w:rPr>
        <w:t>4</w:t>
      </w:r>
      <w:r>
        <w:rPr>
          <w:rFonts w:hint="eastAsia"/>
          <w:color w:val="auto"/>
          <w:szCs w:val="21"/>
          <w:highlight w:val="none"/>
        </w:rPr>
        <w:t>. 培训工作范围。</w:t>
      </w:r>
      <w:bookmarkEnd w:id="1866"/>
    </w:p>
    <w:p>
      <w:pPr>
        <w:spacing w:line="440" w:lineRule="exact"/>
        <w:ind w:firstLine="210" w:firstLineChars="100"/>
        <w:rPr>
          <w:color w:val="auto"/>
          <w:szCs w:val="21"/>
          <w:highlight w:val="none"/>
        </w:rPr>
      </w:pPr>
      <w:r>
        <w:rPr>
          <w:rFonts w:hint="eastAsia"/>
          <w:color w:val="auto"/>
          <w:szCs w:val="21"/>
          <w:highlight w:val="none"/>
        </w:rPr>
        <w:t>反力</w:t>
      </w:r>
      <w:r>
        <w:rPr>
          <w:color w:val="auto"/>
          <w:szCs w:val="21"/>
          <w:highlight w:val="none"/>
        </w:rPr>
        <w:t>墙</w:t>
      </w:r>
      <w:r>
        <w:rPr>
          <w:rFonts w:hint="eastAsia"/>
          <w:color w:val="auto"/>
          <w:szCs w:val="21"/>
          <w:highlight w:val="none"/>
        </w:rPr>
        <w:t>的使用与维保培训</w:t>
      </w:r>
    </w:p>
    <w:p>
      <w:pPr>
        <w:spacing w:line="440" w:lineRule="exact"/>
        <w:outlineLvl w:val="0"/>
        <w:rPr>
          <w:color w:val="auto"/>
          <w:szCs w:val="21"/>
          <w:highlight w:val="none"/>
        </w:rPr>
      </w:pPr>
      <w:bookmarkStart w:id="1867" w:name="_Toc513198266"/>
      <w:r>
        <w:rPr>
          <w:color w:val="auto"/>
          <w:szCs w:val="21"/>
          <w:highlight w:val="none"/>
        </w:rPr>
        <w:t>5</w:t>
      </w:r>
      <w:r>
        <w:rPr>
          <w:rFonts w:hint="eastAsia"/>
          <w:color w:val="auto"/>
          <w:szCs w:val="21"/>
          <w:highlight w:val="none"/>
        </w:rPr>
        <w:t>. 保修工作范围。</w:t>
      </w:r>
      <w:bookmarkEnd w:id="1867"/>
    </w:p>
    <w:p>
      <w:pPr>
        <w:spacing w:line="440" w:lineRule="exact"/>
        <w:ind w:firstLine="210" w:firstLineChars="100"/>
        <w:rPr>
          <w:color w:val="auto"/>
          <w:szCs w:val="21"/>
          <w:highlight w:val="none"/>
        </w:rPr>
      </w:pPr>
      <w:r>
        <w:rPr>
          <w:rFonts w:hint="eastAsia"/>
          <w:color w:val="auto"/>
          <w:szCs w:val="21"/>
          <w:highlight w:val="none"/>
        </w:rPr>
        <w:t>具体工作范围详见本项目的《工程质量保修书》</w:t>
      </w:r>
    </w:p>
    <w:p>
      <w:pPr>
        <w:spacing w:line="440" w:lineRule="exact"/>
        <w:outlineLvl w:val="0"/>
        <w:rPr>
          <w:color w:val="auto"/>
          <w:highlight w:val="none"/>
        </w:rPr>
      </w:pPr>
      <w:bookmarkStart w:id="1868" w:name="_Toc513198267"/>
      <w:r>
        <w:rPr>
          <w:rFonts w:hint="eastAsia"/>
          <w:color w:val="auto"/>
          <w:highlight w:val="none"/>
        </w:rPr>
        <w:t>（三）工作界区</w:t>
      </w:r>
      <w:bookmarkEnd w:id="1868"/>
    </w:p>
    <w:p>
      <w:pPr>
        <w:spacing w:line="400" w:lineRule="exact"/>
        <w:outlineLvl w:val="0"/>
        <w:rPr>
          <w:color w:val="auto"/>
          <w:highlight w:val="none"/>
        </w:rPr>
      </w:pPr>
      <w:bookmarkStart w:id="1869" w:name="_Toc513198268"/>
      <w:r>
        <w:rPr>
          <w:rFonts w:hint="eastAsia"/>
          <w:color w:val="auto"/>
          <w:highlight w:val="none"/>
        </w:rPr>
        <w:t>（四）发包人提供的现场条件</w:t>
      </w:r>
      <w:bookmarkEnd w:id="1869"/>
    </w:p>
    <w:p>
      <w:pPr>
        <w:spacing w:line="440" w:lineRule="exact"/>
        <w:rPr>
          <w:color w:val="auto"/>
          <w:highlight w:val="none"/>
        </w:rPr>
      </w:pPr>
      <w:r>
        <w:rPr>
          <w:color w:val="auto"/>
          <w:highlight w:val="none"/>
        </w:rPr>
        <w:t>1.</w:t>
      </w:r>
      <w:r>
        <w:rPr>
          <w:rFonts w:hint="eastAsia"/>
          <w:color w:val="auto"/>
          <w:highlight w:val="none"/>
        </w:rPr>
        <w:t>施工用电：发包人提供施工用电接入点，承包人安装施工用电电表，电费用承包人承担；</w:t>
      </w:r>
    </w:p>
    <w:p>
      <w:pPr>
        <w:spacing w:line="440" w:lineRule="exact"/>
        <w:rPr>
          <w:color w:val="auto"/>
          <w:highlight w:val="none"/>
        </w:rPr>
      </w:pPr>
      <w:r>
        <w:rPr>
          <w:rFonts w:hint="eastAsia"/>
          <w:color w:val="auto"/>
          <w:highlight w:val="none"/>
        </w:rPr>
        <w:t>2. 施工用水：发包人提供施工用水接入点，承包人安装施工用水水表，水费用承包人承担；</w:t>
      </w:r>
    </w:p>
    <w:p>
      <w:pPr>
        <w:spacing w:line="400" w:lineRule="exact"/>
        <w:rPr>
          <w:color w:val="auto"/>
          <w:highlight w:val="none"/>
        </w:rPr>
      </w:pPr>
      <w:r>
        <w:rPr>
          <w:rFonts w:hint="eastAsia"/>
          <w:color w:val="auto"/>
          <w:highlight w:val="none"/>
        </w:rPr>
        <w:t>3. 施工排水：发包人提供施工排水接入点，承包人在将施工排水接入接入点之前，应做好达标排放。</w:t>
      </w:r>
    </w:p>
    <w:p>
      <w:pPr>
        <w:spacing w:line="400" w:lineRule="exact"/>
        <w:rPr>
          <w:color w:val="auto"/>
          <w:highlight w:val="none"/>
        </w:rPr>
      </w:pPr>
      <w:r>
        <w:rPr>
          <w:rFonts w:hint="eastAsia"/>
          <w:color w:val="auto"/>
          <w:highlight w:val="none"/>
        </w:rPr>
        <w:t>（五）发包人提供的技术文件</w:t>
      </w:r>
    </w:p>
    <w:p>
      <w:pPr>
        <w:spacing w:line="440" w:lineRule="exact"/>
        <w:ind w:firstLine="210" w:firstLineChars="100"/>
        <w:rPr>
          <w:color w:val="auto"/>
          <w:highlight w:val="none"/>
        </w:rPr>
      </w:pPr>
      <w:r>
        <w:rPr>
          <w:rFonts w:hint="eastAsia"/>
          <w:color w:val="auto"/>
          <w:highlight w:val="none"/>
        </w:rPr>
        <w:t>除另有批准外，承包人的工作需要遵照发包人的下列技术文件:</w:t>
      </w:r>
    </w:p>
    <w:p>
      <w:pPr>
        <w:spacing w:line="440" w:lineRule="exact"/>
        <w:rPr>
          <w:color w:val="auto"/>
          <w:szCs w:val="21"/>
          <w:highlight w:val="none"/>
        </w:rPr>
      </w:pPr>
      <w:r>
        <w:rPr>
          <w:rFonts w:hint="eastAsia"/>
          <w:color w:val="auto"/>
          <w:szCs w:val="21"/>
          <w:highlight w:val="none"/>
        </w:rPr>
        <w:t>1. 发包人需求任务书。</w:t>
      </w:r>
    </w:p>
    <w:p>
      <w:pPr>
        <w:spacing w:line="440" w:lineRule="exact"/>
        <w:rPr>
          <w:color w:val="auto"/>
          <w:szCs w:val="21"/>
          <w:highlight w:val="none"/>
        </w:rPr>
      </w:pPr>
      <w:r>
        <w:rPr>
          <w:rFonts w:hint="eastAsia"/>
          <w:color w:val="auto"/>
          <w:szCs w:val="21"/>
          <w:highlight w:val="none"/>
        </w:rPr>
        <w:t>2. 发包人已完成的设计文件。</w:t>
      </w:r>
    </w:p>
    <w:p>
      <w:pPr>
        <w:spacing w:line="440" w:lineRule="exact"/>
        <w:rPr>
          <w:rFonts w:ascii="黑体" w:eastAsia="黑体"/>
          <w:color w:val="auto"/>
          <w:szCs w:val="21"/>
          <w:highlight w:val="none"/>
        </w:rPr>
      </w:pPr>
      <w:r>
        <w:rPr>
          <w:rFonts w:hint="eastAsia" w:ascii="黑体" w:eastAsia="黑体"/>
          <w:color w:val="auto"/>
          <w:szCs w:val="21"/>
          <w:highlight w:val="none"/>
        </w:rPr>
        <w:t>三、工艺安排或要求（如有）</w:t>
      </w:r>
    </w:p>
    <w:p>
      <w:pPr>
        <w:spacing w:line="440" w:lineRule="exact"/>
        <w:rPr>
          <w:rFonts w:ascii="黑体" w:eastAsia="黑体"/>
          <w:color w:val="auto"/>
          <w:szCs w:val="21"/>
          <w:highlight w:val="none"/>
        </w:rPr>
      </w:pPr>
      <w:r>
        <w:rPr>
          <w:rFonts w:hint="eastAsia" w:ascii="黑体" w:eastAsia="黑体"/>
          <w:color w:val="auto"/>
          <w:szCs w:val="21"/>
          <w:highlight w:val="none"/>
        </w:rPr>
        <w:t>四、时间要求</w:t>
      </w:r>
    </w:p>
    <w:p>
      <w:pPr>
        <w:spacing w:line="440" w:lineRule="exact"/>
        <w:rPr>
          <w:color w:val="auto"/>
          <w:szCs w:val="21"/>
          <w:highlight w:val="none"/>
        </w:rPr>
      </w:pPr>
      <w:r>
        <w:rPr>
          <w:rFonts w:hint="eastAsia"/>
          <w:color w:val="auto"/>
          <w:szCs w:val="21"/>
          <w:highlight w:val="none"/>
        </w:rPr>
        <w:t>（一）开始工作时间</w:t>
      </w:r>
      <w:r>
        <w:rPr>
          <w:rFonts w:hint="eastAsia"/>
          <w:color w:val="auto"/>
          <w:szCs w:val="21"/>
          <w:highlight w:val="none"/>
          <w:u w:val="single"/>
        </w:rPr>
        <w:t xml:space="preserve"> ：</w:t>
      </w:r>
      <w:r>
        <w:rPr>
          <w:color w:val="auto"/>
          <w:szCs w:val="21"/>
          <w:highlight w:val="none"/>
          <w:u w:val="single"/>
        </w:rPr>
        <w:t>以</w:t>
      </w:r>
      <w:r>
        <w:rPr>
          <w:rFonts w:hint="eastAsia"/>
          <w:color w:val="auto"/>
          <w:szCs w:val="21"/>
          <w:highlight w:val="none"/>
          <w:u w:val="single"/>
        </w:rPr>
        <w:t>签订</w:t>
      </w:r>
      <w:r>
        <w:rPr>
          <w:color w:val="auto"/>
          <w:szCs w:val="21"/>
          <w:highlight w:val="none"/>
          <w:u w:val="single"/>
        </w:rPr>
        <w:t>合同为</w:t>
      </w:r>
      <w:r>
        <w:rPr>
          <w:rFonts w:hint="eastAsia"/>
          <w:color w:val="auto"/>
          <w:szCs w:val="21"/>
          <w:highlight w:val="none"/>
          <w:u w:val="single"/>
        </w:rPr>
        <w:t>准</w:t>
      </w:r>
      <w:r>
        <w:rPr>
          <w:color w:val="auto"/>
          <w:szCs w:val="21"/>
          <w:highlight w:val="none"/>
          <w:u w:val="single"/>
        </w:rPr>
        <w:t>。</w:t>
      </w:r>
    </w:p>
    <w:p>
      <w:pPr>
        <w:spacing w:line="440" w:lineRule="exact"/>
        <w:rPr>
          <w:color w:val="auto"/>
          <w:szCs w:val="21"/>
          <w:highlight w:val="none"/>
          <w:u w:val="single"/>
        </w:rPr>
      </w:pPr>
      <w:r>
        <w:rPr>
          <w:rFonts w:hint="eastAsia"/>
          <w:color w:val="auto"/>
          <w:szCs w:val="21"/>
          <w:highlight w:val="none"/>
        </w:rPr>
        <w:t xml:space="preserve">（二）设计完成时间  </w:t>
      </w:r>
      <w:r>
        <w:rPr>
          <w:rFonts w:hint="eastAsia"/>
          <w:color w:val="auto"/>
          <w:szCs w:val="21"/>
          <w:highlight w:val="none"/>
          <w:u w:val="single"/>
        </w:rPr>
        <w:t>合同签订</w:t>
      </w:r>
      <w:r>
        <w:rPr>
          <w:color w:val="auto"/>
          <w:szCs w:val="21"/>
          <w:highlight w:val="none"/>
          <w:u w:val="single"/>
        </w:rPr>
        <w:t>后</w:t>
      </w:r>
      <w:r>
        <w:rPr>
          <w:rFonts w:hint="eastAsia"/>
          <w:color w:val="auto"/>
          <w:szCs w:val="21"/>
          <w:highlight w:val="none"/>
          <w:u w:val="single"/>
        </w:rPr>
        <w:t>30个</w:t>
      </w:r>
      <w:r>
        <w:rPr>
          <w:color w:val="auto"/>
          <w:szCs w:val="21"/>
          <w:highlight w:val="none"/>
          <w:u w:val="single"/>
        </w:rPr>
        <w:t>工作日内。</w:t>
      </w:r>
    </w:p>
    <w:p>
      <w:pPr>
        <w:spacing w:line="440" w:lineRule="exact"/>
        <w:rPr>
          <w:color w:val="auto"/>
          <w:szCs w:val="21"/>
          <w:highlight w:val="none"/>
        </w:rPr>
      </w:pPr>
      <w:r>
        <w:rPr>
          <w:rFonts w:hint="eastAsia"/>
          <w:color w:val="auto"/>
          <w:szCs w:val="21"/>
          <w:highlight w:val="none"/>
        </w:rPr>
        <w:t>（三）进度计划</w:t>
      </w:r>
      <w:r>
        <w:rPr>
          <w:rFonts w:hint="eastAsia"/>
          <w:color w:val="auto"/>
          <w:szCs w:val="21"/>
          <w:highlight w:val="none"/>
          <w:u w:val="single"/>
        </w:rPr>
        <w:t xml:space="preserve"> 总工期（自</w:t>
      </w:r>
      <w:r>
        <w:rPr>
          <w:color w:val="auto"/>
          <w:szCs w:val="21"/>
          <w:highlight w:val="none"/>
          <w:u w:val="single"/>
        </w:rPr>
        <w:t>招</w:t>
      </w:r>
      <w:r>
        <w:rPr>
          <w:rFonts w:hint="eastAsia"/>
          <w:color w:val="auto"/>
          <w:szCs w:val="21"/>
          <w:highlight w:val="none"/>
          <w:u w:val="single"/>
        </w:rPr>
        <w:t>标</w:t>
      </w:r>
      <w:r>
        <w:rPr>
          <w:color w:val="auto"/>
          <w:szCs w:val="21"/>
          <w:highlight w:val="none"/>
          <w:u w:val="single"/>
        </w:rPr>
        <w:t>人发出项目实施通知之日至工程交付日期间的工期，包括设计工期、施工工期、验收工期、办理相关手续的工期）</w:t>
      </w:r>
      <w:r>
        <w:rPr>
          <w:rFonts w:hint="eastAsia"/>
          <w:color w:val="auto"/>
          <w:szCs w:val="21"/>
          <w:highlight w:val="none"/>
          <w:u w:val="single"/>
        </w:rPr>
        <w:t>为2</w:t>
      </w:r>
      <w:r>
        <w:rPr>
          <w:color w:val="auto"/>
          <w:szCs w:val="21"/>
          <w:highlight w:val="none"/>
          <w:u w:val="single"/>
        </w:rPr>
        <w:t>7</w:t>
      </w:r>
      <w:r>
        <w:rPr>
          <w:rFonts w:hint="eastAsia"/>
          <w:color w:val="auto"/>
          <w:szCs w:val="21"/>
          <w:highlight w:val="none"/>
          <w:u w:val="single"/>
        </w:rPr>
        <w:t>0日历</w:t>
      </w:r>
      <w:r>
        <w:rPr>
          <w:color w:val="auto"/>
          <w:szCs w:val="21"/>
          <w:highlight w:val="none"/>
          <w:u w:val="single"/>
        </w:rPr>
        <w:t>天，其中设计工期</w:t>
      </w:r>
      <w:r>
        <w:rPr>
          <w:rFonts w:hint="eastAsia"/>
          <w:color w:val="auto"/>
          <w:szCs w:val="21"/>
          <w:highlight w:val="none"/>
          <w:u w:val="single"/>
        </w:rPr>
        <w:t>30日历天</w:t>
      </w:r>
      <w:r>
        <w:rPr>
          <w:color w:val="auto"/>
          <w:szCs w:val="21"/>
          <w:highlight w:val="none"/>
          <w:u w:val="single"/>
        </w:rPr>
        <w:t>，施工及其他事宜工期24</w:t>
      </w:r>
      <w:r>
        <w:rPr>
          <w:rFonts w:hint="eastAsia"/>
          <w:color w:val="auto"/>
          <w:szCs w:val="21"/>
          <w:highlight w:val="none"/>
          <w:u w:val="single"/>
        </w:rPr>
        <w:t>0日历</w:t>
      </w:r>
      <w:r>
        <w:rPr>
          <w:color w:val="auto"/>
          <w:szCs w:val="21"/>
          <w:highlight w:val="none"/>
          <w:u w:val="single"/>
        </w:rPr>
        <w:t>天。</w:t>
      </w:r>
    </w:p>
    <w:p>
      <w:pPr>
        <w:spacing w:line="440" w:lineRule="exact"/>
        <w:rPr>
          <w:color w:val="auto"/>
          <w:szCs w:val="21"/>
          <w:highlight w:val="none"/>
        </w:rPr>
      </w:pPr>
      <w:r>
        <w:rPr>
          <w:rFonts w:hint="eastAsia"/>
          <w:color w:val="auto"/>
          <w:szCs w:val="21"/>
          <w:highlight w:val="none"/>
        </w:rPr>
        <w:t>（四）竣工时间</w:t>
      </w:r>
    </w:p>
    <w:p>
      <w:pPr>
        <w:spacing w:line="440" w:lineRule="exact"/>
        <w:ind w:firstLine="210" w:firstLineChars="100"/>
        <w:rPr>
          <w:color w:val="auto"/>
          <w:szCs w:val="21"/>
          <w:highlight w:val="none"/>
        </w:rPr>
      </w:pPr>
      <w:r>
        <w:rPr>
          <w:rFonts w:hint="eastAsia"/>
          <w:color w:val="auto"/>
          <w:szCs w:val="21"/>
          <w:highlight w:val="none"/>
        </w:rPr>
        <w:t xml:space="preserve">本项目工期 </w:t>
      </w:r>
      <w:r>
        <w:rPr>
          <w:color w:val="auto"/>
          <w:szCs w:val="21"/>
          <w:highlight w:val="none"/>
        </w:rPr>
        <w:t>270</w:t>
      </w:r>
      <w:r>
        <w:rPr>
          <w:rFonts w:hint="eastAsia"/>
          <w:color w:val="auto"/>
          <w:szCs w:val="21"/>
          <w:highlight w:val="none"/>
        </w:rPr>
        <w:t>个日历天，竣工时间以开工时间顺延2</w:t>
      </w:r>
      <w:r>
        <w:rPr>
          <w:color w:val="auto"/>
          <w:szCs w:val="21"/>
          <w:highlight w:val="none"/>
        </w:rPr>
        <w:t>7</w:t>
      </w:r>
      <w:r>
        <w:rPr>
          <w:rFonts w:hint="eastAsia"/>
          <w:color w:val="auto"/>
          <w:szCs w:val="21"/>
          <w:highlight w:val="none"/>
        </w:rPr>
        <w:t>0日历天。</w:t>
      </w:r>
    </w:p>
    <w:p>
      <w:pPr>
        <w:spacing w:line="440" w:lineRule="exact"/>
        <w:rPr>
          <w:color w:val="auto"/>
          <w:szCs w:val="21"/>
          <w:highlight w:val="none"/>
        </w:rPr>
      </w:pPr>
      <w:r>
        <w:rPr>
          <w:rFonts w:hint="eastAsia"/>
          <w:color w:val="auto"/>
          <w:szCs w:val="21"/>
          <w:highlight w:val="none"/>
        </w:rPr>
        <w:t>（五）缺陷责任期。</w:t>
      </w:r>
    </w:p>
    <w:p>
      <w:pPr>
        <w:spacing w:line="440" w:lineRule="exact"/>
        <w:ind w:firstLine="210" w:firstLineChars="100"/>
        <w:rPr>
          <w:color w:val="auto"/>
          <w:szCs w:val="21"/>
          <w:highlight w:val="none"/>
        </w:rPr>
      </w:pPr>
      <w:r>
        <w:rPr>
          <w:rFonts w:hint="eastAsia"/>
          <w:color w:val="auto"/>
          <w:szCs w:val="21"/>
          <w:highlight w:val="none"/>
        </w:rPr>
        <w:t>24个月。</w:t>
      </w:r>
    </w:p>
    <w:p>
      <w:pPr>
        <w:spacing w:line="440" w:lineRule="exact"/>
        <w:rPr>
          <w:color w:val="auto"/>
          <w:szCs w:val="21"/>
          <w:highlight w:val="none"/>
          <w:u w:val="single"/>
        </w:rPr>
      </w:pPr>
      <w:r>
        <w:rPr>
          <w:rFonts w:hint="eastAsia"/>
          <w:color w:val="auto"/>
          <w:szCs w:val="21"/>
          <w:highlight w:val="none"/>
        </w:rPr>
        <w:t>（六）其他时间要求。</w:t>
      </w:r>
      <w:r>
        <w:rPr>
          <w:color w:val="auto"/>
          <w:szCs w:val="21"/>
          <w:highlight w:val="none"/>
          <w:u w:val="single"/>
        </w:rPr>
        <w:t>/</w:t>
      </w:r>
    </w:p>
    <w:p>
      <w:pPr>
        <w:spacing w:line="440" w:lineRule="exact"/>
        <w:rPr>
          <w:rFonts w:ascii="黑体" w:eastAsia="黑体"/>
          <w:color w:val="auto"/>
          <w:szCs w:val="21"/>
          <w:highlight w:val="none"/>
        </w:rPr>
      </w:pPr>
      <w:r>
        <w:rPr>
          <w:rFonts w:hint="eastAsia" w:ascii="黑体" w:eastAsia="黑体"/>
          <w:color w:val="auto"/>
          <w:szCs w:val="21"/>
          <w:highlight w:val="none"/>
        </w:rPr>
        <w:t>五、技术要求</w:t>
      </w:r>
    </w:p>
    <w:p>
      <w:pPr>
        <w:spacing w:line="440" w:lineRule="exact"/>
        <w:rPr>
          <w:color w:val="auto"/>
          <w:szCs w:val="21"/>
          <w:highlight w:val="none"/>
        </w:rPr>
      </w:pPr>
      <w:r>
        <w:rPr>
          <w:rFonts w:hint="eastAsia"/>
          <w:color w:val="auto"/>
          <w:szCs w:val="21"/>
          <w:highlight w:val="none"/>
        </w:rPr>
        <w:t>（一）设计阶段和设计任务。</w:t>
      </w:r>
    </w:p>
    <w:p>
      <w:pPr>
        <w:spacing w:line="440" w:lineRule="exact"/>
        <w:ind w:firstLine="210" w:firstLineChars="100"/>
        <w:rPr>
          <w:color w:val="auto"/>
          <w:szCs w:val="21"/>
          <w:highlight w:val="none"/>
        </w:rPr>
      </w:pPr>
      <w:r>
        <w:rPr>
          <w:rFonts w:hint="eastAsia"/>
          <w:color w:val="auto"/>
          <w:szCs w:val="21"/>
          <w:highlight w:val="none"/>
        </w:rPr>
        <w:t>建筑</w:t>
      </w:r>
      <w:r>
        <w:rPr>
          <w:color w:val="auto"/>
          <w:szCs w:val="21"/>
          <w:highlight w:val="none"/>
        </w:rPr>
        <w:t>与工程学院结构实验室附</w:t>
      </w:r>
      <w:r>
        <w:rPr>
          <w:rFonts w:hint="eastAsia"/>
          <w:color w:val="auto"/>
          <w:szCs w:val="21"/>
          <w:highlight w:val="none"/>
        </w:rPr>
        <w:t>属</w:t>
      </w:r>
      <w:r>
        <w:rPr>
          <w:color w:val="auto"/>
          <w:szCs w:val="21"/>
          <w:highlight w:val="none"/>
        </w:rPr>
        <w:t>设备基础</w:t>
      </w:r>
      <w:r>
        <w:rPr>
          <w:rFonts w:hint="eastAsia"/>
          <w:color w:val="auto"/>
          <w:szCs w:val="21"/>
          <w:highlight w:val="none"/>
        </w:rPr>
        <w:t>的</w:t>
      </w:r>
      <w:r>
        <w:rPr>
          <w:color w:val="auto"/>
          <w:szCs w:val="21"/>
          <w:highlight w:val="none"/>
        </w:rPr>
        <w:t>设计</w:t>
      </w:r>
      <w:r>
        <w:rPr>
          <w:rFonts w:hint="eastAsia"/>
          <w:color w:val="auto"/>
          <w:szCs w:val="21"/>
          <w:highlight w:val="none"/>
        </w:rPr>
        <w:t>，</w:t>
      </w:r>
      <w:r>
        <w:rPr>
          <w:color w:val="auto"/>
          <w:szCs w:val="21"/>
          <w:highlight w:val="none"/>
        </w:rPr>
        <w:t>设计要求详见附件</w:t>
      </w:r>
      <w:r>
        <w:rPr>
          <w:rFonts w:hint="eastAsia"/>
          <w:color w:val="auto"/>
          <w:szCs w:val="21"/>
          <w:highlight w:val="none"/>
        </w:rPr>
        <w:t>《</w:t>
      </w:r>
      <w:r>
        <w:rPr>
          <w:color w:val="auto"/>
          <w:szCs w:val="21"/>
          <w:highlight w:val="none"/>
        </w:rPr>
        <w:t>设计任务书</w:t>
      </w:r>
      <w:r>
        <w:rPr>
          <w:rFonts w:hint="eastAsia"/>
          <w:color w:val="auto"/>
          <w:szCs w:val="21"/>
          <w:highlight w:val="none"/>
        </w:rPr>
        <w:t>》</w:t>
      </w:r>
    </w:p>
    <w:p>
      <w:pPr>
        <w:spacing w:line="440" w:lineRule="exact"/>
        <w:rPr>
          <w:color w:val="auto"/>
          <w:szCs w:val="21"/>
          <w:highlight w:val="none"/>
        </w:rPr>
      </w:pPr>
      <w:r>
        <w:rPr>
          <w:rFonts w:hint="eastAsia"/>
          <w:color w:val="auto"/>
          <w:szCs w:val="21"/>
          <w:highlight w:val="none"/>
        </w:rPr>
        <w:t>（二）设计标准和规范。</w:t>
      </w:r>
    </w:p>
    <w:p>
      <w:pPr>
        <w:spacing w:line="440" w:lineRule="exact"/>
        <w:rPr>
          <w:color w:val="auto"/>
          <w:szCs w:val="21"/>
          <w:highlight w:val="none"/>
        </w:rPr>
      </w:pPr>
      <w:r>
        <w:rPr>
          <w:rFonts w:hint="eastAsia"/>
          <w:color w:val="auto"/>
          <w:szCs w:val="21"/>
          <w:highlight w:val="none"/>
        </w:rPr>
        <w:t>1、《民用建筑设计通则》（GB 50352-2005）</w:t>
      </w:r>
    </w:p>
    <w:p>
      <w:pPr>
        <w:spacing w:line="440" w:lineRule="exact"/>
        <w:rPr>
          <w:color w:val="auto"/>
          <w:szCs w:val="21"/>
          <w:highlight w:val="none"/>
        </w:rPr>
      </w:pPr>
      <w:r>
        <w:rPr>
          <w:color w:val="auto"/>
          <w:szCs w:val="21"/>
          <w:highlight w:val="none"/>
        </w:rPr>
        <w:t>2</w:t>
      </w:r>
      <w:r>
        <w:rPr>
          <w:rFonts w:hint="eastAsia"/>
          <w:color w:val="auto"/>
          <w:szCs w:val="21"/>
          <w:highlight w:val="none"/>
        </w:rPr>
        <w:t>、《公共建筑节能设计标准》（GB50189-2015）</w:t>
      </w:r>
    </w:p>
    <w:p>
      <w:pPr>
        <w:spacing w:line="440" w:lineRule="exact"/>
        <w:rPr>
          <w:color w:val="auto"/>
          <w:szCs w:val="21"/>
          <w:highlight w:val="none"/>
        </w:rPr>
      </w:pPr>
      <w:r>
        <w:rPr>
          <w:color w:val="auto"/>
          <w:szCs w:val="21"/>
          <w:highlight w:val="none"/>
        </w:rPr>
        <w:t>3</w:t>
      </w:r>
      <w:r>
        <w:rPr>
          <w:rFonts w:hint="eastAsia"/>
          <w:color w:val="auto"/>
          <w:szCs w:val="21"/>
          <w:highlight w:val="none"/>
        </w:rPr>
        <w:t>、《广西公共建筑节能设计规范》（DBJ45/042-2017）</w:t>
      </w:r>
    </w:p>
    <w:p>
      <w:pPr>
        <w:spacing w:line="440" w:lineRule="exact"/>
        <w:rPr>
          <w:color w:val="auto"/>
          <w:szCs w:val="21"/>
          <w:highlight w:val="none"/>
        </w:rPr>
      </w:pPr>
      <w:r>
        <w:rPr>
          <w:color w:val="auto"/>
          <w:szCs w:val="21"/>
          <w:highlight w:val="none"/>
        </w:rPr>
        <w:t>4</w:t>
      </w:r>
      <w:r>
        <w:rPr>
          <w:rFonts w:hint="eastAsia"/>
          <w:color w:val="auto"/>
          <w:szCs w:val="21"/>
          <w:highlight w:val="none"/>
        </w:rPr>
        <w:t>、《建筑结构可靠度设计统一标准》（GB</w:t>
      </w:r>
      <w:r>
        <w:rPr>
          <w:color w:val="auto"/>
          <w:szCs w:val="21"/>
          <w:highlight w:val="none"/>
        </w:rPr>
        <w:t>50068</w:t>
      </w:r>
      <w:r>
        <w:rPr>
          <w:rFonts w:hint="eastAsia"/>
          <w:color w:val="auto"/>
          <w:szCs w:val="21"/>
          <w:highlight w:val="none"/>
        </w:rPr>
        <w:t>-</w:t>
      </w:r>
      <w:r>
        <w:rPr>
          <w:color w:val="auto"/>
          <w:szCs w:val="21"/>
          <w:highlight w:val="none"/>
        </w:rPr>
        <w:t>2001</w:t>
      </w:r>
      <w:r>
        <w:rPr>
          <w:rFonts w:hint="eastAsia"/>
          <w:color w:val="auto"/>
          <w:szCs w:val="21"/>
          <w:highlight w:val="none"/>
        </w:rPr>
        <w:t>）</w:t>
      </w:r>
    </w:p>
    <w:p>
      <w:pPr>
        <w:spacing w:line="440" w:lineRule="exact"/>
        <w:rPr>
          <w:color w:val="auto"/>
          <w:szCs w:val="21"/>
          <w:highlight w:val="none"/>
        </w:rPr>
      </w:pPr>
      <w:r>
        <w:rPr>
          <w:color w:val="auto"/>
          <w:szCs w:val="21"/>
          <w:highlight w:val="none"/>
        </w:rPr>
        <w:t>5</w:t>
      </w:r>
      <w:r>
        <w:rPr>
          <w:rFonts w:hint="eastAsia"/>
          <w:color w:val="auto"/>
          <w:szCs w:val="21"/>
          <w:highlight w:val="none"/>
        </w:rPr>
        <w:t>、《工程结构可靠性设计统一标准》（GB50153-2008）</w:t>
      </w:r>
    </w:p>
    <w:p>
      <w:pPr>
        <w:spacing w:line="440" w:lineRule="exact"/>
        <w:rPr>
          <w:color w:val="auto"/>
          <w:szCs w:val="21"/>
          <w:highlight w:val="none"/>
        </w:rPr>
      </w:pPr>
      <w:r>
        <w:rPr>
          <w:color w:val="auto"/>
          <w:szCs w:val="21"/>
          <w:highlight w:val="none"/>
        </w:rPr>
        <w:t>6</w:t>
      </w:r>
      <w:r>
        <w:rPr>
          <w:rFonts w:hint="eastAsia"/>
          <w:color w:val="auto"/>
          <w:szCs w:val="21"/>
          <w:highlight w:val="none"/>
        </w:rPr>
        <w:t>、《建筑结构荷载规范》（GB</w:t>
      </w:r>
      <w:r>
        <w:rPr>
          <w:color w:val="auto"/>
          <w:szCs w:val="21"/>
          <w:highlight w:val="none"/>
        </w:rPr>
        <w:t>50009</w:t>
      </w:r>
      <w:r>
        <w:rPr>
          <w:rFonts w:hint="eastAsia"/>
          <w:color w:val="auto"/>
          <w:szCs w:val="21"/>
          <w:highlight w:val="none"/>
        </w:rPr>
        <w:t>-</w:t>
      </w:r>
      <w:r>
        <w:rPr>
          <w:color w:val="auto"/>
          <w:szCs w:val="21"/>
          <w:highlight w:val="none"/>
        </w:rPr>
        <w:t>20</w:t>
      </w:r>
      <w:r>
        <w:rPr>
          <w:rFonts w:hint="eastAsia"/>
          <w:color w:val="auto"/>
          <w:szCs w:val="21"/>
          <w:highlight w:val="none"/>
        </w:rPr>
        <w:t>12）</w:t>
      </w:r>
    </w:p>
    <w:p>
      <w:pPr>
        <w:spacing w:line="440" w:lineRule="exact"/>
        <w:rPr>
          <w:color w:val="auto"/>
          <w:szCs w:val="21"/>
          <w:highlight w:val="none"/>
        </w:rPr>
      </w:pPr>
      <w:r>
        <w:rPr>
          <w:color w:val="auto"/>
          <w:szCs w:val="21"/>
          <w:highlight w:val="none"/>
        </w:rPr>
        <w:t>7</w:t>
      </w:r>
      <w:r>
        <w:rPr>
          <w:rFonts w:hint="eastAsia"/>
          <w:color w:val="auto"/>
          <w:szCs w:val="21"/>
          <w:highlight w:val="none"/>
        </w:rPr>
        <w:t>、《混凝土结构设计规范》（GB</w:t>
      </w:r>
      <w:r>
        <w:rPr>
          <w:color w:val="auto"/>
          <w:szCs w:val="21"/>
          <w:highlight w:val="none"/>
        </w:rPr>
        <w:t>50010</w:t>
      </w:r>
      <w:r>
        <w:rPr>
          <w:rFonts w:hint="eastAsia"/>
          <w:color w:val="auto"/>
          <w:szCs w:val="21"/>
          <w:highlight w:val="none"/>
        </w:rPr>
        <w:t>-</w:t>
      </w:r>
      <w:r>
        <w:rPr>
          <w:color w:val="auto"/>
          <w:szCs w:val="21"/>
          <w:highlight w:val="none"/>
        </w:rPr>
        <w:t>20</w:t>
      </w:r>
      <w:r>
        <w:rPr>
          <w:rFonts w:hint="eastAsia"/>
          <w:color w:val="auto"/>
          <w:szCs w:val="21"/>
          <w:highlight w:val="none"/>
        </w:rPr>
        <w:t>10）（2015年版）</w:t>
      </w:r>
    </w:p>
    <w:p>
      <w:pPr>
        <w:spacing w:line="440" w:lineRule="exact"/>
        <w:rPr>
          <w:color w:val="auto"/>
          <w:szCs w:val="21"/>
          <w:highlight w:val="none"/>
        </w:rPr>
      </w:pPr>
      <w:r>
        <w:rPr>
          <w:color w:val="auto"/>
          <w:szCs w:val="21"/>
          <w:highlight w:val="none"/>
        </w:rPr>
        <w:t>8</w:t>
      </w:r>
      <w:r>
        <w:rPr>
          <w:rFonts w:hint="eastAsia"/>
          <w:color w:val="auto"/>
          <w:szCs w:val="21"/>
          <w:highlight w:val="none"/>
        </w:rPr>
        <w:t>、《建筑工程抗震设防分类标准》</w:t>
      </w:r>
      <w:r>
        <w:rPr>
          <w:color w:val="auto"/>
          <w:szCs w:val="21"/>
          <w:highlight w:val="none"/>
        </w:rPr>
        <w:t>(GB50223-2008)</w:t>
      </w:r>
    </w:p>
    <w:p>
      <w:pPr>
        <w:spacing w:line="440" w:lineRule="exact"/>
        <w:rPr>
          <w:color w:val="auto"/>
          <w:szCs w:val="21"/>
          <w:highlight w:val="none"/>
        </w:rPr>
      </w:pPr>
      <w:r>
        <w:rPr>
          <w:color w:val="auto"/>
          <w:szCs w:val="21"/>
          <w:highlight w:val="none"/>
        </w:rPr>
        <w:t>9</w:t>
      </w:r>
      <w:r>
        <w:rPr>
          <w:rFonts w:hint="eastAsia"/>
          <w:color w:val="auto"/>
          <w:szCs w:val="21"/>
          <w:highlight w:val="none"/>
        </w:rPr>
        <w:t>、《建筑抗震设计规范》（GB50011-2010）（2016年版）</w:t>
      </w:r>
    </w:p>
    <w:p>
      <w:pPr>
        <w:spacing w:line="440" w:lineRule="exact"/>
        <w:rPr>
          <w:color w:val="auto"/>
          <w:szCs w:val="21"/>
          <w:highlight w:val="none"/>
        </w:rPr>
      </w:pPr>
      <w:r>
        <w:rPr>
          <w:color w:val="auto"/>
          <w:szCs w:val="21"/>
          <w:highlight w:val="none"/>
        </w:rPr>
        <w:t>10</w:t>
      </w:r>
      <w:r>
        <w:rPr>
          <w:rFonts w:hint="eastAsia"/>
          <w:color w:val="auto"/>
          <w:szCs w:val="21"/>
          <w:highlight w:val="none"/>
        </w:rPr>
        <w:t>、《建筑地基基础设计规范》（GB50007-2011）</w:t>
      </w:r>
    </w:p>
    <w:p>
      <w:pPr>
        <w:spacing w:line="440" w:lineRule="exact"/>
        <w:rPr>
          <w:color w:val="auto"/>
          <w:szCs w:val="21"/>
          <w:highlight w:val="none"/>
        </w:rPr>
      </w:pPr>
      <w:r>
        <w:rPr>
          <w:color w:val="auto"/>
          <w:szCs w:val="21"/>
          <w:highlight w:val="none"/>
        </w:rPr>
        <w:t>11</w:t>
      </w:r>
      <w:r>
        <w:rPr>
          <w:rFonts w:hint="eastAsia"/>
          <w:color w:val="auto"/>
          <w:szCs w:val="21"/>
          <w:highlight w:val="none"/>
        </w:rPr>
        <w:t>、《混凝土结构耐久性设计规范》（GB/T50476-2008）</w:t>
      </w:r>
    </w:p>
    <w:p>
      <w:pPr>
        <w:spacing w:line="440" w:lineRule="exact"/>
        <w:rPr>
          <w:color w:val="auto"/>
          <w:szCs w:val="21"/>
          <w:highlight w:val="none"/>
        </w:rPr>
      </w:pPr>
      <w:r>
        <w:rPr>
          <w:color w:val="auto"/>
          <w:szCs w:val="21"/>
          <w:highlight w:val="none"/>
        </w:rPr>
        <w:t>12</w:t>
      </w:r>
      <w:r>
        <w:rPr>
          <w:rFonts w:hint="eastAsia"/>
          <w:color w:val="auto"/>
          <w:szCs w:val="21"/>
          <w:highlight w:val="none"/>
        </w:rPr>
        <w:t>、《砌体结构设计规范》（GB50003-2011）</w:t>
      </w:r>
    </w:p>
    <w:p>
      <w:pPr>
        <w:spacing w:line="440" w:lineRule="exact"/>
        <w:rPr>
          <w:color w:val="auto"/>
          <w:szCs w:val="21"/>
          <w:highlight w:val="none"/>
        </w:rPr>
      </w:pPr>
      <w:r>
        <w:rPr>
          <w:color w:val="auto"/>
          <w:szCs w:val="21"/>
          <w:highlight w:val="none"/>
        </w:rPr>
        <w:t>13</w:t>
      </w:r>
      <w:r>
        <w:rPr>
          <w:rFonts w:hint="eastAsia"/>
          <w:color w:val="auto"/>
          <w:szCs w:val="21"/>
          <w:highlight w:val="none"/>
        </w:rPr>
        <w:t>、《地下工程防水技术规范》（GB50108-2008）</w:t>
      </w:r>
    </w:p>
    <w:p>
      <w:pPr>
        <w:spacing w:line="440" w:lineRule="exact"/>
        <w:rPr>
          <w:color w:val="auto"/>
          <w:szCs w:val="21"/>
          <w:highlight w:val="none"/>
        </w:rPr>
      </w:pPr>
      <w:r>
        <w:rPr>
          <w:color w:val="auto"/>
          <w:szCs w:val="21"/>
          <w:highlight w:val="none"/>
        </w:rPr>
        <w:t>14</w:t>
      </w:r>
      <w:r>
        <w:rPr>
          <w:rFonts w:hint="eastAsia"/>
          <w:color w:val="auto"/>
          <w:szCs w:val="21"/>
          <w:highlight w:val="none"/>
        </w:rPr>
        <w:t>、《建筑给排水设计规范》（GBJ 50015－2003）（2009年版）</w:t>
      </w:r>
    </w:p>
    <w:p>
      <w:pPr>
        <w:spacing w:line="440" w:lineRule="exact"/>
        <w:rPr>
          <w:color w:val="auto"/>
          <w:szCs w:val="21"/>
          <w:highlight w:val="none"/>
        </w:rPr>
      </w:pPr>
      <w:r>
        <w:rPr>
          <w:color w:val="auto"/>
          <w:szCs w:val="21"/>
          <w:highlight w:val="none"/>
        </w:rPr>
        <w:t>15</w:t>
      </w:r>
      <w:r>
        <w:rPr>
          <w:rFonts w:hint="eastAsia"/>
          <w:color w:val="auto"/>
          <w:szCs w:val="21"/>
          <w:highlight w:val="none"/>
        </w:rPr>
        <w:t>、《民用建筑电气设计规范》（JGJ16-2008）</w:t>
      </w:r>
    </w:p>
    <w:p>
      <w:pPr>
        <w:spacing w:line="440" w:lineRule="exact"/>
        <w:rPr>
          <w:color w:val="auto"/>
          <w:szCs w:val="21"/>
          <w:highlight w:val="none"/>
        </w:rPr>
      </w:pPr>
      <w:r>
        <w:rPr>
          <w:color w:val="auto"/>
          <w:szCs w:val="21"/>
          <w:highlight w:val="none"/>
        </w:rPr>
        <w:t>16</w:t>
      </w:r>
      <w:r>
        <w:rPr>
          <w:rFonts w:hint="eastAsia"/>
          <w:color w:val="auto"/>
          <w:szCs w:val="21"/>
          <w:highlight w:val="none"/>
        </w:rPr>
        <w:t>、《供配电系统设计规范》（GB50052-2009）</w:t>
      </w:r>
    </w:p>
    <w:p>
      <w:pPr>
        <w:spacing w:line="440" w:lineRule="exact"/>
        <w:rPr>
          <w:color w:val="auto"/>
          <w:szCs w:val="21"/>
          <w:highlight w:val="none"/>
        </w:rPr>
      </w:pPr>
      <w:r>
        <w:rPr>
          <w:color w:val="auto"/>
          <w:szCs w:val="21"/>
          <w:highlight w:val="none"/>
        </w:rPr>
        <w:t>17</w:t>
      </w:r>
      <w:r>
        <w:rPr>
          <w:rFonts w:hint="eastAsia"/>
          <w:color w:val="auto"/>
          <w:szCs w:val="21"/>
          <w:highlight w:val="none"/>
        </w:rPr>
        <w:t xml:space="preserve">、《建筑物防雷设计规范》（GB50057-2010） </w:t>
      </w:r>
    </w:p>
    <w:p>
      <w:pPr>
        <w:spacing w:line="440" w:lineRule="exact"/>
        <w:rPr>
          <w:color w:val="auto"/>
          <w:szCs w:val="21"/>
          <w:highlight w:val="none"/>
        </w:rPr>
      </w:pPr>
      <w:r>
        <w:rPr>
          <w:color w:val="auto"/>
          <w:szCs w:val="21"/>
          <w:highlight w:val="none"/>
        </w:rPr>
        <w:t>18</w:t>
      </w:r>
      <w:r>
        <w:rPr>
          <w:rFonts w:hint="eastAsia"/>
          <w:color w:val="auto"/>
          <w:szCs w:val="21"/>
          <w:highlight w:val="none"/>
        </w:rPr>
        <w:t>、《建筑照明设计标准》（GB50034-2013）</w:t>
      </w:r>
    </w:p>
    <w:p>
      <w:pPr>
        <w:spacing w:line="440" w:lineRule="exact"/>
        <w:rPr>
          <w:color w:val="auto"/>
          <w:szCs w:val="21"/>
          <w:highlight w:val="none"/>
        </w:rPr>
      </w:pPr>
      <w:r>
        <w:rPr>
          <w:color w:val="auto"/>
          <w:szCs w:val="21"/>
          <w:highlight w:val="none"/>
        </w:rPr>
        <w:t>19</w:t>
      </w:r>
      <w:r>
        <w:rPr>
          <w:rFonts w:hint="eastAsia"/>
          <w:color w:val="auto"/>
          <w:szCs w:val="21"/>
          <w:highlight w:val="none"/>
        </w:rPr>
        <w:t>、《建筑设计防火规范》（GBJ50016-2014）</w:t>
      </w:r>
    </w:p>
    <w:p>
      <w:pPr>
        <w:spacing w:line="440" w:lineRule="exact"/>
        <w:rPr>
          <w:color w:val="auto"/>
          <w:szCs w:val="21"/>
          <w:highlight w:val="none"/>
        </w:rPr>
      </w:pPr>
      <w:r>
        <w:rPr>
          <w:color w:val="auto"/>
          <w:szCs w:val="21"/>
          <w:highlight w:val="none"/>
        </w:rPr>
        <w:t>20</w:t>
      </w:r>
      <w:r>
        <w:rPr>
          <w:rFonts w:hint="eastAsia"/>
          <w:color w:val="auto"/>
          <w:szCs w:val="21"/>
          <w:highlight w:val="none"/>
        </w:rPr>
        <w:t>、《消防给水及消火栓系统技术规范》（GB50974-2014）</w:t>
      </w:r>
    </w:p>
    <w:p>
      <w:pPr>
        <w:spacing w:line="440" w:lineRule="exact"/>
        <w:rPr>
          <w:color w:val="auto"/>
          <w:szCs w:val="21"/>
          <w:highlight w:val="none"/>
        </w:rPr>
      </w:pPr>
      <w:r>
        <w:rPr>
          <w:color w:val="auto"/>
          <w:szCs w:val="21"/>
          <w:highlight w:val="none"/>
        </w:rPr>
        <w:t>21</w:t>
      </w:r>
      <w:r>
        <w:rPr>
          <w:rFonts w:hint="eastAsia"/>
          <w:color w:val="auto"/>
          <w:szCs w:val="21"/>
          <w:highlight w:val="none"/>
        </w:rPr>
        <w:t>、《自动喷水灭火系统设计规范》（GB50084-3-2017）</w:t>
      </w:r>
    </w:p>
    <w:p>
      <w:pPr>
        <w:spacing w:line="440" w:lineRule="exact"/>
        <w:rPr>
          <w:color w:val="auto"/>
          <w:szCs w:val="21"/>
          <w:highlight w:val="none"/>
        </w:rPr>
      </w:pPr>
      <w:r>
        <w:rPr>
          <w:color w:val="auto"/>
          <w:szCs w:val="21"/>
          <w:highlight w:val="none"/>
        </w:rPr>
        <w:t>22</w:t>
      </w:r>
      <w:r>
        <w:rPr>
          <w:rFonts w:hint="eastAsia"/>
          <w:color w:val="auto"/>
          <w:szCs w:val="21"/>
          <w:highlight w:val="none"/>
        </w:rPr>
        <w:t>、《火灾自动报警系统设计规范》（GB50116-2013）</w:t>
      </w:r>
    </w:p>
    <w:p>
      <w:pPr>
        <w:spacing w:line="440" w:lineRule="exact"/>
        <w:rPr>
          <w:color w:val="auto"/>
          <w:szCs w:val="21"/>
          <w:highlight w:val="none"/>
        </w:rPr>
      </w:pPr>
      <w:r>
        <w:rPr>
          <w:color w:val="auto"/>
          <w:szCs w:val="21"/>
          <w:highlight w:val="none"/>
        </w:rPr>
        <w:t>23</w:t>
      </w:r>
      <w:r>
        <w:rPr>
          <w:rFonts w:hint="eastAsia"/>
          <w:color w:val="auto"/>
          <w:szCs w:val="21"/>
          <w:highlight w:val="none"/>
        </w:rPr>
        <w:t>、《低压配电设计规范》（GB50054—2011）</w:t>
      </w:r>
    </w:p>
    <w:p>
      <w:pPr>
        <w:spacing w:line="440" w:lineRule="exact"/>
        <w:rPr>
          <w:color w:val="auto"/>
          <w:szCs w:val="21"/>
          <w:highlight w:val="none"/>
        </w:rPr>
      </w:pPr>
      <w:r>
        <w:rPr>
          <w:color w:val="auto"/>
          <w:szCs w:val="21"/>
          <w:highlight w:val="none"/>
        </w:rPr>
        <w:t>24</w:t>
      </w:r>
      <w:r>
        <w:rPr>
          <w:rFonts w:hint="eastAsia"/>
          <w:color w:val="auto"/>
          <w:szCs w:val="21"/>
          <w:highlight w:val="none"/>
        </w:rPr>
        <w:t>、《无障碍设计规范》（GB50763—2012）</w:t>
      </w:r>
    </w:p>
    <w:p>
      <w:pPr>
        <w:spacing w:line="440" w:lineRule="exact"/>
        <w:rPr>
          <w:color w:val="auto"/>
          <w:szCs w:val="21"/>
          <w:highlight w:val="none"/>
        </w:rPr>
      </w:pPr>
      <w:r>
        <w:rPr>
          <w:color w:val="auto"/>
          <w:szCs w:val="21"/>
          <w:highlight w:val="none"/>
        </w:rPr>
        <w:t>25</w:t>
      </w:r>
      <w:r>
        <w:rPr>
          <w:rFonts w:hint="eastAsia"/>
          <w:color w:val="auto"/>
          <w:szCs w:val="21"/>
          <w:highlight w:val="none"/>
        </w:rPr>
        <w:t xml:space="preserve"> 、《建筑灭火器配置设计规范》（</w:t>
      </w:r>
      <w:r>
        <w:rPr>
          <w:color w:val="auto"/>
          <w:szCs w:val="21"/>
          <w:highlight w:val="none"/>
        </w:rPr>
        <w:t>GB 50140-2005</w:t>
      </w:r>
      <w:r>
        <w:rPr>
          <w:rFonts w:hint="eastAsia"/>
          <w:color w:val="auto"/>
          <w:szCs w:val="21"/>
          <w:highlight w:val="none"/>
        </w:rPr>
        <w:t>）</w:t>
      </w:r>
    </w:p>
    <w:p>
      <w:pPr>
        <w:spacing w:line="440" w:lineRule="exact"/>
        <w:rPr>
          <w:color w:val="auto"/>
          <w:szCs w:val="21"/>
          <w:highlight w:val="none"/>
        </w:rPr>
      </w:pPr>
      <w:r>
        <w:rPr>
          <w:rFonts w:hint="eastAsia"/>
          <w:color w:val="auto"/>
          <w:szCs w:val="21"/>
          <w:highlight w:val="none"/>
        </w:rPr>
        <w:t>（三）施工技术标准和要求。</w:t>
      </w:r>
    </w:p>
    <w:p>
      <w:pPr>
        <w:spacing w:before="60" w:after="60" w:line="360" w:lineRule="auto"/>
        <w:rPr>
          <w:rFonts w:ascii="宋体" w:hAnsi="宋体"/>
          <w:color w:val="auto"/>
          <w:szCs w:val="21"/>
          <w:highlight w:val="none"/>
        </w:rPr>
      </w:pPr>
      <w:r>
        <w:rPr>
          <w:rFonts w:hint="eastAsia" w:ascii="宋体" w:hAnsi="宋体"/>
          <w:color w:val="auto"/>
          <w:szCs w:val="21"/>
          <w:highlight w:val="none"/>
        </w:rPr>
        <w:t>1.《建筑工程施工质量验收统一标准》（GB50300-2013）</w:t>
      </w:r>
    </w:p>
    <w:p>
      <w:pPr>
        <w:spacing w:before="60" w:after="60" w:line="360" w:lineRule="auto"/>
        <w:rPr>
          <w:rFonts w:ascii="宋体" w:hAnsi="宋体"/>
          <w:color w:val="auto"/>
          <w:szCs w:val="21"/>
          <w:highlight w:val="none"/>
        </w:rPr>
      </w:pPr>
      <w:r>
        <w:rPr>
          <w:rFonts w:hint="eastAsia" w:ascii="宋体" w:hAnsi="宋体"/>
          <w:color w:val="auto"/>
          <w:szCs w:val="21"/>
          <w:highlight w:val="none"/>
        </w:rPr>
        <w:t>2.工程测量规范GB50026-2007</w:t>
      </w:r>
    </w:p>
    <w:p>
      <w:pPr>
        <w:spacing w:before="60" w:after="60" w:line="360" w:lineRule="auto"/>
        <w:rPr>
          <w:rFonts w:ascii="宋体" w:hAnsi="宋体"/>
          <w:color w:val="auto"/>
          <w:szCs w:val="21"/>
          <w:highlight w:val="none"/>
        </w:rPr>
      </w:pPr>
      <w:r>
        <w:rPr>
          <w:rFonts w:hint="eastAsia" w:ascii="宋体" w:hAnsi="宋体"/>
          <w:color w:val="auto"/>
          <w:szCs w:val="21"/>
          <w:highlight w:val="none"/>
        </w:rPr>
        <w:t>3.建筑地基基础工程施工质量验收规范GB50202-2002</w:t>
      </w:r>
    </w:p>
    <w:p>
      <w:pPr>
        <w:spacing w:before="60" w:after="60" w:line="360" w:lineRule="auto"/>
        <w:rPr>
          <w:rFonts w:ascii="宋体" w:hAnsi="宋体"/>
          <w:color w:val="auto"/>
          <w:szCs w:val="21"/>
          <w:highlight w:val="none"/>
        </w:rPr>
      </w:pPr>
      <w:r>
        <w:rPr>
          <w:rFonts w:hint="eastAsia" w:ascii="宋体" w:hAnsi="宋体"/>
          <w:color w:val="auto"/>
          <w:szCs w:val="21"/>
          <w:highlight w:val="none"/>
        </w:rPr>
        <w:t>4.砌体结构工程施工质量验收规范GB50203-2011</w:t>
      </w:r>
    </w:p>
    <w:p>
      <w:pPr>
        <w:spacing w:before="60" w:after="60" w:line="360" w:lineRule="auto"/>
        <w:rPr>
          <w:rFonts w:ascii="宋体" w:hAnsi="宋体"/>
          <w:color w:val="auto"/>
          <w:szCs w:val="21"/>
          <w:highlight w:val="none"/>
        </w:rPr>
      </w:pPr>
      <w:r>
        <w:rPr>
          <w:rFonts w:hint="eastAsia" w:ascii="宋体" w:hAnsi="宋体"/>
          <w:color w:val="auto"/>
          <w:szCs w:val="21"/>
          <w:highlight w:val="none"/>
        </w:rPr>
        <w:t>5.混凝土结构工程施工质量验收规范</w:t>
      </w:r>
      <w:r>
        <w:rPr>
          <w:rFonts w:ascii="宋体" w:hAnsi="宋体"/>
          <w:color w:val="auto"/>
          <w:szCs w:val="21"/>
          <w:highlight w:val="none"/>
        </w:rPr>
        <w:t>GB50204-2015</w:t>
      </w:r>
    </w:p>
    <w:p>
      <w:pPr>
        <w:spacing w:before="60" w:after="60" w:line="360" w:lineRule="auto"/>
        <w:rPr>
          <w:rFonts w:ascii="宋体" w:hAnsi="宋体"/>
          <w:color w:val="auto"/>
          <w:szCs w:val="21"/>
          <w:highlight w:val="none"/>
        </w:rPr>
      </w:pPr>
      <w:r>
        <w:rPr>
          <w:rFonts w:hint="eastAsia" w:ascii="宋体" w:hAnsi="宋体"/>
          <w:color w:val="auto"/>
          <w:szCs w:val="21"/>
          <w:highlight w:val="none"/>
        </w:rPr>
        <w:t>6.屋面工程质量验收规范GB50207-2012</w:t>
      </w:r>
    </w:p>
    <w:p>
      <w:pPr>
        <w:spacing w:before="60" w:after="60" w:line="360" w:lineRule="auto"/>
        <w:rPr>
          <w:rFonts w:ascii="宋体" w:hAnsi="宋体"/>
          <w:color w:val="auto"/>
          <w:szCs w:val="21"/>
          <w:highlight w:val="none"/>
        </w:rPr>
      </w:pPr>
      <w:r>
        <w:rPr>
          <w:rFonts w:hint="eastAsia" w:ascii="宋体" w:hAnsi="宋体"/>
          <w:color w:val="auto"/>
          <w:szCs w:val="21"/>
          <w:highlight w:val="none"/>
        </w:rPr>
        <w:t>7.地下防水工程质量验收规范GB50208-2011</w:t>
      </w:r>
    </w:p>
    <w:p>
      <w:pPr>
        <w:spacing w:before="60" w:after="60" w:line="360" w:lineRule="auto"/>
        <w:rPr>
          <w:rFonts w:ascii="宋体" w:hAnsi="宋体"/>
          <w:color w:val="auto"/>
          <w:szCs w:val="21"/>
          <w:highlight w:val="none"/>
        </w:rPr>
      </w:pPr>
      <w:r>
        <w:rPr>
          <w:rFonts w:hint="eastAsia" w:ascii="宋体" w:hAnsi="宋体"/>
          <w:color w:val="auto"/>
          <w:szCs w:val="21"/>
          <w:highlight w:val="none"/>
        </w:rPr>
        <w:t>8.建筑地面工程施工质量验收规范GB50209-2010</w:t>
      </w:r>
    </w:p>
    <w:p>
      <w:pPr>
        <w:spacing w:before="60" w:after="60" w:line="360" w:lineRule="auto"/>
        <w:rPr>
          <w:rFonts w:ascii="宋体" w:hAnsi="宋体"/>
          <w:color w:val="auto"/>
          <w:szCs w:val="21"/>
          <w:highlight w:val="none"/>
        </w:rPr>
      </w:pPr>
      <w:r>
        <w:rPr>
          <w:rFonts w:hint="eastAsia" w:ascii="宋体" w:hAnsi="宋体"/>
          <w:color w:val="auto"/>
          <w:szCs w:val="21"/>
          <w:highlight w:val="none"/>
        </w:rPr>
        <w:t>9.建筑装饰装修工程质量验收规范GB50210-2001</w:t>
      </w:r>
    </w:p>
    <w:p>
      <w:pPr>
        <w:spacing w:before="60" w:after="60" w:line="360" w:lineRule="auto"/>
        <w:rPr>
          <w:rFonts w:ascii="宋体" w:hAnsi="宋体"/>
          <w:color w:val="auto"/>
          <w:szCs w:val="21"/>
          <w:highlight w:val="none"/>
        </w:rPr>
      </w:pPr>
      <w:r>
        <w:rPr>
          <w:rFonts w:hint="eastAsia" w:ascii="宋体" w:hAnsi="宋体"/>
          <w:color w:val="auto"/>
          <w:szCs w:val="21"/>
          <w:highlight w:val="none"/>
        </w:rPr>
        <w:t>10.建筑给水排水及采暖工程施工质量验收规范GB50242-2002</w:t>
      </w:r>
    </w:p>
    <w:p>
      <w:pPr>
        <w:spacing w:before="60" w:after="60" w:line="360" w:lineRule="auto"/>
        <w:rPr>
          <w:rFonts w:ascii="宋体" w:hAnsi="宋体"/>
          <w:color w:val="auto"/>
          <w:szCs w:val="21"/>
          <w:highlight w:val="none"/>
        </w:rPr>
      </w:pPr>
      <w:r>
        <w:rPr>
          <w:rFonts w:hint="eastAsia" w:ascii="宋体" w:hAnsi="宋体"/>
          <w:color w:val="auto"/>
          <w:szCs w:val="21"/>
          <w:highlight w:val="none"/>
        </w:rPr>
        <w:t>11.建筑电气工程施工质量验收规范GB50303-2002</w:t>
      </w:r>
    </w:p>
    <w:p>
      <w:pPr>
        <w:spacing w:before="60" w:after="60" w:line="360" w:lineRule="auto"/>
        <w:rPr>
          <w:rFonts w:ascii="宋体" w:hAnsi="宋体"/>
          <w:color w:val="auto"/>
          <w:szCs w:val="21"/>
          <w:highlight w:val="none"/>
        </w:rPr>
      </w:pPr>
      <w:r>
        <w:rPr>
          <w:rFonts w:hint="eastAsia" w:ascii="宋体" w:hAnsi="宋体"/>
          <w:color w:val="auto"/>
          <w:szCs w:val="21"/>
          <w:highlight w:val="none"/>
        </w:rPr>
        <w:t>12.市政工程相关专业施工及质量验收标准</w:t>
      </w:r>
    </w:p>
    <w:p>
      <w:pPr>
        <w:spacing w:line="440" w:lineRule="exact"/>
        <w:rPr>
          <w:color w:val="auto"/>
          <w:szCs w:val="21"/>
          <w:highlight w:val="none"/>
        </w:rPr>
      </w:pPr>
      <w:r>
        <w:rPr>
          <w:rFonts w:hint="eastAsia"/>
          <w:color w:val="auto"/>
          <w:szCs w:val="21"/>
          <w:highlight w:val="none"/>
        </w:rPr>
        <w:t>（四）质量标准。</w:t>
      </w:r>
    </w:p>
    <w:p>
      <w:pPr>
        <w:spacing w:line="440" w:lineRule="exact"/>
        <w:ind w:firstLine="420" w:firstLineChars="200"/>
        <w:rPr>
          <w:color w:val="auto"/>
          <w:szCs w:val="21"/>
          <w:highlight w:val="none"/>
        </w:rPr>
      </w:pPr>
      <w:r>
        <w:rPr>
          <w:rFonts w:hint="eastAsia" w:ascii="宋体" w:hAnsi="宋体"/>
          <w:color w:val="auto"/>
          <w:szCs w:val="21"/>
          <w:highlight w:val="none"/>
        </w:rPr>
        <w:t>合格</w:t>
      </w:r>
    </w:p>
    <w:p>
      <w:pPr>
        <w:spacing w:line="360" w:lineRule="auto"/>
        <w:rPr>
          <w:color w:val="auto"/>
          <w:sz w:val="32"/>
          <w:szCs w:val="32"/>
          <w:highlight w:val="none"/>
        </w:rPr>
      </w:pPr>
      <w:r>
        <w:rPr>
          <w:rFonts w:hint="eastAsia"/>
          <w:color w:val="auto"/>
          <w:szCs w:val="21"/>
          <w:highlight w:val="none"/>
        </w:rPr>
        <w:t>（五）设计、施工</w:t>
      </w:r>
    </w:p>
    <w:p>
      <w:pPr>
        <w:spacing w:line="360" w:lineRule="auto"/>
        <w:rPr>
          <w:rFonts w:ascii="宋体" w:hAnsi="宋体"/>
          <w:color w:val="auto"/>
          <w:highlight w:val="none"/>
        </w:rPr>
      </w:pPr>
      <w:r>
        <w:rPr>
          <w:rFonts w:hint="eastAsia" w:ascii="宋体" w:hAnsi="宋体"/>
          <w:color w:val="auto"/>
          <w:highlight w:val="none"/>
        </w:rPr>
        <w:t>1、设计</w:t>
      </w:r>
      <w:r>
        <w:rPr>
          <w:rFonts w:ascii="宋体" w:hAnsi="宋体"/>
          <w:color w:val="auto"/>
          <w:highlight w:val="none"/>
        </w:rPr>
        <w:t>技术指标</w:t>
      </w:r>
    </w:p>
    <w:p>
      <w:pPr>
        <w:spacing w:line="360" w:lineRule="auto"/>
        <w:rPr>
          <w:rFonts w:ascii="宋体" w:hAnsi="宋体"/>
          <w:color w:val="auto"/>
          <w:highlight w:val="none"/>
          <w:u w:val="single"/>
        </w:rPr>
      </w:pPr>
      <w:r>
        <w:rPr>
          <w:rFonts w:hint="eastAsia" w:ascii="宋体" w:hAnsi="宋体"/>
          <w:color w:val="auto"/>
          <w:highlight w:val="none"/>
          <w:u w:val="single"/>
        </w:rPr>
        <w:t>1）反力墙3层，反力试验台座厚度1.5m,反力墙一9.5m*3.2m*9m，反力墙二11.5m*2.8m*9m。</w:t>
      </w:r>
    </w:p>
    <w:p>
      <w:pPr>
        <w:spacing w:line="360" w:lineRule="auto"/>
        <w:rPr>
          <w:rFonts w:ascii="宋体" w:hAnsi="宋体"/>
          <w:color w:val="auto"/>
          <w:highlight w:val="none"/>
          <w:u w:val="single"/>
        </w:rPr>
      </w:pPr>
      <w:r>
        <w:rPr>
          <w:rFonts w:hint="eastAsia" w:ascii="宋体" w:hAnsi="宋体"/>
          <w:color w:val="auto"/>
          <w:highlight w:val="none"/>
          <w:u w:val="single"/>
        </w:rPr>
        <w:t>2）反力墙一在水平力作用下墙底部可承受11850kN.m；反力墙二在水平力作用下墙底部可承受7900kN.m。</w:t>
      </w:r>
    </w:p>
    <w:p>
      <w:pPr>
        <w:spacing w:line="360" w:lineRule="auto"/>
        <w:rPr>
          <w:rFonts w:ascii="宋体" w:hAnsi="宋体"/>
          <w:color w:val="auto"/>
          <w:highlight w:val="none"/>
          <w:u w:val="single"/>
        </w:rPr>
      </w:pPr>
      <w:r>
        <w:rPr>
          <w:rFonts w:hint="eastAsia" w:ascii="宋体" w:hAnsi="宋体"/>
          <w:color w:val="auto"/>
          <w:highlight w:val="none"/>
          <w:u w:val="single"/>
        </w:rPr>
        <w:t>3）反力墙一单个加载孔最大允许拉(压)力标准值为500kN,3mx3m区格内4孔组合最大允许拉(压)力标准值为2000kN。</w:t>
      </w:r>
    </w:p>
    <w:p>
      <w:pPr>
        <w:spacing w:line="360" w:lineRule="auto"/>
        <w:rPr>
          <w:rFonts w:ascii="宋体" w:hAnsi="宋体"/>
          <w:color w:val="auto"/>
          <w:highlight w:val="none"/>
          <w:u w:val="single"/>
        </w:rPr>
      </w:pPr>
      <w:r>
        <w:rPr>
          <w:rFonts w:hint="eastAsia" w:ascii="宋体" w:hAnsi="宋体"/>
          <w:color w:val="auto"/>
          <w:highlight w:val="none"/>
          <w:u w:val="single"/>
        </w:rPr>
        <w:t>4）反力墙二单个加载孔最大允许拉(压)力标准值为400kN,3mx3m区格内4孔组合最大允许拉(压)力标准值为1600kN。</w:t>
      </w:r>
    </w:p>
    <w:p>
      <w:pPr>
        <w:spacing w:line="360" w:lineRule="auto"/>
        <w:rPr>
          <w:rFonts w:ascii="宋体" w:hAnsi="宋体"/>
          <w:color w:val="auto"/>
          <w:highlight w:val="none"/>
          <w:u w:val="single"/>
        </w:rPr>
      </w:pPr>
      <w:r>
        <w:rPr>
          <w:rFonts w:hint="eastAsia" w:ascii="宋体" w:hAnsi="宋体"/>
          <w:color w:val="auto"/>
          <w:highlight w:val="none"/>
          <w:u w:val="single"/>
        </w:rPr>
        <w:t>5）反力墙顶部最大位移不超过5mm（L/1800）。</w:t>
      </w:r>
    </w:p>
    <w:p>
      <w:pPr>
        <w:spacing w:line="360" w:lineRule="auto"/>
        <w:rPr>
          <w:rFonts w:ascii="宋体" w:hAnsi="宋体"/>
          <w:color w:val="auto"/>
          <w:highlight w:val="none"/>
          <w:u w:val="single"/>
        </w:rPr>
      </w:pPr>
      <w:r>
        <w:rPr>
          <w:rFonts w:hint="eastAsia" w:ascii="宋体" w:hAnsi="宋体"/>
          <w:color w:val="auto"/>
          <w:highlight w:val="none"/>
          <w:u w:val="single"/>
        </w:rPr>
        <w:t>6）槽道式试验台座在5mx6m四立柱反力架中心1000x1000区域内可承受竖向集中力标准值为4000kN。槽道承载力50T/M。</w:t>
      </w:r>
    </w:p>
    <w:p>
      <w:pPr>
        <w:spacing w:line="360" w:lineRule="auto"/>
        <w:rPr>
          <w:color w:val="auto"/>
          <w:szCs w:val="21"/>
          <w:highlight w:val="none"/>
        </w:rPr>
      </w:pPr>
      <w:r>
        <w:rPr>
          <w:rFonts w:hint="eastAsia"/>
          <w:color w:val="auto"/>
          <w:szCs w:val="21"/>
          <w:highlight w:val="none"/>
        </w:rPr>
        <w:t>　</w:t>
      </w:r>
      <w:r>
        <w:rPr>
          <w:color w:val="auto"/>
          <w:szCs w:val="21"/>
          <w:highlight w:val="none"/>
        </w:rPr>
        <w:t>　</w:t>
      </w:r>
    </w:p>
    <w:p>
      <w:pPr>
        <w:spacing w:line="360" w:lineRule="auto"/>
        <w:rPr>
          <w:rFonts w:ascii="宋体" w:hAnsi="宋体" w:cs="宋体"/>
          <w:color w:val="auto"/>
          <w:highlight w:val="none"/>
        </w:rPr>
      </w:pPr>
      <w:r>
        <w:rPr>
          <w:rFonts w:hint="eastAsia" w:ascii="宋体" w:hAnsi="宋体" w:cs="宋体"/>
          <w:color w:val="auto"/>
          <w:highlight w:val="none"/>
        </w:rPr>
        <w:t>2、施工</w:t>
      </w:r>
      <w:r>
        <w:rPr>
          <w:rFonts w:ascii="宋体" w:hAnsi="宋体" w:cs="宋体"/>
          <w:color w:val="auto"/>
          <w:highlight w:val="none"/>
        </w:rPr>
        <w:t>技术指标：</w:t>
      </w:r>
    </w:p>
    <w:p>
      <w:pPr>
        <w:spacing w:line="360" w:lineRule="auto"/>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w:t>
      </w:r>
      <w:r>
        <w:rPr>
          <w:rFonts w:ascii="宋体" w:hAnsi="宋体" w:cs="宋体"/>
          <w:color w:val="auto"/>
          <w:highlight w:val="none"/>
        </w:rPr>
        <w:t>试台座平台平整度控制在±2mm/2m以内，反力墙墙面平整度控制在±2mm/2m以内，垂直度控制在±2mm/3m以内，墙体采用清水混凝土浇筑，严禁二次抹灰找平。</w:t>
      </w:r>
    </w:p>
    <w:p>
      <w:pPr>
        <w:spacing w:line="360" w:lineRule="auto"/>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w:t>
      </w:r>
      <w:r>
        <w:rPr>
          <w:rFonts w:ascii="宋体" w:hAnsi="宋体" w:cs="宋体"/>
          <w:color w:val="auto"/>
          <w:highlight w:val="none"/>
        </w:rPr>
        <w:t>试验台座与反力墙上预埋加载孔，加载孔制作长度偏差控制在±1mm，端板平整度控制在±0.5mm以内。</w:t>
      </w:r>
    </w:p>
    <w:p>
      <w:pPr>
        <w:spacing w:line="360" w:lineRule="auto"/>
        <w:rPr>
          <w:rFonts w:ascii="宋体" w:hAnsi="宋体" w:cs="宋体"/>
          <w:color w:val="auto"/>
          <w:highlight w:val="none"/>
        </w:rPr>
      </w:pPr>
      <w:r>
        <w:rPr>
          <w:rFonts w:ascii="宋体" w:hAnsi="宋体" w:cs="宋体"/>
          <w:color w:val="auto"/>
          <w:highlight w:val="none"/>
        </w:rPr>
        <w:t>3</w:t>
      </w:r>
      <w:r>
        <w:rPr>
          <w:rFonts w:hint="eastAsia" w:ascii="宋体" w:hAnsi="宋体" w:cs="宋体"/>
          <w:color w:val="auto"/>
          <w:highlight w:val="none"/>
        </w:rPr>
        <w:t>）</w:t>
      </w:r>
      <w:r>
        <w:rPr>
          <w:rFonts w:ascii="宋体" w:hAnsi="宋体" w:cs="宋体"/>
          <w:color w:val="auto"/>
          <w:highlight w:val="none"/>
        </w:rPr>
        <w:t>试验台座与反力墙内加载孔型钢定位支架的工厂制作误差应控制在±2mm以内，定位安装精度控制在±4mm以内。</w:t>
      </w:r>
    </w:p>
    <w:p>
      <w:pPr>
        <w:spacing w:line="360" w:lineRule="auto"/>
        <w:rPr>
          <w:rFonts w:ascii="宋体" w:hAnsi="宋体" w:cs="宋体"/>
          <w:color w:val="auto"/>
          <w:highlight w:val="none"/>
        </w:rPr>
      </w:pPr>
      <w:r>
        <w:rPr>
          <w:rFonts w:ascii="宋体" w:hAnsi="宋体" w:cs="宋体"/>
          <w:color w:val="auto"/>
          <w:highlight w:val="none"/>
        </w:rPr>
        <w:t>4)试验台座与反力墙加载孔安装偏差控制在±1mm以内。</w:t>
      </w:r>
    </w:p>
    <w:p>
      <w:pPr>
        <w:spacing w:line="360" w:lineRule="auto"/>
        <w:rPr>
          <w:rFonts w:ascii="宋体" w:hAnsi="宋体" w:cs="宋体"/>
          <w:color w:val="auto"/>
          <w:highlight w:val="none"/>
        </w:rPr>
      </w:pPr>
      <w:r>
        <w:rPr>
          <w:rFonts w:ascii="宋体" w:hAnsi="宋体" w:cs="宋体"/>
          <w:color w:val="auto"/>
          <w:highlight w:val="none"/>
        </w:rPr>
        <w:t>5)投标人应具备使用大型有限元分析软件（可使用Abaqus有限元软件）对本工程实验反力台座及反力墙进行计算分析并进行施工图优化设计的能力，确保台座施工的科学性、合理性及安全性。</w:t>
      </w:r>
    </w:p>
    <w:p>
      <w:pPr>
        <w:spacing w:line="360" w:lineRule="auto"/>
        <w:rPr>
          <w:rFonts w:ascii="宋体" w:hAnsi="宋体" w:cs="宋体"/>
          <w:color w:val="auto"/>
          <w:highlight w:val="none"/>
        </w:rPr>
      </w:pPr>
      <w:r>
        <w:rPr>
          <w:rFonts w:ascii="宋体" w:hAnsi="宋体" w:cs="宋体"/>
          <w:color w:val="auto"/>
          <w:highlight w:val="none"/>
        </w:rPr>
        <w:t>6)反力台座与反力墙表面平整度达到设计要求。</w:t>
      </w:r>
    </w:p>
    <w:p>
      <w:pPr>
        <w:spacing w:line="440" w:lineRule="exact"/>
        <w:rPr>
          <w:rFonts w:ascii="黑体" w:eastAsia="黑体"/>
          <w:color w:val="auto"/>
          <w:szCs w:val="21"/>
          <w:highlight w:val="none"/>
        </w:rPr>
      </w:pPr>
      <w:r>
        <w:rPr>
          <w:rFonts w:hint="eastAsia" w:ascii="黑体" w:eastAsia="黑体"/>
          <w:color w:val="auto"/>
          <w:szCs w:val="21"/>
          <w:highlight w:val="none"/>
        </w:rPr>
        <w:t>六、竣工试验（如有）</w:t>
      </w:r>
    </w:p>
    <w:p>
      <w:pPr>
        <w:spacing w:line="440" w:lineRule="exact"/>
        <w:rPr>
          <w:rFonts w:ascii="黑体" w:eastAsia="黑体"/>
          <w:color w:val="auto"/>
          <w:szCs w:val="21"/>
          <w:highlight w:val="none"/>
        </w:rPr>
      </w:pPr>
      <w:r>
        <w:rPr>
          <w:rFonts w:hint="eastAsia"/>
          <w:color w:val="auto"/>
          <w:szCs w:val="21"/>
          <w:highlight w:val="none"/>
        </w:rPr>
        <w:t>（一）第一阶段，如对单车试验等的要求，包括试验前准备。</w:t>
      </w:r>
    </w:p>
    <w:p>
      <w:pPr>
        <w:spacing w:line="440" w:lineRule="exact"/>
        <w:ind w:firstLine="420" w:firstLineChars="200"/>
        <w:rPr>
          <w:color w:val="auto"/>
          <w:szCs w:val="21"/>
          <w:highlight w:val="none"/>
        </w:rPr>
      </w:pPr>
      <w:r>
        <w:rPr>
          <w:rFonts w:hint="eastAsia"/>
          <w:color w:val="auto"/>
          <w:szCs w:val="21"/>
          <w:highlight w:val="none"/>
        </w:rPr>
        <w:t>按《建筑工程施工质量验收统一标准》（GB50300-2013）和市政工程相关专业施工及质量验收标准的相关要求组织。</w:t>
      </w:r>
    </w:p>
    <w:p>
      <w:pPr>
        <w:spacing w:line="440" w:lineRule="exact"/>
        <w:rPr>
          <w:color w:val="auto"/>
          <w:szCs w:val="21"/>
          <w:highlight w:val="none"/>
        </w:rPr>
      </w:pPr>
      <w:r>
        <w:rPr>
          <w:rFonts w:hint="eastAsia"/>
          <w:color w:val="auto"/>
          <w:szCs w:val="21"/>
          <w:highlight w:val="none"/>
        </w:rPr>
        <w:t>（二）第二阶段，如对联动试车、投料试车等的要求，包括人员、设备、材料、燃料、电力、消耗品、工具等必要条件。</w:t>
      </w:r>
    </w:p>
    <w:p>
      <w:pPr>
        <w:spacing w:line="440" w:lineRule="exact"/>
        <w:rPr>
          <w:color w:val="auto"/>
          <w:szCs w:val="21"/>
          <w:highlight w:val="none"/>
        </w:rPr>
      </w:pPr>
      <w:r>
        <w:rPr>
          <w:rFonts w:hint="eastAsia"/>
          <w:color w:val="auto"/>
          <w:szCs w:val="21"/>
          <w:highlight w:val="none"/>
        </w:rPr>
        <w:t>（三）第三阶段，如对性能测试及其他竣工试验的要求，包括产能指标、产品质量标准、运营指标、环保指标等。</w:t>
      </w:r>
    </w:p>
    <w:p>
      <w:pPr>
        <w:spacing w:line="440" w:lineRule="exact"/>
        <w:rPr>
          <w:rFonts w:ascii="黑体" w:eastAsia="黑体"/>
          <w:color w:val="auto"/>
          <w:szCs w:val="21"/>
          <w:highlight w:val="none"/>
        </w:rPr>
      </w:pPr>
      <w:r>
        <w:rPr>
          <w:rFonts w:hint="eastAsia" w:ascii="黑体" w:eastAsia="黑体"/>
          <w:color w:val="auto"/>
          <w:szCs w:val="21"/>
          <w:highlight w:val="none"/>
        </w:rPr>
        <w:t>七、竣工验收</w:t>
      </w:r>
    </w:p>
    <w:p>
      <w:pPr>
        <w:spacing w:line="440" w:lineRule="exact"/>
        <w:ind w:firstLine="420" w:firstLineChars="200"/>
        <w:rPr>
          <w:rFonts w:ascii="黑体" w:eastAsia="黑体"/>
          <w:color w:val="auto"/>
          <w:szCs w:val="21"/>
          <w:highlight w:val="none"/>
        </w:rPr>
      </w:pPr>
      <w:r>
        <w:rPr>
          <w:rFonts w:hint="eastAsia"/>
          <w:color w:val="auto"/>
          <w:szCs w:val="21"/>
          <w:highlight w:val="none"/>
        </w:rPr>
        <w:t>按《建筑工程施工质量验收统一标准》（GB50300-2013）相关要求组织。</w:t>
      </w:r>
    </w:p>
    <w:p>
      <w:pPr>
        <w:spacing w:line="440" w:lineRule="exact"/>
        <w:rPr>
          <w:rFonts w:hint="eastAsia" w:ascii="黑体" w:eastAsia="黑体"/>
          <w:color w:val="auto"/>
          <w:szCs w:val="21"/>
          <w:highlight w:val="none"/>
          <w:u w:val="single"/>
          <w:lang w:eastAsia="zh-CN"/>
        </w:rPr>
      </w:pPr>
      <w:r>
        <w:rPr>
          <w:rFonts w:hint="eastAsia" w:ascii="黑体" w:eastAsia="黑体"/>
          <w:color w:val="auto"/>
          <w:szCs w:val="21"/>
          <w:highlight w:val="none"/>
        </w:rPr>
        <w:t>八、竣工后试验（如有）：</w:t>
      </w:r>
      <w:r>
        <w:rPr>
          <w:rFonts w:hint="eastAsia" w:ascii="黑体" w:eastAsia="黑体"/>
          <w:color w:val="auto"/>
          <w:szCs w:val="21"/>
          <w:highlight w:val="none"/>
          <w:u w:val="single"/>
          <w:lang w:eastAsia="zh-CN"/>
        </w:rPr>
        <w:t>与试验设备试运营正常</w:t>
      </w:r>
    </w:p>
    <w:p>
      <w:pPr>
        <w:spacing w:line="440" w:lineRule="exact"/>
        <w:rPr>
          <w:rFonts w:ascii="黑体" w:eastAsia="黑体"/>
          <w:color w:val="auto"/>
          <w:szCs w:val="21"/>
          <w:highlight w:val="none"/>
        </w:rPr>
      </w:pPr>
      <w:r>
        <w:rPr>
          <w:rFonts w:hint="eastAsia" w:ascii="黑体" w:eastAsia="黑体"/>
          <w:color w:val="auto"/>
          <w:szCs w:val="21"/>
          <w:highlight w:val="none"/>
        </w:rPr>
        <w:t>九、文件要求</w:t>
      </w:r>
    </w:p>
    <w:p>
      <w:pPr>
        <w:spacing w:line="440" w:lineRule="exact"/>
        <w:rPr>
          <w:rFonts w:ascii="黑体" w:eastAsia="黑体"/>
          <w:color w:val="auto"/>
          <w:szCs w:val="21"/>
          <w:highlight w:val="none"/>
        </w:rPr>
      </w:pPr>
      <w:r>
        <w:rPr>
          <w:rFonts w:hint="eastAsia"/>
          <w:color w:val="auto"/>
          <w:szCs w:val="21"/>
          <w:highlight w:val="none"/>
        </w:rPr>
        <w:t>（一）设计文件，及其相关审批、核准、备案要求。</w:t>
      </w:r>
    </w:p>
    <w:p>
      <w:pPr>
        <w:spacing w:line="440" w:lineRule="exact"/>
        <w:ind w:firstLine="420" w:firstLineChars="200"/>
        <w:rPr>
          <w:color w:val="auto"/>
          <w:szCs w:val="21"/>
          <w:highlight w:val="none"/>
        </w:rPr>
      </w:pPr>
      <w:r>
        <w:rPr>
          <w:rFonts w:hint="eastAsia"/>
          <w:color w:val="auto"/>
          <w:szCs w:val="21"/>
          <w:highlight w:val="none"/>
        </w:rPr>
        <w:t>设计文件的深度要求详见附件《设计任务书》。设计文件应由</w:t>
      </w:r>
      <w:r>
        <w:rPr>
          <w:color w:val="auto"/>
          <w:szCs w:val="21"/>
          <w:highlight w:val="none"/>
        </w:rPr>
        <w:t>设计院正式出</w:t>
      </w:r>
      <w:r>
        <w:rPr>
          <w:rFonts w:hint="eastAsia"/>
          <w:color w:val="auto"/>
          <w:szCs w:val="21"/>
          <w:highlight w:val="none"/>
        </w:rPr>
        <w:t>图</w:t>
      </w:r>
      <w:r>
        <w:rPr>
          <w:color w:val="auto"/>
          <w:szCs w:val="21"/>
          <w:highlight w:val="none"/>
        </w:rPr>
        <w:t>为准</w:t>
      </w:r>
      <w:r>
        <w:rPr>
          <w:rFonts w:hint="eastAsia"/>
          <w:color w:val="auto"/>
          <w:szCs w:val="21"/>
          <w:highlight w:val="none"/>
        </w:rPr>
        <w:t>。</w:t>
      </w:r>
    </w:p>
    <w:p>
      <w:pPr>
        <w:spacing w:line="440" w:lineRule="exact"/>
        <w:rPr>
          <w:color w:val="auto"/>
          <w:szCs w:val="21"/>
          <w:highlight w:val="none"/>
        </w:rPr>
      </w:pPr>
      <w:r>
        <w:rPr>
          <w:rFonts w:hint="eastAsia"/>
          <w:color w:val="auto"/>
          <w:szCs w:val="21"/>
          <w:highlight w:val="none"/>
        </w:rPr>
        <w:t>（二）沟通计划。</w:t>
      </w:r>
    </w:p>
    <w:p>
      <w:pPr>
        <w:spacing w:line="440" w:lineRule="exact"/>
        <w:ind w:firstLine="420" w:firstLineChars="200"/>
        <w:rPr>
          <w:color w:val="auto"/>
          <w:szCs w:val="21"/>
          <w:highlight w:val="none"/>
        </w:rPr>
      </w:pPr>
      <w:r>
        <w:rPr>
          <w:rFonts w:hint="eastAsia"/>
          <w:color w:val="auto"/>
          <w:szCs w:val="21"/>
          <w:highlight w:val="none"/>
        </w:rPr>
        <w:t>设计阶段，应按出图计划，由发包人组织图纸的相关审查，解决设计过程中存在的问题；施工过程原则上每周应召开一次沟通协调会，及时解决施工过程存在的问题。</w:t>
      </w:r>
    </w:p>
    <w:p>
      <w:pPr>
        <w:spacing w:line="440" w:lineRule="exact"/>
        <w:rPr>
          <w:color w:val="auto"/>
          <w:szCs w:val="21"/>
          <w:highlight w:val="none"/>
        </w:rPr>
      </w:pPr>
      <w:r>
        <w:rPr>
          <w:rFonts w:hint="eastAsia"/>
          <w:color w:val="auto"/>
          <w:szCs w:val="21"/>
          <w:highlight w:val="none"/>
        </w:rPr>
        <w:t>（三）风险管理计划。</w:t>
      </w:r>
    </w:p>
    <w:p>
      <w:pPr>
        <w:spacing w:line="440" w:lineRule="exact"/>
        <w:rPr>
          <w:color w:val="auto"/>
          <w:szCs w:val="21"/>
          <w:highlight w:val="none"/>
        </w:rPr>
      </w:pPr>
      <w:r>
        <w:rPr>
          <w:rFonts w:hint="eastAsia"/>
          <w:color w:val="auto"/>
          <w:szCs w:val="21"/>
          <w:highlight w:val="none"/>
        </w:rPr>
        <w:t>（四）竣工文件和工程的其他记录。</w:t>
      </w:r>
    </w:p>
    <w:p>
      <w:pPr>
        <w:spacing w:line="440" w:lineRule="exact"/>
        <w:ind w:firstLine="420" w:firstLineChars="200"/>
        <w:rPr>
          <w:color w:val="auto"/>
          <w:szCs w:val="21"/>
          <w:highlight w:val="none"/>
        </w:rPr>
      </w:pPr>
      <w:r>
        <w:rPr>
          <w:rFonts w:hint="eastAsia"/>
          <w:color w:val="auto"/>
          <w:szCs w:val="21"/>
          <w:highlight w:val="none"/>
        </w:rPr>
        <w:t>按《建筑工程施工质量验收统一标准》（GB50300-2013）和市政工程相关专业施工及质量验收标准的相关要求组织。</w:t>
      </w:r>
    </w:p>
    <w:p>
      <w:pPr>
        <w:spacing w:line="440" w:lineRule="exact"/>
        <w:rPr>
          <w:color w:val="auto"/>
          <w:szCs w:val="21"/>
          <w:highlight w:val="none"/>
        </w:rPr>
      </w:pPr>
      <w:r>
        <w:rPr>
          <w:rFonts w:hint="eastAsia"/>
          <w:color w:val="auto"/>
          <w:szCs w:val="21"/>
          <w:highlight w:val="none"/>
        </w:rPr>
        <w:t>（五）操作和维修手册。</w:t>
      </w:r>
    </w:p>
    <w:p>
      <w:pPr>
        <w:spacing w:line="440" w:lineRule="exact"/>
        <w:ind w:firstLine="210" w:firstLineChars="100"/>
        <w:rPr>
          <w:color w:val="auto"/>
          <w:szCs w:val="21"/>
          <w:highlight w:val="none"/>
        </w:rPr>
      </w:pPr>
      <w:r>
        <w:rPr>
          <w:rFonts w:hint="eastAsia"/>
          <w:color w:val="auto"/>
          <w:szCs w:val="21"/>
          <w:highlight w:val="none"/>
        </w:rPr>
        <w:t>由承包人编制，在竣工验收后交发包人保存。</w:t>
      </w:r>
    </w:p>
    <w:p>
      <w:pPr>
        <w:spacing w:line="440" w:lineRule="exact"/>
        <w:rPr>
          <w:color w:val="auto"/>
          <w:szCs w:val="21"/>
          <w:highlight w:val="none"/>
        </w:rPr>
      </w:pPr>
      <w:r>
        <w:rPr>
          <w:rFonts w:hint="eastAsia"/>
          <w:color w:val="auto"/>
          <w:szCs w:val="21"/>
          <w:highlight w:val="none"/>
        </w:rPr>
        <w:t>（六）其他承包人文件。</w:t>
      </w:r>
    </w:p>
    <w:p>
      <w:pPr>
        <w:spacing w:line="440" w:lineRule="exact"/>
        <w:ind w:firstLine="105" w:firstLineChars="50"/>
        <w:rPr>
          <w:color w:val="auto"/>
          <w:szCs w:val="21"/>
          <w:highlight w:val="none"/>
        </w:rPr>
      </w:pPr>
      <w:r>
        <w:rPr>
          <w:rFonts w:hint="eastAsia"/>
          <w:color w:val="auto"/>
          <w:szCs w:val="21"/>
          <w:highlight w:val="none"/>
        </w:rPr>
        <w:t>《施工组织设计》及各专项施工方案</w:t>
      </w:r>
    </w:p>
    <w:p>
      <w:pPr>
        <w:spacing w:line="440" w:lineRule="exact"/>
        <w:rPr>
          <w:rFonts w:ascii="黑体" w:eastAsia="黑体"/>
          <w:color w:val="auto"/>
          <w:szCs w:val="21"/>
          <w:highlight w:val="none"/>
        </w:rPr>
      </w:pPr>
      <w:r>
        <w:rPr>
          <w:rFonts w:hint="eastAsia" w:ascii="黑体" w:eastAsia="黑体"/>
          <w:color w:val="auto"/>
          <w:szCs w:val="21"/>
          <w:highlight w:val="none"/>
        </w:rPr>
        <w:t>十、工程项目管理规定</w:t>
      </w:r>
    </w:p>
    <w:p>
      <w:pPr>
        <w:spacing w:line="440" w:lineRule="exact"/>
        <w:rPr>
          <w:color w:val="auto"/>
          <w:szCs w:val="21"/>
          <w:highlight w:val="none"/>
        </w:rPr>
      </w:pPr>
      <w:r>
        <w:rPr>
          <w:rFonts w:hint="eastAsia"/>
          <w:color w:val="auto"/>
          <w:highlight w:val="none"/>
        </w:rPr>
        <w:t>（一）质量：</w:t>
      </w:r>
      <w:r>
        <w:rPr>
          <w:rFonts w:hint="eastAsia"/>
          <w:color w:val="auto"/>
          <w:szCs w:val="21"/>
          <w:highlight w:val="none"/>
        </w:rPr>
        <w:t>执行《建筑工程施工质量验收统一标准》（GB50300-2013）和市政工程相关专业施工及质量验收标准，达到其合格标准。</w:t>
      </w:r>
    </w:p>
    <w:p>
      <w:pPr>
        <w:spacing w:line="400" w:lineRule="exact"/>
        <w:rPr>
          <w:color w:val="auto"/>
          <w:highlight w:val="none"/>
        </w:rPr>
      </w:pPr>
      <w:r>
        <w:rPr>
          <w:rFonts w:hint="eastAsia"/>
          <w:color w:val="auto"/>
          <w:highlight w:val="none"/>
        </w:rPr>
        <w:t>（二）进度，包括里程碑进度计划（如果有）。</w:t>
      </w:r>
    </w:p>
    <w:p>
      <w:pPr>
        <w:spacing w:line="400" w:lineRule="exact"/>
        <w:rPr>
          <w:color w:val="auto"/>
          <w:highlight w:val="none"/>
        </w:rPr>
      </w:pPr>
      <w:r>
        <w:rPr>
          <w:rFonts w:hint="eastAsia"/>
          <w:color w:val="auto"/>
          <w:highlight w:val="none"/>
        </w:rPr>
        <w:t>（三）支付：详见合同部分</w:t>
      </w:r>
    </w:p>
    <w:p>
      <w:pPr>
        <w:spacing w:line="400" w:lineRule="exact"/>
        <w:rPr>
          <w:color w:val="auto"/>
          <w:highlight w:val="none"/>
        </w:rPr>
      </w:pPr>
      <w:r>
        <w:rPr>
          <w:rFonts w:hint="eastAsia"/>
          <w:color w:val="auto"/>
          <w:highlight w:val="none"/>
        </w:rPr>
        <w:t>（四）HSE（健康、安全与环境管理体系）：按广西区及桂林市安全生产文明施工现场管理的相关规定。</w:t>
      </w:r>
    </w:p>
    <w:p>
      <w:pPr>
        <w:spacing w:line="400" w:lineRule="exact"/>
        <w:rPr>
          <w:color w:val="auto"/>
          <w:highlight w:val="none"/>
        </w:rPr>
      </w:pPr>
      <w:r>
        <w:rPr>
          <w:rFonts w:hint="eastAsia"/>
          <w:color w:val="auto"/>
          <w:highlight w:val="none"/>
        </w:rPr>
        <w:t>（五）沟通：会议沟通、函件沟通两种方式。</w:t>
      </w:r>
    </w:p>
    <w:p>
      <w:pPr>
        <w:spacing w:line="400" w:lineRule="exact"/>
        <w:rPr>
          <w:color w:val="auto"/>
          <w:highlight w:val="none"/>
        </w:rPr>
      </w:pPr>
      <w:r>
        <w:rPr>
          <w:rFonts w:hint="eastAsia"/>
          <w:color w:val="auto"/>
          <w:highlight w:val="none"/>
        </w:rPr>
        <w:t>（六）变更：设计变更通知单、设计工作联系函两种方式。</w:t>
      </w:r>
    </w:p>
    <w:p>
      <w:pPr>
        <w:spacing w:line="440" w:lineRule="exact"/>
        <w:rPr>
          <w:rFonts w:ascii="黑体" w:eastAsia="黑体"/>
          <w:color w:val="auto"/>
          <w:szCs w:val="21"/>
          <w:highlight w:val="none"/>
        </w:rPr>
      </w:pPr>
      <w:r>
        <w:rPr>
          <w:rFonts w:hint="eastAsia" w:ascii="黑体" w:eastAsia="黑体"/>
          <w:color w:val="auto"/>
          <w:szCs w:val="21"/>
          <w:highlight w:val="none"/>
        </w:rPr>
        <w:t>十一、其他要求</w:t>
      </w:r>
    </w:p>
    <w:p>
      <w:pPr>
        <w:spacing w:line="440" w:lineRule="exact"/>
        <w:rPr>
          <w:rFonts w:ascii="宋体" w:hAnsi="宋体"/>
          <w:b/>
          <w:color w:val="auto"/>
          <w:szCs w:val="21"/>
          <w:highlight w:val="none"/>
        </w:rPr>
      </w:pPr>
      <w:r>
        <w:rPr>
          <w:rFonts w:hint="eastAsia"/>
          <w:color w:val="auto"/>
          <w:szCs w:val="21"/>
          <w:highlight w:val="none"/>
        </w:rPr>
        <w:t>（一）对承包人的主要人员资格要求：</w:t>
      </w:r>
      <w:r>
        <w:rPr>
          <w:rFonts w:hint="eastAsia" w:ascii="宋体" w:hAnsi="宋体"/>
          <w:color w:val="auto"/>
          <w:szCs w:val="21"/>
          <w:highlight w:val="none"/>
        </w:rPr>
        <w:t>按桂林市</w:t>
      </w:r>
      <w:r>
        <w:rPr>
          <w:rFonts w:ascii="宋体" w:hAnsi="宋体"/>
          <w:color w:val="auto"/>
          <w:szCs w:val="21"/>
          <w:highlight w:val="none"/>
        </w:rPr>
        <w:t>市建规〔2006〕270号文</w:t>
      </w:r>
      <w:r>
        <w:rPr>
          <w:rFonts w:hint="eastAsia" w:ascii="宋体" w:hAnsi="宋体"/>
          <w:color w:val="auto"/>
          <w:szCs w:val="21"/>
          <w:highlight w:val="none"/>
        </w:rPr>
        <w:t>的相关要求。</w:t>
      </w:r>
    </w:p>
    <w:p>
      <w:pPr>
        <w:spacing w:line="440" w:lineRule="exact"/>
        <w:rPr>
          <w:color w:val="auto"/>
          <w:szCs w:val="21"/>
          <w:highlight w:val="none"/>
        </w:rPr>
      </w:pPr>
      <w:r>
        <w:rPr>
          <w:rFonts w:hint="eastAsia"/>
          <w:color w:val="auto"/>
          <w:szCs w:val="21"/>
          <w:highlight w:val="none"/>
        </w:rPr>
        <w:t>（二）相关审批、核准和备案手续的办理：由发包人办理，承包人配合。</w:t>
      </w:r>
    </w:p>
    <w:p>
      <w:pPr>
        <w:spacing w:line="440" w:lineRule="exact"/>
        <w:rPr>
          <w:color w:val="auto"/>
          <w:szCs w:val="21"/>
          <w:highlight w:val="none"/>
        </w:rPr>
      </w:pPr>
      <w:r>
        <w:rPr>
          <w:rFonts w:hint="eastAsia"/>
          <w:color w:val="auto"/>
          <w:szCs w:val="21"/>
          <w:highlight w:val="none"/>
        </w:rPr>
        <w:t>（三）对项目业主人员的操作培训：由承包人负责，并承担相关费用。</w:t>
      </w:r>
    </w:p>
    <w:p>
      <w:pPr>
        <w:spacing w:line="440" w:lineRule="exact"/>
        <w:rPr>
          <w:color w:val="auto"/>
          <w:szCs w:val="21"/>
          <w:highlight w:val="none"/>
        </w:rPr>
      </w:pPr>
      <w:r>
        <w:rPr>
          <w:rFonts w:hint="eastAsia"/>
          <w:color w:val="auto"/>
          <w:szCs w:val="21"/>
          <w:highlight w:val="none"/>
        </w:rPr>
        <w:t>（四）分包：允许进行专业分包。</w:t>
      </w:r>
    </w:p>
    <w:p>
      <w:pPr>
        <w:spacing w:line="440" w:lineRule="exact"/>
        <w:rPr>
          <w:color w:val="auto"/>
          <w:szCs w:val="21"/>
          <w:highlight w:val="none"/>
        </w:rPr>
      </w:pPr>
      <w:r>
        <w:rPr>
          <w:rFonts w:hint="eastAsia"/>
          <w:color w:val="auto"/>
          <w:szCs w:val="21"/>
          <w:highlight w:val="none"/>
        </w:rPr>
        <w:t>（五）设备供应商：由承包人选择</w:t>
      </w:r>
    </w:p>
    <w:p>
      <w:pPr>
        <w:spacing w:line="440" w:lineRule="exact"/>
        <w:rPr>
          <w:color w:val="auto"/>
          <w:szCs w:val="21"/>
          <w:highlight w:val="none"/>
        </w:rPr>
      </w:pPr>
      <w:r>
        <w:rPr>
          <w:rFonts w:hint="eastAsia"/>
          <w:color w:val="auto"/>
          <w:szCs w:val="21"/>
          <w:highlight w:val="none"/>
        </w:rPr>
        <w:t>（六）缺陷责任期的服务要求：详见本项目《工程质量保修书》</w:t>
      </w:r>
    </w:p>
    <w:p>
      <w:pPr>
        <w:spacing w:line="440" w:lineRule="exact"/>
        <w:ind w:firstLine="567" w:firstLineChars="270"/>
        <w:rPr>
          <w:color w:val="auto"/>
          <w:szCs w:val="21"/>
          <w:highlight w:val="none"/>
        </w:rPr>
      </w:pPr>
    </w:p>
    <w:p>
      <w:pPr>
        <w:rPr>
          <w:color w:val="auto"/>
          <w:highlight w:val="none"/>
        </w:rPr>
      </w:pPr>
      <w:r>
        <w:rPr>
          <w:color w:val="auto"/>
          <w:highlight w:val="none"/>
        </w:rPr>
        <w:br w:type="page"/>
      </w:r>
    </w:p>
    <w:p>
      <w:pPr>
        <w:pStyle w:val="8"/>
        <w:spacing w:line="360" w:lineRule="auto"/>
        <w:ind w:firstLine="420" w:firstLineChars="200"/>
        <w:rPr>
          <w:color w:val="auto"/>
          <w:highlight w:val="none"/>
        </w:rPr>
        <w:sectPr>
          <w:pgSz w:w="11906" w:h="16838"/>
          <w:pgMar w:top="1440" w:right="1440" w:bottom="1440" w:left="1797" w:header="851" w:footer="851" w:gutter="0"/>
          <w:cols w:space="720" w:num="1"/>
          <w:docGrid w:linePitch="312" w:charSpace="0"/>
        </w:sectPr>
      </w:pPr>
    </w:p>
    <w:p>
      <w:pPr>
        <w:pStyle w:val="8"/>
        <w:spacing w:line="360" w:lineRule="auto"/>
        <w:ind w:left="0" w:leftChars="0"/>
        <w:jc w:val="center"/>
        <w:rPr>
          <w:rFonts w:ascii="宋体" w:hAnsi="宋体"/>
          <w:b/>
          <w:color w:val="auto"/>
          <w:sz w:val="32"/>
          <w:szCs w:val="32"/>
          <w:highlight w:val="none"/>
        </w:rPr>
      </w:pPr>
      <w:r>
        <w:rPr>
          <w:rFonts w:hint="eastAsia" w:ascii="宋体" w:hAnsi="宋体"/>
          <w:b/>
          <w:color w:val="auto"/>
          <w:sz w:val="32"/>
          <w:szCs w:val="32"/>
          <w:highlight w:val="none"/>
        </w:rPr>
        <w:t>第六</w:t>
      </w:r>
      <w:r>
        <w:rPr>
          <w:rFonts w:ascii="宋体" w:hAnsi="宋体"/>
          <w:b/>
          <w:color w:val="auto"/>
          <w:sz w:val="32"/>
          <w:szCs w:val="32"/>
          <w:highlight w:val="none"/>
        </w:rPr>
        <w:t>章　发包人提供的资料</w:t>
      </w:r>
    </w:p>
    <w:p>
      <w:pPr>
        <w:pStyle w:val="8"/>
        <w:spacing w:line="360" w:lineRule="auto"/>
        <w:ind w:left="0" w:leftChars="0"/>
        <w:rPr>
          <w:rFonts w:ascii="宋体" w:hAnsi="宋体"/>
          <w:b/>
          <w:color w:val="auto"/>
          <w:sz w:val="24"/>
          <w:szCs w:val="32"/>
          <w:highlight w:val="none"/>
        </w:rPr>
      </w:pPr>
      <w:r>
        <w:rPr>
          <w:rFonts w:hint="eastAsia" w:ascii="宋体" w:hAnsi="宋体"/>
          <w:b/>
          <w:color w:val="auto"/>
          <w:sz w:val="24"/>
          <w:szCs w:val="32"/>
          <w:highlight w:val="none"/>
        </w:rPr>
        <w:t>一</w:t>
      </w:r>
      <w:r>
        <w:rPr>
          <w:rFonts w:ascii="宋体" w:hAnsi="宋体"/>
          <w:b/>
          <w:color w:val="auto"/>
          <w:sz w:val="24"/>
          <w:szCs w:val="32"/>
          <w:highlight w:val="none"/>
        </w:rPr>
        <w:t>、项目概况</w:t>
      </w:r>
    </w:p>
    <w:p>
      <w:pPr>
        <w:pStyle w:val="8"/>
        <w:spacing w:line="360" w:lineRule="auto"/>
        <w:ind w:left="73" w:leftChars="35"/>
        <w:rPr>
          <w:rFonts w:ascii="宋体" w:hAnsi="宋体"/>
          <w:color w:val="auto"/>
          <w:sz w:val="24"/>
          <w:szCs w:val="32"/>
          <w:highlight w:val="none"/>
          <w:u w:val="single"/>
        </w:rPr>
      </w:pPr>
      <w:r>
        <w:rPr>
          <w:rFonts w:hint="eastAsia" w:ascii="宋体" w:hAnsi="宋体"/>
          <w:color w:val="auto"/>
          <w:sz w:val="24"/>
          <w:szCs w:val="32"/>
          <w:highlight w:val="none"/>
        </w:rPr>
        <w:t>1、</w:t>
      </w:r>
      <w:r>
        <w:rPr>
          <w:rFonts w:ascii="宋体" w:hAnsi="宋体"/>
          <w:color w:val="auto"/>
          <w:sz w:val="24"/>
          <w:szCs w:val="32"/>
          <w:highlight w:val="none"/>
        </w:rPr>
        <w:t>项目名称：</w:t>
      </w:r>
      <w:r>
        <w:rPr>
          <w:rFonts w:hint="eastAsia" w:ascii="宋体" w:hAnsi="宋体"/>
          <w:color w:val="auto"/>
          <w:sz w:val="24"/>
          <w:szCs w:val="32"/>
          <w:highlight w:val="none"/>
          <w:u w:val="single"/>
        </w:rPr>
        <w:t>桂林电子科技大学建筑与交通工程学院结构实验室附属设备基础项目</w:t>
      </w:r>
    </w:p>
    <w:p>
      <w:pPr>
        <w:pStyle w:val="8"/>
        <w:spacing w:line="360" w:lineRule="auto"/>
        <w:ind w:left="0" w:leftChars="0"/>
        <w:rPr>
          <w:rFonts w:ascii="宋体" w:hAnsi="宋体"/>
          <w:color w:val="auto"/>
          <w:sz w:val="24"/>
          <w:szCs w:val="32"/>
          <w:highlight w:val="none"/>
          <w:u w:val="single"/>
        </w:rPr>
      </w:pPr>
      <w:r>
        <w:rPr>
          <w:rFonts w:ascii="宋体" w:hAnsi="宋体"/>
          <w:color w:val="auto"/>
          <w:sz w:val="24"/>
          <w:szCs w:val="32"/>
          <w:highlight w:val="none"/>
        </w:rPr>
        <w:t>2</w:t>
      </w:r>
      <w:r>
        <w:rPr>
          <w:rFonts w:hint="eastAsia" w:ascii="宋体" w:hAnsi="宋体"/>
          <w:color w:val="auto"/>
          <w:sz w:val="24"/>
          <w:szCs w:val="32"/>
          <w:highlight w:val="none"/>
        </w:rPr>
        <w:t>、</w:t>
      </w:r>
      <w:r>
        <w:rPr>
          <w:rFonts w:ascii="宋体" w:hAnsi="宋体"/>
          <w:color w:val="auto"/>
          <w:sz w:val="24"/>
          <w:szCs w:val="32"/>
          <w:highlight w:val="none"/>
        </w:rPr>
        <w:t>工程地点</w:t>
      </w:r>
      <w:r>
        <w:rPr>
          <w:rFonts w:hint="eastAsia" w:ascii="宋体" w:hAnsi="宋体"/>
          <w:color w:val="auto"/>
          <w:sz w:val="24"/>
          <w:szCs w:val="32"/>
          <w:highlight w:val="none"/>
        </w:rPr>
        <w:t xml:space="preserve">: </w:t>
      </w:r>
      <w:r>
        <w:rPr>
          <w:rFonts w:hint="eastAsia" w:ascii="宋体" w:hAnsi="宋体"/>
          <w:color w:val="auto"/>
          <w:sz w:val="24"/>
          <w:szCs w:val="32"/>
          <w:highlight w:val="none"/>
          <w:u w:val="single"/>
        </w:rPr>
        <w:t>桂林</w:t>
      </w:r>
      <w:r>
        <w:rPr>
          <w:rFonts w:ascii="宋体" w:hAnsi="宋体"/>
          <w:color w:val="auto"/>
          <w:sz w:val="24"/>
          <w:szCs w:val="32"/>
          <w:highlight w:val="none"/>
          <w:u w:val="single"/>
        </w:rPr>
        <w:t>电子科技大学</w:t>
      </w:r>
      <w:r>
        <w:rPr>
          <w:rFonts w:hint="eastAsia" w:ascii="宋体" w:hAnsi="宋体"/>
          <w:color w:val="auto"/>
          <w:sz w:val="24"/>
          <w:szCs w:val="32"/>
          <w:highlight w:val="none"/>
          <w:u w:val="single"/>
        </w:rPr>
        <w:t>花</w:t>
      </w:r>
      <w:r>
        <w:rPr>
          <w:rFonts w:ascii="宋体" w:hAnsi="宋体"/>
          <w:color w:val="auto"/>
          <w:sz w:val="24"/>
          <w:szCs w:val="32"/>
          <w:highlight w:val="none"/>
          <w:u w:val="single"/>
        </w:rPr>
        <w:t>江校区</w:t>
      </w:r>
      <w:r>
        <w:rPr>
          <w:rFonts w:hint="eastAsia" w:ascii="宋体" w:hAnsi="宋体"/>
          <w:color w:val="auto"/>
          <w:sz w:val="24"/>
          <w:szCs w:val="32"/>
          <w:highlight w:val="none"/>
          <w:u w:val="single"/>
        </w:rPr>
        <w:t>JX27、28教学</w:t>
      </w:r>
      <w:r>
        <w:rPr>
          <w:rFonts w:ascii="宋体" w:hAnsi="宋体"/>
          <w:color w:val="auto"/>
          <w:sz w:val="24"/>
          <w:szCs w:val="32"/>
          <w:highlight w:val="none"/>
          <w:u w:val="single"/>
        </w:rPr>
        <w:t>楼</w:t>
      </w:r>
      <w:r>
        <w:rPr>
          <w:rFonts w:hint="eastAsia" w:ascii="宋体" w:hAnsi="宋体"/>
          <w:color w:val="auto"/>
          <w:sz w:val="24"/>
          <w:szCs w:val="32"/>
          <w:highlight w:val="none"/>
          <w:u w:val="single"/>
        </w:rPr>
        <w:t>实验</w:t>
      </w:r>
      <w:r>
        <w:rPr>
          <w:rFonts w:ascii="宋体" w:hAnsi="宋体"/>
          <w:color w:val="auto"/>
          <w:sz w:val="24"/>
          <w:szCs w:val="32"/>
          <w:highlight w:val="none"/>
          <w:u w:val="single"/>
        </w:rPr>
        <w:t>楼内</w:t>
      </w:r>
    </w:p>
    <w:p>
      <w:pPr>
        <w:pStyle w:val="8"/>
        <w:spacing w:line="360" w:lineRule="auto"/>
        <w:ind w:left="0" w:leftChars="0"/>
        <w:rPr>
          <w:rFonts w:ascii="宋体" w:hAnsi="宋体"/>
          <w:color w:val="auto"/>
          <w:sz w:val="24"/>
          <w:szCs w:val="32"/>
          <w:highlight w:val="none"/>
        </w:rPr>
      </w:pPr>
      <w:r>
        <w:rPr>
          <w:rFonts w:hint="eastAsia" w:ascii="宋体" w:hAnsi="宋体"/>
          <w:color w:val="auto"/>
          <w:sz w:val="24"/>
          <w:szCs w:val="32"/>
          <w:highlight w:val="none"/>
        </w:rPr>
        <w:t>3、</w:t>
      </w:r>
      <w:r>
        <w:rPr>
          <w:rFonts w:ascii="宋体" w:hAnsi="宋体"/>
          <w:color w:val="auto"/>
          <w:sz w:val="24"/>
          <w:szCs w:val="32"/>
          <w:highlight w:val="none"/>
        </w:rPr>
        <w:t>建设性质：</w:t>
      </w:r>
      <w:r>
        <w:rPr>
          <w:rFonts w:hint="eastAsia" w:ascii="宋体" w:hAnsi="宋体"/>
          <w:color w:val="auto"/>
          <w:sz w:val="24"/>
          <w:szCs w:val="32"/>
          <w:highlight w:val="none"/>
          <w:u w:val="single"/>
        </w:rPr>
        <w:t>科研</w:t>
      </w:r>
      <w:r>
        <w:rPr>
          <w:rFonts w:ascii="宋体" w:hAnsi="宋体"/>
          <w:color w:val="auto"/>
          <w:sz w:val="24"/>
          <w:szCs w:val="32"/>
          <w:highlight w:val="none"/>
          <w:u w:val="single"/>
        </w:rPr>
        <w:t>实验</w:t>
      </w:r>
    </w:p>
    <w:p>
      <w:pPr>
        <w:pStyle w:val="8"/>
        <w:spacing w:line="360" w:lineRule="auto"/>
        <w:ind w:left="0" w:leftChars="0"/>
        <w:rPr>
          <w:rFonts w:ascii="宋体" w:hAnsi="宋体"/>
          <w:color w:val="auto"/>
          <w:sz w:val="24"/>
          <w:szCs w:val="32"/>
          <w:highlight w:val="none"/>
        </w:rPr>
      </w:pPr>
      <w:r>
        <w:rPr>
          <w:rFonts w:ascii="宋体" w:hAnsi="宋体"/>
          <w:color w:val="auto"/>
          <w:sz w:val="24"/>
          <w:szCs w:val="32"/>
          <w:highlight w:val="none"/>
        </w:rPr>
        <w:t>4</w:t>
      </w:r>
      <w:r>
        <w:rPr>
          <w:rFonts w:hint="eastAsia" w:ascii="宋体" w:hAnsi="宋体"/>
          <w:color w:val="auto"/>
          <w:sz w:val="24"/>
          <w:szCs w:val="32"/>
          <w:highlight w:val="none"/>
        </w:rPr>
        <w:t>、</w:t>
      </w:r>
      <w:r>
        <w:rPr>
          <w:rFonts w:ascii="宋体" w:hAnsi="宋体"/>
          <w:color w:val="auto"/>
          <w:sz w:val="24"/>
          <w:szCs w:val="32"/>
          <w:highlight w:val="none"/>
        </w:rPr>
        <w:t>建筑结构：</w:t>
      </w:r>
      <w:r>
        <w:rPr>
          <w:rFonts w:hint="eastAsia" w:ascii="宋体" w:hAnsi="宋体"/>
          <w:color w:val="auto"/>
          <w:sz w:val="24"/>
          <w:szCs w:val="32"/>
          <w:highlight w:val="none"/>
          <w:u w:val="single"/>
        </w:rPr>
        <w:t>型</w:t>
      </w:r>
      <w:r>
        <w:rPr>
          <w:rFonts w:ascii="宋体" w:hAnsi="宋体"/>
          <w:color w:val="auto"/>
          <w:sz w:val="24"/>
          <w:szCs w:val="32"/>
          <w:highlight w:val="none"/>
          <w:u w:val="single"/>
        </w:rPr>
        <w:t>钢混凝土结构</w:t>
      </w:r>
    </w:p>
    <w:p>
      <w:pPr>
        <w:pStyle w:val="8"/>
        <w:spacing w:line="360" w:lineRule="auto"/>
        <w:ind w:left="0" w:leftChars="0"/>
        <w:rPr>
          <w:rFonts w:ascii="宋体" w:hAnsi="宋体"/>
          <w:b/>
          <w:color w:val="auto"/>
          <w:sz w:val="24"/>
          <w:szCs w:val="32"/>
          <w:highlight w:val="none"/>
        </w:rPr>
      </w:pPr>
      <w:r>
        <w:rPr>
          <w:rFonts w:hint="eastAsia" w:ascii="宋体" w:hAnsi="宋体"/>
          <w:b/>
          <w:color w:val="auto"/>
          <w:sz w:val="24"/>
          <w:szCs w:val="32"/>
          <w:highlight w:val="none"/>
        </w:rPr>
        <w:t>二</w:t>
      </w:r>
      <w:r>
        <w:rPr>
          <w:rFonts w:ascii="宋体" w:hAnsi="宋体"/>
          <w:b/>
          <w:color w:val="auto"/>
          <w:sz w:val="24"/>
          <w:szCs w:val="32"/>
          <w:highlight w:val="none"/>
        </w:rPr>
        <w:t>、发包人提供的资料</w:t>
      </w:r>
    </w:p>
    <w:p>
      <w:pPr>
        <w:pStyle w:val="8"/>
        <w:spacing w:line="360" w:lineRule="auto"/>
        <w:ind w:left="0" w:leftChars="0"/>
        <w:rPr>
          <w:rFonts w:ascii="宋体" w:hAnsi="宋体"/>
          <w:color w:val="auto"/>
          <w:sz w:val="24"/>
          <w:szCs w:val="32"/>
          <w:highlight w:val="none"/>
        </w:rPr>
      </w:pPr>
      <w:r>
        <w:rPr>
          <w:rFonts w:hint="eastAsia" w:ascii="宋体" w:hAnsi="宋体"/>
          <w:color w:val="auto"/>
          <w:sz w:val="24"/>
          <w:szCs w:val="32"/>
          <w:highlight w:val="none"/>
        </w:rPr>
        <w:t>1、</w:t>
      </w:r>
      <w:r>
        <w:rPr>
          <w:rFonts w:ascii="宋体" w:hAnsi="宋体"/>
          <w:color w:val="auto"/>
          <w:sz w:val="24"/>
          <w:szCs w:val="32"/>
          <w:highlight w:val="none"/>
        </w:rPr>
        <w:t>本项目的立项批复文件；</w:t>
      </w:r>
    </w:p>
    <w:p>
      <w:pPr>
        <w:pStyle w:val="8"/>
        <w:spacing w:line="360" w:lineRule="auto"/>
        <w:ind w:left="0" w:leftChars="0"/>
        <w:rPr>
          <w:rFonts w:ascii="宋体" w:hAnsi="宋体"/>
          <w:color w:val="auto"/>
          <w:sz w:val="24"/>
          <w:szCs w:val="32"/>
          <w:highlight w:val="none"/>
        </w:rPr>
      </w:pPr>
      <w:r>
        <w:rPr>
          <w:rFonts w:ascii="宋体" w:hAnsi="宋体"/>
          <w:color w:val="auto"/>
          <w:sz w:val="24"/>
          <w:szCs w:val="32"/>
          <w:highlight w:val="none"/>
        </w:rPr>
        <w:t>2</w:t>
      </w:r>
      <w:r>
        <w:rPr>
          <w:rFonts w:hint="eastAsia" w:ascii="宋体" w:hAnsi="宋体"/>
          <w:color w:val="auto"/>
          <w:sz w:val="24"/>
          <w:szCs w:val="32"/>
          <w:highlight w:val="none"/>
        </w:rPr>
        <w:t>、</w:t>
      </w:r>
      <w:r>
        <w:rPr>
          <w:rFonts w:ascii="宋体" w:hAnsi="宋体"/>
          <w:color w:val="auto"/>
          <w:sz w:val="24"/>
          <w:szCs w:val="32"/>
          <w:highlight w:val="none"/>
        </w:rPr>
        <w:t>本项目经批准的可行性研究报告；</w:t>
      </w:r>
    </w:p>
    <w:p>
      <w:pPr>
        <w:pStyle w:val="8"/>
        <w:spacing w:line="360" w:lineRule="auto"/>
        <w:ind w:left="0" w:leftChars="0"/>
        <w:rPr>
          <w:rFonts w:ascii="宋体" w:hAnsi="宋体"/>
          <w:color w:val="auto"/>
          <w:sz w:val="24"/>
          <w:szCs w:val="32"/>
          <w:highlight w:val="none"/>
        </w:rPr>
      </w:pPr>
      <w:r>
        <w:rPr>
          <w:rFonts w:ascii="宋体" w:hAnsi="宋体"/>
          <w:color w:val="auto"/>
          <w:sz w:val="24"/>
          <w:szCs w:val="32"/>
          <w:highlight w:val="none"/>
        </w:rPr>
        <w:t>3</w:t>
      </w:r>
      <w:r>
        <w:rPr>
          <w:rFonts w:hint="eastAsia" w:ascii="宋体" w:hAnsi="宋体"/>
          <w:color w:val="auto"/>
          <w:sz w:val="24"/>
          <w:szCs w:val="32"/>
          <w:highlight w:val="none"/>
        </w:rPr>
        <w:t>、</w:t>
      </w:r>
      <w:r>
        <w:rPr>
          <w:rFonts w:ascii="宋体" w:hAnsi="宋体"/>
          <w:color w:val="auto"/>
          <w:sz w:val="24"/>
          <w:szCs w:val="32"/>
          <w:highlight w:val="none"/>
        </w:rPr>
        <w:t>本</w:t>
      </w:r>
      <w:r>
        <w:rPr>
          <w:rFonts w:hint="eastAsia" w:ascii="宋体" w:hAnsi="宋体"/>
          <w:color w:val="auto"/>
          <w:sz w:val="24"/>
          <w:szCs w:val="32"/>
          <w:highlight w:val="none"/>
        </w:rPr>
        <w:t>项目所</w:t>
      </w:r>
      <w:r>
        <w:rPr>
          <w:rFonts w:ascii="宋体" w:hAnsi="宋体"/>
          <w:color w:val="auto"/>
          <w:sz w:val="24"/>
          <w:szCs w:val="32"/>
          <w:highlight w:val="none"/>
        </w:rPr>
        <w:t>在的结构</w:t>
      </w:r>
      <w:r>
        <w:rPr>
          <w:rFonts w:hint="eastAsia" w:ascii="宋体" w:hAnsi="宋体"/>
          <w:color w:val="auto"/>
          <w:sz w:val="24"/>
          <w:szCs w:val="32"/>
          <w:highlight w:val="none"/>
        </w:rPr>
        <w:t>实验</w:t>
      </w:r>
      <w:r>
        <w:rPr>
          <w:rFonts w:ascii="宋体" w:hAnsi="宋体"/>
          <w:color w:val="auto"/>
          <w:sz w:val="24"/>
          <w:szCs w:val="32"/>
          <w:highlight w:val="none"/>
        </w:rPr>
        <w:t>室的平面图</w:t>
      </w:r>
      <w:r>
        <w:rPr>
          <w:rFonts w:hint="eastAsia" w:ascii="宋体" w:hAnsi="宋体"/>
          <w:color w:val="auto"/>
          <w:sz w:val="24"/>
          <w:szCs w:val="32"/>
          <w:highlight w:val="none"/>
        </w:rPr>
        <w:t>；</w:t>
      </w:r>
    </w:p>
    <w:p>
      <w:pPr>
        <w:pStyle w:val="8"/>
        <w:spacing w:line="360" w:lineRule="auto"/>
        <w:ind w:left="0" w:leftChars="0"/>
        <w:rPr>
          <w:rFonts w:ascii="宋体" w:hAnsi="宋体"/>
          <w:color w:val="auto"/>
          <w:sz w:val="24"/>
          <w:szCs w:val="32"/>
          <w:highlight w:val="none"/>
        </w:rPr>
      </w:pPr>
      <w:r>
        <w:rPr>
          <w:rFonts w:hint="eastAsia" w:ascii="宋体" w:hAnsi="宋体"/>
          <w:color w:val="auto"/>
          <w:sz w:val="24"/>
          <w:szCs w:val="32"/>
          <w:highlight w:val="none"/>
        </w:rPr>
        <w:t>4、</w:t>
      </w:r>
      <w:r>
        <w:rPr>
          <w:rFonts w:ascii="宋体" w:hAnsi="宋体"/>
          <w:color w:val="auto"/>
          <w:sz w:val="24"/>
          <w:szCs w:val="32"/>
          <w:highlight w:val="none"/>
        </w:rPr>
        <w:t>发包人提供的设计基础资料。</w:t>
      </w:r>
    </w:p>
    <w:p>
      <w:pPr>
        <w:pStyle w:val="8"/>
        <w:spacing w:line="360" w:lineRule="auto"/>
        <w:ind w:left="0" w:leftChars="0"/>
        <w:rPr>
          <w:rFonts w:ascii="宋体" w:hAnsi="宋体"/>
          <w:b/>
          <w:color w:val="auto"/>
          <w:sz w:val="24"/>
          <w:szCs w:val="32"/>
          <w:highlight w:val="none"/>
        </w:rPr>
      </w:pPr>
    </w:p>
    <w:p>
      <w:pPr>
        <w:pStyle w:val="8"/>
        <w:pageBreakBefore/>
        <w:spacing w:line="360" w:lineRule="auto"/>
        <w:ind w:left="0" w:leftChars="0"/>
        <w:rPr>
          <w:b/>
          <w:bCs/>
          <w:color w:val="auto"/>
          <w:sz w:val="32"/>
          <w:szCs w:val="32"/>
          <w:highlight w:val="none"/>
        </w:rPr>
      </w:pPr>
      <w:r>
        <w:rPr>
          <w:rFonts w:hint="eastAsia" w:ascii="宋体" w:hAnsi="宋体"/>
          <w:b/>
          <w:color w:val="auto"/>
          <w:sz w:val="32"/>
          <w:szCs w:val="32"/>
          <w:highlight w:val="none"/>
        </w:rPr>
        <w:t xml:space="preserve">附表：        设计任务书 </w:t>
      </w: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一、工程概况及设计范围</w:t>
      </w:r>
    </w:p>
    <w:p>
      <w:pPr>
        <w:spacing w:line="360" w:lineRule="auto"/>
        <w:rPr>
          <w:rFonts w:ascii="宋体" w:hAnsi="宋体"/>
          <w:color w:val="auto"/>
          <w:highlight w:val="none"/>
        </w:rPr>
      </w:pPr>
      <w:r>
        <w:rPr>
          <w:rFonts w:hint="eastAsia" w:ascii="宋体" w:hAnsi="宋体"/>
          <w:color w:val="auto"/>
          <w:highlight w:val="none"/>
        </w:rPr>
        <w:t>1、项目概况</w:t>
      </w:r>
    </w:p>
    <w:p>
      <w:pPr>
        <w:pStyle w:val="8"/>
        <w:spacing w:line="360" w:lineRule="auto"/>
        <w:rPr>
          <w:rFonts w:ascii="宋体" w:hAnsi="宋体"/>
          <w:color w:val="auto"/>
          <w:sz w:val="24"/>
          <w:szCs w:val="32"/>
          <w:highlight w:val="none"/>
          <w:u w:val="single"/>
        </w:rPr>
      </w:pPr>
      <w:r>
        <w:rPr>
          <w:rFonts w:hint="eastAsia" w:ascii="宋体" w:hAnsi="宋体"/>
          <w:color w:val="auto"/>
          <w:sz w:val="24"/>
          <w:szCs w:val="32"/>
          <w:highlight w:val="none"/>
        </w:rPr>
        <w:t>1）</w:t>
      </w:r>
      <w:r>
        <w:rPr>
          <w:rFonts w:ascii="宋体" w:hAnsi="宋体"/>
          <w:color w:val="auto"/>
          <w:sz w:val="24"/>
          <w:szCs w:val="32"/>
          <w:highlight w:val="none"/>
        </w:rPr>
        <w:t>项目名称：</w:t>
      </w:r>
      <w:r>
        <w:rPr>
          <w:rFonts w:hint="eastAsia" w:ascii="宋体" w:hAnsi="宋体"/>
          <w:color w:val="auto"/>
          <w:sz w:val="24"/>
          <w:szCs w:val="32"/>
          <w:highlight w:val="none"/>
          <w:u w:val="single"/>
        </w:rPr>
        <w:t>桂林电子科技大学建筑与交通工程学院结构实验室附属设备基础项目</w:t>
      </w:r>
    </w:p>
    <w:p>
      <w:pPr>
        <w:pStyle w:val="8"/>
        <w:spacing w:line="360" w:lineRule="auto"/>
        <w:ind w:left="0" w:leftChars="0"/>
        <w:rPr>
          <w:rFonts w:ascii="宋体" w:hAnsi="宋体"/>
          <w:color w:val="auto"/>
          <w:sz w:val="24"/>
          <w:szCs w:val="32"/>
          <w:highlight w:val="none"/>
        </w:rPr>
      </w:pPr>
      <w:r>
        <w:rPr>
          <w:rFonts w:ascii="宋体" w:hAnsi="宋体"/>
          <w:color w:val="auto"/>
          <w:sz w:val="24"/>
          <w:szCs w:val="32"/>
          <w:highlight w:val="none"/>
        </w:rPr>
        <w:t>2</w:t>
      </w:r>
      <w:r>
        <w:rPr>
          <w:rFonts w:hint="eastAsia" w:ascii="宋体" w:hAnsi="宋体"/>
          <w:color w:val="auto"/>
          <w:sz w:val="24"/>
          <w:szCs w:val="32"/>
          <w:highlight w:val="none"/>
        </w:rPr>
        <w:t>）</w:t>
      </w:r>
      <w:r>
        <w:rPr>
          <w:rFonts w:ascii="宋体" w:hAnsi="宋体"/>
          <w:color w:val="auto"/>
          <w:sz w:val="24"/>
          <w:szCs w:val="32"/>
          <w:highlight w:val="none"/>
        </w:rPr>
        <w:t>工程地点</w:t>
      </w:r>
      <w:r>
        <w:rPr>
          <w:rFonts w:hint="eastAsia" w:ascii="宋体" w:hAnsi="宋体"/>
          <w:color w:val="auto"/>
          <w:sz w:val="24"/>
          <w:szCs w:val="32"/>
          <w:highlight w:val="none"/>
        </w:rPr>
        <w:t xml:space="preserve">: </w:t>
      </w:r>
      <w:r>
        <w:rPr>
          <w:rFonts w:hint="eastAsia" w:ascii="宋体" w:hAnsi="宋体"/>
          <w:color w:val="auto"/>
          <w:sz w:val="24"/>
          <w:szCs w:val="32"/>
          <w:highlight w:val="none"/>
          <w:u w:val="single"/>
        </w:rPr>
        <w:t>桂林</w:t>
      </w:r>
      <w:r>
        <w:rPr>
          <w:rFonts w:ascii="宋体" w:hAnsi="宋体"/>
          <w:color w:val="auto"/>
          <w:sz w:val="24"/>
          <w:szCs w:val="32"/>
          <w:highlight w:val="none"/>
          <w:u w:val="single"/>
        </w:rPr>
        <w:t>电子科技大学</w:t>
      </w:r>
      <w:r>
        <w:rPr>
          <w:rFonts w:hint="eastAsia" w:ascii="宋体" w:hAnsi="宋体"/>
          <w:color w:val="auto"/>
          <w:sz w:val="24"/>
          <w:szCs w:val="32"/>
          <w:highlight w:val="none"/>
          <w:u w:val="single"/>
        </w:rPr>
        <w:t>花</w:t>
      </w:r>
      <w:r>
        <w:rPr>
          <w:rFonts w:ascii="宋体" w:hAnsi="宋体"/>
          <w:color w:val="auto"/>
          <w:sz w:val="24"/>
          <w:szCs w:val="32"/>
          <w:highlight w:val="none"/>
          <w:u w:val="single"/>
        </w:rPr>
        <w:t>江校区</w:t>
      </w:r>
      <w:r>
        <w:rPr>
          <w:rFonts w:hint="eastAsia" w:ascii="宋体" w:hAnsi="宋体"/>
          <w:color w:val="auto"/>
          <w:sz w:val="24"/>
          <w:szCs w:val="32"/>
          <w:highlight w:val="none"/>
          <w:u w:val="single"/>
        </w:rPr>
        <w:t>JX27、28教学</w:t>
      </w:r>
      <w:r>
        <w:rPr>
          <w:rFonts w:ascii="宋体" w:hAnsi="宋体"/>
          <w:color w:val="auto"/>
          <w:sz w:val="24"/>
          <w:szCs w:val="32"/>
          <w:highlight w:val="none"/>
          <w:u w:val="single"/>
        </w:rPr>
        <w:t>楼</w:t>
      </w:r>
      <w:r>
        <w:rPr>
          <w:rFonts w:hint="eastAsia" w:ascii="宋体" w:hAnsi="宋体"/>
          <w:color w:val="auto"/>
          <w:sz w:val="24"/>
          <w:szCs w:val="32"/>
          <w:highlight w:val="none"/>
          <w:u w:val="single"/>
        </w:rPr>
        <w:t>实验</w:t>
      </w:r>
      <w:r>
        <w:rPr>
          <w:rFonts w:ascii="宋体" w:hAnsi="宋体"/>
          <w:color w:val="auto"/>
          <w:sz w:val="24"/>
          <w:szCs w:val="32"/>
          <w:highlight w:val="none"/>
          <w:u w:val="single"/>
        </w:rPr>
        <w:t>楼内</w:t>
      </w:r>
    </w:p>
    <w:p>
      <w:pPr>
        <w:pStyle w:val="8"/>
        <w:spacing w:line="360" w:lineRule="auto"/>
        <w:ind w:left="0" w:leftChars="0"/>
        <w:rPr>
          <w:rFonts w:ascii="宋体" w:hAnsi="宋体"/>
          <w:color w:val="auto"/>
          <w:sz w:val="24"/>
          <w:szCs w:val="32"/>
          <w:highlight w:val="none"/>
        </w:rPr>
      </w:pPr>
      <w:r>
        <w:rPr>
          <w:rFonts w:hint="eastAsia" w:ascii="宋体" w:hAnsi="宋体"/>
          <w:color w:val="auto"/>
          <w:sz w:val="24"/>
          <w:szCs w:val="32"/>
          <w:highlight w:val="none"/>
        </w:rPr>
        <w:t>3）</w:t>
      </w:r>
      <w:r>
        <w:rPr>
          <w:rFonts w:ascii="宋体" w:hAnsi="宋体"/>
          <w:color w:val="auto"/>
          <w:sz w:val="24"/>
          <w:szCs w:val="32"/>
          <w:highlight w:val="none"/>
        </w:rPr>
        <w:t>建设性质：</w:t>
      </w:r>
      <w:r>
        <w:rPr>
          <w:rFonts w:hint="eastAsia" w:ascii="宋体" w:hAnsi="宋体"/>
          <w:color w:val="auto"/>
          <w:sz w:val="24"/>
          <w:szCs w:val="32"/>
          <w:highlight w:val="none"/>
          <w:u w:val="single"/>
        </w:rPr>
        <w:t>科研</w:t>
      </w:r>
      <w:r>
        <w:rPr>
          <w:rFonts w:ascii="宋体" w:hAnsi="宋体"/>
          <w:color w:val="auto"/>
          <w:sz w:val="24"/>
          <w:szCs w:val="32"/>
          <w:highlight w:val="none"/>
          <w:u w:val="single"/>
        </w:rPr>
        <w:t>实验</w:t>
      </w:r>
    </w:p>
    <w:p>
      <w:pPr>
        <w:pStyle w:val="8"/>
        <w:spacing w:line="360" w:lineRule="auto"/>
        <w:ind w:left="0" w:leftChars="0"/>
        <w:rPr>
          <w:rFonts w:ascii="宋体" w:hAnsi="宋体"/>
          <w:color w:val="auto"/>
          <w:sz w:val="24"/>
          <w:szCs w:val="32"/>
          <w:highlight w:val="none"/>
        </w:rPr>
      </w:pPr>
      <w:r>
        <w:rPr>
          <w:rFonts w:ascii="宋体" w:hAnsi="宋体"/>
          <w:color w:val="auto"/>
          <w:sz w:val="24"/>
          <w:szCs w:val="32"/>
          <w:highlight w:val="none"/>
        </w:rPr>
        <w:t>4</w:t>
      </w:r>
      <w:r>
        <w:rPr>
          <w:rFonts w:hint="eastAsia" w:ascii="宋体" w:hAnsi="宋体"/>
          <w:color w:val="auto"/>
          <w:sz w:val="24"/>
          <w:szCs w:val="32"/>
          <w:highlight w:val="none"/>
        </w:rPr>
        <w:t>）</w:t>
      </w:r>
      <w:r>
        <w:rPr>
          <w:rFonts w:ascii="宋体" w:hAnsi="宋体"/>
          <w:color w:val="auto"/>
          <w:sz w:val="24"/>
          <w:szCs w:val="32"/>
          <w:highlight w:val="none"/>
        </w:rPr>
        <w:t>建筑结构：</w:t>
      </w:r>
      <w:r>
        <w:rPr>
          <w:rFonts w:hint="eastAsia" w:ascii="宋体" w:hAnsi="宋体"/>
          <w:color w:val="auto"/>
          <w:sz w:val="24"/>
          <w:szCs w:val="32"/>
          <w:highlight w:val="none"/>
          <w:u w:val="single"/>
        </w:rPr>
        <w:t>型</w:t>
      </w:r>
      <w:r>
        <w:rPr>
          <w:rFonts w:ascii="宋体" w:hAnsi="宋体"/>
          <w:color w:val="auto"/>
          <w:sz w:val="24"/>
          <w:szCs w:val="32"/>
          <w:highlight w:val="none"/>
          <w:u w:val="single"/>
        </w:rPr>
        <w:t>钢混凝土结构</w:t>
      </w:r>
    </w:p>
    <w:p>
      <w:pPr>
        <w:spacing w:line="360" w:lineRule="auto"/>
        <w:rPr>
          <w:rFonts w:ascii="宋体" w:hAnsi="宋体"/>
          <w:color w:val="auto"/>
          <w:sz w:val="28"/>
          <w:szCs w:val="28"/>
          <w:highlight w:val="none"/>
        </w:rPr>
      </w:pPr>
      <w:r>
        <w:rPr>
          <w:rFonts w:hint="eastAsia" w:ascii="宋体" w:hAnsi="宋体"/>
          <w:color w:val="auto"/>
          <w:highlight w:val="none"/>
        </w:rPr>
        <w:t>2、建设要求</w:t>
      </w:r>
    </w:p>
    <w:p>
      <w:pPr>
        <w:spacing w:line="360" w:lineRule="auto"/>
        <w:rPr>
          <w:rFonts w:ascii="宋体" w:hAnsi="宋体"/>
          <w:color w:val="auto"/>
          <w:sz w:val="28"/>
          <w:szCs w:val="28"/>
          <w:highlight w:val="none"/>
          <w:u w:val="single"/>
        </w:rPr>
      </w:pPr>
      <w:r>
        <w:rPr>
          <w:rFonts w:hint="eastAsia" w:ascii="宋体" w:hAnsi="宋体"/>
          <w:color w:val="auto"/>
          <w:highlight w:val="none"/>
        </w:rPr>
        <w:t>反</w:t>
      </w:r>
      <w:r>
        <w:rPr>
          <w:rFonts w:ascii="宋体" w:hAnsi="宋体"/>
          <w:color w:val="auto"/>
          <w:highlight w:val="none"/>
        </w:rPr>
        <w:t>力墙</w:t>
      </w:r>
      <w:r>
        <w:rPr>
          <w:rFonts w:hint="eastAsia" w:ascii="宋体" w:hAnsi="宋体"/>
          <w:color w:val="auto"/>
          <w:highlight w:val="none"/>
        </w:rPr>
        <w:t>和</w:t>
      </w:r>
      <w:r>
        <w:rPr>
          <w:rFonts w:ascii="宋体" w:hAnsi="宋体"/>
          <w:color w:val="auto"/>
          <w:highlight w:val="none"/>
        </w:rPr>
        <w:t>试验台座</w:t>
      </w:r>
      <w:r>
        <w:rPr>
          <w:rFonts w:hint="eastAsia" w:ascii="宋体" w:hAnsi="宋体"/>
          <w:color w:val="auto"/>
          <w:highlight w:val="none"/>
        </w:rPr>
        <w:t>的</w:t>
      </w:r>
      <w:r>
        <w:rPr>
          <w:rFonts w:ascii="宋体" w:hAnsi="宋体"/>
          <w:color w:val="auto"/>
          <w:highlight w:val="none"/>
        </w:rPr>
        <w:t>设计必须满足以下</w:t>
      </w:r>
      <w:r>
        <w:rPr>
          <w:rFonts w:hint="eastAsia" w:ascii="宋体" w:hAnsi="宋体"/>
          <w:color w:val="auto"/>
          <w:highlight w:val="none"/>
        </w:rPr>
        <w:t>力</w:t>
      </w:r>
      <w:r>
        <w:rPr>
          <w:rFonts w:ascii="宋体" w:hAnsi="宋体"/>
          <w:color w:val="auto"/>
          <w:highlight w:val="none"/>
        </w:rPr>
        <w:t>学</w:t>
      </w:r>
      <w:r>
        <w:rPr>
          <w:rFonts w:hint="eastAsia" w:ascii="宋体" w:hAnsi="宋体"/>
          <w:color w:val="auto"/>
          <w:highlight w:val="none"/>
        </w:rPr>
        <w:t>性能</w:t>
      </w:r>
      <w:r>
        <w:rPr>
          <w:rFonts w:ascii="宋体" w:hAnsi="宋体"/>
          <w:color w:val="auto"/>
          <w:highlight w:val="none"/>
        </w:rPr>
        <w:t>指标和</w:t>
      </w:r>
      <w:r>
        <w:rPr>
          <w:rFonts w:hint="eastAsia" w:ascii="宋体" w:hAnsi="宋体"/>
          <w:color w:val="auto"/>
          <w:highlight w:val="none"/>
        </w:rPr>
        <w:t>构造</w:t>
      </w:r>
      <w:r>
        <w:rPr>
          <w:rFonts w:ascii="宋体" w:hAnsi="宋体"/>
          <w:color w:val="auto"/>
          <w:highlight w:val="none"/>
        </w:rPr>
        <w:t>要求</w:t>
      </w:r>
      <w:r>
        <w:rPr>
          <w:rFonts w:hint="eastAsia" w:ascii="宋体" w:hAnsi="宋体"/>
          <w:color w:val="auto"/>
          <w:highlight w:val="none"/>
        </w:rPr>
        <w:t>。</w:t>
      </w:r>
    </w:p>
    <w:p>
      <w:pPr>
        <w:spacing w:line="360" w:lineRule="auto"/>
        <w:rPr>
          <w:rFonts w:ascii="宋体" w:hAnsi="宋体"/>
          <w:color w:val="auto"/>
          <w:highlight w:val="none"/>
          <w:u w:val="single"/>
        </w:rPr>
      </w:pPr>
      <w:r>
        <w:rPr>
          <w:rFonts w:hint="eastAsia" w:ascii="宋体" w:hAnsi="宋体"/>
          <w:color w:val="auto"/>
          <w:highlight w:val="none"/>
          <w:u w:val="single"/>
        </w:rPr>
        <w:t>1）反力墙两片，反力试验台座厚度1.5m,反力墙一9.5m*3.2m*9m，反力墙二11.5m*2.8m*9m（h）。</w:t>
      </w:r>
    </w:p>
    <w:p>
      <w:pPr>
        <w:spacing w:line="360" w:lineRule="auto"/>
        <w:rPr>
          <w:rFonts w:ascii="宋体" w:hAnsi="宋体"/>
          <w:color w:val="auto"/>
          <w:highlight w:val="none"/>
          <w:u w:val="single"/>
        </w:rPr>
      </w:pPr>
      <w:r>
        <w:rPr>
          <w:rFonts w:hint="eastAsia" w:ascii="宋体" w:hAnsi="宋体"/>
          <w:color w:val="auto"/>
          <w:highlight w:val="none"/>
          <w:u w:val="single"/>
        </w:rPr>
        <w:t>2）反力墙一在水平力作用下墙底部可承受12000kN.m；反力墙二在水平力作用下墙底部可承受8000kN.m。</w:t>
      </w:r>
    </w:p>
    <w:p>
      <w:pPr>
        <w:spacing w:line="360" w:lineRule="auto"/>
        <w:rPr>
          <w:rFonts w:ascii="宋体" w:hAnsi="宋体"/>
          <w:color w:val="auto"/>
          <w:highlight w:val="none"/>
          <w:u w:val="single"/>
        </w:rPr>
      </w:pPr>
      <w:r>
        <w:rPr>
          <w:rFonts w:hint="eastAsia" w:ascii="宋体" w:hAnsi="宋体"/>
          <w:color w:val="auto"/>
          <w:highlight w:val="none"/>
          <w:u w:val="single"/>
        </w:rPr>
        <w:t>3）反力墙一单个加载孔最大允许拉(压)力标准值为500kN,3mx3m区格内4孔组合最大允许拉(压)力标准值为2000kN。</w:t>
      </w:r>
    </w:p>
    <w:p>
      <w:pPr>
        <w:spacing w:line="360" w:lineRule="auto"/>
        <w:rPr>
          <w:rFonts w:ascii="宋体" w:hAnsi="宋体"/>
          <w:color w:val="auto"/>
          <w:highlight w:val="none"/>
          <w:u w:val="single"/>
        </w:rPr>
      </w:pPr>
      <w:r>
        <w:rPr>
          <w:rFonts w:hint="eastAsia" w:ascii="宋体" w:hAnsi="宋体"/>
          <w:color w:val="auto"/>
          <w:highlight w:val="none"/>
          <w:u w:val="single"/>
        </w:rPr>
        <w:t>4）反力墙二单个加载孔最大允许拉(压)力标准值为400kN,3mx3m区格内4孔组合最大允许拉(压)力标准值为1600kN。</w:t>
      </w:r>
    </w:p>
    <w:p>
      <w:pPr>
        <w:spacing w:line="360" w:lineRule="auto"/>
        <w:rPr>
          <w:rFonts w:ascii="宋体" w:hAnsi="宋体"/>
          <w:color w:val="auto"/>
          <w:highlight w:val="none"/>
          <w:u w:val="single"/>
        </w:rPr>
      </w:pPr>
      <w:r>
        <w:rPr>
          <w:rFonts w:hint="eastAsia" w:ascii="宋体" w:hAnsi="宋体"/>
          <w:color w:val="auto"/>
          <w:highlight w:val="none"/>
          <w:u w:val="single"/>
        </w:rPr>
        <w:t>5）反力墙顶部最大位移不超过5mm（L/1800）。</w:t>
      </w:r>
    </w:p>
    <w:p>
      <w:pPr>
        <w:spacing w:line="360" w:lineRule="auto"/>
        <w:rPr>
          <w:rFonts w:ascii="宋体" w:hAnsi="宋体"/>
          <w:color w:val="auto"/>
          <w:highlight w:val="none"/>
          <w:u w:val="single"/>
        </w:rPr>
      </w:pPr>
      <w:r>
        <w:rPr>
          <w:rFonts w:hint="eastAsia" w:ascii="宋体" w:hAnsi="宋体"/>
          <w:color w:val="auto"/>
          <w:highlight w:val="none"/>
          <w:u w:val="single"/>
        </w:rPr>
        <w:t>6）槽道式试验台座在5mx6m四立柱反力架中心1000x1000区域内可承受竖向集中力标准值为4000kN。槽道承载力50T/M。</w:t>
      </w:r>
    </w:p>
    <w:p>
      <w:pPr>
        <w:numPr>
          <w:ilvl w:val="0"/>
          <w:numId w:val="8"/>
        </w:numPr>
        <w:spacing w:line="360" w:lineRule="auto"/>
        <w:rPr>
          <w:rFonts w:ascii="宋体" w:hAnsi="宋体"/>
          <w:color w:val="auto"/>
          <w:highlight w:val="none"/>
        </w:rPr>
      </w:pPr>
      <w:r>
        <w:rPr>
          <w:rFonts w:hint="eastAsia" w:ascii="宋体" w:hAnsi="宋体"/>
          <w:color w:val="auto"/>
          <w:highlight w:val="none"/>
        </w:rPr>
        <w:t>设计范围</w:t>
      </w:r>
    </w:p>
    <w:p>
      <w:pPr>
        <w:spacing w:line="360" w:lineRule="auto"/>
        <w:rPr>
          <w:rFonts w:ascii="宋体" w:hAnsi="宋体"/>
          <w:color w:val="auto"/>
          <w:sz w:val="28"/>
          <w:szCs w:val="28"/>
          <w:highlight w:val="none"/>
        </w:rPr>
      </w:pPr>
      <w:r>
        <w:rPr>
          <w:rFonts w:hint="eastAsia" w:ascii="宋体" w:hAnsi="宋体" w:cs="宋体"/>
          <w:color w:val="auto"/>
          <w:kern w:val="0"/>
          <w:szCs w:val="21"/>
          <w:highlight w:val="none"/>
        </w:rPr>
        <w:t>（一）、设计范围</w:t>
      </w:r>
    </w:p>
    <w:p>
      <w:pPr>
        <w:spacing w:line="360" w:lineRule="auto"/>
        <w:ind w:firstLine="420" w:firstLineChars="200"/>
        <w:rPr>
          <w:rFonts w:ascii="宋体" w:hAnsi="宋体" w:cs="宋体"/>
          <w:color w:val="auto"/>
          <w:kern w:val="0"/>
          <w:szCs w:val="21"/>
          <w:highlight w:val="none"/>
          <w:u w:val="single"/>
        </w:rPr>
      </w:pPr>
      <w:r>
        <w:rPr>
          <w:rFonts w:hint="eastAsia" w:ascii="宋体" w:hAnsi="宋体" w:cs="宋体"/>
          <w:color w:val="auto"/>
          <w:kern w:val="0"/>
          <w:szCs w:val="21"/>
          <w:highlight w:val="none"/>
          <w:u w:val="single"/>
        </w:rPr>
        <w:t>桂林</w:t>
      </w:r>
      <w:r>
        <w:rPr>
          <w:rFonts w:ascii="宋体" w:hAnsi="宋体" w:cs="宋体"/>
          <w:color w:val="auto"/>
          <w:kern w:val="0"/>
          <w:szCs w:val="21"/>
          <w:highlight w:val="none"/>
          <w:u w:val="single"/>
        </w:rPr>
        <w:t>电子科技大学建筑与</w:t>
      </w:r>
      <w:r>
        <w:rPr>
          <w:rFonts w:hint="eastAsia" w:ascii="宋体" w:hAnsi="宋体" w:cs="宋体"/>
          <w:color w:val="auto"/>
          <w:kern w:val="0"/>
          <w:szCs w:val="21"/>
          <w:highlight w:val="none"/>
          <w:u w:val="single"/>
        </w:rPr>
        <w:t>交通</w:t>
      </w:r>
      <w:r>
        <w:rPr>
          <w:rFonts w:ascii="宋体" w:hAnsi="宋体" w:cs="宋体"/>
          <w:color w:val="auto"/>
          <w:kern w:val="0"/>
          <w:szCs w:val="21"/>
          <w:highlight w:val="none"/>
          <w:u w:val="single"/>
        </w:rPr>
        <w:t>工程学院结构实验</w:t>
      </w:r>
      <w:r>
        <w:rPr>
          <w:rFonts w:hint="eastAsia" w:ascii="宋体" w:hAnsi="宋体" w:cs="宋体"/>
          <w:color w:val="auto"/>
          <w:kern w:val="0"/>
          <w:szCs w:val="21"/>
          <w:highlight w:val="none"/>
          <w:u w:val="single"/>
        </w:rPr>
        <w:t>室</w:t>
      </w:r>
      <w:r>
        <w:rPr>
          <w:rFonts w:ascii="宋体" w:hAnsi="宋体" w:cs="宋体"/>
          <w:color w:val="auto"/>
          <w:kern w:val="0"/>
          <w:szCs w:val="21"/>
          <w:highlight w:val="none"/>
          <w:u w:val="single"/>
        </w:rPr>
        <w:t>附属设备基础</w:t>
      </w:r>
      <w:r>
        <w:rPr>
          <w:rFonts w:hint="eastAsia" w:ascii="宋体" w:hAnsi="宋体" w:cs="宋体"/>
          <w:color w:val="auto"/>
          <w:kern w:val="0"/>
          <w:szCs w:val="21"/>
          <w:highlight w:val="none"/>
          <w:u w:val="single"/>
        </w:rPr>
        <w:t>，</w:t>
      </w:r>
      <w:r>
        <w:rPr>
          <w:rFonts w:ascii="宋体" w:hAnsi="宋体" w:cs="宋体"/>
          <w:color w:val="auto"/>
          <w:kern w:val="0"/>
          <w:szCs w:val="21"/>
          <w:highlight w:val="none"/>
          <w:u w:val="single"/>
        </w:rPr>
        <w:t>包括</w:t>
      </w:r>
      <w:r>
        <w:rPr>
          <w:rFonts w:hint="eastAsia" w:ascii="宋体" w:hAnsi="宋体" w:cs="宋体"/>
          <w:color w:val="auto"/>
          <w:kern w:val="0"/>
          <w:szCs w:val="21"/>
          <w:highlight w:val="none"/>
          <w:u w:val="single"/>
        </w:rPr>
        <w:t>反</w:t>
      </w:r>
      <w:r>
        <w:rPr>
          <w:rFonts w:ascii="宋体" w:hAnsi="宋体" w:cs="宋体"/>
          <w:color w:val="auto"/>
          <w:kern w:val="0"/>
          <w:szCs w:val="21"/>
          <w:highlight w:val="none"/>
          <w:u w:val="single"/>
        </w:rPr>
        <w:t>力墙和设备试验台座。</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（二）、工作内容</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（1）投标人应负责完成本项目的深化设计工作，包括项目的平面</w:t>
      </w:r>
      <w:r>
        <w:rPr>
          <w:rFonts w:ascii="宋体" w:hAnsi="宋体" w:cs="宋体"/>
          <w:color w:val="auto"/>
          <w:kern w:val="0"/>
          <w:szCs w:val="21"/>
          <w:highlight w:val="none"/>
        </w:rPr>
        <w:t>布置、</w:t>
      </w:r>
      <w:r>
        <w:rPr>
          <w:rFonts w:hint="eastAsia" w:ascii="宋体" w:hAnsi="宋体" w:cs="宋体"/>
          <w:color w:val="auto"/>
          <w:kern w:val="0"/>
          <w:szCs w:val="21"/>
          <w:highlight w:val="none"/>
        </w:rPr>
        <w:t>建筑、结构、初步设计和施工图设计。</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（2）配合业主完成与项目相关的全部材料、设备的选型工作。</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工程监造配合工作，包括：施工期间受托方具体配合现场进行设计交底及监造工作，施工过程中涉及到与建筑设计相关部分的确认、修改、调整。施工过程中出现的问题应跟踪到现场协商解决；工程结束后的最终验收。</w:t>
      </w:r>
    </w:p>
    <w:p>
      <w:pPr>
        <w:pStyle w:val="2"/>
        <w:spacing w:line="360" w:lineRule="auto"/>
        <w:rPr>
          <w:rFonts w:ascii="宋体" w:hAnsi="宋体" w:eastAsia="宋体" w:cs="宋体"/>
          <w:color w:val="auto"/>
          <w:highlight w:val="none"/>
        </w:rPr>
      </w:pPr>
      <w:bookmarkStart w:id="1870" w:name="_Toc338147054"/>
      <w:bookmarkStart w:id="1871" w:name="_Toc485023050"/>
      <w:bookmarkStart w:id="1872" w:name="_Toc492507605"/>
      <w:bookmarkStart w:id="1873" w:name="_Toc513198270"/>
      <w:bookmarkStart w:id="1874" w:name="_Toc497927775"/>
      <w:bookmarkStart w:id="1875" w:name="_Toc489263422"/>
      <w:r>
        <w:rPr>
          <w:rFonts w:hint="eastAsia" w:ascii="宋体" w:hAnsi="宋体" w:eastAsia="宋体" w:cs="宋体"/>
          <w:color w:val="auto"/>
          <w:highlight w:val="none"/>
        </w:rPr>
        <w:t>4、设计</w:t>
      </w:r>
      <w:bookmarkEnd w:id="1870"/>
      <w:r>
        <w:rPr>
          <w:rFonts w:hint="eastAsia" w:ascii="宋体" w:hAnsi="宋体" w:eastAsia="宋体" w:cs="宋体"/>
          <w:color w:val="auto"/>
          <w:highlight w:val="none"/>
        </w:rPr>
        <w:t>依据</w:t>
      </w:r>
      <w:bookmarkEnd w:id="1871"/>
      <w:bookmarkEnd w:id="1872"/>
      <w:bookmarkEnd w:id="1873"/>
      <w:bookmarkEnd w:id="1874"/>
      <w:bookmarkEnd w:id="1875"/>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1、国家、地方有关法律、法规、文件及行业设计规范。</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2、本项目的立项、规划定点及批准的建筑风貌等本项目的各部门批准文件；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3、建设区域资料。</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4、本设计任务书；</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5、招标人提供的其他资料。</w:t>
      </w:r>
    </w:p>
    <w:p>
      <w:pPr>
        <w:spacing w:line="360" w:lineRule="auto"/>
        <w:ind w:firstLine="420" w:firstLineChars="200"/>
        <w:rPr>
          <w:rFonts w:ascii="宋体" w:hAnsi="宋体" w:cs="宋体"/>
          <w:color w:val="auto"/>
          <w:kern w:val="0"/>
          <w:szCs w:val="21"/>
          <w:highlight w:val="none"/>
        </w:rPr>
      </w:pPr>
    </w:p>
    <w:p>
      <w:pPr>
        <w:spacing w:line="360" w:lineRule="auto"/>
        <w:rPr>
          <w:rFonts w:ascii="宋体" w:hAnsi="宋体"/>
          <w:color w:val="auto"/>
          <w:highlight w:val="none"/>
        </w:rPr>
      </w:pPr>
      <w:r>
        <w:rPr>
          <w:rFonts w:hint="eastAsia" w:ascii="宋体" w:hAnsi="宋体"/>
          <w:color w:val="auto"/>
          <w:highlight w:val="none"/>
        </w:rPr>
        <w:t>二、设计内容及要求</w:t>
      </w:r>
    </w:p>
    <w:p>
      <w:pPr>
        <w:spacing w:line="360" w:lineRule="auto"/>
        <w:ind w:firstLine="420" w:firstLineChars="200"/>
        <w:rPr>
          <w:rFonts w:ascii="宋体" w:hAnsi="宋体" w:cs="宋体"/>
          <w:color w:val="auto"/>
          <w:kern w:val="0"/>
          <w:szCs w:val="21"/>
          <w:highlight w:val="none"/>
          <w:u w:val="single"/>
        </w:rPr>
      </w:pPr>
      <w:r>
        <w:rPr>
          <w:rFonts w:hint="eastAsia" w:ascii="宋体" w:hAnsi="宋体"/>
          <w:color w:val="auto"/>
          <w:highlight w:val="none"/>
        </w:rPr>
        <w:t>本次设计内容包含：</w:t>
      </w:r>
      <w:r>
        <w:rPr>
          <w:rFonts w:hint="eastAsia" w:ascii="宋体" w:hAnsi="宋体" w:cs="宋体"/>
          <w:color w:val="auto"/>
          <w:kern w:val="0"/>
          <w:szCs w:val="21"/>
          <w:highlight w:val="none"/>
          <w:u w:val="single"/>
        </w:rPr>
        <w:t>桂林电子科技大学建筑与交通工程学院结构实验室附属设备基础，</w:t>
      </w:r>
      <w:r>
        <w:rPr>
          <w:rFonts w:ascii="宋体" w:hAnsi="宋体" w:cs="宋体"/>
          <w:color w:val="auto"/>
          <w:kern w:val="0"/>
          <w:szCs w:val="21"/>
          <w:highlight w:val="none"/>
          <w:u w:val="single"/>
        </w:rPr>
        <w:t>包括</w:t>
      </w:r>
      <w:r>
        <w:rPr>
          <w:rFonts w:hint="eastAsia" w:ascii="宋体" w:hAnsi="宋体" w:cs="宋体"/>
          <w:color w:val="auto"/>
          <w:kern w:val="0"/>
          <w:szCs w:val="21"/>
          <w:highlight w:val="none"/>
          <w:u w:val="single"/>
        </w:rPr>
        <w:t>实体</w:t>
      </w:r>
      <w:r>
        <w:rPr>
          <w:rFonts w:ascii="宋体" w:hAnsi="宋体" w:cs="宋体"/>
          <w:color w:val="auto"/>
          <w:kern w:val="0"/>
          <w:szCs w:val="21"/>
          <w:highlight w:val="none"/>
          <w:u w:val="single"/>
        </w:rPr>
        <w:t>槽道式试验设备反力台座</w:t>
      </w:r>
      <w:r>
        <w:rPr>
          <w:rFonts w:hint="eastAsia" w:ascii="宋体" w:hAnsi="宋体"/>
          <w:color w:val="auto"/>
          <w:szCs w:val="21"/>
          <w:highlight w:val="none"/>
          <w:u w:val="single"/>
        </w:rPr>
        <w:t>（外围尺寸为26.7m×16.0m，板厚（埋深）1.50m）</w:t>
      </w:r>
      <w:r>
        <w:rPr>
          <w:rFonts w:hint="eastAsia" w:ascii="宋体" w:hAnsi="宋体" w:cs="宋体"/>
          <w:color w:val="auto"/>
          <w:kern w:val="0"/>
          <w:szCs w:val="21"/>
          <w:highlight w:val="none"/>
          <w:u w:val="single"/>
        </w:rPr>
        <w:t>及</w:t>
      </w:r>
      <w:r>
        <w:rPr>
          <w:rFonts w:ascii="宋体" w:hAnsi="宋体" w:cs="宋体"/>
          <w:color w:val="auto"/>
          <w:kern w:val="0"/>
          <w:szCs w:val="21"/>
          <w:highlight w:val="none"/>
          <w:u w:val="single"/>
        </w:rPr>
        <w:t>两</w:t>
      </w:r>
      <w:r>
        <w:rPr>
          <w:rFonts w:hint="eastAsia" w:ascii="宋体" w:hAnsi="宋体" w:cs="宋体"/>
          <w:color w:val="auto"/>
          <w:kern w:val="0"/>
          <w:szCs w:val="21"/>
          <w:highlight w:val="none"/>
          <w:u w:val="single"/>
        </w:rPr>
        <w:t>面</w:t>
      </w:r>
      <w:r>
        <w:rPr>
          <w:rFonts w:ascii="宋体" w:hAnsi="宋体" w:cs="宋体"/>
          <w:color w:val="auto"/>
          <w:kern w:val="0"/>
          <w:szCs w:val="21"/>
          <w:highlight w:val="none"/>
          <w:u w:val="single"/>
        </w:rPr>
        <w:t>箱式反力墙</w:t>
      </w:r>
      <w:r>
        <w:rPr>
          <w:rFonts w:hint="eastAsia" w:ascii="宋体" w:hAnsi="宋体" w:cs="宋体"/>
          <w:color w:val="auto"/>
          <w:kern w:val="0"/>
          <w:szCs w:val="21"/>
          <w:highlight w:val="none"/>
          <w:u w:val="single"/>
        </w:rPr>
        <w:t>（尺寸</w:t>
      </w:r>
      <w:r>
        <w:rPr>
          <w:rFonts w:ascii="宋体" w:hAnsi="宋体" w:cs="宋体"/>
          <w:color w:val="auto"/>
          <w:kern w:val="0"/>
          <w:szCs w:val="21"/>
          <w:highlight w:val="none"/>
          <w:u w:val="single"/>
        </w:rPr>
        <w:t>9</w:t>
      </w:r>
      <w:r>
        <w:rPr>
          <w:rFonts w:hint="eastAsia" w:ascii="宋体" w:hAnsi="宋体" w:cs="宋体"/>
          <w:color w:val="auto"/>
          <w:kern w:val="0"/>
          <w:szCs w:val="21"/>
          <w:highlight w:val="none"/>
          <w:u w:val="single"/>
        </w:rPr>
        <w:t>.5m×</w:t>
      </w:r>
      <w:r>
        <w:rPr>
          <w:rFonts w:ascii="宋体" w:hAnsi="宋体" w:cs="宋体"/>
          <w:color w:val="auto"/>
          <w:kern w:val="0"/>
          <w:szCs w:val="21"/>
          <w:highlight w:val="none"/>
          <w:u w:val="single"/>
        </w:rPr>
        <w:t>3.2</w:t>
      </w:r>
      <w:r>
        <w:rPr>
          <w:rFonts w:hint="eastAsia" w:ascii="宋体" w:hAnsi="宋体" w:cs="宋体"/>
          <w:color w:val="auto"/>
          <w:kern w:val="0"/>
          <w:szCs w:val="21"/>
          <w:highlight w:val="none"/>
          <w:u w:val="single"/>
        </w:rPr>
        <w:t>m×9.0</w:t>
      </w:r>
      <w:r>
        <w:rPr>
          <w:rFonts w:ascii="宋体" w:hAnsi="宋体" w:cs="宋体"/>
          <w:color w:val="auto"/>
          <w:kern w:val="0"/>
          <w:szCs w:val="21"/>
          <w:highlight w:val="none"/>
          <w:u w:val="single"/>
        </w:rPr>
        <w:t>m</w:t>
      </w:r>
      <w:r>
        <w:rPr>
          <w:rFonts w:hint="eastAsia" w:ascii="宋体" w:hAnsi="宋体"/>
          <w:color w:val="auto"/>
          <w:highlight w:val="none"/>
          <w:u w:val="single"/>
        </w:rPr>
        <w:t>（h）</w:t>
      </w:r>
      <w:r>
        <w:rPr>
          <w:rFonts w:hint="eastAsia" w:ascii="宋体" w:hAnsi="宋体" w:cs="宋体"/>
          <w:color w:val="auto"/>
          <w:kern w:val="0"/>
          <w:szCs w:val="21"/>
          <w:highlight w:val="none"/>
          <w:u w:val="single"/>
        </w:rPr>
        <w:t>、11.5m×2.8m×9.0</w:t>
      </w:r>
      <w:r>
        <w:rPr>
          <w:rFonts w:ascii="宋体" w:hAnsi="宋体" w:cs="宋体"/>
          <w:color w:val="auto"/>
          <w:kern w:val="0"/>
          <w:szCs w:val="21"/>
          <w:highlight w:val="none"/>
          <w:u w:val="single"/>
        </w:rPr>
        <w:t>m</w:t>
      </w:r>
      <w:r>
        <w:rPr>
          <w:rFonts w:hint="eastAsia" w:ascii="宋体" w:hAnsi="宋体"/>
          <w:color w:val="auto"/>
          <w:highlight w:val="none"/>
          <w:u w:val="single"/>
        </w:rPr>
        <w:t>（h）</w:t>
      </w:r>
      <w:r>
        <w:rPr>
          <w:rFonts w:hint="eastAsia" w:ascii="宋体" w:hAnsi="宋体" w:cs="宋体"/>
          <w:color w:val="auto"/>
          <w:kern w:val="0"/>
          <w:szCs w:val="21"/>
          <w:highlight w:val="none"/>
          <w:u w:val="single"/>
        </w:rPr>
        <w:t>）。</w:t>
      </w:r>
    </w:p>
    <w:p>
      <w:pPr>
        <w:spacing w:line="360" w:lineRule="auto"/>
        <w:rPr>
          <w:rFonts w:ascii="宋体" w:hAnsi="宋体"/>
          <w:color w:val="auto"/>
          <w:highlight w:val="none"/>
        </w:rPr>
      </w:pPr>
    </w:p>
    <w:p>
      <w:pPr>
        <w:spacing w:line="360" w:lineRule="auto"/>
        <w:rPr>
          <w:rFonts w:ascii="宋体" w:hAnsi="宋体"/>
          <w:color w:val="auto"/>
          <w:highlight w:val="none"/>
          <w:u w:val="single"/>
        </w:rPr>
      </w:pPr>
      <w:r>
        <w:rPr>
          <w:rFonts w:hint="eastAsia" w:ascii="宋体" w:hAnsi="宋体"/>
          <w:color w:val="auto"/>
          <w:highlight w:val="none"/>
        </w:rPr>
        <w:t>（一）建筑设计：</w:t>
      </w:r>
    </w:p>
    <w:p>
      <w:pPr>
        <w:spacing w:line="360" w:lineRule="auto"/>
        <w:ind w:firstLine="420" w:firstLineChars="200"/>
        <w:rPr>
          <w:rFonts w:ascii="宋体" w:hAnsi="宋体" w:cs="宋体"/>
          <w:color w:val="auto"/>
          <w:kern w:val="0"/>
          <w:szCs w:val="21"/>
          <w:highlight w:val="none"/>
          <w:u w:val="single"/>
        </w:rPr>
      </w:pPr>
      <w:r>
        <w:rPr>
          <w:rFonts w:ascii="宋体" w:hAnsi="宋体" w:cs="宋体"/>
          <w:color w:val="auto"/>
          <w:kern w:val="0"/>
          <w:szCs w:val="21"/>
          <w:highlight w:val="none"/>
          <w:u w:val="single"/>
        </w:rPr>
        <w:t>1</w:t>
      </w:r>
      <w:r>
        <w:rPr>
          <w:rFonts w:hint="eastAsia" w:ascii="宋体" w:hAnsi="宋体" w:cs="宋体"/>
          <w:color w:val="auto"/>
          <w:kern w:val="0"/>
          <w:szCs w:val="21"/>
          <w:highlight w:val="none"/>
          <w:u w:val="single"/>
        </w:rPr>
        <w:t>）</w:t>
      </w:r>
      <w:r>
        <w:rPr>
          <w:rFonts w:ascii="宋体" w:hAnsi="宋体" w:cs="宋体"/>
          <w:color w:val="auto"/>
          <w:kern w:val="0"/>
          <w:szCs w:val="21"/>
          <w:highlight w:val="none"/>
          <w:u w:val="single"/>
        </w:rPr>
        <w:t>附属设备基础</w:t>
      </w:r>
      <w:r>
        <w:rPr>
          <w:rFonts w:hint="eastAsia" w:ascii="宋体" w:hAnsi="宋体" w:cs="宋体"/>
          <w:color w:val="auto"/>
          <w:kern w:val="0"/>
          <w:szCs w:val="21"/>
          <w:highlight w:val="none"/>
          <w:u w:val="single"/>
        </w:rPr>
        <w:t>平面</w:t>
      </w:r>
      <w:r>
        <w:rPr>
          <w:rFonts w:ascii="宋体" w:hAnsi="宋体" w:cs="宋体"/>
          <w:color w:val="auto"/>
          <w:kern w:val="0"/>
          <w:szCs w:val="21"/>
          <w:highlight w:val="none"/>
          <w:u w:val="single"/>
        </w:rPr>
        <w:t>布置</w:t>
      </w:r>
      <w:r>
        <w:rPr>
          <w:rFonts w:hint="eastAsia" w:ascii="宋体" w:hAnsi="宋体" w:cs="宋体"/>
          <w:color w:val="auto"/>
          <w:kern w:val="0"/>
          <w:szCs w:val="21"/>
          <w:highlight w:val="none"/>
          <w:u w:val="single"/>
        </w:rPr>
        <w:t>应</w:t>
      </w:r>
      <w:r>
        <w:rPr>
          <w:rFonts w:ascii="宋体" w:hAnsi="宋体" w:cs="宋体"/>
          <w:color w:val="auto"/>
          <w:kern w:val="0"/>
          <w:szCs w:val="21"/>
          <w:highlight w:val="none"/>
          <w:u w:val="single"/>
        </w:rPr>
        <w:t>合理，</w:t>
      </w:r>
      <w:r>
        <w:rPr>
          <w:rFonts w:hint="eastAsia" w:ascii="宋体" w:hAnsi="宋体" w:cs="宋体"/>
          <w:color w:val="auto"/>
          <w:kern w:val="0"/>
          <w:szCs w:val="21"/>
          <w:highlight w:val="none"/>
          <w:u w:val="single"/>
        </w:rPr>
        <w:t>能</w:t>
      </w:r>
      <w:r>
        <w:rPr>
          <w:rFonts w:ascii="宋体" w:hAnsi="宋体" w:cs="宋体"/>
          <w:color w:val="auto"/>
          <w:kern w:val="0"/>
          <w:szCs w:val="21"/>
          <w:highlight w:val="none"/>
          <w:u w:val="single"/>
        </w:rPr>
        <w:t>满足实验室布局</w:t>
      </w:r>
      <w:r>
        <w:rPr>
          <w:rFonts w:hint="eastAsia" w:ascii="宋体" w:hAnsi="宋体" w:cs="宋体"/>
          <w:color w:val="auto"/>
          <w:kern w:val="0"/>
          <w:szCs w:val="21"/>
          <w:highlight w:val="none"/>
          <w:u w:val="single"/>
        </w:rPr>
        <w:t>和</w:t>
      </w:r>
      <w:r>
        <w:rPr>
          <w:rFonts w:ascii="宋体" w:hAnsi="宋体" w:cs="宋体"/>
          <w:color w:val="auto"/>
          <w:kern w:val="0"/>
          <w:szCs w:val="21"/>
          <w:highlight w:val="none"/>
          <w:u w:val="single"/>
        </w:rPr>
        <w:t>使用</w:t>
      </w:r>
      <w:r>
        <w:rPr>
          <w:rFonts w:hint="eastAsia" w:ascii="宋体" w:hAnsi="宋体" w:cs="宋体"/>
          <w:color w:val="auto"/>
          <w:kern w:val="0"/>
          <w:szCs w:val="21"/>
          <w:highlight w:val="none"/>
          <w:u w:val="single"/>
        </w:rPr>
        <w:t>功能</w:t>
      </w:r>
      <w:r>
        <w:rPr>
          <w:rFonts w:ascii="宋体" w:hAnsi="宋体" w:cs="宋体"/>
          <w:color w:val="auto"/>
          <w:kern w:val="0"/>
          <w:szCs w:val="21"/>
          <w:highlight w:val="none"/>
          <w:u w:val="single"/>
        </w:rPr>
        <w:t>，方便</w:t>
      </w:r>
      <w:r>
        <w:rPr>
          <w:rFonts w:hint="eastAsia" w:ascii="宋体" w:hAnsi="宋体" w:cs="宋体"/>
          <w:color w:val="auto"/>
          <w:kern w:val="0"/>
          <w:szCs w:val="21"/>
          <w:highlight w:val="none"/>
          <w:u w:val="single"/>
        </w:rPr>
        <w:t>实验</w:t>
      </w:r>
      <w:r>
        <w:rPr>
          <w:rFonts w:ascii="宋体" w:hAnsi="宋体" w:cs="宋体"/>
          <w:color w:val="auto"/>
          <w:kern w:val="0"/>
          <w:szCs w:val="21"/>
          <w:highlight w:val="none"/>
          <w:u w:val="single"/>
        </w:rPr>
        <w:t>室</w:t>
      </w:r>
      <w:r>
        <w:rPr>
          <w:rFonts w:hint="eastAsia" w:ascii="宋体" w:hAnsi="宋体" w:cs="宋体"/>
          <w:color w:val="auto"/>
          <w:kern w:val="0"/>
          <w:szCs w:val="21"/>
          <w:highlight w:val="none"/>
          <w:u w:val="single"/>
        </w:rPr>
        <w:t>交通和便于进行实验</w:t>
      </w:r>
      <w:r>
        <w:rPr>
          <w:rFonts w:ascii="宋体" w:hAnsi="宋体" w:cs="宋体"/>
          <w:color w:val="auto"/>
          <w:kern w:val="0"/>
          <w:szCs w:val="21"/>
          <w:highlight w:val="none"/>
          <w:u w:val="single"/>
        </w:rPr>
        <w:t>；</w:t>
      </w:r>
    </w:p>
    <w:p>
      <w:pPr>
        <w:spacing w:line="360" w:lineRule="auto"/>
        <w:ind w:firstLine="420" w:firstLineChars="200"/>
        <w:rPr>
          <w:rFonts w:ascii="宋体" w:hAnsi="宋体"/>
          <w:color w:val="auto"/>
          <w:highlight w:val="none"/>
          <w:u w:val="single"/>
        </w:rPr>
      </w:pPr>
      <w:r>
        <w:rPr>
          <w:rFonts w:hint="eastAsia" w:ascii="宋体" w:hAnsi="宋体" w:cs="宋体"/>
          <w:color w:val="auto"/>
          <w:kern w:val="0"/>
          <w:szCs w:val="21"/>
          <w:highlight w:val="none"/>
          <w:u w:val="single"/>
        </w:rPr>
        <w:t>2）反力</w:t>
      </w:r>
      <w:r>
        <w:rPr>
          <w:rFonts w:ascii="宋体" w:hAnsi="宋体" w:cs="宋体"/>
          <w:color w:val="auto"/>
          <w:kern w:val="0"/>
          <w:szCs w:val="21"/>
          <w:highlight w:val="none"/>
          <w:u w:val="single"/>
        </w:rPr>
        <w:t>墙</w:t>
      </w:r>
      <w:r>
        <w:rPr>
          <w:rFonts w:hint="eastAsia" w:ascii="宋体" w:hAnsi="宋体" w:cs="宋体"/>
          <w:color w:val="auto"/>
          <w:kern w:val="0"/>
          <w:szCs w:val="21"/>
          <w:highlight w:val="none"/>
          <w:u w:val="single"/>
        </w:rPr>
        <w:t>的</w:t>
      </w:r>
      <w:r>
        <w:rPr>
          <w:rFonts w:ascii="宋体" w:hAnsi="宋体" w:cs="宋体"/>
          <w:color w:val="auto"/>
          <w:kern w:val="0"/>
          <w:szCs w:val="21"/>
          <w:highlight w:val="none"/>
          <w:u w:val="single"/>
        </w:rPr>
        <w:t>平整度</w:t>
      </w:r>
      <w:r>
        <w:rPr>
          <w:rFonts w:hint="eastAsia" w:ascii="宋体" w:hAnsi="宋体" w:cs="宋体"/>
          <w:color w:val="auto"/>
          <w:kern w:val="0"/>
          <w:szCs w:val="21"/>
          <w:highlight w:val="none"/>
          <w:u w:val="single"/>
        </w:rPr>
        <w:t>、</w:t>
      </w:r>
      <w:r>
        <w:rPr>
          <w:rFonts w:ascii="宋体" w:hAnsi="宋体" w:cs="宋体"/>
          <w:color w:val="auto"/>
          <w:kern w:val="0"/>
          <w:szCs w:val="21"/>
          <w:highlight w:val="none"/>
          <w:u w:val="single"/>
        </w:rPr>
        <w:t>垂直度等外观</w:t>
      </w:r>
      <w:r>
        <w:rPr>
          <w:rFonts w:ascii="宋体" w:hAnsi="宋体"/>
          <w:color w:val="auto"/>
          <w:highlight w:val="none"/>
          <w:u w:val="single"/>
        </w:rPr>
        <w:t>满足</w:t>
      </w:r>
      <w:r>
        <w:rPr>
          <w:rFonts w:hint="eastAsia" w:ascii="宋体" w:hAnsi="宋体"/>
          <w:color w:val="auto"/>
          <w:highlight w:val="none"/>
          <w:u w:val="single"/>
        </w:rPr>
        <w:t>实验</w:t>
      </w:r>
      <w:r>
        <w:rPr>
          <w:rFonts w:ascii="宋体" w:hAnsi="宋体"/>
          <w:color w:val="auto"/>
          <w:highlight w:val="none"/>
          <w:u w:val="single"/>
        </w:rPr>
        <w:t>功能所需的技术指标要求。</w:t>
      </w:r>
    </w:p>
    <w:p>
      <w:pPr>
        <w:spacing w:line="360" w:lineRule="auto"/>
        <w:ind w:firstLine="420" w:firstLineChars="200"/>
        <w:rPr>
          <w:rFonts w:ascii="宋体" w:hAnsi="宋体"/>
          <w:color w:val="auto"/>
          <w:highlight w:val="none"/>
          <w:u w:val="single"/>
        </w:rPr>
      </w:pPr>
      <w:r>
        <w:rPr>
          <w:rFonts w:ascii="宋体" w:hAnsi="宋体"/>
          <w:color w:val="auto"/>
          <w:highlight w:val="none"/>
          <w:u w:val="single"/>
        </w:rPr>
        <w:t>3</w:t>
      </w:r>
      <w:r>
        <w:rPr>
          <w:rFonts w:hint="eastAsia" w:ascii="宋体" w:hAnsi="宋体"/>
          <w:color w:val="auto"/>
          <w:highlight w:val="none"/>
          <w:u w:val="single"/>
        </w:rPr>
        <w:t>）试验台座地面平整度能</w:t>
      </w:r>
      <w:r>
        <w:rPr>
          <w:rFonts w:ascii="宋体" w:hAnsi="宋体"/>
          <w:color w:val="auto"/>
          <w:highlight w:val="none"/>
          <w:u w:val="single"/>
        </w:rPr>
        <w:t>满足</w:t>
      </w:r>
      <w:r>
        <w:rPr>
          <w:rFonts w:hint="eastAsia" w:ascii="宋体" w:hAnsi="宋体"/>
          <w:color w:val="auto"/>
          <w:highlight w:val="none"/>
          <w:u w:val="single"/>
        </w:rPr>
        <w:t>实验</w:t>
      </w:r>
      <w:r>
        <w:rPr>
          <w:rFonts w:ascii="宋体" w:hAnsi="宋体"/>
          <w:color w:val="auto"/>
          <w:highlight w:val="none"/>
          <w:u w:val="single"/>
        </w:rPr>
        <w:t>功能所需的技术指标要求</w:t>
      </w:r>
      <w:r>
        <w:rPr>
          <w:rFonts w:hint="eastAsia" w:ascii="宋体" w:hAnsi="宋体"/>
          <w:color w:val="auto"/>
          <w:highlight w:val="none"/>
          <w:u w:val="single"/>
        </w:rPr>
        <w:t>。</w:t>
      </w:r>
    </w:p>
    <w:p>
      <w:pPr>
        <w:spacing w:line="360" w:lineRule="auto"/>
        <w:ind w:firstLine="420" w:firstLineChars="200"/>
        <w:rPr>
          <w:rFonts w:ascii="宋体" w:hAnsi="宋体"/>
          <w:color w:val="auto"/>
          <w:highlight w:val="none"/>
          <w:u w:val="single"/>
        </w:rPr>
      </w:pPr>
      <w:r>
        <w:rPr>
          <w:rFonts w:hint="eastAsia" w:ascii="宋体" w:hAnsi="宋体"/>
          <w:color w:val="auto"/>
          <w:highlight w:val="none"/>
          <w:u w:val="single"/>
        </w:rPr>
        <w:t>4）加载孔预埋件制作精度和安装精度，必须</w:t>
      </w:r>
      <w:r>
        <w:rPr>
          <w:rFonts w:ascii="宋体" w:hAnsi="宋体"/>
          <w:color w:val="auto"/>
          <w:highlight w:val="none"/>
          <w:u w:val="single"/>
        </w:rPr>
        <w:t>满足实验功能所</w:t>
      </w:r>
      <w:r>
        <w:rPr>
          <w:rFonts w:hint="eastAsia" w:ascii="宋体" w:hAnsi="宋体"/>
          <w:color w:val="auto"/>
          <w:highlight w:val="none"/>
          <w:u w:val="single"/>
        </w:rPr>
        <w:t>需要</w:t>
      </w:r>
      <w:r>
        <w:rPr>
          <w:rFonts w:ascii="宋体" w:hAnsi="宋体"/>
          <w:color w:val="auto"/>
          <w:highlight w:val="none"/>
          <w:u w:val="single"/>
        </w:rPr>
        <w:t>的技术指标要求。</w:t>
      </w:r>
    </w:p>
    <w:p>
      <w:pPr>
        <w:spacing w:line="360" w:lineRule="auto"/>
        <w:ind w:firstLine="420" w:firstLineChars="200"/>
        <w:rPr>
          <w:rFonts w:ascii="宋体" w:hAnsi="宋体"/>
          <w:color w:val="auto"/>
          <w:highlight w:val="none"/>
          <w:u w:val="single"/>
        </w:rPr>
      </w:pPr>
      <w:r>
        <w:rPr>
          <w:rFonts w:ascii="宋体" w:hAnsi="宋体"/>
          <w:color w:val="auto"/>
          <w:highlight w:val="none"/>
          <w:u w:val="single"/>
        </w:rPr>
        <w:t>6</w:t>
      </w:r>
      <w:r>
        <w:rPr>
          <w:rFonts w:hint="eastAsia" w:ascii="宋体" w:hAnsi="宋体"/>
          <w:color w:val="auto"/>
          <w:highlight w:val="none"/>
          <w:u w:val="single"/>
        </w:rPr>
        <w:t>）槽</w:t>
      </w:r>
      <w:r>
        <w:rPr>
          <w:rFonts w:ascii="宋体" w:hAnsi="宋体"/>
          <w:color w:val="auto"/>
          <w:highlight w:val="none"/>
          <w:u w:val="single"/>
        </w:rPr>
        <w:t>道的安装</w:t>
      </w:r>
      <w:r>
        <w:rPr>
          <w:rFonts w:hint="eastAsia" w:ascii="宋体" w:hAnsi="宋体"/>
          <w:color w:val="auto"/>
          <w:highlight w:val="none"/>
          <w:u w:val="single"/>
        </w:rPr>
        <w:t>精度</w:t>
      </w:r>
      <w:r>
        <w:rPr>
          <w:rFonts w:ascii="宋体" w:hAnsi="宋体"/>
          <w:color w:val="auto"/>
          <w:highlight w:val="none"/>
          <w:u w:val="single"/>
        </w:rPr>
        <w:t>偏差</w:t>
      </w:r>
      <w:r>
        <w:rPr>
          <w:rFonts w:hint="eastAsia" w:ascii="宋体" w:hAnsi="宋体"/>
          <w:color w:val="auto"/>
          <w:highlight w:val="none"/>
          <w:u w:val="single"/>
        </w:rPr>
        <w:t>，</w:t>
      </w:r>
      <w:r>
        <w:rPr>
          <w:rFonts w:ascii="宋体" w:hAnsi="宋体"/>
          <w:color w:val="auto"/>
          <w:highlight w:val="none"/>
          <w:u w:val="single"/>
        </w:rPr>
        <w:t>必须满足实验功能所需要的技术指标要求。</w:t>
      </w:r>
    </w:p>
    <w:p>
      <w:pPr>
        <w:spacing w:line="360" w:lineRule="auto"/>
        <w:rPr>
          <w:rFonts w:ascii="宋体" w:hAnsi="宋体"/>
          <w:color w:val="auto"/>
          <w:highlight w:val="none"/>
          <w:u w:val="single"/>
        </w:rPr>
      </w:pPr>
      <w:r>
        <w:rPr>
          <w:rFonts w:hint="eastAsia" w:ascii="宋体" w:hAnsi="宋体"/>
          <w:color w:val="auto"/>
          <w:highlight w:val="none"/>
          <w:u w:val="single"/>
        </w:rPr>
        <w:t>（二）结构设计：</w:t>
      </w:r>
    </w:p>
    <w:p>
      <w:pPr>
        <w:spacing w:line="360" w:lineRule="auto"/>
        <w:ind w:firstLine="420" w:firstLineChars="200"/>
        <w:rPr>
          <w:rFonts w:ascii="宋体" w:hAnsi="宋体"/>
          <w:color w:val="auto"/>
          <w:highlight w:val="none"/>
          <w:u w:val="single"/>
        </w:rPr>
      </w:pPr>
      <w:r>
        <w:rPr>
          <w:rFonts w:ascii="宋体" w:hAnsi="宋体"/>
          <w:color w:val="auto"/>
          <w:highlight w:val="none"/>
          <w:u w:val="single"/>
        </w:rPr>
        <w:t>1</w:t>
      </w:r>
      <w:r>
        <w:rPr>
          <w:rFonts w:hint="eastAsia" w:ascii="宋体" w:hAnsi="宋体"/>
          <w:color w:val="auto"/>
          <w:highlight w:val="none"/>
          <w:u w:val="single"/>
        </w:rPr>
        <w:t>）反力墙一在水平力作用下墙底部可承受12000kN.m；反力墙二在水平力作用下墙底部可承受8000kN.m。</w:t>
      </w:r>
    </w:p>
    <w:p>
      <w:pPr>
        <w:spacing w:line="360" w:lineRule="auto"/>
        <w:ind w:firstLine="420" w:firstLineChars="200"/>
        <w:rPr>
          <w:rFonts w:ascii="宋体" w:hAnsi="宋体"/>
          <w:color w:val="auto"/>
          <w:highlight w:val="none"/>
          <w:u w:val="single"/>
        </w:rPr>
      </w:pPr>
      <w:r>
        <w:rPr>
          <w:rFonts w:ascii="宋体" w:hAnsi="宋体"/>
          <w:color w:val="auto"/>
          <w:highlight w:val="none"/>
          <w:u w:val="single"/>
        </w:rPr>
        <w:t>2</w:t>
      </w:r>
      <w:r>
        <w:rPr>
          <w:rFonts w:hint="eastAsia" w:ascii="宋体" w:hAnsi="宋体"/>
          <w:color w:val="auto"/>
          <w:highlight w:val="none"/>
          <w:u w:val="single"/>
        </w:rPr>
        <w:t>）反力墙一单个加载孔最大允许拉(压)力标准值为500kN,3mx3m区格内4孔组合最大允许拉(压)力标准值为2000kN。</w:t>
      </w:r>
    </w:p>
    <w:p>
      <w:pPr>
        <w:spacing w:line="360" w:lineRule="auto"/>
        <w:ind w:firstLine="420" w:firstLineChars="200"/>
        <w:rPr>
          <w:rFonts w:ascii="宋体" w:hAnsi="宋体"/>
          <w:color w:val="auto"/>
          <w:highlight w:val="none"/>
          <w:u w:val="single"/>
        </w:rPr>
      </w:pPr>
      <w:r>
        <w:rPr>
          <w:rFonts w:ascii="宋体" w:hAnsi="宋体"/>
          <w:color w:val="auto"/>
          <w:highlight w:val="none"/>
          <w:u w:val="single"/>
        </w:rPr>
        <w:t>3</w:t>
      </w:r>
      <w:r>
        <w:rPr>
          <w:rFonts w:hint="eastAsia" w:ascii="宋体" w:hAnsi="宋体"/>
          <w:color w:val="auto"/>
          <w:highlight w:val="none"/>
          <w:u w:val="single"/>
        </w:rPr>
        <w:t>）反力墙二单个加载孔最大允许拉(压)力标准值为400kN,3mx3m区格内4孔组合最大允许拉(压)力标准值为1600kN。</w:t>
      </w:r>
    </w:p>
    <w:p>
      <w:pPr>
        <w:spacing w:line="360" w:lineRule="auto"/>
        <w:ind w:firstLine="420" w:firstLineChars="200"/>
        <w:rPr>
          <w:rFonts w:ascii="宋体" w:hAnsi="宋体"/>
          <w:color w:val="auto"/>
          <w:highlight w:val="none"/>
          <w:u w:val="single"/>
        </w:rPr>
      </w:pPr>
      <w:r>
        <w:rPr>
          <w:rFonts w:ascii="宋体" w:hAnsi="宋体"/>
          <w:color w:val="auto"/>
          <w:highlight w:val="none"/>
          <w:u w:val="single"/>
        </w:rPr>
        <w:t>4</w:t>
      </w:r>
      <w:r>
        <w:rPr>
          <w:rFonts w:hint="eastAsia" w:ascii="宋体" w:hAnsi="宋体"/>
          <w:color w:val="auto"/>
          <w:highlight w:val="none"/>
          <w:u w:val="single"/>
        </w:rPr>
        <w:t>）反力墙顶部最大位移不超过5mm（L/1800）。</w:t>
      </w:r>
    </w:p>
    <w:p>
      <w:pPr>
        <w:spacing w:line="360" w:lineRule="auto"/>
        <w:ind w:firstLine="420" w:firstLineChars="200"/>
        <w:rPr>
          <w:rFonts w:ascii="宋体" w:hAnsi="宋体"/>
          <w:color w:val="auto"/>
          <w:highlight w:val="none"/>
          <w:u w:val="single"/>
        </w:rPr>
      </w:pPr>
      <w:r>
        <w:rPr>
          <w:rFonts w:ascii="宋体" w:hAnsi="宋体"/>
          <w:color w:val="auto"/>
          <w:highlight w:val="none"/>
          <w:u w:val="single"/>
        </w:rPr>
        <w:t>5</w:t>
      </w:r>
      <w:r>
        <w:rPr>
          <w:rFonts w:hint="eastAsia" w:ascii="宋体" w:hAnsi="宋体"/>
          <w:color w:val="auto"/>
          <w:highlight w:val="none"/>
          <w:u w:val="single"/>
        </w:rPr>
        <w:t>）槽道式试验台座在5mx6m四立柱反力架中心1000x1000区域内可承受竖向集中力标准值为4000kN。槽道承载力50T/M。</w:t>
      </w:r>
    </w:p>
    <w:p>
      <w:pPr>
        <w:spacing w:line="360" w:lineRule="auto"/>
        <w:ind w:firstLine="420" w:firstLineChars="200"/>
        <w:rPr>
          <w:rFonts w:ascii="宋体" w:hAnsi="宋体"/>
          <w:color w:val="auto"/>
          <w:highlight w:val="none"/>
          <w:u w:val="single"/>
        </w:rPr>
      </w:pPr>
      <w:r>
        <w:rPr>
          <w:rFonts w:ascii="宋体" w:hAnsi="宋体"/>
          <w:color w:val="auto"/>
          <w:highlight w:val="none"/>
          <w:u w:val="single"/>
        </w:rPr>
        <w:t>6</w:t>
      </w:r>
      <w:r>
        <w:rPr>
          <w:rFonts w:hint="eastAsia" w:ascii="宋体" w:hAnsi="宋体"/>
          <w:color w:val="auto"/>
          <w:highlight w:val="none"/>
          <w:u w:val="single"/>
        </w:rPr>
        <w:t>）反</w:t>
      </w:r>
      <w:r>
        <w:rPr>
          <w:rFonts w:ascii="宋体" w:hAnsi="宋体"/>
          <w:color w:val="auto"/>
          <w:highlight w:val="none"/>
          <w:u w:val="single"/>
        </w:rPr>
        <w:t>力墙</w:t>
      </w:r>
      <w:r>
        <w:rPr>
          <w:rFonts w:hint="eastAsia" w:ascii="宋体" w:hAnsi="宋体"/>
          <w:color w:val="auto"/>
          <w:highlight w:val="none"/>
          <w:u w:val="single"/>
        </w:rPr>
        <w:t>及</w:t>
      </w:r>
      <w:r>
        <w:rPr>
          <w:rFonts w:ascii="宋体" w:hAnsi="宋体"/>
          <w:color w:val="auto"/>
          <w:highlight w:val="none"/>
          <w:u w:val="single"/>
        </w:rPr>
        <w:t>试验台座</w:t>
      </w:r>
      <w:r>
        <w:rPr>
          <w:rFonts w:hint="eastAsia" w:ascii="宋体" w:hAnsi="宋体"/>
          <w:color w:val="auto"/>
          <w:highlight w:val="none"/>
          <w:u w:val="single"/>
        </w:rPr>
        <w:t>的</w:t>
      </w:r>
      <w:r>
        <w:rPr>
          <w:rFonts w:ascii="宋体" w:hAnsi="宋体"/>
          <w:color w:val="auto"/>
          <w:highlight w:val="none"/>
          <w:u w:val="single"/>
        </w:rPr>
        <w:t>结构</w:t>
      </w:r>
      <w:r>
        <w:rPr>
          <w:rFonts w:hint="eastAsia" w:ascii="宋体" w:hAnsi="宋体"/>
          <w:color w:val="auto"/>
          <w:highlight w:val="none"/>
          <w:u w:val="single"/>
        </w:rPr>
        <w:t>应</w:t>
      </w:r>
      <w:r>
        <w:rPr>
          <w:rFonts w:ascii="宋体" w:hAnsi="宋体"/>
          <w:color w:val="auto"/>
          <w:highlight w:val="none"/>
          <w:u w:val="single"/>
        </w:rPr>
        <w:t>经过</w:t>
      </w:r>
      <w:r>
        <w:rPr>
          <w:rFonts w:hint="eastAsia" w:ascii="宋体" w:hAnsi="宋体"/>
          <w:color w:val="auto"/>
          <w:highlight w:val="none"/>
          <w:u w:val="single"/>
        </w:rPr>
        <w:t>有</w:t>
      </w:r>
      <w:r>
        <w:rPr>
          <w:rFonts w:ascii="宋体" w:hAnsi="宋体"/>
          <w:color w:val="auto"/>
          <w:highlight w:val="none"/>
          <w:u w:val="single"/>
        </w:rPr>
        <w:t>限元分析，</w:t>
      </w:r>
      <w:r>
        <w:rPr>
          <w:rFonts w:hint="eastAsia" w:ascii="宋体" w:hAnsi="宋体"/>
          <w:color w:val="auto"/>
          <w:highlight w:val="none"/>
          <w:u w:val="single"/>
        </w:rPr>
        <w:t>以</w:t>
      </w:r>
      <w:r>
        <w:rPr>
          <w:rFonts w:ascii="宋体" w:hAnsi="宋体"/>
          <w:color w:val="auto"/>
          <w:highlight w:val="none"/>
          <w:u w:val="single"/>
        </w:rPr>
        <w:t>满足实验条件所需的强度、刚度及裂缝要求。</w:t>
      </w:r>
    </w:p>
    <w:p>
      <w:pPr>
        <w:spacing w:line="360" w:lineRule="auto"/>
        <w:ind w:firstLine="420" w:firstLineChars="200"/>
        <w:rPr>
          <w:rFonts w:ascii="宋体" w:hAnsi="宋体"/>
          <w:color w:val="auto"/>
          <w:highlight w:val="none"/>
          <w:u w:val="single"/>
        </w:rPr>
      </w:pPr>
    </w:p>
    <w:p>
      <w:pPr>
        <w:pStyle w:val="7"/>
        <w:rPr>
          <w:color w:val="auto"/>
          <w:highlight w:val="none"/>
        </w:rPr>
      </w:pPr>
    </w:p>
    <w:p>
      <w:pPr>
        <w:spacing w:line="360" w:lineRule="auto"/>
        <w:rPr>
          <w:rFonts w:ascii="宋体" w:hAnsi="宋体"/>
          <w:color w:val="auto"/>
          <w:highlight w:val="none"/>
          <w:u w:val="single"/>
        </w:rPr>
      </w:pPr>
      <w:r>
        <w:rPr>
          <w:rFonts w:hint="eastAsia" w:ascii="宋体" w:hAnsi="宋体"/>
          <w:color w:val="auto"/>
          <w:highlight w:val="none"/>
        </w:rPr>
        <w:t xml:space="preserve">（三）、给排水设计： </w:t>
      </w:r>
      <w:r>
        <w:rPr>
          <w:rFonts w:hint="eastAsia" w:ascii="宋体" w:hAnsi="宋体"/>
          <w:color w:val="auto"/>
          <w:highlight w:val="none"/>
          <w:u w:val="single"/>
        </w:rPr>
        <w:t xml:space="preserve">无                                                 </w:t>
      </w: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 xml:space="preserve">（四）、电气设计： </w:t>
      </w:r>
      <w:r>
        <w:rPr>
          <w:rFonts w:hint="eastAsia" w:ascii="宋体" w:hAnsi="宋体"/>
          <w:color w:val="auto"/>
          <w:highlight w:val="none"/>
          <w:u w:val="single"/>
        </w:rPr>
        <w:t>反力</w:t>
      </w:r>
      <w:r>
        <w:rPr>
          <w:rFonts w:ascii="宋体" w:hAnsi="宋体"/>
          <w:color w:val="auto"/>
          <w:highlight w:val="none"/>
          <w:u w:val="single"/>
        </w:rPr>
        <w:t>墙内部照明</w:t>
      </w:r>
    </w:p>
    <w:p>
      <w:pPr>
        <w:spacing w:line="360" w:lineRule="auto"/>
        <w:rPr>
          <w:rFonts w:ascii="宋体" w:hAnsi="宋体"/>
          <w:color w:val="auto"/>
          <w:highlight w:val="none"/>
          <w:u w:val="single"/>
        </w:rPr>
      </w:pPr>
      <w:r>
        <w:rPr>
          <w:rFonts w:hint="eastAsia" w:ascii="宋体" w:hAnsi="宋体"/>
          <w:color w:val="auto"/>
          <w:highlight w:val="none"/>
        </w:rPr>
        <w:t>（五）其他需考虑设置的相关投影设备、会议系统和公共广播系统等</w:t>
      </w:r>
      <w:r>
        <w:rPr>
          <w:rFonts w:hint="eastAsia" w:ascii="宋体" w:hAnsi="宋体"/>
          <w:color w:val="auto"/>
          <w:highlight w:val="none"/>
          <w:u w:val="single"/>
        </w:rPr>
        <w:t xml:space="preserve">  无       </w:t>
      </w:r>
    </w:p>
    <w:p>
      <w:pPr>
        <w:spacing w:line="360" w:lineRule="auto"/>
        <w:rPr>
          <w:rFonts w:ascii="宋体" w:hAnsi="宋体"/>
          <w:color w:val="auto"/>
          <w:highlight w:val="none"/>
        </w:rPr>
      </w:pPr>
    </w:p>
    <w:p>
      <w:pPr>
        <w:spacing w:line="360" w:lineRule="auto"/>
        <w:rPr>
          <w:rFonts w:ascii="宋体" w:hAnsi="宋体"/>
          <w:color w:val="auto"/>
          <w:highlight w:val="none"/>
          <w:u w:val="single"/>
        </w:rPr>
      </w:pPr>
      <w:r>
        <w:rPr>
          <w:rFonts w:hint="eastAsia" w:ascii="宋体" w:hAnsi="宋体"/>
          <w:color w:val="auto"/>
          <w:highlight w:val="none"/>
        </w:rPr>
        <w:t xml:space="preserve">（六）、暖通设计： </w:t>
      </w:r>
      <w:r>
        <w:rPr>
          <w:rFonts w:hint="eastAsia" w:ascii="宋体" w:hAnsi="宋体"/>
          <w:color w:val="auto"/>
          <w:highlight w:val="none"/>
          <w:u w:val="single"/>
        </w:rPr>
        <w:t xml:space="preserve">  无                                   </w:t>
      </w: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三、设计文件要求</w:t>
      </w:r>
    </w:p>
    <w:p>
      <w:pPr>
        <w:spacing w:line="360" w:lineRule="auto"/>
        <w:rPr>
          <w:rFonts w:ascii="宋体" w:hAnsi="宋体"/>
          <w:color w:val="auto"/>
          <w:highlight w:val="none"/>
        </w:rPr>
      </w:pPr>
      <w:r>
        <w:rPr>
          <w:rFonts w:hint="eastAsia" w:ascii="宋体" w:hAnsi="宋体"/>
          <w:color w:val="auto"/>
          <w:highlight w:val="none"/>
        </w:rPr>
        <w:t>（1）关于限额设计的要求说明。</w:t>
      </w:r>
    </w:p>
    <w:p>
      <w:pPr>
        <w:spacing w:line="360" w:lineRule="auto"/>
        <w:ind w:firstLine="420"/>
        <w:rPr>
          <w:rFonts w:ascii="宋体" w:hAnsi="宋体"/>
          <w:color w:val="auto"/>
          <w:highlight w:val="none"/>
        </w:rPr>
      </w:pPr>
      <w:r>
        <w:rPr>
          <w:rFonts w:hint="eastAsia" w:ascii="宋体" w:hAnsi="宋体"/>
          <w:color w:val="auto"/>
          <w:highlight w:val="none"/>
        </w:rPr>
        <w:t>项目总投资不超过</w:t>
      </w:r>
      <w:r>
        <w:rPr>
          <w:rFonts w:hint="eastAsia" w:ascii="宋体" w:hAnsi="宋体"/>
          <w:color w:val="auto"/>
          <w:highlight w:val="none"/>
          <w:lang w:val="en-US" w:eastAsia="zh-CN"/>
        </w:rPr>
        <w:t>655</w:t>
      </w:r>
      <w:r>
        <w:rPr>
          <w:rFonts w:hint="eastAsia" w:ascii="宋体" w:hAnsi="宋体"/>
          <w:color w:val="auto"/>
          <w:highlight w:val="none"/>
        </w:rPr>
        <w:t>万元。</w:t>
      </w:r>
    </w:p>
    <w:p>
      <w:pPr>
        <w:spacing w:line="360" w:lineRule="auto"/>
        <w:rPr>
          <w:rFonts w:ascii="宋体" w:hAnsi="宋体"/>
          <w:color w:val="auto"/>
          <w:highlight w:val="none"/>
        </w:rPr>
      </w:pPr>
      <w:r>
        <w:rPr>
          <w:rFonts w:hint="eastAsia" w:ascii="宋体" w:hAnsi="宋体"/>
          <w:color w:val="auto"/>
          <w:highlight w:val="none"/>
        </w:rPr>
        <w:t>（2）需提交的施工图设计的文件种类（文本、蓝图、电子文件、光盘等）和份数，以投标人中标后，与招标人签订的合同要求为准。</w:t>
      </w:r>
    </w:p>
    <w:p>
      <w:pPr>
        <w:spacing w:line="360" w:lineRule="auto"/>
        <w:rPr>
          <w:rFonts w:ascii="宋体" w:hAnsi="宋体"/>
          <w:color w:val="auto"/>
          <w:highlight w:val="none"/>
        </w:rPr>
      </w:pPr>
      <w:r>
        <w:rPr>
          <w:rFonts w:hint="eastAsia" w:ascii="宋体" w:hAnsi="宋体"/>
          <w:color w:val="auto"/>
          <w:highlight w:val="none"/>
        </w:rPr>
        <w:t>（3）其他要求</w:t>
      </w:r>
      <w:r>
        <w:rPr>
          <w:rFonts w:hint="eastAsia" w:ascii="宋体" w:hAnsi="宋体"/>
          <w:color w:val="auto"/>
          <w:highlight w:val="none"/>
          <w:u w:val="single"/>
        </w:rPr>
        <w:t xml:space="preserve">             无     　</w:t>
      </w:r>
      <w:r>
        <w:rPr>
          <w:rFonts w:ascii="宋体" w:hAnsi="宋体"/>
          <w:color w:val="auto"/>
          <w:highlight w:val="none"/>
          <w:u w:val="single"/>
        </w:rPr>
        <w:t>　　　</w:t>
      </w:r>
    </w:p>
    <w:p>
      <w:pPr>
        <w:spacing w:line="360" w:lineRule="auto"/>
        <w:rPr>
          <w:rFonts w:ascii="宋体" w:hAnsi="宋体"/>
          <w:color w:val="auto"/>
          <w:highlight w:val="none"/>
          <w:u w:val="single"/>
        </w:rPr>
      </w:pPr>
      <w:r>
        <w:rPr>
          <w:rFonts w:hint="eastAsia" w:ascii="宋体" w:hAnsi="宋体"/>
          <w:color w:val="auto"/>
          <w:highlight w:val="none"/>
        </w:rPr>
        <w:t>四、其他要求</w:t>
      </w:r>
      <w:r>
        <w:rPr>
          <w:rFonts w:ascii="宋体" w:hAnsi="宋体"/>
          <w:color w:val="auto"/>
          <w:highlight w:val="none"/>
          <w:u w:val="single"/>
        </w:rPr>
        <w:t>/</w:t>
      </w:r>
    </w:p>
    <w:p>
      <w:pPr>
        <w:rPr>
          <w:color w:val="auto"/>
          <w:highlight w:val="none"/>
        </w:rPr>
        <w:sectPr>
          <w:pgSz w:w="11906" w:h="16838"/>
          <w:pgMar w:top="1440" w:right="1440" w:bottom="1440" w:left="1797" w:header="851" w:footer="851" w:gutter="0"/>
          <w:cols w:space="720" w:num="1"/>
          <w:docGrid w:linePitch="312" w:charSpace="0"/>
        </w:sectPr>
      </w:pPr>
    </w:p>
    <w:p>
      <w:pPr>
        <w:rPr>
          <w:color w:val="auto"/>
          <w:highlight w:val="none"/>
        </w:rPr>
      </w:pPr>
    </w:p>
    <w:p>
      <w:pPr>
        <w:rPr>
          <w:color w:val="auto"/>
          <w:highlight w:val="none"/>
        </w:rPr>
      </w:pPr>
    </w:p>
    <w:p>
      <w:pPr>
        <w:rPr>
          <w:color w:val="auto"/>
          <w:highlight w:val="none"/>
        </w:rPr>
      </w:pPr>
    </w:p>
    <w:p>
      <w:pPr>
        <w:pStyle w:val="3"/>
        <w:jc w:val="center"/>
        <w:rPr>
          <w:color w:val="auto"/>
          <w:highlight w:val="none"/>
        </w:rPr>
      </w:pPr>
      <w:r>
        <w:rPr>
          <w:rFonts w:hint="eastAsia"/>
          <w:color w:val="auto"/>
          <w:highlight w:val="none"/>
        </w:rPr>
        <w:t>第七章  投标文件格式</w:t>
      </w:r>
    </w:p>
    <w:p>
      <w:pPr>
        <w:spacing w:line="400" w:lineRule="exact"/>
        <w:rPr>
          <w:color w:val="auto"/>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jc w:val="center"/>
        <w:rPr>
          <w:color w:val="auto"/>
          <w:sz w:val="28"/>
          <w:szCs w:val="28"/>
          <w:highlight w:val="none"/>
        </w:rPr>
      </w:pPr>
      <w:r>
        <w:rPr>
          <w:color w:val="auto"/>
          <w:sz w:val="28"/>
          <w:szCs w:val="28"/>
          <w:highlight w:val="none"/>
        </w:rPr>
        <w:t>（项目名称）</w:t>
      </w:r>
      <w:r>
        <w:rPr>
          <w:rFonts w:hint="eastAsia"/>
          <w:color w:val="auto"/>
          <w:sz w:val="28"/>
          <w:szCs w:val="28"/>
          <w:highlight w:val="none"/>
        </w:rPr>
        <w:t>总承包招标</w:t>
      </w:r>
    </w:p>
    <w:p>
      <w:pPr>
        <w:jc w:val="center"/>
        <w:rPr>
          <w:color w:val="auto"/>
          <w:sz w:val="28"/>
          <w:szCs w:val="28"/>
          <w:highlight w:val="none"/>
        </w:rPr>
      </w:pPr>
    </w:p>
    <w:p>
      <w:pPr>
        <w:spacing w:before="240" w:beforeLines="100"/>
        <w:jc w:val="center"/>
        <w:rPr>
          <w:color w:val="auto"/>
          <w:sz w:val="52"/>
          <w:szCs w:val="52"/>
          <w:highlight w:val="none"/>
        </w:rPr>
      </w:pPr>
      <w:r>
        <w:rPr>
          <w:color w:val="auto"/>
          <w:sz w:val="52"/>
          <w:szCs w:val="52"/>
          <w:highlight w:val="none"/>
        </w:rPr>
        <w:t>投  标  文  件</w:t>
      </w: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spacing w:line="360" w:lineRule="auto"/>
        <w:ind w:firstLine="2380" w:firstLineChars="850"/>
        <w:rPr>
          <w:color w:val="auto"/>
          <w:sz w:val="28"/>
          <w:szCs w:val="28"/>
          <w:highlight w:val="none"/>
          <w:u w:val="single"/>
        </w:rPr>
      </w:pPr>
      <w:r>
        <w:rPr>
          <w:color w:val="auto"/>
          <w:sz w:val="28"/>
          <w:szCs w:val="28"/>
          <w:highlight w:val="none"/>
        </w:rPr>
        <w:t>项目</w:t>
      </w:r>
      <w:r>
        <w:rPr>
          <w:rFonts w:hint="eastAsia"/>
          <w:color w:val="auto"/>
          <w:sz w:val="28"/>
          <w:szCs w:val="28"/>
          <w:highlight w:val="none"/>
        </w:rPr>
        <w:t>招标</w:t>
      </w:r>
      <w:r>
        <w:rPr>
          <w:color w:val="auto"/>
          <w:sz w:val="28"/>
          <w:szCs w:val="28"/>
          <w:highlight w:val="none"/>
        </w:rPr>
        <w:t>编号：</w:t>
      </w:r>
    </w:p>
    <w:p>
      <w:pPr>
        <w:jc w:val="center"/>
        <w:rPr>
          <w:color w:val="auto"/>
          <w:sz w:val="32"/>
          <w:szCs w:val="32"/>
          <w:highlight w:val="none"/>
        </w:rPr>
      </w:pPr>
    </w:p>
    <w:p>
      <w:pPr>
        <w:jc w:val="center"/>
        <w:rPr>
          <w:color w:val="auto"/>
          <w:sz w:val="32"/>
          <w:szCs w:val="32"/>
          <w:highlight w:val="none"/>
        </w:rPr>
      </w:pPr>
      <w:r>
        <w:rPr>
          <w:color w:val="auto"/>
          <w:sz w:val="32"/>
          <w:szCs w:val="32"/>
          <w:highlight w:val="none"/>
        </w:rPr>
        <w:t>（正本/副本）</w:t>
      </w:r>
    </w:p>
    <w:p>
      <w:pPr>
        <w:rPr>
          <w:color w:val="auto"/>
          <w:sz w:val="32"/>
          <w:szCs w:val="32"/>
          <w:highlight w:val="none"/>
        </w:rPr>
      </w:pP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spacing w:line="360" w:lineRule="auto"/>
        <w:rPr>
          <w:color w:val="auto"/>
          <w:sz w:val="28"/>
          <w:szCs w:val="28"/>
          <w:highlight w:val="none"/>
          <w:u w:val="single"/>
        </w:rPr>
      </w:pPr>
      <w:r>
        <w:rPr>
          <w:color w:val="auto"/>
          <w:sz w:val="28"/>
          <w:szCs w:val="28"/>
          <w:highlight w:val="none"/>
        </w:rPr>
        <w:t>投标内容：</w:t>
      </w:r>
      <w:r>
        <w:rPr>
          <w:rFonts w:hint="eastAsia"/>
          <w:color w:val="auto"/>
          <w:sz w:val="28"/>
          <w:szCs w:val="28"/>
          <w:highlight w:val="none"/>
          <w:u w:val="single"/>
        </w:rPr>
        <w:t>资格审查</w:t>
      </w:r>
    </w:p>
    <w:p>
      <w:pPr>
        <w:spacing w:line="360" w:lineRule="auto"/>
        <w:rPr>
          <w:color w:val="auto"/>
          <w:sz w:val="28"/>
          <w:szCs w:val="28"/>
          <w:highlight w:val="none"/>
        </w:rPr>
      </w:pPr>
      <w:r>
        <w:rPr>
          <w:color w:val="auto"/>
          <w:sz w:val="28"/>
          <w:szCs w:val="28"/>
          <w:highlight w:val="none"/>
        </w:rPr>
        <w:t>投标人：（盖单位章）</w:t>
      </w:r>
    </w:p>
    <w:p>
      <w:pPr>
        <w:spacing w:line="360" w:lineRule="auto"/>
        <w:rPr>
          <w:color w:val="auto"/>
          <w:sz w:val="28"/>
          <w:szCs w:val="28"/>
          <w:highlight w:val="none"/>
        </w:rPr>
      </w:pPr>
      <w:r>
        <w:rPr>
          <w:color w:val="auto"/>
          <w:sz w:val="28"/>
          <w:szCs w:val="28"/>
          <w:highlight w:val="none"/>
        </w:rPr>
        <w:t>法定代表人或其委托代理人：（签字</w:t>
      </w:r>
      <w:r>
        <w:rPr>
          <w:rFonts w:hint="eastAsia"/>
          <w:color w:val="auto"/>
          <w:sz w:val="28"/>
          <w:szCs w:val="28"/>
          <w:highlight w:val="none"/>
        </w:rPr>
        <w:t>或盖章</w:t>
      </w:r>
      <w:r>
        <w:rPr>
          <w:color w:val="auto"/>
          <w:sz w:val="28"/>
          <w:szCs w:val="28"/>
          <w:highlight w:val="none"/>
        </w:rPr>
        <w:t>）</w:t>
      </w:r>
    </w:p>
    <w:p>
      <w:pPr>
        <w:spacing w:line="360" w:lineRule="auto"/>
        <w:ind w:firstLine="1400" w:firstLineChars="500"/>
        <w:rPr>
          <w:color w:val="auto"/>
          <w:sz w:val="28"/>
          <w:szCs w:val="28"/>
          <w:highlight w:val="none"/>
        </w:rPr>
      </w:pPr>
      <w:r>
        <w:rPr>
          <w:color w:val="auto"/>
          <w:sz w:val="28"/>
          <w:szCs w:val="28"/>
          <w:highlight w:val="none"/>
        </w:rPr>
        <w:t>年月日</w:t>
      </w:r>
    </w:p>
    <w:p>
      <w:pPr>
        <w:spacing w:line="400" w:lineRule="exact"/>
        <w:rPr>
          <w:color w:val="auto"/>
          <w:highlight w:val="none"/>
        </w:rPr>
      </w:pPr>
      <w:r>
        <w:rPr>
          <w:color w:val="auto"/>
          <w:highlight w:val="none"/>
        </w:rPr>
        <w:br w:type="page"/>
      </w:r>
    </w:p>
    <w:p>
      <w:pPr>
        <w:tabs>
          <w:tab w:val="left" w:pos="826"/>
        </w:tabs>
        <w:snapToGrid w:val="0"/>
        <w:spacing w:line="360" w:lineRule="auto"/>
        <w:ind w:firstLine="422" w:firstLineChars="150"/>
        <w:jc w:val="center"/>
        <w:rPr>
          <w:b/>
          <w:color w:val="auto"/>
          <w:sz w:val="28"/>
          <w:szCs w:val="28"/>
          <w:highlight w:val="none"/>
        </w:rPr>
      </w:pPr>
      <w:r>
        <w:rPr>
          <w:rFonts w:hint="eastAsia"/>
          <w:b/>
          <w:color w:val="auto"/>
          <w:sz w:val="28"/>
          <w:szCs w:val="28"/>
          <w:highlight w:val="none"/>
        </w:rPr>
        <w:t>目  录</w:t>
      </w:r>
    </w:p>
    <w:p>
      <w:pPr>
        <w:tabs>
          <w:tab w:val="left" w:pos="826"/>
        </w:tabs>
        <w:snapToGrid w:val="0"/>
        <w:spacing w:line="360" w:lineRule="auto"/>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投标文件签署授权委托书（原件）</w:t>
      </w:r>
    </w:p>
    <w:p>
      <w:pPr>
        <w:tabs>
          <w:tab w:val="left" w:pos="826"/>
        </w:tabs>
        <w:snapToGrid w:val="0"/>
        <w:spacing w:line="360" w:lineRule="auto"/>
        <w:ind w:firstLine="360" w:firstLineChars="150"/>
        <w:rPr>
          <w:rFonts w:ascii="宋体" w:hAnsi="宋体"/>
          <w:color w:val="auto"/>
          <w:sz w:val="24"/>
          <w:highlight w:val="none"/>
        </w:rPr>
      </w:pPr>
      <w:r>
        <w:rPr>
          <w:rFonts w:ascii="宋体" w:hAnsi="宋体"/>
          <w:color w:val="auto"/>
          <w:sz w:val="24"/>
          <w:highlight w:val="none"/>
        </w:rPr>
        <w:t>附</w:t>
      </w:r>
      <w:r>
        <w:rPr>
          <w:rFonts w:hint="eastAsia" w:ascii="宋体" w:hAnsi="宋体"/>
          <w:color w:val="auto"/>
          <w:sz w:val="24"/>
          <w:highlight w:val="none"/>
        </w:rPr>
        <w:t>：</w:t>
      </w:r>
      <w:r>
        <w:rPr>
          <w:rFonts w:ascii="宋体" w:hAnsi="宋体"/>
          <w:color w:val="auto"/>
          <w:sz w:val="24"/>
          <w:highlight w:val="none"/>
        </w:rPr>
        <w:t>法定代表人身份证明和企业法人营业执照</w:t>
      </w:r>
      <w:r>
        <w:rPr>
          <w:rFonts w:hint="eastAsia" w:ascii="宋体" w:hAnsi="宋体"/>
          <w:color w:val="auto"/>
          <w:sz w:val="24"/>
          <w:highlight w:val="none"/>
        </w:rPr>
        <w:t>副本</w:t>
      </w:r>
      <w:r>
        <w:rPr>
          <w:rFonts w:ascii="宋体" w:hAnsi="宋体"/>
          <w:color w:val="auto"/>
          <w:sz w:val="24"/>
          <w:highlight w:val="none"/>
        </w:rPr>
        <w:t>、代理人身份证</w:t>
      </w:r>
      <w:r>
        <w:rPr>
          <w:rFonts w:hint="eastAsia" w:ascii="宋体" w:hAnsi="宋体"/>
          <w:color w:val="auto"/>
          <w:sz w:val="24"/>
          <w:highlight w:val="none"/>
        </w:rPr>
        <w:t>等材料的</w:t>
      </w:r>
      <w:r>
        <w:rPr>
          <w:rFonts w:ascii="宋体" w:hAnsi="宋体"/>
          <w:color w:val="auto"/>
          <w:sz w:val="24"/>
          <w:highlight w:val="none"/>
        </w:rPr>
        <w:t>复印件；</w:t>
      </w:r>
    </w:p>
    <w:p>
      <w:pPr>
        <w:tabs>
          <w:tab w:val="left" w:pos="826"/>
        </w:tabs>
        <w:snapToGrid w:val="0"/>
        <w:spacing w:line="360" w:lineRule="auto"/>
        <w:rPr>
          <w:rFonts w:ascii="宋体" w:hAnsi="宋体"/>
          <w:color w:val="auto"/>
          <w:sz w:val="24"/>
          <w:highlight w:val="none"/>
        </w:rPr>
      </w:pPr>
      <w:bookmarkStart w:id="1876" w:name="_Toc402532178"/>
      <w:bookmarkStart w:id="1877" w:name="_Toc404006881"/>
      <w:bookmarkStart w:id="1878" w:name="_Toc419363890"/>
      <w:r>
        <w:rPr>
          <w:rFonts w:hint="eastAsia" w:ascii="宋体" w:hAnsi="宋体"/>
          <w:color w:val="auto"/>
          <w:sz w:val="24"/>
          <w:highlight w:val="none"/>
        </w:rPr>
        <w:t>2、</w:t>
      </w:r>
      <w:r>
        <w:rPr>
          <w:rFonts w:ascii="宋体" w:hAnsi="宋体"/>
          <w:color w:val="auto"/>
          <w:sz w:val="24"/>
          <w:highlight w:val="none"/>
        </w:rPr>
        <w:t>联合体协议书（联合体投标</w:t>
      </w:r>
      <w:r>
        <w:rPr>
          <w:rFonts w:hint="eastAsia" w:ascii="宋体" w:hAnsi="宋体"/>
          <w:color w:val="auto"/>
          <w:sz w:val="24"/>
          <w:highlight w:val="none"/>
        </w:rPr>
        <w:t>时</w:t>
      </w:r>
      <w:r>
        <w:rPr>
          <w:rFonts w:ascii="宋体" w:hAnsi="宋体"/>
          <w:color w:val="auto"/>
          <w:sz w:val="24"/>
          <w:highlight w:val="none"/>
        </w:rPr>
        <w:t>适用）；</w:t>
      </w:r>
      <w:bookmarkEnd w:id="1876"/>
      <w:bookmarkEnd w:id="1877"/>
      <w:bookmarkEnd w:id="1878"/>
    </w:p>
    <w:p>
      <w:pPr>
        <w:tabs>
          <w:tab w:val="left" w:pos="826"/>
        </w:tabs>
        <w:snapToGrid w:val="0"/>
        <w:spacing w:line="360" w:lineRule="auto"/>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投标人基本情况表（附企业法人营业执照</w:t>
      </w:r>
      <w:r>
        <w:rPr>
          <w:rFonts w:hint="eastAsia" w:ascii="宋体" w:hAnsi="宋体"/>
          <w:color w:val="auto"/>
          <w:sz w:val="24"/>
          <w:highlight w:val="none"/>
        </w:rPr>
        <w:t>副本</w:t>
      </w:r>
      <w:r>
        <w:rPr>
          <w:rFonts w:ascii="宋体" w:hAnsi="宋体"/>
          <w:color w:val="auto"/>
          <w:sz w:val="24"/>
          <w:highlight w:val="none"/>
        </w:rPr>
        <w:t>、企业资质证书副本、安全生产许可证</w:t>
      </w:r>
      <w:r>
        <w:rPr>
          <w:rFonts w:hint="eastAsia" w:ascii="宋体" w:hAnsi="宋体"/>
          <w:color w:val="auto"/>
          <w:sz w:val="24"/>
          <w:highlight w:val="none"/>
        </w:rPr>
        <w:t>（联合体投标时仅为联合体中的施工单位安全生产许可证）副本</w:t>
      </w:r>
      <w:r>
        <w:rPr>
          <w:rFonts w:ascii="宋体" w:hAnsi="宋体"/>
          <w:color w:val="auto"/>
          <w:sz w:val="24"/>
          <w:highlight w:val="none"/>
        </w:rPr>
        <w:t>等材料的复印件</w:t>
      </w:r>
      <w:r>
        <w:rPr>
          <w:rFonts w:hint="eastAsia" w:ascii="宋体" w:hAnsi="宋体"/>
          <w:color w:val="auto"/>
          <w:sz w:val="24"/>
          <w:highlight w:val="none"/>
        </w:rPr>
        <w:t>，</w:t>
      </w:r>
      <w:r>
        <w:rPr>
          <w:rFonts w:ascii="宋体" w:hAnsi="宋体"/>
          <w:color w:val="auto"/>
          <w:sz w:val="24"/>
          <w:highlight w:val="none"/>
        </w:rPr>
        <w:t>联合体投标</w:t>
      </w:r>
      <w:r>
        <w:rPr>
          <w:rFonts w:hint="eastAsia" w:ascii="宋体" w:hAnsi="宋体"/>
          <w:color w:val="auto"/>
          <w:sz w:val="24"/>
          <w:highlight w:val="none"/>
        </w:rPr>
        <w:t>的则联合体各方均须提供</w:t>
      </w:r>
      <w:r>
        <w:rPr>
          <w:rFonts w:ascii="宋体" w:hAnsi="宋体"/>
          <w:color w:val="auto"/>
          <w:sz w:val="24"/>
          <w:highlight w:val="none"/>
        </w:rPr>
        <w:t>；</w:t>
      </w:r>
    </w:p>
    <w:p>
      <w:pPr>
        <w:tabs>
          <w:tab w:val="left" w:pos="826"/>
        </w:tabs>
        <w:snapToGrid w:val="0"/>
        <w:spacing w:line="360" w:lineRule="auto"/>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基本账户开户许可证复印件</w:t>
      </w:r>
      <w:r>
        <w:rPr>
          <w:rFonts w:hint="eastAsia" w:ascii="宋体" w:hAnsi="宋体"/>
          <w:color w:val="auto"/>
          <w:sz w:val="24"/>
          <w:highlight w:val="none"/>
        </w:rPr>
        <w:t>（联合体投标时双方均需提供）</w:t>
      </w:r>
      <w:r>
        <w:rPr>
          <w:rFonts w:ascii="宋体" w:hAnsi="宋体"/>
          <w:color w:val="auto"/>
          <w:sz w:val="24"/>
          <w:highlight w:val="none"/>
        </w:rPr>
        <w:t>；</w:t>
      </w:r>
    </w:p>
    <w:p>
      <w:pPr>
        <w:tabs>
          <w:tab w:val="left" w:pos="826"/>
        </w:tabs>
        <w:snapToGrid w:val="0"/>
        <w:spacing w:line="360" w:lineRule="auto"/>
        <w:rPr>
          <w:rFonts w:ascii="宋体" w:hAnsi="宋体"/>
          <w:color w:val="auto"/>
          <w:sz w:val="24"/>
          <w:highlight w:val="none"/>
        </w:rPr>
      </w:pPr>
      <w:bookmarkStart w:id="1879" w:name="_Toc419363891"/>
      <w:r>
        <w:rPr>
          <w:rFonts w:hint="eastAsia" w:ascii="宋体" w:hAnsi="宋体"/>
          <w:color w:val="auto"/>
          <w:sz w:val="24"/>
          <w:highlight w:val="none"/>
        </w:rPr>
        <w:t>5、</w:t>
      </w:r>
      <w:r>
        <w:rPr>
          <w:rFonts w:ascii="宋体" w:hAnsi="宋体"/>
          <w:color w:val="auto"/>
          <w:sz w:val="24"/>
          <w:highlight w:val="none"/>
        </w:rPr>
        <w:t>建设工程项目管理承诺书；</w:t>
      </w:r>
      <w:bookmarkEnd w:id="1879"/>
    </w:p>
    <w:p>
      <w:pPr>
        <w:tabs>
          <w:tab w:val="left" w:pos="826"/>
        </w:tabs>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6、农民工工资保证金承诺书；（按桂劳社发【2009】50号文件规定承诺）；</w:t>
      </w:r>
    </w:p>
    <w:p>
      <w:pPr>
        <w:tabs>
          <w:tab w:val="left" w:pos="826"/>
        </w:tabs>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7、工程渣土清运承诺书；（按照桂林市建设工程招标投标站市建招字【2011】02号的规定对渣土清运的承诺书）；</w:t>
      </w:r>
    </w:p>
    <w:p>
      <w:pPr>
        <w:tabs>
          <w:tab w:val="left" w:pos="826"/>
        </w:tabs>
        <w:snapToGrid w:val="0"/>
        <w:spacing w:line="360" w:lineRule="auto"/>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拟派项目总负责人、项目设计负责人、项目经理、项目采购负责人（如有）、项目施工专职安全员基本情况表（附其相应注册证书，建造师安全生产考核合格证书（B类），项目施工专职安全员安全生产考核合格证书（C类），职称证（如有）等材料的复印件）。项目经理注册建造师证书和安全生产考核合格证书（B类）、项目施工专职安全员安全生产考核合格证书（C类）只需附复印件；</w:t>
      </w:r>
    </w:p>
    <w:p>
      <w:pPr>
        <w:numPr>
          <w:ilvl w:val="-1"/>
          <w:numId w:val="0"/>
        </w:numPr>
        <w:tabs>
          <w:tab w:val="left" w:pos="0"/>
        </w:tabs>
        <w:spacing w:line="360" w:lineRule="auto"/>
        <w:ind w:left="0" w:leftChars="0" w:right="-210" w:firstLine="0" w:firstLineChars="0"/>
        <w:jc w:val="both"/>
        <w:rPr>
          <w:rFonts w:hint="eastAsia"/>
          <w:b/>
          <w:color w:val="auto"/>
          <w:sz w:val="28"/>
          <w:szCs w:val="28"/>
          <w:highlight w:val="none"/>
        </w:rPr>
      </w:pPr>
      <w:r>
        <w:rPr>
          <w:rFonts w:hint="eastAsia" w:ascii="宋体" w:hAnsi="宋体"/>
          <w:color w:val="auto"/>
          <w:sz w:val="24"/>
          <w:highlight w:val="none"/>
          <w:lang w:val="en-US" w:eastAsia="zh-CN"/>
        </w:rPr>
        <w:t>9、</w:t>
      </w:r>
      <w:r>
        <w:rPr>
          <w:rFonts w:hint="eastAsia" w:ascii="宋体" w:hAnsi="宋体"/>
          <w:b w:val="0"/>
          <w:color w:val="auto"/>
          <w:sz w:val="24"/>
          <w:szCs w:val="24"/>
          <w:highlight w:val="none"/>
        </w:rPr>
        <w:t>资格审查需要的其他材料</w:t>
      </w:r>
    </w:p>
    <w:p>
      <w:pPr>
        <w:numPr>
          <w:ilvl w:val="0"/>
          <w:numId w:val="0"/>
        </w:numPr>
        <w:tabs>
          <w:tab w:val="left" w:pos="0"/>
        </w:tabs>
        <w:spacing w:line="360" w:lineRule="auto"/>
        <w:ind w:right="-210"/>
        <w:rPr>
          <w:rFonts w:hint="eastAsia" w:ascii="宋体" w:hAnsi="宋体" w:eastAsia="宋体"/>
          <w:color w:val="auto"/>
          <w:sz w:val="24"/>
          <w:highlight w:val="none"/>
          <w:lang w:eastAsia="zh-CN"/>
        </w:rPr>
      </w:pPr>
      <w:r>
        <w:rPr>
          <w:rFonts w:hint="eastAsia" w:ascii="宋体" w:hAnsi="宋体"/>
          <w:color w:val="auto"/>
          <w:sz w:val="24"/>
          <w:szCs w:val="24"/>
          <w:highlight w:val="none"/>
        </w:rPr>
        <w:t>包括：</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lang w:eastAsia="zh-CN"/>
        </w:rPr>
        <w:t>）</w:t>
      </w:r>
      <w:r>
        <w:rPr>
          <w:rFonts w:hint="eastAsia" w:ascii="宋体" w:hAnsi="宋体"/>
          <w:color w:val="auto"/>
          <w:sz w:val="24"/>
          <w:szCs w:val="24"/>
          <w:highlight w:val="none"/>
        </w:rPr>
        <w:t>近年完成的类似工程总承包项目情况表（如有）、</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lang w:eastAsia="zh-CN"/>
        </w:rPr>
        <w:t>）</w:t>
      </w:r>
      <w:r>
        <w:rPr>
          <w:rFonts w:hint="eastAsia" w:ascii="宋体" w:hAnsi="宋体"/>
          <w:color w:val="auto"/>
          <w:sz w:val="24"/>
          <w:szCs w:val="24"/>
          <w:highlight w:val="none"/>
        </w:rPr>
        <w:t>近年完成的类似工程设计项目情况表（如有）、</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w:t>
      </w:r>
      <w:r>
        <w:rPr>
          <w:rFonts w:hint="eastAsia" w:ascii="宋体" w:hAnsi="宋体"/>
          <w:color w:val="auto"/>
          <w:sz w:val="24"/>
          <w:szCs w:val="24"/>
          <w:highlight w:val="none"/>
        </w:rPr>
        <w:t>近年完成的类似施工项目情况表（如有）、</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lang w:eastAsia="zh-CN"/>
        </w:rPr>
        <w:t>）</w:t>
      </w:r>
      <w:r>
        <w:rPr>
          <w:rFonts w:hint="eastAsia" w:ascii="宋体" w:hAnsi="宋体"/>
          <w:color w:val="auto"/>
          <w:sz w:val="24"/>
          <w:szCs w:val="24"/>
          <w:highlight w:val="none"/>
        </w:rPr>
        <w:t>正在实施和新承接的项目情况表（如有）、</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lang w:eastAsia="zh-CN"/>
        </w:rPr>
        <w:t>）</w:t>
      </w:r>
      <w:r>
        <w:rPr>
          <w:rFonts w:hint="eastAsia" w:ascii="宋体" w:hAnsi="宋体"/>
          <w:color w:val="auto"/>
          <w:sz w:val="24"/>
          <w:szCs w:val="24"/>
          <w:highlight w:val="none"/>
        </w:rPr>
        <w:t>采用建筑信息模型（BIM）技术的项目业绩（如有）、</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lang w:eastAsia="zh-CN"/>
        </w:rPr>
        <w:t>）</w:t>
      </w:r>
      <w:r>
        <w:rPr>
          <w:rFonts w:hint="eastAsia" w:ascii="宋体" w:hAnsi="宋体"/>
          <w:color w:val="auto"/>
          <w:sz w:val="24"/>
          <w:szCs w:val="24"/>
          <w:highlight w:val="none"/>
        </w:rPr>
        <w:t>企业近三年财务状况表</w:t>
      </w:r>
      <w:r>
        <w:rPr>
          <w:rFonts w:hint="eastAsia" w:ascii="宋体" w:hAnsi="宋体"/>
          <w:color w:val="auto"/>
          <w:sz w:val="24"/>
          <w:szCs w:val="24"/>
          <w:highlight w:val="none"/>
          <w:lang w:eastAsia="zh-CN"/>
        </w:rPr>
        <w:t>（如为联合体投标仅须由牵头人提供）、（</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lang w:eastAsia="zh-CN"/>
        </w:rPr>
        <w:t>）供应商参加政府采购活动前3年内在经营活动中没有重大违法记录的书面声明</w:t>
      </w:r>
      <w:r>
        <w:rPr>
          <w:rFonts w:hint="eastAsia" w:ascii="宋体" w:hAnsi="宋体"/>
          <w:color w:val="auto"/>
          <w:sz w:val="24"/>
          <w:szCs w:val="24"/>
          <w:highlight w:val="none"/>
        </w:rPr>
        <w:t>等。施工单位须提供已完成类似工程证明材料。</w:t>
      </w:r>
      <w:r>
        <w:rPr>
          <w:rFonts w:hint="eastAsia" w:ascii="宋体" w:hAnsi="宋体"/>
          <w:color w:val="auto"/>
          <w:sz w:val="24"/>
          <w:szCs w:val="24"/>
          <w:highlight w:val="none"/>
          <w:lang w:eastAsia="zh-CN"/>
        </w:rPr>
        <w:t>以及</w:t>
      </w:r>
      <w:r>
        <w:rPr>
          <w:rFonts w:hint="eastAsia" w:ascii="宋体" w:hAnsi="宋体"/>
          <w:color w:val="auto"/>
          <w:sz w:val="24"/>
          <w:szCs w:val="24"/>
          <w:highlight w:val="none"/>
          <w:lang w:val="en-US" w:eastAsia="zh-CN"/>
        </w:rPr>
        <w:t>投标人认为需提供的</w:t>
      </w:r>
      <w:r>
        <w:rPr>
          <w:rFonts w:hint="eastAsia" w:ascii="宋体" w:hAnsi="宋体"/>
          <w:color w:val="auto"/>
          <w:sz w:val="24"/>
          <w:szCs w:val="24"/>
          <w:highlight w:val="none"/>
          <w:lang w:eastAsia="zh-CN"/>
        </w:rPr>
        <w:t>其他材料。</w:t>
      </w:r>
    </w:p>
    <w:p>
      <w:pPr>
        <w:tabs>
          <w:tab w:val="left" w:pos="826"/>
        </w:tabs>
        <w:snapToGrid w:val="0"/>
        <w:spacing w:line="360" w:lineRule="auto"/>
        <w:rPr>
          <w:rFonts w:ascii="宋体" w:hAnsi="宋体"/>
          <w:color w:val="auto"/>
          <w:sz w:val="24"/>
          <w:highlight w:val="none"/>
        </w:rPr>
      </w:pPr>
    </w:p>
    <w:p>
      <w:pPr>
        <w:rPr>
          <w:rFonts w:ascii="宋体" w:hAnsi="宋体"/>
          <w:color w:val="auto"/>
          <w:sz w:val="24"/>
          <w:highlight w:val="none"/>
        </w:rPr>
      </w:pPr>
      <w:bookmarkStart w:id="1880" w:name="_Toc419363892"/>
      <w:r>
        <w:rPr>
          <w:rFonts w:hint="eastAsia" w:ascii="宋体" w:hAnsi="宋体"/>
          <w:color w:val="auto"/>
          <w:sz w:val="24"/>
          <w:highlight w:val="none"/>
        </w:rPr>
        <w:t>【备注：以上复印件均须加盖投标人单位公章】</w:t>
      </w:r>
      <w:bookmarkEnd w:id="1880"/>
    </w:p>
    <w:p>
      <w:pPr>
        <w:tabs>
          <w:tab w:val="left" w:pos="826"/>
        </w:tabs>
        <w:snapToGrid w:val="0"/>
        <w:spacing w:line="360" w:lineRule="auto"/>
        <w:ind w:firstLine="360" w:firstLineChars="150"/>
        <w:jc w:val="center"/>
        <w:rPr>
          <w:b/>
          <w:color w:val="auto"/>
          <w:sz w:val="28"/>
          <w:szCs w:val="28"/>
          <w:highlight w:val="none"/>
        </w:rPr>
      </w:pPr>
      <w:r>
        <w:rPr>
          <w:color w:val="auto"/>
          <w:sz w:val="24"/>
          <w:highlight w:val="none"/>
        </w:rPr>
        <w:br w:type="page"/>
      </w:r>
      <w:bookmarkStart w:id="1881" w:name="_Toc251051976"/>
      <w:bookmarkStart w:id="1882" w:name="_Toc349215544"/>
      <w:bookmarkStart w:id="1883" w:name="_Toc349555831"/>
      <w:r>
        <w:rPr>
          <w:b/>
          <w:color w:val="auto"/>
          <w:sz w:val="28"/>
          <w:szCs w:val="28"/>
          <w:highlight w:val="none"/>
        </w:rPr>
        <w:t>1、投标文件签署授权委托书</w:t>
      </w:r>
      <w:bookmarkEnd w:id="1881"/>
      <w:bookmarkEnd w:id="1882"/>
      <w:bookmarkEnd w:id="1883"/>
      <w:r>
        <w:rPr>
          <w:rFonts w:hint="eastAsia"/>
          <w:b/>
          <w:color w:val="auto"/>
          <w:sz w:val="28"/>
          <w:szCs w:val="28"/>
          <w:highlight w:val="none"/>
        </w:rPr>
        <w:t>（非联合体投标格式）</w:t>
      </w:r>
    </w:p>
    <w:p>
      <w:pPr>
        <w:spacing w:after="156" w:line="360" w:lineRule="auto"/>
        <w:rPr>
          <w:b/>
          <w:color w:val="auto"/>
          <w:highlight w:val="none"/>
        </w:rPr>
      </w:pPr>
    </w:p>
    <w:p>
      <w:pPr>
        <w:spacing w:line="460" w:lineRule="exact"/>
        <w:ind w:firstLine="612"/>
        <w:rPr>
          <w:rFonts w:ascii="宋体" w:hAnsi="宋体"/>
          <w:color w:val="auto"/>
          <w:sz w:val="24"/>
          <w:highlight w:val="none"/>
        </w:rPr>
      </w:pPr>
      <w:bookmarkStart w:id="1884" w:name="_Toc251051977"/>
      <w:r>
        <w:rPr>
          <w:rFonts w:ascii="宋体" w:hAnsi="宋体"/>
          <w:color w:val="auto"/>
          <w:sz w:val="24"/>
          <w:highlight w:val="none"/>
        </w:rPr>
        <w:t>本授权委托书声明：我</w:t>
      </w:r>
      <w:r>
        <w:rPr>
          <w:rFonts w:ascii="宋体" w:hAnsi="宋体"/>
          <w:color w:val="auto"/>
          <w:sz w:val="24"/>
          <w:szCs w:val="24"/>
          <w:highlight w:val="none"/>
          <w:u w:val="single"/>
        </w:rPr>
        <w:t></w:t>
      </w:r>
      <w:r>
        <w:rPr>
          <w:rFonts w:ascii="宋体" w:hAnsi="宋体"/>
          <w:color w:val="auto"/>
          <w:sz w:val="24"/>
          <w:highlight w:val="none"/>
        </w:rPr>
        <w:t>（姓名）系（投标人名称）的法定代表人，现授权委托（单位名称）的（姓名）为我公司签署工程的投标文件的法定代表人授权委托代理人，我承认代理人全权代表我所签署的本工程的投标文件的内容。</w:t>
      </w:r>
      <w:bookmarkEnd w:id="1884"/>
    </w:p>
    <w:p>
      <w:pPr>
        <w:spacing w:line="480" w:lineRule="auto"/>
        <w:ind w:firstLine="610"/>
        <w:rPr>
          <w:rFonts w:ascii="宋体" w:hAnsi="宋体"/>
          <w:color w:val="auto"/>
          <w:sz w:val="24"/>
          <w:highlight w:val="none"/>
        </w:rPr>
      </w:pPr>
    </w:p>
    <w:p>
      <w:pPr>
        <w:spacing w:line="480" w:lineRule="auto"/>
        <w:ind w:firstLine="697"/>
        <w:rPr>
          <w:rFonts w:ascii="宋体" w:hAnsi="宋体"/>
          <w:color w:val="auto"/>
          <w:sz w:val="24"/>
          <w:highlight w:val="none"/>
        </w:rPr>
      </w:pPr>
      <w:bookmarkStart w:id="1885" w:name="_Toc251051978"/>
      <w:r>
        <w:rPr>
          <w:rFonts w:ascii="宋体" w:hAnsi="宋体"/>
          <w:color w:val="auto"/>
          <w:sz w:val="24"/>
          <w:highlight w:val="none"/>
        </w:rPr>
        <w:t>代理人无转委托权，特此委托。</w:t>
      </w:r>
      <w:bookmarkEnd w:id="1885"/>
    </w:p>
    <w:p>
      <w:pPr>
        <w:spacing w:line="360" w:lineRule="auto"/>
        <w:rPr>
          <w:rFonts w:ascii="宋体" w:hAnsi="宋体"/>
          <w:color w:val="auto"/>
          <w:sz w:val="24"/>
          <w:highlight w:val="none"/>
        </w:rPr>
      </w:pPr>
    </w:p>
    <w:p>
      <w:pPr>
        <w:spacing w:line="360" w:lineRule="auto"/>
        <w:ind w:left="1260"/>
        <w:rPr>
          <w:rFonts w:ascii="宋体" w:hAnsi="宋体"/>
          <w:color w:val="auto"/>
          <w:sz w:val="24"/>
          <w:highlight w:val="none"/>
        </w:rPr>
      </w:pPr>
    </w:p>
    <w:p>
      <w:pPr>
        <w:spacing w:line="480" w:lineRule="auto"/>
        <w:ind w:left="1260"/>
        <w:rPr>
          <w:rFonts w:ascii="宋体" w:hAnsi="宋体"/>
          <w:color w:val="auto"/>
          <w:sz w:val="24"/>
          <w:highlight w:val="none"/>
        </w:rPr>
      </w:pPr>
    </w:p>
    <w:p>
      <w:pPr>
        <w:spacing w:line="480" w:lineRule="auto"/>
        <w:ind w:left="2699"/>
        <w:rPr>
          <w:rFonts w:ascii="宋体" w:hAnsi="宋体"/>
          <w:color w:val="auto"/>
          <w:sz w:val="24"/>
          <w:highlight w:val="none"/>
          <w:u w:val="single"/>
        </w:rPr>
      </w:pPr>
      <w:bookmarkStart w:id="1886" w:name="_Toc251051979"/>
      <w:r>
        <w:rPr>
          <w:rFonts w:ascii="宋体" w:hAnsi="宋体"/>
          <w:color w:val="auto"/>
          <w:sz w:val="24"/>
          <w:highlight w:val="none"/>
        </w:rPr>
        <w:t>代理人：性别 ：年龄：_______</w:t>
      </w:r>
      <w:bookmarkEnd w:id="1886"/>
    </w:p>
    <w:p>
      <w:pPr>
        <w:spacing w:line="480" w:lineRule="auto"/>
        <w:ind w:left="2699"/>
        <w:rPr>
          <w:rFonts w:ascii="宋体" w:hAnsi="宋体"/>
          <w:color w:val="auto"/>
          <w:sz w:val="24"/>
          <w:highlight w:val="none"/>
        </w:rPr>
      </w:pPr>
      <w:bookmarkStart w:id="1887" w:name="_Toc251051980"/>
      <w:r>
        <w:rPr>
          <w:rFonts w:ascii="宋体" w:hAnsi="宋体"/>
          <w:color w:val="auto"/>
          <w:sz w:val="24"/>
          <w:highlight w:val="none"/>
        </w:rPr>
        <w:t>身份证号码：职务：</w:t>
      </w:r>
      <w:bookmarkEnd w:id="1887"/>
    </w:p>
    <w:p>
      <w:pPr>
        <w:spacing w:line="480" w:lineRule="auto"/>
        <w:ind w:left="2699"/>
        <w:rPr>
          <w:rFonts w:ascii="宋体" w:hAnsi="宋体"/>
          <w:color w:val="auto"/>
          <w:sz w:val="24"/>
          <w:highlight w:val="none"/>
        </w:rPr>
      </w:pPr>
      <w:bookmarkStart w:id="1888" w:name="_Toc251051981"/>
      <w:r>
        <w:rPr>
          <w:rFonts w:ascii="宋体" w:hAnsi="宋体"/>
          <w:color w:val="auto"/>
          <w:sz w:val="24"/>
          <w:highlight w:val="none"/>
        </w:rPr>
        <w:t>投标人：</w:t>
      </w:r>
      <w:r>
        <w:rPr>
          <w:rFonts w:ascii="宋体" w:hAnsi="宋体"/>
          <w:color w:val="auto"/>
          <w:sz w:val="24"/>
          <w:highlight w:val="none"/>
          <w:u w:val="single"/>
        </w:rPr>
        <w:t xml:space="preserve">   （盖</w:t>
      </w:r>
      <w:r>
        <w:rPr>
          <w:rFonts w:hint="eastAsia" w:ascii="宋体" w:hAnsi="宋体"/>
          <w:color w:val="auto"/>
          <w:sz w:val="24"/>
          <w:highlight w:val="none"/>
          <w:u w:val="single"/>
        </w:rPr>
        <w:t>单位</w:t>
      </w:r>
      <w:r>
        <w:rPr>
          <w:rFonts w:ascii="宋体" w:hAnsi="宋体"/>
          <w:color w:val="auto"/>
          <w:sz w:val="24"/>
          <w:highlight w:val="none"/>
          <w:u w:val="single"/>
        </w:rPr>
        <w:t>章）</w:t>
      </w:r>
      <w:bookmarkEnd w:id="1888"/>
    </w:p>
    <w:p>
      <w:pPr>
        <w:spacing w:line="480" w:lineRule="auto"/>
        <w:ind w:left="2699"/>
        <w:rPr>
          <w:rFonts w:ascii="宋体" w:hAnsi="宋体"/>
          <w:color w:val="auto"/>
          <w:sz w:val="24"/>
          <w:highlight w:val="none"/>
        </w:rPr>
      </w:pPr>
      <w:bookmarkStart w:id="1889" w:name="_Toc251051982"/>
      <w:r>
        <w:rPr>
          <w:rFonts w:ascii="宋体" w:hAnsi="宋体"/>
          <w:color w:val="auto"/>
          <w:sz w:val="24"/>
          <w:highlight w:val="none"/>
        </w:rPr>
        <w:t>法定代表人：</w:t>
      </w:r>
      <w:r>
        <w:rPr>
          <w:rFonts w:ascii="宋体" w:hAnsi="宋体"/>
          <w:color w:val="auto"/>
          <w:sz w:val="24"/>
          <w:highlight w:val="none"/>
          <w:u w:val="single"/>
        </w:rPr>
        <w:t xml:space="preserve">                            （签字或</w:t>
      </w:r>
      <w:r>
        <w:rPr>
          <w:rFonts w:hint="eastAsia" w:ascii="宋体" w:hAnsi="宋体"/>
          <w:color w:val="auto"/>
          <w:sz w:val="24"/>
          <w:highlight w:val="none"/>
          <w:u w:val="single"/>
        </w:rPr>
        <w:t>盖</w:t>
      </w:r>
      <w:r>
        <w:rPr>
          <w:rFonts w:ascii="宋体" w:hAnsi="宋体"/>
          <w:color w:val="auto"/>
          <w:sz w:val="24"/>
          <w:highlight w:val="none"/>
          <w:u w:val="single"/>
        </w:rPr>
        <w:t>章）</w:t>
      </w:r>
      <w:bookmarkEnd w:id="1889"/>
    </w:p>
    <w:p>
      <w:pPr>
        <w:spacing w:line="480" w:lineRule="auto"/>
        <w:ind w:left="2699"/>
        <w:rPr>
          <w:rFonts w:ascii="宋体" w:hAnsi="宋体"/>
          <w:color w:val="auto"/>
          <w:sz w:val="24"/>
          <w:highlight w:val="none"/>
        </w:rPr>
      </w:pPr>
      <w:bookmarkStart w:id="1890" w:name="_Toc251051983"/>
      <w:r>
        <w:rPr>
          <w:rFonts w:ascii="宋体" w:hAnsi="宋体"/>
          <w:color w:val="auto"/>
          <w:sz w:val="24"/>
          <w:highlight w:val="none"/>
        </w:rPr>
        <w:t>授权委托日期：</w:t>
      </w:r>
      <w:r>
        <w:rPr>
          <w:rFonts w:ascii="宋体" w:hAnsi="宋体"/>
          <w:color w:val="auto"/>
          <w:sz w:val="24"/>
          <w:szCs w:val="24"/>
          <w:highlight w:val="none"/>
        </w:rPr>
        <w:t xml:space="preserve">年月日 </w:t>
      </w:r>
      <w:bookmarkEnd w:id="1890"/>
    </w:p>
    <w:p>
      <w:pPr>
        <w:spacing w:line="360" w:lineRule="auto"/>
        <w:rPr>
          <w:rFonts w:eastAsia="楷体_GB2312"/>
          <w:color w:val="auto"/>
          <w:highlight w:val="none"/>
        </w:rPr>
      </w:pPr>
    </w:p>
    <w:p>
      <w:pPr>
        <w:spacing w:line="360" w:lineRule="auto"/>
        <w:rPr>
          <w:rFonts w:eastAsia="楷体_GB2312"/>
          <w:color w:val="auto"/>
          <w:highlight w:val="none"/>
        </w:rPr>
      </w:pPr>
    </w:p>
    <w:p>
      <w:pPr>
        <w:spacing w:line="360" w:lineRule="auto"/>
        <w:rPr>
          <w:rFonts w:eastAsia="楷体_GB2312"/>
          <w:color w:val="auto"/>
          <w:highlight w:val="none"/>
        </w:rPr>
      </w:pPr>
    </w:p>
    <w:p>
      <w:pPr>
        <w:spacing w:line="360" w:lineRule="auto"/>
        <w:rPr>
          <w:color w:val="auto"/>
          <w:highlight w:val="none"/>
        </w:rPr>
      </w:pPr>
      <w:r>
        <w:rPr>
          <w:color w:val="auto"/>
          <w:highlight w:val="none"/>
        </w:rPr>
        <w:t>备注：</w:t>
      </w:r>
    </w:p>
    <w:p>
      <w:pPr>
        <w:spacing w:line="360" w:lineRule="auto"/>
        <w:rPr>
          <w:color w:val="auto"/>
          <w:highlight w:val="none"/>
        </w:rPr>
      </w:pPr>
      <w:r>
        <w:rPr>
          <w:rFonts w:hint="eastAsia"/>
          <w:color w:val="auto"/>
          <w:highlight w:val="none"/>
        </w:rPr>
        <w:t>1、</w:t>
      </w:r>
      <w:r>
        <w:rPr>
          <w:color w:val="auto"/>
          <w:highlight w:val="none"/>
        </w:rPr>
        <w:t>附法定代表人身份证明</w:t>
      </w:r>
      <w:r>
        <w:rPr>
          <w:rFonts w:hint="eastAsia"/>
          <w:color w:val="auto"/>
          <w:highlight w:val="none"/>
        </w:rPr>
        <w:t>及</w:t>
      </w:r>
      <w:r>
        <w:rPr>
          <w:color w:val="auto"/>
          <w:highlight w:val="none"/>
        </w:rPr>
        <w:t>身份证</w:t>
      </w:r>
      <w:r>
        <w:rPr>
          <w:rFonts w:hint="eastAsia"/>
          <w:color w:val="auto"/>
          <w:highlight w:val="none"/>
        </w:rPr>
        <w:t>、</w:t>
      </w:r>
      <w:r>
        <w:rPr>
          <w:rFonts w:ascii="宋体" w:hAnsi="宋体"/>
          <w:color w:val="auto"/>
          <w:szCs w:val="21"/>
          <w:highlight w:val="none"/>
        </w:rPr>
        <w:t>企业法人营业执照</w:t>
      </w:r>
      <w:r>
        <w:rPr>
          <w:rFonts w:hint="eastAsia" w:ascii="宋体" w:hAnsi="宋体"/>
          <w:color w:val="auto"/>
          <w:szCs w:val="21"/>
          <w:highlight w:val="none"/>
        </w:rPr>
        <w:t>副本</w:t>
      </w:r>
      <w:r>
        <w:rPr>
          <w:color w:val="auto"/>
          <w:highlight w:val="none"/>
        </w:rPr>
        <w:t>复印件</w:t>
      </w:r>
      <w:r>
        <w:rPr>
          <w:rFonts w:hint="eastAsia"/>
          <w:color w:val="auto"/>
          <w:highlight w:val="none"/>
        </w:rPr>
        <w:t>。</w:t>
      </w:r>
      <w:r>
        <w:rPr>
          <w:color w:val="auto"/>
          <w:highlight w:val="none"/>
        </w:rPr>
        <w:t>以</w:t>
      </w:r>
      <w:r>
        <w:rPr>
          <w:rFonts w:hint="eastAsia"/>
          <w:color w:val="auto"/>
          <w:highlight w:val="none"/>
        </w:rPr>
        <w:t>上</w:t>
      </w:r>
      <w:r>
        <w:rPr>
          <w:color w:val="auto"/>
          <w:highlight w:val="none"/>
        </w:rPr>
        <w:t>复印件均须加盖投标人单位公章</w:t>
      </w:r>
      <w:r>
        <w:rPr>
          <w:rFonts w:hint="eastAsia"/>
          <w:color w:val="auto"/>
          <w:highlight w:val="none"/>
        </w:rPr>
        <w:t>。</w:t>
      </w:r>
    </w:p>
    <w:p>
      <w:pPr>
        <w:spacing w:line="480" w:lineRule="auto"/>
        <w:jc w:val="center"/>
        <w:rPr>
          <w:b/>
          <w:color w:val="auto"/>
          <w:sz w:val="28"/>
          <w:szCs w:val="28"/>
          <w:highlight w:val="none"/>
        </w:rPr>
      </w:pPr>
      <w:r>
        <w:rPr>
          <w:color w:val="auto"/>
          <w:highlight w:val="none"/>
        </w:rPr>
        <w:br w:type="page"/>
      </w:r>
      <w:r>
        <w:rPr>
          <w:b/>
          <w:color w:val="auto"/>
          <w:sz w:val="28"/>
          <w:szCs w:val="28"/>
          <w:highlight w:val="none"/>
        </w:rPr>
        <w:t>1、投标文件签署授权委托书</w:t>
      </w:r>
      <w:r>
        <w:rPr>
          <w:rFonts w:hint="eastAsia"/>
          <w:b/>
          <w:color w:val="auto"/>
          <w:sz w:val="28"/>
          <w:szCs w:val="28"/>
          <w:highlight w:val="none"/>
        </w:rPr>
        <w:t>（联合体投标格式）</w:t>
      </w:r>
    </w:p>
    <w:p>
      <w:pPr>
        <w:spacing w:after="156" w:line="360" w:lineRule="auto"/>
        <w:rPr>
          <w:b/>
          <w:color w:val="auto"/>
          <w:highlight w:val="none"/>
        </w:rPr>
      </w:pPr>
    </w:p>
    <w:p>
      <w:pPr>
        <w:spacing w:line="460" w:lineRule="exact"/>
        <w:ind w:firstLine="612"/>
        <w:rPr>
          <w:rFonts w:ascii="宋体" w:hAnsi="宋体"/>
          <w:color w:val="auto"/>
          <w:highlight w:val="none"/>
        </w:rPr>
      </w:pPr>
      <w:r>
        <w:rPr>
          <w:rFonts w:ascii="宋体" w:hAnsi="宋体"/>
          <w:color w:val="auto"/>
          <w:highlight w:val="none"/>
        </w:rPr>
        <w:t>本授权委托书声明：我</w:t>
      </w:r>
      <w:r>
        <w:rPr>
          <w:rFonts w:ascii="宋体" w:hAnsi="宋体"/>
          <w:color w:val="auto"/>
          <w:szCs w:val="21"/>
          <w:highlight w:val="none"/>
          <w:u w:val="single"/>
        </w:rPr>
        <w:t></w:t>
      </w:r>
      <w:r>
        <w:rPr>
          <w:rFonts w:ascii="宋体" w:hAnsi="宋体"/>
          <w:color w:val="auto"/>
          <w:highlight w:val="none"/>
        </w:rPr>
        <w:t>（姓名）系（投标人名称）的法定代表人，我</w:t>
      </w:r>
      <w:r>
        <w:rPr>
          <w:rFonts w:ascii="宋体" w:hAnsi="宋体"/>
          <w:color w:val="auto"/>
          <w:szCs w:val="21"/>
          <w:highlight w:val="none"/>
          <w:u w:val="single"/>
        </w:rPr>
        <w:t></w:t>
      </w:r>
      <w:r>
        <w:rPr>
          <w:rFonts w:ascii="宋体" w:hAnsi="宋体"/>
          <w:color w:val="auto"/>
          <w:highlight w:val="none"/>
        </w:rPr>
        <w:t>（姓名）系（投标人名称）的法定代表人，现</w:t>
      </w:r>
      <w:r>
        <w:rPr>
          <w:rFonts w:hint="eastAsia" w:ascii="宋体" w:hAnsi="宋体"/>
          <w:color w:val="auto"/>
          <w:highlight w:val="none"/>
        </w:rPr>
        <w:t>共同</w:t>
      </w:r>
      <w:r>
        <w:rPr>
          <w:rFonts w:ascii="宋体" w:hAnsi="宋体"/>
          <w:color w:val="auto"/>
          <w:highlight w:val="none"/>
        </w:rPr>
        <w:t>授权委托（单位名称）的（姓名）为我</w:t>
      </w:r>
      <w:r>
        <w:rPr>
          <w:rFonts w:hint="eastAsia" w:ascii="宋体" w:hAnsi="宋体"/>
          <w:color w:val="auto"/>
          <w:highlight w:val="none"/>
        </w:rPr>
        <w:t>联合体</w:t>
      </w:r>
      <w:r>
        <w:rPr>
          <w:rFonts w:ascii="宋体" w:hAnsi="宋体"/>
          <w:color w:val="auto"/>
          <w:highlight w:val="none"/>
        </w:rPr>
        <w:t>签署工程的投标文件的法定代表人授权委托代理人，我</w:t>
      </w:r>
      <w:r>
        <w:rPr>
          <w:rFonts w:hint="eastAsia" w:ascii="宋体" w:hAnsi="宋体"/>
          <w:color w:val="auto"/>
          <w:highlight w:val="none"/>
        </w:rPr>
        <w:t>联合体</w:t>
      </w:r>
      <w:r>
        <w:rPr>
          <w:rFonts w:ascii="宋体" w:hAnsi="宋体"/>
          <w:color w:val="auto"/>
          <w:highlight w:val="none"/>
        </w:rPr>
        <w:t>承认代理人全权代表我</w:t>
      </w:r>
      <w:r>
        <w:rPr>
          <w:rFonts w:hint="eastAsia" w:ascii="宋体" w:hAnsi="宋体"/>
          <w:color w:val="auto"/>
          <w:highlight w:val="none"/>
        </w:rPr>
        <w:t>联合体</w:t>
      </w:r>
      <w:r>
        <w:rPr>
          <w:rFonts w:ascii="宋体" w:hAnsi="宋体"/>
          <w:color w:val="auto"/>
          <w:highlight w:val="none"/>
        </w:rPr>
        <w:t>所签署的本工程的投标文件的内容。</w:t>
      </w:r>
    </w:p>
    <w:p>
      <w:pPr>
        <w:spacing w:line="480" w:lineRule="auto"/>
        <w:ind w:firstLine="610"/>
        <w:rPr>
          <w:rFonts w:ascii="宋体" w:hAnsi="宋体"/>
          <w:color w:val="auto"/>
          <w:highlight w:val="none"/>
        </w:rPr>
      </w:pPr>
    </w:p>
    <w:p>
      <w:pPr>
        <w:spacing w:line="480" w:lineRule="auto"/>
        <w:ind w:firstLine="697"/>
        <w:rPr>
          <w:rFonts w:ascii="宋体" w:hAnsi="宋体"/>
          <w:color w:val="auto"/>
          <w:highlight w:val="none"/>
        </w:rPr>
      </w:pPr>
      <w:r>
        <w:rPr>
          <w:rFonts w:ascii="宋体" w:hAnsi="宋体"/>
          <w:color w:val="auto"/>
          <w:highlight w:val="none"/>
        </w:rPr>
        <w:t>代理人无转委托权，特此委托。</w:t>
      </w:r>
    </w:p>
    <w:p>
      <w:pPr>
        <w:spacing w:line="360" w:lineRule="auto"/>
        <w:rPr>
          <w:rFonts w:ascii="宋体" w:hAnsi="宋体"/>
          <w:color w:val="auto"/>
          <w:highlight w:val="none"/>
        </w:rPr>
      </w:pPr>
    </w:p>
    <w:p>
      <w:pPr>
        <w:spacing w:line="360" w:lineRule="auto"/>
        <w:ind w:left="1260"/>
        <w:rPr>
          <w:rFonts w:ascii="宋体" w:hAnsi="宋体"/>
          <w:color w:val="auto"/>
          <w:highlight w:val="none"/>
        </w:rPr>
      </w:pPr>
    </w:p>
    <w:p>
      <w:pPr>
        <w:spacing w:line="480" w:lineRule="auto"/>
        <w:ind w:left="1260"/>
        <w:rPr>
          <w:rFonts w:ascii="宋体" w:hAnsi="宋体"/>
          <w:color w:val="auto"/>
          <w:highlight w:val="none"/>
        </w:rPr>
      </w:pPr>
    </w:p>
    <w:p>
      <w:pPr>
        <w:spacing w:line="480" w:lineRule="auto"/>
        <w:rPr>
          <w:rFonts w:ascii="宋体" w:hAnsi="宋体"/>
          <w:color w:val="auto"/>
          <w:highlight w:val="none"/>
          <w:u w:val="single"/>
        </w:rPr>
      </w:pPr>
      <w:r>
        <w:rPr>
          <w:rFonts w:ascii="宋体" w:hAnsi="宋体"/>
          <w:color w:val="auto"/>
          <w:highlight w:val="none"/>
        </w:rPr>
        <w:t>代理人：性别 ：年龄：_______</w:t>
      </w:r>
    </w:p>
    <w:p>
      <w:pPr>
        <w:spacing w:line="480" w:lineRule="auto"/>
        <w:rPr>
          <w:rFonts w:ascii="宋体" w:hAnsi="宋体"/>
          <w:color w:val="auto"/>
          <w:highlight w:val="none"/>
          <w:u w:val="single"/>
        </w:rPr>
      </w:pPr>
      <w:r>
        <w:rPr>
          <w:rFonts w:ascii="宋体" w:hAnsi="宋体"/>
          <w:color w:val="auto"/>
          <w:highlight w:val="none"/>
        </w:rPr>
        <w:t>身份证号码：</w:t>
      </w:r>
    </w:p>
    <w:p>
      <w:pPr>
        <w:spacing w:line="480" w:lineRule="auto"/>
        <w:rPr>
          <w:rFonts w:ascii="宋体" w:hAnsi="宋体"/>
          <w:color w:val="auto"/>
          <w:highlight w:val="none"/>
          <w:u w:val="single"/>
        </w:rPr>
      </w:pPr>
      <w:r>
        <w:rPr>
          <w:rFonts w:ascii="宋体" w:hAnsi="宋体"/>
          <w:color w:val="auto"/>
          <w:highlight w:val="none"/>
        </w:rPr>
        <w:t>投标人</w:t>
      </w:r>
      <w:r>
        <w:rPr>
          <w:rFonts w:hint="eastAsia" w:ascii="宋体" w:hAnsi="宋体"/>
          <w:color w:val="auto"/>
          <w:highlight w:val="none"/>
        </w:rPr>
        <w:t>（牵头人）</w:t>
      </w:r>
      <w:r>
        <w:rPr>
          <w:rFonts w:ascii="宋体" w:hAnsi="宋体"/>
          <w:color w:val="auto"/>
          <w:highlight w:val="none"/>
        </w:rPr>
        <w:t>：</w:t>
      </w:r>
      <w:r>
        <w:rPr>
          <w:rFonts w:ascii="宋体" w:hAnsi="宋体"/>
          <w:color w:val="auto"/>
          <w:highlight w:val="none"/>
          <w:u w:val="single"/>
        </w:rPr>
        <w:t xml:space="preserve">   （盖</w:t>
      </w:r>
      <w:r>
        <w:rPr>
          <w:rFonts w:hint="eastAsia" w:ascii="宋体" w:hAnsi="宋体"/>
          <w:color w:val="auto"/>
          <w:highlight w:val="none"/>
          <w:u w:val="single"/>
        </w:rPr>
        <w:t>单位</w:t>
      </w:r>
      <w:r>
        <w:rPr>
          <w:rFonts w:ascii="宋体" w:hAnsi="宋体"/>
          <w:color w:val="auto"/>
          <w:highlight w:val="none"/>
          <w:u w:val="single"/>
        </w:rPr>
        <w:t>章）</w:t>
      </w:r>
    </w:p>
    <w:p>
      <w:pPr>
        <w:spacing w:line="480" w:lineRule="auto"/>
        <w:rPr>
          <w:rFonts w:ascii="宋体" w:hAnsi="宋体"/>
          <w:color w:val="auto"/>
          <w:highlight w:val="none"/>
          <w:u w:val="single"/>
        </w:rPr>
      </w:pPr>
      <w:r>
        <w:rPr>
          <w:rFonts w:ascii="宋体" w:hAnsi="宋体"/>
          <w:color w:val="auto"/>
          <w:highlight w:val="none"/>
        </w:rPr>
        <w:t>法定代表人</w:t>
      </w:r>
      <w:r>
        <w:rPr>
          <w:rFonts w:hint="eastAsia" w:ascii="宋体" w:hAnsi="宋体"/>
          <w:color w:val="auto"/>
          <w:highlight w:val="none"/>
        </w:rPr>
        <w:t>（牵头人）</w:t>
      </w:r>
      <w:r>
        <w:rPr>
          <w:rFonts w:ascii="宋体" w:hAnsi="宋体"/>
          <w:color w:val="auto"/>
          <w:highlight w:val="none"/>
        </w:rPr>
        <w:t>：</w:t>
      </w:r>
      <w:r>
        <w:rPr>
          <w:rFonts w:ascii="宋体" w:hAnsi="宋体"/>
          <w:color w:val="auto"/>
          <w:highlight w:val="none"/>
          <w:u w:val="single"/>
        </w:rPr>
        <w:t xml:space="preserve">                            （签字或盖章）</w:t>
      </w:r>
    </w:p>
    <w:p>
      <w:pPr>
        <w:spacing w:line="480" w:lineRule="auto"/>
        <w:rPr>
          <w:rFonts w:ascii="宋体" w:hAnsi="宋体"/>
          <w:color w:val="auto"/>
          <w:highlight w:val="none"/>
        </w:rPr>
      </w:pPr>
      <w:r>
        <w:rPr>
          <w:rFonts w:ascii="宋体" w:hAnsi="宋体"/>
          <w:color w:val="auto"/>
          <w:highlight w:val="none"/>
        </w:rPr>
        <w:t>投标人</w:t>
      </w:r>
      <w:r>
        <w:rPr>
          <w:rFonts w:hint="eastAsia" w:ascii="宋体" w:hAnsi="宋体"/>
          <w:color w:val="auto"/>
          <w:highlight w:val="none"/>
        </w:rPr>
        <w:t>（联合体成员）</w:t>
      </w:r>
      <w:r>
        <w:rPr>
          <w:rFonts w:ascii="宋体" w:hAnsi="宋体"/>
          <w:color w:val="auto"/>
          <w:highlight w:val="none"/>
        </w:rPr>
        <w:t>：</w:t>
      </w:r>
      <w:r>
        <w:rPr>
          <w:rFonts w:ascii="宋体" w:hAnsi="宋体"/>
          <w:color w:val="auto"/>
          <w:highlight w:val="none"/>
          <w:u w:val="single"/>
        </w:rPr>
        <w:t xml:space="preserve">  （盖</w:t>
      </w:r>
      <w:r>
        <w:rPr>
          <w:rFonts w:hint="eastAsia" w:ascii="宋体" w:hAnsi="宋体"/>
          <w:color w:val="auto"/>
          <w:highlight w:val="none"/>
          <w:u w:val="single"/>
        </w:rPr>
        <w:t>单位</w:t>
      </w:r>
      <w:r>
        <w:rPr>
          <w:rFonts w:ascii="宋体" w:hAnsi="宋体"/>
          <w:color w:val="auto"/>
          <w:highlight w:val="none"/>
          <w:u w:val="single"/>
        </w:rPr>
        <w:t>章）</w:t>
      </w:r>
    </w:p>
    <w:p>
      <w:pPr>
        <w:spacing w:line="480" w:lineRule="auto"/>
        <w:rPr>
          <w:rFonts w:ascii="宋体" w:hAnsi="宋体"/>
          <w:color w:val="auto"/>
          <w:highlight w:val="none"/>
          <w:u w:val="single"/>
        </w:rPr>
      </w:pPr>
      <w:r>
        <w:rPr>
          <w:rFonts w:ascii="宋体" w:hAnsi="宋体"/>
          <w:color w:val="auto"/>
          <w:highlight w:val="none"/>
        </w:rPr>
        <w:t>法定代表人</w:t>
      </w:r>
      <w:r>
        <w:rPr>
          <w:rFonts w:hint="eastAsia" w:ascii="宋体" w:hAnsi="宋体"/>
          <w:color w:val="auto"/>
          <w:highlight w:val="none"/>
        </w:rPr>
        <w:t>（联合体成员）</w:t>
      </w:r>
      <w:r>
        <w:rPr>
          <w:rFonts w:ascii="宋体" w:hAnsi="宋体"/>
          <w:color w:val="auto"/>
          <w:highlight w:val="none"/>
        </w:rPr>
        <w:t>：</w:t>
      </w:r>
      <w:r>
        <w:rPr>
          <w:rFonts w:ascii="宋体" w:hAnsi="宋体"/>
          <w:color w:val="auto"/>
          <w:highlight w:val="none"/>
          <w:u w:val="single"/>
        </w:rPr>
        <w:t xml:space="preserve">                           （签字或盖章）</w:t>
      </w:r>
    </w:p>
    <w:p>
      <w:pPr>
        <w:spacing w:line="480" w:lineRule="auto"/>
        <w:ind w:left="2699"/>
        <w:rPr>
          <w:rFonts w:ascii="宋体" w:hAnsi="宋体"/>
          <w:color w:val="auto"/>
          <w:highlight w:val="none"/>
        </w:rPr>
      </w:pPr>
    </w:p>
    <w:p>
      <w:pPr>
        <w:spacing w:line="480" w:lineRule="auto"/>
        <w:ind w:left="2699"/>
        <w:rPr>
          <w:rFonts w:ascii="宋体" w:hAnsi="宋体"/>
          <w:color w:val="auto"/>
          <w:highlight w:val="none"/>
        </w:rPr>
      </w:pPr>
      <w:r>
        <w:rPr>
          <w:rFonts w:ascii="宋体" w:hAnsi="宋体"/>
          <w:color w:val="auto"/>
          <w:highlight w:val="none"/>
        </w:rPr>
        <w:t>授权委托日期：</w:t>
      </w:r>
      <w:r>
        <w:rPr>
          <w:rFonts w:ascii="宋体" w:hAnsi="宋体"/>
          <w:color w:val="auto"/>
          <w:szCs w:val="21"/>
          <w:highlight w:val="none"/>
        </w:rPr>
        <w:t xml:space="preserve">年月日 </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r>
        <w:rPr>
          <w:rFonts w:ascii="宋体" w:hAnsi="宋体"/>
          <w:color w:val="auto"/>
          <w:highlight w:val="none"/>
        </w:rPr>
        <w:t>备注：</w:t>
      </w:r>
    </w:p>
    <w:p>
      <w:pPr>
        <w:spacing w:line="360" w:lineRule="auto"/>
        <w:rPr>
          <w:rFonts w:ascii="宋体" w:hAnsi="宋体"/>
          <w:color w:val="auto"/>
          <w:highlight w:val="none"/>
        </w:rPr>
      </w:pPr>
      <w:r>
        <w:rPr>
          <w:rFonts w:hint="eastAsia" w:ascii="宋体" w:hAnsi="宋体"/>
          <w:color w:val="auto"/>
          <w:highlight w:val="none"/>
        </w:rPr>
        <w:t>联合体投标的由联合体中双方共同签署授权委托书；联合体各方均须附其</w:t>
      </w:r>
      <w:r>
        <w:rPr>
          <w:rFonts w:ascii="宋体" w:hAnsi="宋体"/>
          <w:color w:val="auto"/>
          <w:highlight w:val="none"/>
        </w:rPr>
        <w:t>法定代表人身份证明</w:t>
      </w:r>
      <w:r>
        <w:rPr>
          <w:rFonts w:hint="eastAsia" w:ascii="宋体" w:hAnsi="宋体"/>
          <w:color w:val="auto"/>
          <w:highlight w:val="none"/>
        </w:rPr>
        <w:t>及</w:t>
      </w:r>
      <w:r>
        <w:rPr>
          <w:rFonts w:ascii="宋体" w:hAnsi="宋体"/>
          <w:color w:val="auto"/>
          <w:highlight w:val="none"/>
        </w:rPr>
        <w:t>身份证</w:t>
      </w:r>
      <w:r>
        <w:rPr>
          <w:rFonts w:hint="eastAsia" w:ascii="宋体" w:hAnsi="宋体"/>
          <w:color w:val="auto"/>
          <w:highlight w:val="none"/>
        </w:rPr>
        <w:t>、</w:t>
      </w:r>
      <w:r>
        <w:rPr>
          <w:rFonts w:ascii="宋体" w:hAnsi="宋体"/>
          <w:color w:val="auto"/>
          <w:highlight w:val="none"/>
        </w:rPr>
        <w:t>企业法人营业执照</w:t>
      </w:r>
      <w:r>
        <w:rPr>
          <w:rFonts w:hint="eastAsia" w:ascii="宋体" w:hAnsi="宋体"/>
          <w:color w:val="auto"/>
          <w:highlight w:val="none"/>
        </w:rPr>
        <w:t>副本</w:t>
      </w:r>
      <w:r>
        <w:rPr>
          <w:rFonts w:ascii="宋体" w:hAnsi="宋体"/>
          <w:color w:val="auto"/>
          <w:highlight w:val="none"/>
        </w:rPr>
        <w:t>复印件</w:t>
      </w:r>
      <w:r>
        <w:rPr>
          <w:rFonts w:hint="eastAsia" w:ascii="宋体" w:hAnsi="宋体"/>
          <w:color w:val="auto"/>
          <w:highlight w:val="none"/>
        </w:rPr>
        <w:t>，</w:t>
      </w:r>
      <w:r>
        <w:rPr>
          <w:rFonts w:ascii="宋体" w:hAnsi="宋体"/>
          <w:color w:val="auto"/>
          <w:highlight w:val="none"/>
        </w:rPr>
        <w:t>以</w:t>
      </w:r>
      <w:r>
        <w:rPr>
          <w:rFonts w:hint="eastAsia" w:ascii="宋体" w:hAnsi="宋体"/>
          <w:color w:val="auto"/>
          <w:highlight w:val="none"/>
        </w:rPr>
        <w:t>上</w:t>
      </w:r>
      <w:r>
        <w:rPr>
          <w:rFonts w:ascii="宋体" w:hAnsi="宋体"/>
          <w:color w:val="auto"/>
          <w:highlight w:val="none"/>
        </w:rPr>
        <w:t>复印件均须加盖</w:t>
      </w:r>
      <w:r>
        <w:rPr>
          <w:rFonts w:hint="eastAsia" w:ascii="宋体" w:hAnsi="宋体"/>
          <w:color w:val="auto"/>
          <w:highlight w:val="none"/>
        </w:rPr>
        <w:t>联合体的各方</w:t>
      </w:r>
      <w:r>
        <w:rPr>
          <w:rFonts w:ascii="宋体" w:hAnsi="宋体"/>
          <w:color w:val="auto"/>
          <w:highlight w:val="none"/>
        </w:rPr>
        <w:t>单位公章</w:t>
      </w:r>
      <w:r>
        <w:rPr>
          <w:rFonts w:hint="eastAsia" w:ascii="宋体" w:hAnsi="宋体"/>
          <w:color w:val="auto"/>
          <w:highlight w:val="none"/>
        </w:rPr>
        <w:t>。</w:t>
      </w:r>
    </w:p>
    <w:p>
      <w:pPr>
        <w:spacing w:line="480" w:lineRule="auto"/>
        <w:jc w:val="center"/>
        <w:rPr>
          <w:color w:val="auto"/>
          <w:highlight w:val="none"/>
        </w:rPr>
      </w:pPr>
    </w:p>
    <w:p>
      <w:pPr>
        <w:spacing w:line="480" w:lineRule="auto"/>
        <w:jc w:val="center"/>
        <w:rPr>
          <w:rFonts w:hint="eastAsia"/>
          <w:b/>
          <w:color w:val="auto"/>
          <w:sz w:val="28"/>
          <w:szCs w:val="28"/>
          <w:highlight w:val="none"/>
        </w:rPr>
      </w:pPr>
    </w:p>
    <w:p>
      <w:pPr>
        <w:spacing w:line="480" w:lineRule="auto"/>
        <w:jc w:val="center"/>
        <w:rPr>
          <w:rFonts w:hint="eastAsia"/>
          <w:b/>
          <w:color w:val="auto"/>
          <w:sz w:val="28"/>
          <w:szCs w:val="28"/>
          <w:highlight w:val="none"/>
        </w:rPr>
      </w:pPr>
    </w:p>
    <w:p>
      <w:pPr>
        <w:spacing w:line="480" w:lineRule="auto"/>
        <w:jc w:val="center"/>
        <w:rPr>
          <w:b/>
          <w:color w:val="auto"/>
          <w:sz w:val="28"/>
          <w:szCs w:val="28"/>
          <w:highlight w:val="none"/>
        </w:rPr>
      </w:pPr>
      <w:r>
        <w:rPr>
          <w:rFonts w:hint="eastAsia"/>
          <w:b/>
          <w:color w:val="auto"/>
          <w:sz w:val="28"/>
          <w:szCs w:val="28"/>
          <w:highlight w:val="none"/>
        </w:rPr>
        <w:t>2、联合体协议书</w:t>
      </w:r>
    </w:p>
    <w:p>
      <w:pPr>
        <w:spacing w:line="400" w:lineRule="exact"/>
        <w:rPr>
          <w:color w:val="auto"/>
          <w:szCs w:val="21"/>
          <w:highlight w:val="none"/>
        </w:rPr>
      </w:pPr>
    </w:p>
    <w:p>
      <w:pPr>
        <w:topLinePunct/>
        <w:spacing w:line="440" w:lineRule="exact"/>
        <w:ind w:firstLine="420" w:firstLineChars="200"/>
        <w:rPr>
          <w:rFonts w:ascii="宋体" w:hAnsi="宋体"/>
          <w:color w:val="auto"/>
          <w:szCs w:val="21"/>
          <w:highlight w:val="none"/>
        </w:rPr>
      </w:pPr>
      <w:r>
        <w:rPr>
          <w:rFonts w:ascii="宋体" w:hAnsi="宋体"/>
          <w:color w:val="auto"/>
          <w:szCs w:val="21"/>
          <w:highlight w:val="none"/>
        </w:rPr>
        <w:t>（所有成员单位名称）自愿组成（联合体名称）</w:t>
      </w:r>
      <w:r>
        <w:rPr>
          <w:rFonts w:hint="eastAsia" w:ascii="宋体" w:hAnsi="宋体"/>
          <w:color w:val="auto"/>
          <w:szCs w:val="21"/>
          <w:highlight w:val="none"/>
        </w:rPr>
        <w:t>联合体</w:t>
      </w:r>
      <w:r>
        <w:rPr>
          <w:rFonts w:ascii="宋体" w:hAnsi="宋体"/>
          <w:color w:val="auto"/>
          <w:szCs w:val="21"/>
          <w:highlight w:val="none"/>
        </w:rPr>
        <w:t>，共同参加（项目名称）</w:t>
      </w:r>
      <w:r>
        <w:rPr>
          <w:rFonts w:hint="eastAsia" w:ascii="宋体" w:hAnsi="宋体"/>
          <w:color w:val="auto"/>
          <w:szCs w:val="21"/>
          <w:highlight w:val="none"/>
        </w:rPr>
        <w:t>总承包</w:t>
      </w:r>
      <w:r>
        <w:rPr>
          <w:rFonts w:ascii="宋体" w:hAnsi="宋体"/>
          <w:color w:val="auto"/>
          <w:szCs w:val="21"/>
          <w:highlight w:val="none"/>
        </w:rPr>
        <w:t>投标。现就联合体投标事宜订立如下协议。</w:t>
      </w:r>
    </w:p>
    <w:p>
      <w:pPr>
        <w:topLinePunct/>
        <w:spacing w:line="44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（某成员单位名称）为（联合体名称）牵头人。</w:t>
      </w:r>
    </w:p>
    <w:p>
      <w:pPr>
        <w:topLinePunct/>
        <w:spacing w:line="440" w:lineRule="exact"/>
        <w:ind w:firstLine="420" w:firstLineChars="200"/>
        <w:rPr>
          <w:rFonts w:ascii="宋体" w:hAnsi="宋体"/>
          <w:color w:val="auto"/>
          <w:szCs w:val="21"/>
          <w:highlight w:val="none"/>
        </w:rPr>
      </w:pPr>
      <w:r>
        <w:rPr>
          <w:rFonts w:ascii="宋体" w:hAnsi="宋体"/>
          <w:color w:val="auto"/>
          <w:szCs w:val="21"/>
          <w:highlight w:val="none"/>
        </w:rPr>
        <w:t>2、联合体牵头人</w:t>
      </w:r>
      <w:r>
        <w:rPr>
          <w:rFonts w:hint="eastAsia" w:ascii="宋体" w:hAnsi="宋体"/>
          <w:color w:val="auto"/>
          <w:szCs w:val="21"/>
          <w:highlight w:val="none"/>
        </w:rPr>
        <w:t>合法代表联合体各成员负责本招标项目投标文件编制和合同谈判活动，并代表联合体提交和接收相关的资料、信息及指示，并处理与之有关的一切事务，</w:t>
      </w:r>
      <w:r>
        <w:rPr>
          <w:rFonts w:ascii="宋体" w:hAnsi="宋体"/>
          <w:color w:val="auto"/>
          <w:szCs w:val="21"/>
          <w:highlight w:val="none"/>
        </w:rPr>
        <w:t>负责合同实施阶段的主办、组织和协调工作。</w:t>
      </w:r>
    </w:p>
    <w:p>
      <w:pPr>
        <w:topLinePunct/>
        <w:spacing w:line="440" w:lineRule="exact"/>
        <w:ind w:firstLine="420" w:firstLineChars="200"/>
        <w:rPr>
          <w:rFonts w:ascii="宋体" w:hAnsi="宋体"/>
          <w:color w:val="auto"/>
          <w:szCs w:val="21"/>
          <w:highlight w:val="none"/>
        </w:rPr>
      </w:pPr>
      <w:r>
        <w:rPr>
          <w:rFonts w:ascii="宋体" w:hAnsi="宋体"/>
          <w:color w:val="auto"/>
          <w:szCs w:val="21"/>
          <w:highlight w:val="none"/>
        </w:rPr>
        <w:t>3、联合体将严格按照招标文件的各项要求，递交投标文件，履行合同，并对外承担连带责任。</w:t>
      </w:r>
    </w:p>
    <w:p>
      <w:pPr>
        <w:topLinePunct/>
        <w:spacing w:line="440" w:lineRule="exact"/>
        <w:ind w:left="210" w:leftChars="100" w:firstLine="210" w:firstLineChars="100"/>
        <w:rPr>
          <w:rFonts w:ascii="宋体" w:hAnsi="宋体"/>
          <w:color w:val="auto"/>
          <w:szCs w:val="21"/>
          <w:highlight w:val="none"/>
        </w:rPr>
      </w:pPr>
      <w:r>
        <w:rPr>
          <w:rFonts w:ascii="宋体" w:hAnsi="宋体"/>
          <w:color w:val="auto"/>
          <w:szCs w:val="21"/>
          <w:highlight w:val="none"/>
        </w:rPr>
        <w:t>4、联合体各成员单位内部的职责分工如下：</w:t>
      </w:r>
      <w:r>
        <w:rPr>
          <w:rFonts w:hint="eastAsia" w:ascii="宋体" w:hAnsi="宋体"/>
          <w:color w:val="auto"/>
          <w:szCs w:val="21"/>
          <w:highlight w:val="none"/>
        </w:rPr>
        <w:t>，且投标保证金由（某成员单位名称）缴纳。</w:t>
      </w:r>
    </w:p>
    <w:p>
      <w:pPr>
        <w:topLinePunct/>
        <w:spacing w:line="440" w:lineRule="exact"/>
        <w:ind w:firstLine="420" w:firstLineChars="200"/>
        <w:rPr>
          <w:rFonts w:ascii="宋体" w:hAnsi="宋体"/>
          <w:color w:val="auto"/>
          <w:szCs w:val="21"/>
          <w:highlight w:val="none"/>
        </w:rPr>
      </w:pPr>
      <w:r>
        <w:rPr>
          <w:rFonts w:ascii="宋体" w:hAnsi="宋体"/>
          <w:color w:val="auto"/>
          <w:szCs w:val="21"/>
          <w:highlight w:val="none"/>
        </w:rPr>
        <w:t xml:space="preserve">5、本协议书自签署之日起生效，合同履行完毕后自动失效。 </w:t>
      </w:r>
    </w:p>
    <w:p>
      <w:pPr>
        <w:topLinePunct/>
        <w:spacing w:line="440" w:lineRule="exact"/>
        <w:ind w:firstLine="420" w:firstLineChars="200"/>
        <w:rPr>
          <w:rFonts w:ascii="宋体" w:hAnsi="宋体"/>
          <w:color w:val="auto"/>
          <w:szCs w:val="21"/>
          <w:highlight w:val="none"/>
        </w:rPr>
      </w:pPr>
      <w:r>
        <w:rPr>
          <w:rFonts w:ascii="宋体" w:hAnsi="宋体"/>
          <w:color w:val="auto"/>
          <w:szCs w:val="21"/>
          <w:highlight w:val="none"/>
        </w:rPr>
        <w:t>6、本协议书一式份，联合体成员和招标人各执份。</w:t>
      </w:r>
    </w:p>
    <w:p>
      <w:pPr>
        <w:topLinePunct/>
        <w:spacing w:line="440" w:lineRule="exact"/>
        <w:rPr>
          <w:rFonts w:ascii="宋体" w:hAnsi="宋体"/>
          <w:color w:val="auto"/>
          <w:szCs w:val="21"/>
          <w:highlight w:val="none"/>
        </w:rPr>
      </w:pPr>
    </w:p>
    <w:p>
      <w:pPr>
        <w:topLinePunct/>
        <w:spacing w:line="440" w:lineRule="exact"/>
        <w:rPr>
          <w:rFonts w:ascii="宋体" w:hAnsi="宋体"/>
          <w:color w:val="auto"/>
          <w:szCs w:val="21"/>
          <w:highlight w:val="none"/>
        </w:rPr>
      </w:pPr>
    </w:p>
    <w:p>
      <w:pPr>
        <w:topLinePunct/>
        <w:spacing w:line="440" w:lineRule="exact"/>
        <w:rPr>
          <w:rFonts w:ascii="宋体" w:hAnsi="宋体"/>
          <w:color w:val="auto"/>
          <w:szCs w:val="21"/>
          <w:highlight w:val="none"/>
        </w:rPr>
      </w:pPr>
      <w:r>
        <w:rPr>
          <w:rFonts w:ascii="宋体" w:hAnsi="宋体"/>
          <w:color w:val="auto"/>
          <w:szCs w:val="21"/>
          <w:highlight w:val="none"/>
        </w:rPr>
        <w:t>牵头人名称：（盖单位章）</w:t>
      </w:r>
    </w:p>
    <w:p>
      <w:pPr>
        <w:topLinePunct/>
        <w:spacing w:line="440" w:lineRule="exact"/>
        <w:rPr>
          <w:rFonts w:ascii="宋体" w:hAnsi="宋体"/>
          <w:color w:val="auto"/>
          <w:szCs w:val="21"/>
          <w:highlight w:val="none"/>
        </w:rPr>
      </w:pPr>
      <w:r>
        <w:rPr>
          <w:rFonts w:ascii="宋体" w:hAnsi="宋体"/>
          <w:color w:val="auto"/>
          <w:szCs w:val="21"/>
          <w:highlight w:val="none"/>
        </w:rPr>
        <w:t>法定代表人</w:t>
      </w:r>
      <w:r>
        <w:rPr>
          <w:rFonts w:hint="eastAsia" w:ascii="宋体" w:hAnsi="宋体"/>
          <w:color w:val="auto"/>
          <w:szCs w:val="21"/>
          <w:highlight w:val="none"/>
        </w:rPr>
        <w:t>或其委托代理人</w:t>
      </w:r>
      <w:r>
        <w:rPr>
          <w:rFonts w:ascii="宋体" w:hAnsi="宋体"/>
          <w:color w:val="auto"/>
          <w:szCs w:val="21"/>
          <w:highlight w:val="none"/>
        </w:rPr>
        <w:t>：（签字</w:t>
      </w:r>
      <w:r>
        <w:rPr>
          <w:rFonts w:hint="eastAsia" w:ascii="宋体" w:hAnsi="宋体"/>
          <w:color w:val="auto"/>
          <w:szCs w:val="21"/>
          <w:highlight w:val="none"/>
        </w:rPr>
        <w:t>或盖章</w:t>
      </w:r>
      <w:r>
        <w:rPr>
          <w:rFonts w:ascii="宋体" w:hAnsi="宋体"/>
          <w:color w:val="auto"/>
          <w:szCs w:val="21"/>
          <w:highlight w:val="none"/>
        </w:rPr>
        <w:t>）</w:t>
      </w:r>
    </w:p>
    <w:p>
      <w:pPr>
        <w:topLinePunct/>
        <w:spacing w:line="440" w:lineRule="exact"/>
        <w:rPr>
          <w:rFonts w:ascii="宋体" w:hAnsi="宋体"/>
          <w:color w:val="auto"/>
          <w:szCs w:val="21"/>
          <w:highlight w:val="none"/>
        </w:rPr>
      </w:pPr>
    </w:p>
    <w:p>
      <w:pPr>
        <w:topLinePunct/>
        <w:spacing w:line="440" w:lineRule="exact"/>
        <w:rPr>
          <w:rFonts w:ascii="宋体" w:hAnsi="宋体"/>
          <w:color w:val="auto"/>
          <w:szCs w:val="21"/>
          <w:highlight w:val="none"/>
        </w:rPr>
      </w:pPr>
      <w:r>
        <w:rPr>
          <w:rFonts w:ascii="宋体" w:hAnsi="宋体"/>
          <w:color w:val="auto"/>
          <w:szCs w:val="21"/>
          <w:highlight w:val="none"/>
        </w:rPr>
        <w:t>成员名称：（盖单位章）</w:t>
      </w:r>
    </w:p>
    <w:p>
      <w:pPr>
        <w:topLinePunct/>
        <w:spacing w:line="440" w:lineRule="exact"/>
        <w:rPr>
          <w:rFonts w:ascii="宋体" w:hAnsi="宋体"/>
          <w:color w:val="auto"/>
          <w:szCs w:val="21"/>
          <w:highlight w:val="none"/>
        </w:rPr>
      </w:pPr>
      <w:r>
        <w:rPr>
          <w:rFonts w:ascii="宋体" w:hAnsi="宋体"/>
          <w:color w:val="auto"/>
          <w:szCs w:val="21"/>
          <w:highlight w:val="none"/>
        </w:rPr>
        <w:t>法定代表人</w:t>
      </w:r>
      <w:r>
        <w:rPr>
          <w:rFonts w:hint="eastAsia" w:ascii="宋体" w:hAnsi="宋体"/>
          <w:color w:val="auto"/>
          <w:szCs w:val="21"/>
          <w:highlight w:val="none"/>
        </w:rPr>
        <w:t>或其委托代理人</w:t>
      </w:r>
      <w:r>
        <w:rPr>
          <w:rFonts w:ascii="宋体" w:hAnsi="宋体"/>
          <w:color w:val="auto"/>
          <w:szCs w:val="21"/>
          <w:highlight w:val="none"/>
        </w:rPr>
        <w:t>：（签字</w:t>
      </w:r>
      <w:r>
        <w:rPr>
          <w:rFonts w:hint="eastAsia" w:ascii="宋体" w:hAnsi="宋体"/>
          <w:color w:val="auto"/>
          <w:szCs w:val="21"/>
          <w:highlight w:val="none"/>
        </w:rPr>
        <w:t>或盖章</w:t>
      </w:r>
      <w:r>
        <w:rPr>
          <w:rFonts w:ascii="宋体" w:hAnsi="宋体"/>
          <w:color w:val="auto"/>
          <w:szCs w:val="21"/>
          <w:highlight w:val="none"/>
        </w:rPr>
        <w:t>）</w:t>
      </w:r>
    </w:p>
    <w:p>
      <w:pPr>
        <w:topLinePunct/>
        <w:spacing w:line="440" w:lineRule="exact"/>
        <w:rPr>
          <w:rFonts w:ascii="宋体" w:hAnsi="宋体"/>
          <w:color w:val="auto"/>
          <w:szCs w:val="21"/>
          <w:highlight w:val="none"/>
        </w:rPr>
      </w:pPr>
    </w:p>
    <w:p>
      <w:pPr>
        <w:topLinePunct/>
        <w:spacing w:line="440" w:lineRule="exact"/>
        <w:rPr>
          <w:rFonts w:ascii="宋体" w:hAnsi="宋体"/>
          <w:color w:val="auto"/>
          <w:szCs w:val="21"/>
          <w:highlight w:val="none"/>
        </w:rPr>
      </w:pPr>
    </w:p>
    <w:p>
      <w:pPr>
        <w:ind w:firstLine="2879" w:firstLineChars="1371"/>
        <w:rPr>
          <w:rFonts w:ascii="宋体" w:hAnsi="宋体"/>
          <w:color w:val="auto"/>
          <w:highlight w:val="none"/>
        </w:rPr>
      </w:pPr>
      <w:r>
        <w:rPr>
          <w:rFonts w:ascii="宋体" w:hAnsi="宋体"/>
          <w:color w:val="auto"/>
          <w:highlight w:val="none"/>
        </w:rPr>
        <w:t>年月日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topLinePunct/>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注：本协议书由委托代理人签字的，应附法定代表人签字的授权委托书。</w:t>
      </w:r>
    </w:p>
    <w:p>
      <w:pPr>
        <w:rPr>
          <w:color w:val="auto"/>
          <w:highlight w:val="none"/>
        </w:rPr>
      </w:pPr>
    </w:p>
    <w:p>
      <w:pPr>
        <w:spacing w:line="480" w:lineRule="auto"/>
        <w:jc w:val="center"/>
        <w:rPr>
          <w:rFonts w:hint="eastAsia"/>
          <w:b/>
          <w:color w:val="auto"/>
          <w:sz w:val="28"/>
          <w:szCs w:val="28"/>
          <w:highlight w:val="none"/>
        </w:rPr>
      </w:pPr>
    </w:p>
    <w:p>
      <w:pPr>
        <w:spacing w:line="480" w:lineRule="auto"/>
        <w:jc w:val="center"/>
        <w:rPr>
          <w:rFonts w:hint="eastAsia"/>
          <w:b/>
          <w:color w:val="auto"/>
          <w:sz w:val="28"/>
          <w:szCs w:val="28"/>
          <w:highlight w:val="none"/>
        </w:rPr>
      </w:pPr>
    </w:p>
    <w:p>
      <w:pPr>
        <w:spacing w:line="480" w:lineRule="auto"/>
        <w:jc w:val="center"/>
        <w:rPr>
          <w:rFonts w:hint="eastAsia"/>
          <w:b/>
          <w:color w:val="auto"/>
          <w:sz w:val="28"/>
          <w:szCs w:val="28"/>
          <w:highlight w:val="none"/>
        </w:rPr>
      </w:pPr>
    </w:p>
    <w:p>
      <w:pPr>
        <w:spacing w:line="480" w:lineRule="auto"/>
        <w:jc w:val="center"/>
        <w:rPr>
          <w:b/>
          <w:color w:val="auto"/>
          <w:sz w:val="28"/>
          <w:szCs w:val="28"/>
          <w:highlight w:val="none"/>
        </w:rPr>
      </w:pPr>
      <w:r>
        <w:rPr>
          <w:rFonts w:hint="eastAsia"/>
          <w:b/>
          <w:color w:val="auto"/>
          <w:sz w:val="28"/>
          <w:szCs w:val="28"/>
          <w:highlight w:val="none"/>
        </w:rPr>
        <w:t>3、</w:t>
      </w:r>
      <w:r>
        <w:rPr>
          <w:b/>
          <w:color w:val="auto"/>
          <w:sz w:val="28"/>
          <w:szCs w:val="28"/>
          <w:highlight w:val="none"/>
        </w:rPr>
        <w:t>投标人基本情况表</w:t>
      </w:r>
    </w:p>
    <w:tbl>
      <w:tblPr>
        <w:tblStyle w:val="22"/>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color w:val="auto"/>
                <w:szCs w:val="21"/>
                <w:highlight w:val="none"/>
              </w:rPr>
              <w:t>投标人名称</w:t>
            </w:r>
          </w:p>
        </w:tc>
        <w:tc>
          <w:tcPr>
            <w:tcW w:w="7341" w:type="dxa"/>
            <w:gridSpan w:val="8"/>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color w:val="auto"/>
                <w:szCs w:val="21"/>
                <w:highlight w:val="none"/>
              </w:rPr>
              <w:t>注册地址</w:t>
            </w:r>
          </w:p>
        </w:tc>
        <w:tc>
          <w:tcPr>
            <w:tcW w:w="3389" w:type="dxa"/>
            <w:gridSpan w:val="4"/>
            <w:noWrap/>
            <w:vAlign w:val="center"/>
          </w:tcPr>
          <w:p>
            <w:pPr>
              <w:jc w:val="center"/>
              <w:rPr>
                <w:color w:val="auto"/>
                <w:szCs w:val="21"/>
                <w:highlight w:val="none"/>
              </w:rPr>
            </w:pPr>
          </w:p>
        </w:tc>
        <w:tc>
          <w:tcPr>
            <w:tcW w:w="1246" w:type="dxa"/>
            <w:noWrap/>
            <w:vAlign w:val="center"/>
          </w:tcPr>
          <w:p>
            <w:pPr>
              <w:jc w:val="center"/>
              <w:rPr>
                <w:color w:val="auto"/>
                <w:szCs w:val="21"/>
                <w:highlight w:val="none"/>
              </w:rPr>
            </w:pPr>
            <w:r>
              <w:rPr>
                <w:color w:val="auto"/>
                <w:szCs w:val="21"/>
                <w:highlight w:val="none"/>
              </w:rPr>
              <w:t>邮政编码</w:t>
            </w:r>
          </w:p>
        </w:tc>
        <w:tc>
          <w:tcPr>
            <w:tcW w:w="2706" w:type="dxa"/>
            <w:gridSpan w:val="3"/>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noWrap/>
            <w:vAlign w:val="center"/>
          </w:tcPr>
          <w:p>
            <w:pPr>
              <w:jc w:val="center"/>
              <w:rPr>
                <w:color w:val="auto"/>
                <w:szCs w:val="21"/>
                <w:highlight w:val="none"/>
              </w:rPr>
            </w:pPr>
            <w:r>
              <w:rPr>
                <w:color w:val="auto"/>
                <w:szCs w:val="21"/>
                <w:highlight w:val="none"/>
              </w:rPr>
              <w:t>联系方式</w:t>
            </w:r>
          </w:p>
        </w:tc>
        <w:tc>
          <w:tcPr>
            <w:tcW w:w="897" w:type="dxa"/>
            <w:noWrap/>
            <w:vAlign w:val="center"/>
          </w:tcPr>
          <w:p>
            <w:pPr>
              <w:jc w:val="center"/>
              <w:rPr>
                <w:color w:val="auto"/>
                <w:szCs w:val="21"/>
                <w:highlight w:val="none"/>
              </w:rPr>
            </w:pPr>
            <w:r>
              <w:rPr>
                <w:color w:val="auto"/>
                <w:szCs w:val="21"/>
                <w:highlight w:val="none"/>
              </w:rPr>
              <w:t>联系人</w:t>
            </w:r>
          </w:p>
        </w:tc>
        <w:tc>
          <w:tcPr>
            <w:tcW w:w="2492" w:type="dxa"/>
            <w:gridSpan w:val="3"/>
            <w:noWrap/>
            <w:vAlign w:val="center"/>
          </w:tcPr>
          <w:p>
            <w:pPr>
              <w:jc w:val="center"/>
              <w:rPr>
                <w:color w:val="auto"/>
                <w:szCs w:val="21"/>
                <w:highlight w:val="none"/>
              </w:rPr>
            </w:pPr>
          </w:p>
        </w:tc>
        <w:tc>
          <w:tcPr>
            <w:tcW w:w="1246" w:type="dxa"/>
            <w:noWrap/>
            <w:vAlign w:val="center"/>
          </w:tcPr>
          <w:p>
            <w:pPr>
              <w:jc w:val="center"/>
              <w:rPr>
                <w:color w:val="auto"/>
                <w:szCs w:val="21"/>
                <w:highlight w:val="none"/>
              </w:rPr>
            </w:pPr>
            <w:r>
              <w:rPr>
                <w:color w:val="auto"/>
                <w:szCs w:val="21"/>
                <w:highlight w:val="none"/>
              </w:rPr>
              <w:t>电  话</w:t>
            </w:r>
          </w:p>
        </w:tc>
        <w:tc>
          <w:tcPr>
            <w:tcW w:w="2706" w:type="dxa"/>
            <w:gridSpan w:val="3"/>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noWrap/>
            <w:vAlign w:val="center"/>
          </w:tcPr>
          <w:p>
            <w:pPr>
              <w:jc w:val="center"/>
              <w:rPr>
                <w:color w:val="auto"/>
                <w:szCs w:val="21"/>
                <w:highlight w:val="none"/>
              </w:rPr>
            </w:pPr>
          </w:p>
        </w:tc>
        <w:tc>
          <w:tcPr>
            <w:tcW w:w="897" w:type="dxa"/>
            <w:noWrap/>
            <w:vAlign w:val="center"/>
          </w:tcPr>
          <w:p>
            <w:pPr>
              <w:jc w:val="center"/>
              <w:rPr>
                <w:color w:val="auto"/>
                <w:szCs w:val="21"/>
                <w:highlight w:val="none"/>
              </w:rPr>
            </w:pPr>
            <w:r>
              <w:rPr>
                <w:color w:val="auto"/>
                <w:szCs w:val="21"/>
                <w:highlight w:val="none"/>
              </w:rPr>
              <w:t>传  真</w:t>
            </w:r>
          </w:p>
        </w:tc>
        <w:tc>
          <w:tcPr>
            <w:tcW w:w="2492" w:type="dxa"/>
            <w:gridSpan w:val="3"/>
            <w:noWrap/>
            <w:vAlign w:val="center"/>
          </w:tcPr>
          <w:p>
            <w:pPr>
              <w:jc w:val="center"/>
              <w:rPr>
                <w:color w:val="auto"/>
                <w:szCs w:val="21"/>
                <w:highlight w:val="none"/>
              </w:rPr>
            </w:pPr>
          </w:p>
        </w:tc>
        <w:tc>
          <w:tcPr>
            <w:tcW w:w="1246" w:type="dxa"/>
            <w:noWrap/>
            <w:vAlign w:val="center"/>
          </w:tcPr>
          <w:p>
            <w:pPr>
              <w:jc w:val="center"/>
              <w:rPr>
                <w:color w:val="auto"/>
                <w:szCs w:val="21"/>
                <w:highlight w:val="none"/>
              </w:rPr>
            </w:pPr>
            <w:r>
              <w:rPr>
                <w:color w:val="auto"/>
                <w:szCs w:val="21"/>
                <w:highlight w:val="none"/>
              </w:rPr>
              <w:t>网  址</w:t>
            </w:r>
          </w:p>
        </w:tc>
        <w:tc>
          <w:tcPr>
            <w:tcW w:w="2706" w:type="dxa"/>
            <w:gridSpan w:val="3"/>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rFonts w:ascii="宋体" w:hAnsi="宋体"/>
                <w:color w:val="auto"/>
                <w:szCs w:val="21"/>
                <w:highlight w:val="none"/>
              </w:rPr>
            </w:pPr>
            <w:r>
              <w:rPr>
                <w:rFonts w:hint="eastAsia" w:ascii="宋体" w:hAnsi="宋体"/>
                <w:color w:val="auto"/>
                <w:highlight w:val="none"/>
              </w:rPr>
              <w:t>统一社会信用代码</w:t>
            </w:r>
          </w:p>
        </w:tc>
        <w:tc>
          <w:tcPr>
            <w:tcW w:w="7341" w:type="dxa"/>
            <w:gridSpan w:val="8"/>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color w:val="auto"/>
                <w:szCs w:val="21"/>
                <w:highlight w:val="none"/>
              </w:rPr>
              <w:t>法定代表人</w:t>
            </w:r>
          </w:p>
        </w:tc>
        <w:tc>
          <w:tcPr>
            <w:tcW w:w="897" w:type="dxa"/>
            <w:noWrap/>
            <w:vAlign w:val="center"/>
          </w:tcPr>
          <w:p>
            <w:pPr>
              <w:jc w:val="center"/>
              <w:rPr>
                <w:color w:val="auto"/>
                <w:szCs w:val="21"/>
                <w:highlight w:val="none"/>
              </w:rPr>
            </w:pPr>
            <w:r>
              <w:rPr>
                <w:color w:val="auto"/>
                <w:szCs w:val="21"/>
                <w:highlight w:val="none"/>
              </w:rPr>
              <w:t>姓名</w:t>
            </w:r>
          </w:p>
        </w:tc>
        <w:tc>
          <w:tcPr>
            <w:tcW w:w="1021" w:type="dxa"/>
            <w:noWrap/>
            <w:vAlign w:val="center"/>
          </w:tcPr>
          <w:p>
            <w:pPr>
              <w:jc w:val="center"/>
              <w:rPr>
                <w:color w:val="auto"/>
                <w:szCs w:val="21"/>
                <w:highlight w:val="none"/>
              </w:rPr>
            </w:pPr>
          </w:p>
        </w:tc>
        <w:tc>
          <w:tcPr>
            <w:tcW w:w="1160" w:type="dxa"/>
            <w:noWrap/>
            <w:vAlign w:val="center"/>
          </w:tcPr>
          <w:p>
            <w:pPr>
              <w:jc w:val="center"/>
              <w:rPr>
                <w:color w:val="auto"/>
                <w:szCs w:val="21"/>
                <w:highlight w:val="none"/>
              </w:rPr>
            </w:pPr>
            <w:r>
              <w:rPr>
                <w:color w:val="auto"/>
                <w:szCs w:val="21"/>
                <w:highlight w:val="none"/>
              </w:rPr>
              <w:t>技术职称</w:t>
            </w:r>
          </w:p>
        </w:tc>
        <w:tc>
          <w:tcPr>
            <w:tcW w:w="1620" w:type="dxa"/>
            <w:gridSpan w:val="3"/>
            <w:noWrap/>
            <w:vAlign w:val="center"/>
          </w:tcPr>
          <w:p>
            <w:pPr>
              <w:jc w:val="center"/>
              <w:rPr>
                <w:color w:val="auto"/>
                <w:szCs w:val="21"/>
                <w:highlight w:val="none"/>
              </w:rPr>
            </w:pPr>
          </w:p>
        </w:tc>
        <w:tc>
          <w:tcPr>
            <w:tcW w:w="720" w:type="dxa"/>
            <w:noWrap/>
            <w:vAlign w:val="center"/>
          </w:tcPr>
          <w:p>
            <w:pPr>
              <w:jc w:val="center"/>
              <w:rPr>
                <w:color w:val="auto"/>
                <w:szCs w:val="21"/>
                <w:highlight w:val="none"/>
              </w:rPr>
            </w:pPr>
            <w:r>
              <w:rPr>
                <w:color w:val="auto"/>
                <w:szCs w:val="21"/>
                <w:highlight w:val="none"/>
              </w:rPr>
              <w:t>电话</w:t>
            </w:r>
          </w:p>
        </w:tc>
        <w:tc>
          <w:tcPr>
            <w:tcW w:w="1923" w:type="dxa"/>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color w:val="auto"/>
                <w:szCs w:val="21"/>
                <w:highlight w:val="none"/>
              </w:rPr>
              <w:t>技术负责人</w:t>
            </w:r>
          </w:p>
        </w:tc>
        <w:tc>
          <w:tcPr>
            <w:tcW w:w="897" w:type="dxa"/>
            <w:noWrap/>
            <w:vAlign w:val="center"/>
          </w:tcPr>
          <w:p>
            <w:pPr>
              <w:jc w:val="center"/>
              <w:rPr>
                <w:color w:val="auto"/>
                <w:szCs w:val="21"/>
                <w:highlight w:val="none"/>
              </w:rPr>
            </w:pPr>
            <w:r>
              <w:rPr>
                <w:color w:val="auto"/>
                <w:szCs w:val="21"/>
                <w:highlight w:val="none"/>
              </w:rPr>
              <w:t>姓名</w:t>
            </w:r>
          </w:p>
        </w:tc>
        <w:tc>
          <w:tcPr>
            <w:tcW w:w="1021" w:type="dxa"/>
            <w:noWrap/>
            <w:vAlign w:val="center"/>
          </w:tcPr>
          <w:p>
            <w:pPr>
              <w:jc w:val="center"/>
              <w:rPr>
                <w:color w:val="auto"/>
                <w:szCs w:val="21"/>
                <w:highlight w:val="none"/>
              </w:rPr>
            </w:pPr>
          </w:p>
        </w:tc>
        <w:tc>
          <w:tcPr>
            <w:tcW w:w="1160" w:type="dxa"/>
            <w:noWrap/>
            <w:vAlign w:val="center"/>
          </w:tcPr>
          <w:p>
            <w:pPr>
              <w:jc w:val="center"/>
              <w:rPr>
                <w:color w:val="auto"/>
                <w:szCs w:val="21"/>
                <w:highlight w:val="none"/>
              </w:rPr>
            </w:pPr>
            <w:r>
              <w:rPr>
                <w:color w:val="auto"/>
                <w:szCs w:val="21"/>
                <w:highlight w:val="none"/>
              </w:rPr>
              <w:t>技术职称</w:t>
            </w:r>
          </w:p>
        </w:tc>
        <w:tc>
          <w:tcPr>
            <w:tcW w:w="1620" w:type="dxa"/>
            <w:gridSpan w:val="3"/>
            <w:noWrap/>
            <w:vAlign w:val="center"/>
          </w:tcPr>
          <w:p>
            <w:pPr>
              <w:jc w:val="center"/>
              <w:rPr>
                <w:color w:val="auto"/>
                <w:szCs w:val="21"/>
                <w:highlight w:val="none"/>
              </w:rPr>
            </w:pPr>
          </w:p>
        </w:tc>
        <w:tc>
          <w:tcPr>
            <w:tcW w:w="720" w:type="dxa"/>
            <w:noWrap/>
            <w:vAlign w:val="center"/>
          </w:tcPr>
          <w:p>
            <w:pPr>
              <w:jc w:val="center"/>
              <w:rPr>
                <w:color w:val="auto"/>
                <w:szCs w:val="21"/>
                <w:highlight w:val="none"/>
              </w:rPr>
            </w:pPr>
            <w:r>
              <w:rPr>
                <w:color w:val="auto"/>
                <w:szCs w:val="21"/>
                <w:highlight w:val="none"/>
              </w:rPr>
              <w:t>电话</w:t>
            </w:r>
          </w:p>
        </w:tc>
        <w:tc>
          <w:tcPr>
            <w:tcW w:w="1923" w:type="dxa"/>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color w:val="auto"/>
                <w:szCs w:val="21"/>
                <w:highlight w:val="none"/>
              </w:rPr>
              <w:t>成立时间</w:t>
            </w:r>
          </w:p>
        </w:tc>
        <w:tc>
          <w:tcPr>
            <w:tcW w:w="1918" w:type="dxa"/>
            <w:gridSpan w:val="2"/>
            <w:noWrap/>
            <w:vAlign w:val="center"/>
          </w:tcPr>
          <w:p>
            <w:pPr>
              <w:jc w:val="center"/>
              <w:rPr>
                <w:color w:val="auto"/>
                <w:szCs w:val="21"/>
                <w:highlight w:val="none"/>
              </w:rPr>
            </w:pPr>
          </w:p>
        </w:tc>
        <w:tc>
          <w:tcPr>
            <w:tcW w:w="5423" w:type="dxa"/>
            <w:gridSpan w:val="6"/>
            <w:noWrap/>
            <w:vAlign w:val="center"/>
          </w:tcPr>
          <w:p>
            <w:pPr>
              <w:jc w:val="center"/>
              <w:rPr>
                <w:color w:val="auto"/>
                <w:szCs w:val="21"/>
                <w:highlight w:val="none"/>
              </w:rPr>
            </w:pPr>
            <w:r>
              <w:rPr>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color w:val="auto"/>
                <w:szCs w:val="21"/>
                <w:highlight w:val="none"/>
              </w:rPr>
              <w:t>企业资质等级</w:t>
            </w:r>
          </w:p>
        </w:tc>
        <w:tc>
          <w:tcPr>
            <w:tcW w:w="1918" w:type="dxa"/>
            <w:gridSpan w:val="2"/>
            <w:noWrap/>
            <w:vAlign w:val="center"/>
          </w:tcPr>
          <w:p>
            <w:pPr>
              <w:jc w:val="center"/>
              <w:rPr>
                <w:color w:val="auto"/>
                <w:szCs w:val="21"/>
                <w:highlight w:val="none"/>
              </w:rPr>
            </w:pPr>
          </w:p>
        </w:tc>
        <w:tc>
          <w:tcPr>
            <w:tcW w:w="1160" w:type="dxa"/>
            <w:vMerge w:val="restart"/>
            <w:noWrap/>
            <w:vAlign w:val="center"/>
          </w:tcPr>
          <w:p>
            <w:pPr>
              <w:jc w:val="center"/>
              <w:rPr>
                <w:color w:val="auto"/>
                <w:szCs w:val="21"/>
                <w:highlight w:val="none"/>
              </w:rPr>
            </w:pPr>
            <w:r>
              <w:rPr>
                <w:color w:val="auto"/>
                <w:szCs w:val="21"/>
                <w:highlight w:val="none"/>
              </w:rPr>
              <w:t>其中</w:t>
            </w:r>
          </w:p>
        </w:tc>
        <w:tc>
          <w:tcPr>
            <w:tcW w:w="1620" w:type="dxa"/>
            <w:gridSpan w:val="3"/>
            <w:noWrap/>
            <w:vAlign w:val="center"/>
          </w:tcPr>
          <w:p>
            <w:pPr>
              <w:jc w:val="center"/>
              <w:rPr>
                <w:color w:val="auto"/>
                <w:szCs w:val="21"/>
                <w:highlight w:val="none"/>
              </w:rPr>
            </w:pPr>
            <w:r>
              <w:rPr>
                <w:color w:val="auto"/>
                <w:szCs w:val="21"/>
                <w:highlight w:val="none"/>
              </w:rPr>
              <w:t>项目经理</w:t>
            </w:r>
          </w:p>
        </w:tc>
        <w:tc>
          <w:tcPr>
            <w:tcW w:w="2643" w:type="dxa"/>
            <w:gridSpan w:val="2"/>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rFonts w:hint="eastAsia"/>
                <w:color w:val="auto"/>
                <w:szCs w:val="21"/>
                <w:highlight w:val="none"/>
              </w:rPr>
              <w:t>安全生产许可证</w:t>
            </w:r>
            <w:r>
              <w:rPr>
                <w:color w:val="auto"/>
                <w:szCs w:val="21"/>
                <w:highlight w:val="none"/>
              </w:rPr>
              <w:t>号</w:t>
            </w:r>
            <w:r>
              <w:rPr>
                <w:rFonts w:hint="eastAsia"/>
                <w:color w:val="auto"/>
                <w:szCs w:val="21"/>
                <w:highlight w:val="none"/>
              </w:rPr>
              <w:t>（如有）</w:t>
            </w:r>
          </w:p>
        </w:tc>
        <w:tc>
          <w:tcPr>
            <w:tcW w:w="1918" w:type="dxa"/>
            <w:gridSpan w:val="2"/>
            <w:noWrap/>
            <w:vAlign w:val="center"/>
          </w:tcPr>
          <w:p>
            <w:pPr>
              <w:jc w:val="center"/>
              <w:rPr>
                <w:color w:val="auto"/>
                <w:szCs w:val="21"/>
                <w:highlight w:val="none"/>
              </w:rPr>
            </w:pPr>
          </w:p>
        </w:tc>
        <w:tc>
          <w:tcPr>
            <w:tcW w:w="1160" w:type="dxa"/>
            <w:vMerge w:val="continue"/>
            <w:noWrap/>
            <w:vAlign w:val="center"/>
          </w:tcPr>
          <w:p>
            <w:pPr>
              <w:jc w:val="center"/>
              <w:rPr>
                <w:color w:val="auto"/>
                <w:szCs w:val="21"/>
                <w:highlight w:val="none"/>
              </w:rPr>
            </w:pPr>
          </w:p>
        </w:tc>
        <w:tc>
          <w:tcPr>
            <w:tcW w:w="1620" w:type="dxa"/>
            <w:gridSpan w:val="3"/>
            <w:noWrap/>
            <w:vAlign w:val="center"/>
          </w:tcPr>
          <w:p>
            <w:pPr>
              <w:jc w:val="center"/>
              <w:rPr>
                <w:color w:val="auto"/>
                <w:szCs w:val="21"/>
                <w:highlight w:val="none"/>
              </w:rPr>
            </w:pPr>
            <w:r>
              <w:rPr>
                <w:color w:val="auto"/>
                <w:szCs w:val="21"/>
                <w:highlight w:val="none"/>
              </w:rPr>
              <w:t>高级职称人员</w:t>
            </w:r>
          </w:p>
        </w:tc>
        <w:tc>
          <w:tcPr>
            <w:tcW w:w="2643" w:type="dxa"/>
            <w:gridSpan w:val="2"/>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color w:val="auto"/>
                <w:szCs w:val="21"/>
                <w:highlight w:val="none"/>
              </w:rPr>
              <w:t>注册资金</w:t>
            </w:r>
          </w:p>
        </w:tc>
        <w:tc>
          <w:tcPr>
            <w:tcW w:w="1918" w:type="dxa"/>
            <w:gridSpan w:val="2"/>
            <w:noWrap/>
            <w:vAlign w:val="center"/>
          </w:tcPr>
          <w:p>
            <w:pPr>
              <w:jc w:val="center"/>
              <w:rPr>
                <w:color w:val="auto"/>
                <w:szCs w:val="21"/>
                <w:highlight w:val="none"/>
              </w:rPr>
            </w:pPr>
          </w:p>
        </w:tc>
        <w:tc>
          <w:tcPr>
            <w:tcW w:w="1160" w:type="dxa"/>
            <w:vMerge w:val="continue"/>
            <w:noWrap/>
            <w:vAlign w:val="center"/>
          </w:tcPr>
          <w:p>
            <w:pPr>
              <w:jc w:val="center"/>
              <w:rPr>
                <w:color w:val="auto"/>
                <w:szCs w:val="21"/>
                <w:highlight w:val="none"/>
              </w:rPr>
            </w:pPr>
          </w:p>
        </w:tc>
        <w:tc>
          <w:tcPr>
            <w:tcW w:w="1620" w:type="dxa"/>
            <w:gridSpan w:val="3"/>
            <w:noWrap/>
            <w:vAlign w:val="center"/>
          </w:tcPr>
          <w:p>
            <w:pPr>
              <w:jc w:val="center"/>
              <w:rPr>
                <w:color w:val="auto"/>
                <w:szCs w:val="21"/>
                <w:highlight w:val="none"/>
              </w:rPr>
            </w:pPr>
            <w:r>
              <w:rPr>
                <w:color w:val="auto"/>
                <w:szCs w:val="21"/>
                <w:highlight w:val="none"/>
              </w:rPr>
              <w:t>中级职称人员</w:t>
            </w:r>
          </w:p>
        </w:tc>
        <w:tc>
          <w:tcPr>
            <w:tcW w:w="2643" w:type="dxa"/>
            <w:gridSpan w:val="2"/>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color w:val="auto"/>
                <w:szCs w:val="21"/>
                <w:highlight w:val="none"/>
              </w:rPr>
              <w:t>开户银行</w:t>
            </w:r>
          </w:p>
        </w:tc>
        <w:tc>
          <w:tcPr>
            <w:tcW w:w="1918" w:type="dxa"/>
            <w:gridSpan w:val="2"/>
            <w:noWrap/>
            <w:vAlign w:val="center"/>
          </w:tcPr>
          <w:p>
            <w:pPr>
              <w:jc w:val="center"/>
              <w:rPr>
                <w:color w:val="auto"/>
                <w:szCs w:val="21"/>
                <w:highlight w:val="none"/>
              </w:rPr>
            </w:pPr>
          </w:p>
        </w:tc>
        <w:tc>
          <w:tcPr>
            <w:tcW w:w="1160" w:type="dxa"/>
            <w:vMerge w:val="continue"/>
            <w:noWrap/>
            <w:vAlign w:val="center"/>
          </w:tcPr>
          <w:p>
            <w:pPr>
              <w:jc w:val="center"/>
              <w:rPr>
                <w:color w:val="auto"/>
                <w:szCs w:val="21"/>
                <w:highlight w:val="none"/>
              </w:rPr>
            </w:pPr>
          </w:p>
        </w:tc>
        <w:tc>
          <w:tcPr>
            <w:tcW w:w="1620" w:type="dxa"/>
            <w:gridSpan w:val="3"/>
            <w:noWrap/>
            <w:vAlign w:val="center"/>
          </w:tcPr>
          <w:p>
            <w:pPr>
              <w:jc w:val="center"/>
              <w:rPr>
                <w:color w:val="auto"/>
                <w:szCs w:val="21"/>
                <w:highlight w:val="none"/>
              </w:rPr>
            </w:pPr>
            <w:r>
              <w:rPr>
                <w:color w:val="auto"/>
                <w:szCs w:val="21"/>
                <w:highlight w:val="none"/>
              </w:rPr>
              <w:t>初级职称人员</w:t>
            </w:r>
          </w:p>
        </w:tc>
        <w:tc>
          <w:tcPr>
            <w:tcW w:w="2643" w:type="dxa"/>
            <w:gridSpan w:val="2"/>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color w:val="auto"/>
                <w:szCs w:val="21"/>
                <w:highlight w:val="none"/>
              </w:rPr>
              <w:t>账号</w:t>
            </w:r>
          </w:p>
        </w:tc>
        <w:tc>
          <w:tcPr>
            <w:tcW w:w="1918" w:type="dxa"/>
            <w:gridSpan w:val="2"/>
            <w:noWrap/>
            <w:vAlign w:val="center"/>
          </w:tcPr>
          <w:p>
            <w:pPr>
              <w:jc w:val="center"/>
              <w:rPr>
                <w:color w:val="auto"/>
                <w:szCs w:val="21"/>
                <w:highlight w:val="none"/>
              </w:rPr>
            </w:pPr>
          </w:p>
        </w:tc>
        <w:tc>
          <w:tcPr>
            <w:tcW w:w="1160" w:type="dxa"/>
            <w:vMerge w:val="continue"/>
            <w:noWrap/>
            <w:vAlign w:val="center"/>
          </w:tcPr>
          <w:p>
            <w:pPr>
              <w:jc w:val="center"/>
              <w:rPr>
                <w:color w:val="auto"/>
                <w:szCs w:val="21"/>
                <w:highlight w:val="none"/>
              </w:rPr>
            </w:pPr>
          </w:p>
        </w:tc>
        <w:tc>
          <w:tcPr>
            <w:tcW w:w="1620" w:type="dxa"/>
            <w:gridSpan w:val="3"/>
            <w:noWrap/>
            <w:vAlign w:val="center"/>
          </w:tcPr>
          <w:p>
            <w:pPr>
              <w:jc w:val="center"/>
              <w:rPr>
                <w:color w:val="auto"/>
                <w:szCs w:val="21"/>
                <w:highlight w:val="none"/>
              </w:rPr>
            </w:pPr>
            <w:r>
              <w:rPr>
                <w:color w:val="auto"/>
                <w:szCs w:val="21"/>
                <w:highlight w:val="none"/>
              </w:rPr>
              <w:t>技  工</w:t>
            </w:r>
          </w:p>
        </w:tc>
        <w:tc>
          <w:tcPr>
            <w:tcW w:w="2643" w:type="dxa"/>
            <w:gridSpan w:val="2"/>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noWrap/>
            <w:vAlign w:val="center"/>
          </w:tcPr>
          <w:p>
            <w:pPr>
              <w:jc w:val="center"/>
              <w:rPr>
                <w:color w:val="auto"/>
                <w:szCs w:val="21"/>
                <w:highlight w:val="none"/>
              </w:rPr>
            </w:pPr>
            <w:r>
              <w:rPr>
                <w:color w:val="auto"/>
                <w:szCs w:val="21"/>
                <w:highlight w:val="none"/>
              </w:rPr>
              <w:t>经营范围</w:t>
            </w:r>
          </w:p>
        </w:tc>
        <w:tc>
          <w:tcPr>
            <w:tcW w:w="7341" w:type="dxa"/>
            <w:gridSpan w:val="8"/>
            <w:noWrap/>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noWrap/>
            <w:vAlign w:val="center"/>
          </w:tcPr>
          <w:p>
            <w:pPr>
              <w:jc w:val="center"/>
              <w:rPr>
                <w:color w:val="auto"/>
                <w:szCs w:val="21"/>
                <w:highlight w:val="none"/>
              </w:rPr>
            </w:pPr>
            <w:r>
              <w:rPr>
                <w:color w:val="auto"/>
                <w:szCs w:val="21"/>
                <w:highlight w:val="none"/>
              </w:rPr>
              <w:t>备注</w:t>
            </w:r>
          </w:p>
        </w:tc>
        <w:tc>
          <w:tcPr>
            <w:tcW w:w="7341" w:type="dxa"/>
            <w:gridSpan w:val="8"/>
            <w:noWrap/>
            <w:vAlign w:val="center"/>
          </w:tcPr>
          <w:p>
            <w:pPr>
              <w:jc w:val="center"/>
              <w:rPr>
                <w:color w:val="auto"/>
                <w:szCs w:val="21"/>
                <w:highlight w:val="none"/>
              </w:rPr>
            </w:pPr>
          </w:p>
        </w:tc>
      </w:tr>
    </w:tbl>
    <w:p>
      <w:pPr>
        <w:spacing w:line="440" w:lineRule="exact"/>
        <w:rPr>
          <w:color w:val="auto"/>
          <w:szCs w:val="21"/>
          <w:highlight w:val="none"/>
        </w:rPr>
      </w:pPr>
    </w:p>
    <w:p>
      <w:pPr>
        <w:spacing w:line="480" w:lineRule="auto"/>
        <w:rPr>
          <w:color w:val="auto"/>
          <w:szCs w:val="21"/>
          <w:highlight w:val="none"/>
        </w:rPr>
      </w:pPr>
      <w:r>
        <w:rPr>
          <w:rFonts w:hint="eastAsia"/>
          <w:color w:val="auto"/>
          <w:szCs w:val="21"/>
          <w:highlight w:val="none"/>
        </w:rPr>
        <w:t>备注：附企业法人营业执照副本、企业资质证书副本、安全生产许可证副本（联合体投标时仅为联合体中的施工单位安全生产许可证）等材料的复印件，联合体投标的则联合体各方均须提供。</w:t>
      </w:r>
    </w:p>
    <w:p>
      <w:pPr>
        <w:spacing w:line="480" w:lineRule="auto"/>
        <w:ind w:firstLine="525" w:firstLineChars="250"/>
        <w:jc w:val="left"/>
        <w:rPr>
          <w:rFonts w:eastAsia="楷体_GB2312"/>
          <w:color w:val="auto"/>
          <w:highlight w:val="none"/>
        </w:rPr>
      </w:pPr>
      <w:r>
        <w:rPr>
          <w:color w:val="auto"/>
          <w:highlight w:val="none"/>
        </w:rPr>
        <w:br w:type="page"/>
      </w:r>
    </w:p>
    <w:p>
      <w:pPr>
        <w:spacing w:line="480" w:lineRule="auto"/>
        <w:rPr>
          <w:color w:val="auto"/>
          <w:sz w:val="22"/>
          <w:szCs w:val="28"/>
          <w:highlight w:val="none"/>
        </w:rPr>
      </w:pPr>
    </w:p>
    <w:p>
      <w:pPr>
        <w:spacing w:line="480" w:lineRule="auto"/>
        <w:jc w:val="center"/>
        <w:rPr>
          <w:b/>
          <w:color w:val="auto"/>
          <w:sz w:val="28"/>
          <w:szCs w:val="28"/>
          <w:highlight w:val="none"/>
        </w:rPr>
      </w:pPr>
      <w:r>
        <w:rPr>
          <w:rFonts w:hint="eastAsia"/>
          <w:b/>
          <w:color w:val="auto"/>
          <w:sz w:val="28"/>
          <w:szCs w:val="28"/>
          <w:highlight w:val="none"/>
        </w:rPr>
        <w:t>4、</w:t>
      </w:r>
      <w:r>
        <w:rPr>
          <w:b/>
          <w:color w:val="auto"/>
          <w:sz w:val="28"/>
          <w:szCs w:val="28"/>
          <w:highlight w:val="none"/>
        </w:rPr>
        <w:t>基本账户开户许可证复印件</w:t>
      </w:r>
    </w:p>
    <w:p>
      <w:pPr>
        <w:spacing w:line="480" w:lineRule="auto"/>
        <w:rPr>
          <w:color w:val="auto"/>
          <w:sz w:val="22"/>
          <w:szCs w:val="28"/>
          <w:highlight w:val="none"/>
        </w:rPr>
      </w:pPr>
      <w:r>
        <w:rPr>
          <w:rFonts w:hint="eastAsia"/>
          <w:color w:val="auto"/>
          <w:sz w:val="22"/>
          <w:szCs w:val="28"/>
          <w:highlight w:val="none"/>
        </w:rPr>
        <w:t>联合体投标时只</w:t>
      </w:r>
      <w:r>
        <w:rPr>
          <w:color w:val="auto"/>
          <w:sz w:val="22"/>
          <w:szCs w:val="28"/>
          <w:highlight w:val="none"/>
        </w:rPr>
        <w:t>需施工单位</w:t>
      </w:r>
      <w:r>
        <w:rPr>
          <w:rFonts w:hint="eastAsia"/>
          <w:color w:val="auto"/>
          <w:sz w:val="22"/>
          <w:szCs w:val="28"/>
          <w:highlight w:val="none"/>
        </w:rPr>
        <w:t>提供基本账户开户许可证的复印件。</w:t>
      </w:r>
    </w:p>
    <w:p>
      <w:pPr>
        <w:spacing w:line="480" w:lineRule="auto"/>
        <w:rPr>
          <w:b/>
          <w:color w:val="auto"/>
          <w:sz w:val="28"/>
          <w:szCs w:val="28"/>
          <w:highlight w:val="none"/>
        </w:rPr>
      </w:pPr>
    </w:p>
    <w:p>
      <w:pPr>
        <w:spacing w:line="480" w:lineRule="auto"/>
        <w:rPr>
          <w:rFonts w:hAnsi="宋体"/>
          <w:color w:val="auto"/>
          <w:highlight w:val="none"/>
        </w:rPr>
      </w:pPr>
    </w:p>
    <w:p>
      <w:pPr>
        <w:jc w:val="center"/>
        <w:rPr>
          <w:b/>
          <w:color w:val="auto"/>
          <w:sz w:val="28"/>
          <w:szCs w:val="28"/>
          <w:highlight w:val="none"/>
        </w:rPr>
      </w:pPr>
      <w:bookmarkStart w:id="1891" w:name="_Toc332814356"/>
      <w:bookmarkStart w:id="1892" w:name="_Toc251051984"/>
      <w:r>
        <w:rPr>
          <w:b/>
          <w:color w:val="auto"/>
          <w:sz w:val="28"/>
          <w:szCs w:val="28"/>
          <w:highlight w:val="none"/>
        </w:rPr>
        <w:br w:type="page"/>
      </w:r>
      <w:r>
        <w:rPr>
          <w:rFonts w:hint="eastAsia"/>
          <w:b/>
          <w:color w:val="auto"/>
          <w:sz w:val="28"/>
          <w:szCs w:val="28"/>
          <w:highlight w:val="none"/>
        </w:rPr>
        <w:t>5</w:t>
      </w:r>
      <w:r>
        <w:rPr>
          <w:b/>
          <w:color w:val="auto"/>
          <w:sz w:val="28"/>
          <w:szCs w:val="28"/>
          <w:highlight w:val="none"/>
        </w:rPr>
        <w:t>、建设工程项目管理承诺书</w:t>
      </w:r>
      <w:bookmarkEnd w:id="1891"/>
      <w:bookmarkEnd w:id="1892"/>
    </w:p>
    <w:p>
      <w:pPr>
        <w:spacing w:line="480" w:lineRule="auto"/>
        <w:jc w:val="left"/>
        <w:rPr>
          <w:color w:val="auto"/>
          <w:highlight w:val="none"/>
        </w:rPr>
      </w:pPr>
    </w:p>
    <w:p>
      <w:pPr>
        <w:spacing w:line="480" w:lineRule="auto"/>
        <w:jc w:val="left"/>
        <w:rPr>
          <w:color w:val="auto"/>
          <w:highlight w:val="none"/>
        </w:rPr>
      </w:pPr>
      <w:r>
        <w:rPr>
          <w:color w:val="auto"/>
          <w:highlight w:val="none"/>
        </w:rPr>
        <w:t>致（招标人名称）：</w:t>
      </w:r>
    </w:p>
    <w:p>
      <w:pPr>
        <w:spacing w:line="520" w:lineRule="exact"/>
        <w:ind w:left="-10" w:firstLine="455" w:firstLineChars="217"/>
        <w:jc w:val="left"/>
        <w:rPr>
          <w:color w:val="auto"/>
          <w:highlight w:val="none"/>
        </w:rPr>
      </w:pPr>
      <w:r>
        <w:rPr>
          <w:color w:val="auto"/>
          <w:highlight w:val="none"/>
        </w:rPr>
        <w:t>作为参与</w:t>
      </w:r>
      <w:r>
        <w:rPr>
          <w:color w:val="auto"/>
          <w:szCs w:val="21"/>
          <w:highlight w:val="none"/>
          <w:u w:val="single"/>
        </w:rPr>
        <w:t>                  </w:t>
      </w:r>
      <w:r>
        <w:rPr>
          <w:color w:val="auto"/>
          <w:highlight w:val="none"/>
        </w:rPr>
        <w:t>（工程名称）项目的投标方，根据国家、自治区相关文件规定，我方在此向招标人承诺：</w:t>
      </w:r>
    </w:p>
    <w:p>
      <w:pPr>
        <w:spacing w:line="520" w:lineRule="exact"/>
        <w:ind w:left="-10" w:firstLine="455" w:firstLineChars="217"/>
        <w:jc w:val="left"/>
        <w:rPr>
          <w:color w:val="auto"/>
          <w:highlight w:val="none"/>
        </w:rPr>
      </w:pPr>
      <w:r>
        <w:rPr>
          <w:color w:val="auto"/>
          <w:highlight w:val="none"/>
        </w:rPr>
        <w:t>1、一旦中标，我方保证按照政府相关部门的规定，在发出中标通知书之日起7个工作日内足额将农民工工资保</w:t>
      </w:r>
      <w:r>
        <w:rPr>
          <w:rFonts w:hint="eastAsia"/>
          <w:color w:val="auto"/>
          <w:highlight w:val="none"/>
        </w:rPr>
        <w:t>证</w:t>
      </w:r>
      <w:r>
        <w:rPr>
          <w:color w:val="auto"/>
          <w:highlight w:val="none"/>
        </w:rPr>
        <w:t>金转入农民工工资保</w:t>
      </w:r>
      <w:r>
        <w:rPr>
          <w:rFonts w:hint="eastAsia"/>
          <w:color w:val="auto"/>
          <w:highlight w:val="none"/>
        </w:rPr>
        <w:t>证</w:t>
      </w:r>
      <w:r>
        <w:rPr>
          <w:color w:val="auto"/>
          <w:highlight w:val="none"/>
        </w:rPr>
        <w:t>金专用账户。一旦我方所承包的该项目中出现拖欠农民工工资情况，由劳动保障、</w:t>
      </w:r>
      <w:r>
        <w:rPr>
          <w:rFonts w:hint="eastAsia"/>
          <w:color w:val="auto"/>
          <w:highlight w:val="none"/>
        </w:rPr>
        <w:t>住房城乡</w:t>
      </w:r>
      <w:r>
        <w:rPr>
          <w:color w:val="auto"/>
          <w:highlight w:val="none"/>
        </w:rPr>
        <w:t>建设行政主管部门</w:t>
      </w:r>
      <w:r>
        <w:rPr>
          <w:rFonts w:hint="eastAsia"/>
          <w:color w:val="auto"/>
          <w:highlight w:val="none"/>
        </w:rPr>
        <w:t>按照《</w:t>
      </w:r>
      <w:r>
        <w:rPr>
          <w:color w:val="auto"/>
          <w:highlight w:val="none"/>
        </w:rPr>
        <w:t>关于进一步完善建筑行业农民工工资保证金制度的通知</w:t>
      </w:r>
      <w:r>
        <w:rPr>
          <w:rFonts w:hint="eastAsia"/>
          <w:color w:val="auto"/>
          <w:highlight w:val="none"/>
        </w:rPr>
        <w:t>》（</w:t>
      </w:r>
      <w:r>
        <w:rPr>
          <w:color w:val="auto"/>
          <w:highlight w:val="none"/>
        </w:rPr>
        <w:t>桂劳社发〔200</w:t>
      </w:r>
      <w:r>
        <w:rPr>
          <w:rFonts w:hint="eastAsia"/>
          <w:color w:val="auto"/>
          <w:highlight w:val="none"/>
        </w:rPr>
        <w:t>9</w:t>
      </w:r>
      <w:r>
        <w:rPr>
          <w:color w:val="auto"/>
          <w:highlight w:val="none"/>
        </w:rPr>
        <w:t>〕50号</w:t>
      </w:r>
      <w:r>
        <w:rPr>
          <w:rFonts w:hint="eastAsia"/>
          <w:color w:val="auto"/>
          <w:highlight w:val="none"/>
        </w:rPr>
        <w:t>）</w:t>
      </w:r>
      <w:r>
        <w:rPr>
          <w:color w:val="auto"/>
          <w:highlight w:val="none"/>
        </w:rPr>
        <w:t>从我方农民工工资保</w:t>
      </w:r>
      <w:r>
        <w:rPr>
          <w:rFonts w:hint="eastAsia"/>
          <w:color w:val="auto"/>
          <w:highlight w:val="none"/>
        </w:rPr>
        <w:t>证</w:t>
      </w:r>
      <w:r>
        <w:rPr>
          <w:color w:val="auto"/>
          <w:highlight w:val="none"/>
        </w:rPr>
        <w:t>金中先予支。</w:t>
      </w:r>
    </w:p>
    <w:p>
      <w:pPr>
        <w:spacing w:line="520" w:lineRule="exact"/>
        <w:ind w:left="-10" w:firstLine="455" w:firstLineChars="217"/>
        <w:jc w:val="left"/>
        <w:rPr>
          <w:color w:val="auto"/>
          <w:highlight w:val="none"/>
        </w:rPr>
      </w:pPr>
      <w:r>
        <w:rPr>
          <w:color w:val="auto"/>
          <w:highlight w:val="none"/>
        </w:rPr>
        <w:t>2、一旦中标，我方保证在施工过程中，严格执行《广西壮族自治区建筑工程安全文明施工费使用管理细则》（桂建质〔20</w:t>
      </w:r>
      <w:r>
        <w:rPr>
          <w:rFonts w:hint="eastAsia"/>
          <w:color w:val="auto"/>
          <w:highlight w:val="none"/>
        </w:rPr>
        <w:t>15</w:t>
      </w:r>
      <w:r>
        <w:rPr>
          <w:color w:val="auto"/>
          <w:highlight w:val="none"/>
        </w:rPr>
        <w:t>〕</w:t>
      </w:r>
      <w:r>
        <w:rPr>
          <w:rFonts w:hint="eastAsia"/>
          <w:color w:val="auto"/>
          <w:highlight w:val="none"/>
        </w:rPr>
        <w:t>16</w:t>
      </w:r>
      <w:r>
        <w:rPr>
          <w:color w:val="auto"/>
          <w:highlight w:val="none"/>
        </w:rPr>
        <w:t>号）的有关规定，确保建设工程各项安全防护、文明施工措施落实到位。如我方在该项目的承包中出现未按桂建质〔20</w:t>
      </w:r>
      <w:r>
        <w:rPr>
          <w:rFonts w:hint="eastAsia"/>
          <w:color w:val="auto"/>
          <w:highlight w:val="none"/>
        </w:rPr>
        <w:t>15</w:t>
      </w:r>
      <w:r>
        <w:rPr>
          <w:color w:val="auto"/>
          <w:highlight w:val="none"/>
        </w:rPr>
        <w:t>〕</w:t>
      </w:r>
      <w:r>
        <w:rPr>
          <w:rFonts w:hint="eastAsia"/>
          <w:color w:val="auto"/>
          <w:highlight w:val="none"/>
        </w:rPr>
        <w:t>16</w:t>
      </w:r>
      <w:r>
        <w:rPr>
          <w:color w:val="auto"/>
          <w:highlight w:val="none"/>
        </w:rPr>
        <w:t>号文附件一规定执行的情形，我方愿意按照相关规定接受建设单位及有关主管部门的处罚。</w:t>
      </w:r>
    </w:p>
    <w:p>
      <w:pPr>
        <w:spacing w:line="520" w:lineRule="exact"/>
        <w:ind w:left="-2" w:leftChars="-1" w:firstLine="449" w:firstLineChars="214"/>
        <w:jc w:val="left"/>
        <w:rPr>
          <w:color w:val="auto"/>
          <w:highlight w:val="none"/>
        </w:rPr>
      </w:pPr>
      <w:r>
        <w:rPr>
          <w:color w:val="auto"/>
          <w:highlight w:val="none"/>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color w:val="auto"/>
          <w:highlight w:val="none"/>
        </w:rPr>
      </w:pPr>
      <w:r>
        <w:rPr>
          <w:rFonts w:hint="eastAsia"/>
          <w:color w:val="auto"/>
          <w:highlight w:val="none"/>
        </w:rPr>
        <w:t>4、一旦中标，我方保证在施工过程中，严格执行《关于禁止使用不符合规范要求的竹脚手架的通知》（</w:t>
      </w:r>
      <w:r>
        <w:rPr>
          <w:color w:val="auto"/>
          <w:highlight w:val="none"/>
        </w:rPr>
        <w:t>桂建</w:t>
      </w:r>
      <w:r>
        <w:rPr>
          <w:rFonts w:hint="eastAsia"/>
          <w:color w:val="auto"/>
          <w:highlight w:val="none"/>
        </w:rPr>
        <w:t>管字</w:t>
      </w:r>
      <w:r>
        <w:rPr>
          <w:color w:val="auto"/>
          <w:highlight w:val="none"/>
        </w:rPr>
        <w:t>〔200</w:t>
      </w:r>
      <w:r>
        <w:rPr>
          <w:rFonts w:hint="eastAsia"/>
          <w:color w:val="auto"/>
          <w:highlight w:val="none"/>
        </w:rPr>
        <w:t>3</w:t>
      </w:r>
      <w:r>
        <w:rPr>
          <w:color w:val="auto"/>
          <w:highlight w:val="none"/>
        </w:rPr>
        <w:t>〕</w:t>
      </w:r>
      <w:r>
        <w:rPr>
          <w:rFonts w:hint="eastAsia"/>
          <w:color w:val="auto"/>
          <w:highlight w:val="none"/>
        </w:rPr>
        <w:t>40</w:t>
      </w:r>
      <w:r>
        <w:rPr>
          <w:color w:val="auto"/>
          <w:highlight w:val="none"/>
        </w:rPr>
        <w:t>号</w:t>
      </w:r>
      <w:r>
        <w:rPr>
          <w:rFonts w:hint="eastAsia"/>
          <w:color w:val="auto"/>
          <w:highlight w:val="none"/>
        </w:rPr>
        <w:t>）的有关规定，不使用竹脚手架。如我方在该</w:t>
      </w:r>
      <w:r>
        <w:rPr>
          <w:color w:val="auto"/>
          <w:highlight w:val="none"/>
        </w:rPr>
        <w:t>项目的承包中出现未按规定执行的情形，我方愿意按照相关规定接受建设单位及有关主管部门的处罚。</w:t>
      </w:r>
    </w:p>
    <w:p>
      <w:pPr>
        <w:spacing w:line="360" w:lineRule="auto"/>
        <w:jc w:val="left"/>
        <w:rPr>
          <w:color w:val="auto"/>
          <w:highlight w:val="none"/>
        </w:rPr>
      </w:pPr>
    </w:p>
    <w:p>
      <w:pPr>
        <w:spacing w:line="360" w:lineRule="auto"/>
        <w:ind w:firstLine="2940" w:firstLineChars="1400"/>
        <w:jc w:val="left"/>
        <w:rPr>
          <w:color w:val="auto"/>
          <w:highlight w:val="none"/>
          <w:u w:val="single"/>
        </w:rPr>
      </w:pPr>
      <w:r>
        <w:rPr>
          <w:color w:val="auto"/>
          <w:highlight w:val="none"/>
        </w:rPr>
        <w:t>投标人：</w:t>
      </w:r>
      <w:r>
        <w:rPr>
          <w:color w:val="auto"/>
          <w:highlight w:val="none"/>
          <w:u w:val="single"/>
        </w:rPr>
        <w:t xml:space="preserve">      （盖</w:t>
      </w:r>
      <w:r>
        <w:rPr>
          <w:rFonts w:hint="eastAsia"/>
          <w:color w:val="auto"/>
          <w:highlight w:val="none"/>
          <w:u w:val="single"/>
        </w:rPr>
        <w:t>单位</w:t>
      </w:r>
      <w:r>
        <w:rPr>
          <w:color w:val="auto"/>
          <w:highlight w:val="none"/>
          <w:u w:val="single"/>
        </w:rPr>
        <w:t>章）</w:t>
      </w:r>
    </w:p>
    <w:p>
      <w:pPr>
        <w:spacing w:line="360" w:lineRule="auto"/>
        <w:ind w:firstLine="1260" w:firstLineChars="600"/>
        <w:jc w:val="left"/>
        <w:rPr>
          <w:color w:val="auto"/>
          <w:highlight w:val="none"/>
        </w:rPr>
      </w:pPr>
    </w:p>
    <w:p>
      <w:pPr>
        <w:spacing w:line="360" w:lineRule="auto"/>
        <w:ind w:firstLine="2940" w:firstLineChars="1400"/>
        <w:jc w:val="left"/>
        <w:rPr>
          <w:color w:val="auto"/>
          <w:highlight w:val="none"/>
          <w:u w:val="single"/>
        </w:rPr>
      </w:pPr>
      <w:r>
        <w:rPr>
          <w:color w:val="auto"/>
          <w:highlight w:val="none"/>
        </w:rPr>
        <w:t>法定代表人或授权代理人：</w:t>
      </w:r>
      <w:r>
        <w:rPr>
          <w:color w:val="auto"/>
          <w:highlight w:val="none"/>
          <w:u w:val="single"/>
        </w:rPr>
        <w:t>（签字或盖章）</w:t>
      </w:r>
    </w:p>
    <w:p>
      <w:pPr>
        <w:spacing w:line="360" w:lineRule="auto"/>
        <w:ind w:firstLine="1260" w:firstLineChars="600"/>
        <w:jc w:val="left"/>
        <w:rPr>
          <w:color w:val="auto"/>
          <w:highlight w:val="none"/>
        </w:rPr>
      </w:pPr>
    </w:p>
    <w:p>
      <w:pPr>
        <w:spacing w:line="360" w:lineRule="auto"/>
        <w:jc w:val="right"/>
        <w:rPr>
          <w:color w:val="auto"/>
          <w:szCs w:val="21"/>
          <w:highlight w:val="none"/>
        </w:rPr>
      </w:pPr>
      <w:r>
        <w:rPr>
          <w:color w:val="auto"/>
          <w:highlight w:val="none"/>
        </w:rPr>
        <w:t>日期：</w:t>
      </w:r>
      <w:r>
        <w:rPr>
          <w:color w:val="auto"/>
          <w:szCs w:val="21"/>
          <w:highlight w:val="none"/>
        </w:rPr>
        <w:t>年月日</w:t>
      </w:r>
    </w:p>
    <w:p>
      <w:pPr>
        <w:pStyle w:val="7"/>
        <w:rPr>
          <w:color w:val="auto"/>
          <w:highlight w:val="none"/>
        </w:rPr>
      </w:pPr>
      <w:r>
        <w:rPr>
          <w:rFonts w:hint="eastAsia"/>
          <w:color w:val="auto"/>
          <w:highlight w:val="none"/>
        </w:rPr>
        <w:t>注</w:t>
      </w:r>
      <w:r>
        <w:rPr>
          <w:color w:val="auto"/>
          <w:highlight w:val="none"/>
        </w:rPr>
        <w:t>：</w:t>
      </w:r>
      <w:r>
        <w:rPr>
          <w:rFonts w:hint="eastAsia"/>
          <w:color w:val="auto"/>
          <w:highlight w:val="none"/>
        </w:rPr>
        <w:t>联</w:t>
      </w:r>
      <w:r>
        <w:rPr>
          <w:color w:val="auto"/>
          <w:highlight w:val="none"/>
        </w:rPr>
        <w:t>合体投标时只需施工单位盖章</w:t>
      </w:r>
      <w:r>
        <w:rPr>
          <w:rFonts w:hint="eastAsia"/>
          <w:color w:val="auto"/>
          <w:highlight w:val="none"/>
        </w:rPr>
        <w:t>即</w:t>
      </w:r>
      <w:r>
        <w:rPr>
          <w:color w:val="auto"/>
          <w:highlight w:val="none"/>
        </w:rPr>
        <w:t>可</w:t>
      </w:r>
    </w:p>
    <w:p>
      <w:pPr>
        <w:spacing w:line="360" w:lineRule="auto"/>
        <w:jc w:val="center"/>
        <w:rPr>
          <w:b/>
          <w:color w:val="auto"/>
          <w:sz w:val="28"/>
          <w:szCs w:val="28"/>
          <w:highlight w:val="none"/>
        </w:rPr>
      </w:pPr>
      <w:r>
        <w:rPr>
          <w:color w:val="auto"/>
          <w:szCs w:val="21"/>
          <w:highlight w:val="none"/>
        </w:rPr>
        <w:br w:type="page"/>
      </w:r>
      <w:r>
        <w:rPr>
          <w:rFonts w:hint="eastAsia"/>
          <w:b/>
          <w:color w:val="auto"/>
          <w:sz w:val="28"/>
          <w:szCs w:val="28"/>
          <w:highlight w:val="none"/>
        </w:rPr>
        <w:t>广西壮族自治区建筑工程安全文明施工措施项目清单内容</w:t>
      </w:r>
    </w:p>
    <w:p>
      <w:pPr>
        <w:ind w:firstLine="2310" w:firstLineChars="1100"/>
        <w:rPr>
          <w:color w:val="auto"/>
          <w:highlight w:val="none"/>
        </w:rPr>
      </w:pPr>
      <w:bookmarkStart w:id="1893" w:name="_Toc402532179"/>
      <w:bookmarkStart w:id="1894" w:name="_Toc419363893"/>
      <w:bookmarkStart w:id="1895" w:name="_Toc404006882"/>
      <w:r>
        <w:rPr>
          <w:color w:val="auto"/>
          <w:highlight w:val="none"/>
        </w:rPr>
        <w:t>（桂建质〔20</w:t>
      </w:r>
      <w:r>
        <w:rPr>
          <w:rFonts w:hint="eastAsia"/>
          <w:color w:val="auto"/>
          <w:highlight w:val="none"/>
        </w:rPr>
        <w:t>15</w:t>
      </w:r>
      <w:r>
        <w:rPr>
          <w:color w:val="auto"/>
          <w:highlight w:val="none"/>
        </w:rPr>
        <w:t>〕</w:t>
      </w:r>
      <w:r>
        <w:rPr>
          <w:rFonts w:hint="eastAsia"/>
          <w:color w:val="auto"/>
          <w:highlight w:val="none"/>
        </w:rPr>
        <w:t>16</w:t>
      </w:r>
      <w:r>
        <w:rPr>
          <w:color w:val="auto"/>
          <w:highlight w:val="none"/>
        </w:rPr>
        <w:t>号文附件一）</w:t>
      </w:r>
      <w:bookmarkEnd w:id="1893"/>
      <w:bookmarkEnd w:id="1894"/>
      <w:bookmarkEnd w:id="1895"/>
    </w:p>
    <w:p>
      <w:pPr>
        <w:pStyle w:val="40"/>
        <w:spacing w:line="0" w:lineRule="atLeast"/>
        <w:jc w:val="center"/>
        <w:rPr>
          <w:rFonts w:ascii="宋体" w:hAnsi="宋体"/>
          <w:b/>
          <w:bCs/>
          <w:color w:val="auto"/>
          <w:sz w:val="24"/>
          <w:highlight w:val="none"/>
        </w:rPr>
      </w:pPr>
      <w:r>
        <w:rPr>
          <w:rFonts w:hint="eastAsia" w:ascii="宋体" w:hAnsi="宋体"/>
          <w:b/>
          <w:bCs/>
          <w:color w:val="auto"/>
          <w:sz w:val="24"/>
          <w:highlight w:val="none"/>
        </w:rPr>
        <w:t>广西壮族自治区</w:t>
      </w:r>
    </w:p>
    <w:p>
      <w:pPr>
        <w:pStyle w:val="40"/>
        <w:spacing w:line="0" w:lineRule="atLeast"/>
        <w:jc w:val="center"/>
        <w:rPr>
          <w:rFonts w:ascii="宋体" w:hAnsi="宋体"/>
          <w:b/>
          <w:bCs/>
          <w:color w:val="auto"/>
          <w:w w:val="90"/>
          <w:sz w:val="24"/>
          <w:highlight w:val="none"/>
        </w:rPr>
      </w:pPr>
      <w:r>
        <w:rPr>
          <w:rFonts w:hint="eastAsia" w:ascii="宋体" w:hAnsi="宋体"/>
          <w:b/>
          <w:bCs/>
          <w:color w:val="auto"/>
          <w:w w:val="90"/>
          <w:sz w:val="24"/>
          <w:highlight w:val="none"/>
        </w:rPr>
        <w:t>建设工程安全文明施工措施项目清单内容</w:t>
      </w:r>
    </w:p>
    <w:tbl>
      <w:tblPr>
        <w:tblStyle w:val="22"/>
        <w:tblW w:w="94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noWrap/>
            <w:vAlign w:val="center"/>
          </w:tcPr>
          <w:p>
            <w:pPr>
              <w:pStyle w:val="40"/>
              <w:spacing w:line="300" w:lineRule="exact"/>
              <w:jc w:val="center"/>
              <w:rPr>
                <w:rFonts w:ascii="方正仿宋_GBK" w:eastAsia="方正仿宋_GBK"/>
                <w:b/>
                <w:bCs/>
                <w:color w:val="auto"/>
                <w:szCs w:val="21"/>
                <w:highlight w:val="none"/>
              </w:rPr>
            </w:pPr>
            <w:r>
              <w:rPr>
                <w:rFonts w:hint="eastAsia" w:ascii="方正仿宋_GBK" w:eastAsia="方正仿宋_GBK"/>
                <w:b/>
                <w:bCs/>
                <w:color w:val="auto"/>
                <w:szCs w:val="21"/>
                <w:highlight w:val="none"/>
              </w:rPr>
              <w:t>类别</w:t>
            </w:r>
          </w:p>
        </w:tc>
        <w:tc>
          <w:tcPr>
            <w:tcW w:w="2070" w:type="dxa"/>
            <w:gridSpan w:val="2"/>
            <w:noWrap/>
            <w:vAlign w:val="center"/>
          </w:tcPr>
          <w:p>
            <w:pPr>
              <w:pStyle w:val="40"/>
              <w:spacing w:line="300" w:lineRule="exact"/>
              <w:jc w:val="center"/>
              <w:rPr>
                <w:rFonts w:ascii="方正仿宋_GBK" w:eastAsia="方正仿宋_GBK"/>
                <w:b/>
                <w:bCs/>
                <w:color w:val="auto"/>
                <w:szCs w:val="21"/>
                <w:highlight w:val="none"/>
              </w:rPr>
            </w:pPr>
            <w:r>
              <w:rPr>
                <w:rFonts w:hint="eastAsia" w:ascii="方正仿宋_GBK" w:eastAsia="方正仿宋_GBK"/>
                <w:b/>
                <w:bCs/>
                <w:color w:val="auto"/>
                <w:szCs w:val="21"/>
                <w:highlight w:val="none"/>
              </w:rPr>
              <w:t>项目名称</w:t>
            </w:r>
          </w:p>
        </w:tc>
        <w:tc>
          <w:tcPr>
            <w:tcW w:w="6645" w:type="dxa"/>
            <w:noWrap/>
            <w:vAlign w:val="center"/>
          </w:tcPr>
          <w:p>
            <w:pPr>
              <w:pStyle w:val="40"/>
              <w:spacing w:line="300" w:lineRule="exact"/>
              <w:jc w:val="center"/>
              <w:rPr>
                <w:rFonts w:ascii="方正仿宋_GBK" w:eastAsia="方正仿宋_GBK"/>
                <w:b/>
                <w:bCs/>
                <w:color w:val="auto"/>
                <w:szCs w:val="21"/>
                <w:highlight w:val="none"/>
              </w:rPr>
            </w:pPr>
            <w:r>
              <w:rPr>
                <w:rFonts w:hint="eastAsia" w:ascii="方正仿宋_GBK" w:eastAsia="方正仿宋_GBK"/>
                <w:b/>
                <w:bCs/>
                <w:color w:val="auto"/>
                <w:szCs w:val="21"/>
                <w:highlight w:val="none"/>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文明</w:t>
            </w:r>
          </w:p>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施工</w:t>
            </w:r>
          </w:p>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与</w:t>
            </w:r>
          </w:p>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环境</w:t>
            </w:r>
          </w:p>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保护</w:t>
            </w: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安全警示</w:t>
            </w:r>
          </w:p>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标志牌</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现场围挡</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1. 现场采用封闭围挡，高度不小于1.8m。</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七牌二图</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企业标志</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场容场貌</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1. 道路畅通。</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2. 排水设施齐全畅通。</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材料堆放</w:t>
            </w:r>
          </w:p>
        </w:tc>
        <w:tc>
          <w:tcPr>
            <w:tcW w:w="6645" w:type="dxa"/>
            <w:noWrap/>
            <w:vAlign w:val="center"/>
          </w:tcPr>
          <w:p>
            <w:pPr>
              <w:pStyle w:val="40"/>
              <w:numPr>
                <w:ilvl w:val="0"/>
                <w:numId w:val="9"/>
              </w:numPr>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材料、构件、料具等堆放时，应有名称、品种、规格等标牌。</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2. 水泥和其它易飞扬细颗粒建筑材料应封闭存放或采取覆盖等措施。</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现场防火</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垃圾清运</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1. 施工现场应设置密闭式垃圾站，施工垃圾、生活垃圾应分类存放。</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宣传栏、环保及不扰民措施</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临时设施</w:t>
            </w: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现场办公</w:t>
            </w:r>
          </w:p>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生活设施</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1. 施工现场办公、生活区与作业区分开设置，保持安全距离。</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restart"/>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施工现场</w:t>
            </w:r>
          </w:p>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临时用电</w:t>
            </w:r>
          </w:p>
        </w:tc>
        <w:tc>
          <w:tcPr>
            <w:tcW w:w="1545" w:type="dxa"/>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配电线路</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1. 按照TN-S系统要求配备五芯电缆、四芯电缆和三芯电缆。</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2. 按要求架设临时用电线路的电杆、横担、瓷夹、瓷瓶等，或电缆埋地的地沟。</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配电箱</w:t>
            </w:r>
          </w:p>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开关箱</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1. 按三级配电要求，配备总配电箱、分配电箱、开关箱三类（铁质）标准电箱，开关箱应符合“一机、一箱、一闸、一漏”，三类电箱中的各类电器应是合格品。</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2. 按两级保护的要求，选取符合容量要求和质量合格的总配电箱和开关箱中的漏电保护器。</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接地装置</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现场变配电装置</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noWrap/>
            <w:vAlign w:val="center"/>
          </w:tcPr>
          <w:p>
            <w:pPr>
              <w:pStyle w:val="40"/>
              <w:spacing w:line="300" w:lineRule="exact"/>
              <w:jc w:val="center"/>
              <w:rPr>
                <w:rFonts w:ascii="方正仿宋_GBK" w:eastAsia="方正仿宋_GBK"/>
                <w:b/>
                <w:bCs/>
                <w:color w:val="auto"/>
                <w:szCs w:val="21"/>
                <w:highlight w:val="none"/>
              </w:rPr>
            </w:pPr>
            <w:r>
              <w:rPr>
                <w:rFonts w:hint="eastAsia" w:ascii="方正仿宋_GBK" w:eastAsia="方正仿宋_GBK"/>
                <w:b/>
                <w:bCs/>
                <w:color w:val="auto"/>
                <w:szCs w:val="21"/>
                <w:highlight w:val="none"/>
              </w:rPr>
              <w:t>类别</w:t>
            </w:r>
          </w:p>
        </w:tc>
        <w:tc>
          <w:tcPr>
            <w:tcW w:w="2070" w:type="dxa"/>
            <w:gridSpan w:val="2"/>
            <w:noWrap/>
            <w:vAlign w:val="center"/>
          </w:tcPr>
          <w:p>
            <w:pPr>
              <w:pStyle w:val="40"/>
              <w:spacing w:line="300" w:lineRule="exact"/>
              <w:jc w:val="center"/>
              <w:rPr>
                <w:rFonts w:ascii="方正仿宋_GBK" w:eastAsia="方正仿宋_GBK"/>
                <w:b/>
                <w:bCs/>
                <w:color w:val="auto"/>
                <w:szCs w:val="21"/>
                <w:highlight w:val="none"/>
              </w:rPr>
            </w:pPr>
            <w:r>
              <w:rPr>
                <w:rFonts w:hint="eastAsia" w:ascii="方正仿宋_GBK" w:eastAsia="方正仿宋_GBK"/>
                <w:b/>
                <w:bCs/>
                <w:color w:val="auto"/>
                <w:szCs w:val="21"/>
                <w:highlight w:val="none"/>
              </w:rPr>
              <w:t>项目名称</w:t>
            </w:r>
          </w:p>
        </w:tc>
        <w:tc>
          <w:tcPr>
            <w:tcW w:w="6645" w:type="dxa"/>
            <w:noWrap/>
            <w:vAlign w:val="center"/>
          </w:tcPr>
          <w:p>
            <w:pPr>
              <w:pStyle w:val="40"/>
              <w:spacing w:line="300" w:lineRule="exact"/>
              <w:jc w:val="center"/>
              <w:rPr>
                <w:rFonts w:ascii="方正仿宋_GBK" w:eastAsia="方正仿宋_GBK"/>
                <w:b/>
                <w:bCs/>
                <w:color w:val="auto"/>
                <w:szCs w:val="21"/>
                <w:highlight w:val="none"/>
              </w:rPr>
            </w:pPr>
            <w:r>
              <w:rPr>
                <w:rFonts w:hint="eastAsia" w:ascii="方正仿宋_GBK" w:eastAsia="方正仿宋_GBK"/>
                <w:b/>
                <w:bCs/>
                <w:color w:val="auto"/>
                <w:szCs w:val="21"/>
                <w:highlight w:val="none"/>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安全施工</w:t>
            </w:r>
          </w:p>
        </w:tc>
        <w:tc>
          <w:tcPr>
            <w:tcW w:w="525" w:type="dxa"/>
            <w:vMerge w:val="restart"/>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高处作业防护</w:t>
            </w:r>
          </w:p>
        </w:tc>
        <w:tc>
          <w:tcPr>
            <w:tcW w:w="15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楼层、屋面、阳台等临边</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通道口</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预留洞口</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电梯井口</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楼梯边</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垂直方向交叉作业</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高处作业</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基坑、物料平台</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安全防护用品</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其它</w:t>
            </w:r>
          </w:p>
        </w:tc>
        <w:tc>
          <w:tcPr>
            <w:tcW w:w="525" w:type="dxa"/>
            <w:vMerge w:val="restart"/>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机械设备防护</w:t>
            </w:r>
          </w:p>
        </w:tc>
        <w:tc>
          <w:tcPr>
            <w:tcW w:w="1545" w:type="dxa"/>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中小型机械</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525"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1545" w:type="dxa"/>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垂直运输设备</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1. 垂直运输设备检测、检验、日常维护、保养等。</w:t>
            </w:r>
          </w:p>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专家论证审查</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应急救援预案</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40"/>
              <w:spacing w:line="300" w:lineRule="exact"/>
              <w:jc w:val="center"/>
              <w:rPr>
                <w:rFonts w:ascii="方正仿宋_GBK" w:eastAsia="方正仿宋_GBK"/>
                <w:color w:val="auto"/>
                <w:szCs w:val="21"/>
                <w:highlight w:val="none"/>
              </w:rPr>
            </w:pPr>
          </w:p>
        </w:tc>
        <w:tc>
          <w:tcPr>
            <w:tcW w:w="2070" w:type="dxa"/>
            <w:gridSpan w:val="2"/>
            <w:noWrap/>
            <w:vAlign w:val="center"/>
          </w:tcPr>
          <w:p>
            <w:pPr>
              <w:pStyle w:val="40"/>
              <w:spacing w:line="30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非正常情况施工</w:t>
            </w:r>
          </w:p>
        </w:tc>
        <w:tc>
          <w:tcPr>
            <w:tcW w:w="6645" w:type="dxa"/>
            <w:noWrap/>
            <w:vAlign w:val="center"/>
          </w:tcPr>
          <w:p>
            <w:pPr>
              <w:pStyle w:val="40"/>
              <w:spacing w:line="300" w:lineRule="exact"/>
              <w:rPr>
                <w:rFonts w:ascii="方正仿宋_GBK" w:eastAsia="方正仿宋_GBK"/>
                <w:color w:val="auto"/>
                <w:szCs w:val="21"/>
                <w:highlight w:val="none"/>
              </w:rPr>
            </w:pPr>
            <w:r>
              <w:rPr>
                <w:rFonts w:hint="eastAsia" w:ascii="方正仿宋_GBK" w:eastAsia="方正仿宋_GBK"/>
                <w:color w:val="auto"/>
                <w:szCs w:val="21"/>
                <w:highlight w:val="none"/>
              </w:rPr>
              <w:t>其它特殊情况下的防护费用，如：城市主干道、人流密集、河边等处施工及文物、古建筑、古树保护等。</w:t>
            </w:r>
          </w:p>
        </w:tc>
      </w:tr>
    </w:tbl>
    <w:p>
      <w:pPr>
        <w:ind w:firstLine="2310" w:firstLineChars="1100"/>
        <w:rPr>
          <w:color w:val="auto"/>
          <w:highlight w:val="none"/>
        </w:rPr>
      </w:pPr>
    </w:p>
    <w:p>
      <w:pPr>
        <w:spacing w:before="120" w:beforeLines="50"/>
        <w:ind w:firstLine="420" w:firstLineChars="200"/>
        <w:rPr>
          <w:color w:val="auto"/>
          <w:highlight w:val="none"/>
        </w:rPr>
      </w:pPr>
      <w:r>
        <w:rPr>
          <w:rFonts w:hint="eastAsia"/>
          <w:color w:val="auto"/>
          <w:highlight w:val="none"/>
        </w:rPr>
        <w:t>注：本表所列建设工程安全文明施工费，是依据现行律法规及标准规范确定的。如法律法规和标准规范修订，本表所列项目应按照修订后的法律法规和标准规范进行调整。</w:t>
      </w:r>
    </w:p>
    <w:p>
      <w:pPr>
        <w:tabs>
          <w:tab w:val="left" w:pos="826"/>
        </w:tabs>
        <w:snapToGrid w:val="0"/>
        <w:spacing w:line="420" w:lineRule="exact"/>
        <w:jc w:val="center"/>
        <w:rPr>
          <w:rFonts w:hAnsi="宋体"/>
          <w:color w:val="auto"/>
          <w:highlight w:val="none"/>
        </w:rPr>
      </w:pPr>
    </w:p>
    <w:p>
      <w:pPr>
        <w:tabs>
          <w:tab w:val="left" w:pos="826"/>
        </w:tabs>
        <w:snapToGrid w:val="0"/>
        <w:spacing w:line="420" w:lineRule="exact"/>
        <w:jc w:val="center"/>
        <w:rPr>
          <w:rFonts w:hAnsi="宋体"/>
          <w:color w:val="auto"/>
          <w:highlight w:val="none"/>
        </w:rPr>
      </w:pPr>
    </w:p>
    <w:p>
      <w:pPr>
        <w:tabs>
          <w:tab w:val="left" w:pos="826"/>
        </w:tabs>
        <w:snapToGrid w:val="0"/>
        <w:spacing w:line="420" w:lineRule="exact"/>
        <w:jc w:val="center"/>
        <w:rPr>
          <w:rFonts w:hAnsi="宋体"/>
          <w:color w:val="auto"/>
          <w:highlight w:val="none"/>
        </w:rPr>
      </w:pPr>
    </w:p>
    <w:p>
      <w:pPr>
        <w:tabs>
          <w:tab w:val="left" w:pos="826"/>
        </w:tabs>
        <w:snapToGrid w:val="0"/>
        <w:spacing w:line="420" w:lineRule="exact"/>
        <w:jc w:val="center"/>
        <w:rPr>
          <w:rFonts w:hAnsi="宋体"/>
          <w:color w:val="auto"/>
          <w:highlight w:val="none"/>
        </w:rPr>
      </w:pPr>
    </w:p>
    <w:p>
      <w:pPr>
        <w:tabs>
          <w:tab w:val="left" w:pos="826"/>
        </w:tabs>
        <w:snapToGrid w:val="0"/>
        <w:spacing w:line="420" w:lineRule="exact"/>
        <w:jc w:val="center"/>
        <w:rPr>
          <w:rFonts w:hAnsi="宋体"/>
          <w:color w:val="auto"/>
          <w:highlight w:val="none"/>
        </w:rPr>
      </w:pPr>
    </w:p>
    <w:p>
      <w:pPr>
        <w:pStyle w:val="2"/>
        <w:rPr>
          <w:rFonts w:hAnsi="宋体"/>
          <w:color w:val="auto"/>
          <w:highlight w:val="none"/>
        </w:rPr>
      </w:pPr>
    </w:p>
    <w:p>
      <w:pPr>
        <w:rPr>
          <w:rFonts w:hAnsi="宋体"/>
          <w:color w:val="auto"/>
          <w:highlight w:val="none"/>
        </w:rPr>
      </w:pPr>
    </w:p>
    <w:p>
      <w:pPr>
        <w:pStyle w:val="2"/>
        <w:rPr>
          <w:rFonts w:hAnsi="宋体"/>
          <w:color w:val="auto"/>
          <w:highlight w:val="none"/>
        </w:rPr>
      </w:pPr>
    </w:p>
    <w:p>
      <w:pPr>
        <w:rPr>
          <w:rFonts w:hAnsi="宋体"/>
          <w:color w:val="auto"/>
          <w:highlight w:val="none"/>
        </w:rPr>
      </w:pPr>
    </w:p>
    <w:p>
      <w:pPr>
        <w:pStyle w:val="2"/>
        <w:rPr>
          <w:color w:val="auto"/>
          <w:highlight w:val="none"/>
        </w:rPr>
      </w:pPr>
    </w:p>
    <w:p>
      <w:pPr>
        <w:tabs>
          <w:tab w:val="left" w:pos="826"/>
        </w:tabs>
        <w:adjustRightInd w:val="0"/>
        <w:snapToGrid w:val="0"/>
        <w:spacing w:line="360" w:lineRule="auto"/>
        <w:rPr>
          <w:rFonts w:ascii="宋体" w:hAnsi="宋体"/>
          <w:color w:val="auto"/>
          <w:sz w:val="24"/>
          <w:highlight w:val="none"/>
        </w:rPr>
      </w:pPr>
    </w:p>
    <w:p>
      <w:pPr>
        <w:numPr>
          <w:ilvl w:val="0"/>
          <w:numId w:val="10"/>
        </w:numPr>
        <w:tabs>
          <w:tab w:val="left" w:pos="826"/>
        </w:tabs>
        <w:adjustRightInd w:val="0"/>
        <w:snapToGrid w:val="0"/>
        <w:spacing w:line="360" w:lineRule="auto"/>
        <w:rPr>
          <w:rFonts w:ascii="宋体" w:hAnsi="宋体"/>
          <w:b/>
          <w:bCs/>
          <w:color w:val="auto"/>
          <w:sz w:val="22"/>
          <w:szCs w:val="28"/>
          <w:highlight w:val="none"/>
        </w:rPr>
      </w:pPr>
      <w:r>
        <w:rPr>
          <w:rFonts w:ascii="宋体" w:hAnsi="宋体"/>
          <w:b/>
          <w:bCs/>
          <w:color w:val="auto"/>
          <w:sz w:val="28"/>
          <w:szCs w:val="36"/>
          <w:highlight w:val="none"/>
        </w:rPr>
        <w:t>农民工工资保证金承诺书</w:t>
      </w:r>
    </w:p>
    <w:p>
      <w:pPr>
        <w:tabs>
          <w:tab w:val="left" w:pos="826"/>
        </w:tabs>
        <w:adjustRightInd w:val="0"/>
        <w:snapToGrid w:val="0"/>
        <w:spacing w:line="360" w:lineRule="auto"/>
        <w:rPr>
          <w:rFonts w:ascii="宋体" w:hAnsi="宋体"/>
          <w:b/>
          <w:bCs/>
          <w:color w:val="auto"/>
          <w:sz w:val="22"/>
          <w:szCs w:val="28"/>
          <w:highlight w:val="none"/>
        </w:rPr>
      </w:pPr>
      <w:r>
        <w:rPr>
          <w:rFonts w:ascii="宋体" w:hAnsi="宋体"/>
          <w:b/>
          <w:bCs/>
          <w:color w:val="auto"/>
          <w:sz w:val="28"/>
          <w:szCs w:val="36"/>
          <w:highlight w:val="none"/>
        </w:rPr>
        <w:t>（按桂劳社发【2009】50号文件规定承诺）</w:t>
      </w:r>
    </w:p>
    <w:p>
      <w:pPr>
        <w:tabs>
          <w:tab w:val="left" w:pos="826"/>
        </w:tabs>
        <w:adjustRightInd w:val="0"/>
        <w:snapToGrid w:val="0"/>
        <w:spacing w:line="360" w:lineRule="auto"/>
        <w:rPr>
          <w:rFonts w:ascii="宋体" w:hAnsi="宋体"/>
          <w:color w:val="auto"/>
          <w:highlight w:val="none"/>
        </w:rPr>
      </w:pPr>
    </w:p>
    <w:p>
      <w:pPr>
        <w:tabs>
          <w:tab w:val="left" w:pos="826"/>
        </w:tabs>
        <w:adjustRightInd w:val="0"/>
        <w:snapToGrid w:val="0"/>
        <w:spacing w:line="360" w:lineRule="auto"/>
        <w:rPr>
          <w:rFonts w:ascii="宋体" w:hAnsi="宋体"/>
          <w:color w:val="auto"/>
          <w:highlight w:val="none"/>
        </w:rPr>
      </w:pPr>
      <w:r>
        <w:rPr>
          <w:rFonts w:hint="eastAsia" w:ascii="宋体" w:hAnsi="宋体"/>
          <w:color w:val="auto"/>
          <w:highlight w:val="none"/>
        </w:rPr>
        <w:t>注：联合体投标时只需施工单位盖章即可</w:t>
      </w:r>
    </w:p>
    <w:p>
      <w:pPr>
        <w:tabs>
          <w:tab w:val="left" w:pos="826"/>
        </w:tabs>
        <w:adjustRightInd w:val="0"/>
        <w:snapToGrid w:val="0"/>
        <w:spacing w:line="360" w:lineRule="auto"/>
        <w:rPr>
          <w:rFonts w:ascii="宋体" w:hAnsi="宋体"/>
          <w:color w:val="auto"/>
          <w:highlight w:val="none"/>
        </w:rPr>
      </w:pPr>
    </w:p>
    <w:p>
      <w:pPr>
        <w:tabs>
          <w:tab w:val="left" w:pos="826"/>
        </w:tabs>
        <w:adjustRightInd w:val="0"/>
        <w:snapToGrid w:val="0"/>
        <w:spacing w:line="360" w:lineRule="auto"/>
        <w:rPr>
          <w:rFonts w:ascii="宋体" w:hAnsi="宋体"/>
          <w:color w:val="auto"/>
          <w:highlight w:val="none"/>
        </w:rPr>
      </w:pPr>
    </w:p>
    <w:p>
      <w:pPr>
        <w:tabs>
          <w:tab w:val="left" w:pos="826"/>
        </w:tabs>
        <w:adjustRightInd w:val="0"/>
        <w:snapToGrid w:val="0"/>
        <w:spacing w:line="360" w:lineRule="auto"/>
        <w:rPr>
          <w:rFonts w:ascii="宋体" w:hAnsi="宋体"/>
          <w:color w:val="auto"/>
          <w:highlight w:val="none"/>
        </w:rPr>
      </w:pPr>
    </w:p>
    <w:p>
      <w:pPr>
        <w:tabs>
          <w:tab w:val="left" w:pos="826"/>
        </w:tabs>
        <w:adjustRightInd w:val="0"/>
        <w:snapToGrid w:val="0"/>
        <w:spacing w:line="360" w:lineRule="auto"/>
        <w:rPr>
          <w:rFonts w:ascii="宋体" w:hAnsi="宋体"/>
          <w:color w:val="auto"/>
          <w:highlight w:val="none"/>
        </w:rPr>
      </w:pPr>
    </w:p>
    <w:p>
      <w:pPr>
        <w:tabs>
          <w:tab w:val="left" w:pos="826"/>
        </w:tabs>
        <w:adjustRightInd w:val="0"/>
        <w:snapToGrid w:val="0"/>
        <w:spacing w:line="360" w:lineRule="auto"/>
        <w:rPr>
          <w:rFonts w:ascii="宋体" w:hAnsi="宋体"/>
          <w:color w:val="auto"/>
          <w:highlight w:val="none"/>
        </w:rPr>
      </w:pPr>
    </w:p>
    <w:p>
      <w:pPr>
        <w:tabs>
          <w:tab w:val="left" w:pos="826"/>
        </w:tabs>
        <w:adjustRightInd w:val="0"/>
        <w:snapToGrid w:val="0"/>
        <w:spacing w:line="360" w:lineRule="auto"/>
        <w:rPr>
          <w:rFonts w:ascii="宋体" w:hAnsi="宋体"/>
          <w:color w:val="auto"/>
          <w:highlight w:val="none"/>
        </w:rPr>
      </w:pPr>
    </w:p>
    <w:p>
      <w:pPr>
        <w:tabs>
          <w:tab w:val="left" w:pos="826"/>
        </w:tabs>
        <w:adjustRightInd w:val="0"/>
        <w:snapToGrid w:val="0"/>
        <w:spacing w:line="360" w:lineRule="auto"/>
        <w:rPr>
          <w:rFonts w:ascii="宋体" w:hAnsi="宋体"/>
          <w:color w:val="auto"/>
          <w:highlight w:val="none"/>
        </w:rPr>
      </w:pPr>
    </w:p>
    <w:p>
      <w:pPr>
        <w:tabs>
          <w:tab w:val="left" w:pos="826"/>
        </w:tabs>
        <w:adjustRightInd w:val="0"/>
        <w:snapToGrid w:val="0"/>
        <w:spacing w:line="360" w:lineRule="auto"/>
        <w:rPr>
          <w:rFonts w:ascii="宋体" w:hAnsi="宋体"/>
          <w:color w:val="auto"/>
          <w:highlight w:val="none"/>
        </w:rPr>
      </w:pPr>
    </w:p>
    <w:p>
      <w:pPr>
        <w:numPr>
          <w:ilvl w:val="0"/>
          <w:numId w:val="10"/>
        </w:numPr>
        <w:tabs>
          <w:tab w:val="left" w:pos="826"/>
        </w:tabs>
        <w:adjustRightInd w:val="0"/>
        <w:snapToGrid w:val="0"/>
        <w:spacing w:line="360" w:lineRule="auto"/>
        <w:rPr>
          <w:rFonts w:ascii="宋体" w:hAnsi="宋体"/>
          <w:b/>
          <w:bCs/>
          <w:color w:val="auto"/>
          <w:sz w:val="28"/>
          <w:szCs w:val="36"/>
          <w:highlight w:val="none"/>
        </w:rPr>
      </w:pPr>
      <w:r>
        <w:rPr>
          <w:rFonts w:ascii="宋体" w:hAnsi="宋体"/>
          <w:b/>
          <w:bCs/>
          <w:color w:val="auto"/>
          <w:sz w:val="28"/>
          <w:szCs w:val="36"/>
          <w:highlight w:val="none"/>
        </w:rPr>
        <w:t>工程渣土清运承诺书</w:t>
      </w:r>
    </w:p>
    <w:p>
      <w:pPr>
        <w:tabs>
          <w:tab w:val="left" w:pos="826"/>
        </w:tabs>
        <w:adjustRightInd w:val="0"/>
        <w:snapToGrid w:val="0"/>
        <w:spacing w:line="360" w:lineRule="auto"/>
        <w:rPr>
          <w:rFonts w:ascii="宋体" w:hAnsi="宋体"/>
          <w:b/>
          <w:bCs/>
          <w:color w:val="auto"/>
          <w:sz w:val="28"/>
          <w:szCs w:val="36"/>
          <w:highlight w:val="none"/>
        </w:rPr>
      </w:pPr>
      <w:r>
        <w:rPr>
          <w:rFonts w:ascii="宋体" w:hAnsi="宋体"/>
          <w:b/>
          <w:bCs/>
          <w:color w:val="auto"/>
          <w:sz w:val="28"/>
          <w:szCs w:val="36"/>
          <w:highlight w:val="none"/>
        </w:rPr>
        <w:t>（按照</w:t>
      </w:r>
      <w:r>
        <w:rPr>
          <w:rFonts w:hint="eastAsia" w:ascii="宋体" w:hAnsi="宋体"/>
          <w:b/>
          <w:bCs/>
          <w:color w:val="auto"/>
          <w:sz w:val="28"/>
          <w:szCs w:val="36"/>
          <w:highlight w:val="none"/>
        </w:rPr>
        <w:t>桂林市建设工程招标投标站</w:t>
      </w:r>
      <w:r>
        <w:rPr>
          <w:rFonts w:ascii="宋体" w:hAnsi="宋体"/>
          <w:b/>
          <w:bCs/>
          <w:color w:val="auto"/>
          <w:sz w:val="28"/>
          <w:szCs w:val="36"/>
          <w:highlight w:val="none"/>
        </w:rPr>
        <w:t>市建招字【2011】02号的规定对渣土清运的承诺书）</w:t>
      </w:r>
    </w:p>
    <w:p>
      <w:pPr>
        <w:tabs>
          <w:tab w:val="left" w:pos="826"/>
        </w:tabs>
        <w:snapToGrid w:val="0"/>
        <w:spacing w:line="420" w:lineRule="exact"/>
        <w:jc w:val="center"/>
        <w:rPr>
          <w:rFonts w:hAnsi="宋体"/>
          <w:color w:val="auto"/>
          <w:highlight w:val="none"/>
        </w:rPr>
      </w:pPr>
    </w:p>
    <w:p>
      <w:pPr>
        <w:pStyle w:val="7"/>
        <w:rPr>
          <w:color w:val="auto"/>
          <w:highlight w:val="none"/>
        </w:rPr>
      </w:pPr>
    </w:p>
    <w:p>
      <w:pPr>
        <w:pStyle w:val="7"/>
        <w:rPr>
          <w:color w:val="auto"/>
          <w:highlight w:val="none"/>
        </w:rPr>
      </w:pPr>
    </w:p>
    <w:p>
      <w:pPr>
        <w:tabs>
          <w:tab w:val="left" w:pos="826"/>
        </w:tabs>
        <w:snapToGrid w:val="0"/>
        <w:spacing w:line="420" w:lineRule="exact"/>
        <w:jc w:val="left"/>
        <w:rPr>
          <w:b/>
          <w:color w:val="auto"/>
          <w:sz w:val="28"/>
          <w:szCs w:val="28"/>
          <w:highlight w:val="none"/>
        </w:rPr>
      </w:pPr>
      <w:r>
        <w:rPr>
          <w:rFonts w:hint="eastAsia" w:hAnsi="宋体"/>
          <w:color w:val="auto"/>
          <w:highlight w:val="none"/>
        </w:rPr>
        <w:t>注：联合体投标时只需施工单位盖章即可</w:t>
      </w:r>
      <w:r>
        <w:rPr>
          <w:rFonts w:hAnsi="宋体"/>
          <w:color w:val="auto"/>
          <w:highlight w:val="none"/>
        </w:rPr>
        <w:br w:type="page"/>
      </w:r>
      <w:r>
        <w:rPr>
          <w:rFonts w:hint="eastAsia"/>
          <w:b/>
          <w:color w:val="auto"/>
          <w:sz w:val="28"/>
          <w:szCs w:val="28"/>
          <w:highlight w:val="none"/>
        </w:rPr>
        <w:t>8、拟派项目总负责人、项目设计负责人、项目经理、项目采购负责人（如有）、项目施工专职安全员基本情况表</w:t>
      </w:r>
    </w:p>
    <w:p>
      <w:pPr>
        <w:tabs>
          <w:tab w:val="left" w:pos="826"/>
        </w:tabs>
        <w:snapToGrid w:val="0"/>
        <w:spacing w:line="420" w:lineRule="exact"/>
        <w:jc w:val="left"/>
        <w:rPr>
          <w:color w:val="auto"/>
          <w:sz w:val="24"/>
          <w:szCs w:val="28"/>
          <w:highlight w:val="none"/>
        </w:rPr>
      </w:pPr>
    </w:p>
    <w:p>
      <w:pPr>
        <w:tabs>
          <w:tab w:val="left" w:pos="826"/>
        </w:tabs>
        <w:snapToGrid w:val="0"/>
        <w:spacing w:line="360" w:lineRule="auto"/>
        <w:ind w:firstLine="525" w:firstLineChars="250"/>
        <w:jc w:val="left"/>
        <w:rPr>
          <w:color w:val="auto"/>
          <w:highlight w:val="none"/>
        </w:rPr>
      </w:pPr>
      <w:r>
        <w:rPr>
          <w:rFonts w:hint="eastAsia"/>
          <w:color w:val="auto"/>
          <w:highlight w:val="none"/>
        </w:rPr>
        <w:t>应附上述人员的相应注册证书，建造师安全生产考核合格证书（B类），项目施工专职安全员安全生产考核合格证书（C类），身份证、职称证（如有）等材料的复印件。项目经理注册建造师证书和安全生产考核合格证书（B类）、项目施工专职安全员安全生产考核合格证书（C类）只需附复印件。</w:t>
      </w:r>
    </w:p>
    <w:p>
      <w:pPr>
        <w:tabs>
          <w:tab w:val="left" w:pos="826"/>
        </w:tabs>
        <w:snapToGrid w:val="0"/>
        <w:spacing w:line="420" w:lineRule="exact"/>
        <w:ind w:firstLine="422" w:firstLineChars="150"/>
        <w:jc w:val="center"/>
        <w:rPr>
          <w:b/>
          <w:color w:val="auto"/>
          <w:sz w:val="28"/>
          <w:szCs w:val="28"/>
          <w:highlight w:val="none"/>
        </w:rPr>
      </w:pPr>
    </w:p>
    <w:p>
      <w:pPr>
        <w:numPr>
          <w:ilvl w:val="-1"/>
          <w:numId w:val="0"/>
        </w:numPr>
        <w:tabs>
          <w:tab w:val="left" w:pos="0"/>
        </w:tabs>
        <w:spacing w:line="360" w:lineRule="auto"/>
        <w:ind w:left="0" w:leftChars="0" w:right="-210" w:firstLine="0" w:firstLineChars="0"/>
        <w:jc w:val="center"/>
        <w:rPr>
          <w:rFonts w:hint="eastAsia"/>
          <w:b/>
          <w:color w:val="auto"/>
          <w:sz w:val="28"/>
          <w:szCs w:val="28"/>
          <w:highlight w:val="none"/>
        </w:rPr>
      </w:pPr>
      <w:r>
        <w:rPr>
          <w:rFonts w:hAnsi="宋体"/>
          <w:color w:val="auto"/>
          <w:highlight w:val="none"/>
        </w:rPr>
        <w:br w:type="page"/>
      </w:r>
      <w:r>
        <w:rPr>
          <w:rFonts w:hint="eastAsia" w:hAnsi="Times New Roman"/>
          <w:b/>
          <w:color w:val="auto"/>
          <w:sz w:val="28"/>
          <w:szCs w:val="28"/>
          <w:highlight w:val="none"/>
          <w:lang w:val="en-US" w:eastAsia="zh-CN"/>
        </w:rPr>
        <w:t>9、</w:t>
      </w:r>
      <w:r>
        <w:rPr>
          <w:rFonts w:hint="eastAsia"/>
          <w:b/>
          <w:color w:val="auto"/>
          <w:sz w:val="28"/>
          <w:szCs w:val="28"/>
          <w:highlight w:val="none"/>
        </w:rPr>
        <w:t>资格审查需要的其他材料</w:t>
      </w:r>
    </w:p>
    <w:p>
      <w:pPr>
        <w:numPr>
          <w:ilvl w:val="-1"/>
          <w:numId w:val="0"/>
        </w:numPr>
        <w:tabs>
          <w:tab w:val="left" w:pos="826"/>
        </w:tabs>
        <w:snapToGrid w:val="0"/>
        <w:spacing w:line="360" w:lineRule="auto"/>
        <w:ind w:right="0" w:firstLine="525" w:firstLineChars="250"/>
        <w:jc w:val="left"/>
        <w:rPr>
          <w:rFonts w:hint="eastAsia" w:ascii="Times New Roman" w:hAnsi="Times New Roman" w:eastAsia="宋体" w:cs="Times New Roman"/>
          <w:color w:val="auto"/>
          <w:sz w:val="21"/>
          <w:highlight w:val="none"/>
          <w:lang w:eastAsia="zh-CN"/>
        </w:rPr>
      </w:pPr>
      <w:r>
        <w:rPr>
          <w:rFonts w:hint="eastAsia" w:ascii="Times New Roman" w:hAnsi="Times New Roman" w:eastAsia="宋体" w:cs="Times New Roman"/>
          <w:color w:val="auto"/>
          <w:sz w:val="21"/>
          <w:szCs w:val="24"/>
          <w:highlight w:val="none"/>
        </w:rPr>
        <w:t>包括：</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lang w:val="en-US" w:eastAsia="zh-CN"/>
        </w:rPr>
        <w:t>1</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rPr>
        <w:t>近年完成的类似工程总承包项目情况表（如有）、</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lang w:val="en-US" w:eastAsia="zh-CN"/>
        </w:rPr>
        <w:t>2</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rPr>
        <w:t>近年完成的类似工程设计项目情况表（如有）、</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lang w:val="en-US" w:eastAsia="zh-CN"/>
        </w:rPr>
        <w:t>3</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rPr>
        <w:t>近年完成的类似施工项目情况表（如有）、</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lang w:val="en-US" w:eastAsia="zh-CN"/>
        </w:rPr>
        <w:t>4</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rPr>
        <w:t>正在实施和新承接的项目情况表（如有）、</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lang w:val="en-US" w:eastAsia="zh-CN"/>
        </w:rPr>
        <w:t>5</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rPr>
        <w:t>采用建筑信息模型（BIM）技术的项目业绩（如有）、</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lang w:val="en-US" w:eastAsia="zh-CN"/>
        </w:rPr>
        <w:t>6</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rPr>
        <w:t>企业近三年财务状况表</w:t>
      </w:r>
      <w:r>
        <w:rPr>
          <w:rFonts w:hint="eastAsia" w:ascii="Times New Roman" w:hAnsi="Times New Roman" w:eastAsia="宋体" w:cs="Times New Roman"/>
          <w:color w:val="auto"/>
          <w:sz w:val="21"/>
          <w:szCs w:val="24"/>
          <w:highlight w:val="none"/>
          <w:lang w:eastAsia="zh-CN"/>
        </w:rPr>
        <w:t>（如为联合体投标仅须由牵头人提供）、（</w:t>
      </w:r>
      <w:r>
        <w:rPr>
          <w:rFonts w:hint="eastAsia" w:ascii="Times New Roman" w:hAnsi="Times New Roman" w:eastAsia="宋体" w:cs="Times New Roman"/>
          <w:color w:val="auto"/>
          <w:sz w:val="21"/>
          <w:szCs w:val="24"/>
          <w:highlight w:val="none"/>
          <w:lang w:val="en-US" w:eastAsia="zh-CN"/>
        </w:rPr>
        <w:t>7</w:t>
      </w:r>
      <w:r>
        <w:rPr>
          <w:rFonts w:hint="eastAsia" w:ascii="Times New Roman" w:hAnsi="Times New Roman" w:eastAsia="宋体" w:cs="Times New Roman"/>
          <w:color w:val="auto"/>
          <w:sz w:val="21"/>
          <w:szCs w:val="24"/>
          <w:highlight w:val="none"/>
          <w:lang w:eastAsia="zh-CN"/>
        </w:rPr>
        <w:t>）供应商参加政府采购活动前3年内在经营活动中没有重大违法记录的书面声明</w:t>
      </w:r>
      <w:r>
        <w:rPr>
          <w:rFonts w:hint="eastAsia" w:ascii="Times New Roman" w:hAnsi="Times New Roman" w:eastAsia="宋体" w:cs="Times New Roman"/>
          <w:color w:val="auto"/>
          <w:sz w:val="21"/>
          <w:szCs w:val="24"/>
          <w:highlight w:val="none"/>
        </w:rPr>
        <w:t>等。施工单位须提供已完成类似工程证明材料。</w:t>
      </w:r>
      <w:r>
        <w:rPr>
          <w:rFonts w:hint="eastAsia" w:ascii="Times New Roman" w:hAnsi="Times New Roman" w:eastAsia="宋体" w:cs="Times New Roman"/>
          <w:color w:val="auto"/>
          <w:sz w:val="21"/>
          <w:szCs w:val="24"/>
          <w:highlight w:val="none"/>
          <w:lang w:eastAsia="zh-CN"/>
        </w:rPr>
        <w:t>以及</w:t>
      </w:r>
      <w:r>
        <w:rPr>
          <w:rFonts w:hint="eastAsia" w:ascii="Times New Roman" w:hAnsi="Times New Roman" w:eastAsia="宋体" w:cs="Times New Roman"/>
          <w:color w:val="auto"/>
          <w:sz w:val="21"/>
          <w:szCs w:val="24"/>
          <w:highlight w:val="none"/>
          <w:lang w:val="en-US" w:eastAsia="zh-CN"/>
        </w:rPr>
        <w:t>投标人认为需提供的</w:t>
      </w:r>
      <w:r>
        <w:rPr>
          <w:rFonts w:hint="eastAsia" w:ascii="Times New Roman" w:hAnsi="Times New Roman" w:eastAsia="宋体" w:cs="Times New Roman"/>
          <w:color w:val="auto"/>
          <w:sz w:val="21"/>
          <w:szCs w:val="24"/>
          <w:highlight w:val="none"/>
          <w:lang w:eastAsia="zh-CN"/>
        </w:rPr>
        <w:t>其他材料。</w:t>
      </w:r>
    </w:p>
    <w:p>
      <w:pPr>
        <w:pStyle w:val="7"/>
        <w:numPr>
          <w:ilvl w:val="0"/>
          <w:numId w:val="0"/>
        </w:numPr>
        <w:ind w:leftChars="0"/>
        <w:rPr>
          <w:color w:val="auto"/>
          <w:highlight w:val="none"/>
        </w:rPr>
      </w:pPr>
    </w:p>
    <w:p>
      <w:pPr>
        <w:pStyle w:val="47"/>
        <w:spacing w:line="312" w:lineRule="auto"/>
        <w:ind w:firstLine="562"/>
        <w:jc w:val="center"/>
        <w:outlineLvl w:val="0"/>
        <w:rPr>
          <w:rFonts w:hint="eastAsia" w:ascii="宋体" w:hAnsi="宋体" w:cs="宋体"/>
          <w:b/>
          <w:color w:val="auto"/>
          <w:sz w:val="28"/>
          <w:szCs w:val="28"/>
          <w:highlight w:val="none"/>
        </w:rPr>
      </w:pPr>
      <w:bookmarkStart w:id="1896" w:name="_Toc267640607"/>
      <w:bookmarkStart w:id="1897" w:name="_Toc406522323"/>
      <w:bookmarkStart w:id="1898" w:name="_Toc267582078"/>
      <w:bookmarkStart w:id="1899" w:name="_Toc406419447"/>
      <w:r>
        <w:rPr>
          <w:rFonts w:hint="eastAsia" w:ascii="宋体" w:hAnsi="宋体" w:cs="宋体"/>
          <w:b/>
          <w:color w:val="auto"/>
          <w:kern w:val="0"/>
          <w:sz w:val="28"/>
          <w:szCs w:val="28"/>
          <w:highlight w:val="none"/>
        </w:rPr>
        <w:t>A  诚信声明</w:t>
      </w:r>
      <w:bookmarkEnd w:id="1896"/>
      <w:bookmarkEnd w:id="1897"/>
      <w:bookmarkEnd w:id="1898"/>
      <w:bookmarkEnd w:id="1899"/>
    </w:p>
    <w:p>
      <w:pPr>
        <w:widowControl/>
        <w:spacing w:line="312" w:lineRule="auto"/>
        <w:jc w:val="center"/>
        <w:rPr>
          <w:rFonts w:hint="eastAsia" w:ascii="宋体" w:hAnsi="宋体" w:cs="宋体"/>
          <w:b/>
          <w:color w:val="auto"/>
          <w:kern w:val="0"/>
          <w:sz w:val="32"/>
          <w:szCs w:val="36"/>
          <w:highlight w:val="none"/>
        </w:rPr>
      </w:pPr>
    </w:p>
    <w:p>
      <w:pPr>
        <w:widowControl/>
        <w:spacing w:line="312" w:lineRule="auto"/>
        <w:rPr>
          <w:rFonts w:hint="eastAsia" w:ascii="宋体" w:hAnsi="宋体" w:cs="宋体"/>
          <w:color w:val="auto"/>
          <w:kern w:val="0"/>
          <w:highlight w:val="none"/>
        </w:rPr>
      </w:pPr>
      <w:r>
        <w:rPr>
          <w:rFonts w:hint="eastAsia" w:ascii="宋体" w:hAnsi="宋体" w:cs="宋体"/>
          <w:color w:val="auto"/>
          <w:kern w:val="0"/>
          <w:highlight w:val="none"/>
        </w:rPr>
        <w:t>声明企业：                        地址：</w:t>
      </w:r>
    </w:p>
    <w:p>
      <w:pPr>
        <w:widowControl/>
        <w:spacing w:line="312" w:lineRule="auto"/>
        <w:rPr>
          <w:rFonts w:hint="eastAsia" w:ascii="宋体" w:hAnsi="宋体" w:cs="宋体"/>
          <w:color w:val="auto"/>
          <w:kern w:val="0"/>
          <w:highlight w:val="none"/>
        </w:rPr>
      </w:pPr>
      <w:r>
        <w:rPr>
          <w:rFonts w:hint="eastAsia" w:ascii="宋体" w:hAnsi="宋体" w:cs="宋体"/>
          <w:color w:val="auto"/>
          <w:kern w:val="0"/>
          <w:highlight w:val="none"/>
        </w:rPr>
        <w:t>声明人：                          职务：</w:t>
      </w:r>
    </w:p>
    <w:p>
      <w:pPr>
        <w:widowControl/>
        <w:spacing w:line="312" w:lineRule="auto"/>
        <w:rPr>
          <w:rFonts w:hint="eastAsia" w:ascii="宋体" w:hAnsi="宋体" w:cs="宋体"/>
          <w:color w:val="auto"/>
          <w:kern w:val="0"/>
          <w:highlight w:val="none"/>
        </w:rPr>
      </w:pPr>
      <w:r>
        <w:rPr>
          <w:rFonts w:hint="eastAsia" w:ascii="宋体" w:hAnsi="宋体" w:cs="宋体"/>
          <w:color w:val="auto"/>
          <w:kern w:val="0"/>
          <w:highlight w:val="none"/>
        </w:rPr>
        <w:t>声明人：                          职务：</w:t>
      </w:r>
    </w:p>
    <w:p>
      <w:pPr>
        <w:widowControl/>
        <w:spacing w:line="312"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本公司就参加</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rPr>
        <w:t>工程项目投标工作，作出郑重声明：</w:t>
      </w:r>
    </w:p>
    <w:p>
      <w:pPr>
        <w:pStyle w:val="47"/>
        <w:spacing w:line="312" w:lineRule="auto"/>
        <w:rPr>
          <w:rFonts w:hint="eastAsia" w:ascii="宋体" w:hAnsi="宋体" w:cs="宋体"/>
          <w:color w:val="auto"/>
          <w:highlight w:val="none"/>
        </w:rPr>
      </w:pPr>
      <w:r>
        <w:rPr>
          <w:rFonts w:hint="eastAsia" w:ascii="宋体" w:hAnsi="宋体" w:cs="宋体"/>
          <w:color w:val="auto"/>
          <w:highlight w:val="none"/>
        </w:rPr>
        <w:t>1、  投标材料是真实的，对招标要求是清楚的。作为正式投标人，我公司保证不与其他单位围标、串标，不出让投标资格，不向招标人或评标委员会成员行贿。</w:t>
      </w:r>
    </w:p>
    <w:p>
      <w:pPr>
        <w:pStyle w:val="47"/>
        <w:spacing w:line="312" w:lineRule="auto"/>
        <w:rPr>
          <w:rFonts w:hint="eastAsia" w:ascii="宋体" w:hAnsi="宋体" w:cs="宋体"/>
          <w:color w:val="auto"/>
          <w:highlight w:val="none"/>
        </w:rPr>
      </w:pPr>
      <w:r>
        <w:rPr>
          <w:rFonts w:hint="eastAsia" w:ascii="宋体" w:hAnsi="宋体" w:cs="宋体"/>
          <w:color w:val="auto"/>
          <w:highlight w:val="none"/>
        </w:rPr>
        <w:t>2、  我单位无因安全事故、质量事故、投标违规等有不良记录被政府有关部门处罚仍在受罚期内；</w:t>
      </w:r>
    </w:p>
    <w:p>
      <w:pPr>
        <w:pStyle w:val="47"/>
        <w:spacing w:line="312" w:lineRule="auto"/>
        <w:rPr>
          <w:rFonts w:hint="eastAsia" w:ascii="宋体" w:hAnsi="宋体" w:cs="宋体"/>
          <w:color w:val="auto"/>
          <w:highlight w:val="none"/>
        </w:rPr>
      </w:pPr>
      <w:r>
        <w:rPr>
          <w:rFonts w:hint="eastAsia" w:ascii="宋体" w:hAnsi="宋体" w:cs="宋体"/>
          <w:color w:val="auto"/>
          <w:highlight w:val="none"/>
        </w:rPr>
        <w:t>3、  我单位无被有关部门责令停业、企业财产被查封、冻结或者处于破产状态的情形存在；</w:t>
      </w:r>
    </w:p>
    <w:p>
      <w:pPr>
        <w:pStyle w:val="47"/>
        <w:spacing w:line="312" w:lineRule="auto"/>
        <w:rPr>
          <w:rFonts w:hint="eastAsia" w:ascii="宋体" w:hAnsi="宋体" w:cs="宋体"/>
          <w:color w:val="auto"/>
          <w:highlight w:val="none"/>
        </w:rPr>
      </w:pPr>
      <w:r>
        <w:rPr>
          <w:rFonts w:hint="eastAsia" w:ascii="宋体" w:hAnsi="宋体" w:cs="宋体"/>
          <w:color w:val="auto"/>
          <w:highlight w:val="none"/>
        </w:rPr>
        <w:t>4、  我单位没有参加本项目的设计、前期招标及监理等工作；</w:t>
      </w:r>
    </w:p>
    <w:p>
      <w:pPr>
        <w:pStyle w:val="47"/>
        <w:spacing w:line="312" w:lineRule="auto"/>
        <w:rPr>
          <w:rFonts w:hint="eastAsia" w:ascii="宋体" w:hAnsi="宋体" w:cs="宋体"/>
          <w:color w:val="auto"/>
          <w:highlight w:val="none"/>
        </w:rPr>
      </w:pPr>
      <w:r>
        <w:rPr>
          <w:rFonts w:hint="eastAsia" w:ascii="宋体" w:hAnsi="宋体" w:cs="宋体"/>
          <w:color w:val="auto"/>
          <w:highlight w:val="none"/>
        </w:rPr>
        <w:t>5、  我单位无拖欠民工工资记录且未结案的情形存在。</w:t>
      </w:r>
    </w:p>
    <w:p>
      <w:pPr>
        <w:pStyle w:val="47"/>
        <w:spacing w:line="312" w:lineRule="auto"/>
        <w:rPr>
          <w:rFonts w:hint="eastAsia" w:ascii="宋体" w:hAnsi="宋体" w:cs="宋体"/>
          <w:color w:val="auto"/>
          <w:highlight w:val="none"/>
        </w:rPr>
      </w:pPr>
      <w:r>
        <w:rPr>
          <w:rFonts w:hint="eastAsia" w:ascii="宋体" w:hAnsi="宋体" w:cs="宋体"/>
          <w:color w:val="auto"/>
          <w:highlight w:val="none"/>
        </w:rPr>
        <w:t xml:space="preserve">   若违反上述规定一旦查实，本人和本公司愿意接受公开通报，并愿意承担由此带来的法律后果。</w:t>
      </w:r>
    </w:p>
    <w:p>
      <w:pPr>
        <w:pStyle w:val="47"/>
        <w:spacing w:line="312" w:lineRule="auto"/>
        <w:rPr>
          <w:rFonts w:hint="eastAsia" w:ascii="宋体" w:hAnsi="宋体" w:cs="宋体"/>
          <w:color w:val="auto"/>
          <w:highlight w:val="none"/>
        </w:rPr>
      </w:pPr>
      <w:r>
        <w:rPr>
          <w:rFonts w:hint="eastAsia" w:ascii="宋体" w:hAnsi="宋体" w:cs="宋体"/>
          <w:color w:val="auto"/>
          <w:highlight w:val="none"/>
        </w:rPr>
        <w:t>特此声明！</w:t>
      </w:r>
    </w:p>
    <w:p>
      <w:pPr>
        <w:pStyle w:val="47"/>
        <w:spacing w:line="312" w:lineRule="auto"/>
        <w:rPr>
          <w:rFonts w:hint="eastAsia" w:ascii="宋体" w:hAnsi="宋体" w:cs="宋体"/>
          <w:color w:val="auto"/>
          <w:highlight w:val="none"/>
        </w:rPr>
      </w:pPr>
    </w:p>
    <w:p>
      <w:pPr>
        <w:pStyle w:val="47"/>
        <w:spacing w:line="312" w:lineRule="auto"/>
        <w:rPr>
          <w:rFonts w:hint="eastAsia" w:ascii="宋体" w:hAnsi="宋体" w:cs="宋体"/>
          <w:color w:val="auto"/>
          <w:kern w:val="0"/>
          <w:highlight w:val="none"/>
        </w:rPr>
      </w:pPr>
      <w:r>
        <w:rPr>
          <w:rFonts w:hint="eastAsia" w:ascii="宋体" w:hAnsi="宋体" w:cs="宋体"/>
          <w:color w:val="auto"/>
          <w:kern w:val="0"/>
          <w:highlight w:val="none"/>
        </w:rPr>
        <w:t xml:space="preserve">                                         投标单位：（盖章）</w:t>
      </w:r>
    </w:p>
    <w:p>
      <w:pPr>
        <w:widowControl/>
        <w:spacing w:line="312" w:lineRule="auto"/>
        <w:rPr>
          <w:rFonts w:hint="eastAsia" w:ascii="宋体" w:hAnsi="宋体" w:cs="宋体"/>
          <w:color w:val="auto"/>
          <w:kern w:val="0"/>
          <w:highlight w:val="none"/>
        </w:rPr>
      </w:pPr>
      <w:r>
        <w:rPr>
          <w:rFonts w:hint="eastAsia" w:ascii="宋体" w:hAnsi="宋体" w:cs="宋体"/>
          <w:color w:val="auto"/>
          <w:kern w:val="0"/>
          <w:highlight w:val="none"/>
        </w:rPr>
        <w:t xml:space="preserve">                                                   年  月  日</w:t>
      </w:r>
    </w:p>
    <w:p>
      <w:pPr>
        <w:tabs>
          <w:tab w:val="left" w:pos="0"/>
        </w:tabs>
        <w:spacing w:line="312" w:lineRule="auto"/>
        <w:ind w:right="-210"/>
        <w:rPr>
          <w:rFonts w:hint="eastAsia" w:ascii="宋体" w:hAnsi="宋体" w:cs="宋体"/>
          <w:color w:val="auto"/>
          <w:highlight w:val="none"/>
        </w:rPr>
      </w:pPr>
    </w:p>
    <w:p>
      <w:pPr>
        <w:tabs>
          <w:tab w:val="center" w:pos="4501"/>
          <w:tab w:val="left" w:pos="5985"/>
        </w:tabs>
        <w:spacing w:line="360" w:lineRule="exact"/>
        <w:jc w:val="center"/>
        <w:rPr>
          <w:rFonts w:hint="eastAsia" w:ascii="宋体" w:hAnsi="宋体" w:cs="宋体"/>
          <w:b/>
          <w:color w:val="auto"/>
          <w:sz w:val="28"/>
          <w:highlight w:val="none"/>
          <w:lang w:bidi="ar"/>
        </w:rPr>
      </w:pPr>
      <w:r>
        <w:rPr>
          <w:rFonts w:hint="eastAsia" w:ascii="宋体" w:hAnsi="宋体" w:cs="宋体"/>
          <w:b/>
          <w:color w:val="auto"/>
          <w:sz w:val="28"/>
          <w:highlight w:val="none"/>
          <w:lang w:bidi="ar"/>
        </w:rPr>
        <w:br w:type="page"/>
      </w:r>
      <w:r>
        <w:rPr>
          <w:rFonts w:hint="eastAsia" w:ascii="宋体" w:hAnsi="宋体" w:cs="宋体"/>
          <w:b/>
          <w:color w:val="auto"/>
          <w:sz w:val="28"/>
          <w:highlight w:val="none"/>
          <w:lang w:bidi="ar"/>
        </w:rPr>
        <w:t>B.中小企业声明函（如有）</w:t>
      </w:r>
    </w:p>
    <w:p>
      <w:pPr>
        <w:spacing w:line="360" w:lineRule="exact"/>
        <w:ind w:firstLine="480" w:firstLineChars="200"/>
        <w:rPr>
          <w:rFonts w:hint="eastAsia" w:ascii="宋体" w:hAnsi="宋体" w:cs="宋体"/>
          <w:color w:val="auto"/>
          <w:sz w:val="24"/>
          <w:highlight w:val="none"/>
        </w:rPr>
      </w:pP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lang w:bidi="ar"/>
        </w:rPr>
        <w:t>本公司郑重声明，根据《政府采购促进中小企业发展暂行办法》（财库〔2011〕181号）的规定，本公司为_____（请填写：中型、小型、微型）企业。即，本公司同时满足以下条件：</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lang w:bidi="ar"/>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lang w:bidi="ar"/>
        </w:rPr>
        <w:t>2.本公司参加__</w:t>
      </w:r>
      <w:r>
        <w:rPr>
          <w:rFonts w:hint="eastAsia" w:ascii="宋体" w:hAnsi="宋体" w:cs="宋体"/>
          <w:color w:val="auto"/>
          <w:highlight w:val="none"/>
          <w:u w:val="single"/>
          <w:lang w:bidi="ar"/>
        </w:rPr>
        <w:t>　　　　　　　　　　　</w:t>
      </w:r>
      <w:r>
        <w:rPr>
          <w:rFonts w:hint="eastAsia" w:ascii="宋体" w:hAnsi="宋体" w:cs="宋体"/>
          <w:color w:val="auto"/>
          <w:highlight w:val="none"/>
          <w:lang w:bidi="ar"/>
        </w:rPr>
        <w:t>____单位的__</w:t>
      </w:r>
      <w:r>
        <w:rPr>
          <w:rFonts w:hint="eastAsia" w:ascii="宋体" w:hAnsi="宋体" w:cs="宋体"/>
          <w:color w:val="auto"/>
          <w:highlight w:val="none"/>
          <w:u w:val="single"/>
          <w:lang w:bidi="ar"/>
        </w:rPr>
        <w:t>　　　　　　　　　　　　</w:t>
      </w:r>
      <w:r>
        <w:rPr>
          <w:rFonts w:hint="eastAsia" w:ascii="宋体" w:hAnsi="宋体" w:cs="宋体"/>
          <w:color w:val="auto"/>
          <w:highlight w:val="none"/>
          <w:lang w:bidi="ar"/>
        </w:rPr>
        <w:t>____项目采购活动，由本企业承担工程施工。</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lang w:bidi="ar"/>
        </w:rPr>
        <w:t>本公司对上述声明的真实性负责。如有虚假，将依法承担相应责任。</w:t>
      </w:r>
    </w:p>
    <w:p>
      <w:pPr>
        <w:spacing w:line="400" w:lineRule="exact"/>
        <w:rPr>
          <w:rFonts w:hint="eastAsia" w:ascii="宋体" w:hAnsi="宋体" w:cs="宋体"/>
          <w:color w:val="auto"/>
          <w:highlight w:val="none"/>
        </w:rPr>
      </w:pPr>
    </w:p>
    <w:p>
      <w:pPr>
        <w:spacing w:line="400" w:lineRule="exact"/>
        <w:ind w:firstLine="3570" w:firstLineChars="1700"/>
        <w:rPr>
          <w:rFonts w:hint="eastAsia" w:ascii="宋体" w:hAnsi="宋体" w:cs="宋体"/>
          <w:color w:val="auto"/>
          <w:highlight w:val="none"/>
          <w:u w:val="single"/>
        </w:rPr>
      </w:pPr>
      <w:r>
        <w:rPr>
          <w:rFonts w:hint="eastAsia" w:ascii="宋体" w:hAnsi="宋体" w:cs="宋体"/>
          <w:color w:val="auto"/>
          <w:highlight w:val="none"/>
          <w:lang w:bidi="ar"/>
        </w:rPr>
        <w:t>企业名称（盖章）：</w:t>
      </w:r>
      <w:r>
        <w:rPr>
          <w:rFonts w:hint="eastAsia" w:ascii="宋体" w:hAnsi="宋体" w:cs="宋体"/>
          <w:color w:val="auto"/>
          <w:highlight w:val="none"/>
          <w:u w:val="single"/>
          <w:lang w:bidi="ar"/>
        </w:rPr>
        <w:t xml:space="preserve">                             </w:t>
      </w:r>
    </w:p>
    <w:p>
      <w:pPr>
        <w:spacing w:line="360" w:lineRule="auto"/>
        <w:rPr>
          <w:rFonts w:hint="eastAsia" w:ascii="宋体" w:hAnsi="宋体" w:cs="宋体"/>
          <w:color w:val="auto"/>
          <w:highlight w:val="none"/>
        </w:rPr>
      </w:pPr>
      <w:r>
        <w:rPr>
          <w:rFonts w:hint="eastAsia" w:ascii="宋体" w:hAnsi="宋体" w:cs="宋体"/>
          <w:color w:val="auto"/>
          <w:highlight w:val="none"/>
          <w:lang w:bidi="ar"/>
        </w:rPr>
        <w:t xml:space="preserve">                                  日 　期：</w:t>
      </w:r>
      <w:r>
        <w:rPr>
          <w:rFonts w:hint="eastAsia" w:ascii="宋体" w:hAnsi="宋体" w:cs="宋体"/>
          <w:color w:val="auto"/>
          <w:highlight w:val="none"/>
          <w:u w:val="single"/>
          <w:lang w:bidi="ar"/>
        </w:rPr>
        <w:t xml:space="preserve">                                      </w:t>
      </w:r>
    </w:p>
    <w:p>
      <w:pPr>
        <w:spacing w:line="276" w:lineRule="auto"/>
        <w:jc w:val="center"/>
        <w:rPr>
          <w:rFonts w:hint="eastAsia" w:ascii="宋体" w:hAnsi="宋体" w:cs="宋体"/>
          <w:b/>
          <w:color w:val="auto"/>
          <w:sz w:val="28"/>
          <w:highlight w:val="none"/>
          <w:lang w:bidi="ar"/>
        </w:rPr>
      </w:pPr>
      <w:bookmarkStart w:id="1900" w:name="OLE_LINK13"/>
      <w:bookmarkStart w:id="1901" w:name="OLE_LINK14"/>
    </w:p>
    <w:p>
      <w:pPr>
        <w:spacing w:line="276" w:lineRule="auto"/>
        <w:jc w:val="center"/>
        <w:rPr>
          <w:rFonts w:hint="eastAsia" w:ascii="宋体" w:hAnsi="宋体" w:cs="宋体"/>
          <w:b/>
          <w:color w:val="auto"/>
          <w:sz w:val="28"/>
          <w:highlight w:val="none"/>
          <w:lang w:bidi="ar"/>
        </w:rPr>
      </w:pPr>
    </w:p>
    <w:p>
      <w:pPr>
        <w:spacing w:line="276" w:lineRule="auto"/>
        <w:jc w:val="center"/>
        <w:rPr>
          <w:b/>
          <w:color w:val="auto"/>
          <w:spacing w:val="6"/>
          <w:highlight w:val="none"/>
        </w:rPr>
      </w:pPr>
      <w:r>
        <w:rPr>
          <w:rFonts w:hint="eastAsia" w:ascii="宋体" w:hAnsi="宋体" w:cs="宋体"/>
          <w:b/>
          <w:color w:val="auto"/>
          <w:sz w:val="28"/>
          <w:highlight w:val="none"/>
          <w:lang w:bidi="ar"/>
        </w:rPr>
        <w:t>C.残疾人福利性单位声明函（如有）</w:t>
      </w:r>
    </w:p>
    <w:bookmarkEnd w:id="1900"/>
    <w:bookmarkEnd w:id="1901"/>
    <w:p>
      <w:pPr>
        <w:spacing w:line="276" w:lineRule="auto"/>
        <w:rPr>
          <w:b/>
          <w:color w:val="auto"/>
          <w:spacing w:val="6"/>
          <w:highlight w:val="none"/>
        </w:rPr>
      </w:pPr>
    </w:p>
    <w:p>
      <w:pPr>
        <w:spacing w:line="276" w:lineRule="auto"/>
        <w:ind w:firstLine="444" w:firstLineChars="200"/>
        <w:rPr>
          <w:color w:val="auto"/>
          <w:spacing w:val="6"/>
          <w:highlight w:val="none"/>
        </w:rPr>
      </w:pPr>
      <w:r>
        <w:rPr>
          <w:color w:val="auto"/>
          <w:spacing w:val="6"/>
          <w:highlight w:val="none"/>
        </w:rPr>
        <w:t>本单位郑重声明，根据《财政部 民政部 中国残疾人联合会关于促进残疾人就业政府采购政策的通知》（财库</w:t>
      </w:r>
      <w:r>
        <w:rPr>
          <w:color w:val="auto"/>
          <w:highlight w:val="none"/>
        </w:rPr>
        <w:t>〔2017〕 141</w:t>
      </w:r>
      <w:r>
        <w:rPr>
          <w:color w:val="auto"/>
          <w:spacing w:val="6"/>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276" w:lineRule="auto"/>
        <w:ind w:firstLine="444" w:firstLineChars="200"/>
        <w:rPr>
          <w:color w:val="auto"/>
          <w:spacing w:val="6"/>
          <w:highlight w:val="none"/>
        </w:rPr>
      </w:pPr>
      <w:r>
        <w:rPr>
          <w:color w:val="auto"/>
          <w:spacing w:val="6"/>
          <w:highlight w:val="none"/>
        </w:rPr>
        <w:t>本单位对上述声明的真实性负责。如有虚假，将依法承担相应责任。</w:t>
      </w:r>
    </w:p>
    <w:p>
      <w:pPr>
        <w:spacing w:line="276" w:lineRule="auto"/>
        <w:ind w:firstLine="444" w:firstLineChars="200"/>
        <w:rPr>
          <w:color w:val="auto"/>
          <w:spacing w:val="6"/>
          <w:highlight w:val="none"/>
        </w:rPr>
      </w:pPr>
    </w:p>
    <w:p>
      <w:pPr>
        <w:spacing w:line="276" w:lineRule="auto"/>
        <w:ind w:firstLine="444" w:firstLineChars="200"/>
        <w:rPr>
          <w:color w:val="auto"/>
          <w:spacing w:val="6"/>
          <w:highlight w:val="none"/>
        </w:rPr>
      </w:pPr>
    </w:p>
    <w:p>
      <w:pPr>
        <w:tabs>
          <w:tab w:val="left" w:pos="4860"/>
        </w:tabs>
        <w:spacing w:line="276" w:lineRule="auto"/>
        <w:ind w:right="1560" w:firstLine="444" w:firstLineChars="200"/>
        <w:jc w:val="center"/>
        <w:rPr>
          <w:color w:val="auto"/>
          <w:spacing w:val="6"/>
          <w:highlight w:val="none"/>
        </w:rPr>
      </w:pPr>
      <w:r>
        <w:rPr>
          <w:color w:val="auto"/>
          <w:spacing w:val="6"/>
          <w:highlight w:val="none"/>
        </w:rPr>
        <w:t>单位名称（盖章）：</w:t>
      </w:r>
    </w:p>
    <w:p>
      <w:pPr>
        <w:tabs>
          <w:tab w:val="left" w:pos="4860"/>
        </w:tabs>
        <w:spacing w:line="276" w:lineRule="auto"/>
        <w:ind w:right="1560" w:firstLine="444" w:firstLineChars="200"/>
        <w:jc w:val="center"/>
        <w:rPr>
          <w:color w:val="auto"/>
          <w:spacing w:val="6"/>
          <w:highlight w:val="none"/>
        </w:rPr>
      </w:pPr>
      <w:r>
        <w:rPr>
          <w:color w:val="auto"/>
          <w:spacing w:val="6"/>
          <w:highlight w:val="none"/>
        </w:rPr>
        <w:t>日  期：</w:t>
      </w:r>
    </w:p>
    <w:p>
      <w:pPr>
        <w:spacing w:before="120" w:beforeLines="50" w:after="120" w:afterLines="50" w:line="312" w:lineRule="auto"/>
        <w:ind w:left="772" w:leftChars="100" w:hanging="562" w:hangingChars="200"/>
        <w:jc w:val="center"/>
        <w:rPr>
          <w:rFonts w:hint="eastAsia" w:ascii="宋体" w:hAnsi="宋体" w:cs="宋体"/>
          <w:b/>
          <w:bCs/>
          <w:color w:val="auto"/>
          <w:sz w:val="28"/>
          <w:szCs w:val="28"/>
          <w:highlight w:val="none"/>
        </w:rPr>
      </w:pPr>
    </w:p>
    <w:p>
      <w:pPr>
        <w:spacing w:before="120" w:beforeLines="50" w:after="120" w:afterLines="50" w:line="312" w:lineRule="auto"/>
        <w:ind w:left="772" w:leftChars="100" w:hanging="562" w:hangingChars="200"/>
        <w:jc w:val="center"/>
        <w:rPr>
          <w:rFonts w:hint="eastAsia" w:ascii="宋体" w:hAnsi="宋体" w:cs="宋体"/>
          <w:b/>
          <w:bCs/>
          <w:color w:val="auto"/>
          <w:sz w:val="28"/>
          <w:szCs w:val="28"/>
          <w:highlight w:val="none"/>
        </w:rPr>
      </w:pPr>
    </w:p>
    <w:p>
      <w:pPr>
        <w:numPr>
          <w:ilvl w:val="0"/>
          <w:numId w:val="11"/>
        </w:numPr>
        <w:spacing w:line="276" w:lineRule="auto"/>
        <w:jc w:val="center"/>
        <w:rPr>
          <w:rFonts w:hint="eastAsia" w:ascii="宋体" w:hAnsi="宋体" w:cs="宋体"/>
          <w:b/>
          <w:color w:val="auto"/>
          <w:sz w:val="28"/>
          <w:highlight w:val="none"/>
          <w:lang w:bidi="ar"/>
        </w:rPr>
      </w:pPr>
      <w:r>
        <w:rPr>
          <w:rFonts w:hint="eastAsia" w:ascii="宋体" w:hAnsi="宋体" w:cs="宋体"/>
          <w:b/>
          <w:color w:val="auto"/>
          <w:sz w:val="28"/>
          <w:highlight w:val="none"/>
          <w:lang w:bidi="ar"/>
        </w:rPr>
        <w:t>属于监狱企业的，应当提供由省级以上监狱管理局、戒毒管理局（含新疆生产建设兵团）出具的属于监狱企业的证明文件（如有</w:t>
      </w:r>
    </w:p>
    <w:p>
      <w:pPr>
        <w:pStyle w:val="2"/>
        <w:keepNext/>
        <w:keepLines/>
        <w:widowControl w:val="0"/>
        <w:numPr>
          <w:ilvl w:val="0"/>
          <w:numId w:val="0"/>
        </w:numPr>
        <w:spacing w:before="60" w:after="60" w:line="413" w:lineRule="auto"/>
        <w:jc w:val="both"/>
        <w:outlineLvl w:val="1"/>
        <w:rPr>
          <w:color w:val="auto"/>
          <w:highlight w:val="none"/>
        </w:rPr>
      </w:pPr>
    </w:p>
    <w:p>
      <w:pPr>
        <w:rPr>
          <w:color w:val="auto"/>
          <w:highlight w:val="none"/>
        </w:rPr>
      </w:pPr>
    </w:p>
    <w:p>
      <w:pPr>
        <w:pStyle w:val="2"/>
        <w:rPr>
          <w:color w:val="auto"/>
          <w:highlight w:val="none"/>
        </w:rPr>
      </w:pPr>
    </w:p>
    <w:p>
      <w:pPr>
        <w:rPr>
          <w:color w:val="auto"/>
          <w:highlight w:val="none"/>
        </w:rPr>
      </w:pPr>
    </w:p>
    <w:p>
      <w:pPr>
        <w:pStyle w:val="2"/>
        <w:numPr>
          <w:ilvl w:val="0"/>
          <w:numId w:val="11"/>
        </w:numPr>
        <w:ind w:left="0" w:leftChars="0" w:firstLine="0" w:firstLineChars="0"/>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参加政府采购活动前3年内在经营活动中没有重大违法记录的书面声明</w:t>
      </w:r>
    </w:p>
    <w:p>
      <w:pPr>
        <w:numPr>
          <w:ilvl w:val="0"/>
          <w:numId w:val="0"/>
        </w:numPr>
        <w:ind w:leftChars="0"/>
        <w:jc w:val="center"/>
        <w:rPr>
          <w:rFonts w:hint="eastAsia"/>
          <w:b/>
          <w:bCs/>
          <w:color w:val="auto"/>
          <w:sz w:val="24"/>
          <w:szCs w:val="24"/>
          <w:highlight w:val="none"/>
          <w:lang w:val="en-US" w:eastAsia="zh-CN"/>
        </w:rPr>
      </w:pPr>
      <w:r>
        <w:rPr>
          <w:rFonts w:hint="eastAsia"/>
          <w:b/>
          <w:bCs/>
          <w:color w:val="auto"/>
          <w:sz w:val="24"/>
          <w:szCs w:val="24"/>
          <w:highlight w:val="none"/>
          <w:lang w:val="en-US" w:eastAsia="zh-CN"/>
        </w:rPr>
        <w:t>投标声明</w:t>
      </w:r>
    </w:p>
    <w:p>
      <w:pPr>
        <w:numPr>
          <w:ilvl w:val="0"/>
          <w:numId w:val="0"/>
        </w:numPr>
        <w:spacing w:line="360" w:lineRule="auto"/>
        <w:ind w:leftChars="0"/>
        <w:rPr>
          <w:rFonts w:hint="eastAsia"/>
          <w:color w:val="auto"/>
          <w:highlight w:val="none"/>
          <w:lang w:val="en-US" w:eastAsia="zh-CN"/>
        </w:rPr>
      </w:pPr>
      <w:r>
        <w:rPr>
          <w:rFonts w:hint="eastAsia"/>
          <w:color w:val="auto"/>
          <w:highlight w:val="none"/>
          <w:lang w:val="en-US" w:eastAsia="zh-CN"/>
        </w:rPr>
        <w:t>（采购人名称）：</w:t>
      </w:r>
    </w:p>
    <w:p>
      <w:pPr>
        <w:numPr>
          <w:ilvl w:val="0"/>
          <w:numId w:val="0"/>
        </w:numPr>
        <w:spacing w:line="360" w:lineRule="auto"/>
        <w:ind w:leftChars="0"/>
        <w:rPr>
          <w:rFonts w:hint="eastAsia"/>
          <w:color w:val="auto"/>
          <w:highlight w:val="none"/>
          <w:lang w:val="en-US" w:eastAsia="zh-CN"/>
        </w:rPr>
      </w:pPr>
      <w:r>
        <w:rPr>
          <w:rFonts w:hint="eastAsia"/>
          <w:color w:val="auto"/>
          <w:highlight w:val="none"/>
          <w:lang w:val="en-US" w:eastAsia="zh-CN"/>
        </w:rPr>
        <w:t>我方参加贵单位组织</w:t>
      </w:r>
      <w:r>
        <w:rPr>
          <w:rFonts w:hint="eastAsia"/>
          <w:color w:val="auto"/>
          <w:highlight w:val="none"/>
          <w:u w:val="single"/>
          <w:lang w:val="en-US" w:eastAsia="zh-CN"/>
        </w:rPr>
        <w:t xml:space="preserve">         </w:t>
      </w:r>
      <w:r>
        <w:rPr>
          <w:rFonts w:hint="eastAsia"/>
          <w:color w:val="auto"/>
          <w:highlight w:val="none"/>
          <w:lang w:val="en-US" w:eastAsia="zh-CN"/>
        </w:rPr>
        <w:t>项目（项目编号：</w:t>
      </w:r>
      <w:r>
        <w:rPr>
          <w:rFonts w:hint="eastAsia"/>
          <w:color w:val="auto"/>
          <w:highlight w:val="none"/>
          <w:u w:val="single"/>
          <w:lang w:val="en-US" w:eastAsia="zh-CN"/>
        </w:rPr>
        <w:t xml:space="preserve">         </w:t>
      </w:r>
      <w:r>
        <w:rPr>
          <w:rFonts w:hint="eastAsia"/>
          <w:color w:val="auto"/>
          <w:highlight w:val="none"/>
          <w:lang w:val="en-US" w:eastAsia="zh-CN"/>
        </w:rPr>
        <w:t xml:space="preserve">）的政府采购活动。我方在此郑重声明： </w:t>
      </w:r>
    </w:p>
    <w:p>
      <w:pPr>
        <w:numPr>
          <w:ilvl w:val="0"/>
          <w:numId w:val="0"/>
        </w:numPr>
        <w:spacing w:line="360" w:lineRule="auto"/>
        <w:ind w:leftChars="0" w:firstLine="420" w:firstLineChars="200"/>
        <w:rPr>
          <w:rFonts w:hint="eastAsia"/>
          <w:color w:val="auto"/>
          <w:highlight w:val="none"/>
          <w:lang w:val="en-US" w:eastAsia="zh-CN"/>
        </w:rPr>
      </w:pPr>
      <w:r>
        <w:rPr>
          <w:rFonts w:hint="eastAsia"/>
          <w:color w:val="auto"/>
          <w:highlight w:val="none"/>
          <w:lang w:val="en-US" w:eastAsia="zh-CN"/>
        </w:rPr>
        <w:t xml:space="preserve">1.我方参加本项目的政府采购活动前三年内在经营活动中没有重大违法记录（重大违法记录是指投 标人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投标人资格条件，我方对此声明负全部法律责任。 </w:t>
      </w:r>
    </w:p>
    <w:p>
      <w:pPr>
        <w:numPr>
          <w:ilvl w:val="0"/>
          <w:numId w:val="0"/>
        </w:numPr>
        <w:spacing w:line="360" w:lineRule="auto"/>
        <w:ind w:leftChars="0" w:firstLine="420" w:firstLineChars="200"/>
        <w:rPr>
          <w:rFonts w:hint="eastAsia"/>
          <w:color w:val="auto"/>
          <w:highlight w:val="none"/>
          <w:lang w:val="en-US" w:eastAsia="zh-CN"/>
        </w:rPr>
      </w:pPr>
      <w:r>
        <w:rPr>
          <w:rFonts w:hint="eastAsia"/>
          <w:color w:val="auto"/>
          <w:highlight w:val="none"/>
          <w:lang w:val="en-US" w:eastAsia="zh-CN"/>
        </w:rPr>
        <w:t xml:space="preserve">2. 我方承诺符合《中华人民共和国政府采购法》第二十二条规定： </w:t>
      </w:r>
    </w:p>
    <w:p>
      <w:pPr>
        <w:numPr>
          <w:ilvl w:val="0"/>
          <w:numId w:val="0"/>
        </w:numPr>
        <w:spacing w:line="360" w:lineRule="auto"/>
        <w:ind w:leftChars="0" w:firstLine="420" w:firstLineChars="200"/>
        <w:rPr>
          <w:rFonts w:hint="eastAsia"/>
          <w:color w:val="auto"/>
          <w:highlight w:val="none"/>
          <w:lang w:val="en-US" w:eastAsia="zh-CN"/>
        </w:rPr>
      </w:pPr>
      <w:r>
        <w:rPr>
          <w:rFonts w:hint="eastAsia"/>
          <w:color w:val="auto"/>
          <w:highlight w:val="none"/>
          <w:lang w:val="en-US" w:eastAsia="zh-CN"/>
        </w:rPr>
        <w:t xml:space="preserve">（一）具有独立承担民事责任的能力； </w:t>
      </w:r>
    </w:p>
    <w:p>
      <w:pPr>
        <w:numPr>
          <w:ilvl w:val="0"/>
          <w:numId w:val="0"/>
        </w:numPr>
        <w:spacing w:line="360" w:lineRule="auto"/>
        <w:ind w:leftChars="0" w:firstLine="420" w:firstLineChars="200"/>
        <w:rPr>
          <w:rFonts w:hint="eastAsia"/>
          <w:color w:val="auto"/>
          <w:highlight w:val="none"/>
          <w:lang w:val="en-US" w:eastAsia="zh-CN"/>
        </w:rPr>
      </w:pPr>
      <w:r>
        <w:rPr>
          <w:rFonts w:hint="eastAsia"/>
          <w:color w:val="auto"/>
          <w:highlight w:val="none"/>
          <w:lang w:val="en-US" w:eastAsia="zh-CN"/>
        </w:rPr>
        <w:t xml:space="preserve">（二）具有良好的商业信誉和健全的财务会计制度； </w:t>
      </w:r>
    </w:p>
    <w:p>
      <w:pPr>
        <w:numPr>
          <w:ilvl w:val="0"/>
          <w:numId w:val="0"/>
        </w:numPr>
        <w:spacing w:line="360" w:lineRule="auto"/>
        <w:ind w:leftChars="0" w:firstLine="420" w:firstLineChars="200"/>
        <w:rPr>
          <w:rFonts w:hint="eastAsia"/>
          <w:color w:val="auto"/>
          <w:highlight w:val="none"/>
          <w:lang w:val="en-US" w:eastAsia="zh-CN"/>
        </w:rPr>
      </w:pPr>
      <w:r>
        <w:rPr>
          <w:rFonts w:hint="eastAsia"/>
          <w:color w:val="auto"/>
          <w:highlight w:val="none"/>
          <w:lang w:val="en-US" w:eastAsia="zh-CN"/>
        </w:rPr>
        <w:t xml:space="preserve">（三）具有履行合同所必需的设备和专业技术能力； </w:t>
      </w:r>
    </w:p>
    <w:p>
      <w:pPr>
        <w:numPr>
          <w:ilvl w:val="0"/>
          <w:numId w:val="0"/>
        </w:numPr>
        <w:spacing w:line="360" w:lineRule="auto"/>
        <w:ind w:leftChars="0" w:firstLine="420" w:firstLineChars="200"/>
        <w:rPr>
          <w:rFonts w:hint="eastAsia"/>
          <w:color w:val="auto"/>
          <w:highlight w:val="none"/>
          <w:lang w:val="en-US" w:eastAsia="zh-CN"/>
        </w:rPr>
      </w:pPr>
      <w:r>
        <w:rPr>
          <w:rFonts w:hint="eastAsia"/>
          <w:color w:val="auto"/>
          <w:highlight w:val="none"/>
          <w:lang w:val="en-US" w:eastAsia="zh-CN"/>
        </w:rPr>
        <w:t xml:space="preserve">（四）有依法缴纳税收和社会保障资金的良好记录； </w:t>
      </w:r>
    </w:p>
    <w:p>
      <w:pPr>
        <w:numPr>
          <w:ilvl w:val="0"/>
          <w:numId w:val="0"/>
        </w:numPr>
        <w:spacing w:line="360" w:lineRule="auto"/>
        <w:ind w:leftChars="0" w:firstLine="420" w:firstLineChars="200"/>
        <w:rPr>
          <w:rFonts w:hint="eastAsia"/>
          <w:color w:val="auto"/>
          <w:highlight w:val="none"/>
          <w:lang w:val="en-US" w:eastAsia="zh-CN"/>
        </w:rPr>
      </w:pPr>
      <w:r>
        <w:rPr>
          <w:rFonts w:hint="eastAsia"/>
          <w:color w:val="auto"/>
          <w:highlight w:val="none"/>
          <w:lang w:val="en-US" w:eastAsia="zh-CN"/>
        </w:rPr>
        <w:t xml:space="preserve">（五）参加政府采购活动前三年内，在经营活动中没有重大违法记录； </w:t>
      </w:r>
    </w:p>
    <w:p>
      <w:pPr>
        <w:numPr>
          <w:ilvl w:val="0"/>
          <w:numId w:val="0"/>
        </w:numPr>
        <w:spacing w:line="360" w:lineRule="auto"/>
        <w:ind w:leftChars="0" w:firstLine="420" w:firstLineChars="200"/>
        <w:rPr>
          <w:rFonts w:hint="eastAsia"/>
          <w:color w:val="auto"/>
          <w:highlight w:val="none"/>
          <w:lang w:val="en-US" w:eastAsia="zh-CN"/>
        </w:rPr>
      </w:pPr>
      <w:r>
        <w:rPr>
          <w:rFonts w:hint="eastAsia"/>
          <w:color w:val="auto"/>
          <w:highlight w:val="none"/>
          <w:lang w:val="en-US" w:eastAsia="zh-CN"/>
        </w:rPr>
        <w:t xml:space="preserve">（六）法律、行政法规规定的其他条件。 </w:t>
      </w:r>
    </w:p>
    <w:p>
      <w:pPr>
        <w:numPr>
          <w:ilvl w:val="0"/>
          <w:numId w:val="0"/>
        </w:numPr>
        <w:spacing w:line="360" w:lineRule="auto"/>
        <w:ind w:leftChars="0" w:firstLine="420" w:firstLineChars="200"/>
        <w:rPr>
          <w:rFonts w:hint="eastAsia"/>
          <w:color w:val="auto"/>
          <w:highlight w:val="none"/>
          <w:lang w:val="en-US" w:eastAsia="zh-CN"/>
        </w:rPr>
      </w:pPr>
      <w:r>
        <w:rPr>
          <w:rFonts w:hint="eastAsia"/>
          <w:color w:val="auto"/>
          <w:highlight w:val="none"/>
          <w:lang w:val="en-US" w:eastAsia="zh-CN"/>
        </w:rPr>
        <w:t xml:space="preserve">3.以上事项如有虚假或者隐瞒，我方愿意承担一切后果，并不再寻求任何旨在减轻或者免除法律责任的辩解。 </w:t>
      </w:r>
    </w:p>
    <w:p>
      <w:pPr>
        <w:numPr>
          <w:ilvl w:val="0"/>
          <w:numId w:val="0"/>
        </w:numPr>
        <w:spacing w:line="360" w:lineRule="auto"/>
        <w:ind w:leftChars="0" w:firstLine="420" w:firstLineChars="200"/>
        <w:rPr>
          <w:rFonts w:hint="eastAsia"/>
          <w:color w:val="auto"/>
          <w:highlight w:val="none"/>
          <w:lang w:val="en-US" w:eastAsia="zh-CN"/>
        </w:rPr>
      </w:pPr>
      <w:r>
        <w:rPr>
          <w:rFonts w:hint="eastAsia"/>
          <w:color w:val="auto"/>
          <w:highlight w:val="none"/>
          <w:lang w:val="en-US" w:eastAsia="zh-CN"/>
        </w:rPr>
        <w:t xml:space="preserve">特此承诺。 </w:t>
      </w:r>
    </w:p>
    <w:p>
      <w:pPr>
        <w:numPr>
          <w:ilvl w:val="0"/>
          <w:numId w:val="0"/>
        </w:numPr>
        <w:spacing w:line="360" w:lineRule="auto"/>
        <w:rPr>
          <w:rFonts w:hint="eastAsia"/>
          <w:color w:val="auto"/>
          <w:highlight w:val="none"/>
          <w:lang w:val="en-US" w:eastAsia="zh-CN"/>
        </w:rPr>
      </w:pPr>
    </w:p>
    <w:p>
      <w:pPr>
        <w:numPr>
          <w:ilvl w:val="0"/>
          <w:numId w:val="0"/>
        </w:numPr>
        <w:spacing w:line="360" w:lineRule="auto"/>
        <w:rPr>
          <w:rFonts w:hint="eastAsia"/>
          <w:color w:val="auto"/>
          <w:highlight w:val="none"/>
          <w:lang w:val="en-US" w:eastAsia="zh-CN"/>
        </w:rPr>
      </w:pPr>
      <w:r>
        <w:rPr>
          <w:rFonts w:hint="eastAsia"/>
          <w:color w:val="auto"/>
          <w:highlight w:val="none"/>
          <w:lang w:val="en-US" w:eastAsia="zh-CN"/>
        </w:rPr>
        <w:t xml:space="preserve">注：如为联合体投标，盖章处须加盖联合体各方公章并由联合体各方法定代表人分别签署，否则投标无效。 </w:t>
      </w:r>
    </w:p>
    <w:p>
      <w:pPr>
        <w:numPr>
          <w:ilvl w:val="0"/>
          <w:numId w:val="0"/>
        </w:numPr>
        <w:ind w:leftChars="0"/>
        <w:jc w:val="right"/>
        <w:rPr>
          <w:rFonts w:hint="eastAsia"/>
          <w:color w:val="auto"/>
          <w:highlight w:val="none"/>
          <w:lang w:val="en-US" w:eastAsia="zh-CN"/>
        </w:rPr>
      </w:pPr>
    </w:p>
    <w:p>
      <w:pPr>
        <w:numPr>
          <w:ilvl w:val="0"/>
          <w:numId w:val="0"/>
        </w:numPr>
        <w:ind w:firstLine="5460" w:firstLineChars="2600"/>
        <w:jc w:val="left"/>
        <w:rPr>
          <w:rFonts w:hint="eastAsia"/>
          <w:color w:val="auto"/>
          <w:highlight w:val="none"/>
          <w:lang w:val="en-US" w:eastAsia="zh-CN"/>
        </w:rPr>
      </w:pPr>
      <w:r>
        <w:rPr>
          <w:rFonts w:hint="eastAsia"/>
          <w:color w:val="auto"/>
          <w:highlight w:val="none"/>
          <w:lang w:val="en-US" w:eastAsia="zh-CN"/>
        </w:rPr>
        <w:t>法定代表人签字：</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numPr>
          <w:ilvl w:val="0"/>
          <w:numId w:val="0"/>
        </w:numPr>
        <w:ind w:leftChars="0"/>
        <w:jc w:val="left"/>
        <w:rPr>
          <w:rFonts w:hint="eastAsia"/>
          <w:color w:val="auto"/>
          <w:highlight w:val="none"/>
          <w:lang w:val="en-US" w:eastAsia="zh-CN"/>
        </w:rPr>
      </w:pPr>
    </w:p>
    <w:p>
      <w:pPr>
        <w:numPr>
          <w:ilvl w:val="0"/>
          <w:numId w:val="0"/>
        </w:numPr>
        <w:spacing w:line="360" w:lineRule="auto"/>
        <w:ind w:firstLine="5460" w:firstLineChars="2600"/>
        <w:jc w:val="left"/>
        <w:rPr>
          <w:rFonts w:hint="eastAsia"/>
          <w:color w:val="auto"/>
          <w:highlight w:val="none"/>
          <w:lang w:val="en-US" w:eastAsia="zh-CN"/>
        </w:rPr>
      </w:pPr>
      <w:r>
        <w:rPr>
          <w:rFonts w:hint="eastAsia"/>
          <w:color w:val="auto"/>
          <w:highlight w:val="none"/>
          <w:lang w:val="en-US" w:eastAsia="zh-CN"/>
        </w:rPr>
        <w:t>投标人（盖公章）：</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numPr>
          <w:ilvl w:val="0"/>
          <w:numId w:val="0"/>
        </w:numPr>
        <w:spacing w:line="360" w:lineRule="auto"/>
        <w:ind w:firstLine="6300" w:firstLineChars="3000"/>
        <w:jc w:val="left"/>
        <w:rPr>
          <w:rFonts w:hint="eastAsia"/>
          <w:color w:val="auto"/>
          <w:highlight w:val="none"/>
          <w:lang w:val="en-US" w:eastAsia="zh-CN"/>
        </w:rPr>
      </w:pPr>
    </w:p>
    <w:p>
      <w:pPr>
        <w:numPr>
          <w:ilvl w:val="0"/>
          <w:numId w:val="0"/>
        </w:numPr>
        <w:spacing w:line="360" w:lineRule="auto"/>
        <w:ind w:firstLine="6300" w:firstLineChars="3000"/>
        <w:jc w:val="left"/>
        <w:rPr>
          <w:rFonts w:hint="eastAsia"/>
          <w:color w:val="auto"/>
          <w:highlight w:val="none"/>
          <w:lang w:val="en-US" w:eastAsia="zh-CN"/>
        </w:rPr>
      </w:pPr>
    </w:p>
    <w:p>
      <w:pPr>
        <w:numPr>
          <w:ilvl w:val="0"/>
          <w:numId w:val="0"/>
        </w:numPr>
        <w:spacing w:line="360" w:lineRule="auto"/>
        <w:ind w:firstLine="5460" w:firstLineChars="2600"/>
        <w:jc w:val="left"/>
        <w:rPr>
          <w:rFonts w:hint="eastAsia"/>
          <w:color w:val="auto"/>
          <w:highlight w:val="none"/>
          <w:lang w:val="en-US" w:eastAsia="zh-CN"/>
        </w:rPr>
      </w:pPr>
      <w:r>
        <w:rPr>
          <w:rFonts w:hint="eastAsia"/>
          <w:color w:val="auto"/>
          <w:highlight w:val="none"/>
          <w:lang w:val="en-US" w:eastAsia="zh-CN"/>
        </w:rPr>
        <w:t>法定代表人签字：</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numPr>
          <w:ilvl w:val="0"/>
          <w:numId w:val="0"/>
        </w:numPr>
        <w:spacing w:line="360" w:lineRule="auto"/>
        <w:ind w:firstLine="5460" w:firstLineChars="2600"/>
        <w:jc w:val="left"/>
        <w:rPr>
          <w:rFonts w:hint="eastAsia"/>
          <w:color w:val="auto"/>
          <w:highlight w:val="none"/>
          <w:lang w:val="en-US" w:eastAsia="zh-CN"/>
        </w:rPr>
      </w:pPr>
      <w:r>
        <w:rPr>
          <w:rFonts w:hint="eastAsia"/>
          <w:color w:val="auto"/>
          <w:highlight w:val="none"/>
          <w:lang w:val="en-US" w:eastAsia="zh-CN"/>
        </w:rPr>
        <w:t>投标人（盖公章）：</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numPr>
          <w:ilvl w:val="0"/>
          <w:numId w:val="0"/>
        </w:numPr>
        <w:spacing w:line="360" w:lineRule="auto"/>
        <w:ind w:leftChars="0"/>
        <w:jc w:val="left"/>
        <w:rPr>
          <w:rFonts w:hint="eastAsia"/>
          <w:color w:val="auto"/>
          <w:highlight w:val="none"/>
          <w:lang w:val="en-US" w:eastAsia="zh-CN"/>
        </w:rPr>
      </w:pPr>
    </w:p>
    <w:p>
      <w:pPr>
        <w:numPr>
          <w:ilvl w:val="0"/>
          <w:numId w:val="0"/>
        </w:numPr>
        <w:ind w:leftChars="0"/>
        <w:jc w:val="right"/>
        <w:rPr>
          <w:rFonts w:hint="eastAsia"/>
          <w:color w:val="auto"/>
          <w:highlight w:val="none"/>
          <w:lang w:val="en-US" w:eastAsia="zh-CN"/>
        </w:rPr>
      </w:pPr>
      <w:r>
        <w:rPr>
          <w:rFonts w:hint="eastAsia"/>
          <w:color w:val="auto"/>
          <w:highlight w:val="none"/>
          <w:lang w:val="en-US" w:eastAsia="zh-CN"/>
        </w:rPr>
        <w:t>年  月  日</w:t>
      </w:r>
    </w:p>
    <w:p>
      <w:pPr>
        <w:numPr>
          <w:ilvl w:val="0"/>
          <w:numId w:val="0"/>
        </w:numPr>
        <w:ind w:leftChars="0"/>
        <w:jc w:val="left"/>
        <w:rPr>
          <w:rFonts w:hint="eastAsia"/>
          <w:color w:val="auto"/>
          <w:highlight w:val="none"/>
          <w:lang w:val="en-US" w:eastAsia="zh-CN"/>
        </w:rPr>
      </w:pPr>
    </w:p>
    <w:p>
      <w:pPr>
        <w:rPr>
          <w:color w:val="auto"/>
          <w:highlight w:val="none"/>
        </w:rPr>
      </w:pPr>
    </w:p>
    <w:p>
      <w:pPr>
        <w:pStyle w:val="2"/>
        <w:rPr>
          <w:color w:val="auto"/>
          <w:highlight w:val="none"/>
        </w:rPr>
        <w:sectPr>
          <w:footerReference r:id="rId9" w:type="default"/>
          <w:pgSz w:w="11907" w:h="16840"/>
          <w:pgMar w:top="1134" w:right="1417" w:bottom="1134" w:left="1587" w:header="851" w:footer="851" w:gutter="0"/>
          <w:cols w:space="720" w:num="1"/>
          <w:docGrid w:linePitch="312" w:charSpace="0"/>
        </w:sectPr>
      </w:pPr>
    </w:p>
    <w:p>
      <w:pPr>
        <w:jc w:val="center"/>
        <w:rPr>
          <w:color w:val="auto"/>
          <w:sz w:val="28"/>
          <w:szCs w:val="28"/>
          <w:highlight w:val="none"/>
        </w:rPr>
      </w:pPr>
      <w:r>
        <w:rPr>
          <w:color w:val="auto"/>
          <w:sz w:val="28"/>
          <w:szCs w:val="28"/>
          <w:highlight w:val="none"/>
        </w:rPr>
        <w:t>（项目名称）</w:t>
      </w:r>
      <w:r>
        <w:rPr>
          <w:rFonts w:hint="eastAsia"/>
          <w:color w:val="auto"/>
          <w:sz w:val="28"/>
          <w:szCs w:val="28"/>
          <w:highlight w:val="none"/>
        </w:rPr>
        <w:t>总承包招标</w:t>
      </w:r>
    </w:p>
    <w:p>
      <w:pPr>
        <w:jc w:val="center"/>
        <w:rPr>
          <w:color w:val="auto"/>
          <w:sz w:val="28"/>
          <w:szCs w:val="28"/>
          <w:highlight w:val="none"/>
        </w:rPr>
      </w:pPr>
    </w:p>
    <w:p>
      <w:pPr>
        <w:spacing w:before="240" w:beforeLines="100"/>
        <w:jc w:val="center"/>
        <w:rPr>
          <w:color w:val="auto"/>
          <w:sz w:val="52"/>
          <w:szCs w:val="52"/>
          <w:highlight w:val="none"/>
        </w:rPr>
      </w:pPr>
      <w:r>
        <w:rPr>
          <w:color w:val="auto"/>
          <w:sz w:val="52"/>
          <w:szCs w:val="52"/>
          <w:highlight w:val="none"/>
        </w:rPr>
        <w:t>投  标  文  件</w:t>
      </w: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spacing w:line="360" w:lineRule="auto"/>
        <w:ind w:firstLine="2380" w:firstLineChars="850"/>
        <w:rPr>
          <w:color w:val="auto"/>
          <w:sz w:val="28"/>
          <w:szCs w:val="28"/>
          <w:highlight w:val="none"/>
          <w:u w:val="single"/>
        </w:rPr>
      </w:pPr>
      <w:r>
        <w:rPr>
          <w:color w:val="auto"/>
          <w:sz w:val="28"/>
          <w:szCs w:val="28"/>
          <w:highlight w:val="none"/>
        </w:rPr>
        <w:t>项目</w:t>
      </w:r>
      <w:r>
        <w:rPr>
          <w:rFonts w:hint="eastAsia"/>
          <w:color w:val="auto"/>
          <w:sz w:val="28"/>
          <w:szCs w:val="28"/>
          <w:highlight w:val="none"/>
        </w:rPr>
        <w:t>招标</w:t>
      </w:r>
      <w:r>
        <w:rPr>
          <w:color w:val="auto"/>
          <w:sz w:val="28"/>
          <w:szCs w:val="28"/>
          <w:highlight w:val="none"/>
        </w:rPr>
        <w:t>编号：</w:t>
      </w:r>
    </w:p>
    <w:p>
      <w:pPr>
        <w:jc w:val="center"/>
        <w:rPr>
          <w:color w:val="auto"/>
          <w:sz w:val="32"/>
          <w:szCs w:val="32"/>
          <w:highlight w:val="none"/>
        </w:rPr>
      </w:pPr>
    </w:p>
    <w:p>
      <w:pPr>
        <w:jc w:val="center"/>
        <w:rPr>
          <w:color w:val="auto"/>
          <w:sz w:val="32"/>
          <w:szCs w:val="32"/>
          <w:highlight w:val="none"/>
        </w:rPr>
      </w:pPr>
      <w:r>
        <w:rPr>
          <w:color w:val="auto"/>
          <w:sz w:val="32"/>
          <w:szCs w:val="32"/>
          <w:highlight w:val="none"/>
        </w:rPr>
        <w:t>（正本/副本）</w:t>
      </w:r>
    </w:p>
    <w:p>
      <w:pPr>
        <w:rPr>
          <w:color w:val="auto"/>
          <w:sz w:val="32"/>
          <w:szCs w:val="32"/>
          <w:highlight w:val="none"/>
        </w:rPr>
      </w:pP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spacing w:line="360" w:lineRule="auto"/>
        <w:rPr>
          <w:color w:val="auto"/>
          <w:sz w:val="28"/>
          <w:szCs w:val="28"/>
          <w:highlight w:val="none"/>
          <w:u w:val="single"/>
        </w:rPr>
      </w:pPr>
      <w:r>
        <w:rPr>
          <w:color w:val="auto"/>
          <w:sz w:val="28"/>
          <w:szCs w:val="28"/>
          <w:highlight w:val="none"/>
        </w:rPr>
        <w:t>投标内容：</w:t>
      </w:r>
      <w:r>
        <w:rPr>
          <w:rFonts w:hint="eastAsia"/>
          <w:color w:val="auto"/>
          <w:sz w:val="28"/>
          <w:szCs w:val="28"/>
          <w:highlight w:val="none"/>
          <w:u w:val="single"/>
        </w:rPr>
        <w:t xml:space="preserve">           商务标</w:t>
      </w:r>
    </w:p>
    <w:p>
      <w:pPr>
        <w:spacing w:line="360" w:lineRule="auto"/>
        <w:rPr>
          <w:color w:val="auto"/>
          <w:sz w:val="28"/>
          <w:szCs w:val="28"/>
          <w:highlight w:val="none"/>
        </w:rPr>
      </w:pPr>
      <w:r>
        <w:rPr>
          <w:color w:val="auto"/>
          <w:sz w:val="28"/>
          <w:szCs w:val="28"/>
          <w:highlight w:val="none"/>
        </w:rPr>
        <w:t>投标人：（盖单位章）</w:t>
      </w:r>
    </w:p>
    <w:p>
      <w:pPr>
        <w:spacing w:line="360" w:lineRule="auto"/>
        <w:rPr>
          <w:color w:val="auto"/>
          <w:sz w:val="28"/>
          <w:szCs w:val="28"/>
          <w:highlight w:val="none"/>
        </w:rPr>
      </w:pPr>
      <w:r>
        <w:rPr>
          <w:color w:val="auto"/>
          <w:sz w:val="28"/>
          <w:szCs w:val="28"/>
          <w:highlight w:val="none"/>
        </w:rPr>
        <w:t>法定代表人或其委托代理人：（签字</w:t>
      </w:r>
      <w:r>
        <w:rPr>
          <w:rFonts w:hint="eastAsia"/>
          <w:color w:val="auto"/>
          <w:sz w:val="28"/>
          <w:szCs w:val="28"/>
          <w:highlight w:val="none"/>
        </w:rPr>
        <w:t>或盖章</w:t>
      </w:r>
      <w:r>
        <w:rPr>
          <w:color w:val="auto"/>
          <w:sz w:val="28"/>
          <w:szCs w:val="28"/>
          <w:highlight w:val="none"/>
        </w:rPr>
        <w:t>）</w:t>
      </w:r>
    </w:p>
    <w:p>
      <w:pPr>
        <w:spacing w:line="360" w:lineRule="auto"/>
        <w:ind w:firstLine="1400" w:firstLineChars="500"/>
        <w:rPr>
          <w:color w:val="auto"/>
          <w:sz w:val="28"/>
          <w:szCs w:val="28"/>
          <w:highlight w:val="none"/>
        </w:rPr>
      </w:pPr>
      <w:r>
        <w:rPr>
          <w:color w:val="auto"/>
          <w:sz w:val="28"/>
          <w:szCs w:val="28"/>
          <w:highlight w:val="none"/>
        </w:rPr>
        <w:t>年月日</w:t>
      </w:r>
    </w:p>
    <w:p>
      <w:pPr>
        <w:spacing w:line="400" w:lineRule="exact"/>
        <w:rPr>
          <w:color w:val="auto"/>
          <w:highlight w:val="none"/>
        </w:rPr>
      </w:pPr>
      <w:r>
        <w:rPr>
          <w:color w:val="auto"/>
          <w:highlight w:val="none"/>
        </w:rPr>
        <w:br w:type="page"/>
      </w:r>
    </w:p>
    <w:p>
      <w:pPr>
        <w:spacing w:line="400" w:lineRule="exact"/>
        <w:ind w:firstLine="420"/>
        <w:jc w:val="center"/>
        <w:rPr>
          <w:b/>
          <w:color w:val="auto"/>
          <w:sz w:val="28"/>
          <w:szCs w:val="28"/>
          <w:highlight w:val="none"/>
        </w:rPr>
      </w:pPr>
      <w:r>
        <w:rPr>
          <w:rFonts w:hint="eastAsia"/>
          <w:b/>
          <w:color w:val="auto"/>
          <w:sz w:val="28"/>
          <w:szCs w:val="28"/>
          <w:highlight w:val="none"/>
        </w:rPr>
        <w:t>目 录</w:t>
      </w:r>
    </w:p>
    <w:p>
      <w:pPr>
        <w:spacing w:line="400" w:lineRule="exact"/>
        <w:ind w:firstLine="420"/>
        <w:rPr>
          <w:color w:val="auto"/>
          <w:highlight w:val="none"/>
        </w:rPr>
      </w:pPr>
    </w:p>
    <w:p>
      <w:pPr>
        <w:spacing w:line="360" w:lineRule="auto"/>
        <w:ind w:firstLine="420"/>
        <w:rPr>
          <w:rFonts w:ascii="宋体" w:hAnsi="宋体"/>
          <w:color w:val="auto"/>
          <w:sz w:val="24"/>
          <w:highlight w:val="none"/>
        </w:rPr>
      </w:pPr>
      <w:r>
        <w:rPr>
          <w:rFonts w:hint="eastAsia" w:ascii="宋体" w:hAnsi="宋体"/>
          <w:color w:val="auto"/>
          <w:sz w:val="24"/>
          <w:highlight w:val="none"/>
        </w:rPr>
        <w:t>1、投标函</w:t>
      </w:r>
    </w:p>
    <w:p>
      <w:pPr>
        <w:spacing w:line="360" w:lineRule="auto"/>
        <w:ind w:firstLine="420"/>
        <w:rPr>
          <w:rFonts w:ascii="宋体" w:hAnsi="宋体"/>
          <w:color w:val="auto"/>
          <w:sz w:val="24"/>
          <w:highlight w:val="none"/>
        </w:rPr>
      </w:pPr>
      <w:r>
        <w:rPr>
          <w:rFonts w:hint="eastAsia" w:ascii="宋体" w:hAnsi="宋体"/>
          <w:color w:val="auto"/>
          <w:sz w:val="24"/>
          <w:highlight w:val="none"/>
        </w:rPr>
        <w:t>2、投标函附录</w:t>
      </w:r>
    </w:p>
    <w:p>
      <w:pPr>
        <w:spacing w:line="360" w:lineRule="auto"/>
        <w:ind w:firstLine="420"/>
        <w:rPr>
          <w:rFonts w:ascii="宋体" w:hAnsi="宋体"/>
          <w:color w:val="auto"/>
          <w:sz w:val="24"/>
          <w:highlight w:val="none"/>
        </w:rPr>
      </w:pPr>
      <w:r>
        <w:rPr>
          <w:rFonts w:hint="eastAsia" w:ascii="宋体" w:hAnsi="宋体"/>
          <w:color w:val="auto"/>
          <w:sz w:val="24"/>
          <w:highlight w:val="none"/>
        </w:rPr>
        <w:t>3、投标报价汇总一览表</w:t>
      </w:r>
    </w:p>
    <w:p>
      <w:pPr>
        <w:spacing w:line="360" w:lineRule="auto"/>
        <w:ind w:firstLine="420"/>
        <w:rPr>
          <w:rFonts w:ascii="宋体" w:hAnsi="宋体"/>
          <w:color w:val="auto"/>
          <w:sz w:val="24"/>
          <w:highlight w:val="none"/>
        </w:rPr>
      </w:pPr>
      <w:r>
        <w:rPr>
          <w:rFonts w:hint="eastAsia" w:ascii="宋体" w:hAnsi="宋体"/>
          <w:color w:val="auto"/>
          <w:sz w:val="24"/>
          <w:highlight w:val="none"/>
        </w:rPr>
        <w:t>4、主要材料设备清单</w:t>
      </w:r>
    </w:p>
    <w:p>
      <w:pPr>
        <w:spacing w:line="360" w:lineRule="auto"/>
        <w:ind w:firstLine="420"/>
        <w:rPr>
          <w:rFonts w:ascii="宋体" w:hAnsi="宋体"/>
          <w:color w:val="auto"/>
          <w:sz w:val="24"/>
          <w:highlight w:val="none"/>
        </w:rPr>
      </w:pPr>
      <w:r>
        <w:rPr>
          <w:rFonts w:hint="eastAsia" w:ascii="宋体" w:hAnsi="宋体"/>
          <w:color w:val="auto"/>
          <w:sz w:val="24"/>
          <w:highlight w:val="none"/>
        </w:rPr>
        <w:t>5、投标人认为应提交的其他投标资料</w:t>
      </w:r>
    </w:p>
    <w:p>
      <w:pPr>
        <w:spacing w:line="400" w:lineRule="exact"/>
        <w:rPr>
          <w:color w:val="auto"/>
          <w:highlight w:val="none"/>
        </w:rPr>
      </w:pPr>
      <w:r>
        <w:rPr>
          <w:color w:val="auto"/>
          <w:highlight w:val="none"/>
        </w:rPr>
        <w:br w:type="page"/>
      </w:r>
    </w:p>
    <w:p>
      <w:pPr>
        <w:pStyle w:val="4"/>
        <w:adjustRightInd w:val="0"/>
        <w:snapToGrid w:val="0"/>
        <w:spacing w:before="0" w:after="0" w:line="360" w:lineRule="auto"/>
        <w:jc w:val="center"/>
        <w:rPr>
          <w:rFonts w:ascii="宋体" w:hAnsi="宋体"/>
          <w:color w:val="auto"/>
          <w:kern w:val="0"/>
          <w:sz w:val="21"/>
          <w:szCs w:val="21"/>
          <w:highlight w:val="none"/>
        </w:rPr>
      </w:pPr>
      <w:bookmarkStart w:id="1902" w:name="_Toc152042577"/>
      <w:bookmarkStart w:id="1903" w:name="_Toc247514247"/>
      <w:bookmarkStart w:id="1904" w:name="_Toc404006883"/>
      <w:bookmarkStart w:id="1905" w:name="_Toc402532186"/>
      <w:bookmarkStart w:id="1906" w:name="_Toc152045788"/>
      <w:bookmarkStart w:id="1907" w:name="_Toc144974857"/>
      <w:bookmarkStart w:id="1908" w:name="_Toc247527828"/>
      <w:bookmarkStart w:id="1909" w:name="_Toc521019527"/>
      <w:bookmarkStart w:id="1910" w:name="_Toc512416587"/>
      <w:bookmarkStart w:id="1911" w:name="_Toc491076970"/>
      <w:bookmarkStart w:id="1912" w:name="_Toc487415662"/>
      <w:bookmarkStart w:id="1913" w:name="_Toc512407875"/>
      <w:bookmarkStart w:id="1914" w:name="_Toc22314"/>
      <w:bookmarkStart w:id="1915" w:name="_Toc144974859"/>
      <w:bookmarkStart w:id="1916" w:name="_Toc152045790"/>
      <w:bookmarkStart w:id="1917" w:name="_Toc247527830"/>
      <w:bookmarkStart w:id="1918" w:name="_Toc152042579"/>
      <w:bookmarkStart w:id="1919" w:name="_Toc247514249"/>
      <w:r>
        <w:rPr>
          <w:rFonts w:hint="eastAsia" w:ascii="宋体" w:hAnsi="宋体"/>
          <w:color w:val="auto"/>
          <w:kern w:val="0"/>
          <w:sz w:val="21"/>
          <w:szCs w:val="21"/>
          <w:highlight w:val="none"/>
        </w:rPr>
        <w:t>1</w:t>
      </w:r>
      <w:r>
        <w:rPr>
          <w:rFonts w:ascii="宋体" w:hAnsi="宋体"/>
          <w:color w:val="auto"/>
          <w:kern w:val="0"/>
          <w:sz w:val="21"/>
          <w:szCs w:val="21"/>
          <w:highlight w:val="none"/>
        </w:rPr>
        <w:t>、投标函</w:t>
      </w:r>
      <w:bookmarkEnd w:id="1902"/>
      <w:bookmarkEnd w:id="1903"/>
      <w:bookmarkEnd w:id="1904"/>
      <w:bookmarkEnd w:id="1905"/>
      <w:bookmarkEnd w:id="1906"/>
      <w:bookmarkEnd w:id="1907"/>
      <w:bookmarkEnd w:id="1908"/>
      <w:r>
        <w:rPr>
          <w:rFonts w:hint="eastAsia" w:ascii="宋体" w:hAnsi="宋体"/>
          <w:color w:val="auto"/>
          <w:kern w:val="0"/>
          <w:sz w:val="21"/>
          <w:szCs w:val="21"/>
          <w:highlight w:val="none"/>
        </w:rPr>
        <w:t>（非联合体格式）</w:t>
      </w:r>
      <w:bookmarkEnd w:id="1909"/>
      <w:bookmarkEnd w:id="1910"/>
      <w:bookmarkEnd w:id="1911"/>
      <w:bookmarkEnd w:id="1912"/>
      <w:bookmarkEnd w:id="1913"/>
      <w:bookmarkEnd w:id="1914"/>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（招标人名称）：</w:t>
      </w:r>
    </w:p>
    <w:p>
      <w:pPr>
        <w:numPr>
          <w:ilvl w:val="0"/>
          <w:numId w:val="12"/>
        </w:numPr>
        <w:adjustRightInd w:val="0"/>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我方已仔细研究了</w:t>
      </w:r>
      <w:r>
        <w:rPr>
          <w:rFonts w:hint="eastAsia" w:ascii="宋体" w:hAnsi="宋体"/>
          <w:color w:val="auto"/>
          <w:szCs w:val="21"/>
          <w:highlight w:val="none"/>
        </w:rPr>
        <w:t>你方项目编号为（</w:t>
      </w:r>
      <w:r>
        <w:rPr>
          <w:rFonts w:ascii="宋体" w:hAnsi="宋体"/>
          <w:color w:val="auto"/>
          <w:highlight w:val="none"/>
          <w:u w:val="single"/>
        </w:rPr>
        <w:t>项目编号</w:t>
      </w:r>
      <w:r>
        <w:rPr>
          <w:rFonts w:hint="eastAsia" w:ascii="宋体" w:hAnsi="宋体"/>
          <w:color w:val="auto"/>
          <w:szCs w:val="21"/>
          <w:highlight w:val="none"/>
        </w:rPr>
        <w:t>）的</w:t>
      </w:r>
      <w:r>
        <w:rPr>
          <w:rFonts w:ascii="宋体" w:hAnsi="宋体"/>
          <w:color w:val="auto"/>
          <w:szCs w:val="21"/>
          <w:highlight w:val="none"/>
          <w:u w:val="single"/>
        </w:rPr>
        <w:t xml:space="preserve">     （项目名称）</w:t>
      </w:r>
      <w:r>
        <w:rPr>
          <w:rFonts w:ascii="宋体" w:hAnsi="宋体"/>
          <w:color w:val="auto"/>
          <w:szCs w:val="21"/>
          <w:highlight w:val="none"/>
        </w:rPr>
        <w:t>招标文件的全部内容，</w:t>
      </w:r>
      <w:r>
        <w:rPr>
          <w:rFonts w:hint="eastAsia" w:ascii="宋体" w:hAnsi="宋体"/>
          <w:color w:val="auto"/>
          <w:szCs w:val="21"/>
          <w:highlight w:val="none"/>
        </w:rPr>
        <w:t>愿意以人民币</w:t>
      </w:r>
      <w:r>
        <w:rPr>
          <w:rFonts w:hint="eastAsia" w:ascii="宋体" w:hAnsi="宋体"/>
          <w:color w:val="auto"/>
          <w:szCs w:val="21"/>
          <w:highlight w:val="none"/>
          <w:u w:val="single"/>
        </w:rPr>
        <w:t>（大写）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 xml:space="preserve">                  元</w:t>
      </w:r>
      <w:r>
        <w:rPr>
          <w:rFonts w:hint="eastAsia" w:ascii="宋体" w:hAnsi="宋体"/>
          <w:color w:val="auto"/>
          <w:szCs w:val="21"/>
          <w:highlight w:val="none"/>
          <w:u w:val="single"/>
        </w:rPr>
        <w:t>）</w:t>
      </w:r>
      <w:r>
        <w:rPr>
          <w:rFonts w:hint="eastAsia" w:ascii="宋体" w:hAnsi="宋体"/>
          <w:color w:val="auto"/>
          <w:szCs w:val="21"/>
          <w:highlight w:val="none"/>
        </w:rPr>
        <w:t>的工程总承包</w:t>
      </w:r>
      <w:r>
        <w:rPr>
          <w:rFonts w:hint="eastAsia" w:ascii="宋体" w:hAnsi="宋体"/>
          <w:b/>
          <w:color w:val="auto"/>
          <w:szCs w:val="21"/>
          <w:highlight w:val="none"/>
          <w:u w:val="single"/>
        </w:rPr>
        <w:t>投标总报价(①+②）</w:t>
      </w:r>
      <w:r>
        <w:rPr>
          <w:rFonts w:hint="eastAsia" w:ascii="宋体" w:hAnsi="宋体"/>
          <w:b/>
          <w:color w:val="auto"/>
          <w:szCs w:val="21"/>
          <w:highlight w:val="none"/>
          <w:u w:val="single"/>
          <w:lang w:val="en-US" w:eastAsia="zh-CN"/>
        </w:rPr>
        <w:t xml:space="preserve">        元</w:t>
      </w:r>
      <w:r>
        <w:rPr>
          <w:rFonts w:hint="eastAsia" w:ascii="宋体" w:hAnsi="宋体"/>
          <w:color w:val="auto"/>
          <w:highlight w:val="none"/>
        </w:rPr>
        <w:t>进行本项目投标</w:t>
      </w:r>
      <w:r>
        <w:rPr>
          <w:rFonts w:hint="eastAsia" w:ascii="宋体" w:hAnsi="宋体"/>
          <w:color w:val="auto"/>
          <w:szCs w:val="21"/>
          <w:highlight w:val="none"/>
        </w:rPr>
        <w:t>，并承诺按合同约定进行设计、实施和竣工承包工程，修补工程中的任何缺陷，实现工程目的。</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其中：</w:t>
      </w:r>
    </w:p>
    <w:p>
      <w:pPr>
        <w:pStyle w:val="42"/>
        <w:numPr>
          <w:ilvl w:val="-1"/>
          <w:numId w:val="0"/>
        </w:numPr>
        <w:adjustRightInd w:val="0"/>
        <w:snapToGrid w:val="0"/>
        <w:spacing w:line="360" w:lineRule="auto"/>
        <w:ind w:left="0" w:firstLine="0" w:firstLineChars="0"/>
        <w:rPr>
          <w:rFonts w:ascii="宋体" w:hAnsi="宋体"/>
          <w:color w:val="auto"/>
          <w:szCs w:val="21"/>
          <w:highlight w:val="none"/>
        </w:rPr>
      </w:pPr>
      <w:r>
        <w:rPr>
          <w:rFonts w:hint="eastAsia" w:ascii="宋体" w:hAnsi="宋体"/>
          <w:color w:val="auto"/>
          <w:szCs w:val="21"/>
          <w:highlight w:val="none"/>
          <w:lang w:eastAsia="zh-CN"/>
        </w:rPr>
        <w:t>①</w:t>
      </w:r>
      <w:r>
        <w:rPr>
          <w:rFonts w:hint="eastAsia" w:ascii="宋体" w:hAnsi="宋体"/>
          <w:color w:val="auto"/>
          <w:szCs w:val="21"/>
          <w:highlight w:val="none"/>
        </w:rPr>
        <w:t xml:space="preserve">设计费报价为 </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pStyle w:val="42"/>
        <w:numPr>
          <w:ilvl w:val="-1"/>
          <w:numId w:val="0"/>
        </w:numPr>
        <w:adjustRightInd w:val="0"/>
        <w:snapToGrid w:val="0"/>
        <w:spacing w:line="360" w:lineRule="auto"/>
        <w:ind w:left="0" w:firstLine="0" w:firstLineChars="0"/>
        <w:rPr>
          <w:rFonts w:ascii="宋体" w:hAnsi="宋体"/>
          <w:color w:val="auto"/>
          <w:szCs w:val="21"/>
          <w:highlight w:val="none"/>
        </w:rPr>
      </w:pPr>
      <w:r>
        <w:rPr>
          <w:rFonts w:hint="eastAsia" w:ascii="宋体" w:hAnsi="宋体"/>
          <w:color w:val="auto"/>
          <w:szCs w:val="21"/>
          <w:highlight w:val="none"/>
          <w:lang w:eastAsia="zh-CN"/>
        </w:rPr>
        <w:t>②</w:t>
      </w:r>
      <w:r>
        <w:rPr>
          <w:rFonts w:hint="eastAsia" w:ascii="宋体" w:hAnsi="宋体"/>
          <w:color w:val="auto"/>
          <w:szCs w:val="21"/>
          <w:highlight w:val="none"/>
        </w:rPr>
        <w:t>建筑安装工程费（含改造费）报价为</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元</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本项目暂定工程总承包合同总价</w:t>
      </w:r>
      <w:r>
        <w:rPr>
          <w:rFonts w:hint="eastAsia" w:ascii="宋体" w:hAnsi="宋体"/>
          <w:b/>
          <w:color w:val="auto"/>
          <w:szCs w:val="21"/>
          <w:highlight w:val="none"/>
          <w:u w:val="none"/>
        </w:rPr>
        <w:t>(①+②）</w:t>
      </w:r>
      <w:r>
        <w:rPr>
          <w:rFonts w:hint="eastAsia" w:ascii="宋体" w:hAnsi="宋体"/>
          <w:color w:val="auto"/>
          <w:szCs w:val="21"/>
          <w:highlight w:val="none"/>
        </w:rPr>
        <w:t>为</w:t>
      </w:r>
      <w:r>
        <w:rPr>
          <w:rFonts w:hint="eastAsia" w:ascii="宋体" w:hAnsi="宋体"/>
          <w:color w:val="auto"/>
          <w:szCs w:val="21"/>
          <w:highlight w:val="none"/>
          <w:u w:val="single"/>
        </w:rPr>
        <w:t>（大写）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 xml:space="preserve">           元</w:t>
      </w:r>
      <w:r>
        <w:rPr>
          <w:rFonts w:hint="eastAsia" w:ascii="宋体" w:hAnsi="宋体"/>
          <w:color w:val="auto"/>
          <w:szCs w:val="21"/>
          <w:highlight w:val="none"/>
        </w:rPr>
        <w:t>）。</w:t>
      </w:r>
    </w:p>
    <w:p>
      <w:pPr>
        <w:numPr>
          <w:ilvl w:val="0"/>
          <w:numId w:val="13"/>
        </w:num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承诺：项目总工期</w:t>
      </w:r>
      <w:r>
        <w:rPr>
          <w:rFonts w:hint="eastAsia" w:ascii="宋体" w:hAnsi="宋体"/>
          <w:color w:val="auto"/>
          <w:szCs w:val="21"/>
          <w:highlight w:val="none"/>
          <w:u w:val="single"/>
        </w:rPr>
        <w:t>270</w:t>
      </w:r>
      <w:r>
        <w:rPr>
          <w:rFonts w:hint="eastAsia" w:ascii="宋体" w:hAnsi="宋体"/>
          <w:color w:val="auto"/>
          <w:szCs w:val="21"/>
          <w:highlight w:val="none"/>
        </w:rPr>
        <w:t>日历天（设计工期为</w:t>
      </w:r>
      <w:r>
        <w:rPr>
          <w:rFonts w:hint="eastAsia" w:ascii="宋体" w:hAnsi="宋体"/>
          <w:color w:val="auto"/>
          <w:szCs w:val="21"/>
          <w:highlight w:val="none"/>
          <w:u w:val="single"/>
        </w:rPr>
        <w:t>30</w:t>
      </w:r>
      <w:r>
        <w:rPr>
          <w:rFonts w:hint="eastAsia" w:ascii="宋体" w:hAnsi="宋体"/>
          <w:color w:val="auto"/>
          <w:szCs w:val="21"/>
          <w:highlight w:val="none"/>
        </w:rPr>
        <w:t>日历天，施工工期为</w:t>
      </w:r>
      <w:r>
        <w:rPr>
          <w:rFonts w:hint="eastAsia" w:ascii="宋体" w:hAnsi="宋体"/>
          <w:color w:val="auto"/>
          <w:szCs w:val="21"/>
          <w:highlight w:val="none"/>
          <w:u w:val="single"/>
        </w:rPr>
        <w:t>240</w:t>
      </w:r>
      <w:r>
        <w:rPr>
          <w:rFonts w:hint="eastAsia" w:ascii="宋体" w:hAnsi="宋体"/>
          <w:color w:val="auto"/>
          <w:szCs w:val="21"/>
          <w:highlight w:val="none"/>
        </w:rPr>
        <w:t>日历天）；</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承诺设计质量标准：</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承诺施工工程质量标准：</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．我方承诺在</w:t>
      </w:r>
      <w:r>
        <w:rPr>
          <w:rFonts w:hint="eastAsia" w:ascii="宋体" w:hAnsi="宋体"/>
          <w:color w:val="auto"/>
          <w:szCs w:val="21"/>
          <w:highlight w:val="none"/>
        </w:rPr>
        <w:t>招标文件规定的</w:t>
      </w:r>
      <w:r>
        <w:rPr>
          <w:rFonts w:ascii="宋体" w:hAnsi="宋体"/>
          <w:color w:val="auto"/>
          <w:szCs w:val="21"/>
          <w:highlight w:val="none"/>
        </w:rPr>
        <w:t>投标有效期内不修改、撤销投标文件</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．如我方中标：</w:t>
      </w:r>
    </w:p>
    <w:p>
      <w:pPr>
        <w:adjustRightInd w:val="0"/>
        <w:snapToGrid w:val="0"/>
        <w:spacing w:line="360" w:lineRule="auto"/>
        <w:ind w:firstLine="718" w:firstLineChars="342"/>
        <w:rPr>
          <w:rFonts w:ascii="宋体" w:hAnsi="宋体"/>
          <w:color w:val="auto"/>
          <w:szCs w:val="21"/>
          <w:highlight w:val="none"/>
        </w:rPr>
      </w:pPr>
      <w:r>
        <w:rPr>
          <w:rFonts w:ascii="宋体" w:hAnsi="宋体"/>
          <w:color w:val="auto"/>
          <w:szCs w:val="21"/>
          <w:highlight w:val="none"/>
        </w:rPr>
        <w:t>（1）我方承诺在收到中标通知书后，在中标通知书规定的期限内与你方签订合同。</w:t>
      </w:r>
    </w:p>
    <w:p>
      <w:pPr>
        <w:adjustRightInd w:val="0"/>
        <w:snapToGrid w:val="0"/>
        <w:spacing w:line="360" w:lineRule="auto"/>
        <w:ind w:firstLine="718" w:firstLineChars="342"/>
        <w:rPr>
          <w:rFonts w:ascii="宋体" w:hAnsi="宋体"/>
          <w:color w:val="auto"/>
          <w:szCs w:val="21"/>
          <w:highlight w:val="none"/>
        </w:rPr>
      </w:pPr>
      <w:r>
        <w:rPr>
          <w:rFonts w:ascii="宋体" w:hAnsi="宋体"/>
          <w:color w:val="auto"/>
          <w:szCs w:val="21"/>
          <w:highlight w:val="none"/>
        </w:rPr>
        <w:t>（2）随同本投标函递交的投标函附录属于合同文件的组成部分。</w:t>
      </w:r>
    </w:p>
    <w:p>
      <w:pPr>
        <w:adjustRightInd w:val="0"/>
        <w:snapToGrid w:val="0"/>
        <w:spacing w:line="360" w:lineRule="auto"/>
        <w:ind w:firstLine="718" w:firstLineChars="342"/>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）我方承诺在合同约定的期限内完成并移交全部合同工程。</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highlight w:val="none"/>
        </w:rPr>
        <w:t>我方在此声明，所递交的投标文件及有关资料内容完整、真实和准确。</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lang w:val="en-US" w:eastAsia="zh-CN"/>
        </w:rPr>
        <w:t xml:space="preserve">                     </w:t>
      </w:r>
      <w:r>
        <w:rPr>
          <w:rFonts w:ascii="宋体" w:hAnsi="宋体"/>
          <w:color w:val="auto"/>
          <w:szCs w:val="21"/>
          <w:highlight w:val="none"/>
        </w:rPr>
        <w:t>（</w:t>
      </w:r>
      <w:r>
        <w:rPr>
          <w:rFonts w:hint="eastAsia" w:ascii="宋体" w:hAnsi="宋体"/>
          <w:color w:val="auto"/>
          <w:szCs w:val="21"/>
          <w:highlight w:val="none"/>
        </w:rPr>
        <w:t>其他</w:t>
      </w:r>
      <w:r>
        <w:rPr>
          <w:rFonts w:ascii="宋体" w:hAnsi="宋体"/>
          <w:color w:val="auto"/>
          <w:szCs w:val="21"/>
          <w:highlight w:val="none"/>
        </w:rPr>
        <w:t>补充说明</w:t>
      </w:r>
      <w:r>
        <w:rPr>
          <w:rFonts w:hint="eastAsia" w:ascii="宋体" w:hAnsi="宋体"/>
          <w:color w:val="auto"/>
          <w:szCs w:val="21"/>
          <w:highlight w:val="none"/>
        </w:rPr>
        <w:t>，有则填写</w:t>
      </w:r>
      <w:r>
        <w:rPr>
          <w:rFonts w:ascii="宋体" w:hAnsi="宋体"/>
          <w:color w:val="auto"/>
          <w:szCs w:val="21"/>
          <w:highlight w:val="none"/>
        </w:rPr>
        <w:t>）。</w:t>
      </w:r>
    </w:p>
    <w:p>
      <w:pPr>
        <w:spacing w:line="400" w:lineRule="exact"/>
        <w:ind w:right="-840" w:rightChars="-400"/>
        <w:rPr>
          <w:rFonts w:ascii="宋体" w:hAnsi="宋体" w:cs="宋体"/>
          <w:color w:val="auto"/>
          <w:highlight w:val="none"/>
        </w:rPr>
      </w:pPr>
      <w:r>
        <w:rPr>
          <w:rFonts w:hint="eastAsia" w:ascii="宋体" w:hAnsi="宋体" w:cs="宋体"/>
          <w:color w:val="auto"/>
          <w:highlight w:val="none"/>
        </w:rPr>
        <w:t xml:space="preserve">投标人：（盖单位章）    </w:t>
      </w:r>
    </w:p>
    <w:p>
      <w:pPr>
        <w:spacing w:line="400" w:lineRule="exact"/>
        <w:ind w:left="-420" w:leftChars="-200" w:right="-840" w:rightChars="-400" w:firstLine="420"/>
        <w:rPr>
          <w:rFonts w:ascii="宋体" w:hAnsi="宋体" w:cs="宋体"/>
          <w:color w:val="auto"/>
          <w:highlight w:val="none"/>
        </w:rPr>
      </w:pPr>
      <w:r>
        <w:rPr>
          <w:rFonts w:hint="eastAsia" w:ascii="宋体" w:hAnsi="宋体" w:cs="宋体"/>
          <w:color w:val="auto"/>
          <w:highlight w:val="none"/>
        </w:rPr>
        <w:t xml:space="preserve">法定代表人或其委托代理人（同时是专职投标员）：（签字或盖章）   </w:t>
      </w:r>
    </w:p>
    <w:p>
      <w:pPr>
        <w:spacing w:line="400" w:lineRule="exact"/>
        <w:ind w:left="-420" w:leftChars="-200" w:right="-840" w:rightChars="-400" w:firstLine="420"/>
        <w:rPr>
          <w:rFonts w:ascii="宋体" w:hAnsi="宋体" w:cs="宋体"/>
          <w:color w:val="auto"/>
          <w:highlight w:val="none"/>
        </w:rPr>
      </w:pPr>
      <w:r>
        <w:rPr>
          <w:rFonts w:hint="eastAsia" w:ascii="宋体" w:hAnsi="宋体" w:cs="宋体"/>
          <w:color w:val="auto"/>
          <w:highlight w:val="none"/>
        </w:rPr>
        <w:t>邮政编码：电话： 传真：</w:t>
      </w:r>
    </w:p>
    <w:p>
      <w:pPr>
        <w:spacing w:line="400" w:lineRule="exact"/>
        <w:ind w:left="-420" w:leftChars="-200" w:right="-840" w:rightChars="-400"/>
        <w:rPr>
          <w:rFonts w:ascii="宋体" w:hAnsi="宋体" w:cs="宋体"/>
          <w:color w:val="auto"/>
          <w:highlight w:val="none"/>
        </w:rPr>
      </w:pPr>
      <w:r>
        <w:rPr>
          <w:rFonts w:hint="eastAsia" w:ascii="宋体" w:hAnsi="宋体" w:cs="宋体"/>
          <w:color w:val="auto"/>
          <w:highlight w:val="none"/>
        </w:rPr>
        <w:t xml:space="preserve">    开户银行名称：</w:t>
      </w:r>
    </w:p>
    <w:p>
      <w:pPr>
        <w:spacing w:line="400" w:lineRule="exact"/>
        <w:ind w:left="-420" w:leftChars="-200" w:right="-840" w:rightChars="-400"/>
        <w:rPr>
          <w:rFonts w:ascii="宋体" w:hAnsi="宋体" w:cs="宋体"/>
          <w:color w:val="auto"/>
          <w:highlight w:val="none"/>
        </w:rPr>
      </w:pPr>
      <w:r>
        <w:rPr>
          <w:rFonts w:hint="eastAsia" w:ascii="宋体" w:hAnsi="宋体" w:cs="宋体"/>
          <w:color w:val="auto"/>
          <w:highlight w:val="none"/>
        </w:rPr>
        <w:t xml:space="preserve">   开户银行账号：</w:t>
      </w:r>
    </w:p>
    <w:p>
      <w:pPr>
        <w:spacing w:line="400" w:lineRule="exact"/>
        <w:ind w:left="-420" w:leftChars="-200" w:right="-840" w:rightChars="-400"/>
        <w:rPr>
          <w:rFonts w:ascii="宋体" w:hAnsi="宋体" w:cs="宋体"/>
          <w:color w:val="auto"/>
          <w:highlight w:val="none"/>
        </w:rPr>
      </w:pPr>
      <w:r>
        <w:rPr>
          <w:rFonts w:hint="eastAsia" w:ascii="宋体" w:hAnsi="宋体" w:cs="宋体"/>
          <w:color w:val="auto"/>
          <w:highlight w:val="none"/>
        </w:rPr>
        <w:t xml:space="preserve">   开户银行地址：</w:t>
      </w:r>
    </w:p>
    <w:p>
      <w:pPr>
        <w:spacing w:line="400" w:lineRule="exact"/>
        <w:ind w:left="-420" w:leftChars="-200" w:right="-840" w:rightChars="-400"/>
        <w:rPr>
          <w:rFonts w:ascii="宋体" w:hAnsi="宋体" w:cs="宋体"/>
          <w:color w:val="auto"/>
          <w:highlight w:val="none"/>
        </w:rPr>
      </w:pPr>
      <w:r>
        <w:rPr>
          <w:rFonts w:hint="eastAsia" w:ascii="宋体" w:hAnsi="宋体" w:cs="宋体"/>
          <w:color w:val="auto"/>
          <w:highlight w:val="none"/>
        </w:rPr>
        <w:t xml:space="preserve">   开户银行电话：</w:t>
      </w:r>
    </w:p>
    <w:p>
      <w:pPr>
        <w:spacing w:line="400" w:lineRule="exact"/>
        <w:ind w:left="-420" w:leftChars="-200" w:right="-840" w:rightChars="-400"/>
        <w:rPr>
          <w:rFonts w:ascii="宋体" w:hAnsi="宋体" w:cs="宋体"/>
          <w:color w:val="auto"/>
          <w:highlight w:val="none"/>
        </w:rPr>
      </w:pPr>
      <w:r>
        <w:rPr>
          <w:rFonts w:hint="eastAsia" w:ascii="宋体" w:hAnsi="宋体" w:cs="宋体"/>
          <w:color w:val="auto"/>
          <w:highlight w:val="none"/>
        </w:rPr>
        <w:t xml:space="preserve">                     日期：年月日</w:t>
      </w:r>
    </w:p>
    <w:p>
      <w:pPr>
        <w:pStyle w:val="4"/>
        <w:adjustRightInd w:val="0"/>
        <w:snapToGrid w:val="0"/>
        <w:spacing w:before="0" w:after="0" w:line="360" w:lineRule="auto"/>
        <w:jc w:val="center"/>
        <w:rPr>
          <w:rFonts w:ascii="宋体" w:hAnsi="宋体"/>
          <w:color w:val="auto"/>
          <w:kern w:val="0"/>
          <w:sz w:val="21"/>
          <w:szCs w:val="21"/>
          <w:highlight w:val="none"/>
        </w:rPr>
      </w:pPr>
      <w:r>
        <w:rPr>
          <w:rFonts w:ascii="宋体" w:hAnsi="宋体"/>
          <w:color w:val="auto"/>
          <w:highlight w:val="none"/>
        </w:rPr>
        <w:br w:type="page"/>
      </w:r>
      <w:bookmarkStart w:id="1920" w:name="_Toc11432"/>
      <w:bookmarkStart w:id="1921" w:name="_Toc521019528"/>
      <w:bookmarkStart w:id="1922" w:name="_Toc512416588"/>
      <w:bookmarkStart w:id="1923" w:name="_Toc512407876"/>
      <w:bookmarkStart w:id="1924" w:name="_Toc487415663"/>
      <w:bookmarkStart w:id="1925" w:name="_Toc491076971"/>
      <w:bookmarkStart w:id="1926" w:name="_Toc402532188"/>
      <w:bookmarkStart w:id="1927" w:name="_Toc404006885"/>
      <w:r>
        <w:rPr>
          <w:rFonts w:hint="eastAsia" w:ascii="宋体" w:hAnsi="宋体"/>
          <w:color w:val="auto"/>
          <w:kern w:val="0"/>
          <w:sz w:val="21"/>
          <w:szCs w:val="21"/>
          <w:highlight w:val="none"/>
        </w:rPr>
        <w:t>1</w:t>
      </w:r>
      <w:r>
        <w:rPr>
          <w:rFonts w:ascii="宋体" w:hAnsi="宋体"/>
          <w:color w:val="auto"/>
          <w:kern w:val="0"/>
          <w:sz w:val="21"/>
          <w:szCs w:val="21"/>
          <w:highlight w:val="none"/>
        </w:rPr>
        <w:t>、投标函</w:t>
      </w:r>
      <w:r>
        <w:rPr>
          <w:rFonts w:hint="eastAsia" w:ascii="宋体" w:hAnsi="宋体"/>
          <w:color w:val="auto"/>
          <w:kern w:val="0"/>
          <w:sz w:val="21"/>
          <w:szCs w:val="21"/>
          <w:highlight w:val="none"/>
        </w:rPr>
        <w:t>（联合体格式）</w:t>
      </w:r>
      <w:bookmarkEnd w:id="1920"/>
      <w:bookmarkEnd w:id="1921"/>
      <w:bookmarkEnd w:id="1922"/>
      <w:bookmarkEnd w:id="1923"/>
      <w:bookmarkEnd w:id="1924"/>
      <w:bookmarkEnd w:id="1925"/>
    </w:p>
    <w:p>
      <w:pPr>
        <w:adjustRightInd w:val="0"/>
        <w:snapToGrid w:val="0"/>
        <w:spacing w:line="360" w:lineRule="auto"/>
        <w:rPr>
          <w:rFonts w:ascii="宋体" w:hAnsi="宋体"/>
          <w:color w:val="auto"/>
          <w:szCs w:val="21"/>
          <w:highlight w:val="none"/>
        </w:rPr>
      </w:pPr>
      <w:r>
        <w:rPr>
          <w:rFonts w:ascii="宋体" w:hAnsi="宋体"/>
          <w:color w:val="auto"/>
          <w:szCs w:val="21"/>
          <w:highlight w:val="none"/>
        </w:rPr>
        <w:t>（招标人名称）：</w:t>
      </w:r>
    </w:p>
    <w:p>
      <w:pPr>
        <w:numPr>
          <w:ilvl w:val="-1"/>
          <w:numId w:val="0"/>
        </w:num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ascii="宋体" w:hAnsi="宋体"/>
          <w:color w:val="auto"/>
          <w:szCs w:val="21"/>
          <w:highlight w:val="none"/>
        </w:rPr>
        <w:t>我方已仔细研究了</w:t>
      </w:r>
      <w:r>
        <w:rPr>
          <w:rFonts w:hint="eastAsia" w:ascii="宋体" w:hAnsi="宋体"/>
          <w:color w:val="auto"/>
          <w:szCs w:val="21"/>
          <w:highlight w:val="none"/>
        </w:rPr>
        <w:t>你方项目编号为（</w:t>
      </w:r>
      <w:r>
        <w:rPr>
          <w:rFonts w:ascii="宋体" w:hAnsi="宋体"/>
          <w:color w:val="auto"/>
          <w:highlight w:val="none"/>
          <w:u w:val="single"/>
        </w:rPr>
        <w:t>项目编号</w:t>
      </w:r>
      <w:r>
        <w:rPr>
          <w:rFonts w:hint="eastAsia" w:ascii="宋体" w:hAnsi="宋体"/>
          <w:color w:val="auto"/>
          <w:szCs w:val="21"/>
          <w:highlight w:val="none"/>
        </w:rPr>
        <w:t>）的</w:t>
      </w:r>
      <w:r>
        <w:rPr>
          <w:rFonts w:ascii="宋体" w:hAnsi="宋体"/>
          <w:color w:val="auto"/>
          <w:szCs w:val="21"/>
          <w:highlight w:val="none"/>
          <w:u w:val="single"/>
        </w:rPr>
        <w:t xml:space="preserve">     （项目名称）</w:t>
      </w:r>
      <w:r>
        <w:rPr>
          <w:rFonts w:ascii="宋体" w:hAnsi="宋体"/>
          <w:color w:val="auto"/>
          <w:szCs w:val="21"/>
          <w:highlight w:val="none"/>
        </w:rPr>
        <w:t>招标文件的全部内容，</w:t>
      </w:r>
      <w:r>
        <w:rPr>
          <w:rFonts w:hint="eastAsia" w:ascii="宋体" w:hAnsi="宋体"/>
          <w:color w:val="auto"/>
          <w:szCs w:val="21"/>
          <w:highlight w:val="none"/>
        </w:rPr>
        <w:t>愿意以人民币（大写）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w:t>
      </w:r>
      <w:r>
        <w:rPr>
          <w:rFonts w:hint="eastAsia" w:ascii="宋体" w:hAnsi="宋体"/>
          <w:color w:val="auto"/>
          <w:szCs w:val="21"/>
          <w:highlight w:val="none"/>
          <w:u w:val="single"/>
          <w:lang w:val="en-US" w:eastAsia="zh-CN"/>
        </w:rPr>
        <w:t xml:space="preserve">          元</w:t>
      </w:r>
      <w:r>
        <w:rPr>
          <w:rFonts w:hint="eastAsia" w:ascii="宋体" w:hAnsi="宋体"/>
          <w:color w:val="auto"/>
          <w:szCs w:val="21"/>
          <w:highlight w:val="none"/>
        </w:rPr>
        <w:t>）的工程总承包</w:t>
      </w:r>
      <w:r>
        <w:rPr>
          <w:rFonts w:hint="eastAsia" w:ascii="宋体" w:hAnsi="宋体"/>
          <w:b/>
          <w:color w:val="auto"/>
          <w:szCs w:val="21"/>
          <w:highlight w:val="none"/>
          <w:u w:val="single"/>
        </w:rPr>
        <w:t>投标总报价(①+②）</w:t>
      </w:r>
      <w:r>
        <w:rPr>
          <w:rFonts w:hint="eastAsia" w:ascii="宋体" w:hAnsi="宋体"/>
          <w:b/>
          <w:color w:val="auto"/>
          <w:szCs w:val="21"/>
          <w:highlight w:val="none"/>
          <w:u w:val="single"/>
          <w:lang w:val="en-US" w:eastAsia="zh-CN"/>
        </w:rPr>
        <w:t xml:space="preserve">        元 </w:t>
      </w:r>
      <w:r>
        <w:rPr>
          <w:rFonts w:hint="eastAsia" w:ascii="宋体" w:hAnsi="宋体"/>
          <w:color w:val="auto"/>
          <w:highlight w:val="none"/>
        </w:rPr>
        <w:t>进行本项目投标</w:t>
      </w:r>
      <w:r>
        <w:rPr>
          <w:rFonts w:hint="eastAsia" w:ascii="宋体" w:hAnsi="宋体"/>
          <w:color w:val="auto"/>
          <w:szCs w:val="21"/>
          <w:highlight w:val="none"/>
        </w:rPr>
        <w:t>，并承诺按合同约定进行设计、实施和竣工承包工程，修补工程中的任何缺陷，实现工程目的。</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其中：</w:t>
      </w:r>
    </w:p>
    <w:p>
      <w:pPr>
        <w:pStyle w:val="42"/>
        <w:numPr>
          <w:ilvl w:val="-1"/>
          <w:numId w:val="0"/>
        </w:numPr>
        <w:adjustRightInd w:val="0"/>
        <w:snapToGrid w:val="0"/>
        <w:spacing w:line="360" w:lineRule="auto"/>
        <w:ind w:left="422" w:firstLine="0" w:firstLineChars="0"/>
        <w:rPr>
          <w:rFonts w:ascii="宋体" w:hAnsi="宋体"/>
          <w:color w:val="auto"/>
          <w:szCs w:val="21"/>
          <w:highlight w:val="none"/>
        </w:rPr>
      </w:pPr>
      <w:r>
        <w:rPr>
          <w:rFonts w:hint="eastAsia" w:ascii="宋体" w:hAnsi="宋体"/>
          <w:color w:val="auto"/>
          <w:szCs w:val="21"/>
          <w:highlight w:val="none"/>
          <w:lang w:eastAsia="zh-CN"/>
        </w:rPr>
        <w:t>①</w:t>
      </w:r>
      <w:r>
        <w:rPr>
          <w:rFonts w:hint="eastAsia" w:ascii="宋体" w:hAnsi="宋体"/>
          <w:color w:val="auto"/>
          <w:szCs w:val="21"/>
          <w:highlight w:val="none"/>
        </w:rPr>
        <w:t>设计费报价为</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元；；</w:t>
      </w:r>
    </w:p>
    <w:p>
      <w:pPr>
        <w:pStyle w:val="42"/>
        <w:numPr>
          <w:ilvl w:val="-1"/>
          <w:numId w:val="0"/>
        </w:numPr>
        <w:adjustRightInd w:val="0"/>
        <w:snapToGrid w:val="0"/>
        <w:spacing w:line="360" w:lineRule="auto"/>
        <w:ind w:left="422" w:firstLine="0" w:firstLineChars="0"/>
        <w:rPr>
          <w:rFonts w:ascii="宋体" w:hAnsi="宋体"/>
          <w:color w:val="auto"/>
          <w:szCs w:val="21"/>
          <w:highlight w:val="none"/>
        </w:rPr>
      </w:pPr>
      <w:r>
        <w:rPr>
          <w:rFonts w:hint="eastAsia" w:ascii="宋体" w:hAnsi="宋体"/>
          <w:color w:val="auto"/>
          <w:szCs w:val="21"/>
          <w:highlight w:val="none"/>
          <w:lang w:eastAsia="zh-CN"/>
        </w:rPr>
        <w:t>②</w:t>
      </w:r>
      <w:r>
        <w:rPr>
          <w:rFonts w:hint="eastAsia" w:ascii="宋体" w:hAnsi="宋体"/>
          <w:color w:val="auto"/>
          <w:szCs w:val="21"/>
          <w:highlight w:val="none"/>
        </w:rPr>
        <w:t>建筑安装工程费（含改造费）报价为</w:t>
      </w:r>
      <w:r>
        <w:rPr>
          <w:rFonts w:ascii="宋体" w:hAnsi="宋体"/>
          <w:color w:val="auto"/>
          <w:szCs w:val="21"/>
          <w:highlight w:val="none"/>
          <w:u w:val="single"/>
        </w:rPr>
        <w:t xml:space="preserve">     </w:t>
      </w:r>
      <w:r>
        <w:rPr>
          <w:rFonts w:hint="eastAsia" w:ascii="宋体" w:hAnsi="宋体"/>
          <w:color w:val="auto"/>
          <w:szCs w:val="21"/>
          <w:highlight w:val="none"/>
        </w:rPr>
        <w:t>元</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本项目暂定工程总承包合同总价</w:t>
      </w:r>
      <w:r>
        <w:rPr>
          <w:rFonts w:hint="eastAsia" w:ascii="宋体" w:hAnsi="宋体"/>
          <w:b/>
          <w:color w:val="auto"/>
          <w:szCs w:val="21"/>
          <w:highlight w:val="none"/>
          <w:u w:val="none"/>
        </w:rPr>
        <w:t>(①+②）</w:t>
      </w:r>
      <w:r>
        <w:rPr>
          <w:rFonts w:hint="eastAsia" w:ascii="宋体" w:hAnsi="宋体"/>
          <w:color w:val="auto"/>
          <w:szCs w:val="21"/>
          <w:highlight w:val="none"/>
        </w:rPr>
        <w:t>为（大写）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w:t>
      </w:r>
      <w:r>
        <w:rPr>
          <w:rFonts w:hint="eastAsia" w:ascii="宋体" w:hAnsi="宋体"/>
          <w:color w:val="auto"/>
          <w:szCs w:val="21"/>
          <w:highlight w:val="none"/>
          <w:u w:val="single"/>
          <w:lang w:val="en-US" w:eastAsia="zh-CN"/>
        </w:rPr>
        <w:t xml:space="preserve">          元</w:t>
      </w:r>
      <w:r>
        <w:rPr>
          <w:rFonts w:hint="eastAsia" w:ascii="宋体" w:hAnsi="宋体"/>
          <w:color w:val="auto"/>
          <w:szCs w:val="21"/>
          <w:highlight w:val="none"/>
        </w:rPr>
        <w:t>）。</w:t>
      </w:r>
    </w:p>
    <w:p>
      <w:pPr>
        <w:numPr>
          <w:ilvl w:val="-1"/>
          <w:numId w:val="0"/>
        </w:num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承诺：项目总工期</w:t>
      </w:r>
      <w:r>
        <w:rPr>
          <w:rFonts w:hint="eastAsia" w:ascii="宋体" w:hAnsi="宋体"/>
          <w:color w:val="auto"/>
          <w:szCs w:val="21"/>
          <w:highlight w:val="none"/>
          <w:u w:val="single"/>
        </w:rPr>
        <w:t>270</w:t>
      </w:r>
      <w:r>
        <w:rPr>
          <w:rFonts w:hint="eastAsia" w:ascii="宋体" w:hAnsi="宋体"/>
          <w:color w:val="auto"/>
          <w:szCs w:val="21"/>
          <w:highlight w:val="none"/>
        </w:rPr>
        <w:t>日历天（设计工期为</w:t>
      </w:r>
      <w:r>
        <w:rPr>
          <w:rFonts w:hint="eastAsia" w:ascii="宋体" w:hAnsi="宋体"/>
          <w:color w:val="auto"/>
          <w:szCs w:val="21"/>
          <w:highlight w:val="none"/>
          <w:u w:val="single"/>
        </w:rPr>
        <w:t>30</w:t>
      </w:r>
      <w:r>
        <w:rPr>
          <w:rFonts w:hint="eastAsia" w:ascii="宋体" w:hAnsi="宋体"/>
          <w:color w:val="auto"/>
          <w:szCs w:val="21"/>
          <w:highlight w:val="none"/>
        </w:rPr>
        <w:t>日历天，施工工期为</w:t>
      </w:r>
      <w:r>
        <w:rPr>
          <w:rFonts w:hint="eastAsia" w:ascii="宋体" w:hAnsi="宋体"/>
          <w:color w:val="auto"/>
          <w:szCs w:val="21"/>
          <w:highlight w:val="none"/>
          <w:u w:val="single"/>
        </w:rPr>
        <w:t xml:space="preserve"> 240 </w:t>
      </w:r>
      <w:r>
        <w:rPr>
          <w:rFonts w:hint="eastAsia" w:ascii="宋体" w:hAnsi="宋体"/>
          <w:color w:val="auto"/>
          <w:szCs w:val="21"/>
          <w:highlight w:val="none"/>
        </w:rPr>
        <w:t>日历天）；</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承诺设计质量标准：</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承诺施工工程质量标准：</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．我方承诺在</w:t>
      </w:r>
      <w:r>
        <w:rPr>
          <w:rFonts w:hint="eastAsia" w:ascii="宋体" w:hAnsi="宋体"/>
          <w:color w:val="auto"/>
          <w:szCs w:val="21"/>
          <w:highlight w:val="none"/>
        </w:rPr>
        <w:t>招标文件规定的</w:t>
      </w:r>
      <w:r>
        <w:rPr>
          <w:rFonts w:ascii="宋体" w:hAnsi="宋体"/>
          <w:color w:val="auto"/>
          <w:szCs w:val="21"/>
          <w:highlight w:val="none"/>
        </w:rPr>
        <w:t>投标有效期内不修改、撤销投标文件</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．如我方中标：</w:t>
      </w:r>
    </w:p>
    <w:p>
      <w:pPr>
        <w:adjustRightInd w:val="0"/>
        <w:snapToGrid w:val="0"/>
        <w:spacing w:line="360" w:lineRule="auto"/>
        <w:ind w:firstLine="718" w:firstLineChars="342"/>
        <w:rPr>
          <w:rFonts w:ascii="宋体" w:hAnsi="宋体"/>
          <w:color w:val="auto"/>
          <w:szCs w:val="21"/>
          <w:highlight w:val="none"/>
        </w:rPr>
      </w:pPr>
      <w:r>
        <w:rPr>
          <w:rFonts w:ascii="宋体" w:hAnsi="宋体"/>
          <w:color w:val="auto"/>
          <w:szCs w:val="21"/>
          <w:highlight w:val="none"/>
        </w:rPr>
        <w:t>（1）我方承诺在收到中标通知书后，在中标通知书规定的期限内与你方签订合同。</w:t>
      </w:r>
    </w:p>
    <w:p>
      <w:pPr>
        <w:adjustRightInd w:val="0"/>
        <w:snapToGrid w:val="0"/>
        <w:spacing w:line="360" w:lineRule="auto"/>
        <w:ind w:firstLine="718" w:firstLineChars="342"/>
        <w:rPr>
          <w:rFonts w:ascii="宋体" w:hAnsi="宋体"/>
          <w:color w:val="auto"/>
          <w:szCs w:val="21"/>
          <w:highlight w:val="none"/>
        </w:rPr>
      </w:pPr>
      <w:r>
        <w:rPr>
          <w:rFonts w:ascii="宋体" w:hAnsi="宋体"/>
          <w:color w:val="auto"/>
          <w:szCs w:val="21"/>
          <w:highlight w:val="none"/>
        </w:rPr>
        <w:t>（2）随同本投标函递交的投标函附录属于合同文件的组成部分。</w:t>
      </w:r>
    </w:p>
    <w:p>
      <w:pPr>
        <w:adjustRightInd w:val="0"/>
        <w:snapToGrid w:val="0"/>
        <w:spacing w:line="360" w:lineRule="auto"/>
        <w:ind w:firstLine="718" w:firstLineChars="342"/>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）我方承诺在合同约定的期限内完成并移交全部合同工程。</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highlight w:val="none"/>
        </w:rPr>
        <w:t>我方在此声明，所递交的投标文件及有关资料内容完整、真实和准确。</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lang w:val="en-US" w:eastAsia="zh-CN"/>
        </w:rPr>
        <w:t xml:space="preserve">                    </w:t>
      </w:r>
      <w:r>
        <w:rPr>
          <w:rFonts w:ascii="宋体" w:hAnsi="宋体"/>
          <w:color w:val="auto"/>
          <w:szCs w:val="21"/>
          <w:highlight w:val="none"/>
        </w:rPr>
        <w:t>（</w:t>
      </w:r>
      <w:r>
        <w:rPr>
          <w:rFonts w:hint="eastAsia" w:ascii="宋体" w:hAnsi="宋体"/>
          <w:color w:val="auto"/>
          <w:szCs w:val="21"/>
          <w:highlight w:val="none"/>
        </w:rPr>
        <w:t>其他</w:t>
      </w:r>
      <w:r>
        <w:rPr>
          <w:rFonts w:ascii="宋体" w:hAnsi="宋体"/>
          <w:color w:val="auto"/>
          <w:szCs w:val="21"/>
          <w:highlight w:val="none"/>
        </w:rPr>
        <w:t>补充说明</w:t>
      </w:r>
      <w:r>
        <w:rPr>
          <w:rFonts w:hint="eastAsia" w:ascii="宋体" w:hAnsi="宋体"/>
          <w:color w:val="auto"/>
          <w:szCs w:val="21"/>
          <w:highlight w:val="none"/>
        </w:rPr>
        <w:t>，有则填写</w:t>
      </w:r>
      <w:r>
        <w:rPr>
          <w:rFonts w:ascii="宋体" w:hAnsi="宋体"/>
          <w:color w:val="auto"/>
          <w:szCs w:val="21"/>
          <w:highlight w:val="none"/>
        </w:rPr>
        <w:t>）。</w:t>
      </w:r>
    </w:p>
    <w:p>
      <w:pPr>
        <w:spacing w:line="400" w:lineRule="exact"/>
        <w:ind w:left="-420" w:leftChars="-200" w:right="-840" w:rightChars="-400"/>
        <w:rPr>
          <w:rFonts w:ascii="宋体" w:hAnsi="宋体"/>
          <w:color w:val="auto"/>
          <w:highlight w:val="none"/>
          <w:u w:val="single"/>
        </w:rPr>
      </w:pPr>
      <w:r>
        <w:rPr>
          <w:rFonts w:hint="eastAsia" w:ascii="宋体" w:hAnsi="宋体"/>
          <w:color w:val="auto"/>
          <w:highlight w:val="none"/>
        </w:rPr>
        <w:t>投标</w:t>
      </w:r>
      <w:r>
        <w:rPr>
          <w:rFonts w:ascii="宋体" w:hAnsi="宋体"/>
          <w:color w:val="auto"/>
          <w:highlight w:val="none"/>
        </w:rPr>
        <w:t>人</w:t>
      </w:r>
      <w:r>
        <w:rPr>
          <w:rFonts w:hint="eastAsia" w:ascii="宋体" w:hAnsi="宋体"/>
          <w:color w:val="auto"/>
          <w:highlight w:val="none"/>
        </w:rPr>
        <w:t>（联合体成员一）</w:t>
      </w:r>
      <w:r>
        <w:rPr>
          <w:rFonts w:ascii="宋体" w:hAnsi="宋体"/>
          <w:color w:val="auto"/>
          <w:highlight w:val="none"/>
        </w:rPr>
        <w:t>：</w:t>
      </w:r>
      <w:r>
        <w:rPr>
          <w:rFonts w:ascii="宋体" w:hAnsi="宋体"/>
          <w:color w:val="auto"/>
          <w:highlight w:val="none"/>
          <w:u w:val="single"/>
        </w:rPr>
        <w:t>（盖单位章）</w:t>
      </w:r>
    </w:p>
    <w:p>
      <w:pPr>
        <w:spacing w:line="400" w:lineRule="exact"/>
        <w:ind w:left="-420" w:leftChars="-200" w:right="-840" w:rightChars="-400"/>
        <w:rPr>
          <w:rFonts w:ascii="宋体" w:hAnsi="宋体"/>
          <w:color w:val="auto"/>
          <w:highlight w:val="none"/>
        </w:rPr>
      </w:pPr>
      <w:r>
        <w:rPr>
          <w:rFonts w:ascii="宋体" w:hAnsi="宋体"/>
          <w:color w:val="auto"/>
          <w:highlight w:val="none"/>
        </w:rPr>
        <w:t>法定代表人或其委托代理人</w:t>
      </w:r>
      <w:r>
        <w:rPr>
          <w:rFonts w:hint="eastAsia" w:ascii="宋体" w:hAnsi="宋体"/>
          <w:color w:val="auto"/>
          <w:highlight w:val="none"/>
        </w:rPr>
        <w:t>（</w:t>
      </w:r>
      <w:r>
        <w:rPr>
          <w:rFonts w:ascii="宋体" w:hAnsi="宋体"/>
          <w:color w:val="auto"/>
          <w:highlight w:val="none"/>
        </w:rPr>
        <w:t>同时是专职投标员</w:t>
      </w:r>
      <w:r>
        <w:rPr>
          <w:rFonts w:hint="eastAsia" w:ascii="宋体" w:hAnsi="宋体"/>
          <w:color w:val="auto"/>
          <w:highlight w:val="none"/>
        </w:rPr>
        <w:t>）</w:t>
      </w:r>
      <w:r>
        <w:rPr>
          <w:rFonts w:ascii="宋体" w:hAnsi="宋体"/>
          <w:color w:val="auto"/>
          <w:highlight w:val="none"/>
        </w:rPr>
        <w:t>：（签字</w:t>
      </w:r>
      <w:r>
        <w:rPr>
          <w:rFonts w:hint="eastAsia" w:ascii="宋体" w:hAnsi="宋体"/>
          <w:color w:val="auto"/>
          <w:highlight w:val="none"/>
        </w:rPr>
        <w:t>或盖章</w:t>
      </w:r>
      <w:r>
        <w:rPr>
          <w:rFonts w:ascii="宋体" w:hAnsi="宋体"/>
          <w:color w:val="auto"/>
          <w:highlight w:val="none"/>
        </w:rPr>
        <w:t>）</w:t>
      </w:r>
    </w:p>
    <w:p>
      <w:pPr>
        <w:spacing w:line="400" w:lineRule="exact"/>
        <w:ind w:left="-420" w:leftChars="-200" w:right="-840" w:rightChars="-400"/>
        <w:rPr>
          <w:rFonts w:ascii="宋体" w:hAnsi="宋体"/>
          <w:color w:val="auto"/>
          <w:highlight w:val="none"/>
        </w:rPr>
      </w:pPr>
      <w:r>
        <w:rPr>
          <w:rFonts w:ascii="宋体" w:hAnsi="宋体"/>
          <w:color w:val="auto"/>
          <w:highlight w:val="none"/>
        </w:rPr>
        <w:t>邮政编码：</w:t>
      </w:r>
    </w:p>
    <w:p>
      <w:pPr>
        <w:spacing w:line="400" w:lineRule="exact"/>
        <w:ind w:left="-420" w:leftChars="-200" w:right="-840" w:rightChars="-400"/>
        <w:rPr>
          <w:rFonts w:ascii="宋体" w:hAnsi="宋体"/>
          <w:color w:val="auto"/>
          <w:highlight w:val="none"/>
        </w:rPr>
      </w:pPr>
      <w:r>
        <w:rPr>
          <w:rFonts w:ascii="宋体" w:hAnsi="宋体"/>
          <w:color w:val="auto"/>
          <w:highlight w:val="none"/>
        </w:rPr>
        <w:t xml:space="preserve">电话： </w:t>
      </w:r>
    </w:p>
    <w:p>
      <w:pPr>
        <w:spacing w:line="400" w:lineRule="exact"/>
        <w:ind w:left="-420" w:leftChars="-200" w:right="-840" w:rightChars="-400"/>
        <w:rPr>
          <w:rFonts w:ascii="宋体" w:hAnsi="宋体"/>
          <w:color w:val="auto"/>
          <w:highlight w:val="none"/>
        </w:rPr>
      </w:pPr>
      <w:r>
        <w:rPr>
          <w:rFonts w:ascii="宋体" w:hAnsi="宋体"/>
          <w:color w:val="auto"/>
          <w:highlight w:val="none"/>
        </w:rPr>
        <w:t>传真：</w:t>
      </w:r>
    </w:p>
    <w:p>
      <w:pPr>
        <w:spacing w:line="400" w:lineRule="exact"/>
        <w:ind w:left="-420" w:leftChars="-200" w:right="-840" w:rightChars="-400"/>
        <w:rPr>
          <w:rFonts w:ascii="宋体" w:hAnsi="宋体"/>
          <w:color w:val="auto"/>
          <w:highlight w:val="none"/>
        </w:rPr>
      </w:pPr>
      <w:r>
        <w:rPr>
          <w:rFonts w:ascii="宋体" w:hAnsi="宋体"/>
          <w:color w:val="auto"/>
          <w:highlight w:val="none"/>
        </w:rPr>
        <w:t>开户银行名称：</w:t>
      </w:r>
    </w:p>
    <w:p>
      <w:pPr>
        <w:spacing w:line="400" w:lineRule="exact"/>
        <w:ind w:left="-420" w:leftChars="-200" w:right="-840" w:rightChars="-400"/>
        <w:rPr>
          <w:rFonts w:ascii="宋体" w:hAnsi="宋体"/>
          <w:color w:val="auto"/>
          <w:highlight w:val="none"/>
        </w:rPr>
      </w:pPr>
      <w:r>
        <w:rPr>
          <w:rFonts w:ascii="宋体" w:hAnsi="宋体"/>
          <w:color w:val="auto"/>
          <w:highlight w:val="none"/>
        </w:rPr>
        <w:t>开户银行账号：</w:t>
      </w:r>
    </w:p>
    <w:p>
      <w:pPr>
        <w:spacing w:line="400" w:lineRule="exact"/>
        <w:ind w:left="-420" w:leftChars="-200" w:right="-840" w:rightChars="-400"/>
        <w:rPr>
          <w:rFonts w:ascii="宋体" w:hAnsi="宋体"/>
          <w:color w:val="auto"/>
          <w:highlight w:val="none"/>
        </w:rPr>
      </w:pPr>
      <w:r>
        <w:rPr>
          <w:rFonts w:ascii="宋体" w:hAnsi="宋体"/>
          <w:color w:val="auto"/>
          <w:highlight w:val="none"/>
        </w:rPr>
        <w:t>开户银行地址：</w:t>
      </w:r>
    </w:p>
    <w:p>
      <w:pPr>
        <w:spacing w:line="400" w:lineRule="exact"/>
        <w:ind w:left="-420" w:leftChars="-200" w:right="-840" w:rightChars="-400"/>
        <w:rPr>
          <w:rFonts w:ascii="宋体" w:hAnsi="宋体"/>
          <w:color w:val="auto"/>
          <w:highlight w:val="none"/>
        </w:rPr>
      </w:pPr>
      <w:r>
        <w:rPr>
          <w:rFonts w:ascii="宋体" w:hAnsi="宋体"/>
          <w:color w:val="auto"/>
          <w:highlight w:val="none"/>
        </w:rPr>
        <w:t>开户银行电话：</w:t>
      </w:r>
    </w:p>
    <w:p>
      <w:pPr>
        <w:spacing w:line="400" w:lineRule="exact"/>
        <w:ind w:left="-420" w:leftChars="-200" w:right="-840" w:rightChars="-400"/>
        <w:rPr>
          <w:rFonts w:ascii="宋体" w:hAnsi="宋体"/>
          <w:color w:val="auto"/>
          <w:highlight w:val="none"/>
        </w:rPr>
      </w:pPr>
    </w:p>
    <w:p>
      <w:pPr>
        <w:spacing w:line="400" w:lineRule="exact"/>
        <w:ind w:left="-420" w:leftChars="-200" w:right="-840" w:rightChars="-400"/>
        <w:rPr>
          <w:rFonts w:ascii="宋体" w:hAnsi="宋体"/>
          <w:color w:val="auto"/>
          <w:highlight w:val="none"/>
        </w:rPr>
      </w:pPr>
      <w:r>
        <w:rPr>
          <w:rFonts w:hint="eastAsia" w:ascii="宋体" w:hAnsi="宋体"/>
          <w:color w:val="auto"/>
          <w:highlight w:val="none"/>
        </w:rPr>
        <w:t>投标</w:t>
      </w:r>
      <w:r>
        <w:rPr>
          <w:rFonts w:ascii="宋体" w:hAnsi="宋体"/>
          <w:color w:val="auto"/>
          <w:highlight w:val="none"/>
        </w:rPr>
        <w:t>人</w:t>
      </w:r>
      <w:r>
        <w:rPr>
          <w:rFonts w:hint="eastAsia" w:ascii="宋体" w:hAnsi="宋体"/>
          <w:color w:val="auto"/>
          <w:highlight w:val="none"/>
        </w:rPr>
        <w:t>（联合体成员二）</w:t>
      </w:r>
      <w:r>
        <w:rPr>
          <w:rFonts w:ascii="宋体" w:hAnsi="宋体"/>
          <w:color w:val="auto"/>
          <w:highlight w:val="none"/>
        </w:rPr>
        <w:t>：（盖单位章）</w:t>
      </w:r>
    </w:p>
    <w:p>
      <w:pPr>
        <w:spacing w:line="400" w:lineRule="exact"/>
        <w:ind w:left="-420" w:leftChars="-200" w:right="-840" w:rightChars="-400"/>
        <w:rPr>
          <w:rFonts w:ascii="宋体" w:hAnsi="宋体"/>
          <w:color w:val="auto"/>
          <w:highlight w:val="none"/>
        </w:rPr>
      </w:pPr>
      <w:r>
        <w:rPr>
          <w:rFonts w:ascii="宋体" w:hAnsi="宋体"/>
          <w:color w:val="auto"/>
          <w:highlight w:val="none"/>
        </w:rPr>
        <w:t>法定代表人或其委托代理人</w:t>
      </w:r>
      <w:r>
        <w:rPr>
          <w:rFonts w:hint="eastAsia" w:ascii="宋体" w:hAnsi="宋体"/>
          <w:color w:val="auto"/>
          <w:highlight w:val="none"/>
        </w:rPr>
        <w:t>（</w:t>
      </w:r>
      <w:r>
        <w:rPr>
          <w:rFonts w:ascii="宋体" w:hAnsi="宋体"/>
          <w:color w:val="auto"/>
          <w:highlight w:val="none"/>
        </w:rPr>
        <w:t>同时是专职投标员</w:t>
      </w:r>
      <w:r>
        <w:rPr>
          <w:rFonts w:hint="eastAsia" w:ascii="宋体" w:hAnsi="宋体"/>
          <w:color w:val="auto"/>
          <w:highlight w:val="none"/>
        </w:rPr>
        <w:t>）</w:t>
      </w:r>
      <w:r>
        <w:rPr>
          <w:rFonts w:ascii="宋体" w:hAnsi="宋体"/>
          <w:color w:val="auto"/>
          <w:highlight w:val="none"/>
        </w:rPr>
        <w:t>：（签字</w:t>
      </w:r>
      <w:r>
        <w:rPr>
          <w:rFonts w:hint="eastAsia" w:ascii="宋体" w:hAnsi="宋体"/>
          <w:color w:val="auto"/>
          <w:highlight w:val="none"/>
        </w:rPr>
        <w:t>或盖章</w:t>
      </w:r>
      <w:r>
        <w:rPr>
          <w:rFonts w:ascii="宋体" w:hAnsi="宋体"/>
          <w:color w:val="auto"/>
          <w:highlight w:val="none"/>
        </w:rPr>
        <w:t>）</w:t>
      </w:r>
    </w:p>
    <w:p>
      <w:pPr>
        <w:spacing w:line="400" w:lineRule="exact"/>
        <w:ind w:left="-420" w:leftChars="-200" w:right="-840" w:rightChars="-400"/>
        <w:rPr>
          <w:rFonts w:ascii="宋体" w:hAnsi="宋体"/>
          <w:color w:val="auto"/>
          <w:highlight w:val="none"/>
        </w:rPr>
      </w:pPr>
      <w:r>
        <w:rPr>
          <w:rFonts w:ascii="宋体" w:hAnsi="宋体"/>
          <w:color w:val="auto"/>
          <w:highlight w:val="none"/>
        </w:rPr>
        <w:t>邮政编码：</w:t>
      </w:r>
    </w:p>
    <w:p>
      <w:pPr>
        <w:spacing w:line="400" w:lineRule="exact"/>
        <w:ind w:left="-420" w:leftChars="-200" w:right="-840" w:rightChars="-400"/>
        <w:rPr>
          <w:rFonts w:ascii="宋体" w:hAnsi="宋体"/>
          <w:color w:val="auto"/>
          <w:highlight w:val="none"/>
        </w:rPr>
      </w:pPr>
      <w:r>
        <w:rPr>
          <w:rFonts w:ascii="宋体" w:hAnsi="宋体"/>
          <w:color w:val="auto"/>
          <w:highlight w:val="none"/>
        </w:rPr>
        <w:t xml:space="preserve">电话： </w:t>
      </w:r>
    </w:p>
    <w:p>
      <w:pPr>
        <w:spacing w:line="400" w:lineRule="exact"/>
        <w:ind w:left="-420" w:leftChars="-200" w:right="-840" w:rightChars="-400"/>
        <w:rPr>
          <w:rFonts w:ascii="宋体" w:hAnsi="宋体"/>
          <w:color w:val="auto"/>
          <w:highlight w:val="none"/>
        </w:rPr>
      </w:pPr>
      <w:r>
        <w:rPr>
          <w:rFonts w:ascii="宋体" w:hAnsi="宋体"/>
          <w:color w:val="auto"/>
          <w:highlight w:val="none"/>
        </w:rPr>
        <w:t>传真：</w:t>
      </w:r>
    </w:p>
    <w:p>
      <w:pPr>
        <w:spacing w:line="400" w:lineRule="exact"/>
        <w:ind w:left="-420" w:leftChars="-200" w:right="-840" w:rightChars="-400"/>
        <w:rPr>
          <w:rFonts w:ascii="宋体" w:hAnsi="宋体"/>
          <w:color w:val="auto"/>
          <w:highlight w:val="none"/>
        </w:rPr>
      </w:pPr>
      <w:r>
        <w:rPr>
          <w:rFonts w:ascii="宋体" w:hAnsi="宋体"/>
          <w:color w:val="auto"/>
          <w:highlight w:val="none"/>
        </w:rPr>
        <w:t>开户银行名称：</w:t>
      </w:r>
    </w:p>
    <w:p>
      <w:pPr>
        <w:spacing w:line="400" w:lineRule="exact"/>
        <w:ind w:left="-420" w:leftChars="-200" w:right="-840" w:rightChars="-400"/>
        <w:rPr>
          <w:rFonts w:ascii="宋体" w:hAnsi="宋体"/>
          <w:color w:val="auto"/>
          <w:highlight w:val="none"/>
        </w:rPr>
      </w:pPr>
      <w:r>
        <w:rPr>
          <w:rFonts w:ascii="宋体" w:hAnsi="宋体"/>
          <w:color w:val="auto"/>
          <w:highlight w:val="none"/>
        </w:rPr>
        <w:t>开户银行账号：</w:t>
      </w:r>
    </w:p>
    <w:p>
      <w:pPr>
        <w:spacing w:line="400" w:lineRule="exact"/>
        <w:ind w:left="-420" w:leftChars="-200" w:right="-840" w:rightChars="-400"/>
        <w:rPr>
          <w:rFonts w:ascii="宋体" w:hAnsi="宋体"/>
          <w:color w:val="auto"/>
          <w:highlight w:val="none"/>
        </w:rPr>
      </w:pPr>
      <w:r>
        <w:rPr>
          <w:rFonts w:ascii="宋体" w:hAnsi="宋体"/>
          <w:color w:val="auto"/>
          <w:highlight w:val="none"/>
        </w:rPr>
        <w:t>开户银行地址：</w:t>
      </w:r>
    </w:p>
    <w:p>
      <w:pPr>
        <w:spacing w:line="400" w:lineRule="exact"/>
        <w:ind w:left="-420" w:leftChars="-200" w:right="-840" w:rightChars="-400"/>
        <w:rPr>
          <w:rFonts w:ascii="宋体" w:hAnsi="宋体"/>
          <w:color w:val="auto"/>
          <w:highlight w:val="none"/>
        </w:rPr>
      </w:pPr>
      <w:r>
        <w:rPr>
          <w:rFonts w:ascii="宋体" w:hAnsi="宋体"/>
          <w:color w:val="auto"/>
          <w:highlight w:val="none"/>
        </w:rPr>
        <w:t>开户银行电话：</w:t>
      </w:r>
    </w:p>
    <w:p>
      <w:pPr>
        <w:spacing w:line="400" w:lineRule="exact"/>
        <w:ind w:left="-420" w:leftChars="-200" w:right="-840" w:rightChars="-400"/>
        <w:rPr>
          <w:rFonts w:ascii="宋体" w:hAnsi="宋体"/>
          <w:color w:val="auto"/>
          <w:highlight w:val="none"/>
        </w:rPr>
      </w:pPr>
    </w:p>
    <w:p>
      <w:pPr>
        <w:spacing w:line="400" w:lineRule="exact"/>
        <w:ind w:right="-840" w:rightChars="-400" w:firstLine="1680" w:firstLineChars="800"/>
        <w:rPr>
          <w:rFonts w:ascii="宋体" w:hAnsi="宋体"/>
          <w:color w:val="auto"/>
          <w:highlight w:val="none"/>
        </w:rPr>
      </w:pPr>
      <w:r>
        <w:rPr>
          <w:rFonts w:hint="eastAsia" w:ascii="宋体" w:hAnsi="宋体"/>
          <w:color w:val="auto"/>
          <w:highlight w:val="none"/>
        </w:rPr>
        <w:t xml:space="preserve">日期： </w:t>
      </w:r>
      <w:r>
        <w:rPr>
          <w:rFonts w:ascii="宋体" w:hAnsi="宋体"/>
          <w:color w:val="auto"/>
          <w:highlight w:val="none"/>
        </w:rPr>
        <w:t xml:space="preserve">  年  月  日</w:t>
      </w:r>
    </w:p>
    <w:p>
      <w:pPr>
        <w:spacing w:line="400" w:lineRule="exact"/>
        <w:ind w:right="-840" w:rightChars="-400"/>
        <w:rPr>
          <w:rFonts w:ascii="宋体" w:hAnsi="宋体"/>
          <w:b/>
          <w:color w:val="auto"/>
          <w:sz w:val="28"/>
          <w:szCs w:val="28"/>
          <w:highlight w:val="none"/>
        </w:rPr>
      </w:pPr>
    </w:p>
    <w:p>
      <w:pPr>
        <w:spacing w:line="400" w:lineRule="exact"/>
        <w:ind w:right="-840" w:rightChars="-400"/>
        <w:rPr>
          <w:rFonts w:ascii="宋体" w:hAnsi="宋体"/>
          <w:b/>
          <w:color w:val="auto"/>
          <w:sz w:val="28"/>
          <w:szCs w:val="28"/>
          <w:highlight w:val="none"/>
        </w:rPr>
      </w:pPr>
    </w:p>
    <w:p>
      <w:pPr>
        <w:spacing w:line="400" w:lineRule="exact"/>
        <w:ind w:right="-840" w:rightChars="-400"/>
        <w:rPr>
          <w:rFonts w:ascii="宋体" w:hAnsi="宋体"/>
          <w:b/>
          <w:color w:val="auto"/>
          <w:sz w:val="28"/>
          <w:szCs w:val="28"/>
          <w:highlight w:val="none"/>
        </w:rPr>
      </w:pPr>
      <w:r>
        <w:rPr>
          <w:rFonts w:hint="eastAsia" w:ascii="宋体" w:hAnsi="宋体"/>
          <w:b/>
          <w:color w:val="auto"/>
          <w:sz w:val="28"/>
          <w:szCs w:val="28"/>
          <w:highlight w:val="none"/>
        </w:rPr>
        <w:t>2、</w:t>
      </w:r>
      <w:r>
        <w:rPr>
          <w:rFonts w:ascii="宋体" w:hAnsi="宋体"/>
          <w:b/>
          <w:color w:val="auto"/>
          <w:sz w:val="28"/>
          <w:szCs w:val="28"/>
          <w:highlight w:val="none"/>
        </w:rPr>
        <w:t>投标函附录</w:t>
      </w:r>
      <w:bookmarkEnd w:id="1915"/>
      <w:bookmarkEnd w:id="1916"/>
      <w:bookmarkEnd w:id="1917"/>
      <w:bookmarkEnd w:id="1918"/>
      <w:bookmarkEnd w:id="1919"/>
      <w:bookmarkEnd w:id="1926"/>
      <w:bookmarkEnd w:id="1927"/>
    </w:p>
    <w:p>
      <w:pPr>
        <w:jc w:val="center"/>
        <w:rPr>
          <w:rFonts w:ascii="宋体" w:hAnsi="宋体"/>
          <w:b/>
          <w:color w:val="auto"/>
          <w:sz w:val="28"/>
          <w:szCs w:val="28"/>
          <w:highlight w:val="none"/>
        </w:rPr>
      </w:pPr>
    </w:p>
    <w:tbl>
      <w:tblPr>
        <w:tblStyle w:val="22"/>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472"/>
        <w:gridCol w:w="1986"/>
        <w:gridCol w:w="2526"/>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43" w:type="dxa"/>
            <w:noWrap/>
            <w:vAlign w:val="center"/>
          </w:tcPr>
          <w:p>
            <w:pPr>
              <w:jc w:val="center"/>
              <w:rPr>
                <w:rFonts w:ascii="宋体" w:hAnsi="宋体"/>
                <w:color w:val="auto"/>
                <w:szCs w:val="21"/>
                <w:highlight w:val="none"/>
              </w:rPr>
            </w:pPr>
            <w:r>
              <w:rPr>
                <w:rFonts w:ascii="宋体" w:hAnsi="宋体"/>
                <w:color w:val="auto"/>
                <w:szCs w:val="21"/>
                <w:highlight w:val="none"/>
              </w:rPr>
              <w:t>序号</w:t>
            </w:r>
          </w:p>
        </w:tc>
        <w:tc>
          <w:tcPr>
            <w:tcW w:w="2472" w:type="dxa"/>
            <w:noWrap/>
            <w:vAlign w:val="center"/>
          </w:tcPr>
          <w:p>
            <w:pPr>
              <w:jc w:val="center"/>
              <w:rPr>
                <w:rFonts w:ascii="宋体" w:hAnsi="宋体"/>
                <w:color w:val="auto"/>
                <w:szCs w:val="21"/>
                <w:highlight w:val="none"/>
              </w:rPr>
            </w:pPr>
            <w:r>
              <w:rPr>
                <w:rFonts w:hint="eastAsia" w:ascii="宋体" w:hAnsi="宋体"/>
                <w:color w:val="auto"/>
                <w:szCs w:val="21"/>
                <w:highlight w:val="none"/>
              </w:rPr>
              <w:t>条款名称</w:t>
            </w:r>
          </w:p>
        </w:tc>
        <w:tc>
          <w:tcPr>
            <w:tcW w:w="1986" w:type="dxa"/>
            <w:noWrap/>
            <w:vAlign w:val="center"/>
          </w:tcPr>
          <w:p>
            <w:pPr>
              <w:jc w:val="center"/>
              <w:rPr>
                <w:rFonts w:ascii="宋体" w:hAnsi="宋体"/>
                <w:color w:val="auto"/>
                <w:szCs w:val="21"/>
                <w:highlight w:val="none"/>
              </w:rPr>
            </w:pPr>
            <w:r>
              <w:rPr>
                <w:rFonts w:ascii="宋体" w:hAnsi="宋体"/>
                <w:color w:val="auto"/>
                <w:szCs w:val="21"/>
                <w:highlight w:val="none"/>
              </w:rPr>
              <w:t>合同条款号</w:t>
            </w:r>
          </w:p>
        </w:tc>
        <w:tc>
          <w:tcPr>
            <w:tcW w:w="2526" w:type="dxa"/>
            <w:noWrap/>
            <w:vAlign w:val="center"/>
          </w:tcPr>
          <w:p>
            <w:pPr>
              <w:jc w:val="center"/>
              <w:rPr>
                <w:rFonts w:ascii="宋体" w:hAnsi="宋体"/>
                <w:color w:val="auto"/>
                <w:szCs w:val="21"/>
                <w:highlight w:val="none"/>
              </w:rPr>
            </w:pPr>
            <w:r>
              <w:rPr>
                <w:rFonts w:hint="eastAsia" w:ascii="宋体" w:hAnsi="宋体"/>
                <w:color w:val="auto"/>
                <w:szCs w:val="21"/>
                <w:highlight w:val="none"/>
              </w:rPr>
              <w:t>约定</w:t>
            </w:r>
            <w:r>
              <w:rPr>
                <w:rFonts w:ascii="宋体" w:hAnsi="宋体"/>
                <w:color w:val="auto"/>
                <w:szCs w:val="21"/>
                <w:highlight w:val="none"/>
              </w:rPr>
              <w:t>内容</w:t>
            </w:r>
          </w:p>
        </w:tc>
        <w:tc>
          <w:tcPr>
            <w:tcW w:w="744" w:type="dxa"/>
            <w:noWrap/>
            <w:vAlign w:val="center"/>
          </w:tcPr>
          <w:p>
            <w:pPr>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noWrap/>
            <w:vAlign w:val="center"/>
          </w:tcPr>
          <w:p>
            <w:pPr>
              <w:jc w:val="center"/>
              <w:rPr>
                <w:rFonts w:ascii="宋体" w:hAnsi="宋体"/>
                <w:color w:val="auto"/>
                <w:szCs w:val="21"/>
                <w:highlight w:val="none"/>
              </w:rPr>
            </w:pPr>
            <w:r>
              <w:rPr>
                <w:rFonts w:ascii="宋体" w:hAnsi="宋体"/>
                <w:color w:val="auto"/>
                <w:szCs w:val="21"/>
                <w:highlight w:val="none"/>
              </w:rPr>
              <w:t>1</w:t>
            </w:r>
          </w:p>
        </w:tc>
        <w:tc>
          <w:tcPr>
            <w:tcW w:w="2472" w:type="dxa"/>
            <w:noWrap/>
            <w:vAlign w:val="center"/>
          </w:tcPr>
          <w:p>
            <w:pPr>
              <w:spacing w:line="440" w:lineRule="exact"/>
              <w:rPr>
                <w:rFonts w:ascii="宋体" w:hAnsi="宋体"/>
                <w:color w:val="auto"/>
                <w:szCs w:val="21"/>
                <w:highlight w:val="none"/>
              </w:rPr>
            </w:pPr>
            <w:r>
              <w:rPr>
                <w:rFonts w:ascii="宋体" w:hAnsi="宋体"/>
                <w:color w:val="auto"/>
                <w:szCs w:val="21"/>
                <w:highlight w:val="none"/>
              </w:rPr>
              <w:t>项目</w:t>
            </w:r>
            <w:r>
              <w:rPr>
                <w:rFonts w:hint="eastAsia" w:ascii="宋体" w:hAnsi="宋体"/>
                <w:color w:val="auto"/>
                <w:szCs w:val="21"/>
                <w:highlight w:val="none"/>
              </w:rPr>
              <w:t>总负责人</w:t>
            </w:r>
          </w:p>
          <w:p>
            <w:pPr>
              <w:spacing w:line="440" w:lineRule="exact"/>
              <w:rPr>
                <w:rFonts w:ascii="宋体" w:hAnsi="宋体"/>
                <w:color w:val="auto"/>
                <w:highlight w:val="none"/>
              </w:rPr>
            </w:pPr>
            <w:r>
              <w:rPr>
                <w:rFonts w:hint="eastAsia" w:ascii="宋体" w:hAnsi="宋体"/>
                <w:color w:val="auto"/>
                <w:highlight w:val="none"/>
              </w:rPr>
              <w:t>项目设计负责人</w:t>
            </w:r>
          </w:p>
          <w:p>
            <w:pPr>
              <w:spacing w:line="440" w:lineRule="exact"/>
              <w:rPr>
                <w:color w:val="auto"/>
                <w:highlight w:val="none"/>
              </w:rPr>
            </w:pPr>
            <w:r>
              <w:rPr>
                <w:rFonts w:hint="eastAsia"/>
                <w:color w:val="auto"/>
                <w:highlight w:val="none"/>
              </w:rPr>
              <w:t>项目经理</w:t>
            </w:r>
          </w:p>
          <w:p>
            <w:pPr>
              <w:spacing w:line="440" w:lineRule="exact"/>
              <w:rPr>
                <w:color w:val="auto"/>
                <w:highlight w:val="none"/>
              </w:rPr>
            </w:pPr>
            <w:r>
              <w:rPr>
                <w:rFonts w:hint="eastAsia"/>
                <w:color w:val="auto"/>
                <w:highlight w:val="none"/>
              </w:rPr>
              <w:t>项目采购经理（如有）</w:t>
            </w:r>
          </w:p>
          <w:p>
            <w:pPr>
              <w:spacing w:line="440" w:lineRule="exact"/>
              <w:rPr>
                <w:rFonts w:ascii="宋体" w:hAnsi="宋体"/>
                <w:color w:val="auto"/>
                <w:szCs w:val="21"/>
                <w:highlight w:val="none"/>
              </w:rPr>
            </w:pPr>
            <w:r>
              <w:rPr>
                <w:rFonts w:hint="eastAsia"/>
                <w:color w:val="auto"/>
                <w:highlight w:val="none"/>
              </w:rPr>
              <w:t>项目施工专职安全员</w:t>
            </w:r>
          </w:p>
        </w:tc>
        <w:tc>
          <w:tcPr>
            <w:tcW w:w="1986" w:type="dxa"/>
            <w:noWrap/>
            <w:vAlign w:val="center"/>
          </w:tcPr>
          <w:p>
            <w:pPr>
              <w:spacing w:line="440" w:lineRule="exact"/>
              <w:ind w:firstLine="735" w:firstLineChars="350"/>
              <w:rPr>
                <w:rFonts w:ascii="宋体" w:hAnsi="宋体"/>
                <w:color w:val="auto"/>
                <w:szCs w:val="21"/>
                <w:highlight w:val="none"/>
              </w:rPr>
            </w:pPr>
            <w:r>
              <w:rPr>
                <w:rFonts w:hint="eastAsia" w:ascii="宋体" w:hAnsi="宋体"/>
                <w:color w:val="auto"/>
                <w:szCs w:val="21"/>
                <w:highlight w:val="none"/>
              </w:rPr>
              <w:t>3.2</w:t>
            </w:r>
          </w:p>
          <w:p>
            <w:pPr>
              <w:spacing w:line="440" w:lineRule="exact"/>
              <w:jc w:val="center"/>
              <w:rPr>
                <w:rFonts w:ascii="宋体" w:hAnsi="宋体"/>
                <w:color w:val="auto"/>
                <w:szCs w:val="21"/>
                <w:highlight w:val="none"/>
              </w:rPr>
            </w:pPr>
            <w:r>
              <w:rPr>
                <w:rFonts w:hint="eastAsia" w:ascii="宋体" w:hAnsi="宋体"/>
                <w:color w:val="auto"/>
                <w:szCs w:val="21"/>
                <w:highlight w:val="none"/>
              </w:rPr>
              <w:t>3.3</w:t>
            </w:r>
          </w:p>
          <w:p>
            <w:pPr>
              <w:spacing w:line="440" w:lineRule="exact"/>
              <w:jc w:val="center"/>
              <w:rPr>
                <w:rFonts w:ascii="宋体" w:hAnsi="宋体"/>
                <w:color w:val="auto"/>
                <w:szCs w:val="21"/>
                <w:highlight w:val="none"/>
              </w:rPr>
            </w:pPr>
            <w:r>
              <w:rPr>
                <w:rFonts w:hint="eastAsia" w:ascii="宋体" w:hAnsi="宋体"/>
                <w:color w:val="auto"/>
                <w:szCs w:val="21"/>
                <w:highlight w:val="none"/>
              </w:rPr>
              <w:t>3.4</w:t>
            </w:r>
          </w:p>
          <w:p>
            <w:pPr>
              <w:spacing w:line="440" w:lineRule="exact"/>
              <w:jc w:val="center"/>
              <w:rPr>
                <w:rFonts w:ascii="宋体" w:hAnsi="宋体"/>
                <w:color w:val="auto"/>
                <w:szCs w:val="21"/>
                <w:highlight w:val="none"/>
              </w:rPr>
            </w:pPr>
            <w:r>
              <w:rPr>
                <w:rFonts w:hint="eastAsia" w:ascii="宋体" w:hAnsi="宋体"/>
                <w:color w:val="auto"/>
                <w:szCs w:val="21"/>
                <w:highlight w:val="none"/>
              </w:rPr>
              <w:t>3.5</w:t>
            </w:r>
          </w:p>
          <w:p>
            <w:pPr>
              <w:spacing w:line="440" w:lineRule="exact"/>
              <w:jc w:val="center"/>
              <w:rPr>
                <w:rFonts w:ascii="宋体" w:hAnsi="宋体"/>
                <w:color w:val="auto"/>
                <w:szCs w:val="21"/>
                <w:highlight w:val="none"/>
              </w:rPr>
            </w:pPr>
            <w:r>
              <w:rPr>
                <w:rFonts w:hint="eastAsia" w:ascii="宋体" w:hAnsi="宋体"/>
                <w:color w:val="auto"/>
                <w:szCs w:val="21"/>
                <w:highlight w:val="none"/>
              </w:rPr>
              <w:t>3.6</w:t>
            </w:r>
          </w:p>
        </w:tc>
        <w:tc>
          <w:tcPr>
            <w:tcW w:w="2526" w:type="dxa"/>
            <w:noWrap/>
            <w:vAlign w:val="center"/>
          </w:tcPr>
          <w:p>
            <w:pPr>
              <w:spacing w:line="440" w:lineRule="exact"/>
              <w:rPr>
                <w:rFonts w:ascii="宋体" w:hAnsi="宋体"/>
                <w:color w:val="auto"/>
                <w:szCs w:val="21"/>
                <w:highlight w:val="none"/>
              </w:rPr>
            </w:pPr>
            <w:r>
              <w:rPr>
                <w:rFonts w:hint="eastAsia" w:ascii="宋体" w:hAnsi="宋体"/>
                <w:color w:val="auto"/>
                <w:szCs w:val="21"/>
                <w:highlight w:val="none"/>
              </w:rPr>
              <w:t>姓名：</w:t>
            </w:r>
          </w:p>
          <w:p>
            <w:pPr>
              <w:spacing w:line="440" w:lineRule="exact"/>
              <w:rPr>
                <w:rFonts w:ascii="宋体" w:hAnsi="宋体"/>
                <w:color w:val="auto"/>
                <w:szCs w:val="21"/>
                <w:highlight w:val="none"/>
              </w:rPr>
            </w:pPr>
            <w:r>
              <w:rPr>
                <w:rFonts w:ascii="宋体" w:hAnsi="宋体"/>
                <w:color w:val="auto"/>
                <w:szCs w:val="21"/>
                <w:highlight w:val="none"/>
              </w:rPr>
              <w:t>姓名：</w:t>
            </w:r>
          </w:p>
          <w:p>
            <w:pPr>
              <w:spacing w:line="440" w:lineRule="exact"/>
              <w:rPr>
                <w:rFonts w:ascii="宋体" w:hAnsi="宋体"/>
                <w:color w:val="auto"/>
                <w:szCs w:val="21"/>
                <w:highlight w:val="none"/>
              </w:rPr>
            </w:pPr>
            <w:r>
              <w:rPr>
                <w:rFonts w:ascii="宋体" w:hAnsi="宋体"/>
                <w:color w:val="auto"/>
                <w:szCs w:val="21"/>
                <w:highlight w:val="none"/>
              </w:rPr>
              <w:t>姓名：</w:t>
            </w:r>
          </w:p>
          <w:p>
            <w:pPr>
              <w:spacing w:line="440" w:lineRule="exact"/>
              <w:rPr>
                <w:rFonts w:ascii="宋体" w:hAnsi="宋体"/>
                <w:color w:val="auto"/>
                <w:szCs w:val="21"/>
                <w:highlight w:val="none"/>
              </w:rPr>
            </w:pPr>
            <w:r>
              <w:rPr>
                <w:rFonts w:hint="eastAsia" w:ascii="宋体" w:hAnsi="宋体"/>
                <w:color w:val="auto"/>
                <w:szCs w:val="21"/>
                <w:highlight w:val="none"/>
              </w:rPr>
              <w:t>姓名：</w:t>
            </w:r>
          </w:p>
          <w:p>
            <w:pPr>
              <w:spacing w:line="440" w:lineRule="exact"/>
              <w:rPr>
                <w:rFonts w:ascii="宋体" w:hAnsi="宋体"/>
                <w:color w:val="auto"/>
                <w:szCs w:val="21"/>
                <w:highlight w:val="none"/>
              </w:rPr>
            </w:pPr>
            <w:r>
              <w:rPr>
                <w:rFonts w:hint="eastAsia" w:ascii="宋体" w:hAnsi="宋体"/>
                <w:color w:val="auto"/>
                <w:szCs w:val="21"/>
                <w:highlight w:val="none"/>
              </w:rPr>
              <w:t>姓名：</w:t>
            </w:r>
          </w:p>
        </w:tc>
        <w:tc>
          <w:tcPr>
            <w:tcW w:w="744" w:type="dxa"/>
            <w:noWrap/>
            <w:vAlign w:val="center"/>
          </w:tcPr>
          <w:p>
            <w:pPr>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noWrap/>
            <w:vAlign w:val="center"/>
          </w:tcPr>
          <w:p>
            <w:pPr>
              <w:jc w:val="center"/>
              <w:rPr>
                <w:rFonts w:ascii="宋体" w:hAnsi="宋体"/>
                <w:color w:val="auto"/>
                <w:szCs w:val="21"/>
                <w:highlight w:val="none"/>
              </w:rPr>
            </w:pPr>
            <w:r>
              <w:rPr>
                <w:rFonts w:ascii="宋体" w:hAnsi="宋体"/>
                <w:color w:val="auto"/>
                <w:szCs w:val="21"/>
                <w:highlight w:val="none"/>
              </w:rPr>
              <w:t>2</w:t>
            </w:r>
          </w:p>
        </w:tc>
        <w:tc>
          <w:tcPr>
            <w:tcW w:w="2472" w:type="dxa"/>
            <w:noWrap/>
            <w:vAlign w:val="center"/>
          </w:tcPr>
          <w:p>
            <w:pPr>
              <w:jc w:val="center"/>
              <w:rPr>
                <w:rFonts w:ascii="宋体" w:hAnsi="宋体"/>
                <w:color w:val="auto"/>
                <w:szCs w:val="21"/>
                <w:highlight w:val="none"/>
              </w:rPr>
            </w:pPr>
            <w:r>
              <w:rPr>
                <w:rFonts w:ascii="宋体" w:hAnsi="宋体"/>
                <w:color w:val="auto"/>
                <w:szCs w:val="21"/>
                <w:highlight w:val="none"/>
              </w:rPr>
              <w:t>工期</w:t>
            </w:r>
          </w:p>
        </w:tc>
        <w:tc>
          <w:tcPr>
            <w:tcW w:w="1986" w:type="dxa"/>
            <w:noWrap/>
            <w:vAlign w:val="center"/>
          </w:tcPr>
          <w:p>
            <w:pPr>
              <w:jc w:val="center"/>
              <w:rPr>
                <w:rFonts w:ascii="宋体" w:hAnsi="宋体"/>
                <w:color w:val="auto"/>
                <w:szCs w:val="21"/>
                <w:highlight w:val="none"/>
              </w:rPr>
            </w:pPr>
            <w:r>
              <w:rPr>
                <w:rFonts w:hint="eastAsia" w:ascii="宋体" w:hAnsi="宋体"/>
                <w:color w:val="auto"/>
                <w:szCs w:val="21"/>
                <w:highlight w:val="none"/>
              </w:rPr>
              <w:t>1.1.38</w:t>
            </w:r>
          </w:p>
        </w:tc>
        <w:tc>
          <w:tcPr>
            <w:tcW w:w="2526" w:type="dxa"/>
            <w:noWrap/>
            <w:vAlign w:val="center"/>
          </w:tcPr>
          <w:p>
            <w:pPr>
              <w:spacing w:line="440" w:lineRule="exact"/>
              <w:rPr>
                <w:rFonts w:ascii="宋体" w:hAnsi="宋体"/>
                <w:color w:val="auto"/>
                <w:szCs w:val="21"/>
                <w:highlight w:val="none"/>
              </w:rPr>
            </w:pPr>
            <w:r>
              <w:rPr>
                <w:rFonts w:hint="eastAsia" w:ascii="宋体" w:hAnsi="宋体"/>
                <w:color w:val="auto"/>
                <w:szCs w:val="21"/>
                <w:highlight w:val="none"/>
              </w:rPr>
              <w:t>工期（包括设计及施工工期）为</w:t>
            </w:r>
            <w:r>
              <w:rPr>
                <w:rFonts w:hint="eastAsia" w:ascii="宋体" w:hAnsi="宋体"/>
                <w:color w:val="auto"/>
                <w:szCs w:val="21"/>
                <w:highlight w:val="none"/>
                <w:u w:val="single"/>
                <w:lang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天（日历天）</w:t>
            </w:r>
          </w:p>
        </w:tc>
        <w:tc>
          <w:tcPr>
            <w:tcW w:w="744" w:type="dxa"/>
            <w:noWrap/>
            <w:vAlign w:val="center"/>
          </w:tcPr>
          <w:p>
            <w:pPr>
              <w:spacing w:line="440" w:lineRule="exact"/>
              <w:ind w:firstLine="718" w:firstLineChars="342"/>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noWrap/>
            <w:vAlign w:val="center"/>
          </w:tcPr>
          <w:p>
            <w:pPr>
              <w:jc w:val="center"/>
              <w:rPr>
                <w:rFonts w:ascii="宋体" w:hAnsi="宋体"/>
                <w:color w:val="auto"/>
                <w:szCs w:val="21"/>
                <w:highlight w:val="none"/>
              </w:rPr>
            </w:pPr>
            <w:r>
              <w:rPr>
                <w:rFonts w:ascii="宋体" w:hAnsi="宋体"/>
                <w:color w:val="auto"/>
                <w:szCs w:val="21"/>
                <w:highlight w:val="none"/>
              </w:rPr>
              <w:t>3</w:t>
            </w:r>
          </w:p>
        </w:tc>
        <w:tc>
          <w:tcPr>
            <w:tcW w:w="2472" w:type="dxa"/>
            <w:noWrap/>
            <w:vAlign w:val="center"/>
          </w:tcPr>
          <w:p>
            <w:pPr>
              <w:jc w:val="center"/>
              <w:rPr>
                <w:rFonts w:ascii="宋体" w:hAnsi="宋体"/>
                <w:color w:val="auto"/>
                <w:szCs w:val="21"/>
                <w:highlight w:val="none"/>
              </w:rPr>
            </w:pPr>
            <w:r>
              <w:rPr>
                <w:rFonts w:ascii="宋体" w:hAnsi="宋体"/>
                <w:color w:val="auto"/>
                <w:szCs w:val="21"/>
                <w:highlight w:val="none"/>
              </w:rPr>
              <w:t>缺陷责任期</w:t>
            </w:r>
          </w:p>
        </w:tc>
        <w:tc>
          <w:tcPr>
            <w:tcW w:w="1986" w:type="dxa"/>
            <w:noWrap/>
            <w:vAlign w:val="center"/>
          </w:tcPr>
          <w:p>
            <w:pPr>
              <w:jc w:val="center"/>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54</w:t>
            </w:r>
          </w:p>
        </w:tc>
        <w:tc>
          <w:tcPr>
            <w:tcW w:w="2526" w:type="dxa"/>
            <w:noWrap/>
            <w:vAlign w:val="center"/>
          </w:tcPr>
          <w:p>
            <w:pPr>
              <w:spacing w:line="440" w:lineRule="exact"/>
              <w:rPr>
                <w:rFonts w:ascii="宋体" w:hAnsi="宋体"/>
                <w:color w:val="auto"/>
                <w:szCs w:val="21"/>
                <w:highlight w:val="none"/>
              </w:rPr>
            </w:pPr>
            <w:r>
              <w:rPr>
                <w:rFonts w:hint="eastAsia" w:ascii="宋体" w:hAnsi="宋体"/>
                <w:color w:val="auto"/>
                <w:szCs w:val="21"/>
                <w:highlight w:val="none"/>
                <w:lang w:val="en-US" w:eastAsia="zh-CN"/>
              </w:rPr>
              <w:t>24个</w:t>
            </w:r>
            <w:r>
              <w:rPr>
                <w:rFonts w:hint="eastAsia" w:ascii="宋体" w:hAnsi="宋体"/>
                <w:color w:val="auto"/>
                <w:szCs w:val="21"/>
                <w:highlight w:val="none"/>
              </w:rPr>
              <w:t xml:space="preserve"> 月</w:t>
            </w:r>
          </w:p>
        </w:tc>
        <w:tc>
          <w:tcPr>
            <w:tcW w:w="744" w:type="dxa"/>
            <w:noWrap/>
            <w:vAlign w:val="center"/>
          </w:tcPr>
          <w:p>
            <w:pPr>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noWrap/>
          </w:tcPr>
          <w:p>
            <w:pPr>
              <w:jc w:val="center"/>
              <w:rPr>
                <w:rFonts w:ascii="宋体" w:hAnsi="宋体"/>
                <w:color w:val="auto"/>
                <w:szCs w:val="21"/>
                <w:highlight w:val="none"/>
              </w:rPr>
            </w:pPr>
            <w:r>
              <w:rPr>
                <w:rFonts w:ascii="宋体" w:hAnsi="宋体"/>
                <w:color w:val="auto"/>
                <w:szCs w:val="21"/>
                <w:highlight w:val="none"/>
              </w:rPr>
              <w:t>……</w:t>
            </w:r>
          </w:p>
        </w:tc>
        <w:tc>
          <w:tcPr>
            <w:tcW w:w="2472" w:type="dxa"/>
            <w:noWrap/>
          </w:tcPr>
          <w:p>
            <w:pPr>
              <w:jc w:val="center"/>
              <w:rPr>
                <w:rFonts w:ascii="宋体" w:hAnsi="宋体"/>
                <w:color w:val="auto"/>
                <w:szCs w:val="21"/>
                <w:highlight w:val="none"/>
              </w:rPr>
            </w:pPr>
            <w:r>
              <w:rPr>
                <w:rFonts w:ascii="宋体" w:hAnsi="宋体"/>
                <w:color w:val="auto"/>
                <w:szCs w:val="21"/>
                <w:highlight w:val="none"/>
              </w:rPr>
              <w:t>……</w:t>
            </w:r>
          </w:p>
        </w:tc>
        <w:tc>
          <w:tcPr>
            <w:tcW w:w="1986" w:type="dxa"/>
            <w:noWrap/>
            <w:vAlign w:val="center"/>
          </w:tcPr>
          <w:p>
            <w:pPr>
              <w:jc w:val="center"/>
              <w:rPr>
                <w:rFonts w:ascii="宋体" w:hAnsi="宋体"/>
                <w:color w:val="auto"/>
                <w:szCs w:val="21"/>
                <w:highlight w:val="none"/>
              </w:rPr>
            </w:pPr>
            <w:r>
              <w:rPr>
                <w:rFonts w:ascii="宋体" w:hAnsi="宋体"/>
                <w:color w:val="auto"/>
                <w:szCs w:val="21"/>
                <w:highlight w:val="none"/>
              </w:rPr>
              <w:t>……</w:t>
            </w:r>
          </w:p>
        </w:tc>
        <w:tc>
          <w:tcPr>
            <w:tcW w:w="2526" w:type="dxa"/>
            <w:noWrap/>
            <w:vAlign w:val="center"/>
          </w:tcPr>
          <w:p>
            <w:pPr>
              <w:spacing w:line="440" w:lineRule="exact"/>
              <w:jc w:val="center"/>
              <w:rPr>
                <w:rFonts w:ascii="宋体" w:hAnsi="宋体"/>
                <w:color w:val="auto"/>
                <w:szCs w:val="21"/>
                <w:highlight w:val="none"/>
              </w:rPr>
            </w:pPr>
            <w:r>
              <w:rPr>
                <w:rFonts w:ascii="宋体" w:hAnsi="宋体"/>
                <w:color w:val="auto"/>
                <w:szCs w:val="21"/>
                <w:highlight w:val="none"/>
              </w:rPr>
              <w:t>……</w:t>
            </w:r>
          </w:p>
        </w:tc>
        <w:tc>
          <w:tcPr>
            <w:tcW w:w="744" w:type="dxa"/>
            <w:noWrap/>
            <w:vAlign w:val="center"/>
          </w:tcPr>
          <w:p>
            <w:pPr>
              <w:spacing w:line="440" w:lineRule="exact"/>
              <w:rPr>
                <w:rFonts w:ascii="宋体" w:hAnsi="宋体"/>
                <w:color w:val="auto"/>
                <w:szCs w:val="21"/>
                <w:highlight w:val="none"/>
              </w:rPr>
            </w:pPr>
          </w:p>
        </w:tc>
      </w:tr>
    </w:tbl>
    <w:p>
      <w:pPr>
        <w:spacing w:line="440" w:lineRule="exact"/>
        <w:rPr>
          <w:rFonts w:eastAsia="黑体"/>
          <w:color w:val="auto"/>
          <w:sz w:val="20"/>
          <w:szCs w:val="20"/>
          <w:highlight w:val="none"/>
        </w:rPr>
      </w:pPr>
    </w:p>
    <w:p>
      <w:pPr>
        <w:spacing w:line="440" w:lineRule="exact"/>
        <w:rPr>
          <w:color w:val="auto"/>
          <w:szCs w:val="21"/>
          <w:highlight w:val="none"/>
        </w:rPr>
      </w:pPr>
    </w:p>
    <w:p>
      <w:pPr>
        <w:spacing w:line="440" w:lineRule="exact"/>
        <w:ind w:firstLine="3570" w:firstLineChars="1700"/>
        <w:rPr>
          <w:rFonts w:ascii="宋体" w:hAnsi="宋体"/>
          <w:color w:val="auto"/>
          <w:highlight w:val="none"/>
        </w:rPr>
      </w:pPr>
      <w:r>
        <w:rPr>
          <w:rFonts w:hint="eastAsia" w:ascii="宋体" w:hAnsi="宋体"/>
          <w:color w:val="auto"/>
          <w:highlight w:val="none"/>
        </w:rPr>
        <w:t>投</w:t>
      </w:r>
      <w:r>
        <w:rPr>
          <w:rFonts w:ascii="宋体" w:hAnsi="宋体"/>
          <w:color w:val="auto"/>
          <w:highlight w:val="none"/>
        </w:rPr>
        <w:t xml:space="preserve"> 标 人：（盖单位章）</w:t>
      </w:r>
    </w:p>
    <w:p>
      <w:pPr>
        <w:spacing w:line="440" w:lineRule="exact"/>
        <w:ind w:firstLine="3150" w:firstLineChars="1500"/>
        <w:rPr>
          <w:rFonts w:ascii="宋体" w:hAnsi="宋体"/>
          <w:color w:val="auto"/>
          <w:highlight w:val="none"/>
        </w:rPr>
      </w:pPr>
      <w:r>
        <w:rPr>
          <w:rFonts w:ascii="宋体" w:hAnsi="宋体"/>
          <w:color w:val="auto"/>
          <w:highlight w:val="none"/>
        </w:rPr>
        <w:t>法定代表人或其委托代理人：（签字</w:t>
      </w:r>
      <w:r>
        <w:rPr>
          <w:rFonts w:hint="eastAsia" w:ascii="宋体" w:hAnsi="宋体"/>
          <w:color w:val="auto"/>
          <w:highlight w:val="none"/>
        </w:rPr>
        <w:t>或盖章</w:t>
      </w:r>
      <w:r>
        <w:rPr>
          <w:rFonts w:ascii="宋体" w:hAnsi="宋体"/>
          <w:color w:val="auto"/>
          <w:highlight w:val="none"/>
        </w:rPr>
        <w:t>）</w:t>
      </w:r>
    </w:p>
    <w:p>
      <w:pPr>
        <w:spacing w:line="440" w:lineRule="exact"/>
        <w:ind w:firstLine="3675" w:firstLineChars="1750"/>
        <w:rPr>
          <w:rFonts w:ascii="宋体" w:hAnsi="宋体"/>
          <w:color w:val="auto"/>
          <w:highlight w:val="none"/>
        </w:rPr>
      </w:pPr>
    </w:p>
    <w:p>
      <w:pPr>
        <w:spacing w:line="440" w:lineRule="exact"/>
        <w:ind w:firstLine="3570" w:firstLineChars="1700"/>
        <w:rPr>
          <w:rFonts w:ascii="宋体" w:hAnsi="宋体"/>
          <w:color w:val="auto"/>
          <w:highlight w:val="none"/>
        </w:rPr>
      </w:pPr>
      <w:r>
        <w:rPr>
          <w:rFonts w:hint="eastAsia" w:ascii="宋体" w:hAnsi="宋体"/>
          <w:color w:val="auto"/>
          <w:highlight w:val="none"/>
        </w:rPr>
        <w:t>投</w:t>
      </w:r>
      <w:r>
        <w:rPr>
          <w:rFonts w:ascii="宋体" w:hAnsi="宋体"/>
          <w:color w:val="auto"/>
          <w:highlight w:val="none"/>
        </w:rPr>
        <w:t xml:space="preserve"> 标 人：（盖单位章）</w:t>
      </w:r>
    </w:p>
    <w:p>
      <w:pPr>
        <w:spacing w:line="440" w:lineRule="exact"/>
        <w:ind w:firstLine="3150" w:firstLineChars="1500"/>
        <w:rPr>
          <w:rFonts w:ascii="宋体" w:hAnsi="宋体"/>
          <w:color w:val="auto"/>
          <w:highlight w:val="none"/>
        </w:rPr>
      </w:pPr>
      <w:r>
        <w:rPr>
          <w:rFonts w:ascii="宋体" w:hAnsi="宋体"/>
          <w:color w:val="auto"/>
          <w:highlight w:val="none"/>
        </w:rPr>
        <w:t>法定代表人或其委托代理人：（签字</w:t>
      </w:r>
      <w:r>
        <w:rPr>
          <w:rFonts w:hint="eastAsia" w:ascii="宋体" w:hAnsi="宋体"/>
          <w:color w:val="auto"/>
          <w:highlight w:val="none"/>
        </w:rPr>
        <w:t>或盖章</w:t>
      </w:r>
      <w:r>
        <w:rPr>
          <w:rFonts w:ascii="宋体" w:hAnsi="宋体"/>
          <w:color w:val="auto"/>
          <w:highlight w:val="none"/>
        </w:rPr>
        <w:t>）</w:t>
      </w:r>
    </w:p>
    <w:p>
      <w:pPr>
        <w:spacing w:line="440" w:lineRule="exact"/>
        <w:ind w:firstLine="3150" w:firstLineChars="1500"/>
        <w:rPr>
          <w:rFonts w:ascii="宋体" w:hAnsi="宋体"/>
          <w:color w:val="auto"/>
          <w:sz w:val="20"/>
          <w:highlight w:val="none"/>
        </w:rPr>
      </w:pPr>
      <w:r>
        <w:rPr>
          <w:rFonts w:ascii="宋体" w:hAnsi="宋体"/>
          <w:color w:val="auto"/>
          <w:highlight w:val="none"/>
        </w:rPr>
        <w:t>年月日</w:t>
      </w:r>
    </w:p>
    <w:p>
      <w:pPr>
        <w:rPr>
          <w:rFonts w:ascii="宋体" w:hAnsi="宋体"/>
          <w:b/>
          <w:color w:val="auto"/>
          <w:sz w:val="28"/>
          <w:szCs w:val="28"/>
          <w:highlight w:val="none"/>
        </w:rPr>
      </w:pPr>
      <w:r>
        <w:rPr>
          <w:color w:val="auto"/>
          <w:szCs w:val="21"/>
          <w:highlight w:val="none"/>
        </w:rPr>
        <w:br w:type="page"/>
      </w:r>
      <w:bookmarkStart w:id="1928" w:name="_Toc404006886"/>
      <w:bookmarkStart w:id="1929" w:name="_Toc402532189"/>
      <w:r>
        <w:rPr>
          <w:rFonts w:hint="eastAsia" w:ascii="宋体" w:hAnsi="宋体"/>
          <w:b/>
          <w:color w:val="auto"/>
          <w:sz w:val="28"/>
          <w:szCs w:val="28"/>
          <w:highlight w:val="none"/>
        </w:rPr>
        <w:t>3、</w:t>
      </w:r>
      <w:bookmarkEnd w:id="1928"/>
      <w:bookmarkEnd w:id="1929"/>
      <w:r>
        <w:rPr>
          <w:rFonts w:hint="eastAsia" w:ascii="宋体" w:hAnsi="宋体"/>
          <w:b/>
          <w:color w:val="auto"/>
          <w:sz w:val="28"/>
          <w:szCs w:val="28"/>
          <w:highlight w:val="none"/>
        </w:rPr>
        <w:t>投标报价汇总一览表</w:t>
      </w:r>
    </w:p>
    <w:p>
      <w:pPr>
        <w:jc w:val="center"/>
        <w:rPr>
          <w:rFonts w:ascii="宋体" w:hAnsi="宋体"/>
          <w:b/>
          <w:color w:val="auto"/>
          <w:sz w:val="28"/>
          <w:szCs w:val="28"/>
          <w:highlight w:val="none"/>
        </w:rPr>
      </w:pPr>
    </w:p>
    <w:p>
      <w:pPr>
        <w:jc w:val="center"/>
        <w:rPr>
          <w:rFonts w:ascii="宋体" w:hAnsi="宋体"/>
          <w:b/>
          <w:color w:val="auto"/>
          <w:sz w:val="24"/>
          <w:szCs w:val="28"/>
          <w:highlight w:val="none"/>
        </w:rPr>
      </w:pPr>
      <w:r>
        <w:rPr>
          <w:rFonts w:hint="eastAsia" w:ascii="宋体" w:hAnsi="宋体"/>
          <w:b/>
          <w:color w:val="auto"/>
          <w:sz w:val="24"/>
          <w:szCs w:val="28"/>
          <w:highlight w:val="none"/>
        </w:rPr>
        <w:t>投标</w:t>
      </w:r>
      <w:r>
        <w:rPr>
          <w:rFonts w:ascii="宋体" w:hAnsi="宋体"/>
          <w:b/>
          <w:color w:val="auto"/>
          <w:sz w:val="24"/>
          <w:szCs w:val="28"/>
          <w:highlight w:val="none"/>
        </w:rPr>
        <w:t>报价</w:t>
      </w:r>
      <w:r>
        <w:rPr>
          <w:rFonts w:hint="eastAsia" w:ascii="宋体" w:hAnsi="宋体"/>
          <w:b/>
          <w:color w:val="auto"/>
          <w:sz w:val="24"/>
          <w:szCs w:val="28"/>
          <w:highlight w:val="none"/>
        </w:rPr>
        <w:t>表</w:t>
      </w:r>
    </w:p>
    <w:tbl>
      <w:tblPr>
        <w:tblStyle w:val="22"/>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26"/>
        <w:gridCol w:w="1797"/>
        <w:gridCol w:w="1701"/>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vMerge w:val="restart"/>
            <w:noWrap/>
            <w:vAlign w:val="center"/>
          </w:tcPr>
          <w:p>
            <w:pPr>
              <w:jc w:val="center"/>
              <w:rPr>
                <w:rFonts w:ascii="宋体" w:hAnsi="宋体"/>
                <w:color w:val="auto"/>
                <w:sz w:val="22"/>
                <w:szCs w:val="28"/>
                <w:highlight w:val="none"/>
              </w:rPr>
            </w:pPr>
            <w:r>
              <w:rPr>
                <w:rFonts w:hint="eastAsia" w:ascii="宋体" w:hAnsi="宋体"/>
                <w:color w:val="auto"/>
                <w:sz w:val="22"/>
                <w:szCs w:val="28"/>
                <w:highlight w:val="none"/>
              </w:rPr>
              <w:t>序号</w:t>
            </w:r>
          </w:p>
        </w:tc>
        <w:tc>
          <w:tcPr>
            <w:tcW w:w="1026" w:type="dxa"/>
            <w:vMerge w:val="restart"/>
            <w:tcBorders>
              <w:tl2br w:val="single" w:color="auto" w:sz="4" w:space="0"/>
            </w:tcBorders>
            <w:noWrap/>
            <w:vAlign w:val="center"/>
          </w:tcPr>
          <w:p>
            <w:pPr>
              <w:jc w:val="center"/>
              <w:rPr>
                <w:rFonts w:ascii="宋体" w:hAnsi="宋体"/>
                <w:color w:val="auto"/>
                <w:sz w:val="16"/>
                <w:szCs w:val="28"/>
                <w:highlight w:val="none"/>
              </w:rPr>
            </w:pPr>
            <w:r>
              <w:rPr>
                <w:rFonts w:hint="eastAsia" w:ascii="宋体" w:hAnsi="宋体"/>
                <w:color w:val="auto"/>
                <w:sz w:val="16"/>
                <w:szCs w:val="28"/>
                <w:highlight w:val="none"/>
              </w:rPr>
              <w:t xml:space="preserve">   项目费用</w:t>
            </w:r>
          </w:p>
          <w:p>
            <w:pPr>
              <w:rPr>
                <w:rFonts w:ascii="宋体" w:hAnsi="宋体"/>
                <w:color w:val="auto"/>
                <w:sz w:val="22"/>
                <w:szCs w:val="28"/>
                <w:highlight w:val="none"/>
              </w:rPr>
            </w:pPr>
            <w:r>
              <w:rPr>
                <w:rFonts w:hint="eastAsia" w:ascii="宋体" w:hAnsi="宋体"/>
                <w:color w:val="auto"/>
                <w:sz w:val="16"/>
                <w:szCs w:val="28"/>
                <w:highlight w:val="none"/>
              </w:rPr>
              <w:t>工程名称</w:t>
            </w:r>
          </w:p>
        </w:tc>
        <w:tc>
          <w:tcPr>
            <w:tcW w:w="1797" w:type="dxa"/>
            <w:noWrap/>
          </w:tcPr>
          <w:p>
            <w:pPr>
              <w:jc w:val="center"/>
              <w:rPr>
                <w:rFonts w:ascii="宋体" w:hAnsi="宋体"/>
                <w:color w:val="auto"/>
                <w:sz w:val="22"/>
                <w:szCs w:val="28"/>
                <w:highlight w:val="none"/>
              </w:rPr>
            </w:pPr>
          </w:p>
        </w:tc>
        <w:tc>
          <w:tcPr>
            <w:tcW w:w="4942" w:type="dxa"/>
            <w:gridSpan w:val="2"/>
            <w:noWrap/>
          </w:tcPr>
          <w:p>
            <w:pPr>
              <w:jc w:val="center"/>
              <w:rPr>
                <w:rFonts w:ascii="宋体" w:hAnsi="宋体"/>
                <w:color w:val="auto"/>
                <w:sz w:val="22"/>
                <w:szCs w:val="28"/>
                <w:highlight w:val="none"/>
              </w:rPr>
            </w:pPr>
            <w:r>
              <w:rPr>
                <w:rFonts w:hint="eastAsia" w:ascii="宋体" w:hAnsi="宋体"/>
                <w:color w:val="auto"/>
                <w:sz w:val="22"/>
                <w:szCs w:val="28"/>
                <w:highlight w:val="none"/>
              </w:rPr>
              <w:t>造价（</w:t>
            </w:r>
            <w:r>
              <w:rPr>
                <w:rFonts w:hint="eastAsia" w:ascii="宋体" w:hAnsi="宋体"/>
                <w:color w:val="auto"/>
                <w:sz w:val="22"/>
                <w:szCs w:val="28"/>
                <w:highlight w:val="none"/>
                <w:lang w:val="en-US" w:eastAsia="zh-CN"/>
              </w:rPr>
              <w:t xml:space="preserve"> </w:t>
            </w:r>
            <w:r>
              <w:rPr>
                <w:rFonts w:hint="eastAsia" w:ascii="宋体" w:hAnsi="宋体"/>
                <w:color w:val="auto"/>
                <w:sz w:val="22"/>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vMerge w:val="continue"/>
            <w:noWrap/>
          </w:tcPr>
          <w:p>
            <w:pPr>
              <w:rPr>
                <w:rFonts w:ascii="宋体" w:hAnsi="宋体"/>
                <w:color w:val="auto"/>
                <w:sz w:val="22"/>
                <w:szCs w:val="28"/>
                <w:highlight w:val="none"/>
              </w:rPr>
            </w:pPr>
          </w:p>
        </w:tc>
        <w:tc>
          <w:tcPr>
            <w:tcW w:w="1026" w:type="dxa"/>
            <w:vMerge w:val="continue"/>
            <w:tcBorders>
              <w:tl2br w:val="single" w:color="auto" w:sz="4" w:space="0"/>
            </w:tcBorders>
            <w:noWrap/>
          </w:tcPr>
          <w:p>
            <w:pPr>
              <w:rPr>
                <w:rFonts w:ascii="宋体" w:hAnsi="宋体"/>
                <w:color w:val="auto"/>
                <w:sz w:val="22"/>
                <w:szCs w:val="28"/>
                <w:highlight w:val="none"/>
              </w:rPr>
            </w:pPr>
          </w:p>
        </w:tc>
        <w:tc>
          <w:tcPr>
            <w:tcW w:w="1797" w:type="dxa"/>
            <w:noWrap/>
          </w:tcPr>
          <w:p>
            <w:pPr>
              <w:jc w:val="center"/>
              <w:rPr>
                <w:rFonts w:ascii="宋体" w:hAnsi="宋体"/>
                <w:color w:val="auto"/>
                <w:sz w:val="22"/>
                <w:szCs w:val="28"/>
                <w:highlight w:val="none"/>
              </w:rPr>
            </w:pPr>
            <w:r>
              <w:rPr>
                <w:rFonts w:hint="eastAsia" w:ascii="宋体" w:hAnsi="宋体"/>
                <w:color w:val="auto"/>
                <w:sz w:val="22"/>
                <w:szCs w:val="28"/>
                <w:highlight w:val="none"/>
              </w:rPr>
              <w:t>建筑安装工程费（含改造费）</w:t>
            </w:r>
          </w:p>
        </w:tc>
        <w:tc>
          <w:tcPr>
            <w:tcW w:w="1701" w:type="dxa"/>
            <w:noWrap/>
          </w:tcPr>
          <w:p>
            <w:pPr>
              <w:jc w:val="center"/>
              <w:rPr>
                <w:rFonts w:ascii="宋体" w:hAnsi="宋体"/>
                <w:color w:val="auto"/>
                <w:sz w:val="22"/>
                <w:szCs w:val="28"/>
                <w:highlight w:val="none"/>
              </w:rPr>
            </w:pPr>
            <w:r>
              <w:rPr>
                <w:rFonts w:hint="eastAsia" w:ascii="宋体" w:hAnsi="宋体"/>
                <w:color w:val="auto"/>
                <w:sz w:val="22"/>
                <w:szCs w:val="28"/>
                <w:highlight w:val="none"/>
              </w:rPr>
              <w:t>设计费</w:t>
            </w:r>
          </w:p>
        </w:tc>
        <w:tc>
          <w:tcPr>
            <w:tcW w:w="3241" w:type="dxa"/>
            <w:noWrap/>
          </w:tcPr>
          <w:p>
            <w:pPr>
              <w:jc w:val="center"/>
              <w:rPr>
                <w:rFonts w:ascii="宋体" w:hAnsi="宋体"/>
                <w:color w:val="auto"/>
                <w:sz w:val="22"/>
                <w:szCs w:val="28"/>
                <w:highlight w:val="none"/>
              </w:rPr>
            </w:pPr>
            <w:r>
              <w:rPr>
                <w:rFonts w:hint="eastAsia" w:ascii="宋体" w:hAnsi="宋体"/>
                <w:color w:val="auto"/>
                <w:sz w:val="22"/>
                <w:szCs w:val="28"/>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noWrap/>
          </w:tcPr>
          <w:p>
            <w:pPr>
              <w:rPr>
                <w:rFonts w:ascii="宋体" w:hAnsi="宋体"/>
                <w:color w:val="auto"/>
                <w:sz w:val="22"/>
                <w:szCs w:val="28"/>
                <w:highlight w:val="none"/>
              </w:rPr>
            </w:pPr>
          </w:p>
        </w:tc>
        <w:tc>
          <w:tcPr>
            <w:tcW w:w="1026" w:type="dxa"/>
            <w:noWrap/>
          </w:tcPr>
          <w:p>
            <w:pPr>
              <w:rPr>
                <w:rFonts w:ascii="宋体" w:hAnsi="宋体"/>
                <w:color w:val="auto"/>
                <w:sz w:val="22"/>
                <w:szCs w:val="28"/>
                <w:highlight w:val="none"/>
              </w:rPr>
            </w:pPr>
          </w:p>
        </w:tc>
        <w:tc>
          <w:tcPr>
            <w:tcW w:w="1797" w:type="dxa"/>
            <w:noWrap/>
          </w:tcPr>
          <w:p>
            <w:pPr>
              <w:rPr>
                <w:rFonts w:ascii="宋体" w:hAnsi="宋体"/>
                <w:color w:val="auto"/>
                <w:sz w:val="22"/>
                <w:szCs w:val="28"/>
                <w:highlight w:val="none"/>
              </w:rPr>
            </w:pPr>
          </w:p>
        </w:tc>
        <w:tc>
          <w:tcPr>
            <w:tcW w:w="1701" w:type="dxa"/>
            <w:noWrap/>
          </w:tcPr>
          <w:p>
            <w:pPr>
              <w:rPr>
                <w:rFonts w:ascii="宋体" w:hAnsi="宋体"/>
                <w:color w:val="auto"/>
                <w:sz w:val="22"/>
                <w:szCs w:val="28"/>
                <w:highlight w:val="none"/>
              </w:rPr>
            </w:pPr>
          </w:p>
        </w:tc>
        <w:tc>
          <w:tcPr>
            <w:tcW w:w="3241" w:type="dxa"/>
            <w:noWrap/>
          </w:tcPr>
          <w:p>
            <w:pPr>
              <w:rPr>
                <w:rFonts w:ascii="宋体" w:hAnsi="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noWrap/>
          </w:tcPr>
          <w:p>
            <w:pPr>
              <w:rPr>
                <w:rFonts w:ascii="宋体" w:hAnsi="宋体"/>
                <w:color w:val="auto"/>
                <w:sz w:val="22"/>
                <w:szCs w:val="28"/>
                <w:highlight w:val="none"/>
              </w:rPr>
            </w:pPr>
          </w:p>
        </w:tc>
        <w:tc>
          <w:tcPr>
            <w:tcW w:w="1026" w:type="dxa"/>
            <w:noWrap/>
          </w:tcPr>
          <w:p>
            <w:pPr>
              <w:rPr>
                <w:rFonts w:ascii="宋体" w:hAnsi="宋体"/>
                <w:color w:val="auto"/>
                <w:sz w:val="22"/>
                <w:szCs w:val="28"/>
                <w:highlight w:val="none"/>
              </w:rPr>
            </w:pPr>
          </w:p>
        </w:tc>
        <w:tc>
          <w:tcPr>
            <w:tcW w:w="1797" w:type="dxa"/>
            <w:noWrap/>
          </w:tcPr>
          <w:p>
            <w:pPr>
              <w:rPr>
                <w:rFonts w:ascii="宋体" w:hAnsi="宋体"/>
                <w:color w:val="auto"/>
                <w:sz w:val="22"/>
                <w:szCs w:val="28"/>
                <w:highlight w:val="none"/>
              </w:rPr>
            </w:pPr>
          </w:p>
        </w:tc>
        <w:tc>
          <w:tcPr>
            <w:tcW w:w="1701" w:type="dxa"/>
            <w:noWrap/>
          </w:tcPr>
          <w:p>
            <w:pPr>
              <w:rPr>
                <w:rFonts w:ascii="宋体" w:hAnsi="宋体"/>
                <w:color w:val="auto"/>
                <w:sz w:val="22"/>
                <w:szCs w:val="28"/>
                <w:highlight w:val="none"/>
              </w:rPr>
            </w:pPr>
          </w:p>
        </w:tc>
        <w:tc>
          <w:tcPr>
            <w:tcW w:w="3241" w:type="dxa"/>
            <w:noWrap/>
          </w:tcPr>
          <w:p>
            <w:pPr>
              <w:rPr>
                <w:rFonts w:ascii="宋体" w:hAnsi="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noWrap/>
          </w:tcPr>
          <w:p>
            <w:pPr>
              <w:rPr>
                <w:rFonts w:ascii="宋体" w:hAnsi="宋体"/>
                <w:color w:val="auto"/>
                <w:sz w:val="22"/>
                <w:szCs w:val="28"/>
                <w:highlight w:val="none"/>
              </w:rPr>
            </w:pPr>
          </w:p>
        </w:tc>
        <w:tc>
          <w:tcPr>
            <w:tcW w:w="1026" w:type="dxa"/>
            <w:noWrap/>
          </w:tcPr>
          <w:p>
            <w:pPr>
              <w:rPr>
                <w:rFonts w:ascii="宋体" w:hAnsi="宋体"/>
                <w:color w:val="auto"/>
                <w:sz w:val="22"/>
                <w:szCs w:val="28"/>
                <w:highlight w:val="none"/>
              </w:rPr>
            </w:pPr>
          </w:p>
        </w:tc>
        <w:tc>
          <w:tcPr>
            <w:tcW w:w="1797" w:type="dxa"/>
            <w:noWrap/>
          </w:tcPr>
          <w:p>
            <w:pPr>
              <w:rPr>
                <w:rFonts w:ascii="宋体" w:hAnsi="宋体"/>
                <w:color w:val="auto"/>
                <w:sz w:val="22"/>
                <w:szCs w:val="28"/>
                <w:highlight w:val="none"/>
              </w:rPr>
            </w:pPr>
          </w:p>
        </w:tc>
        <w:tc>
          <w:tcPr>
            <w:tcW w:w="1701" w:type="dxa"/>
            <w:noWrap/>
          </w:tcPr>
          <w:p>
            <w:pPr>
              <w:rPr>
                <w:rFonts w:ascii="宋体" w:hAnsi="宋体"/>
                <w:color w:val="auto"/>
                <w:sz w:val="22"/>
                <w:szCs w:val="28"/>
                <w:highlight w:val="none"/>
              </w:rPr>
            </w:pPr>
          </w:p>
        </w:tc>
        <w:tc>
          <w:tcPr>
            <w:tcW w:w="3241" w:type="dxa"/>
            <w:noWrap/>
          </w:tcPr>
          <w:p>
            <w:pPr>
              <w:rPr>
                <w:rFonts w:ascii="宋体" w:hAnsi="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noWrap/>
          </w:tcPr>
          <w:p>
            <w:pPr>
              <w:rPr>
                <w:rFonts w:ascii="宋体" w:hAnsi="宋体"/>
                <w:color w:val="auto"/>
                <w:sz w:val="22"/>
                <w:szCs w:val="28"/>
                <w:highlight w:val="none"/>
              </w:rPr>
            </w:pPr>
          </w:p>
        </w:tc>
        <w:tc>
          <w:tcPr>
            <w:tcW w:w="1026" w:type="dxa"/>
            <w:noWrap/>
          </w:tcPr>
          <w:p>
            <w:pPr>
              <w:rPr>
                <w:rFonts w:ascii="宋体" w:hAnsi="宋体"/>
                <w:color w:val="auto"/>
                <w:sz w:val="22"/>
                <w:szCs w:val="28"/>
                <w:highlight w:val="none"/>
              </w:rPr>
            </w:pPr>
          </w:p>
        </w:tc>
        <w:tc>
          <w:tcPr>
            <w:tcW w:w="1797" w:type="dxa"/>
            <w:noWrap/>
          </w:tcPr>
          <w:p>
            <w:pPr>
              <w:rPr>
                <w:rFonts w:ascii="宋体" w:hAnsi="宋体"/>
                <w:color w:val="auto"/>
                <w:sz w:val="22"/>
                <w:szCs w:val="28"/>
                <w:highlight w:val="none"/>
              </w:rPr>
            </w:pPr>
          </w:p>
        </w:tc>
        <w:tc>
          <w:tcPr>
            <w:tcW w:w="1701" w:type="dxa"/>
            <w:noWrap/>
          </w:tcPr>
          <w:p>
            <w:pPr>
              <w:rPr>
                <w:rFonts w:ascii="宋体" w:hAnsi="宋体"/>
                <w:color w:val="auto"/>
                <w:sz w:val="22"/>
                <w:szCs w:val="28"/>
                <w:highlight w:val="none"/>
              </w:rPr>
            </w:pPr>
          </w:p>
        </w:tc>
        <w:tc>
          <w:tcPr>
            <w:tcW w:w="3241" w:type="dxa"/>
            <w:noWrap/>
          </w:tcPr>
          <w:p>
            <w:pPr>
              <w:rPr>
                <w:rFonts w:ascii="宋体" w:hAnsi="宋体"/>
                <w:color w:val="auto"/>
                <w:sz w:val="22"/>
                <w:szCs w:val="28"/>
                <w:highlight w:val="none"/>
              </w:rPr>
            </w:pPr>
          </w:p>
        </w:tc>
      </w:tr>
    </w:tbl>
    <w:p>
      <w:pPr>
        <w:rPr>
          <w:rFonts w:ascii="宋体" w:hAnsi="宋体"/>
          <w:b/>
          <w:color w:val="auto"/>
          <w:sz w:val="28"/>
          <w:szCs w:val="28"/>
          <w:highlight w:val="none"/>
        </w:rPr>
      </w:pPr>
    </w:p>
    <w:p>
      <w:pPr>
        <w:jc w:val="center"/>
        <w:rPr>
          <w:rFonts w:hint="default" w:ascii="宋体" w:hAnsi="宋体" w:eastAsia="宋体"/>
          <w:b/>
          <w:color w:val="auto"/>
          <w:sz w:val="28"/>
          <w:szCs w:val="28"/>
          <w:highlight w:val="none"/>
          <w:lang w:val="en-US" w:eastAsia="zh-CN"/>
        </w:rPr>
      </w:pPr>
      <w:r>
        <w:rPr>
          <w:rFonts w:hint="eastAsia" w:ascii="宋体" w:hAnsi="宋体"/>
          <w:b/>
          <w:color w:val="auto"/>
          <w:sz w:val="28"/>
          <w:szCs w:val="28"/>
          <w:highlight w:val="none"/>
          <w:lang w:eastAsia="zh-CN"/>
        </w:rPr>
        <w:t>投标报价组成表</w:t>
      </w:r>
      <w:r>
        <w:rPr>
          <w:rFonts w:hint="eastAsia" w:ascii="宋体" w:hAnsi="宋体"/>
          <w:b/>
          <w:color w:val="auto"/>
          <w:sz w:val="28"/>
          <w:szCs w:val="28"/>
          <w:highlight w:val="none"/>
          <w:lang w:val="en-US" w:eastAsia="zh-CN"/>
        </w:rPr>
        <w:t>(仅做为工程费用组成参考,后期总价均不给予调整)</w:t>
      </w:r>
    </w:p>
    <w:p>
      <w:pPr>
        <w:jc w:val="center"/>
        <w:rPr>
          <w:rFonts w:ascii="宋体" w:hAnsi="宋体"/>
          <w:b/>
          <w:color w:val="auto"/>
          <w:sz w:val="28"/>
          <w:szCs w:val="28"/>
          <w:highlight w:val="none"/>
        </w:rPr>
      </w:pPr>
    </w:p>
    <w:tbl>
      <w:tblPr>
        <w:tblStyle w:val="22"/>
        <w:tblW w:w="8055" w:type="dxa"/>
        <w:tblInd w:w="5" w:type="dxa"/>
        <w:tblLayout w:type="autofit"/>
        <w:tblCellMar>
          <w:top w:w="0" w:type="dxa"/>
          <w:left w:w="0" w:type="dxa"/>
          <w:bottom w:w="0" w:type="dxa"/>
          <w:right w:w="0" w:type="dxa"/>
        </w:tblCellMar>
      </w:tblPr>
      <w:tblGrid>
        <w:gridCol w:w="639"/>
        <w:gridCol w:w="506"/>
        <w:gridCol w:w="1079"/>
        <w:gridCol w:w="2113"/>
        <w:gridCol w:w="674"/>
        <w:gridCol w:w="855"/>
        <w:gridCol w:w="765"/>
        <w:gridCol w:w="1424"/>
      </w:tblGrid>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序号</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项目</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分项名称</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项目特征描述</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 xml:space="preserve">计量 </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工程量（暂估）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全费</w:t>
            </w:r>
            <w:r>
              <w:rPr>
                <w:rFonts w:cs="宋体" w:asciiTheme="minorEastAsia" w:hAnsiTheme="minorEastAsia" w:eastAsiaTheme="minorEastAsia"/>
                <w:color w:val="auto"/>
                <w:kern w:val="0"/>
                <w:szCs w:val="21"/>
                <w:highlight w:val="none"/>
              </w:rPr>
              <w:t>用</w:t>
            </w:r>
            <w:r>
              <w:rPr>
                <w:rFonts w:hint="eastAsia" w:cs="宋体" w:asciiTheme="minorEastAsia" w:hAnsiTheme="minorEastAsia" w:eastAsiaTheme="minorEastAsia"/>
                <w:color w:val="auto"/>
                <w:kern w:val="0"/>
                <w:szCs w:val="21"/>
                <w:highlight w:val="none"/>
              </w:rPr>
              <w:t>单价</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合价</w:t>
            </w:r>
          </w:p>
        </w:tc>
      </w:tr>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基础垫层混凝土</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1.混凝土种类: 商品混凝土</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2.混凝土强度等级: C15</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3.泵送</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M³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40.0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27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2</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钢筋混凝土结构</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基础底板混凝土</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1.混凝土种类: 商品混凝土型钢混凝土</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2.混凝土强度等级: C40 P6</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3.泵送</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M³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750.0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297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3</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反力墙混凝土</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1.混凝土种类: 清水商品混凝土型钢混凝土</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2.混凝土强度等级: C40</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3.部分人工浇灌，二次搬运</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M³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380.0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297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4</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梁板混凝土</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1.混凝土种类: 清水商品混凝土</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2.混凝土强度等级: C40</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3.部分人工浇灌，二次搬运</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M³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30.0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297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5</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现浇构件钢筋</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1.三级钢 HPB400 φ10－18钢筋制作及安装</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35.2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54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6</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现浇构件钢筋</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三级钢 HPB400 φ20－25钢筋制作及安装</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155.0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27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7</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钢筋接头</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直螺纹钢筋机械连接</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6500.0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405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8</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金属结构工程</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槽道（反力平台）</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1.钢材种类：Q345槽钢等</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2.制作、安装、运输、防锈、精密加工</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3.部位：反力平台，约350kg/m</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4.应考虑施工工艺的特殊性、精度要求高</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m</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370.0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405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9</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加载孔（反力墙）</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1.钢材种类：Q235无缝钢管</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2.制作、安装、运输、防锈、精密加工</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3.部位：反力墙</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4.应考虑施工工艺的特殊性和复杂性</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544.0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819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10</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新型锚孔（反力平台）</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1.钢材种类：特种钢</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2.规格：Q345</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3.制作、安装、运输、防锈、精密加工</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4.部位：反力平台，可拆缷式专用锚孔</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5.应考虑施工工艺的特殊性和复杂性</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8.0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35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11</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定位钢支架（反力墙与反力平台）</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1.钢材种类：10#槽钢5#槽钢</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2.规格：Q235B</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3.制作、安装、运输、防锈</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4.部位：锚孔及加载孔之定位型钢</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5.应考虑施工工艺的特殊性和复杂性</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42.0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135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12</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钢梯及预埋件</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1.钢材品种、规格：Q235B</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2.钢梯形式：踏步式钢梯</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3.工作内容：制作、安装、运输、防锈漆两遍、面漆两遍、防火漆一遍</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135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13</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栏杆扶手</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1.钢材品种、规格见详图，Q235B</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2.工作内容：制作、安装、运输、防锈漆两遍、面漆两遍、防火漆一遍</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m</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75.0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54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14</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装修</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反力平台环氧漆</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1.基层清理</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2.环氧厚度0.5mm</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395.0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54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15</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反力墙面漆</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1.基层清理</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2.环氧厚度0.5mm</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465.0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54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16</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内墙涂料</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1.基层清理</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2.一底二涂</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280.0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10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17</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电气工程　</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电气</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1.管线预埋；</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2.插座灯具等安装</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54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18</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技术措施项目</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筏板基础砖胎膜</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1.包括砌体、砂浆、等材料</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2.挡墙240厚，材料二次搬运</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150.0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54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19</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筏板基础砖膜粉刷</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1.面层材料：水泥砂浆</w:t>
            </w:r>
            <w:r>
              <w:rPr>
                <w:rFonts w:hint="eastAsia" w:cs="宋体" w:asciiTheme="minorEastAsia" w:hAnsiTheme="minorEastAsia" w:eastAsiaTheme="minorEastAsia"/>
                <w:color w:val="auto"/>
                <w:kern w:val="0"/>
                <w:szCs w:val="21"/>
                <w:highlight w:val="none"/>
              </w:rPr>
              <w:br w:type="textWrapping"/>
            </w:r>
            <w:r>
              <w:rPr>
                <w:rFonts w:hint="eastAsia" w:cs="宋体" w:asciiTheme="minorEastAsia" w:hAnsiTheme="minorEastAsia" w:eastAsiaTheme="minorEastAsia"/>
                <w:color w:val="auto"/>
                <w:kern w:val="0"/>
                <w:szCs w:val="21"/>
                <w:highlight w:val="none"/>
              </w:rPr>
              <w:t>2.粉刷厚度：20mm</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150.0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cs="宋体" w:asciiTheme="minorEastAsia" w:hAnsiTheme="minorEastAsia" w:eastAsiaTheme="minorEastAsia"/>
                <w:color w:val="auto"/>
                <w:szCs w:val="21"/>
                <w:highlight w:val="none"/>
              </w:rPr>
            </w:pPr>
          </w:p>
        </w:tc>
      </w:tr>
      <w:tr>
        <w:tblPrEx>
          <w:tblCellMar>
            <w:top w:w="0" w:type="dxa"/>
            <w:left w:w="0" w:type="dxa"/>
            <w:bottom w:w="0" w:type="dxa"/>
            <w:right w:w="0" w:type="dxa"/>
          </w:tblCellMar>
        </w:tblPrEx>
        <w:trPr>
          <w:trHeight w:val="432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20</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2"/>
                <w:szCs w:val="22"/>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反力墙清水模板及支架</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1.工作内容：包括清水模板制作、清理、场内运输、安装、刷隔离剂、模板维护、拆除、集中堆放、场外运输</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2.符合设计要求垂直度平整度；</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3.一次性摊销，不计损耗</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rPr>
              <w:t>565.0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135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21</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有梁板内墙模板及支架</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1.工作内容：包括清水模板制作、清理、场内运输、安装、刷隔离剂、模板维护、拆除、集中堆放、场外运输</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2.一次性摊销，不计损耗</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rPr>
              <w:t>344.0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54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22</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外脚手架</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1.脚手架材料；</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2.脚手架搭设和拆除；</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rPr>
              <w:t>600.0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10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23</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大体积混凝降温措施</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1.温度监控措施；</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2.循环水降温，方管间距1m；</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3.套管内灌浆；</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24</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大型机械设备进出场及安拆</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1.材料设备预埋件等吊装</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2.25T吊车进出场费</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台班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r>
              <w:rPr>
                <w:rFonts w:hint="eastAsia" w:ascii="宋体" w:hAnsi="宋体" w:cs="宋体"/>
                <w:color w:val="auto"/>
                <w:kern w:val="0"/>
                <w:szCs w:val="21"/>
                <w:highlight w:val="none"/>
              </w:rPr>
              <w:t>20.0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50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改造</w:t>
            </w:r>
            <w:r>
              <w:rPr>
                <w:rFonts w:ascii="宋体" w:hAnsi="宋体" w:cs="宋体"/>
                <w:color w:val="auto"/>
                <w:szCs w:val="21"/>
                <w:highlight w:val="none"/>
              </w:rPr>
              <w:t>项目</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钢筋除锈</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1.原基础外露竖向钢筋除锈；</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2.除锈剂及工具；</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w:t>
            </w:r>
          </w:p>
        </w:tc>
        <w:tc>
          <w:tcPr>
            <w:tcW w:w="5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钢筋割除</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1.对不能利用的多余钢筋割除处理；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2.乙炔设备割除；</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r>
              <w:rPr>
                <w:rFonts w:hint="eastAsia" w:ascii="宋体" w:hAnsi="宋体" w:cs="宋体"/>
                <w:color w:val="auto"/>
                <w:kern w:val="0"/>
                <w:szCs w:val="21"/>
                <w:highlight w:val="none"/>
              </w:rPr>
              <w:tab/>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5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取</w:t>
            </w:r>
            <w:r>
              <w:rPr>
                <w:rFonts w:ascii="宋体" w:hAnsi="宋体" w:cs="宋体"/>
                <w:color w:val="auto"/>
                <w:kern w:val="0"/>
                <w:szCs w:val="21"/>
                <w:highlight w:val="none"/>
              </w:rPr>
              <w:t>土</w:t>
            </w:r>
            <w:r>
              <w:rPr>
                <w:rFonts w:hint="eastAsia" w:ascii="宋体" w:hAnsi="宋体" w:cs="宋体"/>
                <w:color w:val="auto"/>
                <w:kern w:val="0"/>
                <w:szCs w:val="21"/>
                <w:highlight w:val="none"/>
              </w:rPr>
              <w:t>回</w:t>
            </w:r>
            <w:r>
              <w:rPr>
                <w:rFonts w:ascii="宋体" w:hAnsi="宋体" w:cs="宋体"/>
                <w:color w:val="auto"/>
                <w:kern w:val="0"/>
                <w:szCs w:val="21"/>
                <w:highlight w:val="none"/>
              </w:rPr>
              <w:t>填</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1.回填土，小型机械分层@300压实；</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2.校内运土，运距5km内；</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3.压实密实度符合规范要求；</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ascii="宋体" w:hAnsi="宋体" w:cs="宋体"/>
                <w:color w:val="auto"/>
                <w:kern w:val="0"/>
                <w:szCs w:val="21"/>
                <w:highlight w:val="none"/>
              </w:rPr>
              <w:t>M³</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570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5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混凝土地坪</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1.200厚C30混凝土,内配筋双层双向Φ16@200；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2.地坪下回填150mm厚碎石；</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5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行车爬梯</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1.攀爬钢梯，自反力墙楼梯自行车梁，设计并施工；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2.防锈漆面层；</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30</w:t>
            </w:r>
          </w:p>
        </w:tc>
        <w:tc>
          <w:tcPr>
            <w:tcW w:w="5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混凝土壁开孔</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1.壁厚300mm，尺寸0.5m*0.5m；</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31</w:t>
            </w:r>
          </w:p>
        </w:tc>
        <w:tc>
          <w:tcPr>
            <w:tcW w:w="5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弱电线管</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1.油源室、反力平台至监控室；</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m</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81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5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防水修补</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原油源室四周防水修补</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270" w:hRule="atLeast"/>
        </w:trPr>
        <w:tc>
          <w:tcPr>
            <w:tcW w:w="586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r>
              <w:rPr>
                <w:rFonts w:hint="eastAsia" w:ascii="宋体" w:hAnsi="宋体" w:cs="宋体"/>
                <w:color w:val="auto"/>
                <w:kern w:val="0"/>
                <w:szCs w:val="21"/>
                <w:highlight w:val="none"/>
              </w:rPr>
              <w:t>合计</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Cs w:val="21"/>
                <w:highlight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Cs w:val="21"/>
                <w:highlight w:val="none"/>
              </w:rPr>
            </w:pPr>
          </w:p>
        </w:tc>
      </w:tr>
    </w:tbl>
    <w:p>
      <w:pPr>
        <w:pStyle w:val="7"/>
        <w:rPr>
          <w:color w:val="auto"/>
          <w:highlight w:val="none"/>
        </w:rPr>
      </w:pPr>
    </w:p>
    <w:p>
      <w:pPr>
        <w:pStyle w:val="7"/>
        <w:rPr>
          <w:color w:val="auto"/>
          <w:highlight w:val="none"/>
        </w:rPr>
      </w:pPr>
    </w:p>
    <w:p>
      <w:pPr>
        <w:pStyle w:val="7"/>
        <w:rPr>
          <w:color w:val="auto"/>
          <w:highlight w:val="none"/>
        </w:rPr>
      </w:pPr>
    </w:p>
    <w:p>
      <w:pPr>
        <w:rPr>
          <w:rFonts w:ascii="宋体" w:hAnsi="宋体"/>
          <w:b/>
          <w:color w:val="auto"/>
          <w:sz w:val="28"/>
          <w:szCs w:val="28"/>
          <w:highlight w:val="none"/>
        </w:rPr>
      </w:pPr>
      <w:r>
        <w:rPr>
          <w:rFonts w:hint="eastAsia" w:ascii="宋体" w:hAnsi="宋体"/>
          <w:b/>
          <w:color w:val="auto"/>
          <w:sz w:val="28"/>
          <w:szCs w:val="28"/>
          <w:highlight w:val="none"/>
          <w:lang w:val="en-US" w:eastAsia="zh-CN"/>
        </w:rPr>
        <w:t>4</w:t>
      </w:r>
      <w:r>
        <w:rPr>
          <w:rFonts w:hint="eastAsia" w:ascii="宋体" w:hAnsi="宋体"/>
          <w:b/>
          <w:color w:val="auto"/>
          <w:sz w:val="28"/>
          <w:szCs w:val="28"/>
          <w:highlight w:val="none"/>
        </w:rPr>
        <w:t>、主要材料设备清单</w:t>
      </w:r>
    </w:p>
    <w:p>
      <w:pPr>
        <w:jc w:val="center"/>
        <w:rPr>
          <w:rFonts w:ascii="宋体" w:hAnsi="宋体"/>
          <w:b/>
          <w:color w:val="auto"/>
          <w:sz w:val="28"/>
          <w:szCs w:val="28"/>
          <w:highlight w:val="none"/>
        </w:rPr>
      </w:pPr>
    </w:p>
    <w:tbl>
      <w:tblPr>
        <w:tblStyle w:val="22"/>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350"/>
        <w:gridCol w:w="1673"/>
        <w:gridCol w:w="16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noWrap/>
            <w:vAlign w:val="center"/>
          </w:tcPr>
          <w:p>
            <w:pPr>
              <w:jc w:val="center"/>
              <w:rPr>
                <w:rFonts w:ascii="宋体" w:hAnsi="宋体"/>
                <w:b/>
                <w:color w:val="auto"/>
                <w:sz w:val="22"/>
                <w:highlight w:val="none"/>
              </w:rPr>
            </w:pPr>
            <w:r>
              <w:rPr>
                <w:rFonts w:hint="eastAsia" w:ascii="宋体" w:hAnsi="宋体"/>
                <w:b/>
                <w:color w:val="auto"/>
                <w:sz w:val="22"/>
                <w:highlight w:val="none"/>
              </w:rPr>
              <w:t>序号</w:t>
            </w:r>
          </w:p>
        </w:tc>
        <w:tc>
          <w:tcPr>
            <w:tcW w:w="2350" w:type="dxa"/>
            <w:noWrap/>
            <w:vAlign w:val="center"/>
          </w:tcPr>
          <w:p>
            <w:pPr>
              <w:jc w:val="center"/>
              <w:rPr>
                <w:rFonts w:ascii="宋体" w:hAnsi="宋体"/>
                <w:b/>
                <w:color w:val="auto"/>
                <w:sz w:val="22"/>
                <w:highlight w:val="none"/>
              </w:rPr>
            </w:pPr>
            <w:r>
              <w:rPr>
                <w:rFonts w:hint="eastAsia" w:ascii="宋体" w:hAnsi="宋体"/>
                <w:b/>
                <w:color w:val="auto"/>
                <w:sz w:val="22"/>
                <w:highlight w:val="none"/>
              </w:rPr>
              <w:t>名称</w:t>
            </w:r>
          </w:p>
        </w:tc>
        <w:tc>
          <w:tcPr>
            <w:tcW w:w="1673" w:type="dxa"/>
            <w:noWrap/>
            <w:vAlign w:val="center"/>
          </w:tcPr>
          <w:p>
            <w:pPr>
              <w:jc w:val="center"/>
              <w:rPr>
                <w:rFonts w:ascii="宋体" w:hAnsi="宋体"/>
                <w:b/>
                <w:color w:val="auto"/>
                <w:sz w:val="22"/>
                <w:highlight w:val="none"/>
              </w:rPr>
            </w:pPr>
            <w:r>
              <w:rPr>
                <w:rFonts w:hint="eastAsia" w:ascii="宋体" w:hAnsi="宋体"/>
                <w:b/>
                <w:color w:val="auto"/>
                <w:sz w:val="22"/>
                <w:highlight w:val="none"/>
              </w:rPr>
              <w:t>参考品牌</w:t>
            </w:r>
          </w:p>
        </w:tc>
        <w:tc>
          <w:tcPr>
            <w:tcW w:w="1674" w:type="dxa"/>
            <w:noWrap/>
            <w:vAlign w:val="center"/>
          </w:tcPr>
          <w:p>
            <w:pPr>
              <w:jc w:val="center"/>
              <w:rPr>
                <w:rFonts w:ascii="宋体" w:hAnsi="宋体"/>
                <w:b/>
                <w:color w:val="auto"/>
                <w:sz w:val="22"/>
                <w:highlight w:val="none"/>
              </w:rPr>
            </w:pPr>
            <w:r>
              <w:rPr>
                <w:rFonts w:hint="eastAsia" w:ascii="宋体" w:hAnsi="宋体"/>
                <w:b/>
                <w:color w:val="auto"/>
                <w:sz w:val="22"/>
                <w:highlight w:val="none"/>
              </w:rPr>
              <w:t>档次</w:t>
            </w:r>
          </w:p>
        </w:tc>
        <w:tc>
          <w:tcPr>
            <w:tcW w:w="1674" w:type="dxa"/>
            <w:noWrap/>
            <w:vAlign w:val="center"/>
          </w:tcPr>
          <w:p>
            <w:pPr>
              <w:jc w:val="center"/>
              <w:rPr>
                <w:rFonts w:ascii="宋体" w:hAnsi="宋体"/>
                <w:b/>
                <w:color w:val="auto"/>
                <w:sz w:val="22"/>
                <w:highlight w:val="none"/>
              </w:rPr>
            </w:pPr>
            <w:r>
              <w:rPr>
                <w:rFonts w:hint="eastAsia" w:ascii="宋体" w:hAnsi="宋体"/>
                <w:b/>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36" w:type="dxa"/>
            <w:gridSpan w:val="5"/>
            <w:noWrap/>
            <w:vAlign w:val="center"/>
          </w:tcPr>
          <w:p>
            <w:pPr>
              <w:rPr>
                <w:rFonts w:ascii="宋体" w:hAnsi="宋体"/>
                <w:b/>
                <w:color w:val="auto"/>
                <w:sz w:val="22"/>
                <w:highlight w:val="none"/>
              </w:rPr>
            </w:pPr>
            <w:r>
              <w:rPr>
                <w:rFonts w:hint="eastAsia" w:ascii="宋体" w:hAnsi="宋体"/>
                <w:b/>
                <w:color w:val="auto"/>
                <w:sz w:val="22"/>
                <w:highlight w:val="none"/>
              </w:rPr>
              <w:t>一、土建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65" w:type="dxa"/>
            <w:noWrap/>
            <w:vAlign w:val="center"/>
          </w:tcPr>
          <w:p>
            <w:pPr>
              <w:jc w:val="center"/>
              <w:rPr>
                <w:rFonts w:ascii="宋体" w:hAnsi="宋体"/>
                <w:b/>
                <w:color w:val="auto"/>
                <w:sz w:val="22"/>
                <w:highlight w:val="none"/>
              </w:rPr>
            </w:pPr>
            <w:r>
              <w:rPr>
                <w:rFonts w:hint="eastAsia" w:ascii="宋体" w:hAnsi="宋体"/>
                <w:b/>
                <w:color w:val="auto"/>
                <w:sz w:val="22"/>
                <w:highlight w:val="none"/>
              </w:rPr>
              <w:t>1</w:t>
            </w:r>
          </w:p>
        </w:tc>
        <w:tc>
          <w:tcPr>
            <w:tcW w:w="2350" w:type="dxa"/>
            <w:noWrap/>
            <w:vAlign w:val="center"/>
          </w:tcPr>
          <w:p>
            <w:pPr>
              <w:jc w:val="center"/>
              <w:rPr>
                <w:rFonts w:ascii="宋体" w:hAnsi="宋体"/>
                <w:color w:val="auto"/>
                <w:sz w:val="22"/>
                <w:highlight w:val="none"/>
              </w:rPr>
            </w:pPr>
            <w:r>
              <w:rPr>
                <w:rFonts w:hint="eastAsia" w:ascii="宋体" w:hAnsi="宋体"/>
                <w:color w:val="auto"/>
                <w:sz w:val="22"/>
                <w:highlight w:val="none"/>
              </w:rPr>
              <w:t>商品砼</w:t>
            </w:r>
          </w:p>
        </w:tc>
        <w:tc>
          <w:tcPr>
            <w:tcW w:w="1673" w:type="dxa"/>
            <w:noWrap/>
            <w:vAlign w:val="center"/>
          </w:tcPr>
          <w:p>
            <w:pPr>
              <w:jc w:val="center"/>
              <w:rPr>
                <w:rFonts w:ascii="宋体" w:hAnsi="宋体"/>
                <w:b/>
                <w:color w:val="auto"/>
                <w:sz w:val="22"/>
                <w:highlight w:val="none"/>
              </w:rPr>
            </w:pPr>
          </w:p>
        </w:tc>
        <w:tc>
          <w:tcPr>
            <w:tcW w:w="1674" w:type="dxa"/>
            <w:noWrap/>
            <w:vAlign w:val="center"/>
          </w:tcPr>
          <w:p>
            <w:pPr>
              <w:jc w:val="center"/>
              <w:rPr>
                <w:rFonts w:ascii="宋体" w:hAnsi="宋体"/>
                <w:b/>
                <w:color w:val="auto"/>
                <w:sz w:val="22"/>
                <w:highlight w:val="none"/>
              </w:rPr>
            </w:pPr>
          </w:p>
        </w:tc>
        <w:tc>
          <w:tcPr>
            <w:tcW w:w="1674" w:type="dxa"/>
            <w:noWrap/>
            <w:vAlign w:val="center"/>
          </w:tcPr>
          <w:p>
            <w:pPr>
              <w:jc w:val="center"/>
              <w:rPr>
                <w:rFonts w:ascii="宋体" w:hAnsi="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noWrap/>
            <w:vAlign w:val="center"/>
          </w:tcPr>
          <w:p>
            <w:pPr>
              <w:jc w:val="center"/>
              <w:rPr>
                <w:rFonts w:ascii="宋体" w:hAnsi="宋体"/>
                <w:b/>
                <w:color w:val="auto"/>
                <w:sz w:val="22"/>
                <w:highlight w:val="none"/>
              </w:rPr>
            </w:pPr>
            <w:r>
              <w:rPr>
                <w:rFonts w:ascii="宋体" w:hAnsi="宋体"/>
                <w:b/>
                <w:color w:val="auto"/>
                <w:sz w:val="22"/>
                <w:highlight w:val="none"/>
              </w:rPr>
              <w:t>…</w:t>
            </w:r>
          </w:p>
        </w:tc>
        <w:tc>
          <w:tcPr>
            <w:tcW w:w="2350" w:type="dxa"/>
            <w:noWrap/>
            <w:vAlign w:val="center"/>
          </w:tcPr>
          <w:p>
            <w:pPr>
              <w:jc w:val="center"/>
              <w:rPr>
                <w:rFonts w:ascii="宋体" w:hAnsi="宋体"/>
                <w:b/>
                <w:color w:val="auto"/>
                <w:sz w:val="22"/>
                <w:highlight w:val="none"/>
              </w:rPr>
            </w:pPr>
            <w:r>
              <w:rPr>
                <w:rFonts w:ascii="宋体" w:hAnsi="宋体"/>
                <w:b/>
                <w:color w:val="auto"/>
                <w:sz w:val="22"/>
                <w:highlight w:val="none"/>
              </w:rPr>
              <w:t>…</w:t>
            </w:r>
          </w:p>
        </w:tc>
        <w:tc>
          <w:tcPr>
            <w:tcW w:w="1673" w:type="dxa"/>
            <w:noWrap/>
            <w:vAlign w:val="center"/>
          </w:tcPr>
          <w:p>
            <w:pPr>
              <w:jc w:val="center"/>
              <w:rPr>
                <w:rFonts w:ascii="宋体" w:hAnsi="宋体"/>
                <w:b/>
                <w:color w:val="auto"/>
                <w:sz w:val="22"/>
                <w:highlight w:val="none"/>
              </w:rPr>
            </w:pPr>
          </w:p>
        </w:tc>
        <w:tc>
          <w:tcPr>
            <w:tcW w:w="1674" w:type="dxa"/>
            <w:noWrap/>
            <w:vAlign w:val="center"/>
          </w:tcPr>
          <w:p>
            <w:pPr>
              <w:jc w:val="center"/>
              <w:rPr>
                <w:rFonts w:ascii="宋体" w:hAnsi="宋体"/>
                <w:b/>
                <w:color w:val="auto"/>
                <w:sz w:val="22"/>
                <w:highlight w:val="none"/>
              </w:rPr>
            </w:pPr>
          </w:p>
        </w:tc>
        <w:tc>
          <w:tcPr>
            <w:tcW w:w="1674" w:type="dxa"/>
            <w:noWrap/>
            <w:vAlign w:val="center"/>
          </w:tcPr>
          <w:p>
            <w:pPr>
              <w:jc w:val="center"/>
              <w:rPr>
                <w:rFonts w:ascii="宋体" w:hAnsi="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noWrap/>
            <w:vAlign w:val="center"/>
          </w:tcPr>
          <w:p>
            <w:pPr>
              <w:jc w:val="center"/>
              <w:rPr>
                <w:rFonts w:ascii="宋体" w:hAnsi="宋体"/>
                <w:b/>
                <w:color w:val="auto"/>
                <w:sz w:val="22"/>
                <w:highlight w:val="none"/>
              </w:rPr>
            </w:pPr>
          </w:p>
        </w:tc>
        <w:tc>
          <w:tcPr>
            <w:tcW w:w="2350" w:type="dxa"/>
            <w:noWrap/>
            <w:vAlign w:val="center"/>
          </w:tcPr>
          <w:p>
            <w:pPr>
              <w:jc w:val="center"/>
              <w:rPr>
                <w:rFonts w:ascii="宋体" w:hAnsi="宋体"/>
                <w:b/>
                <w:color w:val="auto"/>
                <w:sz w:val="22"/>
                <w:highlight w:val="none"/>
              </w:rPr>
            </w:pPr>
          </w:p>
        </w:tc>
        <w:tc>
          <w:tcPr>
            <w:tcW w:w="1673" w:type="dxa"/>
            <w:noWrap/>
            <w:vAlign w:val="center"/>
          </w:tcPr>
          <w:p>
            <w:pPr>
              <w:jc w:val="center"/>
              <w:rPr>
                <w:rFonts w:ascii="宋体" w:hAnsi="宋体"/>
                <w:b/>
                <w:color w:val="auto"/>
                <w:sz w:val="22"/>
                <w:highlight w:val="none"/>
              </w:rPr>
            </w:pPr>
          </w:p>
        </w:tc>
        <w:tc>
          <w:tcPr>
            <w:tcW w:w="1674" w:type="dxa"/>
            <w:noWrap/>
            <w:vAlign w:val="center"/>
          </w:tcPr>
          <w:p>
            <w:pPr>
              <w:jc w:val="center"/>
              <w:rPr>
                <w:rFonts w:ascii="宋体" w:hAnsi="宋体"/>
                <w:b/>
                <w:color w:val="auto"/>
                <w:sz w:val="22"/>
                <w:highlight w:val="none"/>
              </w:rPr>
            </w:pPr>
          </w:p>
        </w:tc>
        <w:tc>
          <w:tcPr>
            <w:tcW w:w="1674" w:type="dxa"/>
            <w:noWrap/>
            <w:vAlign w:val="center"/>
          </w:tcPr>
          <w:p>
            <w:pPr>
              <w:jc w:val="center"/>
              <w:rPr>
                <w:rFonts w:ascii="宋体" w:hAnsi="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noWrap/>
            <w:vAlign w:val="center"/>
          </w:tcPr>
          <w:p>
            <w:pPr>
              <w:jc w:val="center"/>
              <w:rPr>
                <w:rFonts w:ascii="宋体" w:hAnsi="宋体"/>
                <w:b/>
                <w:color w:val="auto"/>
                <w:sz w:val="22"/>
                <w:highlight w:val="none"/>
              </w:rPr>
            </w:pPr>
          </w:p>
        </w:tc>
        <w:tc>
          <w:tcPr>
            <w:tcW w:w="2350" w:type="dxa"/>
            <w:noWrap/>
            <w:vAlign w:val="center"/>
          </w:tcPr>
          <w:p>
            <w:pPr>
              <w:jc w:val="center"/>
              <w:rPr>
                <w:rFonts w:ascii="宋体" w:hAnsi="宋体"/>
                <w:b/>
                <w:color w:val="auto"/>
                <w:sz w:val="22"/>
                <w:highlight w:val="none"/>
              </w:rPr>
            </w:pPr>
          </w:p>
        </w:tc>
        <w:tc>
          <w:tcPr>
            <w:tcW w:w="1673" w:type="dxa"/>
            <w:noWrap/>
            <w:vAlign w:val="center"/>
          </w:tcPr>
          <w:p>
            <w:pPr>
              <w:jc w:val="center"/>
              <w:rPr>
                <w:rFonts w:ascii="宋体" w:hAnsi="宋体"/>
                <w:b/>
                <w:color w:val="auto"/>
                <w:sz w:val="22"/>
                <w:highlight w:val="none"/>
              </w:rPr>
            </w:pPr>
          </w:p>
        </w:tc>
        <w:tc>
          <w:tcPr>
            <w:tcW w:w="1674" w:type="dxa"/>
            <w:noWrap/>
            <w:vAlign w:val="center"/>
          </w:tcPr>
          <w:p>
            <w:pPr>
              <w:jc w:val="center"/>
              <w:rPr>
                <w:rFonts w:ascii="宋体" w:hAnsi="宋体"/>
                <w:b/>
                <w:color w:val="auto"/>
                <w:sz w:val="22"/>
                <w:highlight w:val="none"/>
              </w:rPr>
            </w:pPr>
          </w:p>
        </w:tc>
        <w:tc>
          <w:tcPr>
            <w:tcW w:w="1674" w:type="dxa"/>
            <w:noWrap/>
            <w:vAlign w:val="center"/>
          </w:tcPr>
          <w:p>
            <w:pPr>
              <w:jc w:val="center"/>
              <w:rPr>
                <w:rFonts w:ascii="宋体" w:hAnsi="宋体"/>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noWrap/>
            <w:vAlign w:val="center"/>
          </w:tcPr>
          <w:p>
            <w:pPr>
              <w:jc w:val="center"/>
              <w:rPr>
                <w:rFonts w:ascii="宋体" w:hAnsi="宋体"/>
                <w:b/>
                <w:color w:val="auto"/>
                <w:sz w:val="22"/>
                <w:highlight w:val="none"/>
              </w:rPr>
            </w:pPr>
          </w:p>
        </w:tc>
        <w:tc>
          <w:tcPr>
            <w:tcW w:w="2350" w:type="dxa"/>
            <w:noWrap/>
            <w:vAlign w:val="center"/>
          </w:tcPr>
          <w:p>
            <w:pPr>
              <w:jc w:val="center"/>
              <w:rPr>
                <w:rFonts w:ascii="宋体" w:hAnsi="宋体"/>
                <w:b/>
                <w:color w:val="auto"/>
                <w:sz w:val="22"/>
                <w:highlight w:val="none"/>
              </w:rPr>
            </w:pPr>
          </w:p>
        </w:tc>
        <w:tc>
          <w:tcPr>
            <w:tcW w:w="1673" w:type="dxa"/>
            <w:noWrap/>
            <w:vAlign w:val="center"/>
          </w:tcPr>
          <w:p>
            <w:pPr>
              <w:jc w:val="center"/>
              <w:rPr>
                <w:rFonts w:ascii="宋体" w:hAnsi="宋体"/>
                <w:b/>
                <w:color w:val="auto"/>
                <w:sz w:val="22"/>
                <w:highlight w:val="none"/>
              </w:rPr>
            </w:pPr>
          </w:p>
        </w:tc>
        <w:tc>
          <w:tcPr>
            <w:tcW w:w="1674" w:type="dxa"/>
            <w:noWrap/>
            <w:vAlign w:val="center"/>
          </w:tcPr>
          <w:p>
            <w:pPr>
              <w:jc w:val="center"/>
              <w:rPr>
                <w:rFonts w:ascii="宋体" w:hAnsi="宋体"/>
                <w:b/>
                <w:color w:val="auto"/>
                <w:sz w:val="22"/>
                <w:highlight w:val="none"/>
              </w:rPr>
            </w:pPr>
          </w:p>
        </w:tc>
        <w:tc>
          <w:tcPr>
            <w:tcW w:w="1674" w:type="dxa"/>
            <w:noWrap/>
            <w:vAlign w:val="center"/>
          </w:tcPr>
          <w:p>
            <w:pPr>
              <w:jc w:val="center"/>
              <w:rPr>
                <w:rFonts w:ascii="宋体" w:hAnsi="宋体"/>
                <w:b/>
                <w:color w:val="auto"/>
                <w:sz w:val="22"/>
                <w:highlight w:val="none"/>
              </w:rPr>
            </w:pPr>
          </w:p>
        </w:tc>
      </w:tr>
    </w:tbl>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rPr>
          <w:rFonts w:ascii="宋体" w:hAnsi="宋体"/>
          <w:b/>
          <w:color w:val="auto"/>
          <w:sz w:val="28"/>
          <w:szCs w:val="28"/>
          <w:highlight w:val="none"/>
        </w:rPr>
      </w:pPr>
      <w:r>
        <w:rPr>
          <w:rFonts w:hint="eastAsia" w:ascii="宋体" w:hAnsi="宋体"/>
          <w:b/>
          <w:color w:val="auto"/>
          <w:sz w:val="28"/>
          <w:szCs w:val="28"/>
          <w:highlight w:val="none"/>
          <w:lang w:val="en-US" w:eastAsia="zh-CN"/>
        </w:rPr>
        <w:t>5</w:t>
      </w:r>
      <w:r>
        <w:rPr>
          <w:rFonts w:hint="eastAsia" w:ascii="宋体" w:hAnsi="宋体"/>
          <w:b/>
          <w:color w:val="auto"/>
          <w:sz w:val="28"/>
          <w:szCs w:val="28"/>
          <w:highlight w:val="none"/>
        </w:rPr>
        <w:t>、投标人认为应提交的其他投标资料</w:t>
      </w:r>
    </w:p>
    <w:p>
      <w:pPr>
        <w:pStyle w:val="39"/>
        <w:rPr>
          <w:color w:val="auto"/>
          <w:highlight w:val="none"/>
        </w:rPr>
      </w:pPr>
    </w:p>
    <w:p>
      <w:pPr>
        <w:pStyle w:val="39"/>
        <w:rPr>
          <w:color w:val="auto"/>
          <w:highlight w:val="none"/>
        </w:rPr>
        <w:sectPr>
          <w:pgSz w:w="11906" w:h="16838"/>
          <w:pgMar w:top="1440" w:right="1983" w:bottom="1440" w:left="1797" w:header="851" w:footer="851" w:gutter="0"/>
          <w:cols w:space="720" w:num="1"/>
          <w:docGrid w:linePitch="312" w:charSpace="0"/>
        </w:sectPr>
      </w:pPr>
    </w:p>
    <w:p>
      <w:pPr>
        <w:jc w:val="center"/>
        <w:rPr>
          <w:color w:val="auto"/>
          <w:sz w:val="28"/>
          <w:szCs w:val="28"/>
          <w:highlight w:val="none"/>
        </w:rPr>
      </w:pPr>
      <w:r>
        <w:rPr>
          <w:color w:val="auto"/>
          <w:sz w:val="28"/>
          <w:szCs w:val="28"/>
          <w:highlight w:val="none"/>
        </w:rPr>
        <w:t>（项目名称）</w:t>
      </w:r>
      <w:r>
        <w:rPr>
          <w:rFonts w:hint="eastAsia"/>
          <w:color w:val="auto"/>
          <w:sz w:val="28"/>
          <w:szCs w:val="28"/>
          <w:highlight w:val="none"/>
        </w:rPr>
        <w:t>总承包招标</w:t>
      </w:r>
    </w:p>
    <w:p>
      <w:pPr>
        <w:jc w:val="center"/>
        <w:rPr>
          <w:color w:val="auto"/>
          <w:sz w:val="28"/>
          <w:szCs w:val="28"/>
          <w:highlight w:val="none"/>
        </w:rPr>
      </w:pPr>
    </w:p>
    <w:p>
      <w:pPr>
        <w:spacing w:before="240" w:beforeLines="100"/>
        <w:jc w:val="center"/>
        <w:rPr>
          <w:color w:val="auto"/>
          <w:sz w:val="52"/>
          <w:szCs w:val="52"/>
          <w:highlight w:val="none"/>
        </w:rPr>
      </w:pPr>
      <w:r>
        <w:rPr>
          <w:color w:val="auto"/>
          <w:sz w:val="52"/>
          <w:szCs w:val="52"/>
          <w:highlight w:val="none"/>
        </w:rPr>
        <w:t>投  标  文  件</w:t>
      </w: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spacing w:line="360" w:lineRule="auto"/>
        <w:ind w:firstLine="2380" w:firstLineChars="850"/>
        <w:rPr>
          <w:color w:val="auto"/>
          <w:sz w:val="28"/>
          <w:szCs w:val="28"/>
          <w:highlight w:val="none"/>
          <w:u w:val="single"/>
        </w:rPr>
      </w:pPr>
      <w:r>
        <w:rPr>
          <w:color w:val="auto"/>
          <w:sz w:val="28"/>
          <w:szCs w:val="28"/>
          <w:highlight w:val="none"/>
        </w:rPr>
        <w:t>项目</w:t>
      </w:r>
      <w:r>
        <w:rPr>
          <w:rFonts w:hint="eastAsia"/>
          <w:color w:val="auto"/>
          <w:sz w:val="28"/>
          <w:szCs w:val="28"/>
          <w:highlight w:val="none"/>
        </w:rPr>
        <w:t>招标</w:t>
      </w:r>
      <w:r>
        <w:rPr>
          <w:color w:val="auto"/>
          <w:sz w:val="28"/>
          <w:szCs w:val="28"/>
          <w:highlight w:val="none"/>
        </w:rPr>
        <w:t>编号：</w:t>
      </w:r>
    </w:p>
    <w:p>
      <w:pPr>
        <w:jc w:val="center"/>
        <w:rPr>
          <w:color w:val="auto"/>
          <w:sz w:val="32"/>
          <w:szCs w:val="32"/>
          <w:highlight w:val="none"/>
        </w:rPr>
      </w:pPr>
    </w:p>
    <w:p>
      <w:pPr>
        <w:jc w:val="center"/>
        <w:rPr>
          <w:color w:val="auto"/>
          <w:sz w:val="32"/>
          <w:szCs w:val="32"/>
          <w:highlight w:val="none"/>
        </w:rPr>
      </w:pPr>
      <w:r>
        <w:rPr>
          <w:color w:val="auto"/>
          <w:sz w:val="32"/>
          <w:szCs w:val="32"/>
          <w:highlight w:val="none"/>
        </w:rPr>
        <w:t>（正本/副本）</w:t>
      </w:r>
    </w:p>
    <w:p>
      <w:pPr>
        <w:rPr>
          <w:color w:val="auto"/>
          <w:sz w:val="32"/>
          <w:szCs w:val="32"/>
          <w:highlight w:val="none"/>
        </w:rPr>
      </w:pP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spacing w:line="360" w:lineRule="auto"/>
        <w:rPr>
          <w:rFonts w:ascii="宋体" w:hAnsi="宋体"/>
          <w:color w:val="auto"/>
          <w:sz w:val="28"/>
          <w:szCs w:val="28"/>
          <w:highlight w:val="none"/>
          <w:u w:val="single"/>
        </w:rPr>
      </w:pPr>
      <w:r>
        <w:rPr>
          <w:rFonts w:ascii="宋体" w:hAnsi="宋体"/>
          <w:color w:val="auto"/>
          <w:sz w:val="28"/>
          <w:szCs w:val="28"/>
          <w:highlight w:val="none"/>
        </w:rPr>
        <w:t>投标内容：</w:t>
      </w:r>
      <w:r>
        <w:rPr>
          <w:rFonts w:hint="eastAsia" w:ascii="宋体" w:hAnsi="宋体"/>
          <w:color w:val="auto"/>
          <w:sz w:val="28"/>
          <w:szCs w:val="28"/>
          <w:highlight w:val="none"/>
          <w:u w:val="single"/>
        </w:rPr>
        <w:t xml:space="preserve">              技术标           </w:t>
      </w:r>
    </w:p>
    <w:p>
      <w:pPr>
        <w:spacing w:line="360" w:lineRule="auto"/>
        <w:rPr>
          <w:color w:val="auto"/>
          <w:sz w:val="28"/>
          <w:szCs w:val="28"/>
          <w:highlight w:val="none"/>
        </w:rPr>
      </w:pPr>
      <w:r>
        <w:rPr>
          <w:color w:val="auto"/>
          <w:sz w:val="28"/>
          <w:szCs w:val="28"/>
          <w:highlight w:val="none"/>
        </w:rPr>
        <w:t>投标人：（盖单位章）</w:t>
      </w:r>
    </w:p>
    <w:p>
      <w:pPr>
        <w:spacing w:line="360" w:lineRule="auto"/>
        <w:rPr>
          <w:color w:val="auto"/>
          <w:sz w:val="28"/>
          <w:szCs w:val="28"/>
          <w:highlight w:val="none"/>
        </w:rPr>
      </w:pPr>
      <w:r>
        <w:rPr>
          <w:color w:val="auto"/>
          <w:sz w:val="28"/>
          <w:szCs w:val="28"/>
          <w:highlight w:val="none"/>
        </w:rPr>
        <w:t>法定代表人或其委托代理人：（签字</w:t>
      </w:r>
      <w:r>
        <w:rPr>
          <w:rFonts w:hint="eastAsia"/>
          <w:color w:val="auto"/>
          <w:sz w:val="28"/>
          <w:szCs w:val="28"/>
          <w:highlight w:val="none"/>
        </w:rPr>
        <w:t>或盖章</w:t>
      </w:r>
      <w:r>
        <w:rPr>
          <w:color w:val="auto"/>
          <w:sz w:val="28"/>
          <w:szCs w:val="28"/>
          <w:highlight w:val="none"/>
        </w:rPr>
        <w:t>）</w:t>
      </w:r>
    </w:p>
    <w:p>
      <w:pPr>
        <w:spacing w:line="360" w:lineRule="auto"/>
        <w:ind w:firstLine="1400" w:firstLineChars="500"/>
        <w:rPr>
          <w:color w:val="auto"/>
          <w:sz w:val="28"/>
          <w:szCs w:val="28"/>
          <w:highlight w:val="none"/>
        </w:rPr>
      </w:pPr>
      <w:r>
        <w:rPr>
          <w:color w:val="auto"/>
          <w:sz w:val="28"/>
          <w:szCs w:val="28"/>
          <w:highlight w:val="none"/>
        </w:rPr>
        <w:t>年月日</w:t>
      </w:r>
    </w:p>
    <w:p>
      <w:pPr>
        <w:spacing w:line="400" w:lineRule="exact"/>
        <w:ind w:firstLine="420"/>
        <w:rPr>
          <w:color w:val="auto"/>
          <w:highlight w:val="none"/>
        </w:rPr>
      </w:pPr>
    </w:p>
    <w:p>
      <w:pPr>
        <w:spacing w:line="400" w:lineRule="exact"/>
        <w:ind w:firstLine="420"/>
        <w:rPr>
          <w:color w:val="auto"/>
          <w:highlight w:val="none"/>
        </w:rPr>
      </w:pPr>
      <w:r>
        <w:rPr>
          <w:color w:val="auto"/>
          <w:highlight w:val="none"/>
        </w:rPr>
        <w:br w:type="page"/>
      </w:r>
    </w:p>
    <w:p>
      <w:pPr>
        <w:spacing w:line="360" w:lineRule="auto"/>
        <w:ind w:firstLine="420"/>
        <w:jc w:val="center"/>
        <w:rPr>
          <w:b/>
          <w:color w:val="auto"/>
          <w:sz w:val="28"/>
          <w:szCs w:val="28"/>
          <w:highlight w:val="none"/>
        </w:rPr>
      </w:pPr>
      <w:r>
        <w:rPr>
          <w:rFonts w:hint="eastAsia"/>
          <w:b/>
          <w:color w:val="auto"/>
          <w:sz w:val="28"/>
          <w:szCs w:val="28"/>
          <w:highlight w:val="none"/>
        </w:rPr>
        <w:t>目 录</w:t>
      </w:r>
    </w:p>
    <w:p>
      <w:pPr>
        <w:spacing w:line="360" w:lineRule="auto"/>
        <w:rPr>
          <w:rFonts w:ascii="宋体" w:hAnsi="宋体"/>
          <w:b/>
          <w:color w:val="auto"/>
          <w:sz w:val="24"/>
          <w:szCs w:val="28"/>
          <w:highlight w:val="none"/>
        </w:rPr>
      </w:pPr>
      <w:bookmarkStart w:id="1930" w:name="_Toc419363894"/>
    </w:p>
    <w:p>
      <w:pPr>
        <w:rPr>
          <w:rFonts w:ascii="宋体" w:hAnsi="宋体"/>
          <w:b/>
          <w:color w:val="auto"/>
          <w:sz w:val="28"/>
          <w:szCs w:val="28"/>
          <w:highlight w:val="none"/>
        </w:rPr>
      </w:pPr>
      <w:r>
        <w:rPr>
          <w:rFonts w:hint="eastAsia" w:ascii="宋体" w:hAnsi="宋体"/>
          <w:b/>
          <w:color w:val="auto"/>
          <w:sz w:val="28"/>
          <w:szCs w:val="28"/>
          <w:highlight w:val="none"/>
        </w:rPr>
        <w:t>一、工程总承包</w:t>
      </w:r>
      <w:bookmarkEnd w:id="1930"/>
      <w:r>
        <w:rPr>
          <w:rFonts w:hint="eastAsia" w:ascii="宋体" w:hAnsi="宋体"/>
          <w:b/>
          <w:color w:val="auto"/>
          <w:sz w:val="28"/>
          <w:szCs w:val="28"/>
          <w:highlight w:val="none"/>
        </w:rPr>
        <w:t>工作大纲</w:t>
      </w:r>
    </w:p>
    <w:p>
      <w:pPr>
        <w:rPr>
          <w:rFonts w:ascii="宋体" w:hAnsi="宋体"/>
          <w:color w:val="auto"/>
          <w:sz w:val="28"/>
          <w:szCs w:val="28"/>
          <w:highlight w:val="none"/>
        </w:rPr>
      </w:pPr>
      <w:r>
        <w:rPr>
          <w:rFonts w:hint="eastAsia" w:ascii="宋体" w:hAnsi="宋体"/>
          <w:color w:val="auto"/>
          <w:sz w:val="28"/>
          <w:szCs w:val="28"/>
          <w:highlight w:val="none"/>
        </w:rPr>
        <w:t>1、概述</w:t>
      </w:r>
    </w:p>
    <w:p>
      <w:pPr>
        <w:rPr>
          <w:rFonts w:ascii="宋体" w:hAnsi="宋体"/>
          <w:color w:val="auto"/>
          <w:sz w:val="28"/>
          <w:szCs w:val="28"/>
          <w:highlight w:val="none"/>
        </w:rPr>
      </w:pPr>
      <w:r>
        <w:rPr>
          <w:rFonts w:hint="eastAsia" w:ascii="宋体" w:hAnsi="宋体"/>
          <w:color w:val="auto"/>
          <w:sz w:val="28"/>
          <w:szCs w:val="28"/>
          <w:highlight w:val="none"/>
        </w:rPr>
        <w:t>2、总体实施方案</w:t>
      </w:r>
    </w:p>
    <w:p>
      <w:pPr>
        <w:rPr>
          <w:rFonts w:ascii="宋体" w:hAnsi="宋体"/>
          <w:color w:val="auto"/>
          <w:sz w:val="28"/>
          <w:szCs w:val="28"/>
          <w:highlight w:val="none"/>
        </w:rPr>
      </w:pPr>
      <w:r>
        <w:rPr>
          <w:rFonts w:hint="eastAsia" w:ascii="宋体" w:hAnsi="宋体"/>
          <w:color w:val="auto"/>
          <w:sz w:val="28"/>
          <w:szCs w:val="28"/>
          <w:highlight w:val="none"/>
        </w:rPr>
        <w:t>3、项目实施要点</w:t>
      </w:r>
    </w:p>
    <w:p>
      <w:pPr>
        <w:rPr>
          <w:rFonts w:ascii="宋体" w:hAnsi="宋体"/>
          <w:color w:val="auto"/>
          <w:sz w:val="28"/>
          <w:szCs w:val="28"/>
          <w:highlight w:val="none"/>
        </w:rPr>
      </w:pPr>
      <w:r>
        <w:rPr>
          <w:rFonts w:hint="eastAsia" w:ascii="宋体" w:hAnsi="宋体"/>
          <w:color w:val="auto"/>
          <w:sz w:val="28"/>
          <w:szCs w:val="28"/>
          <w:highlight w:val="none"/>
        </w:rPr>
        <w:t>4、设计及施工的配合</w:t>
      </w:r>
    </w:p>
    <w:p>
      <w:pPr>
        <w:rPr>
          <w:rFonts w:ascii="宋体" w:hAnsi="宋体"/>
          <w:color w:val="auto"/>
          <w:sz w:val="28"/>
          <w:szCs w:val="28"/>
          <w:highlight w:val="none"/>
        </w:rPr>
      </w:pPr>
      <w:r>
        <w:rPr>
          <w:rFonts w:hint="eastAsia" w:ascii="宋体" w:hAnsi="宋体"/>
          <w:color w:val="auto"/>
          <w:sz w:val="28"/>
          <w:szCs w:val="28"/>
          <w:highlight w:val="none"/>
        </w:rPr>
        <w:t>5、项目管理要点</w:t>
      </w:r>
    </w:p>
    <w:p>
      <w:pPr>
        <w:rPr>
          <w:rFonts w:ascii="宋体" w:hAnsi="宋体"/>
          <w:color w:val="auto"/>
          <w:sz w:val="28"/>
          <w:szCs w:val="28"/>
          <w:highlight w:val="none"/>
        </w:rPr>
      </w:pPr>
      <w:r>
        <w:rPr>
          <w:rFonts w:hint="eastAsia" w:ascii="宋体" w:hAnsi="宋体"/>
          <w:color w:val="auto"/>
          <w:sz w:val="28"/>
          <w:szCs w:val="28"/>
          <w:highlight w:val="none"/>
        </w:rPr>
        <w:t>6、拟投入本项目管理人员配备情况（设计及施工）</w:t>
      </w:r>
    </w:p>
    <w:p>
      <w:pPr>
        <w:rPr>
          <w:rFonts w:ascii="宋体" w:hAnsi="宋体"/>
          <w:color w:val="auto"/>
          <w:sz w:val="28"/>
          <w:szCs w:val="28"/>
          <w:highlight w:val="none"/>
        </w:rPr>
      </w:pPr>
    </w:p>
    <w:p>
      <w:pPr>
        <w:rPr>
          <w:rFonts w:ascii="宋体" w:hAnsi="宋体"/>
          <w:b/>
          <w:color w:val="auto"/>
          <w:sz w:val="28"/>
          <w:szCs w:val="28"/>
          <w:highlight w:val="none"/>
        </w:rPr>
      </w:pPr>
      <w:bookmarkStart w:id="1931" w:name="_Toc419363895"/>
      <w:r>
        <w:rPr>
          <w:rFonts w:hint="eastAsia" w:ascii="宋体" w:hAnsi="宋体"/>
          <w:b/>
          <w:color w:val="auto"/>
          <w:sz w:val="28"/>
          <w:szCs w:val="28"/>
          <w:highlight w:val="none"/>
        </w:rPr>
        <w:t>二、施工组织设计</w:t>
      </w:r>
      <w:bookmarkEnd w:id="1931"/>
    </w:p>
    <w:p>
      <w:pPr>
        <w:spacing w:line="360" w:lineRule="auto"/>
        <w:rPr>
          <w:rFonts w:ascii="宋体" w:hAnsi="宋体"/>
          <w:b/>
          <w:color w:val="auto"/>
          <w:sz w:val="24"/>
          <w:highlight w:val="none"/>
        </w:rPr>
      </w:pPr>
      <w:r>
        <w:rPr>
          <w:rFonts w:ascii="宋体" w:hAnsi="宋体"/>
          <w:color w:val="auto"/>
          <w:highlight w:val="none"/>
        </w:rPr>
        <w:br w:type="page"/>
      </w:r>
      <w:bookmarkStart w:id="1932" w:name="_Toc419363896"/>
      <w:r>
        <w:rPr>
          <w:rFonts w:hint="eastAsia" w:ascii="宋体" w:hAnsi="宋体"/>
          <w:b/>
          <w:color w:val="auto"/>
          <w:sz w:val="24"/>
          <w:highlight w:val="none"/>
        </w:rPr>
        <w:t>一、</w:t>
      </w:r>
      <w:bookmarkEnd w:id="1932"/>
      <w:r>
        <w:rPr>
          <w:rFonts w:hint="eastAsia" w:ascii="宋体" w:hAnsi="宋体"/>
          <w:b/>
          <w:color w:val="auto"/>
          <w:sz w:val="24"/>
          <w:highlight w:val="none"/>
        </w:rPr>
        <w:t>工程总承包工作大纲</w:t>
      </w:r>
    </w:p>
    <w:p>
      <w:pPr>
        <w:spacing w:line="360" w:lineRule="auto"/>
        <w:rPr>
          <w:rFonts w:ascii="宋体" w:hAnsi="宋体"/>
          <w:color w:val="auto"/>
          <w:sz w:val="24"/>
          <w:highlight w:val="none"/>
        </w:rPr>
      </w:pPr>
      <w:r>
        <w:rPr>
          <w:rFonts w:hint="eastAsia" w:ascii="宋体" w:hAnsi="宋体"/>
          <w:color w:val="auto"/>
          <w:sz w:val="24"/>
          <w:highlight w:val="none"/>
        </w:rPr>
        <w:t>1、概述</w:t>
      </w:r>
    </w:p>
    <w:p>
      <w:pPr>
        <w:spacing w:line="360" w:lineRule="auto"/>
        <w:rPr>
          <w:rFonts w:ascii="宋体" w:hAnsi="宋体"/>
          <w:color w:val="auto"/>
          <w:sz w:val="24"/>
          <w:highlight w:val="none"/>
        </w:rPr>
      </w:pPr>
      <w:r>
        <w:rPr>
          <w:rFonts w:hint="eastAsia" w:ascii="宋体" w:hAnsi="宋体"/>
          <w:color w:val="auto"/>
          <w:sz w:val="24"/>
          <w:highlight w:val="none"/>
        </w:rPr>
        <w:t>包含：项目简要介绍、项目范围、项目特点。</w:t>
      </w:r>
    </w:p>
    <w:p>
      <w:pPr>
        <w:spacing w:line="360" w:lineRule="auto"/>
        <w:rPr>
          <w:rFonts w:ascii="宋体" w:hAnsi="宋体"/>
          <w:color w:val="auto"/>
          <w:sz w:val="24"/>
          <w:highlight w:val="none"/>
        </w:rPr>
      </w:pPr>
      <w:r>
        <w:rPr>
          <w:rFonts w:hint="eastAsia" w:ascii="宋体" w:hAnsi="宋体"/>
          <w:color w:val="auto"/>
          <w:sz w:val="24"/>
          <w:highlight w:val="none"/>
        </w:rPr>
        <w:t>2、总体实施方案</w:t>
      </w:r>
    </w:p>
    <w:p>
      <w:pPr>
        <w:spacing w:line="360" w:lineRule="auto"/>
        <w:rPr>
          <w:rFonts w:ascii="宋体" w:hAnsi="宋体"/>
          <w:color w:val="auto"/>
          <w:sz w:val="24"/>
          <w:highlight w:val="none"/>
        </w:rPr>
      </w:pPr>
      <w:r>
        <w:rPr>
          <w:rFonts w:hint="eastAsia" w:ascii="宋体" w:hAnsi="宋体"/>
          <w:color w:val="auto"/>
          <w:sz w:val="24"/>
          <w:highlight w:val="none"/>
        </w:rPr>
        <w:t>树立明确目标，包括工期、投资、质量计划等。详细编制本项目实施步骤、总体管理、控制标准、控制计划及控制方法、组织形式、项目阶段划分、项目工作分解结构、项目分包和采购计划、项目沟通与协调程序。</w:t>
      </w:r>
    </w:p>
    <w:p>
      <w:pPr>
        <w:spacing w:line="360" w:lineRule="auto"/>
        <w:rPr>
          <w:rFonts w:ascii="宋体" w:hAnsi="宋体"/>
          <w:color w:val="auto"/>
          <w:sz w:val="24"/>
          <w:highlight w:val="none"/>
        </w:rPr>
      </w:pPr>
      <w:r>
        <w:rPr>
          <w:rFonts w:hint="eastAsia" w:ascii="宋体" w:hAnsi="宋体"/>
          <w:color w:val="auto"/>
          <w:sz w:val="24"/>
          <w:highlight w:val="none"/>
        </w:rPr>
        <w:t>3、项目实施要点</w:t>
      </w:r>
    </w:p>
    <w:p>
      <w:pPr>
        <w:spacing w:line="360" w:lineRule="auto"/>
        <w:rPr>
          <w:rFonts w:ascii="宋体" w:hAnsi="宋体"/>
          <w:color w:val="auto"/>
          <w:sz w:val="24"/>
          <w:highlight w:val="none"/>
        </w:rPr>
      </w:pPr>
      <w:r>
        <w:rPr>
          <w:rFonts w:hint="eastAsia" w:ascii="宋体" w:hAnsi="宋体"/>
          <w:color w:val="auto"/>
          <w:sz w:val="24"/>
          <w:highlight w:val="none"/>
        </w:rPr>
        <w:t>要求要点明确，包括设计实施要点、采购实施要点、施工实施要点、试运行实施要点等。结合本项目特点，切合实际，先进可行，具有可操作性。</w:t>
      </w:r>
    </w:p>
    <w:p>
      <w:pPr>
        <w:spacing w:line="360" w:lineRule="auto"/>
        <w:rPr>
          <w:rFonts w:ascii="宋体" w:hAnsi="宋体"/>
          <w:color w:val="auto"/>
          <w:sz w:val="24"/>
          <w:highlight w:val="none"/>
        </w:rPr>
      </w:pPr>
      <w:r>
        <w:rPr>
          <w:rFonts w:hint="eastAsia" w:ascii="宋体" w:hAnsi="宋体"/>
          <w:color w:val="auto"/>
          <w:sz w:val="24"/>
          <w:highlight w:val="none"/>
        </w:rPr>
        <w:t>4、设计及施工的配合</w:t>
      </w:r>
    </w:p>
    <w:p>
      <w:pPr>
        <w:spacing w:line="360" w:lineRule="auto"/>
        <w:rPr>
          <w:rFonts w:ascii="宋体" w:hAnsi="宋体"/>
          <w:color w:val="auto"/>
          <w:sz w:val="24"/>
          <w:highlight w:val="none"/>
        </w:rPr>
      </w:pPr>
      <w:r>
        <w:rPr>
          <w:rFonts w:hint="eastAsia" w:ascii="宋体" w:hAnsi="宋体"/>
          <w:color w:val="auto"/>
          <w:sz w:val="24"/>
          <w:highlight w:val="none"/>
        </w:rPr>
        <w:t>要求详细编制本项目设计及施工的协调配合计划。</w:t>
      </w:r>
    </w:p>
    <w:p>
      <w:pPr>
        <w:spacing w:line="360" w:lineRule="auto"/>
        <w:rPr>
          <w:rFonts w:ascii="宋体" w:hAnsi="宋体"/>
          <w:color w:val="auto"/>
          <w:sz w:val="24"/>
          <w:highlight w:val="none"/>
        </w:rPr>
      </w:pPr>
      <w:r>
        <w:rPr>
          <w:rFonts w:hint="eastAsia" w:ascii="宋体" w:hAnsi="宋体"/>
          <w:color w:val="auto"/>
          <w:sz w:val="24"/>
          <w:highlight w:val="none"/>
        </w:rPr>
        <w:t>5、项目管理要点</w:t>
      </w:r>
    </w:p>
    <w:p>
      <w:pPr>
        <w:spacing w:line="360" w:lineRule="auto"/>
        <w:rPr>
          <w:rFonts w:ascii="宋体" w:hAnsi="宋体"/>
          <w:color w:val="auto"/>
          <w:sz w:val="24"/>
          <w:highlight w:val="none"/>
        </w:rPr>
      </w:pPr>
      <w:r>
        <w:rPr>
          <w:rFonts w:hint="eastAsia" w:ascii="宋体" w:hAnsi="宋体"/>
          <w:color w:val="auto"/>
          <w:sz w:val="24"/>
          <w:highlight w:val="none"/>
        </w:rPr>
        <w:t>要求管理目标明确，切合实际，先进可行，具有可操作性。包括：合同管理要点、资源管理要点、质量控制要点、进度控制要点、费用估算及控制要点、安全管理要点、职业健康管理要点、环境管理要点、沟通和协调管理要点、财务管理要点、风险管理要点、文件及信息管理要点、报告制度等。</w:t>
      </w:r>
    </w:p>
    <w:p>
      <w:pPr>
        <w:spacing w:line="360" w:lineRule="auto"/>
        <w:rPr>
          <w:rFonts w:ascii="宋体" w:hAnsi="宋体"/>
          <w:color w:val="auto"/>
          <w:sz w:val="24"/>
          <w:highlight w:val="none"/>
        </w:rPr>
      </w:pPr>
      <w:r>
        <w:rPr>
          <w:rFonts w:hint="eastAsia" w:ascii="宋体" w:hAnsi="宋体"/>
          <w:color w:val="auto"/>
          <w:sz w:val="24"/>
          <w:highlight w:val="none"/>
        </w:rPr>
        <w:t>6、拟投入本项目管理人员配备情况（设计及施工），见下附表。</w:t>
      </w:r>
    </w:p>
    <w:p>
      <w:pPr>
        <w:spacing w:line="360" w:lineRule="auto"/>
        <w:rPr>
          <w:b/>
          <w:color w:val="auto"/>
          <w:sz w:val="28"/>
          <w:szCs w:val="28"/>
          <w:highlight w:val="none"/>
        </w:rPr>
      </w:pPr>
      <w:r>
        <w:rPr>
          <w:color w:val="auto"/>
          <w:sz w:val="28"/>
          <w:szCs w:val="28"/>
          <w:highlight w:val="none"/>
        </w:rPr>
        <w:br w:type="page"/>
      </w:r>
      <w:r>
        <w:rPr>
          <w:rFonts w:hint="eastAsia"/>
          <w:b/>
          <w:color w:val="auto"/>
          <w:sz w:val="28"/>
          <w:szCs w:val="28"/>
          <w:highlight w:val="none"/>
        </w:rPr>
        <w:t>6、拟投入本项目管理人员配备情况（设计及施工）</w:t>
      </w:r>
    </w:p>
    <w:p>
      <w:pPr>
        <w:rPr>
          <w:rFonts w:ascii="宋体" w:hAnsi="宋体"/>
          <w:b/>
          <w:color w:val="auto"/>
          <w:sz w:val="24"/>
          <w:highlight w:val="none"/>
        </w:rPr>
      </w:pPr>
      <w:r>
        <w:rPr>
          <w:rFonts w:hint="eastAsia" w:ascii="宋体" w:hAnsi="宋体"/>
          <w:b/>
          <w:color w:val="auto"/>
          <w:sz w:val="24"/>
          <w:highlight w:val="none"/>
        </w:rPr>
        <w:t>6.1总承包</w:t>
      </w:r>
      <w:r>
        <w:rPr>
          <w:rFonts w:ascii="宋体" w:hAnsi="宋体"/>
          <w:b/>
          <w:color w:val="auto"/>
          <w:sz w:val="24"/>
          <w:highlight w:val="none"/>
        </w:rPr>
        <w:t>管理机构配备情况表</w:t>
      </w:r>
    </w:p>
    <w:p>
      <w:pPr>
        <w:pStyle w:val="39"/>
        <w:rPr>
          <w:color w:val="auto"/>
          <w:highlight w:val="none"/>
        </w:rPr>
      </w:pPr>
      <w:bookmarkStart w:id="1933" w:name="_Toc402532183"/>
      <w:r>
        <w:rPr>
          <w:color w:val="auto"/>
          <w:highlight w:val="none"/>
        </w:rPr>
        <w:t>工程</w:t>
      </w:r>
      <w:bookmarkEnd w:id="1933"/>
    </w:p>
    <w:tbl>
      <w:tblPr>
        <w:tblStyle w:val="22"/>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noWrap/>
            <w:vAlign w:val="center"/>
          </w:tcPr>
          <w:p>
            <w:pPr>
              <w:ind w:left="223" w:hanging="222" w:hangingChars="106"/>
              <w:jc w:val="center"/>
              <w:rPr>
                <w:color w:val="auto"/>
                <w:highlight w:val="none"/>
              </w:rPr>
            </w:pPr>
            <w:r>
              <w:rPr>
                <w:color w:val="auto"/>
                <w:highlight w:val="none"/>
              </w:rPr>
              <w:t>岗位</w:t>
            </w:r>
          </w:p>
        </w:tc>
        <w:tc>
          <w:tcPr>
            <w:tcW w:w="829" w:type="dxa"/>
            <w:vMerge w:val="restart"/>
            <w:noWrap/>
            <w:vAlign w:val="center"/>
          </w:tcPr>
          <w:p>
            <w:pPr>
              <w:ind w:left="223" w:hanging="222" w:hangingChars="106"/>
              <w:jc w:val="center"/>
              <w:rPr>
                <w:color w:val="auto"/>
                <w:highlight w:val="none"/>
              </w:rPr>
            </w:pPr>
            <w:r>
              <w:rPr>
                <w:color w:val="auto"/>
                <w:highlight w:val="none"/>
              </w:rPr>
              <w:t>姓名</w:t>
            </w:r>
          </w:p>
        </w:tc>
        <w:tc>
          <w:tcPr>
            <w:tcW w:w="816" w:type="dxa"/>
            <w:vMerge w:val="restart"/>
            <w:noWrap/>
            <w:vAlign w:val="center"/>
          </w:tcPr>
          <w:p>
            <w:pPr>
              <w:ind w:left="223" w:hanging="222" w:hangingChars="106"/>
              <w:jc w:val="center"/>
              <w:rPr>
                <w:color w:val="auto"/>
                <w:highlight w:val="none"/>
              </w:rPr>
            </w:pPr>
            <w:r>
              <w:rPr>
                <w:color w:val="auto"/>
                <w:highlight w:val="none"/>
              </w:rPr>
              <w:t>职称</w:t>
            </w:r>
          </w:p>
        </w:tc>
        <w:tc>
          <w:tcPr>
            <w:tcW w:w="4592" w:type="dxa"/>
            <w:gridSpan w:val="4"/>
            <w:noWrap/>
            <w:vAlign w:val="center"/>
          </w:tcPr>
          <w:p>
            <w:pPr>
              <w:ind w:left="223" w:hanging="222" w:hangingChars="106"/>
              <w:jc w:val="center"/>
              <w:rPr>
                <w:color w:val="auto"/>
                <w:highlight w:val="none"/>
              </w:rPr>
            </w:pPr>
            <w:r>
              <w:rPr>
                <w:color w:val="auto"/>
                <w:highlight w:val="none"/>
              </w:rPr>
              <w:t>执业或职业资格证明</w:t>
            </w:r>
          </w:p>
        </w:tc>
        <w:tc>
          <w:tcPr>
            <w:tcW w:w="2529" w:type="dxa"/>
            <w:gridSpan w:val="2"/>
            <w:noWrap/>
            <w:vAlign w:val="center"/>
          </w:tcPr>
          <w:p>
            <w:pPr>
              <w:ind w:left="223" w:hanging="222" w:hangingChars="106"/>
              <w:jc w:val="center"/>
              <w:rPr>
                <w:color w:val="auto"/>
                <w:highlight w:val="none"/>
              </w:rPr>
            </w:pPr>
            <w:r>
              <w:rPr>
                <w:color w:val="auto"/>
                <w:highlight w:val="none"/>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noWrap/>
            <w:vAlign w:val="center"/>
          </w:tcPr>
          <w:p>
            <w:pPr>
              <w:ind w:left="223" w:hanging="222" w:hangingChars="106"/>
              <w:jc w:val="center"/>
              <w:rPr>
                <w:color w:val="auto"/>
                <w:highlight w:val="none"/>
              </w:rPr>
            </w:pPr>
          </w:p>
        </w:tc>
        <w:tc>
          <w:tcPr>
            <w:tcW w:w="829" w:type="dxa"/>
            <w:vMerge w:val="continue"/>
            <w:noWrap/>
            <w:vAlign w:val="center"/>
          </w:tcPr>
          <w:p>
            <w:pPr>
              <w:ind w:left="223" w:hanging="222" w:hangingChars="106"/>
              <w:jc w:val="center"/>
              <w:rPr>
                <w:color w:val="auto"/>
                <w:highlight w:val="none"/>
              </w:rPr>
            </w:pPr>
          </w:p>
        </w:tc>
        <w:tc>
          <w:tcPr>
            <w:tcW w:w="816" w:type="dxa"/>
            <w:vMerge w:val="continue"/>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r>
              <w:rPr>
                <w:color w:val="auto"/>
                <w:highlight w:val="none"/>
              </w:rPr>
              <w:t>证书名称</w:t>
            </w:r>
          </w:p>
        </w:tc>
        <w:tc>
          <w:tcPr>
            <w:tcW w:w="1148" w:type="dxa"/>
            <w:noWrap/>
            <w:vAlign w:val="center"/>
          </w:tcPr>
          <w:p>
            <w:pPr>
              <w:ind w:left="223" w:hanging="222" w:hangingChars="106"/>
              <w:jc w:val="center"/>
              <w:rPr>
                <w:color w:val="auto"/>
                <w:highlight w:val="none"/>
              </w:rPr>
            </w:pPr>
            <w:r>
              <w:rPr>
                <w:color w:val="auto"/>
                <w:highlight w:val="none"/>
              </w:rPr>
              <w:t>级别</w:t>
            </w:r>
          </w:p>
        </w:tc>
        <w:tc>
          <w:tcPr>
            <w:tcW w:w="1148" w:type="dxa"/>
            <w:noWrap/>
            <w:vAlign w:val="center"/>
          </w:tcPr>
          <w:p>
            <w:pPr>
              <w:ind w:left="223" w:hanging="222" w:hangingChars="106"/>
              <w:jc w:val="center"/>
              <w:rPr>
                <w:color w:val="auto"/>
                <w:highlight w:val="none"/>
              </w:rPr>
            </w:pPr>
            <w:r>
              <w:rPr>
                <w:color w:val="auto"/>
                <w:highlight w:val="none"/>
              </w:rPr>
              <w:t>证号</w:t>
            </w:r>
          </w:p>
        </w:tc>
        <w:tc>
          <w:tcPr>
            <w:tcW w:w="1148" w:type="dxa"/>
            <w:noWrap/>
            <w:vAlign w:val="center"/>
          </w:tcPr>
          <w:p>
            <w:pPr>
              <w:ind w:left="223" w:hanging="222" w:hangingChars="106"/>
              <w:jc w:val="center"/>
              <w:rPr>
                <w:color w:val="auto"/>
                <w:highlight w:val="none"/>
              </w:rPr>
            </w:pPr>
            <w:r>
              <w:rPr>
                <w:color w:val="auto"/>
                <w:highlight w:val="none"/>
              </w:rPr>
              <w:t>专业</w:t>
            </w:r>
          </w:p>
        </w:tc>
        <w:tc>
          <w:tcPr>
            <w:tcW w:w="850" w:type="dxa"/>
            <w:noWrap/>
            <w:vAlign w:val="center"/>
          </w:tcPr>
          <w:p>
            <w:pPr>
              <w:ind w:left="223" w:hanging="222" w:hangingChars="106"/>
              <w:jc w:val="center"/>
              <w:rPr>
                <w:color w:val="auto"/>
                <w:highlight w:val="none"/>
              </w:rPr>
            </w:pPr>
            <w:r>
              <w:rPr>
                <w:color w:val="auto"/>
                <w:highlight w:val="none"/>
              </w:rPr>
              <w:t>项目数</w:t>
            </w:r>
          </w:p>
        </w:tc>
        <w:tc>
          <w:tcPr>
            <w:tcW w:w="1679" w:type="dxa"/>
            <w:noWrap/>
            <w:vAlign w:val="center"/>
          </w:tcPr>
          <w:p>
            <w:pPr>
              <w:ind w:left="223" w:hanging="222" w:hangingChars="106"/>
              <w:jc w:val="center"/>
              <w:rPr>
                <w:color w:val="auto"/>
                <w:highlight w:val="none"/>
              </w:rPr>
            </w:pPr>
            <w:r>
              <w:rPr>
                <w:color w:val="auto"/>
                <w:highlight w:val="none"/>
              </w:rPr>
              <w:t>主要项目</w:t>
            </w:r>
          </w:p>
          <w:p>
            <w:pPr>
              <w:ind w:left="223" w:hanging="222" w:hangingChars="106"/>
              <w:jc w:val="center"/>
              <w:rPr>
                <w:color w:val="auto"/>
                <w:highlight w:val="none"/>
              </w:rPr>
            </w:pPr>
            <w:r>
              <w:rPr>
                <w:color w:val="auto"/>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noWrap/>
          </w:tcPr>
          <w:p>
            <w:pPr>
              <w:spacing w:before="120" w:beforeLines="50" w:after="120" w:afterLines="50" w:line="360" w:lineRule="auto"/>
              <w:rPr>
                <w:color w:val="auto"/>
                <w:szCs w:val="21"/>
                <w:highlight w:val="none"/>
              </w:rPr>
            </w:pPr>
            <w:r>
              <w:rPr>
                <w:color w:val="auto"/>
                <w:szCs w:val="21"/>
                <w:highlight w:val="none"/>
              </w:rPr>
              <w:t>一旦我单位中标，将实行</w:t>
            </w:r>
            <w:r>
              <w:rPr>
                <w:rFonts w:hint="eastAsia"/>
                <w:color w:val="auto"/>
                <w:szCs w:val="21"/>
                <w:highlight w:val="none"/>
              </w:rPr>
              <w:t>项目总负责人</w:t>
            </w:r>
            <w:r>
              <w:rPr>
                <w:color w:val="auto"/>
                <w:szCs w:val="21"/>
                <w:highlight w:val="none"/>
              </w:rPr>
              <w:t>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color w:val="auto"/>
          <w:highlight w:val="none"/>
        </w:rPr>
      </w:pPr>
    </w:p>
    <w:p>
      <w:pPr>
        <w:tabs>
          <w:tab w:val="left" w:pos="826"/>
        </w:tabs>
        <w:snapToGrid w:val="0"/>
        <w:spacing w:line="420" w:lineRule="exact"/>
        <w:rPr>
          <w:b/>
          <w:color w:val="auto"/>
          <w:szCs w:val="21"/>
          <w:highlight w:val="none"/>
        </w:rPr>
      </w:pPr>
      <w:r>
        <w:rPr>
          <w:color w:val="auto"/>
          <w:highlight w:val="none"/>
        </w:rPr>
        <w:br w:type="page"/>
      </w:r>
      <w:r>
        <w:rPr>
          <w:rFonts w:hint="eastAsia"/>
          <w:b/>
          <w:color w:val="auto"/>
          <w:szCs w:val="21"/>
          <w:highlight w:val="none"/>
        </w:rPr>
        <w:t>6.2设计</w:t>
      </w:r>
      <w:r>
        <w:rPr>
          <w:b/>
          <w:color w:val="auto"/>
          <w:szCs w:val="21"/>
          <w:highlight w:val="none"/>
        </w:rPr>
        <w:t>管理机构配备情况表</w:t>
      </w:r>
    </w:p>
    <w:p>
      <w:pPr>
        <w:pStyle w:val="39"/>
        <w:ind w:firstLine="2415" w:firstLineChars="1150"/>
        <w:rPr>
          <w:color w:val="auto"/>
          <w:highlight w:val="none"/>
        </w:rPr>
      </w:pPr>
      <w:bookmarkStart w:id="1934" w:name="_Toc402532184"/>
      <w:r>
        <w:rPr>
          <w:color w:val="auto"/>
          <w:highlight w:val="none"/>
        </w:rPr>
        <w:t>工程</w:t>
      </w:r>
      <w:bookmarkEnd w:id="1934"/>
    </w:p>
    <w:tbl>
      <w:tblPr>
        <w:tblStyle w:val="22"/>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noWrap/>
            <w:vAlign w:val="center"/>
          </w:tcPr>
          <w:p>
            <w:pPr>
              <w:ind w:left="223" w:hanging="222" w:hangingChars="106"/>
              <w:jc w:val="center"/>
              <w:rPr>
                <w:color w:val="auto"/>
                <w:highlight w:val="none"/>
              </w:rPr>
            </w:pPr>
            <w:r>
              <w:rPr>
                <w:color w:val="auto"/>
                <w:highlight w:val="none"/>
              </w:rPr>
              <w:t>岗位</w:t>
            </w:r>
          </w:p>
        </w:tc>
        <w:tc>
          <w:tcPr>
            <w:tcW w:w="829" w:type="dxa"/>
            <w:vMerge w:val="restart"/>
            <w:noWrap/>
            <w:vAlign w:val="center"/>
          </w:tcPr>
          <w:p>
            <w:pPr>
              <w:ind w:left="223" w:hanging="222" w:hangingChars="106"/>
              <w:jc w:val="center"/>
              <w:rPr>
                <w:color w:val="auto"/>
                <w:highlight w:val="none"/>
              </w:rPr>
            </w:pPr>
            <w:r>
              <w:rPr>
                <w:color w:val="auto"/>
                <w:highlight w:val="none"/>
              </w:rPr>
              <w:t>姓名</w:t>
            </w:r>
          </w:p>
        </w:tc>
        <w:tc>
          <w:tcPr>
            <w:tcW w:w="816" w:type="dxa"/>
            <w:vMerge w:val="restart"/>
            <w:noWrap/>
            <w:vAlign w:val="center"/>
          </w:tcPr>
          <w:p>
            <w:pPr>
              <w:ind w:left="223" w:hanging="222" w:hangingChars="106"/>
              <w:jc w:val="center"/>
              <w:rPr>
                <w:color w:val="auto"/>
                <w:highlight w:val="none"/>
              </w:rPr>
            </w:pPr>
            <w:r>
              <w:rPr>
                <w:color w:val="auto"/>
                <w:highlight w:val="none"/>
              </w:rPr>
              <w:t>职称</w:t>
            </w:r>
          </w:p>
        </w:tc>
        <w:tc>
          <w:tcPr>
            <w:tcW w:w="4592" w:type="dxa"/>
            <w:gridSpan w:val="4"/>
            <w:noWrap/>
            <w:vAlign w:val="center"/>
          </w:tcPr>
          <w:p>
            <w:pPr>
              <w:ind w:left="223" w:hanging="222" w:hangingChars="106"/>
              <w:jc w:val="center"/>
              <w:rPr>
                <w:color w:val="auto"/>
                <w:highlight w:val="none"/>
              </w:rPr>
            </w:pPr>
            <w:r>
              <w:rPr>
                <w:color w:val="auto"/>
                <w:highlight w:val="none"/>
              </w:rPr>
              <w:t>执业或职业资格证明</w:t>
            </w:r>
          </w:p>
        </w:tc>
        <w:tc>
          <w:tcPr>
            <w:tcW w:w="2529" w:type="dxa"/>
            <w:gridSpan w:val="2"/>
            <w:noWrap/>
            <w:vAlign w:val="center"/>
          </w:tcPr>
          <w:p>
            <w:pPr>
              <w:ind w:left="223" w:hanging="222" w:hangingChars="106"/>
              <w:jc w:val="center"/>
              <w:rPr>
                <w:color w:val="auto"/>
                <w:highlight w:val="none"/>
              </w:rPr>
            </w:pPr>
            <w:r>
              <w:rPr>
                <w:color w:val="auto"/>
                <w:highlight w:val="none"/>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noWrap/>
            <w:vAlign w:val="center"/>
          </w:tcPr>
          <w:p>
            <w:pPr>
              <w:ind w:left="223" w:hanging="222" w:hangingChars="106"/>
              <w:jc w:val="center"/>
              <w:rPr>
                <w:color w:val="auto"/>
                <w:highlight w:val="none"/>
              </w:rPr>
            </w:pPr>
          </w:p>
        </w:tc>
        <w:tc>
          <w:tcPr>
            <w:tcW w:w="829" w:type="dxa"/>
            <w:vMerge w:val="continue"/>
            <w:noWrap/>
            <w:vAlign w:val="center"/>
          </w:tcPr>
          <w:p>
            <w:pPr>
              <w:ind w:left="223" w:hanging="222" w:hangingChars="106"/>
              <w:jc w:val="center"/>
              <w:rPr>
                <w:color w:val="auto"/>
                <w:highlight w:val="none"/>
              </w:rPr>
            </w:pPr>
          </w:p>
        </w:tc>
        <w:tc>
          <w:tcPr>
            <w:tcW w:w="816" w:type="dxa"/>
            <w:vMerge w:val="continue"/>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r>
              <w:rPr>
                <w:color w:val="auto"/>
                <w:highlight w:val="none"/>
              </w:rPr>
              <w:t>证书名称</w:t>
            </w:r>
          </w:p>
        </w:tc>
        <w:tc>
          <w:tcPr>
            <w:tcW w:w="1148" w:type="dxa"/>
            <w:noWrap/>
            <w:vAlign w:val="center"/>
          </w:tcPr>
          <w:p>
            <w:pPr>
              <w:ind w:left="223" w:hanging="222" w:hangingChars="106"/>
              <w:jc w:val="center"/>
              <w:rPr>
                <w:color w:val="auto"/>
                <w:highlight w:val="none"/>
              </w:rPr>
            </w:pPr>
            <w:r>
              <w:rPr>
                <w:color w:val="auto"/>
                <w:highlight w:val="none"/>
              </w:rPr>
              <w:t>级别</w:t>
            </w:r>
          </w:p>
        </w:tc>
        <w:tc>
          <w:tcPr>
            <w:tcW w:w="1148" w:type="dxa"/>
            <w:noWrap/>
            <w:vAlign w:val="center"/>
          </w:tcPr>
          <w:p>
            <w:pPr>
              <w:ind w:left="223" w:hanging="222" w:hangingChars="106"/>
              <w:jc w:val="center"/>
              <w:rPr>
                <w:color w:val="auto"/>
                <w:highlight w:val="none"/>
              </w:rPr>
            </w:pPr>
            <w:r>
              <w:rPr>
                <w:color w:val="auto"/>
                <w:highlight w:val="none"/>
              </w:rPr>
              <w:t>证号</w:t>
            </w:r>
          </w:p>
        </w:tc>
        <w:tc>
          <w:tcPr>
            <w:tcW w:w="1148" w:type="dxa"/>
            <w:noWrap/>
            <w:vAlign w:val="center"/>
          </w:tcPr>
          <w:p>
            <w:pPr>
              <w:ind w:left="223" w:hanging="222" w:hangingChars="106"/>
              <w:jc w:val="center"/>
              <w:rPr>
                <w:color w:val="auto"/>
                <w:highlight w:val="none"/>
              </w:rPr>
            </w:pPr>
            <w:r>
              <w:rPr>
                <w:color w:val="auto"/>
                <w:highlight w:val="none"/>
              </w:rPr>
              <w:t>专业</w:t>
            </w:r>
          </w:p>
        </w:tc>
        <w:tc>
          <w:tcPr>
            <w:tcW w:w="850" w:type="dxa"/>
            <w:noWrap/>
            <w:vAlign w:val="center"/>
          </w:tcPr>
          <w:p>
            <w:pPr>
              <w:ind w:left="223" w:hanging="222" w:hangingChars="106"/>
              <w:jc w:val="center"/>
              <w:rPr>
                <w:color w:val="auto"/>
                <w:highlight w:val="none"/>
              </w:rPr>
            </w:pPr>
            <w:r>
              <w:rPr>
                <w:color w:val="auto"/>
                <w:highlight w:val="none"/>
              </w:rPr>
              <w:t>项目数</w:t>
            </w:r>
          </w:p>
        </w:tc>
        <w:tc>
          <w:tcPr>
            <w:tcW w:w="1679" w:type="dxa"/>
            <w:noWrap/>
            <w:vAlign w:val="center"/>
          </w:tcPr>
          <w:p>
            <w:pPr>
              <w:ind w:left="223" w:hanging="222" w:hangingChars="106"/>
              <w:jc w:val="center"/>
              <w:rPr>
                <w:color w:val="auto"/>
                <w:highlight w:val="none"/>
              </w:rPr>
            </w:pPr>
            <w:r>
              <w:rPr>
                <w:color w:val="auto"/>
                <w:highlight w:val="none"/>
              </w:rPr>
              <w:t>主要项目</w:t>
            </w:r>
          </w:p>
          <w:p>
            <w:pPr>
              <w:ind w:left="223" w:hanging="222" w:hangingChars="106"/>
              <w:jc w:val="center"/>
              <w:rPr>
                <w:color w:val="auto"/>
                <w:highlight w:val="none"/>
              </w:rPr>
            </w:pPr>
            <w:r>
              <w:rPr>
                <w:color w:val="auto"/>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noWrap/>
          </w:tcPr>
          <w:p>
            <w:pPr>
              <w:spacing w:before="120" w:beforeLines="50" w:after="120" w:afterLines="50" w:line="360" w:lineRule="auto"/>
              <w:rPr>
                <w:color w:val="auto"/>
                <w:szCs w:val="21"/>
                <w:highlight w:val="none"/>
              </w:rPr>
            </w:pPr>
            <w:r>
              <w:rPr>
                <w:color w:val="auto"/>
                <w:szCs w:val="21"/>
                <w:highlight w:val="none"/>
              </w:rPr>
              <w:t>一旦我单位中标，将实行</w:t>
            </w:r>
            <w:r>
              <w:rPr>
                <w:rFonts w:hint="eastAsia"/>
                <w:color w:val="auto"/>
                <w:szCs w:val="21"/>
                <w:highlight w:val="none"/>
              </w:rPr>
              <w:t>设计负责人</w:t>
            </w:r>
            <w:r>
              <w:rPr>
                <w:color w:val="auto"/>
                <w:szCs w:val="21"/>
                <w:highlight w:val="none"/>
              </w:rPr>
              <w:t>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color w:val="auto"/>
          <w:highlight w:val="none"/>
        </w:rPr>
      </w:pPr>
    </w:p>
    <w:p>
      <w:pPr>
        <w:tabs>
          <w:tab w:val="left" w:pos="826"/>
        </w:tabs>
        <w:snapToGrid w:val="0"/>
        <w:spacing w:line="420" w:lineRule="exact"/>
        <w:rPr>
          <w:b/>
          <w:color w:val="auto"/>
          <w:szCs w:val="21"/>
          <w:highlight w:val="none"/>
        </w:rPr>
      </w:pPr>
      <w:r>
        <w:rPr>
          <w:color w:val="auto"/>
          <w:highlight w:val="none"/>
        </w:rPr>
        <w:br w:type="page"/>
      </w:r>
      <w:r>
        <w:rPr>
          <w:rFonts w:hint="eastAsia"/>
          <w:b/>
          <w:color w:val="auto"/>
          <w:szCs w:val="21"/>
          <w:highlight w:val="none"/>
        </w:rPr>
        <w:t>6.3施工</w:t>
      </w:r>
      <w:r>
        <w:rPr>
          <w:b/>
          <w:color w:val="auto"/>
          <w:szCs w:val="21"/>
          <w:highlight w:val="none"/>
        </w:rPr>
        <w:t>管理机构配备情况表</w:t>
      </w:r>
    </w:p>
    <w:p>
      <w:pPr>
        <w:pStyle w:val="39"/>
        <w:ind w:firstLine="2100" w:firstLineChars="1000"/>
        <w:rPr>
          <w:color w:val="auto"/>
          <w:highlight w:val="none"/>
        </w:rPr>
      </w:pPr>
      <w:bookmarkStart w:id="1935" w:name="_Toc402532185"/>
      <w:r>
        <w:rPr>
          <w:color w:val="auto"/>
          <w:highlight w:val="none"/>
        </w:rPr>
        <w:t>工程</w:t>
      </w:r>
      <w:bookmarkEnd w:id="1935"/>
    </w:p>
    <w:tbl>
      <w:tblPr>
        <w:tblStyle w:val="22"/>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noWrap/>
            <w:vAlign w:val="center"/>
          </w:tcPr>
          <w:p>
            <w:pPr>
              <w:ind w:left="223" w:hanging="222" w:hangingChars="106"/>
              <w:jc w:val="center"/>
              <w:rPr>
                <w:color w:val="auto"/>
                <w:highlight w:val="none"/>
              </w:rPr>
            </w:pPr>
            <w:r>
              <w:rPr>
                <w:color w:val="auto"/>
                <w:highlight w:val="none"/>
              </w:rPr>
              <w:t>岗位</w:t>
            </w:r>
          </w:p>
        </w:tc>
        <w:tc>
          <w:tcPr>
            <w:tcW w:w="829" w:type="dxa"/>
            <w:vMerge w:val="restart"/>
            <w:noWrap/>
            <w:vAlign w:val="center"/>
          </w:tcPr>
          <w:p>
            <w:pPr>
              <w:ind w:left="223" w:hanging="222" w:hangingChars="106"/>
              <w:jc w:val="center"/>
              <w:rPr>
                <w:color w:val="auto"/>
                <w:highlight w:val="none"/>
              </w:rPr>
            </w:pPr>
            <w:r>
              <w:rPr>
                <w:color w:val="auto"/>
                <w:highlight w:val="none"/>
              </w:rPr>
              <w:t>姓名</w:t>
            </w:r>
          </w:p>
        </w:tc>
        <w:tc>
          <w:tcPr>
            <w:tcW w:w="816" w:type="dxa"/>
            <w:vMerge w:val="restart"/>
            <w:noWrap/>
            <w:vAlign w:val="center"/>
          </w:tcPr>
          <w:p>
            <w:pPr>
              <w:ind w:left="223" w:hanging="222" w:hangingChars="106"/>
              <w:jc w:val="center"/>
              <w:rPr>
                <w:color w:val="auto"/>
                <w:highlight w:val="none"/>
              </w:rPr>
            </w:pPr>
            <w:r>
              <w:rPr>
                <w:color w:val="auto"/>
                <w:highlight w:val="none"/>
              </w:rPr>
              <w:t>职称</w:t>
            </w:r>
          </w:p>
        </w:tc>
        <w:tc>
          <w:tcPr>
            <w:tcW w:w="4592" w:type="dxa"/>
            <w:gridSpan w:val="4"/>
            <w:noWrap/>
            <w:vAlign w:val="center"/>
          </w:tcPr>
          <w:p>
            <w:pPr>
              <w:ind w:left="223" w:hanging="222" w:hangingChars="106"/>
              <w:jc w:val="center"/>
              <w:rPr>
                <w:color w:val="auto"/>
                <w:highlight w:val="none"/>
              </w:rPr>
            </w:pPr>
            <w:r>
              <w:rPr>
                <w:color w:val="auto"/>
                <w:highlight w:val="none"/>
              </w:rPr>
              <w:t>执业或职业资格证明</w:t>
            </w:r>
          </w:p>
        </w:tc>
        <w:tc>
          <w:tcPr>
            <w:tcW w:w="2529" w:type="dxa"/>
            <w:gridSpan w:val="2"/>
            <w:noWrap/>
            <w:vAlign w:val="center"/>
          </w:tcPr>
          <w:p>
            <w:pPr>
              <w:ind w:left="223" w:hanging="222" w:hangingChars="106"/>
              <w:jc w:val="center"/>
              <w:rPr>
                <w:color w:val="auto"/>
                <w:highlight w:val="none"/>
              </w:rPr>
            </w:pPr>
            <w:r>
              <w:rPr>
                <w:color w:val="auto"/>
                <w:highlight w:val="none"/>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noWrap/>
            <w:vAlign w:val="center"/>
          </w:tcPr>
          <w:p>
            <w:pPr>
              <w:ind w:left="223" w:hanging="222" w:hangingChars="106"/>
              <w:jc w:val="center"/>
              <w:rPr>
                <w:color w:val="auto"/>
                <w:highlight w:val="none"/>
              </w:rPr>
            </w:pPr>
          </w:p>
        </w:tc>
        <w:tc>
          <w:tcPr>
            <w:tcW w:w="829" w:type="dxa"/>
            <w:vMerge w:val="continue"/>
            <w:noWrap/>
            <w:vAlign w:val="center"/>
          </w:tcPr>
          <w:p>
            <w:pPr>
              <w:ind w:left="223" w:hanging="222" w:hangingChars="106"/>
              <w:jc w:val="center"/>
              <w:rPr>
                <w:color w:val="auto"/>
                <w:highlight w:val="none"/>
              </w:rPr>
            </w:pPr>
          </w:p>
        </w:tc>
        <w:tc>
          <w:tcPr>
            <w:tcW w:w="816" w:type="dxa"/>
            <w:vMerge w:val="continue"/>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r>
              <w:rPr>
                <w:color w:val="auto"/>
                <w:highlight w:val="none"/>
              </w:rPr>
              <w:t>证书名称</w:t>
            </w:r>
          </w:p>
        </w:tc>
        <w:tc>
          <w:tcPr>
            <w:tcW w:w="1148" w:type="dxa"/>
            <w:noWrap/>
            <w:vAlign w:val="center"/>
          </w:tcPr>
          <w:p>
            <w:pPr>
              <w:ind w:left="223" w:hanging="222" w:hangingChars="106"/>
              <w:jc w:val="center"/>
              <w:rPr>
                <w:color w:val="auto"/>
                <w:highlight w:val="none"/>
              </w:rPr>
            </w:pPr>
            <w:r>
              <w:rPr>
                <w:color w:val="auto"/>
                <w:highlight w:val="none"/>
              </w:rPr>
              <w:t>级别</w:t>
            </w:r>
          </w:p>
        </w:tc>
        <w:tc>
          <w:tcPr>
            <w:tcW w:w="1148" w:type="dxa"/>
            <w:noWrap/>
            <w:vAlign w:val="center"/>
          </w:tcPr>
          <w:p>
            <w:pPr>
              <w:ind w:left="223" w:hanging="222" w:hangingChars="106"/>
              <w:jc w:val="center"/>
              <w:rPr>
                <w:color w:val="auto"/>
                <w:highlight w:val="none"/>
              </w:rPr>
            </w:pPr>
            <w:r>
              <w:rPr>
                <w:color w:val="auto"/>
                <w:highlight w:val="none"/>
              </w:rPr>
              <w:t>证号</w:t>
            </w:r>
          </w:p>
        </w:tc>
        <w:tc>
          <w:tcPr>
            <w:tcW w:w="1148" w:type="dxa"/>
            <w:noWrap/>
            <w:vAlign w:val="center"/>
          </w:tcPr>
          <w:p>
            <w:pPr>
              <w:ind w:left="223" w:hanging="222" w:hangingChars="106"/>
              <w:jc w:val="center"/>
              <w:rPr>
                <w:color w:val="auto"/>
                <w:highlight w:val="none"/>
              </w:rPr>
            </w:pPr>
            <w:r>
              <w:rPr>
                <w:color w:val="auto"/>
                <w:highlight w:val="none"/>
              </w:rPr>
              <w:t>专业</w:t>
            </w:r>
          </w:p>
        </w:tc>
        <w:tc>
          <w:tcPr>
            <w:tcW w:w="850" w:type="dxa"/>
            <w:noWrap/>
            <w:vAlign w:val="center"/>
          </w:tcPr>
          <w:p>
            <w:pPr>
              <w:ind w:left="223" w:hanging="222" w:hangingChars="106"/>
              <w:jc w:val="center"/>
              <w:rPr>
                <w:color w:val="auto"/>
                <w:highlight w:val="none"/>
              </w:rPr>
            </w:pPr>
            <w:r>
              <w:rPr>
                <w:color w:val="auto"/>
                <w:highlight w:val="none"/>
              </w:rPr>
              <w:t>项目数</w:t>
            </w:r>
          </w:p>
        </w:tc>
        <w:tc>
          <w:tcPr>
            <w:tcW w:w="1679" w:type="dxa"/>
            <w:noWrap/>
            <w:vAlign w:val="center"/>
          </w:tcPr>
          <w:p>
            <w:pPr>
              <w:ind w:left="223" w:hanging="222" w:hangingChars="106"/>
              <w:jc w:val="center"/>
              <w:rPr>
                <w:color w:val="auto"/>
                <w:highlight w:val="none"/>
              </w:rPr>
            </w:pPr>
            <w:r>
              <w:rPr>
                <w:color w:val="auto"/>
                <w:highlight w:val="none"/>
              </w:rPr>
              <w:t>主要项目</w:t>
            </w:r>
          </w:p>
          <w:p>
            <w:pPr>
              <w:ind w:left="223" w:hanging="222" w:hangingChars="106"/>
              <w:jc w:val="center"/>
              <w:rPr>
                <w:color w:val="auto"/>
                <w:highlight w:val="none"/>
              </w:rPr>
            </w:pPr>
            <w:r>
              <w:rPr>
                <w:color w:val="auto"/>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noWrap/>
            <w:vAlign w:val="center"/>
          </w:tcPr>
          <w:p>
            <w:pPr>
              <w:ind w:left="223" w:hanging="222" w:hangingChars="106"/>
              <w:jc w:val="center"/>
              <w:rPr>
                <w:color w:val="auto"/>
                <w:szCs w:val="21"/>
                <w:highlight w:val="none"/>
              </w:rPr>
            </w:pPr>
          </w:p>
        </w:tc>
        <w:tc>
          <w:tcPr>
            <w:tcW w:w="829" w:type="dxa"/>
            <w:noWrap/>
            <w:vAlign w:val="center"/>
          </w:tcPr>
          <w:p>
            <w:pPr>
              <w:ind w:left="223" w:hanging="222" w:hangingChars="106"/>
              <w:jc w:val="center"/>
              <w:rPr>
                <w:color w:val="auto"/>
                <w:highlight w:val="none"/>
              </w:rPr>
            </w:pPr>
          </w:p>
        </w:tc>
        <w:tc>
          <w:tcPr>
            <w:tcW w:w="816"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1148" w:type="dxa"/>
            <w:noWrap/>
            <w:vAlign w:val="center"/>
          </w:tcPr>
          <w:p>
            <w:pPr>
              <w:ind w:left="223" w:hanging="222" w:hangingChars="106"/>
              <w:jc w:val="center"/>
              <w:rPr>
                <w:color w:val="auto"/>
                <w:highlight w:val="none"/>
              </w:rPr>
            </w:pPr>
          </w:p>
        </w:tc>
        <w:tc>
          <w:tcPr>
            <w:tcW w:w="850" w:type="dxa"/>
            <w:noWrap/>
            <w:vAlign w:val="center"/>
          </w:tcPr>
          <w:p>
            <w:pPr>
              <w:ind w:left="223" w:hanging="222" w:hangingChars="106"/>
              <w:jc w:val="center"/>
              <w:rPr>
                <w:color w:val="auto"/>
                <w:highlight w:val="none"/>
              </w:rPr>
            </w:pPr>
          </w:p>
        </w:tc>
        <w:tc>
          <w:tcPr>
            <w:tcW w:w="1679" w:type="dxa"/>
            <w:noWrap/>
            <w:vAlign w:val="center"/>
          </w:tcPr>
          <w:p>
            <w:pPr>
              <w:ind w:left="223" w:hanging="222" w:hangingChars="106"/>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noWrap/>
          </w:tcPr>
          <w:p>
            <w:pPr>
              <w:spacing w:before="120" w:beforeLines="50" w:after="120" w:afterLines="50" w:line="360" w:lineRule="auto"/>
              <w:rPr>
                <w:color w:val="auto"/>
                <w:szCs w:val="21"/>
                <w:highlight w:val="none"/>
              </w:rPr>
            </w:pPr>
            <w:r>
              <w:rPr>
                <w:color w:val="auto"/>
                <w:szCs w:val="21"/>
                <w:highlight w:val="none"/>
              </w:rPr>
              <w:t>一旦我单位中标，将实行项目经理负责制，我方保证并配备上述项目管理机构。上述填报内容真实，若不真实，愿按有关规定接受处理。项目管理班子机构设置、职责分工等情况另附资料说明。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rFonts w:ascii="宋体" w:hAnsi="宋体"/>
          <w:color w:val="auto"/>
          <w:szCs w:val="21"/>
          <w:highlight w:val="none"/>
        </w:rPr>
      </w:pPr>
    </w:p>
    <w:p>
      <w:pPr>
        <w:tabs>
          <w:tab w:val="left" w:pos="0"/>
        </w:tabs>
        <w:spacing w:line="360" w:lineRule="auto"/>
        <w:ind w:right="-210"/>
        <w:rPr>
          <w:rFonts w:ascii="宋体" w:hAnsi="宋体"/>
          <w:color w:val="auto"/>
          <w:szCs w:val="21"/>
          <w:highlight w:val="none"/>
        </w:rPr>
      </w:pPr>
      <w:r>
        <w:rPr>
          <w:rFonts w:ascii="宋体" w:hAnsi="宋体"/>
          <w:color w:val="auto"/>
          <w:szCs w:val="21"/>
          <w:highlight w:val="none"/>
        </w:rPr>
        <w:t>备注：</w:t>
      </w:r>
    </w:p>
    <w:p>
      <w:pPr>
        <w:tabs>
          <w:tab w:val="left" w:pos="0"/>
        </w:tabs>
        <w:spacing w:line="440" w:lineRule="exact"/>
        <w:ind w:right="-210"/>
        <w:rPr>
          <w:rFonts w:ascii="宋体" w:hAnsi="宋体"/>
          <w:color w:val="auto"/>
          <w:szCs w:val="21"/>
          <w:highlight w:val="none"/>
        </w:rPr>
      </w:pPr>
      <w:r>
        <w:rPr>
          <w:rFonts w:hint="eastAsia" w:ascii="宋体" w:hAnsi="宋体"/>
          <w:color w:val="auto"/>
          <w:szCs w:val="21"/>
          <w:highlight w:val="none"/>
        </w:rPr>
        <w:t>1、必须包含拟派项目总负责人、项目设计负责人、项目经理、项目采购负责人（如有）、项目施工专职安全员基本情况表（附其相应注册证书，建造师安全生产考核合格证书（B类），项目施工专职安全员安全生产考核合格证书（C类），身份证、职称证（如有）等材料的复印件）。项目经理注册建造师证书和安全生产考核合格证书（B类）、项目施工专职安全员安全生产考核合格证书（C类）只需附复印件。</w:t>
      </w:r>
    </w:p>
    <w:p>
      <w:pPr>
        <w:spacing w:line="440" w:lineRule="exact"/>
        <w:rPr>
          <w:rFonts w:ascii="宋体" w:hAnsi="宋体"/>
          <w:color w:val="auto"/>
          <w:szCs w:val="21"/>
          <w:highlight w:val="none"/>
        </w:rPr>
      </w:pPr>
      <w:r>
        <w:rPr>
          <w:rFonts w:hint="eastAsia" w:ascii="宋体" w:hAnsi="宋体"/>
          <w:color w:val="auto"/>
          <w:szCs w:val="21"/>
          <w:highlight w:val="none"/>
        </w:rPr>
        <w:t>2、附</w:t>
      </w:r>
      <w:r>
        <w:rPr>
          <w:rFonts w:ascii="宋体" w:hAnsi="宋体"/>
          <w:color w:val="auto"/>
          <w:szCs w:val="21"/>
          <w:highlight w:val="none"/>
        </w:rPr>
        <w:t>各岗位人员资格证件</w:t>
      </w:r>
      <w:r>
        <w:rPr>
          <w:rFonts w:hint="eastAsia" w:ascii="宋体" w:hAnsi="宋体"/>
          <w:color w:val="auto"/>
          <w:szCs w:val="21"/>
          <w:highlight w:val="none"/>
        </w:rPr>
        <w:t>或职称证</w:t>
      </w:r>
      <w:r>
        <w:rPr>
          <w:rFonts w:ascii="宋体" w:hAnsi="宋体"/>
          <w:color w:val="auto"/>
          <w:szCs w:val="21"/>
          <w:highlight w:val="none"/>
        </w:rPr>
        <w:t>复印件</w:t>
      </w:r>
      <w:r>
        <w:rPr>
          <w:rFonts w:hint="eastAsia" w:ascii="宋体" w:hAnsi="宋体"/>
          <w:color w:val="auto"/>
          <w:szCs w:val="21"/>
          <w:highlight w:val="none"/>
        </w:rPr>
        <w:t>。</w:t>
      </w:r>
    </w:p>
    <w:p>
      <w:pPr>
        <w:rPr>
          <w:rFonts w:ascii="宋体" w:hAnsi="宋体"/>
          <w:b/>
          <w:color w:val="auto"/>
          <w:sz w:val="28"/>
          <w:szCs w:val="28"/>
          <w:highlight w:val="none"/>
        </w:rPr>
      </w:pPr>
      <w:r>
        <w:rPr>
          <w:color w:val="auto"/>
          <w:highlight w:val="none"/>
        </w:rPr>
        <w:br w:type="page"/>
      </w:r>
      <w:bookmarkStart w:id="1936" w:name="_Toc419363897"/>
      <w:r>
        <w:rPr>
          <w:rFonts w:hint="eastAsia" w:ascii="宋体" w:hAnsi="宋体"/>
          <w:b/>
          <w:color w:val="auto"/>
          <w:sz w:val="28"/>
          <w:szCs w:val="28"/>
          <w:highlight w:val="none"/>
        </w:rPr>
        <w:t>二、施工组织设计</w:t>
      </w:r>
      <w:bookmarkEnd w:id="1936"/>
    </w:p>
    <w:p>
      <w:pPr>
        <w:spacing w:line="460" w:lineRule="exact"/>
        <w:ind w:firstLine="420" w:firstLineChars="200"/>
        <w:rPr>
          <w:rFonts w:ascii="宋体" w:hAnsi="宋体"/>
          <w:color w:val="auto"/>
          <w:szCs w:val="21"/>
          <w:highlight w:val="none"/>
        </w:rPr>
      </w:pPr>
      <w:r>
        <w:rPr>
          <w:rFonts w:ascii="宋体" w:hAnsi="宋体"/>
          <w:color w:val="auto"/>
          <w:szCs w:val="21"/>
          <w:highlight w:val="none"/>
        </w:rPr>
        <w:t>1、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w:t>
      </w:r>
      <w:r>
        <w:rPr>
          <w:rFonts w:hint="eastAsia" w:ascii="宋体" w:hAnsi="宋体"/>
          <w:color w:val="auto"/>
          <w:szCs w:val="21"/>
          <w:highlight w:val="none"/>
        </w:rPr>
        <w:t>及装配式技术在本项目中的应用分析（如有）。</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2．施工组织设计除采用文字表述外可附下列图表，图表及格式要求附后。</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附表一  拟投入本工程的主要施工设备表</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附表二  拟配备本工程的试验和检测仪器设备表</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附表三  劳动力计划表</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附表四  计划开、竣工日期和施工进度网络图</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附表五  施工总平面图</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附表六  临时用地表</w:t>
      </w:r>
    </w:p>
    <w:p>
      <w:pPr>
        <w:spacing w:line="460" w:lineRule="exact"/>
        <w:ind w:firstLine="420" w:firstLineChars="200"/>
        <w:rPr>
          <w:color w:val="auto"/>
          <w:szCs w:val="21"/>
          <w:highlight w:val="none"/>
        </w:rPr>
      </w:pPr>
    </w:p>
    <w:p>
      <w:pPr>
        <w:rPr>
          <w:color w:val="auto"/>
          <w:szCs w:val="21"/>
          <w:highlight w:val="none"/>
        </w:rPr>
      </w:pPr>
      <w:r>
        <w:rPr>
          <w:color w:val="auto"/>
          <w:highlight w:val="none"/>
        </w:rPr>
        <w:t>附表一：拟投入本</w:t>
      </w:r>
      <w:r>
        <w:rPr>
          <w:color w:val="auto"/>
          <w:szCs w:val="21"/>
          <w:highlight w:val="none"/>
        </w:rPr>
        <w:t>工程</w:t>
      </w:r>
      <w:r>
        <w:rPr>
          <w:color w:val="auto"/>
          <w:highlight w:val="none"/>
        </w:rPr>
        <w:t>的主要施工设备表</w:t>
      </w:r>
    </w:p>
    <w:tbl>
      <w:tblPr>
        <w:tblStyle w:val="2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noWrap/>
            <w:vAlign w:val="center"/>
          </w:tcPr>
          <w:p>
            <w:pPr>
              <w:jc w:val="center"/>
              <w:rPr>
                <w:color w:val="auto"/>
                <w:szCs w:val="21"/>
                <w:highlight w:val="none"/>
              </w:rPr>
            </w:pPr>
            <w:r>
              <w:rPr>
                <w:color w:val="auto"/>
                <w:szCs w:val="21"/>
                <w:highlight w:val="none"/>
              </w:rPr>
              <w:t>序号</w:t>
            </w:r>
          </w:p>
        </w:tc>
        <w:tc>
          <w:tcPr>
            <w:tcW w:w="1226" w:type="dxa"/>
            <w:noWrap/>
            <w:vAlign w:val="center"/>
          </w:tcPr>
          <w:p>
            <w:pPr>
              <w:jc w:val="center"/>
              <w:rPr>
                <w:color w:val="auto"/>
                <w:szCs w:val="21"/>
                <w:highlight w:val="none"/>
              </w:rPr>
            </w:pPr>
            <w:r>
              <w:rPr>
                <w:color w:val="auto"/>
                <w:szCs w:val="21"/>
                <w:highlight w:val="none"/>
              </w:rPr>
              <w:t>设备名称</w:t>
            </w:r>
          </w:p>
        </w:tc>
        <w:tc>
          <w:tcPr>
            <w:tcW w:w="851" w:type="dxa"/>
            <w:noWrap/>
            <w:vAlign w:val="center"/>
          </w:tcPr>
          <w:p>
            <w:pPr>
              <w:jc w:val="center"/>
              <w:rPr>
                <w:color w:val="auto"/>
                <w:szCs w:val="21"/>
                <w:highlight w:val="none"/>
              </w:rPr>
            </w:pPr>
            <w:r>
              <w:rPr>
                <w:color w:val="auto"/>
                <w:szCs w:val="21"/>
                <w:highlight w:val="none"/>
              </w:rPr>
              <w:t>型号</w:t>
            </w:r>
          </w:p>
          <w:p>
            <w:pPr>
              <w:jc w:val="center"/>
              <w:rPr>
                <w:color w:val="auto"/>
                <w:szCs w:val="21"/>
                <w:highlight w:val="none"/>
              </w:rPr>
            </w:pPr>
            <w:r>
              <w:rPr>
                <w:color w:val="auto"/>
                <w:szCs w:val="21"/>
                <w:highlight w:val="none"/>
              </w:rPr>
              <w:t>规格</w:t>
            </w:r>
          </w:p>
        </w:tc>
        <w:tc>
          <w:tcPr>
            <w:tcW w:w="708" w:type="dxa"/>
            <w:noWrap/>
            <w:vAlign w:val="center"/>
          </w:tcPr>
          <w:p>
            <w:pPr>
              <w:jc w:val="center"/>
              <w:rPr>
                <w:color w:val="auto"/>
                <w:szCs w:val="21"/>
                <w:highlight w:val="none"/>
              </w:rPr>
            </w:pPr>
            <w:r>
              <w:rPr>
                <w:color w:val="auto"/>
                <w:szCs w:val="21"/>
                <w:highlight w:val="none"/>
              </w:rPr>
              <w:t>数量</w:t>
            </w:r>
          </w:p>
        </w:tc>
        <w:tc>
          <w:tcPr>
            <w:tcW w:w="709" w:type="dxa"/>
            <w:noWrap/>
            <w:vAlign w:val="center"/>
          </w:tcPr>
          <w:p>
            <w:pPr>
              <w:jc w:val="center"/>
              <w:rPr>
                <w:color w:val="auto"/>
                <w:szCs w:val="21"/>
                <w:highlight w:val="none"/>
              </w:rPr>
            </w:pPr>
            <w:r>
              <w:rPr>
                <w:color w:val="auto"/>
                <w:szCs w:val="21"/>
                <w:highlight w:val="none"/>
              </w:rPr>
              <w:t>国别</w:t>
            </w:r>
          </w:p>
          <w:p>
            <w:pPr>
              <w:jc w:val="center"/>
              <w:rPr>
                <w:color w:val="auto"/>
                <w:szCs w:val="21"/>
                <w:highlight w:val="none"/>
              </w:rPr>
            </w:pPr>
            <w:r>
              <w:rPr>
                <w:color w:val="auto"/>
                <w:szCs w:val="21"/>
                <w:highlight w:val="none"/>
              </w:rPr>
              <w:t>产地</w:t>
            </w:r>
          </w:p>
        </w:tc>
        <w:tc>
          <w:tcPr>
            <w:tcW w:w="851" w:type="dxa"/>
            <w:noWrap/>
            <w:vAlign w:val="center"/>
          </w:tcPr>
          <w:p>
            <w:pPr>
              <w:jc w:val="center"/>
              <w:rPr>
                <w:color w:val="auto"/>
                <w:szCs w:val="21"/>
                <w:highlight w:val="none"/>
              </w:rPr>
            </w:pPr>
            <w:r>
              <w:rPr>
                <w:color w:val="auto"/>
                <w:szCs w:val="21"/>
                <w:highlight w:val="none"/>
              </w:rPr>
              <w:t>制造</w:t>
            </w:r>
          </w:p>
          <w:p>
            <w:pPr>
              <w:jc w:val="center"/>
              <w:rPr>
                <w:color w:val="auto"/>
                <w:szCs w:val="21"/>
                <w:highlight w:val="none"/>
              </w:rPr>
            </w:pPr>
            <w:r>
              <w:rPr>
                <w:color w:val="auto"/>
                <w:szCs w:val="21"/>
                <w:highlight w:val="none"/>
              </w:rPr>
              <w:t>年份</w:t>
            </w:r>
          </w:p>
        </w:tc>
        <w:tc>
          <w:tcPr>
            <w:tcW w:w="1134" w:type="dxa"/>
            <w:noWrap/>
            <w:vAlign w:val="center"/>
          </w:tcPr>
          <w:p>
            <w:pPr>
              <w:jc w:val="center"/>
              <w:rPr>
                <w:color w:val="auto"/>
                <w:szCs w:val="21"/>
                <w:highlight w:val="none"/>
              </w:rPr>
            </w:pPr>
            <w:r>
              <w:rPr>
                <w:color w:val="auto"/>
                <w:szCs w:val="21"/>
                <w:highlight w:val="none"/>
              </w:rPr>
              <w:t>额定功率</w:t>
            </w:r>
          </w:p>
          <w:p>
            <w:pPr>
              <w:jc w:val="center"/>
              <w:rPr>
                <w:color w:val="auto"/>
                <w:szCs w:val="21"/>
                <w:highlight w:val="none"/>
              </w:rPr>
            </w:pPr>
            <w:r>
              <w:rPr>
                <w:color w:val="auto"/>
                <w:szCs w:val="21"/>
                <w:highlight w:val="none"/>
              </w:rPr>
              <w:t>（KW）</w:t>
            </w:r>
          </w:p>
        </w:tc>
        <w:tc>
          <w:tcPr>
            <w:tcW w:w="992" w:type="dxa"/>
            <w:noWrap/>
            <w:vAlign w:val="center"/>
          </w:tcPr>
          <w:p>
            <w:pPr>
              <w:jc w:val="center"/>
              <w:rPr>
                <w:color w:val="auto"/>
                <w:szCs w:val="21"/>
                <w:highlight w:val="none"/>
              </w:rPr>
            </w:pPr>
            <w:r>
              <w:rPr>
                <w:color w:val="auto"/>
                <w:szCs w:val="21"/>
                <w:highlight w:val="none"/>
              </w:rPr>
              <w:t>生产</w:t>
            </w:r>
          </w:p>
          <w:p>
            <w:pPr>
              <w:jc w:val="center"/>
              <w:rPr>
                <w:color w:val="auto"/>
                <w:szCs w:val="21"/>
                <w:highlight w:val="none"/>
              </w:rPr>
            </w:pPr>
            <w:r>
              <w:rPr>
                <w:color w:val="auto"/>
                <w:szCs w:val="21"/>
                <w:highlight w:val="none"/>
              </w:rPr>
              <w:t>能力</w:t>
            </w:r>
          </w:p>
        </w:tc>
        <w:tc>
          <w:tcPr>
            <w:tcW w:w="1134" w:type="dxa"/>
            <w:noWrap/>
            <w:vAlign w:val="center"/>
          </w:tcPr>
          <w:p>
            <w:pPr>
              <w:jc w:val="center"/>
              <w:rPr>
                <w:color w:val="auto"/>
                <w:szCs w:val="21"/>
                <w:highlight w:val="none"/>
              </w:rPr>
            </w:pPr>
            <w:r>
              <w:rPr>
                <w:color w:val="auto"/>
                <w:szCs w:val="21"/>
                <w:highlight w:val="none"/>
              </w:rPr>
              <w:t>用于施</w:t>
            </w:r>
          </w:p>
          <w:p>
            <w:pPr>
              <w:jc w:val="center"/>
              <w:rPr>
                <w:color w:val="auto"/>
                <w:szCs w:val="21"/>
                <w:highlight w:val="none"/>
              </w:rPr>
            </w:pPr>
            <w:r>
              <w:rPr>
                <w:color w:val="auto"/>
                <w:szCs w:val="21"/>
                <w:highlight w:val="none"/>
              </w:rPr>
              <w:t>工部位</w:t>
            </w:r>
          </w:p>
        </w:tc>
        <w:tc>
          <w:tcPr>
            <w:tcW w:w="992" w:type="dxa"/>
            <w:noWrap/>
            <w:vAlign w:val="center"/>
          </w:tcPr>
          <w:p>
            <w:pPr>
              <w:jc w:val="center"/>
              <w:rPr>
                <w:color w:val="auto"/>
                <w:szCs w:val="21"/>
                <w:highlight w:val="none"/>
              </w:rPr>
            </w:pPr>
            <w:r>
              <w:rPr>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spacing w:line="360" w:lineRule="auto"/>
              <w:rPr>
                <w:color w:val="auto"/>
                <w:szCs w:val="21"/>
                <w:highlight w:val="none"/>
              </w:rPr>
            </w:pPr>
          </w:p>
        </w:tc>
        <w:tc>
          <w:tcPr>
            <w:tcW w:w="1226" w:type="dxa"/>
            <w:noWrap/>
          </w:tcPr>
          <w:p>
            <w:pPr>
              <w:spacing w:line="360" w:lineRule="auto"/>
              <w:ind w:firstLine="420" w:firstLineChars="200"/>
              <w:rPr>
                <w:color w:val="auto"/>
                <w:szCs w:val="21"/>
                <w:highlight w:val="none"/>
              </w:rPr>
            </w:pPr>
          </w:p>
        </w:tc>
        <w:tc>
          <w:tcPr>
            <w:tcW w:w="851" w:type="dxa"/>
            <w:noWrap/>
          </w:tcPr>
          <w:p>
            <w:pPr>
              <w:spacing w:line="360" w:lineRule="auto"/>
              <w:rPr>
                <w:color w:val="auto"/>
                <w:szCs w:val="21"/>
                <w:highlight w:val="none"/>
              </w:rPr>
            </w:pPr>
          </w:p>
        </w:tc>
        <w:tc>
          <w:tcPr>
            <w:tcW w:w="708" w:type="dxa"/>
            <w:noWrap/>
          </w:tcPr>
          <w:p>
            <w:pPr>
              <w:spacing w:line="360" w:lineRule="auto"/>
              <w:rPr>
                <w:color w:val="auto"/>
                <w:szCs w:val="21"/>
                <w:highlight w:val="none"/>
              </w:rPr>
            </w:pPr>
          </w:p>
        </w:tc>
        <w:tc>
          <w:tcPr>
            <w:tcW w:w="709" w:type="dxa"/>
            <w:noWrap/>
          </w:tcPr>
          <w:p>
            <w:pPr>
              <w:spacing w:line="360" w:lineRule="auto"/>
              <w:rPr>
                <w:color w:val="auto"/>
                <w:szCs w:val="21"/>
                <w:highlight w:val="none"/>
              </w:rPr>
            </w:pPr>
          </w:p>
        </w:tc>
        <w:tc>
          <w:tcPr>
            <w:tcW w:w="851" w:type="dxa"/>
            <w:noWrap/>
          </w:tcPr>
          <w:p>
            <w:pPr>
              <w:spacing w:line="360" w:lineRule="auto"/>
              <w:rPr>
                <w:color w:val="auto"/>
                <w:szCs w:val="21"/>
                <w:highlight w:val="none"/>
              </w:rPr>
            </w:pPr>
          </w:p>
        </w:tc>
        <w:tc>
          <w:tcPr>
            <w:tcW w:w="1134" w:type="dxa"/>
            <w:noWrap/>
          </w:tcPr>
          <w:p>
            <w:pPr>
              <w:spacing w:line="360" w:lineRule="auto"/>
              <w:rPr>
                <w:color w:val="auto"/>
                <w:szCs w:val="21"/>
                <w:highlight w:val="none"/>
              </w:rPr>
            </w:pPr>
          </w:p>
        </w:tc>
        <w:tc>
          <w:tcPr>
            <w:tcW w:w="992" w:type="dxa"/>
            <w:noWrap/>
          </w:tcPr>
          <w:p>
            <w:pPr>
              <w:spacing w:line="360" w:lineRule="auto"/>
              <w:rPr>
                <w:color w:val="auto"/>
                <w:szCs w:val="21"/>
                <w:highlight w:val="none"/>
              </w:rPr>
            </w:pPr>
          </w:p>
        </w:tc>
        <w:tc>
          <w:tcPr>
            <w:tcW w:w="1134" w:type="dxa"/>
            <w:noWrap/>
          </w:tcPr>
          <w:p>
            <w:pPr>
              <w:spacing w:line="360" w:lineRule="auto"/>
              <w:rPr>
                <w:color w:val="auto"/>
                <w:szCs w:val="21"/>
                <w:highlight w:val="none"/>
              </w:rPr>
            </w:pPr>
          </w:p>
        </w:tc>
        <w:tc>
          <w:tcPr>
            <w:tcW w:w="992" w:type="dxa"/>
            <w:noWrap/>
          </w:tcPr>
          <w:p>
            <w:pPr>
              <w:spacing w:line="360" w:lineRule="auto"/>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spacing w:line="360" w:lineRule="auto"/>
              <w:rPr>
                <w:color w:val="auto"/>
                <w:szCs w:val="21"/>
                <w:highlight w:val="none"/>
              </w:rPr>
            </w:pPr>
          </w:p>
        </w:tc>
        <w:tc>
          <w:tcPr>
            <w:tcW w:w="1226" w:type="dxa"/>
            <w:noWrap/>
          </w:tcPr>
          <w:p>
            <w:pPr>
              <w:spacing w:line="360" w:lineRule="auto"/>
              <w:rPr>
                <w:color w:val="auto"/>
                <w:szCs w:val="21"/>
                <w:highlight w:val="none"/>
              </w:rPr>
            </w:pPr>
          </w:p>
        </w:tc>
        <w:tc>
          <w:tcPr>
            <w:tcW w:w="851" w:type="dxa"/>
            <w:noWrap/>
          </w:tcPr>
          <w:p>
            <w:pPr>
              <w:spacing w:line="360" w:lineRule="auto"/>
              <w:rPr>
                <w:color w:val="auto"/>
                <w:szCs w:val="21"/>
                <w:highlight w:val="none"/>
              </w:rPr>
            </w:pPr>
          </w:p>
        </w:tc>
        <w:tc>
          <w:tcPr>
            <w:tcW w:w="708" w:type="dxa"/>
            <w:noWrap/>
          </w:tcPr>
          <w:p>
            <w:pPr>
              <w:spacing w:line="360" w:lineRule="auto"/>
              <w:rPr>
                <w:color w:val="auto"/>
                <w:szCs w:val="21"/>
                <w:highlight w:val="none"/>
              </w:rPr>
            </w:pPr>
          </w:p>
        </w:tc>
        <w:tc>
          <w:tcPr>
            <w:tcW w:w="709" w:type="dxa"/>
            <w:noWrap/>
          </w:tcPr>
          <w:p>
            <w:pPr>
              <w:spacing w:line="360" w:lineRule="auto"/>
              <w:rPr>
                <w:color w:val="auto"/>
                <w:szCs w:val="21"/>
                <w:highlight w:val="none"/>
              </w:rPr>
            </w:pPr>
          </w:p>
        </w:tc>
        <w:tc>
          <w:tcPr>
            <w:tcW w:w="851" w:type="dxa"/>
            <w:noWrap/>
          </w:tcPr>
          <w:p>
            <w:pPr>
              <w:spacing w:line="360" w:lineRule="auto"/>
              <w:rPr>
                <w:color w:val="auto"/>
                <w:szCs w:val="21"/>
                <w:highlight w:val="none"/>
              </w:rPr>
            </w:pPr>
          </w:p>
        </w:tc>
        <w:tc>
          <w:tcPr>
            <w:tcW w:w="1134" w:type="dxa"/>
            <w:noWrap/>
          </w:tcPr>
          <w:p>
            <w:pPr>
              <w:spacing w:line="360" w:lineRule="auto"/>
              <w:rPr>
                <w:color w:val="auto"/>
                <w:szCs w:val="21"/>
                <w:highlight w:val="none"/>
              </w:rPr>
            </w:pPr>
          </w:p>
        </w:tc>
        <w:tc>
          <w:tcPr>
            <w:tcW w:w="992" w:type="dxa"/>
            <w:noWrap/>
          </w:tcPr>
          <w:p>
            <w:pPr>
              <w:spacing w:line="360" w:lineRule="auto"/>
              <w:rPr>
                <w:color w:val="auto"/>
                <w:szCs w:val="21"/>
                <w:highlight w:val="none"/>
              </w:rPr>
            </w:pPr>
          </w:p>
        </w:tc>
        <w:tc>
          <w:tcPr>
            <w:tcW w:w="1134" w:type="dxa"/>
            <w:noWrap/>
          </w:tcPr>
          <w:p>
            <w:pPr>
              <w:spacing w:line="360" w:lineRule="auto"/>
              <w:rPr>
                <w:color w:val="auto"/>
                <w:szCs w:val="21"/>
                <w:highlight w:val="none"/>
              </w:rPr>
            </w:pPr>
          </w:p>
        </w:tc>
        <w:tc>
          <w:tcPr>
            <w:tcW w:w="992" w:type="dxa"/>
            <w:noWrap/>
          </w:tcPr>
          <w:p>
            <w:pPr>
              <w:spacing w:line="360" w:lineRule="auto"/>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spacing w:line="360" w:lineRule="auto"/>
              <w:rPr>
                <w:color w:val="auto"/>
                <w:szCs w:val="21"/>
                <w:highlight w:val="none"/>
              </w:rPr>
            </w:pPr>
          </w:p>
        </w:tc>
        <w:tc>
          <w:tcPr>
            <w:tcW w:w="1226" w:type="dxa"/>
            <w:noWrap/>
          </w:tcPr>
          <w:p>
            <w:pPr>
              <w:spacing w:line="360" w:lineRule="auto"/>
              <w:rPr>
                <w:color w:val="auto"/>
                <w:szCs w:val="21"/>
                <w:highlight w:val="none"/>
              </w:rPr>
            </w:pPr>
          </w:p>
        </w:tc>
        <w:tc>
          <w:tcPr>
            <w:tcW w:w="851" w:type="dxa"/>
            <w:noWrap/>
          </w:tcPr>
          <w:p>
            <w:pPr>
              <w:spacing w:line="360" w:lineRule="auto"/>
              <w:rPr>
                <w:color w:val="auto"/>
                <w:szCs w:val="21"/>
                <w:highlight w:val="none"/>
              </w:rPr>
            </w:pPr>
          </w:p>
        </w:tc>
        <w:tc>
          <w:tcPr>
            <w:tcW w:w="708" w:type="dxa"/>
            <w:noWrap/>
          </w:tcPr>
          <w:p>
            <w:pPr>
              <w:spacing w:line="360" w:lineRule="auto"/>
              <w:rPr>
                <w:color w:val="auto"/>
                <w:szCs w:val="21"/>
                <w:highlight w:val="none"/>
              </w:rPr>
            </w:pPr>
          </w:p>
        </w:tc>
        <w:tc>
          <w:tcPr>
            <w:tcW w:w="709" w:type="dxa"/>
            <w:noWrap/>
          </w:tcPr>
          <w:p>
            <w:pPr>
              <w:spacing w:line="360" w:lineRule="auto"/>
              <w:rPr>
                <w:color w:val="auto"/>
                <w:szCs w:val="21"/>
                <w:highlight w:val="none"/>
              </w:rPr>
            </w:pPr>
          </w:p>
        </w:tc>
        <w:tc>
          <w:tcPr>
            <w:tcW w:w="851" w:type="dxa"/>
            <w:noWrap/>
          </w:tcPr>
          <w:p>
            <w:pPr>
              <w:spacing w:line="360" w:lineRule="auto"/>
              <w:rPr>
                <w:color w:val="auto"/>
                <w:szCs w:val="21"/>
                <w:highlight w:val="none"/>
              </w:rPr>
            </w:pPr>
          </w:p>
        </w:tc>
        <w:tc>
          <w:tcPr>
            <w:tcW w:w="1134" w:type="dxa"/>
            <w:noWrap/>
          </w:tcPr>
          <w:p>
            <w:pPr>
              <w:spacing w:line="360" w:lineRule="auto"/>
              <w:rPr>
                <w:color w:val="auto"/>
                <w:szCs w:val="21"/>
                <w:highlight w:val="none"/>
              </w:rPr>
            </w:pPr>
          </w:p>
        </w:tc>
        <w:tc>
          <w:tcPr>
            <w:tcW w:w="992" w:type="dxa"/>
            <w:noWrap/>
          </w:tcPr>
          <w:p>
            <w:pPr>
              <w:spacing w:line="360" w:lineRule="auto"/>
              <w:rPr>
                <w:color w:val="auto"/>
                <w:szCs w:val="21"/>
                <w:highlight w:val="none"/>
              </w:rPr>
            </w:pPr>
          </w:p>
        </w:tc>
        <w:tc>
          <w:tcPr>
            <w:tcW w:w="1134" w:type="dxa"/>
            <w:noWrap/>
          </w:tcPr>
          <w:p>
            <w:pPr>
              <w:spacing w:line="360" w:lineRule="auto"/>
              <w:rPr>
                <w:color w:val="auto"/>
                <w:szCs w:val="21"/>
                <w:highlight w:val="none"/>
              </w:rPr>
            </w:pPr>
          </w:p>
        </w:tc>
        <w:tc>
          <w:tcPr>
            <w:tcW w:w="992" w:type="dxa"/>
            <w:noWrap/>
          </w:tcPr>
          <w:p>
            <w:pPr>
              <w:spacing w:line="360" w:lineRule="auto"/>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spacing w:line="360" w:lineRule="auto"/>
              <w:rPr>
                <w:color w:val="auto"/>
                <w:szCs w:val="21"/>
                <w:highlight w:val="none"/>
              </w:rPr>
            </w:pPr>
          </w:p>
        </w:tc>
        <w:tc>
          <w:tcPr>
            <w:tcW w:w="1226" w:type="dxa"/>
            <w:noWrap/>
          </w:tcPr>
          <w:p>
            <w:pPr>
              <w:spacing w:line="360" w:lineRule="auto"/>
              <w:rPr>
                <w:color w:val="auto"/>
                <w:szCs w:val="21"/>
                <w:highlight w:val="none"/>
              </w:rPr>
            </w:pPr>
          </w:p>
        </w:tc>
        <w:tc>
          <w:tcPr>
            <w:tcW w:w="851" w:type="dxa"/>
            <w:noWrap/>
          </w:tcPr>
          <w:p>
            <w:pPr>
              <w:spacing w:line="360" w:lineRule="auto"/>
              <w:rPr>
                <w:color w:val="auto"/>
                <w:szCs w:val="21"/>
                <w:highlight w:val="none"/>
              </w:rPr>
            </w:pPr>
          </w:p>
        </w:tc>
        <w:tc>
          <w:tcPr>
            <w:tcW w:w="708" w:type="dxa"/>
            <w:noWrap/>
          </w:tcPr>
          <w:p>
            <w:pPr>
              <w:spacing w:line="360" w:lineRule="auto"/>
              <w:rPr>
                <w:color w:val="auto"/>
                <w:szCs w:val="21"/>
                <w:highlight w:val="none"/>
              </w:rPr>
            </w:pPr>
          </w:p>
        </w:tc>
        <w:tc>
          <w:tcPr>
            <w:tcW w:w="709" w:type="dxa"/>
            <w:noWrap/>
          </w:tcPr>
          <w:p>
            <w:pPr>
              <w:spacing w:line="360" w:lineRule="auto"/>
              <w:rPr>
                <w:color w:val="auto"/>
                <w:szCs w:val="21"/>
                <w:highlight w:val="none"/>
              </w:rPr>
            </w:pPr>
          </w:p>
        </w:tc>
        <w:tc>
          <w:tcPr>
            <w:tcW w:w="851" w:type="dxa"/>
            <w:noWrap/>
          </w:tcPr>
          <w:p>
            <w:pPr>
              <w:spacing w:line="360" w:lineRule="auto"/>
              <w:rPr>
                <w:color w:val="auto"/>
                <w:szCs w:val="21"/>
                <w:highlight w:val="none"/>
              </w:rPr>
            </w:pPr>
          </w:p>
        </w:tc>
        <w:tc>
          <w:tcPr>
            <w:tcW w:w="1134" w:type="dxa"/>
            <w:noWrap/>
          </w:tcPr>
          <w:p>
            <w:pPr>
              <w:spacing w:line="360" w:lineRule="auto"/>
              <w:rPr>
                <w:color w:val="auto"/>
                <w:szCs w:val="21"/>
                <w:highlight w:val="none"/>
              </w:rPr>
            </w:pPr>
          </w:p>
        </w:tc>
        <w:tc>
          <w:tcPr>
            <w:tcW w:w="992" w:type="dxa"/>
            <w:noWrap/>
          </w:tcPr>
          <w:p>
            <w:pPr>
              <w:spacing w:line="360" w:lineRule="auto"/>
              <w:rPr>
                <w:color w:val="auto"/>
                <w:szCs w:val="21"/>
                <w:highlight w:val="none"/>
              </w:rPr>
            </w:pPr>
          </w:p>
        </w:tc>
        <w:tc>
          <w:tcPr>
            <w:tcW w:w="1134" w:type="dxa"/>
            <w:noWrap/>
          </w:tcPr>
          <w:p>
            <w:pPr>
              <w:spacing w:line="360" w:lineRule="auto"/>
              <w:rPr>
                <w:color w:val="auto"/>
                <w:szCs w:val="21"/>
                <w:highlight w:val="none"/>
              </w:rPr>
            </w:pPr>
          </w:p>
        </w:tc>
        <w:tc>
          <w:tcPr>
            <w:tcW w:w="992" w:type="dxa"/>
            <w:noWrap/>
          </w:tcPr>
          <w:p>
            <w:pPr>
              <w:spacing w:line="360" w:lineRule="auto"/>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spacing w:line="360" w:lineRule="auto"/>
              <w:rPr>
                <w:color w:val="auto"/>
                <w:szCs w:val="21"/>
                <w:highlight w:val="none"/>
              </w:rPr>
            </w:pPr>
          </w:p>
        </w:tc>
        <w:tc>
          <w:tcPr>
            <w:tcW w:w="1226" w:type="dxa"/>
            <w:noWrap/>
          </w:tcPr>
          <w:p>
            <w:pPr>
              <w:spacing w:line="360" w:lineRule="auto"/>
              <w:rPr>
                <w:color w:val="auto"/>
                <w:szCs w:val="21"/>
                <w:highlight w:val="none"/>
              </w:rPr>
            </w:pPr>
          </w:p>
        </w:tc>
        <w:tc>
          <w:tcPr>
            <w:tcW w:w="851" w:type="dxa"/>
            <w:noWrap/>
          </w:tcPr>
          <w:p>
            <w:pPr>
              <w:spacing w:line="360" w:lineRule="auto"/>
              <w:rPr>
                <w:color w:val="auto"/>
                <w:szCs w:val="21"/>
                <w:highlight w:val="none"/>
              </w:rPr>
            </w:pPr>
          </w:p>
        </w:tc>
        <w:tc>
          <w:tcPr>
            <w:tcW w:w="708" w:type="dxa"/>
            <w:noWrap/>
          </w:tcPr>
          <w:p>
            <w:pPr>
              <w:spacing w:line="360" w:lineRule="auto"/>
              <w:rPr>
                <w:color w:val="auto"/>
                <w:szCs w:val="21"/>
                <w:highlight w:val="none"/>
              </w:rPr>
            </w:pPr>
          </w:p>
        </w:tc>
        <w:tc>
          <w:tcPr>
            <w:tcW w:w="709" w:type="dxa"/>
            <w:noWrap/>
          </w:tcPr>
          <w:p>
            <w:pPr>
              <w:spacing w:line="360" w:lineRule="auto"/>
              <w:rPr>
                <w:color w:val="auto"/>
                <w:szCs w:val="21"/>
                <w:highlight w:val="none"/>
              </w:rPr>
            </w:pPr>
          </w:p>
        </w:tc>
        <w:tc>
          <w:tcPr>
            <w:tcW w:w="851" w:type="dxa"/>
            <w:noWrap/>
          </w:tcPr>
          <w:p>
            <w:pPr>
              <w:spacing w:line="360" w:lineRule="auto"/>
              <w:rPr>
                <w:color w:val="auto"/>
                <w:szCs w:val="21"/>
                <w:highlight w:val="none"/>
              </w:rPr>
            </w:pPr>
          </w:p>
        </w:tc>
        <w:tc>
          <w:tcPr>
            <w:tcW w:w="1134" w:type="dxa"/>
            <w:noWrap/>
          </w:tcPr>
          <w:p>
            <w:pPr>
              <w:spacing w:line="360" w:lineRule="auto"/>
              <w:rPr>
                <w:color w:val="auto"/>
                <w:szCs w:val="21"/>
                <w:highlight w:val="none"/>
              </w:rPr>
            </w:pPr>
          </w:p>
        </w:tc>
        <w:tc>
          <w:tcPr>
            <w:tcW w:w="992" w:type="dxa"/>
            <w:noWrap/>
          </w:tcPr>
          <w:p>
            <w:pPr>
              <w:spacing w:line="360" w:lineRule="auto"/>
              <w:rPr>
                <w:color w:val="auto"/>
                <w:szCs w:val="21"/>
                <w:highlight w:val="none"/>
              </w:rPr>
            </w:pPr>
          </w:p>
        </w:tc>
        <w:tc>
          <w:tcPr>
            <w:tcW w:w="1134" w:type="dxa"/>
            <w:noWrap/>
          </w:tcPr>
          <w:p>
            <w:pPr>
              <w:spacing w:line="360" w:lineRule="auto"/>
              <w:rPr>
                <w:color w:val="auto"/>
                <w:szCs w:val="21"/>
                <w:highlight w:val="none"/>
              </w:rPr>
            </w:pPr>
          </w:p>
        </w:tc>
        <w:tc>
          <w:tcPr>
            <w:tcW w:w="992" w:type="dxa"/>
            <w:noWrap/>
          </w:tcPr>
          <w:p>
            <w:pPr>
              <w:spacing w:line="360" w:lineRule="auto"/>
              <w:rPr>
                <w:color w:val="auto"/>
                <w:szCs w:val="21"/>
                <w:highlight w:val="none"/>
              </w:rPr>
            </w:pPr>
          </w:p>
        </w:tc>
      </w:tr>
    </w:tbl>
    <w:p>
      <w:pPr>
        <w:rPr>
          <w:color w:val="auto"/>
          <w:highlight w:val="none"/>
        </w:rPr>
      </w:pPr>
    </w:p>
    <w:p>
      <w:pPr>
        <w:rPr>
          <w:color w:val="auto"/>
          <w:highlight w:val="none"/>
        </w:rPr>
      </w:pPr>
    </w:p>
    <w:p>
      <w:pPr>
        <w:rPr>
          <w:color w:val="auto"/>
          <w:highlight w:val="none"/>
        </w:rPr>
      </w:pPr>
      <w:r>
        <w:rPr>
          <w:color w:val="auto"/>
          <w:highlight w:val="none"/>
        </w:rPr>
        <w:t>附表二：拟配备本工程的试验和检测仪器设备表</w:t>
      </w:r>
    </w:p>
    <w:tbl>
      <w:tblPr>
        <w:tblStyle w:val="2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8" w:type="dxa"/>
            <w:noWrap/>
            <w:vAlign w:val="center"/>
          </w:tcPr>
          <w:p>
            <w:pPr>
              <w:jc w:val="center"/>
              <w:rPr>
                <w:color w:val="auto"/>
                <w:szCs w:val="21"/>
                <w:highlight w:val="none"/>
              </w:rPr>
            </w:pPr>
            <w:r>
              <w:rPr>
                <w:color w:val="auto"/>
                <w:szCs w:val="21"/>
                <w:highlight w:val="none"/>
              </w:rPr>
              <w:t>序号</w:t>
            </w:r>
          </w:p>
        </w:tc>
        <w:tc>
          <w:tcPr>
            <w:tcW w:w="1226" w:type="dxa"/>
            <w:noWrap/>
            <w:vAlign w:val="center"/>
          </w:tcPr>
          <w:p>
            <w:pPr>
              <w:jc w:val="center"/>
              <w:rPr>
                <w:color w:val="auto"/>
                <w:szCs w:val="21"/>
                <w:highlight w:val="none"/>
              </w:rPr>
            </w:pPr>
            <w:r>
              <w:rPr>
                <w:color w:val="auto"/>
                <w:szCs w:val="21"/>
                <w:highlight w:val="none"/>
              </w:rPr>
              <w:t>仪器设备名称</w:t>
            </w:r>
          </w:p>
        </w:tc>
        <w:tc>
          <w:tcPr>
            <w:tcW w:w="851" w:type="dxa"/>
            <w:noWrap/>
            <w:vAlign w:val="center"/>
          </w:tcPr>
          <w:p>
            <w:pPr>
              <w:jc w:val="center"/>
              <w:rPr>
                <w:color w:val="auto"/>
                <w:szCs w:val="21"/>
                <w:highlight w:val="none"/>
              </w:rPr>
            </w:pPr>
            <w:r>
              <w:rPr>
                <w:color w:val="auto"/>
                <w:szCs w:val="21"/>
                <w:highlight w:val="none"/>
              </w:rPr>
              <w:t>型号</w:t>
            </w:r>
          </w:p>
          <w:p>
            <w:pPr>
              <w:jc w:val="center"/>
              <w:rPr>
                <w:color w:val="auto"/>
                <w:szCs w:val="21"/>
                <w:highlight w:val="none"/>
              </w:rPr>
            </w:pPr>
            <w:r>
              <w:rPr>
                <w:color w:val="auto"/>
                <w:szCs w:val="21"/>
                <w:highlight w:val="none"/>
              </w:rPr>
              <w:t>规格</w:t>
            </w:r>
          </w:p>
        </w:tc>
        <w:tc>
          <w:tcPr>
            <w:tcW w:w="708" w:type="dxa"/>
            <w:noWrap/>
            <w:vAlign w:val="center"/>
          </w:tcPr>
          <w:p>
            <w:pPr>
              <w:jc w:val="center"/>
              <w:rPr>
                <w:color w:val="auto"/>
                <w:szCs w:val="21"/>
                <w:highlight w:val="none"/>
              </w:rPr>
            </w:pPr>
            <w:r>
              <w:rPr>
                <w:color w:val="auto"/>
                <w:szCs w:val="21"/>
                <w:highlight w:val="none"/>
              </w:rPr>
              <w:t>数量</w:t>
            </w:r>
          </w:p>
        </w:tc>
        <w:tc>
          <w:tcPr>
            <w:tcW w:w="709" w:type="dxa"/>
            <w:noWrap/>
            <w:vAlign w:val="center"/>
          </w:tcPr>
          <w:p>
            <w:pPr>
              <w:jc w:val="center"/>
              <w:rPr>
                <w:color w:val="auto"/>
                <w:szCs w:val="21"/>
                <w:highlight w:val="none"/>
              </w:rPr>
            </w:pPr>
            <w:r>
              <w:rPr>
                <w:color w:val="auto"/>
                <w:szCs w:val="21"/>
                <w:highlight w:val="none"/>
              </w:rPr>
              <w:t>国别</w:t>
            </w:r>
          </w:p>
          <w:p>
            <w:pPr>
              <w:jc w:val="center"/>
              <w:rPr>
                <w:color w:val="auto"/>
                <w:szCs w:val="21"/>
                <w:highlight w:val="none"/>
              </w:rPr>
            </w:pPr>
            <w:r>
              <w:rPr>
                <w:color w:val="auto"/>
                <w:szCs w:val="21"/>
                <w:highlight w:val="none"/>
              </w:rPr>
              <w:t>产地</w:t>
            </w:r>
          </w:p>
        </w:tc>
        <w:tc>
          <w:tcPr>
            <w:tcW w:w="1134" w:type="dxa"/>
            <w:noWrap/>
            <w:vAlign w:val="center"/>
          </w:tcPr>
          <w:p>
            <w:pPr>
              <w:jc w:val="center"/>
              <w:rPr>
                <w:color w:val="auto"/>
                <w:szCs w:val="21"/>
                <w:highlight w:val="none"/>
              </w:rPr>
            </w:pPr>
            <w:r>
              <w:rPr>
                <w:color w:val="auto"/>
                <w:szCs w:val="21"/>
                <w:highlight w:val="none"/>
              </w:rPr>
              <w:t>制造年份</w:t>
            </w:r>
          </w:p>
        </w:tc>
        <w:tc>
          <w:tcPr>
            <w:tcW w:w="1276" w:type="dxa"/>
            <w:noWrap/>
            <w:vAlign w:val="center"/>
          </w:tcPr>
          <w:p>
            <w:pPr>
              <w:jc w:val="center"/>
              <w:rPr>
                <w:color w:val="auto"/>
                <w:szCs w:val="21"/>
                <w:highlight w:val="none"/>
              </w:rPr>
            </w:pPr>
            <w:r>
              <w:rPr>
                <w:color w:val="auto"/>
                <w:szCs w:val="21"/>
                <w:highlight w:val="none"/>
              </w:rPr>
              <w:t>已使用</w:t>
            </w:r>
          </w:p>
          <w:p>
            <w:pPr>
              <w:jc w:val="center"/>
              <w:rPr>
                <w:color w:val="auto"/>
                <w:szCs w:val="21"/>
                <w:highlight w:val="none"/>
              </w:rPr>
            </w:pPr>
            <w:r>
              <w:rPr>
                <w:color w:val="auto"/>
                <w:szCs w:val="21"/>
                <w:highlight w:val="none"/>
              </w:rPr>
              <w:t>台时数</w:t>
            </w:r>
          </w:p>
        </w:tc>
        <w:tc>
          <w:tcPr>
            <w:tcW w:w="1134" w:type="dxa"/>
            <w:noWrap/>
            <w:vAlign w:val="center"/>
          </w:tcPr>
          <w:p>
            <w:pPr>
              <w:jc w:val="center"/>
              <w:rPr>
                <w:color w:val="auto"/>
                <w:szCs w:val="21"/>
                <w:highlight w:val="none"/>
              </w:rPr>
            </w:pPr>
            <w:r>
              <w:rPr>
                <w:color w:val="auto"/>
                <w:szCs w:val="21"/>
                <w:highlight w:val="none"/>
              </w:rPr>
              <w:t>用途</w:t>
            </w:r>
          </w:p>
        </w:tc>
        <w:tc>
          <w:tcPr>
            <w:tcW w:w="1559" w:type="dxa"/>
            <w:noWrap/>
            <w:vAlign w:val="center"/>
          </w:tcPr>
          <w:p>
            <w:pPr>
              <w:jc w:val="center"/>
              <w:rPr>
                <w:color w:val="auto"/>
                <w:szCs w:val="21"/>
                <w:highlight w:val="none"/>
              </w:rPr>
            </w:pPr>
            <w:r>
              <w:rPr>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spacing w:line="360" w:lineRule="auto"/>
              <w:ind w:firstLine="420" w:firstLineChars="200"/>
              <w:rPr>
                <w:color w:val="auto"/>
                <w:szCs w:val="21"/>
                <w:highlight w:val="none"/>
              </w:rPr>
            </w:pPr>
          </w:p>
        </w:tc>
        <w:tc>
          <w:tcPr>
            <w:tcW w:w="1226" w:type="dxa"/>
            <w:noWrap/>
            <w:vAlign w:val="center"/>
          </w:tcPr>
          <w:p>
            <w:pPr>
              <w:spacing w:line="360" w:lineRule="auto"/>
              <w:ind w:firstLine="420" w:firstLineChars="200"/>
              <w:rPr>
                <w:color w:val="auto"/>
                <w:szCs w:val="21"/>
                <w:highlight w:val="none"/>
              </w:rPr>
            </w:pPr>
          </w:p>
        </w:tc>
        <w:tc>
          <w:tcPr>
            <w:tcW w:w="851" w:type="dxa"/>
            <w:noWrap/>
            <w:vAlign w:val="center"/>
          </w:tcPr>
          <w:p>
            <w:pPr>
              <w:spacing w:line="360" w:lineRule="auto"/>
              <w:ind w:firstLine="420" w:firstLineChars="200"/>
              <w:rPr>
                <w:color w:val="auto"/>
                <w:szCs w:val="21"/>
                <w:highlight w:val="none"/>
              </w:rPr>
            </w:pPr>
          </w:p>
        </w:tc>
        <w:tc>
          <w:tcPr>
            <w:tcW w:w="708" w:type="dxa"/>
            <w:noWrap/>
            <w:vAlign w:val="center"/>
          </w:tcPr>
          <w:p>
            <w:pPr>
              <w:spacing w:line="360" w:lineRule="auto"/>
              <w:ind w:firstLine="420" w:firstLineChars="200"/>
              <w:rPr>
                <w:color w:val="auto"/>
                <w:szCs w:val="21"/>
                <w:highlight w:val="none"/>
              </w:rPr>
            </w:pPr>
          </w:p>
        </w:tc>
        <w:tc>
          <w:tcPr>
            <w:tcW w:w="709" w:type="dxa"/>
            <w:noWrap/>
            <w:vAlign w:val="center"/>
          </w:tcPr>
          <w:p>
            <w:pPr>
              <w:spacing w:line="360" w:lineRule="auto"/>
              <w:ind w:firstLine="420" w:firstLineChars="200"/>
              <w:rPr>
                <w:color w:val="auto"/>
                <w:szCs w:val="21"/>
                <w:highlight w:val="none"/>
              </w:rPr>
            </w:pPr>
          </w:p>
        </w:tc>
        <w:tc>
          <w:tcPr>
            <w:tcW w:w="1134" w:type="dxa"/>
            <w:noWrap/>
            <w:vAlign w:val="center"/>
          </w:tcPr>
          <w:p>
            <w:pPr>
              <w:spacing w:line="360" w:lineRule="auto"/>
              <w:ind w:firstLine="420" w:firstLineChars="200"/>
              <w:rPr>
                <w:color w:val="auto"/>
                <w:szCs w:val="21"/>
                <w:highlight w:val="none"/>
              </w:rPr>
            </w:pPr>
          </w:p>
        </w:tc>
        <w:tc>
          <w:tcPr>
            <w:tcW w:w="1276" w:type="dxa"/>
            <w:noWrap/>
            <w:vAlign w:val="center"/>
          </w:tcPr>
          <w:p>
            <w:pPr>
              <w:spacing w:line="360" w:lineRule="auto"/>
              <w:ind w:firstLine="420" w:firstLineChars="200"/>
              <w:rPr>
                <w:color w:val="auto"/>
                <w:szCs w:val="21"/>
                <w:highlight w:val="none"/>
              </w:rPr>
            </w:pPr>
          </w:p>
        </w:tc>
        <w:tc>
          <w:tcPr>
            <w:tcW w:w="1134" w:type="dxa"/>
            <w:noWrap/>
            <w:vAlign w:val="center"/>
          </w:tcPr>
          <w:p>
            <w:pPr>
              <w:spacing w:line="360" w:lineRule="auto"/>
              <w:ind w:firstLine="420" w:firstLineChars="200"/>
              <w:rPr>
                <w:color w:val="auto"/>
                <w:szCs w:val="21"/>
                <w:highlight w:val="none"/>
              </w:rPr>
            </w:pPr>
          </w:p>
        </w:tc>
        <w:tc>
          <w:tcPr>
            <w:tcW w:w="1559" w:type="dxa"/>
            <w:noWrap/>
            <w:vAlign w:val="center"/>
          </w:tcPr>
          <w:p>
            <w:pPr>
              <w:spacing w:line="360" w:lineRule="auto"/>
              <w:ind w:firstLine="420" w:firstLineChars="20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spacing w:line="360" w:lineRule="auto"/>
              <w:ind w:firstLine="420" w:firstLineChars="200"/>
              <w:rPr>
                <w:color w:val="auto"/>
                <w:szCs w:val="21"/>
                <w:highlight w:val="none"/>
              </w:rPr>
            </w:pPr>
          </w:p>
        </w:tc>
        <w:tc>
          <w:tcPr>
            <w:tcW w:w="1226" w:type="dxa"/>
            <w:noWrap/>
            <w:vAlign w:val="center"/>
          </w:tcPr>
          <w:p>
            <w:pPr>
              <w:spacing w:line="360" w:lineRule="auto"/>
              <w:ind w:firstLine="420" w:firstLineChars="200"/>
              <w:rPr>
                <w:color w:val="auto"/>
                <w:szCs w:val="21"/>
                <w:highlight w:val="none"/>
              </w:rPr>
            </w:pPr>
          </w:p>
        </w:tc>
        <w:tc>
          <w:tcPr>
            <w:tcW w:w="851" w:type="dxa"/>
            <w:noWrap/>
            <w:vAlign w:val="center"/>
          </w:tcPr>
          <w:p>
            <w:pPr>
              <w:spacing w:line="360" w:lineRule="auto"/>
              <w:ind w:firstLine="420" w:firstLineChars="200"/>
              <w:rPr>
                <w:color w:val="auto"/>
                <w:szCs w:val="21"/>
                <w:highlight w:val="none"/>
              </w:rPr>
            </w:pPr>
          </w:p>
        </w:tc>
        <w:tc>
          <w:tcPr>
            <w:tcW w:w="708" w:type="dxa"/>
            <w:noWrap/>
            <w:vAlign w:val="center"/>
          </w:tcPr>
          <w:p>
            <w:pPr>
              <w:spacing w:line="360" w:lineRule="auto"/>
              <w:ind w:firstLine="420" w:firstLineChars="200"/>
              <w:rPr>
                <w:color w:val="auto"/>
                <w:szCs w:val="21"/>
                <w:highlight w:val="none"/>
              </w:rPr>
            </w:pPr>
          </w:p>
        </w:tc>
        <w:tc>
          <w:tcPr>
            <w:tcW w:w="709" w:type="dxa"/>
            <w:noWrap/>
            <w:vAlign w:val="center"/>
          </w:tcPr>
          <w:p>
            <w:pPr>
              <w:spacing w:line="360" w:lineRule="auto"/>
              <w:ind w:firstLine="420" w:firstLineChars="200"/>
              <w:rPr>
                <w:color w:val="auto"/>
                <w:szCs w:val="21"/>
                <w:highlight w:val="none"/>
              </w:rPr>
            </w:pPr>
          </w:p>
        </w:tc>
        <w:tc>
          <w:tcPr>
            <w:tcW w:w="1134" w:type="dxa"/>
            <w:noWrap/>
            <w:vAlign w:val="center"/>
          </w:tcPr>
          <w:p>
            <w:pPr>
              <w:spacing w:line="360" w:lineRule="auto"/>
              <w:ind w:firstLine="420" w:firstLineChars="200"/>
              <w:rPr>
                <w:color w:val="auto"/>
                <w:szCs w:val="21"/>
                <w:highlight w:val="none"/>
              </w:rPr>
            </w:pPr>
          </w:p>
        </w:tc>
        <w:tc>
          <w:tcPr>
            <w:tcW w:w="1276" w:type="dxa"/>
            <w:noWrap/>
            <w:vAlign w:val="center"/>
          </w:tcPr>
          <w:p>
            <w:pPr>
              <w:spacing w:line="360" w:lineRule="auto"/>
              <w:ind w:firstLine="420" w:firstLineChars="200"/>
              <w:rPr>
                <w:color w:val="auto"/>
                <w:szCs w:val="21"/>
                <w:highlight w:val="none"/>
              </w:rPr>
            </w:pPr>
          </w:p>
        </w:tc>
        <w:tc>
          <w:tcPr>
            <w:tcW w:w="1134" w:type="dxa"/>
            <w:noWrap/>
            <w:vAlign w:val="center"/>
          </w:tcPr>
          <w:p>
            <w:pPr>
              <w:spacing w:line="360" w:lineRule="auto"/>
              <w:ind w:firstLine="420" w:firstLineChars="200"/>
              <w:rPr>
                <w:color w:val="auto"/>
                <w:szCs w:val="21"/>
                <w:highlight w:val="none"/>
              </w:rPr>
            </w:pPr>
          </w:p>
        </w:tc>
        <w:tc>
          <w:tcPr>
            <w:tcW w:w="1559" w:type="dxa"/>
            <w:noWrap/>
            <w:vAlign w:val="center"/>
          </w:tcPr>
          <w:p>
            <w:pPr>
              <w:spacing w:line="360" w:lineRule="auto"/>
              <w:ind w:firstLine="420" w:firstLineChars="20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spacing w:line="360" w:lineRule="auto"/>
              <w:ind w:firstLine="420" w:firstLineChars="200"/>
              <w:rPr>
                <w:color w:val="auto"/>
                <w:szCs w:val="21"/>
                <w:highlight w:val="none"/>
              </w:rPr>
            </w:pPr>
          </w:p>
        </w:tc>
        <w:tc>
          <w:tcPr>
            <w:tcW w:w="1226" w:type="dxa"/>
            <w:noWrap/>
            <w:vAlign w:val="center"/>
          </w:tcPr>
          <w:p>
            <w:pPr>
              <w:spacing w:line="360" w:lineRule="auto"/>
              <w:ind w:firstLine="420" w:firstLineChars="200"/>
              <w:rPr>
                <w:color w:val="auto"/>
                <w:szCs w:val="21"/>
                <w:highlight w:val="none"/>
              </w:rPr>
            </w:pPr>
          </w:p>
        </w:tc>
        <w:tc>
          <w:tcPr>
            <w:tcW w:w="851" w:type="dxa"/>
            <w:noWrap/>
            <w:vAlign w:val="center"/>
          </w:tcPr>
          <w:p>
            <w:pPr>
              <w:spacing w:line="360" w:lineRule="auto"/>
              <w:ind w:firstLine="420" w:firstLineChars="200"/>
              <w:rPr>
                <w:color w:val="auto"/>
                <w:szCs w:val="21"/>
                <w:highlight w:val="none"/>
              </w:rPr>
            </w:pPr>
          </w:p>
        </w:tc>
        <w:tc>
          <w:tcPr>
            <w:tcW w:w="708" w:type="dxa"/>
            <w:noWrap/>
            <w:vAlign w:val="center"/>
          </w:tcPr>
          <w:p>
            <w:pPr>
              <w:spacing w:line="360" w:lineRule="auto"/>
              <w:ind w:firstLine="420" w:firstLineChars="200"/>
              <w:rPr>
                <w:color w:val="auto"/>
                <w:szCs w:val="21"/>
                <w:highlight w:val="none"/>
              </w:rPr>
            </w:pPr>
          </w:p>
        </w:tc>
        <w:tc>
          <w:tcPr>
            <w:tcW w:w="709" w:type="dxa"/>
            <w:noWrap/>
            <w:vAlign w:val="center"/>
          </w:tcPr>
          <w:p>
            <w:pPr>
              <w:spacing w:line="360" w:lineRule="auto"/>
              <w:ind w:firstLine="420" w:firstLineChars="200"/>
              <w:rPr>
                <w:color w:val="auto"/>
                <w:szCs w:val="21"/>
                <w:highlight w:val="none"/>
              </w:rPr>
            </w:pPr>
          </w:p>
        </w:tc>
        <w:tc>
          <w:tcPr>
            <w:tcW w:w="1134" w:type="dxa"/>
            <w:noWrap/>
            <w:vAlign w:val="center"/>
          </w:tcPr>
          <w:p>
            <w:pPr>
              <w:spacing w:line="360" w:lineRule="auto"/>
              <w:ind w:firstLine="420" w:firstLineChars="200"/>
              <w:rPr>
                <w:color w:val="auto"/>
                <w:szCs w:val="21"/>
                <w:highlight w:val="none"/>
              </w:rPr>
            </w:pPr>
          </w:p>
        </w:tc>
        <w:tc>
          <w:tcPr>
            <w:tcW w:w="1276" w:type="dxa"/>
            <w:noWrap/>
            <w:vAlign w:val="center"/>
          </w:tcPr>
          <w:p>
            <w:pPr>
              <w:spacing w:line="360" w:lineRule="auto"/>
              <w:ind w:firstLine="420" w:firstLineChars="200"/>
              <w:rPr>
                <w:color w:val="auto"/>
                <w:szCs w:val="21"/>
                <w:highlight w:val="none"/>
              </w:rPr>
            </w:pPr>
          </w:p>
        </w:tc>
        <w:tc>
          <w:tcPr>
            <w:tcW w:w="1134" w:type="dxa"/>
            <w:noWrap/>
            <w:vAlign w:val="center"/>
          </w:tcPr>
          <w:p>
            <w:pPr>
              <w:spacing w:line="360" w:lineRule="auto"/>
              <w:ind w:firstLine="420" w:firstLineChars="200"/>
              <w:rPr>
                <w:color w:val="auto"/>
                <w:szCs w:val="21"/>
                <w:highlight w:val="none"/>
              </w:rPr>
            </w:pPr>
          </w:p>
        </w:tc>
        <w:tc>
          <w:tcPr>
            <w:tcW w:w="1559" w:type="dxa"/>
            <w:noWrap/>
            <w:vAlign w:val="center"/>
          </w:tcPr>
          <w:p>
            <w:pPr>
              <w:spacing w:line="360" w:lineRule="auto"/>
              <w:ind w:firstLine="420" w:firstLineChars="20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spacing w:line="360" w:lineRule="auto"/>
              <w:ind w:firstLine="420" w:firstLineChars="200"/>
              <w:rPr>
                <w:color w:val="auto"/>
                <w:szCs w:val="21"/>
                <w:highlight w:val="none"/>
              </w:rPr>
            </w:pPr>
          </w:p>
        </w:tc>
        <w:tc>
          <w:tcPr>
            <w:tcW w:w="1226" w:type="dxa"/>
            <w:noWrap/>
            <w:vAlign w:val="center"/>
          </w:tcPr>
          <w:p>
            <w:pPr>
              <w:spacing w:line="360" w:lineRule="auto"/>
              <w:ind w:firstLine="420" w:firstLineChars="200"/>
              <w:rPr>
                <w:color w:val="auto"/>
                <w:szCs w:val="21"/>
                <w:highlight w:val="none"/>
              </w:rPr>
            </w:pPr>
          </w:p>
        </w:tc>
        <w:tc>
          <w:tcPr>
            <w:tcW w:w="851" w:type="dxa"/>
            <w:noWrap/>
            <w:vAlign w:val="center"/>
          </w:tcPr>
          <w:p>
            <w:pPr>
              <w:spacing w:line="360" w:lineRule="auto"/>
              <w:ind w:firstLine="420" w:firstLineChars="200"/>
              <w:rPr>
                <w:color w:val="auto"/>
                <w:szCs w:val="21"/>
                <w:highlight w:val="none"/>
              </w:rPr>
            </w:pPr>
          </w:p>
        </w:tc>
        <w:tc>
          <w:tcPr>
            <w:tcW w:w="708" w:type="dxa"/>
            <w:noWrap/>
            <w:vAlign w:val="center"/>
          </w:tcPr>
          <w:p>
            <w:pPr>
              <w:spacing w:line="360" w:lineRule="auto"/>
              <w:ind w:firstLine="420" w:firstLineChars="200"/>
              <w:rPr>
                <w:color w:val="auto"/>
                <w:szCs w:val="21"/>
                <w:highlight w:val="none"/>
              </w:rPr>
            </w:pPr>
          </w:p>
        </w:tc>
        <w:tc>
          <w:tcPr>
            <w:tcW w:w="709" w:type="dxa"/>
            <w:noWrap/>
            <w:vAlign w:val="center"/>
          </w:tcPr>
          <w:p>
            <w:pPr>
              <w:spacing w:line="360" w:lineRule="auto"/>
              <w:ind w:firstLine="420" w:firstLineChars="200"/>
              <w:rPr>
                <w:color w:val="auto"/>
                <w:szCs w:val="21"/>
                <w:highlight w:val="none"/>
              </w:rPr>
            </w:pPr>
          </w:p>
        </w:tc>
        <w:tc>
          <w:tcPr>
            <w:tcW w:w="1134" w:type="dxa"/>
            <w:noWrap/>
            <w:vAlign w:val="center"/>
          </w:tcPr>
          <w:p>
            <w:pPr>
              <w:spacing w:line="360" w:lineRule="auto"/>
              <w:ind w:firstLine="420" w:firstLineChars="200"/>
              <w:rPr>
                <w:color w:val="auto"/>
                <w:szCs w:val="21"/>
                <w:highlight w:val="none"/>
              </w:rPr>
            </w:pPr>
          </w:p>
        </w:tc>
        <w:tc>
          <w:tcPr>
            <w:tcW w:w="1276" w:type="dxa"/>
            <w:noWrap/>
            <w:vAlign w:val="center"/>
          </w:tcPr>
          <w:p>
            <w:pPr>
              <w:spacing w:line="360" w:lineRule="auto"/>
              <w:ind w:firstLine="420" w:firstLineChars="200"/>
              <w:rPr>
                <w:color w:val="auto"/>
                <w:szCs w:val="21"/>
                <w:highlight w:val="none"/>
              </w:rPr>
            </w:pPr>
          </w:p>
        </w:tc>
        <w:tc>
          <w:tcPr>
            <w:tcW w:w="1134" w:type="dxa"/>
            <w:noWrap/>
            <w:vAlign w:val="center"/>
          </w:tcPr>
          <w:p>
            <w:pPr>
              <w:spacing w:line="360" w:lineRule="auto"/>
              <w:ind w:firstLine="420" w:firstLineChars="200"/>
              <w:rPr>
                <w:color w:val="auto"/>
                <w:szCs w:val="21"/>
                <w:highlight w:val="none"/>
              </w:rPr>
            </w:pPr>
          </w:p>
        </w:tc>
        <w:tc>
          <w:tcPr>
            <w:tcW w:w="1559" w:type="dxa"/>
            <w:noWrap/>
            <w:vAlign w:val="center"/>
          </w:tcPr>
          <w:p>
            <w:pPr>
              <w:spacing w:line="360" w:lineRule="auto"/>
              <w:ind w:firstLine="420" w:firstLineChars="20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spacing w:line="360" w:lineRule="auto"/>
              <w:ind w:firstLine="420" w:firstLineChars="200"/>
              <w:rPr>
                <w:color w:val="auto"/>
                <w:szCs w:val="21"/>
                <w:highlight w:val="none"/>
              </w:rPr>
            </w:pPr>
          </w:p>
        </w:tc>
        <w:tc>
          <w:tcPr>
            <w:tcW w:w="1226" w:type="dxa"/>
            <w:noWrap/>
            <w:vAlign w:val="center"/>
          </w:tcPr>
          <w:p>
            <w:pPr>
              <w:spacing w:line="360" w:lineRule="auto"/>
              <w:ind w:firstLine="420" w:firstLineChars="200"/>
              <w:rPr>
                <w:color w:val="auto"/>
                <w:szCs w:val="21"/>
                <w:highlight w:val="none"/>
              </w:rPr>
            </w:pPr>
          </w:p>
        </w:tc>
        <w:tc>
          <w:tcPr>
            <w:tcW w:w="851" w:type="dxa"/>
            <w:noWrap/>
            <w:vAlign w:val="center"/>
          </w:tcPr>
          <w:p>
            <w:pPr>
              <w:spacing w:line="360" w:lineRule="auto"/>
              <w:ind w:firstLine="420" w:firstLineChars="200"/>
              <w:rPr>
                <w:color w:val="auto"/>
                <w:szCs w:val="21"/>
                <w:highlight w:val="none"/>
              </w:rPr>
            </w:pPr>
          </w:p>
        </w:tc>
        <w:tc>
          <w:tcPr>
            <w:tcW w:w="708" w:type="dxa"/>
            <w:noWrap/>
            <w:vAlign w:val="center"/>
          </w:tcPr>
          <w:p>
            <w:pPr>
              <w:spacing w:line="360" w:lineRule="auto"/>
              <w:ind w:firstLine="420" w:firstLineChars="200"/>
              <w:rPr>
                <w:color w:val="auto"/>
                <w:szCs w:val="21"/>
                <w:highlight w:val="none"/>
              </w:rPr>
            </w:pPr>
          </w:p>
        </w:tc>
        <w:tc>
          <w:tcPr>
            <w:tcW w:w="709" w:type="dxa"/>
            <w:noWrap/>
            <w:vAlign w:val="center"/>
          </w:tcPr>
          <w:p>
            <w:pPr>
              <w:spacing w:line="360" w:lineRule="auto"/>
              <w:ind w:firstLine="420" w:firstLineChars="200"/>
              <w:rPr>
                <w:color w:val="auto"/>
                <w:szCs w:val="21"/>
                <w:highlight w:val="none"/>
              </w:rPr>
            </w:pPr>
          </w:p>
        </w:tc>
        <w:tc>
          <w:tcPr>
            <w:tcW w:w="1134" w:type="dxa"/>
            <w:noWrap/>
            <w:vAlign w:val="center"/>
          </w:tcPr>
          <w:p>
            <w:pPr>
              <w:spacing w:line="360" w:lineRule="auto"/>
              <w:ind w:firstLine="420" w:firstLineChars="200"/>
              <w:rPr>
                <w:color w:val="auto"/>
                <w:szCs w:val="21"/>
                <w:highlight w:val="none"/>
              </w:rPr>
            </w:pPr>
          </w:p>
        </w:tc>
        <w:tc>
          <w:tcPr>
            <w:tcW w:w="1276" w:type="dxa"/>
            <w:noWrap/>
            <w:vAlign w:val="center"/>
          </w:tcPr>
          <w:p>
            <w:pPr>
              <w:spacing w:line="360" w:lineRule="auto"/>
              <w:ind w:firstLine="420" w:firstLineChars="200"/>
              <w:rPr>
                <w:color w:val="auto"/>
                <w:szCs w:val="21"/>
                <w:highlight w:val="none"/>
              </w:rPr>
            </w:pPr>
          </w:p>
        </w:tc>
        <w:tc>
          <w:tcPr>
            <w:tcW w:w="1134" w:type="dxa"/>
            <w:noWrap/>
            <w:vAlign w:val="center"/>
          </w:tcPr>
          <w:p>
            <w:pPr>
              <w:spacing w:line="360" w:lineRule="auto"/>
              <w:ind w:firstLine="420" w:firstLineChars="200"/>
              <w:rPr>
                <w:color w:val="auto"/>
                <w:szCs w:val="21"/>
                <w:highlight w:val="none"/>
              </w:rPr>
            </w:pPr>
          </w:p>
        </w:tc>
        <w:tc>
          <w:tcPr>
            <w:tcW w:w="1559" w:type="dxa"/>
            <w:noWrap/>
            <w:vAlign w:val="center"/>
          </w:tcPr>
          <w:p>
            <w:pPr>
              <w:spacing w:line="360" w:lineRule="auto"/>
              <w:ind w:firstLine="420" w:firstLineChars="200"/>
              <w:rPr>
                <w:color w:val="auto"/>
                <w:szCs w:val="21"/>
                <w:highlight w:val="none"/>
              </w:rPr>
            </w:pPr>
          </w:p>
        </w:tc>
      </w:tr>
    </w:tbl>
    <w:p>
      <w:pPr>
        <w:rPr>
          <w:color w:val="auto"/>
          <w:highlight w:val="none"/>
        </w:rPr>
      </w:pPr>
    </w:p>
    <w:p>
      <w:pPr>
        <w:rPr>
          <w:color w:val="auto"/>
          <w:highlight w:val="none"/>
        </w:rPr>
      </w:pPr>
    </w:p>
    <w:p>
      <w:pPr>
        <w:pStyle w:val="7"/>
        <w:rPr>
          <w:color w:val="auto"/>
          <w:highlight w:val="none"/>
        </w:rPr>
      </w:pPr>
    </w:p>
    <w:p>
      <w:pPr>
        <w:rPr>
          <w:color w:val="auto"/>
          <w:highlight w:val="none"/>
        </w:rPr>
      </w:pPr>
      <w:r>
        <w:rPr>
          <w:color w:val="auto"/>
          <w:highlight w:val="none"/>
        </w:rPr>
        <w:t>附表三：劳动力计划表</w:t>
      </w:r>
    </w:p>
    <w:p>
      <w:pPr>
        <w:ind w:firstLine="7245" w:firstLineChars="3450"/>
        <w:rPr>
          <w:color w:val="auto"/>
          <w:szCs w:val="21"/>
          <w:highlight w:val="none"/>
        </w:rPr>
      </w:pPr>
      <w:r>
        <w:rPr>
          <w:color w:val="auto"/>
          <w:szCs w:val="21"/>
          <w:highlight w:val="none"/>
        </w:rPr>
        <w:t xml:space="preserve">    单位：人</w:t>
      </w:r>
    </w:p>
    <w:tbl>
      <w:tblPr>
        <w:tblStyle w:val="22"/>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color w:val="auto"/>
                <w:szCs w:val="21"/>
                <w:highlight w:val="none"/>
              </w:rPr>
            </w:pPr>
            <w:r>
              <w:rPr>
                <w:color w:val="auto"/>
                <w:szCs w:val="21"/>
                <w:highlight w:val="none"/>
              </w:rPr>
              <w:t>工种</w:t>
            </w:r>
          </w:p>
        </w:tc>
        <w:tc>
          <w:tcPr>
            <w:tcW w:w="8506" w:type="dxa"/>
            <w:gridSpan w:val="7"/>
            <w:noWrap/>
            <w:vAlign w:val="center"/>
          </w:tcPr>
          <w:p>
            <w:pPr>
              <w:spacing w:line="360" w:lineRule="auto"/>
              <w:jc w:val="center"/>
              <w:rPr>
                <w:color w:val="auto"/>
                <w:szCs w:val="21"/>
                <w:highlight w:val="none"/>
              </w:rPr>
            </w:pPr>
            <w:r>
              <w:rPr>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color w:val="auto"/>
                <w:szCs w:val="21"/>
                <w:highlight w:val="none"/>
              </w:rPr>
            </w:pPr>
          </w:p>
        </w:tc>
        <w:tc>
          <w:tcPr>
            <w:tcW w:w="961"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color w:val="auto"/>
                <w:szCs w:val="21"/>
                <w:highlight w:val="none"/>
              </w:rPr>
            </w:pPr>
          </w:p>
        </w:tc>
        <w:tc>
          <w:tcPr>
            <w:tcW w:w="961"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color w:val="auto"/>
                <w:szCs w:val="21"/>
                <w:highlight w:val="none"/>
              </w:rPr>
            </w:pPr>
          </w:p>
        </w:tc>
        <w:tc>
          <w:tcPr>
            <w:tcW w:w="961"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color w:val="auto"/>
                <w:szCs w:val="21"/>
                <w:highlight w:val="none"/>
              </w:rPr>
            </w:pPr>
          </w:p>
        </w:tc>
        <w:tc>
          <w:tcPr>
            <w:tcW w:w="961"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color w:val="auto"/>
                <w:szCs w:val="21"/>
                <w:highlight w:val="none"/>
              </w:rPr>
            </w:pPr>
          </w:p>
        </w:tc>
        <w:tc>
          <w:tcPr>
            <w:tcW w:w="961"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color w:val="auto"/>
                <w:szCs w:val="21"/>
                <w:highlight w:val="none"/>
              </w:rPr>
            </w:pPr>
          </w:p>
        </w:tc>
        <w:tc>
          <w:tcPr>
            <w:tcW w:w="961"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spacing w:line="360" w:lineRule="auto"/>
              <w:jc w:val="center"/>
              <w:rPr>
                <w:color w:val="auto"/>
                <w:szCs w:val="21"/>
                <w:highlight w:val="none"/>
              </w:rPr>
            </w:pPr>
          </w:p>
        </w:tc>
        <w:tc>
          <w:tcPr>
            <w:tcW w:w="961"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c>
          <w:tcPr>
            <w:tcW w:w="1257" w:type="dxa"/>
            <w:noWrap/>
            <w:vAlign w:val="center"/>
          </w:tcPr>
          <w:p>
            <w:pPr>
              <w:spacing w:line="360" w:lineRule="auto"/>
              <w:jc w:val="center"/>
              <w:rPr>
                <w:color w:val="auto"/>
                <w:szCs w:val="21"/>
                <w:highlight w:val="none"/>
              </w:rPr>
            </w:pPr>
          </w:p>
        </w:tc>
        <w:tc>
          <w:tcPr>
            <w:tcW w:w="1258" w:type="dxa"/>
            <w:noWrap/>
            <w:vAlign w:val="center"/>
          </w:tcPr>
          <w:p>
            <w:pPr>
              <w:spacing w:line="360" w:lineRule="auto"/>
              <w:jc w:val="center"/>
              <w:rPr>
                <w:color w:val="auto"/>
                <w:szCs w:val="21"/>
                <w:highlight w:val="none"/>
              </w:rPr>
            </w:pPr>
          </w:p>
        </w:tc>
      </w:tr>
    </w:tbl>
    <w:p>
      <w:pPr>
        <w:rPr>
          <w:color w:val="auto"/>
          <w:highlight w:val="none"/>
        </w:rPr>
      </w:pPr>
    </w:p>
    <w:p>
      <w:pPr>
        <w:rPr>
          <w:b/>
          <w:color w:val="auto"/>
          <w:highlight w:val="none"/>
        </w:rPr>
      </w:pPr>
    </w:p>
    <w:p>
      <w:pPr>
        <w:rPr>
          <w:rFonts w:ascii="宋体" w:hAnsi="宋体"/>
          <w:color w:val="auto"/>
          <w:highlight w:val="none"/>
        </w:rPr>
      </w:pPr>
      <w:r>
        <w:rPr>
          <w:rFonts w:ascii="宋体" w:hAnsi="宋体"/>
          <w:color w:val="auto"/>
          <w:highlight w:val="none"/>
        </w:rPr>
        <w:t>附表四：计划开、竣工日期和施工进度</w:t>
      </w:r>
      <w:r>
        <w:rPr>
          <w:rFonts w:hint="eastAsia" w:ascii="宋体" w:hAnsi="宋体"/>
          <w:color w:val="auto"/>
          <w:highlight w:val="none"/>
        </w:rPr>
        <w:t>计划（网络图或横道图）</w:t>
      </w:r>
    </w:p>
    <w:p>
      <w:pPr>
        <w:spacing w:line="460" w:lineRule="exact"/>
        <w:ind w:left="-6" w:firstLine="420"/>
        <w:rPr>
          <w:rFonts w:ascii="宋体" w:hAnsi="宋体"/>
          <w:color w:val="auto"/>
          <w:highlight w:val="none"/>
        </w:rPr>
      </w:pPr>
      <w:r>
        <w:rPr>
          <w:rFonts w:ascii="宋体" w:hAnsi="宋体"/>
          <w:color w:val="auto"/>
          <w:highlight w:val="none"/>
        </w:rPr>
        <w:t>1.投标人应提交施工进度</w:t>
      </w:r>
      <w:r>
        <w:rPr>
          <w:rFonts w:hint="eastAsia" w:ascii="宋体" w:hAnsi="宋体"/>
          <w:color w:val="auto"/>
          <w:highlight w:val="none"/>
        </w:rPr>
        <w:t>计划</w:t>
      </w:r>
      <w:r>
        <w:rPr>
          <w:rFonts w:ascii="宋体" w:hAnsi="宋体"/>
          <w:color w:val="auto"/>
          <w:highlight w:val="none"/>
        </w:rPr>
        <w:t>，说明按招标文件要求的工期进行施工的各个关键日期。中标的投标人还应按合同条件有关条款的要求提交详细的施工进度计划。</w:t>
      </w:r>
    </w:p>
    <w:p>
      <w:pPr>
        <w:spacing w:line="460" w:lineRule="exact"/>
        <w:ind w:left="-6" w:firstLine="420"/>
        <w:rPr>
          <w:rFonts w:ascii="宋体" w:hAnsi="宋体"/>
          <w:color w:val="auto"/>
          <w:highlight w:val="none"/>
        </w:rPr>
      </w:pPr>
      <w:r>
        <w:rPr>
          <w:rFonts w:ascii="宋体" w:hAnsi="宋体"/>
          <w:color w:val="auto"/>
          <w:highlight w:val="none"/>
        </w:rPr>
        <w:t>2.施工进度</w:t>
      </w:r>
      <w:r>
        <w:rPr>
          <w:rFonts w:hint="eastAsia" w:ascii="宋体" w:hAnsi="宋体"/>
          <w:color w:val="auto"/>
          <w:highlight w:val="none"/>
        </w:rPr>
        <w:t>计划</w:t>
      </w:r>
      <w:r>
        <w:rPr>
          <w:rFonts w:ascii="宋体" w:hAnsi="宋体"/>
          <w:color w:val="auto"/>
          <w:highlight w:val="none"/>
        </w:rPr>
        <w:t>可采用网络图（或横道图）表示，说明计划开工日期和各分项工程各阶段的完工日期和分包合同签订的日期。</w:t>
      </w:r>
    </w:p>
    <w:p>
      <w:pPr>
        <w:spacing w:line="460" w:lineRule="exact"/>
        <w:ind w:left="-6" w:firstLine="420"/>
        <w:rPr>
          <w:rFonts w:ascii="宋体" w:hAnsi="宋体"/>
          <w:color w:val="auto"/>
          <w:highlight w:val="none"/>
        </w:rPr>
      </w:pPr>
      <w:r>
        <w:rPr>
          <w:rFonts w:ascii="宋体" w:hAnsi="宋体"/>
          <w:color w:val="auto"/>
          <w:highlight w:val="none"/>
        </w:rPr>
        <w:t>3.施工进度计划应与施工组织设计相适应。</w:t>
      </w:r>
    </w:p>
    <w:p>
      <w:pPr>
        <w:spacing w:line="360" w:lineRule="auto"/>
        <w:ind w:left="-6" w:firstLine="420"/>
        <w:rPr>
          <w:rFonts w:ascii="宋体" w:hAnsi="宋体"/>
          <w:color w:val="auto"/>
          <w:highlight w:val="none"/>
        </w:rPr>
      </w:pPr>
    </w:p>
    <w:p>
      <w:pPr>
        <w:rPr>
          <w:rFonts w:ascii="宋体" w:hAnsi="宋体"/>
          <w:color w:val="auto"/>
          <w:highlight w:val="none"/>
        </w:rPr>
      </w:pPr>
    </w:p>
    <w:p>
      <w:pPr>
        <w:rPr>
          <w:rFonts w:ascii="宋体" w:hAnsi="宋体"/>
          <w:color w:val="auto"/>
          <w:highlight w:val="none"/>
        </w:rPr>
      </w:pPr>
      <w:r>
        <w:rPr>
          <w:rFonts w:ascii="宋体" w:hAnsi="宋体"/>
          <w:color w:val="auto"/>
          <w:highlight w:val="none"/>
        </w:rPr>
        <w:t>附表五：施工总平面图</w:t>
      </w:r>
    </w:p>
    <w:p>
      <w:pPr>
        <w:spacing w:line="460" w:lineRule="exact"/>
        <w:ind w:firstLine="420" w:firstLineChars="200"/>
        <w:rPr>
          <w:rFonts w:ascii="宋体" w:hAnsi="宋体"/>
          <w:color w:val="auto"/>
          <w:szCs w:val="21"/>
          <w:highlight w:val="none"/>
        </w:rPr>
      </w:pPr>
      <w:r>
        <w:rPr>
          <w:rFonts w:ascii="宋体" w:hAnsi="宋体"/>
          <w:color w:val="auto"/>
          <w:szCs w:val="21"/>
          <w:highlight w:val="none"/>
        </w:rPr>
        <w:t>投标人应递交一份施工总平面图，绘出现场临时设施布置图表并附文字说明，说明临时设施、加工车间、现场办公、设备及仓储、供电、供水、卫生、生活、道路、消防等设施的情况和布置。</w:t>
      </w:r>
    </w:p>
    <w:p>
      <w:pPr>
        <w:rPr>
          <w:color w:val="auto"/>
          <w:highlight w:val="none"/>
        </w:rPr>
      </w:pPr>
    </w:p>
    <w:p>
      <w:pPr>
        <w:rPr>
          <w:color w:val="auto"/>
          <w:highlight w:val="none"/>
        </w:rPr>
      </w:pPr>
    </w:p>
    <w:p>
      <w:pPr>
        <w:rPr>
          <w:color w:val="auto"/>
          <w:highlight w:val="none"/>
        </w:rPr>
      </w:pPr>
      <w:r>
        <w:rPr>
          <w:color w:val="auto"/>
          <w:highlight w:val="none"/>
        </w:rPr>
        <w:t>附表六：临时用地表</w:t>
      </w:r>
    </w:p>
    <w:tbl>
      <w:tblPr>
        <w:tblStyle w:val="22"/>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noWrap/>
            <w:vAlign w:val="center"/>
          </w:tcPr>
          <w:p>
            <w:pPr>
              <w:jc w:val="center"/>
              <w:rPr>
                <w:color w:val="auto"/>
                <w:highlight w:val="none"/>
              </w:rPr>
            </w:pPr>
            <w:r>
              <w:rPr>
                <w:color w:val="auto"/>
                <w:szCs w:val="21"/>
                <w:highlight w:val="none"/>
              </w:rPr>
              <w:t>用途</w:t>
            </w:r>
          </w:p>
        </w:tc>
        <w:tc>
          <w:tcPr>
            <w:tcW w:w="2357" w:type="dxa"/>
            <w:noWrap/>
            <w:vAlign w:val="center"/>
          </w:tcPr>
          <w:p>
            <w:pPr>
              <w:jc w:val="center"/>
              <w:rPr>
                <w:color w:val="auto"/>
                <w:highlight w:val="none"/>
              </w:rPr>
            </w:pPr>
            <w:r>
              <w:rPr>
                <w:color w:val="auto"/>
                <w:szCs w:val="21"/>
                <w:highlight w:val="none"/>
              </w:rPr>
              <w:t>面积（平方米）</w:t>
            </w:r>
          </w:p>
        </w:tc>
        <w:tc>
          <w:tcPr>
            <w:tcW w:w="2356" w:type="dxa"/>
            <w:noWrap/>
            <w:vAlign w:val="center"/>
          </w:tcPr>
          <w:p>
            <w:pPr>
              <w:jc w:val="center"/>
              <w:rPr>
                <w:color w:val="auto"/>
                <w:highlight w:val="none"/>
              </w:rPr>
            </w:pPr>
            <w:r>
              <w:rPr>
                <w:color w:val="auto"/>
                <w:szCs w:val="21"/>
                <w:highlight w:val="none"/>
              </w:rPr>
              <w:t>位置</w:t>
            </w:r>
          </w:p>
        </w:tc>
        <w:tc>
          <w:tcPr>
            <w:tcW w:w="2357" w:type="dxa"/>
            <w:noWrap/>
            <w:vAlign w:val="center"/>
          </w:tcPr>
          <w:p>
            <w:pPr>
              <w:jc w:val="center"/>
              <w:rPr>
                <w:color w:val="auto"/>
                <w:highlight w:val="none"/>
              </w:rPr>
            </w:pPr>
            <w:r>
              <w:rPr>
                <w:color w:val="auto"/>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tcPr>
          <w:p>
            <w:pPr>
              <w:rPr>
                <w:color w:val="auto"/>
                <w:highlight w:val="none"/>
              </w:rPr>
            </w:pPr>
          </w:p>
        </w:tc>
        <w:tc>
          <w:tcPr>
            <w:tcW w:w="2357" w:type="dxa"/>
            <w:noWrap/>
          </w:tcPr>
          <w:p>
            <w:pPr>
              <w:rPr>
                <w:color w:val="auto"/>
                <w:highlight w:val="none"/>
              </w:rPr>
            </w:pPr>
          </w:p>
        </w:tc>
        <w:tc>
          <w:tcPr>
            <w:tcW w:w="2356" w:type="dxa"/>
            <w:noWrap/>
          </w:tcPr>
          <w:p>
            <w:pPr>
              <w:rPr>
                <w:color w:val="auto"/>
                <w:highlight w:val="none"/>
              </w:rPr>
            </w:pPr>
          </w:p>
        </w:tc>
        <w:tc>
          <w:tcPr>
            <w:tcW w:w="2357" w:type="dxa"/>
            <w:noWra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tcPr>
          <w:p>
            <w:pPr>
              <w:rPr>
                <w:color w:val="auto"/>
                <w:highlight w:val="none"/>
              </w:rPr>
            </w:pPr>
          </w:p>
        </w:tc>
        <w:tc>
          <w:tcPr>
            <w:tcW w:w="2357" w:type="dxa"/>
            <w:noWrap/>
          </w:tcPr>
          <w:p>
            <w:pPr>
              <w:rPr>
                <w:color w:val="auto"/>
                <w:highlight w:val="none"/>
              </w:rPr>
            </w:pPr>
          </w:p>
        </w:tc>
        <w:tc>
          <w:tcPr>
            <w:tcW w:w="2356" w:type="dxa"/>
            <w:noWrap/>
          </w:tcPr>
          <w:p>
            <w:pPr>
              <w:rPr>
                <w:color w:val="auto"/>
                <w:highlight w:val="none"/>
              </w:rPr>
            </w:pPr>
          </w:p>
        </w:tc>
        <w:tc>
          <w:tcPr>
            <w:tcW w:w="2357" w:type="dxa"/>
            <w:noWra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noWrap/>
          </w:tcPr>
          <w:p>
            <w:pPr>
              <w:rPr>
                <w:color w:val="auto"/>
                <w:highlight w:val="none"/>
              </w:rPr>
            </w:pPr>
          </w:p>
        </w:tc>
        <w:tc>
          <w:tcPr>
            <w:tcW w:w="2357" w:type="dxa"/>
            <w:noWrap/>
          </w:tcPr>
          <w:p>
            <w:pPr>
              <w:rPr>
                <w:color w:val="auto"/>
                <w:highlight w:val="none"/>
              </w:rPr>
            </w:pPr>
          </w:p>
        </w:tc>
        <w:tc>
          <w:tcPr>
            <w:tcW w:w="2356" w:type="dxa"/>
            <w:noWrap/>
          </w:tcPr>
          <w:p>
            <w:pPr>
              <w:rPr>
                <w:color w:val="auto"/>
                <w:highlight w:val="none"/>
              </w:rPr>
            </w:pPr>
          </w:p>
        </w:tc>
        <w:tc>
          <w:tcPr>
            <w:tcW w:w="2357" w:type="dxa"/>
            <w:noWra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tcPr>
          <w:p>
            <w:pPr>
              <w:rPr>
                <w:color w:val="auto"/>
                <w:highlight w:val="none"/>
              </w:rPr>
            </w:pPr>
          </w:p>
        </w:tc>
        <w:tc>
          <w:tcPr>
            <w:tcW w:w="2357" w:type="dxa"/>
            <w:noWrap/>
          </w:tcPr>
          <w:p>
            <w:pPr>
              <w:rPr>
                <w:color w:val="auto"/>
                <w:highlight w:val="none"/>
              </w:rPr>
            </w:pPr>
          </w:p>
        </w:tc>
        <w:tc>
          <w:tcPr>
            <w:tcW w:w="2356" w:type="dxa"/>
            <w:noWrap/>
          </w:tcPr>
          <w:p>
            <w:pPr>
              <w:rPr>
                <w:color w:val="auto"/>
                <w:highlight w:val="none"/>
              </w:rPr>
            </w:pPr>
          </w:p>
        </w:tc>
        <w:tc>
          <w:tcPr>
            <w:tcW w:w="2357" w:type="dxa"/>
            <w:noWrap/>
          </w:tcPr>
          <w:p>
            <w:pPr>
              <w:rPr>
                <w:color w:val="auto"/>
                <w:highlight w:val="none"/>
              </w:rPr>
            </w:pPr>
          </w:p>
        </w:tc>
      </w:tr>
    </w:tbl>
    <w:p>
      <w:pPr>
        <w:rPr>
          <w:color w:val="auto"/>
          <w:highlight w:val="none"/>
        </w:rPr>
      </w:pPr>
    </w:p>
    <w:p>
      <w:pPr>
        <w:spacing w:before="120" w:beforeLines="50" w:after="240" w:afterLines="100" w:line="440" w:lineRule="exact"/>
        <w:ind w:right="420"/>
        <w:jc w:val="center"/>
        <w:outlineLvl w:val="0"/>
        <w:rPr>
          <w:color w:val="auto"/>
          <w:sz w:val="28"/>
          <w:szCs w:val="28"/>
          <w:highlight w:val="none"/>
        </w:rPr>
        <w:sectPr>
          <w:pgSz w:w="11906" w:h="16838"/>
          <w:pgMar w:top="1440" w:right="1440" w:bottom="1440" w:left="1797" w:header="851" w:footer="851" w:gutter="0"/>
          <w:cols w:space="720" w:num="1"/>
          <w:docGrid w:linePitch="312" w:charSpace="0"/>
        </w:sectPr>
      </w:pPr>
    </w:p>
    <w:p>
      <w:pPr>
        <w:jc w:val="center"/>
        <w:rPr>
          <w:color w:val="auto"/>
          <w:sz w:val="28"/>
          <w:szCs w:val="28"/>
          <w:highlight w:val="none"/>
        </w:rPr>
      </w:pPr>
      <w:r>
        <w:rPr>
          <w:color w:val="auto"/>
          <w:sz w:val="28"/>
          <w:szCs w:val="28"/>
          <w:highlight w:val="none"/>
        </w:rPr>
        <w:t>（项目名称）</w:t>
      </w:r>
      <w:r>
        <w:rPr>
          <w:rFonts w:hint="eastAsia"/>
          <w:color w:val="auto"/>
          <w:sz w:val="28"/>
          <w:szCs w:val="28"/>
          <w:highlight w:val="none"/>
        </w:rPr>
        <w:t>总承包招标</w:t>
      </w:r>
    </w:p>
    <w:p>
      <w:pPr>
        <w:jc w:val="center"/>
        <w:rPr>
          <w:color w:val="auto"/>
          <w:sz w:val="28"/>
          <w:szCs w:val="28"/>
          <w:highlight w:val="none"/>
        </w:rPr>
      </w:pPr>
    </w:p>
    <w:p>
      <w:pPr>
        <w:spacing w:before="240" w:beforeLines="100"/>
        <w:jc w:val="center"/>
        <w:rPr>
          <w:color w:val="auto"/>
          <w:sz w:val="52"/>
          <w:szCs w:val="52"/>
          <w:highlight w:val="none"/>
        </w:rPr>
      </w:pPr>
      <w:r>
        <w:rPr>
          <w:color w:val="auto"/>
          <w:sz w:val="52"/>
          <w:szCs w:val="52"/>
          <w:highlight w:val="none"/>
        </w:rPr>
        <w:t>投  标  文  件</w:t>
      </w: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spacing w:line="360" w:lineRule="auto"/>
        <w:ind w:firstLine="2380" w:firstLineChars="850"/>
        <w:rPr>
          <w:color w:val="auto"/>
          <w:sz w:val="28"/>
          <w:szCs w:val="28"/>
          <w:highlight w:val="none"/>
          <w:u w:val="single"/>
        </w:rPr>
      </w:pPr>
      <w:r>
        <w:rPr>
          <w:color w:val="auto"/>
          <w:sz w:val="28"/>
          <w:szCs w:val="28"/>
          <w:highlight w:val="none"/>
        </w:rPr>
        <w:t>项目</w:t>
      </w:r>
      <w:r>
        <w:rPr>
          <w:rFonts w:hint="eastAsia"/>
          <w:color w:val="auto"/>
          <w:sz w:val="28"/>
          <w:szCs w:val="28"/>
          <w:highlight w:val="none"/>
        </w:rPr>
        <w:t>招标</w:t>
      </w:r>
      <w:r>
        <w:rPr>
          <w:color w:val="auto"/>
          <w:sz w:val="28"/>
          <w:szCs w:val="28"/>
          <w:highlight w:val="none"/>
        </w:rPr>
        <w:t>编号：</w:t>
      </w:r>
    </w:p>
    <w:p>
      <w:pPr>
        <w:jc w:val="center"/>
        <w:rPr>
          <w:color w:val="auto"/>
          <w:sz w:val="32"/>
          <w:szCs w:val="32"/>
          <w:highlight w:val="none"/>
        </w:rPr>
      </w:pPr>
    </w:p>
    <w:p>
      <w:pPr>
        <w:jc w:val="center"/>
        <w:rPr>
          <w:color w:val="auto"/>
          <w:sz w:val="32"/>
          <w:szCs w:val="32"/>
          <w:highlight w:val="none"/>
        </w:rPr>
      </w:pPr>
      <w:r>
        <w:rPr>
          <w:color w:val="auto"/>
          <w:sz w:val="32"/>
          <w:szCs w:val="32"/>
          <w:highlight w:val="none"/>
        </w:rPr>
        <w:t>（正本/副本）</w:t>
      </w:r>
    </w:p>
    <w:p>
      <w:pPr>
        <w:rPr>
          <w:color w:val="auto"/>
          <w:sz w:val="32"/>
          <w:szCs w:val="32"/>
          <w:highlight w:val="none"/>
        </w:rPr>
      </w:pP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spacing w:line="360" w:lineRule="auto"/>
        <w:ind w:firstLine="1120" w:firstLineChars="400"/>
        <w:rPr>
          <w:rFonts w:ascii="宋体" w:hAnsi="宋体"/>
          <w:color w:val="auto"/>
          <w:sz w:val="28"/>
          <w:szCs w:val="28"/>
          <w:highlight w:val="none"/>
          <w:u w:val="single"/>
        </w:rPr>
      </w:pPr>
      <w:r>
        <w:rPr>
          <w:rFonts w:ascii="宋体" w:hAnsi="宋体"/>
          <w:color w:val="auto"/>
          <w:sz w:val="28"/>
          <w:szCs w:val="28"/>
          <w:highlight w:val="none"/>
        </w:rPr>
        <w:t>投标内容：</w:t>
      </w:r>
      <w:r>
        <w:rPr>
          <w:rFonts w:hint="eastAsia" w:ascii="宋体" w:hAnsi="宋体"/>
          <w:color w:val="auto"/>
          <w:sz w:val="28"/>
          <w:szCs w:val="28"/>
          <w:highlight w:val="none"/>
          <w:u w:val="single"/>
        </w:rPr>
        <w:t xml:space="preserve">  设计标</w:t>
      </w:r>
    </w:p>
    <w:p>
      <w:pPr>
        <w:spacing w:line="360" w:lineRule="auto"/>
        <w:ind w:firstLine="1120" w:firstLineChars="400"/>
        <w:rPr>
          <w:color w:val="auto"/>
          <w:sz w:val="28"/>
          <w:szCs w:val="28"/>
          <w:highlight w:val="none"/>
        </w:rPr>
      </w:pPr>
      <w:r>
        <w:rPr>
          <w:color w:val="auto"/>
          <w:sz w:val="28"/>
          <w:szCs w:val="28"/>
          <w:highlight w:val="none"/>
        </w:rPr>
        <w:t>投标人：（盖单位章）</w:t>
      </w:r>
    </w:p>
    <w:p>
      <w:pPr>
        <w:spacing w:line="360" w:lineRule="auto"/>
        <w:ind w:firstLine="1120" w:firstLineChars="400"/>
        <w:rPr>
          <w:color w:val="auto"/>
          <w:sz w:val="28"/>
          <w:szCs w:val="28"/>
          <w:highlight w:val="none"/>
        </w:rPr>
      </w:pPr>
      <w:r>
        <w:rPr>
          <w:color w:val="auto"/>
          <w:sz w:val="28"/>
          <w:szCs w:val="28"/>
          <w:highlight w:val="none"/>
        </w:rPr>
        <w:t>法定代表人或其委托代理人：（签字</w:t>
      </w:r>
      <w:r>
        <w:rPr>
          <w:rFonts w:hint="eastAsia"/>
          <w:color w:val="auto"/>
          <w:sz w:val="28"/>
          <w:szCs w:val="28"/>
          <w:highlight w:val="none"/>
        </w:rPr>
        <w:t>或盖章</w:t>
      </w:r>
      <w:r>
        <w:rPr>
          <w:color w:val="auto"/>
          <w:sz w:val="28"/>
          <w:szCs w:val="28"/>
          <w:highlight w:val="none"/>
        </w:rPr>
        <w:t>）</w:t>
      </w:r>
    </w:p>
    <w:p>
      <w:pPr>
        <w:spacing w:line="360" w:lineRule="auto"/>
        <w:ind w:firstLine="4200" w:firstLineChars="1500"/>
        <w:rPr>
          <w:color w:val="auto"/>
          <w:sz w:val="28"/>
          <w:szCs w:val="28"/>
          <w:highlight w:val="none"/>
        </w:rPr>
      </w:pPr>
      <w:r>
        <w:rPr>
          <w:color w:val="auto"/>
          <w:sz w:val="28"/>
          <w:szCs w:val="28"/>
          <w:highlight w:val="none"/>
        </w:rPr>
        <w:t>年月日</w:t>
      </w:r>
    </w:p>
    <w:p>
      <w:pPr>
        <w:spacing w:line="360" w:lineRule="auto"/>
        <w:ind w:firstLine="420"/>
        <w:rPr>
          <w:color w:val="auto"/>
          <w:sz w:val="28"/>
          <w:szCs w:val="28"/>
          <w:highlight w:val="none"/>
        </w:rPr>
      </w:pPr>
      <w:r>
        <w:rPr>
          <w:color w:val="auto"/>
          <w:highlight w:val="none"/>
        </w:rPr>
        <w:br w:type="page"/>
      </w:r>
    </w:p>
    <w:p>
      <w:pPr>
        <w:spacing w:line="360" w:lineRule="auto"/>
        <w:jc w:val="center"/>
        <w:rPr>
          <w:b/>
          <w:color w:val="auto"/>
          <w:sz w:val="28"/>
          <w:szCs w:val="28"/>
          <w:highlight w:val="none"/>
        </w:rPr>
      </w:pPr>
      <w:r>
        <w:rPr>
          <w:rFonts w:hint="eastAsia"/>
          <w:b/>
          <w:color w:val="auto"/>
          <w:sz w:val="28"/>
          <w:szCs w:val="28"/>
          <w:highlight w:val="none"/>
        </w:rPr>
        <w:t>目 录</w:t>
      </w:r>
    </w:p>
    <w:p>
      <w:pPr>
        <w:spacing w:line="360" w:lineRule="auto"/>
        <w:rPr>
          <w:color w:val="auto"/>
          <w:sz w:val="28"/>
          <w:szCs w:val="28"/>
          <w:highlight w:val="none"/>
        </w:rPr>
      </w:pPr>
    </w:p>
    <w:p>
      <w:pPr>
        <w:tabs>
          <w:tab w:val="left" w:pos="826"/>
        </w:tabs>
        <w:snapToGrid w:val="0"/>
        <w:spacing w:line="360" w:lineRule="auto"/>
        <w:ind w:firstLine="360" w:firstLineChars="150"/>
        <w:rPr>
          <w:rFonts w:ascii="宋体" w:hAnsi="宋体"/>
          <w:color w:val="auto"/>
          <w:sz w:val="24"/>
          <w:highlight w:val="none"/>
        </w:rPr>
      </w:pPr>
      <w:r>
        <w:rPr>
          <w:rFonts w:hint="eastAsia" w:ascii="宋体" w:hAnsi="宋体"/>
          <w:color w:val="auto"/>
          <w:sz w:val="24"/>
          <w:highlight w:val="none"/>
        </w:rPr>
        <w:t>1、详见《招标文件》招标人提供的资料。；</w:t>
      </w:r>
    </w:p>
    <w:p>
      <w:pPr>
        <w:tabs>
          <w:tab w:val="left" w:pos="826"/>
        </w:tabs>
        <w:snapToGrid w:val="0"/>
        <w:spacing w:line="360" w:lineRule="auto"/>
        <w:ind w:firstLine="360" w:firstLineChars="150"/>
        <w:rPr>
          <w:rFonts w:ascii="宋体" w:hAnsi="宋体"/>
          <w:color w:val="auto"/>
          <w:sz w:val="24"/>
          <w:highlight w:val="none"/>
        </w:rPr>
      </w:pPr>
      <w:r>
        <w:rPr>
          <w:rFonts w:hint="eastAsia" w:ascii="宋体" w:hAnsi="宋体"/>
          <w:color w:val="auto"/>
          <w:sz w:val="24"/>
          <w:highlight w:val="none"/>
        </w:rPr>
        <w:t>2、方案设计：设计说明、设计依据、效果图、平面布置图等；</w:t>
      </w:r>
    </w:p>
    <w:p>
      <w:pPr>
        <w:tabs>
          <w:tab w:val="left" w:pos="826"/>
        </w:tabs>
        <w:snapToGrid w:val="0"/>
        <w:spacing w:line="420" w:lineRule="exact"/>
        <w:rPr>
          <w:rFonts w:ascii="宋体" w:hAnsi="宋体"/>
          <w:color w:val="auto"/>
          <w:szCs w:val="21"/>
          <w:highlight w:val="none"/>
        </w:rPr>
      </w:pPr>
    </w:p>
    <w:p>
      <w:pPr>
        <w:rPr>
          <w:color w:val="auto"/>
          <w:highlight w:val="none"/>
        </w:rPr>
      </w:pPr>
    </w:p>
    <w:p>
      <w:pPr>
        <w:spacing w:line="276" w:lineRule="auto"/>
        <w:ind w:left="2" w:leftChars="1" w:firstLine="241" w:firstLineChars="100"/>
        <w:rPr>
          <w:color w:val="auto"/>
          <w:highlight w:val="none"/>
        </w:rPr>
      </w:pPr>
      <w:r>
        <w:rPr>
          <w:rFonts w:hint="eastAsia" w:ascii="宋体" w:hAnsi="宋体"/>
          <w:b/>
          <w:color w:val="auto"/>
          <w:sz w:val="24"/>
          <w:highlight w:val="none"/>
        </w:rPr>
        <w:t>注：</w:t>
      </w:r>
      <w:r>
        <w:rPr>
          <w:rFonts w:hint="eastAsia" w:ascii="宋体" w:hAnsi="宋体"/>
          <w:color w:val="auto"/>
          <w:sz w:val="24"/>
          <w:highlight w:val="none"/>
        </w:rPr>
        <w:t>设计深度须达到国家相关文件要求的设计深度。</w:t>
      </w:r>
    </w:p>
    <w:p>
      <w:pPr>
        <w:rPr>
          <w:color w:val="auto"/>
          <w:szCs w:val="21"/>
          <w:highlight w:val="none"/>
        </w:rPr>
        <w:sectPr>
          <w:pgSz w:w="11906" w:h="16838"/>
          <w:pgMar w:top="1418" w:right="1134" w:bottom="1418" w:left="1134" w:header="851" w:footer="851" w:gutter="0"/>
          <w:cols w:space="720" w:num="1"/>
          <w:docGrid w:linePitch="312" w:charSpace="0"/>
        </w:sectPr>
      </w:pPr>
    </w:p>
    <w:p>
      <w:pPr>
        <w:jc w:val="center"/>
        <w:rPr>
          <w:color w:val="auto"/>
          <w:sz w:val="28"/>
          <w:szCs w:val="28"/>
          <w:highlight w:val="none"/>
        </w:rPr>
      </w:pPr>
      <w:r>
        <w:rPr>
          <w:color w:val="auto"/>
          <w:sz w:val="28"/>
          <w:szCs w:val="28"/>
          <w:highlight w:val="none"/>
        </w:rPr>
        <w:t>（项目名称）</w:t>
      </w:r>
      <w:r>
        <w:rPr>
          <w:rFonts w:hint="eastAsia"/>
          <w:color w:val="auto"/>
          <w:sz w:val="28"/>
          <w:szCs w:val="28"/>
          <w:highlight w:val="none"/>
        </w:rPr>
        <w:t>总承包招标</w:t>
      </w:r>
    </w:p>
    <w:p>
      <w:pPr>
        <w:jc w:val="center"/>
        <w:rPr>
          <w:color w:val="auto"/>
          <w:sz w:val="28"/>
          <w:szCs w:val="28"/>
          <w:highlight w:val="none"/>
        </w:rPr>
      </w:pPr>
    </w:p>
    <w:p>
      <w:pPr>
        <w:spacing w:before="240" w:beforeLines="100"/>
        <w:jc w:val="center"/>
        <w:rPr>
          <w:color w:val="auto"/>
          <w:sz w:val="52"/>
          <w:szCs w:val="52"/>
          <w:highlight w:val="none"/>
        </w:rPr>
      </w:pPr>
      <w:r>
        <w:rPr>
          <w:color w:val="auto"/>
          <w:sz w:val="52"/>
          <w:szCs w:val="52"/>
          <w:highlight w:val="none"/>
        </w:rPr>
        <w:t>投  标  文  件</w:t>
      </w: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spacing w:line="360" w:lineRule="auto"/>
        <w:ind w:firstLine="2380" w:firstLineChars="850"/>
        <w:rPr>
          <w:color w:val="auto"/>
          <w:sz w:val="28"/>
          <w:szCs w:val="28"/>
          <w:highlight w:val="none"/>
          <w:u w:val="single"/>
        </w:rPr>
      </w:pPr>
      <w:r>
        <w:rPr>
          <w:color w:val="auto"/>
          <w:sz w:val="28"/>
          <w:szCs w:val="28"/>
          <w:highlight w:val="none"/>
        </w:rPr>
        <w:t>项目</w:t>
      </w:r>
      <w:r>
        <w:rPr>
          <w:rFonts w:hint="eastAsia"/>
          <w:color w:val="auto"/>
          <w:sz w:val="28"/>
          <w:szCs w:val="28"/>
          <w:highlight w:val="none"/>
        </w:rPr>
        <w:t>招标</w:t>
      </w:r>
      <w:r>
        <w:rPr>
          <w:color w:val="auto"/>
          <w:sz w:val="28"/>
          <w:szCs w:val="28"/>
          <w:highlight w:val="none"/>
        </w:rPr>
        <w:t>编号：</w:t>
      </w:r>
    </w:p>
    <w:p>
      <w:pPr>
        <w:jc w:val="center"/>
        <w:rPr>
          <w:color w:val="auto"/>
          <w:sz w:val="32"/>
          <w:szCs w:val="32"/>
          <w:highlight w:val="none"/>
        </w:rPr>
      </w:pPr>
    </w:p>
    <w:p>
      <w:pPr>
        <w:jc w:val="center"/>
        <w:rPr>
          <w:color w:val="auto"/>
          <w:sz w:val="32"/>
          <w:szCs w:val="32"/>
          <w:highlight w:val="none"/>
        </w:rPr>
      </w:pPr>
      <w:r>
        <w:rPr>
          <w:color w:val="auto"/>
          <w:sz w:val="32"/>
          <w:szCs w:val="32"/>
          <w:highlight w:val="none"/>
        </w:rPr>
        <w:t>（正本/副本）</w:t>
      </w:r>
    </w:p>
    <w:p>
      <w:pPr>
        <w:rPr>
          <w:color w:val="auto"/>
          <w:sz w:val="32"/>
          <w:szCs w:val="32"/>
          <w:highlight w:val="none"/>
        </w:rPr>
      </w:pPr>
    </w:p>
    <w:p>
      <w:pPr>
        <w:jc w:val="center"/>
        <w:rPr>
          <w:color w:val="auto"/>
          <w:sz w:val="32"/>
          <w:szCs w:val="32"/>
          <w:highlight w:val="none"/>
        </w:rPr>
      </w:pPr>
    </w:p>
    <w:p>
      <w:pP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spacing w:line="360" w:lineRule="auto"/>
        <w:ind w:firstLine="1120" w:firstLineChars="400"/>
        <w:rPr>
          <w:rFonts w:ascii="宋体" w:hAnsi="宋体"/>
          <w:color w:val="auto"/>
          <w:sz w:val="28"/>
          <w:szCs w:val="28"/>
          <w:highlight w:val="none"/>
          <w:u w:val="single"/>
        </w:rPr>
      </w:pPr>
      <w:r>
        <w:rPr>
          <w:rFonts w:ascii="宋体" w:hAnsi="宋体"/>
          <w:color w:val="auto"/>
          <w:sz w:val="28"/>
          <w:szCs w:val="28"/>
          <w:highlight w:val="none"/>
        </w:rPr>
        <w:t>投标内容：</w:t>
      </w:r>
      <w:r>
        <w:rPr>
          <w:rFonts w:hint="eastAsia" w:ascii="宋体" w:hAnsi="宋体"/>
          <w:color w:val="auto"/>
          <w:sz w:val="28"/>
          <w:szCs w:val="28"/>
          <w:highlight w:val="none"/>
          <w:u w:val="single"/>
        </w:rPr>
        <w:t xml:space="preserve">  资信业绩</w:t>
      </w:r>
    </w:p>
    <w:p>
      <w:pPr>
        <w:spacing w:line="360" w:lineRule="auto"/>
        <w:ind w:firstLine="1120" w:firstLineChars="400"/>
        <w:rPr>
          <w:color w:val="auto"/>
          <w:sz w:val="28"/>
          <w:szCs w:val="28"/>
          <w:highlight w:val="none"/>
        </w:rPr>
      </w:pPr>
      <w:r>
        <w:rPr>
          <w:color w:val="auto"/>
          <w:sz w:val="28"/>
          <w:szCs w:val="28"/>
          <w:highlight w:val="none"/>
        </w:rPr>
        <w:t>投标人：（盖单位章）</w:t>
      </w:r>
    </w:p>
    <w:p>
      <w:pPr>
        <w:spacing w:line="360" w:lineRule="auto"/>
        <w:ind w:firstLine="1120" w:firstLineChars="400"/>
        <w:rPr>
          <w:color w:val="auto"/>
          <w:sz w:val="28"/>
          <w:szCs w:val="28"/>
          <w:highlight w:val="none"/>
        </w:rPr>
      </w:pPr>
      <w:r>
        <w:rPr>
          <w:color w:val="auto"/>
          <w:sz w:val="28"/>
          <w:szCs w:val="28"/>
          <w:highlight w:val="none"/>
        </w:rPr>
        <w:t>法定代表人或其委托代理人：（签字</w:t>
      </w:r>
      <w:r>
        <w:rPr>
          <w:rFonts w:hint="eastAsia"/>
          <w:color w:val="auto"/>
          <w:sz w:val="28"/>
          <w:szCs w:val="28"/>
          <w:highlight w:val="none"/>
        </w:rPr>
        <w:t>或盖章</w:t>
      </w:r>
      <w:r>
        <w:rPr>
          <w:color w:val="auto"/>
          <w:sz w:val="28"/>
          <w:szCs w:val="28"/>
          <w:highlight w:val="none"/>
        </w:rPr>
        <w:t>）</w:t>
      </w:r>
    </w:p>
    <w:p>
      <w:pPr>
        <w:spacing w:line="360" w:lineRule="auto"/>
        <w:ind w:firstLine="4200" w:firstLineChars="1500"/>
        <w:rPr>
          <w:color w:val="auto"/>
          <w:sz w:val="28"/>
          <w:szCs w:val="28"/>
          <w:highlight w:val="none"/>
        </w:rPr>
      </w:pPr>
      <w:r>
        <w:rPr>
          <w:color w:val="auto"/>
          <w:sz w:val="28"/>
          <w:szCs w:val="28"/>
          <w:highlight w:val="none"/>
        </w:rPr>
        <w:t>年月日</w:t>
      </w:r>
    </w:p>
    <w:p>
      <w:pPr>
        <w:spacing w:line="360" w:lineRule="auto"/>
        <w:ind w:firstLine="420"/>
        <w:rPr>
          <w:color w:val="auto"/>
          <w:sz w:val="28"/>
          <w:szCs w:val="28"/>
          <w:highlight w:val="none"/>
        </w:rPr>
      </w:pPr>
      <w:r>
        <w:rPr>
          <w:color w:val="auto"/>
          <w:highlight w:val="none"/>
        </w:rPr>
        <w:br w:type="page"/>
      </w:r>
    </w:p>
    <w:p>
      <w:pPr>
        <w:spacing w:line="360" w:lineRule="auto"/>
        <w:jc w:val="center"/>
        <w:rPr>
          <w:b/>
          <w:color w:val="auto"/>
          <w:sz w:val="28"/>
          <w:szCs w:val="28"/>
          <w:highlight w:val="none"/>
        </w:rPr>
      </w:pPr>
      <w:r>
        <w:rPr>
          <w:rFonts w:hint="eastAsia"/>
          <w:b/>
          <w:color w:val="auto"/>
          <w:sz w:val="28"/>
          <w:szCs w:val="28"/>
          <w:highlight w:val="none"/>
        </w:rPr>
        <w:t>目 录</w:t>
      </w:r>
    </w:p>
    <w:p>
      <w:pPr>
        <w:spacing w:line="360" w:lineRule="auto"/>
        <w:rPr>
          <w:color w:val="auto"/>
          <w:sz w:val="28"/>
          <w:szCs w:val="28"/>
          <w:highlight w:val="none"/>
        </w:rPr>
      </w:pPr>
    </w:p>
    <w:p>
      <w:pPr>
        <w:jc w:val="center"/>
        <w:rPr>
          <w:color w:val="auto"/>
          <w:szCs w:val="21"/>
          <w:highlight w:val="none"/>
        </w:rPr>
      </w:pPr>
      <w:r>
        <w:rPr>
          <w:rFonts w:hint="eastAsia" w:ascii="宋体" w:hAnsi="宋体"/>
          <w:color w:val="auto"/>
          <w:sz w:val="24"/>
          <w:highlight w:val="none"/>
        </w:rPr>
        <w:t>（格式自拟）</w:t>
      </w:r>
    </w:p>
    <w:p>
      <w:pPr>
        <w:rPr>
          <w:color w:val="auto"/>
          <w:highlight w:val="none"/>
        </w:rPr>
      </w:pPr>
    </w:p>
    <w:p>
      <w:pPr>
        <w:rPr>
          <w:color w:val="auto"/>
          <w:highlight w:val="none"/>
        </w:rPr>
      </w:pPr>
    </w:p>
    <w:sectPr>
      <w:footerReference r:id="rId10" w:type="default"/>
      <w:pgSz w:w="11906" w:h="16838"/>
      <w:pgMar w:top="1418" w:right="1134" w:bottom="1418"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Times New Roman"/>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separate"/>
    </w:r>
    <w:r>
      <w:rPr>
        <w:rStyle w:val="26"/>
      </w:rPr>
      <w:t>I</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separate"/>
    </w:r>
    <w:r>
      <w:rPr>
        <w:rStyle w:val="26"/>
      </w:rPr>
      <w:t>32</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separate"/>
    </w:r>
    <w:r>
      <w:rPr>
        <w:rStyle w:val="26"/>
      </w:rPr>
      <w:t>70</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separate"/>
    </w:r>
    <w:r>
      <w:rPr>
        <w:rStyle w:val="26"/>
      </w:rPr>
      <w:t>77</w: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separate"/>
    </w:r>
    <w:r>
      <w:rPr>
        <w:rStyle w:val="26"/>
      </w:rPr>
      <w:t>193</w:t>
    </w:r>
    <w:r>
      <w:fldChar w:fldCharType="end"/>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eastAsia="仿宋_GB2312"/>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83</w:t>
                          </w:r>
                          <w:r>
                            <w:rPr>
                              <w:rFonts w:hint="eastAsia" w:ascii="宋体" w:hAnsi="宋体" w:cs="宋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3"/>
                      <w:jc w:val="cente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83</w:t>
                    </w:r>
                    <w:r>
                      <w:rPr>
                        <w:rFonts w:hint="eastAsia" w:ascii="宋体" w:hAnsi="宋体" w:cs="宋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separate"/>
    </w:r>
    <w:r>
      <w:rPr>
        <w:rStyle w:val="26"/>
      </w:rPr>
      <w:t>200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2"/>
    <w:multiLevelType w:val="multilevel"/>
    <w:tmpl w:val="00000002"/>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3"/>
    <w:multiLevelType w:val="multilevel"/>
    <w:tmpl w:val="00000003"/>
    <w:lvl w:ilvl="0" w:tentative="0">
      <w:start w:val="5"/>
      <w:numFmt w:val="bullet"/>
      <w:lvlText w:val="□"/>
      <w:lvlJc w:val="left"/>
      <w:pPr>
        <w:ind w:left="840" w:hanging="360"/>
      </w:pPr>
      <w:rPr>
        <w:rFonts w:hint="eastAsia" w:ascii="宋体" w:hAnsi="宋体" w:eastAsia="宋体"/>
        <w:u w:val="none"/>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6"/>
    <w:multiLevelType w:val="singleLevel"/>
    <w:tmpl w:val="00000006"/>
    <w:lvl w:ilvl="0" w:tentative="0">
      <w:start w:val="3"/>
      <w:numFmt w:val="decimal"/>
      <w:suff w:val="nothing"/>
      <w:lvlText w:val="%1、"/>
      <w:lvlJc w:val="left"/>
    </w:lvl>
  </w:abstractNum>
  <w:abstractNum w:abstractNumId="5">
    <w:nsid w:val="00000007"/>
    <w:multiLevelType w:val="singleLevel"/>
    <w:tmpl w:val="00000007"/>
    <w:lvl w:ilvl="0" w:tentative="0">
      <w:start w:val="1"/>
      <w:numFmt w:val="decimal"/>
      <w:suff w:val="space"/>
      <w:lvlText w:val="%1."/>
      <w:lvlJc w:val="left"/>
    </w:lvl>
  </w:abstractNum>
  <w:abstractNum w:abstractNumId="6">
    <w:nsid w:val="00000008"/>
    <w:multiLevelType w:val="singleLevel"/>
    <w:tmpl w:val="00000008"/>
    <w:lvl w:ilvl="0" w:tentative="0">
      <w:start w:val="2"/>
      <w:numFmt w:val="decimal"/>
      <w:suff w:val="nothing"/>
      <w:lvlText w:val="%1、"/>
      <w:lvlJc w:val="left"/>
    </w:lvl>
  </w:abstractNum>
  <w:abstractNum w:abstractNumId="7">
    <w:nsid w:val="0053208E"/>
    <w:multiLevelType w:val="singleLevel"/>
    <w:tmpl w:val="0053208E"/>
    <w:lvl w:ilvl="0" w:tentative="0">
      <w:start w:val="6"/>
      <w:numFmt w:val="decimal"/>
      <w:suff w:val="nothing"/>
      <w:lvlText w:val="%1、"/>
      <w:lvlJc w:val="left"/>
    </w:lvl>
  </w:abstractNum>
  <w:abstractNum w:abstractNumId="8">
    <w:nsid w:val="0AC42C9E"/>
    <w:multiLevelType w:val="multilevel"/>
    <w:tmpl w:val="0AC42C9E"/>
    <w:lvl w:ilvl="0" w:tentative="0">
      <w:start w:val="1"/>
      <w:numFmt w:val="decimalEnclosedCircle"/>
      <w:lvlText w:val="%1"/>
      <w:lvlJc w:val="left"/>
      <w:pPr>
        <w:ind w:left="360" w:hanging="360"/>
      </w:pPr>
      <w:rPr>
        <w:rFonts w:hint="default" w:ascii="宋体" w:hAnsi="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AD30069"/>
    <w:multiLevelType w:val="multilevel"/>
    <w:tmpl w:val="0AD30069"/>
    <w:lvl w:ilvl="0" w:tentative="0">
      <w:start w:val="13"/>
      <w:numFmt w:val="decimal"/>
      <w:lvlText w:val="%1"/>
      <w:lvlJc w:val="left"/>
      <w:pPr>
        <w:ind w:left="456" w:hanging="456"/>
      </w:pPr>
      <w:rPr>
        <w:rFonts w:hint="default"/>
      </w:rPr>
    </w:lvl>
    <w:lvl w:ilvl="1" w:tentative="0">
      <w:start w:val="7"/>
      <w:numFmt w:val="decimal"/>
      <w:lvlText w:val="%1.%2"/>
      <w:lvlJc w:val="left"/>
      <w:pPr>
        <w:ind w:left="456" w:hanging="45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0">
    <w:nsid w:val="41774699"/>
    <w:multiLevelType w:val="multilevel"/>
    <w:tmpl w:val="41774699"/>
    <w:lvl w:ilvl="0" w:tentative="0">
      <w:start w:val="5"/>
      <w:numFmt w:val="bullet"/>
      <w:lvlText w:val="□"/>
      <w:lvlJc w:val="left"/>
      <w:pPr>
        <w:ind w:left="840" w:hanging="360"/>
      </w:pPr>
      <w:rPr>
        <w:rFonts w:hint="eastAsia" w:ascii="宋体" w:hAnsi="宋体" w:eastAsia="宋体"/>
        <w:u w:val="none"/>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62A21884"/>
    <w:multiLevelType w:val="singleLevel"/>
    <w:tmpl w:val="62A21884"/>
    <w:lvl w:ilvl="0" w:tentative="0">
      <w:start w:val="2"/>
      <w:numFmt w:val="chineseCounting"/>
      <w:suff w:val="space"/>
      <w:lvlText w:val="%1."/>
      <w:lvlJc w:val="left"/>
      <w:rPr>
        <w:rFonts w:hint="eastAsia"/>
      </w:rPr>
    </w:lvl>
  </w:abstractNum>
  <w:abstractNum w:abstractNumId="12">
    <w:nsid w:val="6E95B12C"/>
    <w:multiLevelType w:val="singleLevel"/>
    <w:tmpl w:val="6E95B12C"/>
    <w:lvl w:ilvl="0" w:tentative="0">
      <w:start w:val="4"/>
      <w:numFmt w:val="upperLetter"/>
      <w:lvlText w:val="%1."/>
      <w:lvlJc w:val="left"/>
      <w:pPr>
        <w:tabs>
          <w:tab w:val="left" w:pos="312"/>
        </w:tabs>
      </w:pPr>
    </w:lvl>
  </w:abstractNum>
  <w:num w:numId="1">
    <w:abstractNumId w:val="11"/>
  </w:num>
  <w:num w:numId="2">
    <w:abstractNumId w:val="8"/>
  </w:num>
  <w:num w:numId="3">
    <w:abstractNumId w:val="2"/>
  </w:num>
  <w:num w:numId="4">
    <w:abstractNumId w:val="1"/>
  </w:num>
  <w:num w:numId="5">
    <w:abstractNumId w:val="0"/>
  </w:num>
  <w:num w:numId="6">
    <w:abstractNumId w:val="9"/>
  </w:num>
  <w:num w:numId="7">
    <w:abstractNumId w:val="10"/>
  </w:num>
  <w:num w:numId="8">
    <w:abstractNumId w:val="4"/>
  </w:num>
  <w:num w:numId="9">
    <w:abstractNumId w:val="5"/>
  </w:num>
  <w:num w:numId="10">
    <w:abstractNumId w:val="7"/>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C4"/>
    <w:rsid w:val="00022F45"/>
    <w:rsid w:val="00050245"/>
    <w:rsid w:val="000C7FE1"/>
    <w:rsid w:val="000E5676"/>
    <w:rsid w:val="000F67FF"/>
    <w:rsid w:val="00144C64"/>
    <w:rsid w:val="00187749"/>
    <w:rsid w:val="002352D8"/>
    <w:rsid w:val="00254AE6"/>
    <w:rsid w:val="00271BBD"/>
    <w:rsid w:val="0029634A"/>
    <w:rsid w:val="003653EF"/>
    <w:rsid w:val="00390D73"/>
    <w:rsid w:val="00392104"/>
    <w:rsid w:val="00474245"/>
    <w:rsid w:val="00504A07"/>
    <w:rsid w:val="00523C9C"/>
    <w:rsid w:val="00583F22"/>
    <w:rsid w:val="005A4627"/>
    <w:rsid w:val="005F2F2A"/>
    <w:rsid w:val="00604FF0"/>
    <w:rsid w:val="0063484C"/>
    <w:rsid w:val="00636941"/>
    <w:rsid w:val="00681EC2"/>
    <w:rsid w:val="006E5FF6"/>
    <w:rsid w:val="006F2CDE"/>
    <w:rsid w:val="00745AFA"/>
    <w:rsid w:val="007A051F"/>
    <w:rsid w:val="007C5CFC"/>
    <w:rsid w:val="008113DF"/>
    <w:rsid w:val="00822F13"/>
    <w:rsid w:val="00847A85"/>
    <w:rsid w:val="008978B1"/>
    <w:rsid w:val="00941D4D"/>
    <w:rsid w:val="00954AA0"/>
    <w:rsid w:val="009821B1"/>
    <w:rsid w:val="009E5AB9"/>
    <w:rsid w:val="00A646C7"/>
    <w:rsid w:val="00AB0F04"/>
    <w:rsid w:val="00AE290A"/>
    <w:rsid w:val="00B12F24"/>
    <w:rsid w:val="00B342BF"/>
    <w:rsid w:val="00BD567B"/>
    <w:rsid w:val="00BE773B"/>
    <w:rsid w:val="00C1726B"/>
    <w:rsid w:val="00C27FC4"/>
    <w:rsid w:val="00C56399"/>
    <w:rsid w:val="00C92C84"/>
    <w:rsid w:val="00C92EAF"/>
    <w:rsid w:val="00C96EDA"/>
    <w:rsid w:val="00D034F9"/>
    <w:rsid w:val="00D04045"/>
    <w:rsid w:val="00D347CC"/>
    <w:rsid w:val="00D42BD5"/>
    <w:rsid w:val="00DB1C64"/>
    <w:rsid w:val="00DB7E7C"/>
    <w:rsid w:val="00DD36D7"/>
    <w:rsid w:val="00DE3A0F"/>
    <w:rsid w:val="00DF2BB9"/>
    <w:rsid w:val="00E679A2"/>
    <w:rsid w:val="00E81022"/>
    <w:rsid w:val="00EA2A52"/>
    <w:rsid w:val="00EA6061"/>
    <w:rsid w:val="00EE2F7C"/>
    <w:rsid w:val="00EE62FE"/>
    <w:rsid w:val="00F0762F"/>
    <w:rsid w:val="00F33E46"/>
    <w:rsid w:val="00F41A6D"/>
    <w:rsid w:val="00F47A3D"/>
    <w:rsid w:val="00F6329F"/>
    <w:rsid w:val="00FB1569"/>
    <w:rsid w:val="03EE3B81"/>
    <w:rsid w:val="070A32D8"/>
    <w:rsid w:val="07FB05A0"/>
    <w:rsid w:val="095F6CFB"/>
    <w:rsid w:val="0A2D058F"/>
    <w:rsid w:val="0DD30334"/>
    <w:rsid w:val="0F7C6432"/>
    <w:rsid w:val="131D4EC0"/>
    <w:rsid w:val="14F75A77"/>
    <w:rsid w:val="16926226"/>
    <w:rsid w:val="16CE7E28"/>
    <w:rsid w:val="17BB7706"/>
    <w:rsid w:val="18D94B87"/>
    <w:rsid w:val="190D645B"/>
    <w:rsid w:val="1B2E3B60"/>
    <w:rsid w:val="1C95509E"/>
    <w:rsid w:val="1E1357F0"/>
    <w:rsid w:val="21702650"/>
    <w:rsid w:val="22132469"/>
    <w:rsid w:val="224952EF"/>
    <w:rsid w:val="264A77B8"/>
    <w:rsid w:val="2866762C"/>
    <w:rsid w:val="2C18756F"/>
    <w:rsid w:val="2D3B37C4"/>
    <w:rsid w:val="2D4D087A"/>
    <w:rsid w:val="2E5A72FF"/>
    <w:rsid w:val="2F940B9B"/>
    <w:rsid w:val="2F9515E3"/>
    <w:rsid w:val="2FB2019C"/>
    <w:rsid w:val="30B97E73"/>
    <w:rsid w:val="35255AE1"/>
    <w:rsid w:val="357B22ED"/>
    <w:rsid w:val="36FB0460"/>
    <w:rsid w:val="39C5623B"/>
    <w:rsid w:val="3B4E20BF"/>
    <w:rsid w:val="3C7971AA"/>
    <w:rsid w:val="3E8854C7"/>
    <w:rsid w:val="409E74CA"/>
    <w:rsid w:val="40F1000D"/>
    <w:rsid w:val="42023CB3"/>
    <w:rsid w:val="42A722C8"/>
    <w:rsid w:val="437F754D"/>
    <w:rsid w:val="452D43A3"/>
    <w:rsid w:val="467D0961"/>
    <w:rsid w:val="47683AF8"/>
    <w:rsid w:val="4A1C4D3E"/>
    <w:rsid w:val="4C2A4448"/>
    <w:rsid w:val="4F04094B"/>
    <w:rsid w:val="51C03FD7"/>
    <w:rsid w:val="5251754C"/>
    <w:rsid w:val="5263757E"/>
    <w:rsid w:val="55B20491"/>
    <w:rsid w:val="56104A21"/>
    <w:rsid w:val="5A1D20B1"/>
    <w:rsid w:val="5A5A42F8"/>
    <w:rsid w:val="5B263E52"/>
    <w:rsid w:val="5B2B42C7"/>
    <w:rsid w:val="5CE538DB"/>
    <w:rsid w:val="60E714E3"/>
    <w:rsid w:val="61A9340E"/>
    <w:rsid w:val="61E91789"/>
    <w:rsid w:val="65746E96"/>
    <w:rsid w:val="65911B70"/>
    <w:rsid w:val="68327937"/>
    <w:rsid w:val="69BE7A7D"/>
    <w:rsid w:val="6A473906"/>
    <w:rsid w:val="6D8919CF"/>
    <w:rsid w:val="6E1B40A7"/>
    <w:rsid w:val="6F1845D2"/>
    <w:rsid w:val="705063C2"/>
    <w:rsid w:val="70C865D3"/>
    <w:rsid w:val="71A30589"/>
    <w:rsid w:val="72CC5AAC"/>
    <w:rsid w:val="72DB5A25"/>
    <w:rsid w:val="73C363AB"/>
    <w:rsid w:val="74502A04"/>
    <w:rsid w:val="74820EB4"/>
    <w:rsid w:val="75047047"/>
    <w:rsid w:val="76E94CE7"/>
    <w:rsid w:val="78095CB2"/>
    <w:rsid w:val="798D1B74"/>
    <w:rsid w:val="7A104A06"/>
    <w:rsid w:val="7D225499"/>
    <w:rsid w:val="7D30327D"/>
    <w:rsid w:val="7DC165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eastAsia="黑体"/>
      <w:b/>
      <w:bCs/>
      <w:kern w:val="44"/>
      <w:sz w:val="32"/>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2520" w:leftChars="1200"/>
    </w:pPr>
    <w:rPr>
      <w:rFonts w:ascii="Calibri" w:hAnsi="Calibri" w:cs="宋体"/>
      <w:szCs w:val="22"/>
    </w:rPr>
  </w:style>
  <w:style w:type="paragraph" w:styleId="6">
    <w:name w:val="annotation text"/>
    <w:basedOn w:val="1"/>
    <w:qFormat/>
    <w:uiPriority w:val="0"/>
    <w:pPr>
      <w:jc w:val="left"/>
    </w:pPr>
  </w:style>
  <w:style w:type="paragraph" w:styleId="7">
    <w:name w:val="Body Text"/>
    <w:basedOn w:val="1"/>
    <w:link w:val="41"/>
    <w:qFormat/>
    <w:uiPriority w:val="0"/>
    <w:pPr>
      <w:spacing w:after="120"/>
    </w:pPr>
  </w:style>
  <w:style w:type="paragraph" w:styleId="8">
    <w:name w:val="Body Text Indent"/>
    <w:basedOn w:val="1"/>
    <w:qFormat/>
    <w:uiPriority w:val="0"/>
    <w:pPr>
      <w:spacing w:after="120"/>
      <w:ind w:left="420" w:leftChars="200"/>
    </w:pPr>
  </w:style>
  <w:style w:type="paragraph" w:styleId="9">
    <w:name w:val="toc 5"/>
    <w:basedOn w:val="1"/>
    <w:next w:val="1"/>
    <w:qFormat/>
    <w:uiPriority w:val="39"/>
    <w:pPr>
      <w:ind w:left="1680" w:leftChars="800"/>
    </w:pPr>
    <w:rPr>
      <w:rFonts w:ascii="Calibri" w:hAnsi="Calibri" w:cs="宋体"/>
      <w:szCs w:val="22"/>
    </w:rPr>
  </w:style>
  <w:style w:type="paragraph" w:styleId="10">
    <w:name w:val="toc 3"/>
    <w:basedOn w:val="1"/>
    <w:next w:val="1"/>
    <w:qFormat/>
    <w:uiPriority w:val="39"/>
    <w:pPr>
      <w:ind w:left="420"/>
      <w:jc w:val="left"/>
    </w:pPr>
    <w:rPr>
      <w:i/>
      <w:iCs/>
      <w:sz w:val="20"/>
      <w:szCs w:val="20"/>
    </w:rPr>
  </w:style>
  <w:style w:type="paragraph" w:styleId="11">
    <w:name w:val="Plain Text"/>
    <w:basedOn w:val="1"/>
    <w:qFormat/>
    <w:uiPriority w:val="0"/>
    <w:rPr>
      <w:rFonts w:ascii="宋体" w:hAnsi="Courier New"/>
      <w:szCs w:val="20"/>
    </w:rPr>
  </w:style>
  <w:style w:type="paragraph" w:styleId="12">
    <w:name w:val="toc 8"/>
    <w:basedOn w:val="1"/>
    <w:next w:val="1"/>
    <w:qFormat/>
    <w:uiPriority w:val="39"/>
    <w:pPr>
      <w:ind w:left="2940" w:leftChars="1400"/>
    </w:pPr>
    <w:rPr>
      <w:rFonts w:ascii="Calibri" w:hAnsi="Calibri" w:cs="宋体"/>
      <w:szCs w:val="22"/>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b/>
      <w:bCs/>
      <w:caps/>
      <w:sz w:val="20"/>
      <w:szCs w:val="20"/>
    </w:rPr>
  </w:style>
  <w:style w:type="paragraph" w:styleId="16">
    <w:name w:val="toc 4"/>
    <w:basedOn w:val="1"/>
    <w:next w:val="1"/>
    <w:qFormat/>
    <w:uiPriority w:val="39"/>
    <w:pPr>
      <w:ind w:left="1260" w:leftChars="600"/>
    </w:pPr>
    <w:rPr>
      <w:rFonts w:ascii="Calibri" w:hAnsi="Calibri" w:cs="宋体"/>
      <w:szCs w:val="22"/>
    </w:rPr>
  </w:style>
  <w:style w:type="paragraph" w:styleId="17">
    <w:name w:val="toc 6"/>
    <w:basedOn w:val="1"/>
    <w:next w:val="1"/>
    <w:qFormat/>
    <w:uiPriority w:val="39"/>
    <w:pPr>
      <w:ind w:left="2100" w:leftChars="1000"/>
    </w:pPr>
    <w:rPr>
      <w:rFonts w:ascii="Calibri" w:hAnsi="Calibri" w:cs="宋体"/>
      <w:szCs w:val="22"/>
    </w:rPr>
  </w:style>
  <w:style w:type="paragraph" w:styleId="18">
    <w:name w:val="toc 2"/>
    <w:basedOn w:val="1"/>
    <w:next w:val="1"/>
    <w:qFormat/>
    <w:uiPriority w:val="39"/>
    <w:pPr>
      <w:ind w:left="210"/>
      <w:jc w:val="left"/>
    </w:pPr>
    <w:rPr>
      <w:smallCaps/>
      <w:sz w:val="20"/>
      <w:szCs w:val="20"/>
    </w:rPr>
  </w:style>
  <w:style w:type="paragraph" w:styleId="19">
    <w:name w:val="toc 9"/>
    <w:basedOn w:val="1"/>
    <w:next w:val="1"/>
    <w:qFormat/>
    <w:uiPriority w:val="39"/>
    <w:pPr>
      <w:ind w:left="3360" w:leftChars="1600"/>
    </w:pPr>
    <w:rPr>
      <w:rFonts w:ascii="Calibri" w:hAnsi="Calibri" w:cs="宋体"/>
      <w:szCs w:val="22"/>
    </w:rPr>
  </w:style>
  <w:style w:type="paragraph" w:styleId="20">
    <w:name w:val="Normal (Web)"/>
    <w:basedOn w:val="1"/>
    <w:qFormat/>
    <w:uiPriority w:val="0"/>
    <w:pPr>
      <w:spacing w:before="75" w:beforeAutospacing="0" w:after="75" w:afterAutospacing="0"/>
      <w:ind w:left="0" w:right="0"/>
      <w:jc w:val="left"/>
    </w:pPr>
    <w:rPr>
      <w:kern w:val="0"/>
      <w:sz w:val="24"/>
      <w:lang w:val="en-US" w:eastAsia="zh-CN" w:bidi="ar"/>
    </w:rPr>
  </w:style>
  <w:style w:type="paragraph" w:styleId="21">
    <w:name w:val="Body Text First Indent 2"/>
    <w:basedOn w:val="8"/>
    <w:qFormat/>
    <w:uiPriority w:val="0"/>
    <w:pPr>
      <w:ind w:left="0" w:leftChars="0" w:firstLine="210"/>
    </w:pPr>
    <w:rPr>
      <w:szCs w:val="2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style>
  <w:style w:type="character" w:styleId="26">
    <w:name w:val="page number"/>
    <w:basedOn w:val="24"/>
    <w:qFormat/>
    <w:uiPriority w:val="0"/>
  </w:style>
  <w:style w:type="character" w:styleId="27">
    <w:name w:val="FollowedHyperlink"/>
    <w:basedOn w:val="24"/>
    <w:qFormat/>
    <w:uiPriority w:val="0"/>
    <w:rPr>
      <w:color w:val="800080"/>
      <w:u w:val="none"/>
    </w:rPr>
  </w:style>
  <w:style w:type="character" w:styleId="28">
    <w:name w:val="Emphasis"/>
    <w:basedOn w:val="24"/>
    <w:qFormat/>
    <w:uiPriority w:val="0"/>
  </w:style>
  <w:style w:type="character" w:styleId="29">
    <w:name w:val="HTML Definition"/>
    <w:basedOn w:val="24"/>
    <w:qFormat/>
    <w:uiPriority w:val="0"/>
  </w:style>
  <w:style w:type="character" w:styleId="30">
    <w:name w:val="HTML Typewriter"/>
    <w:basedOn w:val="24"/>
    <w:qFormat/>
    <w:uiPriority w:val="0"/>
    <w:rPr>
      <w:rFonts w:ascii="monospace" w:hAnsi="monospace" w:eastAsia="monospace" w:cs="monospace"/>
      <w:sz w:val="20"/>
    </w:rPr>
  </w:style>
  <w:style w:type="character" w:styleId="31">
    <w:name w:val="HTML Acronym"/>
    <w:basedOn w:val="24"/>
    <w:qFormat/>
    <w:uiPriority w:val="0"/>
  </w:style>
  <w:style w:type="character" w:styleId="32">
    <w:name w:val="HTML Variable"/>
    <w:basedOn w:val="24"/>
    <w:qFormat/>
    <w:uiPriority w:val="0"/>
  </w:style>
  <w:style w:type="character" w:styleId="33">
    <w:name w:val="Hyperlink"/>
    <w:basedOn w:val="24"/>
    <w:qFormat/>
    <w:uiPriority w:val="99"/>
    <w:rPr>
      <w:color w:val="000000"/>
      <w:u w:val="none"/>
    </w:rPr>
  </w:style>
  <w:style w:type="character" w:styleId="34">
    <w:name w:val="HTML Code"/>
    <w:basedOn w:val="24"/>
    <w:qFormat/>
    <w:uiPriority w:val="0"/>
    <w:rPr>
      <w:rFonts w:hint="default" w:ascii="monospace" w:hAnsi="monospace" w:eastAsia="monospace" w:cs="monospace"/>
      <w:sz w:val="20"/>
    </w:rPr>
  </w:style>
  <w:style w:type="character" w:styleId="35">
    <w:name w:val="HTML Cite"/>
    <w:basedOn w:val="24"/>
    <w:qFormat/>
    <w:uiPriority w:val="0"/>
  </w:style>
  <w:style w:type="character" w:styleId="36">
    <w:name w:val="HTML Keyboard"/>
    <w:basedOn w:val="24"/>
    <w:qFormat/>
    <w:uiPriority w:val="0"/>
    <w:rPr>
      <w:rFonts w:hint="default" w:ascii="monospace" w:hAnsi="monospace" w:eastAsia="monospace" w:cs="monospace"/>
      <w:sz w:val="20"/>
    </w:rPr>
  </w:style>
  <w:style w:type="character" w:styleId="37">
    <w:name w:val="HTML Sample"/>
    <w:basedOn w:val="24"/>
    <w:qFormat/>
    <w:uiPriority w:val="0"/>
    <w:rPr>
      <w:rFonts w:hint="default" w:ascii="monospace" w:hAnsi="monospace" w:eastAsia="monospace" w:cs="monospace"/>
    </w:rPr>
  </w:style>
  <w:style w:type="paragraph" w:customStyle="1" w:styleId="38">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9">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正文文本 字符"/>
    <w:link w:val="7"/>
    <w:qFormat/>
    <w:uiPriority w:val="0"/>
    <w:rPr>
      <w:rFonts w:ascii="Times New Roman" w:hAnsi="Times New Roman"/>
      <w:kern w:val="2"/>
      <w:sz w:val="21"/>
      <w:szCs w:val="24"/>
    </w:rPr>
  </w:style>
  <w:style w:type="paragraph" w:styleId="42">
    <w:name w:val="List Paragraph"/>
    <w:basedOn w:val="1"/>
    <w:qFormat/>
    <w:uiPriority w:val="99"/>
    <w:pPr>
      <w:ind w:firstLine="420" w:firstLineChars="200"/>
    </w:pPr>
  </w:style>
  <w:style w:type="character" w:customStyle="1" w:styleId="43">
    <w:name w:val="c-icon13"/>
    <w:basedOn w:val="24"/>
    <w:qFormat/>
    <w:uiPriority w:val="0"/>
  </w:style>
  <w:style w:type="character" w:customStyle="1" w:styleId="44">
    <w:name w:val="c-icon14"/>
    <w:basedOn w:val="24"/>
    <w:qFormat/>
    <w:uiPriority w:val="0"/>
  </w:style>
  <w:style w:type="character" w:customStyle="1" w:styleId="45">
    <w:name w:val="font51"/>
    <w:basedOn w:val="24"/>
    <w:qFormat/>
    <w:uiPriority w:val="0"/>
    <w:rPr>
      <w:rFonts w:hint="eastAsia" w:ascii="宋体" w:hAnsi="宋体" w:eastAsia="宋体" w:cs="宋体"/>
      <w:color w:val="FF0000"/>
      <w:sz w:val="22"/>
      <w:szCs w:val="22"/>
      <w:u w:val="none"/>
    </w:rPr>
  </w:style>
  <w:style w:type="character" w:customStyle="1" w:styleId="46">
    <w:name w:val="font11"/>
    <w:basedOn w:val="24"/>
    <w:qFormat/>
    <w:uiPriority w:val="0"/>
    <w:rPr>
      <w:rFonts w:hint="eastAsia" w:ascii="宋体" w:hAnsi="宋体" w:eastAsia="宋体" w:cs="宋体"/>
      <w:color w:val="000000"/>
      <w:sz w:val="22"/>
      <w:szCs w:val="22"/>
      <w:u w:val="none"/>
    </w:rPr>
  </w:style>
  <w:style w:type="paragraph" w:customStyle="1" w:styleId="47">
    <w:name w:val="正文呀2"/>
    <w:basedOn w:val="48"/>
    <w:qFormat/>
    <w:uiPriority w:val="0"/>
    <w:rPr>
      <w:rFonts w:ascii="Times New Roman" w:hAnsi="Times New Roman"/>
    </w:rPr>
  </w:style>
  <w:style w:type="paragraph" w:customStyle="1" w:styleId="48">
    <w:name w:val="正文呀"/>
    <w:basedOn w:val="1"/>
    <w:qFormat/>
    <w:uiPriority w:val="0"/>
    <w:pPr>
      <w:spacing w:line="420" w:lineRule="exact"/>
      <w:ind w:firstLine="420" w:firstLineChars="20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A67DC4-65FD-470F-9FA4-2B1BA3A56C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201</Pages>
  <Words>25345</Words>
  <Characters>144471</Characters>
  <Lines>1203</Lines>
  <Paragraphs>338</Paragraphs>
  <TotalTime>12</TotalTime>
  <ScaleCrop>false</ScaleCrop>
  <LinksUpToDate>false</LinksUpToDate>
  <CharactersWithSpaces>169478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2021-03-16T04:33:00Z</dcterms:created>
  <dc:creator>阑珊意</dc:creator>
  <cp:lastModifiedBy>再见孙悟空</cp:lastModifiedBy>
  <cp:lastPrinted>2019-07-15T09:12:00Z</cp:lastPrinted>
  <dcterms:modified xsi:type="dcterms:W3CDTF">2021-03-25T07:43:05Z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78DBF2B6359742929DBB8DFE858577CC</vt:lpwstr>
  </property>
</Properties>
</file>