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hadow/>
          <w:color w:val="auto"/>
          <w:spacing w:val="20"/>
          <w:sz w:val="44"/>
          <w:szCs w:val="44"/>
          <w:u w:val="single"/>
        </w:rPr>
      </w:pPr>
      <w:r>
        <w:rPr>
          <w:rFonts w:hint="eastAsia" w:ascii="宋体" w:hAnsi="宋体"/>
          <w:b/>
          <w:bCs/>
          <w:shadow/>
          <w:color w:val="auto"/>
          <w:spacing w:val="20"/>
          <w:sz w:val="44"/>
          <w:szCs w:val="44"/>
        </w:rPr>
        <w:t>广西</w:t>
      </w:r>
      <w:r>
        <w:rPr>
          <w:rFonts w:hint="eastAsia" w:ascii="宋体" w:hAnsi="宋体"/>
          <w:b/>
          <w:bCs/>
          <w:shadow/>
          <w:color w:val="auto"/>
          <w:spacing w:val="20"/>
          <w:sz w:val="44"/>
          <w:szCs w:val="44"/>
          <w:lang w:eastAsia="zh-CN"/>
        </w:rPr>
        <w:t>建坤工程咨询有限公司</w:t>
      </w:r>
      <w:r>
        <w:rPr>
          <w:rFonts w:hint="eastAsia" w:ascii="宋体" w:hAnsi="宋体"/>
          <w:b/>
          <w:bCs/>
          <w:shadow/>
          <w:color w:val="auto"/>
          <w:spacing w:val="20"/>
          <w:sz w:val="44"/>
          <w:szCs w:val="44"/>
        </w:rPr>
        <w:t xml:space="preserve">       </w:t>
      </w:r>
    </w:p>
    <w:p>
      <w:pPr>
        <w:tabs>
          <w:tab w:val="left" w:pos="2935"/>
          <w:tab w:val="center" w:pos="4879"/>
        </w:tabs>
        <w:spacing w:line="360" w:lineRule="auto"/>
        <w:jc w:val="left"/>
        <w:rPr>
          <w:rFonts w:hint="eastAsia" w:ascii="宋体" w:hAnsi="宋体"/>
          <w:color w:val="auto"/>
          <w:sz w:val="52"/>
        </w:rPr>
      </w:pPr>
      <w:r>
        <w:rPr>
          <w:rFonts w:ascii="宋体" w:hAnsi="宋体" w:cs="Calibri"/>
          <w:color w:val="auto"/>
          <w:sz w:val="52"/>
        </w:rPr>
        <w:pict>
          <v:line id="直线 3" o:spid="_x0000_s1026" o:spt="20" style="position:absolute;left:0pt;margin-left:9.3pt;margin-top:7.45pt;height:0.05pt;width:432.65pt;z-index:251659264;mso-width-relative:page;mso-height-relative:page;" fillcolor="#FFFFFF" filled="t" stroked="t" coordsize="21600,21600">
            <v:path arrowok="t"/>
            <v:fill on="t" focussize="0,0"/>
            <v:stroke weight="3pt" color="#0D0D0D" linestyle="thinThin"/>
            <v:imagedata o:title=""/>
            <o:lock v:ext="edit" aspectratio="f"/>
          </v:line>
        </w:pict>
      </w:r>
      <w:r>
        <w:rPr>
          <w:rFonts w:hint="eastAsia" w:ascii="宋体" w:hAnsi="宋体"/>
          <w:color w:val="auto"/>
          <w:sz w:val="52"/>
        </w:rPr>
        <w:tab/>
      </w:r>
    </w:p>
    <w:p>
      <w:pPr>
        <w:pStyle w:val="22"/>
        <w:spacing w:line="2000" w:lineRule="exact"/>
        <w:jc w:val="center"/>
        <w:rPr>
          <w:rFonts w:hint="eastAsia" w:hAnsi="宋体"/>
          <w:b/>
          <w:bCs/>
          <w:sz w:val="72"/>
          <w:szCs w:val="72"/>
        </w:rPr>
      </w:pPr>
      <w:r>
        <w:rPr>
          <w:rFonts w:hint="eastAsia" w:hAnsi="宋体"/>
          <w:b/>
          <w:bCs/>
          <w:sz w:val="72"/>
          <w:szCs w:val="72"/>
        </w:rPr>
        <w:t>竞争性磋商文件</w:t>
      </w:r>
    </w:p>
    <w:p>
      <w:pPr>
        <w:pStyle w:val="22"/>
        <w:spacing w:line="2000" w:lineRule="exact"/>
        <w:jc w:val="center"/>
        <w:rPr>
          <w:rFonts w:hint="eastAsia" w:hAnsi="宋体"/>
          <w:b/>
          <w:bCs/>
          <w:sz w:val="72"/>
          <w:szCs w:val="72"/>
        </w:rPr>
      </w:pPr>
    </w:p>
    <w:p>
      <w:pPr>
        <w:jc w:val="center"/>
        <w:rPr>
          <w:rFonts w:hint="eastAsia" w:ascii="宋体" w:hAnsi="宋体" w:eastAsia="宋体"/>
          <w:b/>
          <w:bCs/>
          <w:color w:val="auto"/>
          <w:sz w:val="30"/>
          <w:szCs w:val="30"/>
          <w:lang w:eastAsia="zh-CN"/>
        </w:rPr>
      </w:pPr>
      <w:r>
        <w:rPr>
          <w:rFonts w:hint="eastAsia" w:ascii="宋体" w:hAnsi="宋体"/>
          <w:b/>
          <w:bCs/>
          <w:color w:val="auto"/>
          <w:sz w:val="30"/>
          <w:szCs w:val="30"/>
        </w:rPr>
        <w:t xml:space="preserve">       项目名称：</w:t>
      </w:r>
      <w:r>
        <w:rPr>
          <w:rFonts w:hint="eastAsia" w:ascii="宋体" w:hAnsi="宋体"/>
          <w:b/>
          <w:bCs/>
          <w:color w:val="auto"/>
          <w:sz w:val="30"/>
          <w:szCs w:val="30"/>
          <w:lang w:eastAsia="zh-CN"/>
        </w:rPr>
        <w:t>博白县九洲江流域（第一批）农村生活污水处理项</w:t>
      </w:r>
      <w:r>
        <w:rPr>
          <w:rFonts w:hint="eastAsia" w:ascii="宋体" w:hAnsi="宋体"/>
          <w:b/>
          <w:bCs/>
          <w:color w:val="auto"/>
          <w:sz w:val="30"/>
          <w:szCs w:val="30"/>
          <w:lang w:val="en-US" w:eastAsia="zh-CN"/>
        </w:rPr>
        <w:t xml:space="preserve">    </w:t>
      </w:r>
      <w:r>
        <w:rPr>
          <w:rFonts w:hint="eastAsia" w:ascii="宋体" w:hAnsi="宋体"/>
          <w:b/>
          <w:bCs/>
          <w:color w:val="auto"/>
          <w:sz w:val="30"/>
          <w:szCs w:val="30"/>
          <w:lang w:eastAsia="zh-CN"/>
        </w:rPr>
        <w:t>目-宁潭镇新榕村（官塘背、下低村、下岭队）工程</w:t>
      </w:r>
    </w:p>
    <w:p>
      <w:pPr>
        <w:jc w:val="center"/>
        <w:rPr>
          <w:rFonts w:hint="eastAsia" w:ascii="宋体" w:hAnsi="宋体"/>
          <w:b/>
          <w:bCs/>
          <w:color w:val="auto"/>
          <w:sz w:val="30"/>
          <w:szCs w:val="30"/>
        </w:rPr>
      </w:pPr>
    </w:p>
    <w:p>
      <w:pPr>
        <w:ind w:firstLine="1958" w:firstLineChars="650"/>
        <w:rPr>
          <w:rFonts w:hint="eastAsia" w:ascii="宋体" w:hAnsi="宋体"/>
          <w:b/>
          <w:bCs/>
          <w:color w:val="auto"/>
          <w:sz w:val="30"/>
          <w:szCs w:val="30"/>
        </w:rPr>
      </w:pPr>
      <w:r>
        <w:rPr>
          <w:rFonts w:hint="eastAsia" w:ascii="宋体" w:hAnsi="宋体"/>
          <w:b/>
          <w:bCs/>
          <w:color w:val="auto"/>
          <w:sz w:val="30"/>
          <w:szCs w:val="30"/>
        </w:rPr>
        <w:t>项目编号：YLZC2020-C2-</w:t>
      </w:r>
      <w:r>
        <w:rPr>
          <w:rFonts w:hint="eastAsia" w:ascii="宋体" w:hAnsi="宋体"/>
          <w:b/>
          <w:bCs/>
          <w:color w:val="auto"/>
          <w:sz w:val="30"/>
          <w:szCs w:val="30"/>
          <w:lang w:val="en-US" w:eastAsia="zh-CN"/>
        </w:rPr>
        <w:t>230235</w:t>
      </w:r>
      <w:r>
        <w:rPr>
          <w:rFonts w:hint="eastAsia" w:ascii="宋体" w:hAnsi="宋体"/>
          <w:b/>
          <w:bCs/>
          <w:color w:val="auto"/>
          <w:sz w:val="30"/>
          <w:szCs w:val="30"/>
        </w:rPr>
        <w:t>-GX</w:t>
      </w:r>
      <w:r>
        <w:rPr>
          <w:rFonts w:hint="eastAsia" w:ascii="宋体" w:hAnsi="宋体"/>
          <w:b/>
          <w:bCs/>
          <w:color w:val="auto"/>
          <w:sz w:val="30"/>
          <w:szCs w:val="30"/>
          <w:lang w:val="en-US" w:eastAsia="zh-CN"/>
        </w:rPr>
        <w:t>JK</w:t>
      </w:r>
      <w:r>
        <w:rPr>
          <w:rFonts w:hint="eastAsia" w:ascii="宋体" w:hAnsi="宋体"/>
          <w:b/>
          <w:bCs/>
          <w:color w:val="auto"/>
          <w:sz w:val="30"/>
          <w:szCs w:val="30"/>
        </w:rPr>
        <w:t xml:space="preserve"> </w:t>
      </w:r>
    </w:p>
    <w:p>
      <w:pPr>
        <w:jc w:val="center"/>
        <w:rPr>
          <w:rFonts w:hint="eastAsia" w:ascii="宋体" w:hAnsi="宋体"/>
          <w:color w:val="auto"/>
          <w:sz w:val="30"/>
          <w:szCs w:val="30"/>
        </w:rPr>
      </w:pPr>
      <w:r>
        <w:rPr>
          <w:rFonts w:hint="eastAsia" w:ascii="宋体" w:hAnsi="宋体"/>
          <w:b/>
          <w:color w:val="auto"/>
          <w:sz w:val="30"/>
          <w:szCs w:val="30"/>
        </w:rPr>
        <w:t xml:space="preserve">  </w:t>
      </w:r>
    </w:p>
    <w:p>
      <w:pPr>
        <w:jc w:val="center"/>
        <w:rPr>
          <w:rFonts w:hint="eastAsia" w:ascii="宋体" w:hAnsi="宋体"/>
          <w:color w:val="auto"/>
          <w:sz w:val="36"/>
        </w:rPr>
      </w:pPr>
    </w:p>
    <w:p>
      <w:pPr>
        <w:jc w:val="both"/>
        <w:rPr>
          <w:rFonts w:ascii="宋体" w:hAnsi="宋体"/>
          <w:color w:val="auto"/>
          <w:sz w:val="36"/>
        </w:rPr>
      </w:pPr>
    </w:p>
    <w:p>
      <w:pPr>
        <w:spacing w:line="660" w:lineRule="exact"/>
        <w:rPr>
          <w:rFonts w:ascii="宋体" w:hAnsi="宋体"/>
          <w:color w:val="auto"/>
          <w:sz w:val="36"/>
        </w:rPr>
      </w:pPr>
      <w:r>
        <w:rPr>
          <w:rFonts w:ascii="宋体" w:hAnsi="宋体"/>
          <w:color w:val="auto"/>
        </w:rPr>
        <w:pict>
          <v:shape id="直接连接符 2" o:spid="_x0000_s1027" o:spt="32" type="#_x0000_t32" style="position:absolute;left:0pt;margin-left:-18.1pt;margin-top:7.75pt;height:1.95pt;width:492.15pt;z-index:251658240;mso-width-relative:page;mso-height-relative:page;" filled="f" stroked="t" coordsize="21600,21600">
            <v:path arrowok="t"/>
            <v:fill on="f" focussize="0,0"/>
            <v:stroke weight="1.5pt"/>
            <v:imagedata o:title=""/>
            <o:lock v:ext="edit" aspectratio="f"/>
          </v:shape>
        </w:pict>
      </w:r>
    </w:p>
    <w:p>
      <w:pPr>
        <w:spacing w:line="900" w:lineRule="exact"/>
        <w:ind w:firstLine="1506" w:firstLineChars="500"/>
        <w:rPr>
          <w:rFonts w:hint="eastAsia" w:ascii="宋体" w:hAnsi="宋体" w:eastAsia="宋体"/>
          <w:b/>
          <w:color w:val="auto"/>
          <w:sz w:val="30"/>
          <w:szCs w:val="30"/>
          <w:lang w:eastAsia="zh-CN"/>
        </w:rPr>
      </w:pPr>
      <w:r>
        <w:rPr>
          <w:rFonts w:hint="eastAsia" w:ascii="宋体" w:hAnsi="宋体"/>
          <w:b/>
          <w:color w:val="auto"/>
          <w:sz w:val="30"/>
          <w:szCs w:val="30"/>
        </w:rPr>
        <w:t>采   购   人：</w:t>
      </w:r>
      <w:r>
        <w:rPr>
          <w:rFonts w:hint="eastAsia" w:ascii="宋体" w:hAnsi="宋体"/>
          <w:b/>
          <w:color w:val="auto"/>
          <w:sz w:val="30"/>
          <w:szCs w:val="30"/>
          <w:lang w:eastAsia="zh-CN"/>
        </w:rPr>
        <w:t>博白县宁潭镇人民政府</w:t>
      </w:r>
    </w:p>
    <w:p>
      <w:pPr>
        <w:spacing w:line="900" w:lineRule="exact"/>
        <w:ind w:firstLine="1506" w:firstLineChars="500"/>
        <w:rPr>
          <w:rFonts w:hint="eastAsia" w:ascii="宋体" w:hAnsi="宋体" w:eastAsia="宋体"/>
          <w:b/>
          <w:color w:val="auto"/>
          <w:sz w:val="30"/>
          <w:szCs w:val="30"/>
          <w:lang w:eastAsia="zh-CN"/>
        </w:rPr>
      </w:pPr>
      <w:r>
        <w:rPr>
          <w:rFonts w:hint="eastAsia" w:ascii="宋体" w:hAnsi="宋体"/>
          <w:b/>
          <w:color w:val="auto"/>
          <w:sz w:val="30"/>
          <w:szCs w:val="30"/>
        </w:rPr>
        <w:t>采购代理机构：</w:t>
      </w:r>
      <w:r>
        <w:rPr>
          <w:rFonts w:hint="eastAsia" w:ascii="宋体" w:hAnsi="宋体"/>
          <w:b/>
          <w:color w:val="auto"/>
          <w:sz w:val="30"/>
          <w:szCs w:val="30"/>
          <w:lang w:eastAsia="zh-CN"/>
        </w:rPr>
        <w:t>广西建坤工程咨询有限公司</w:t>
      </w:r>
    </w:p>
    <w:p>
      <w:pPr>
        <w:spacing w:line="900" w:lineRule="exact"/>
        <w:jc w:val="center"/>
        <w:rPr>
          <w:rFonts w:hint="eastAsia" w:ascii="宋体" w:hAnsi="宋体" w:cs="Courier New"/>
          <w:b/>
          <w:color w:val="auto"/>
          <w:sz w:val="32"/>
          <w:szCs w:val="32"/>
        </w:rPr>
      </w:pPr>
      <w:r>
        <w:rPr>
          <w:rFonts w:hint="eastAsia" w:ascii="宋体" w:hAnsi="宋体" w:cs="Courier New"/>
          <w:b/>
          <w:color w:val="auto"/>
          <w:sz w:val="32"/>
          <w:szCs w:val="32"/>
        </w:rPr>
        <w:t>2020年</w:t>
      </w:r>
      <w:r>
        <w:rPr>
          <w:rFonts w:hint="eastAsia" w:ascii="宋体" w:hAnsi="宋体" w:cs="Courier New"/>
          <w:b/>
          <w:color w:val="auto"/>
          <w:sz w:val="32"/>
          <w:szCs w:val="32"/>
          <w:lang w:val="en-US" w:eastAsia="zh-CN"/>
        </w:rPr>
        <w:t>11</w:t>
      </w:r>
      <w:r>
        <w:rPr>
          <w:rFonts w:hint="eastAsia" w:ascii="宋体" w:hAnsi="宋体" w:cs="Courier New"/>
          <w:b/>
          <w:color w:val="auto"/>
          <w:sz w:val="32"/>
          <w:szCs w:val="32"/>
        </w:rPr>
        <w:t>月</w:t>
      </w:r>
    </w:p>
    <w:p>
      <w:pPr>
        <w:rPr>
          <w:rFonts w:ascii="宋体" w:hAnsi="宋体"/>
          <w:color w:val="auto"/>
        </w:rPr>
      </w:pPr>
    </w:p>
    <w:p>
      <w:pPr>
        <w:spacing w:line="240" w:lineRule="auto"/>
        <w:jc w:val="center"/>
        <w:rPr>
          <w:rFonts w:hint="eastAsia" w:ascii="宋体" w:hAnsi="宋体" w:cs="Courier New"/>
          <w:color w:val="auto"/>
          <w:sz w:val="52"/>
          <w:szCs w:val="52"/>
        </w:rPr>
      </w:pPr>
      <w:r>
        <w:rPr>
          <w:rFonts w:hint="eastAsia" w:ascii="宋体" w:hAnsi="宋体" w:cs="Courier New"/>
          <w:color w:val="auto"/>
          <w:sz w:val="52"/>
          <w:szCs w:val="52"/>
        </w:rPr>
        <w:br w:type="page"/>
      </w:r>
    </w:p>
    <w:p>
      <w:pPr>
        <w:spacing w:line="240" w:lineRule="auto"/>
        <w:jc w:val="center"/>
        <w:rPr>
          <w:rFonts w:hint="eastAsia" w:ascii="宋体" w:hAnsi="宋体" w:cs="Courier New"/>
          <w:b/>
          <w:color w:val="auto"/>
          <w:sz w:val="52"/>
          <w:szCs w:val="52"/>
        </w:rPr>
      </w:pPr>
      <w:r>
        <w:rPr>
          <w:rFonts w:hint="eastAsia" w:ascii="宋体" w:hAnsi="宋体" w:cs="Courier New"/>
          <w:b/>
          <w:color w:val="auto"/>
          <w:sz w:val="52"/>
          <w:szCs w:val="52"/>
        </w:rPr>
        <w:t>目 录</w:t>
      </w:r>
    </w:p>
    <w:p>
      <w:pPr>
        <w:spacing w:line="240" w:lineRule="auto"/>
        <w:jc w:val="center"/>
        <w:rPr>
          <w:rFonts w:hint="eastAsia" w:ascii="宋体" w:hAnsi="宋体" w:cs="Courier New"/>
          <w:color w:val="auto"/>
          <w:szCs w:val="21"/>
        </w:rPr>
      </w:pPr>
    </w:p>
    <w:p>
      <w:pPr>
        <w:pStyle w:val="21"/>
        <w:tabs>
          <w:tab w:val="right" w:leader="dot" w:pos="9737"/>
        </w:tabs>
        <w:spacing w:line="600" w:lineRule="exact"/>
        <w:rPr>
          <w:rFonts w:ascii="宋体" w:hAnsi="宋体"/>
          <w:i w:val="0"/>
          <w:iCs w:val="0"/>
          <w:color w:val="auto"/>
          <w:kern w:val="2"/>
          <w:sz w:val="28"/>
          <w:szCs w:val="28"/>
          <w:u w:val="none" w:color="auto"/>
        </w:rPr>
      </w:pPr>
      <w:r>
        <w:rPr>
          <w:rFonts w:hint="eastAsia" w:ascii="宋体" w:hAnsi="宋体" w:cs="华文楷体"/>
          <w:i w:val="0"/>
          <w:color w:val="auto"/>
          <w:sz w:val="28"/>
          <w:szCs w:val="28"/>
        </w:rPr>
        <w:fldChar w:fldCharType="begin"/>
      </w:r>
      <w:r>
        <w:rPr>
          <w:rFonts w:hint="eastAsia" w:ascii="宋体" w:hAnsi="宋体" w:cs="华文楷体"/>
          <w:i w:val="0"/>
          <w:color w:val="auto"/>
          <w:sz w:val="28"/>
          <w:szCs w:val="28"/>
        </w:rPr>
        <w:instrText xml:space="preserve"> TOC \o "1-3" \h \z \u </w:instrText>
      </w:r>
      <w:r>
        <w:rPr>
          <w:rFonts w:hint="eastAsia" w:ascii="宋体" w:hAnsi="宋体" w:cs="华文楷体"/>
          <w:i w:val="0"/>
          <w:color w:val="auto"/>
          <w:sz w:val="28"/>
          <w:szCs w:val="28"/>
        </w:rPr>
        <w:fldChar w:fldCharType="separate"/>
      </w: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"_Toc45007863"</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竞争性磋商公告</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_Toc45007863 \h </w:instrText>
      </w:r>
      <w:r>
        <w:rPr>
          <w:rFonts w:ascii="宋体" w:hAnsi="宋体"/>
          <w:i w:val="0"/>
          <w:color w:val="auto"/>
          <w:sz w:val="28"/>
          <w:szCs w:val="28"/>
        </w:rPr>
        <w:fldChar w:fldCharType="separate"/>
      </w:r>
      <w:r>
        <w:rPr>
          <w:rFonts w:ascii="宋体" w:hAnsi="宋体"/>
          <w:i w:val="0"/>
          <w:color w:val="auto"/>
          <w:sz w:val="28"/>
          <w:szCs w:val="28"/>
        </w:rPr>
        <w:t>3</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"_Toc45007864"</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b/>
          <w:i w:val="0"/>
          <w:color w:val="auto"/>
          <w:sz w:val="28"/>
          <w:szCs w:val="28"/>
        </w:rPr>
        <w:t>第一章</w:t>
      </w:r>
      <w:r>
        <w:rPr>
          <w:rStyle w:val="45"/>
          <w:rFonts w:ascii="宋体" w:hAnsi="宋体"/>
          <w:b/>
          <w:i w:val="0"/>
          <w:color w:val="auto"/>
          <w:sz w:val="28"/>
          <w:szCs w:val="28"/>
        </w:rPr>
        <w:t xml:space="preserve">  </w:t>
      </w:r>
      <w:r>
        <w:rPr>
          <w:rStyle w:val="45"/>
          <w:rFonts w:hint="eastAsia" w:ascii="宋体" w:hAnsi="宋体"/>
          <w:b/>
          <w:i w:val="0"/>
          <w:color w:val="auto"/>
          <w:sz w:val="28"/>
          <w:szCs w:val="28"/>
        </w:rPr>
        <w:t xml:space="preserve"> 供应商须知</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_Toc45007864 \h </w:instrText>
      </w:r>
      <w:r>
        <w:rPr>
          <w:rFonts w:ascii="宋体" w:hAnsi="宋体"/>
          <w:i w:val="0"/>
          <w:color w:val="auto"/>
          <w:sz w:val="28"/>
          <w:szCs w:val="28"/>
        </w:rPr>
        <w:fldChar w:fldCharType="separate"/>
      </w:r>
      <w:r>
        <w:rPr>
          <w:rFonts w:ascii="宋体" w:hAnsi="宋体"/>
          <w:i w:val="0"/>
          <w:color w:val="auto"/>
          <w:sz w:val="28"/>
          <w:szCs w:val="28"/>
        </w:rPr>
        <w:t>6</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"_Toc45007865"</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磋商须知前附表</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_Toc45007865 \h </w:instrText>
      </w:r>
      <w:r>
        <w:rPr>
          <w:rFonts w:ascii="宋体" w:hAnsi="宋体"/>
          <w:i w:val="0"/>
          <w:color w:val="auto"/>
          <w:sz w:val="28"/>
          <w:szCs w:val="28"/>
        </w:rPr>
        <w:fldChar w:fldCharType="separate"/>
      </w:r>
      <w:r>
        <w:rPr>
          <w:rFonts w:ascii="宋体" w:hAnsi="宋体"/>
          <w:i w:val="0"/>
          <w:color w:val="auto"/>
          <w:sz w:val="28"/>
          <w:szCs w:val="28"/>
        </w:rPr>
        <w:t>6</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"_Toc45007866"</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一、总则</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_Toc45007866 \h </w:instrText>
      </w:r>
      <w:r>
        <w:rPr>
          <w:rFonts w:ascii="宋体" w:hAnsi="宋体"/>
          <w:i w:val="0"/>
          <w:color w:val="auto"/>
          <w:sz w:val="28"/>
          <w:szCs w:val="28"/>
        </w:rPr>
        <w:fldChar w:fldCharType="separate"/>
      </w:r>
      <w:r>
        <w:rPr>
          <w:rFonts w:ascii="宋体" w:hAnsi="宋体"/>
          <w:i w:val="0"/>
          <w:color w:val="auto"/>
          <w:sz w:val="28"/>
          <w:szCs w:val="28"/>
        </w:rPr>
        <w:t>8</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"_Toc45007867"</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二、竞争性磋商文件</w:t>
      </w:r>
      <w:r>
        <w:rPr>
          <w:rStyle w:val="45"/>
          <w:rFonts w:ascii="宋体" w:hAnsi="宋体"/>
          <w:i w:val="0"/>
          <w:color w:val="auto"/>
          <w:sz w:val="28"/>
          <w:szCs w:val="28"/>
        </w:rPr>
        <w:t>(</w:t>
      </w:r>
      <w:r>
        <w:rPr>
          <w:rStyle w:val="45"/>
          <w:rFonts w:hint="eastAsia" w:ascii="宋体" w:hAnsi="宋体"/>
          <w:i w:val="0"/>
          <w:color w:val="auto"/>
          <w:sz w:val="28"/>
          <w:szCs w:val="28"/>
        </w:rPr>
        <w:t>以下简称：磋商文件</w:t>
      </w:r>
      <w:r>
        <w:rPr>
          <w:rStyle w:val="45"/>
          <w:rFonts w:ascii="宋体" w:hAnsi="宋体"/>
          <w:i w:val="0"/>
          <w:color w:val="auto"/>
          <w:sz w:val="28"/>
          <w:szCs w:val="28"/>
        </w:rPr>
        <w:t>)</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_Toc45007867 \h </w:instrText>
      </w:r>
      <w:r>
        <w:rPr>
          <w:rFonts w:ascii="宋体" w:hAnsi="宋体"/>
          <w:i w:val="0"/>
          <w:color w:val="auto"/>
          <w:sz w:val="28"/>
          <w:szCs w:val="28"/>
        </w:rPr>
        <w:fldChar w:fldCharType="separate"/>
      </w:r>
      <w:r>
        <w:rPr>
          <w:rFonts w:ascii="宋体" w:hAnsi="宋体"/>
          <w:i w:val="0"/>
          <w:color w:val="auto"/>
          <w:sz w:val="28"/>
          <w:szCs w:val="28"/>
        </w:rPr>
        <w:t>8</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"_Toc45007868"</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三、响应文件的编制</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_Toc45007868 \h </w:instrText>
      </w:r>
      <w:r>
        <w:rPr>
          <w:rFonts w:ascii="宋体" w:hAnsi="宋体"/>
          <w:i w:val="0"/>
          <w:color w:val="auto"/>
          <w:sz w:val="28"/>
          <w:szCs w:val="28"/>
        </w:rPr>
        <w:fldChar w:fldCharType="separate"/>
      </w:r>
      <w:r>
        <w:rPr>
          <w:rFonts w:ascii="宋体" w:hAnsi="宋体"/>
          <w:i w:val="0"/>
          <w:color w:val="auto"/>
          <w:sz w:val="28"/>
          <w:szCs w:val="28"/>
        </w:rPr>
        <w:t>9</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"_Toc45007869"</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四、磋商文件的递交</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_Toc45007869 \h </w:instrText>
      </w:r>
      <w:r>
        <w:rPr>
          <w:rFonts w:ascii="宋体" w:hAnsi="宋体"/>
          <w:i w:val="0"/>
          <w:color w:val="auto"/>
          <w:sz w:val="28"/>
          <w:szCs w:val="28"/>
        </w:rPr>
        <w:fldChar w:fldCharType="separate"/>
      </w:r>
      <w:r>
        <w:rPr>
          <w:rFonts w:ascii="宋体" w:hAnsi="宋体"/>
          <w:i w:val="0"/>
          <w:color w:val="auto"/>
          <w:sz w:val="28"/>
          <w:szCs w:val="28"/>
        </w:rPr>
        <w:t>13</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"_Toc45007870"</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五、竞争性磋商与评标</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_Toc45007870 \h </w:instrText>
      </w:r>
      <w:r>
        <w:rPr>
          <w:rFonts w:ascii="宋体" w:hAnsi="宋体"/>
          <w:i w:val="0"/>
          <w:color w:val="auto"/>
          <w:sz w:val="28"/>
          <w:szCs w:val="28"/>
        </w:rPr>
        <w:fldChar w:fldCharType="separate"/>
      </w:r>
      <w:r>
        <w:rPr>
          <w:rFonts w:ascii="宋体" w:hAnsi="宋体"/>
          <w:i w:val="0"/>
          <w:color w:val="auto"/>
          <w:sz w:val="28"/>
          <w:szCs w:val="28"/>
        </w:rPr>
        <w:t>13</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"_Toc45007871"</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六、签订合同</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_Toc45007871 \h </w:instrText>
      </w:r>
      <w:r>
        <w:rPr>
          <w:rFonts w:ascii="宋体" w:hAnsi="宋体"/>
          <w:i w:val="0"/>
          <w:color w:val="auto"/>
          <w:sz w:val="28"/>
          <w:szCs w:val="28"/>
        </w:rPr>
        <w:fldChar w:fldCharType="separate"/>
      </w:r>
      <w:r>
        <w:rPr>
          <w:rFonts w:ascii="宋体" w:hAnsi="宋体"/>
          <w:i w:val="0"/>
          <w:color w:val="auto"/>
          <w:sz w:val="28"/>
          <w:szCs w:val="28"/>
        </w:rPr>
        <w:t>16</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"_Toc45007872"</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b/>
          <w:i w:val="0"/>
          <w:color w:val="auto"/>
          <w:sz w:val="28"/>
          <w:szCs w:val="28"/>
        </w:rPr>
        <w:t>第二章</w:t>
      </w:r>
      <w:r>
        <w:rPr>
          <w:rStyle w:val="45"/>
          <w:rFonts w:ascii="宋体" w:hAnsi="宋体"/>
          <w:b/>
          <w:i w:val="0"/>
          <w:color w:val="auto"/>
          <w:sz w:val="28"/>
          <w:szCs w:val="28"/>
        </w:rPr>
        <w:t xml:space="preserve">   </w:t>
      </w:r>
      <w:r>
        <w:rPr>
          <w:rStyle w:val="45"/>
          <w:rFonts w:hint="eastAsia" w:ascii="宋体" w:hAnsi="宋体"/>
          <w:b/>
          <w:i w:val="0"/>
          <w:color w:val="auto"/>
          <w:sz w:val="28"/>
          <w:szCs w:val="28"/>
        </w:rPr>
        <w:t>评标办法</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_Toc45007872 \h </w:instrText>
      </w:r>
      <w:r>
        <w:rPr>
          <w:rFonts w:ascii="宋体" w:hAnsi="宋体"/>
          <w:i w:val="0"/>
          <w:color w:val="auto"/>
          <w:sz w:val="28"/>
          <w:szCs w:val="28"/>
        </w:rPr>
        <w:fldChar w:fldCharType="separate"/>
      </w:r>
      <w:r>
        <w:rPr>
          <w:rFonts w:ascii="宋体" w:hAnsi="宋体"/>
          <w:i w:val="0"/>
          <w:color w:val="auto"/>
          <w:sz w:val="28"/>
          <w:szCs w:val="28"/>
        </w:rPr>
        <w:t>18</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"_Toc45007874"</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b/>
          <w:i w:val="0"/>
          <w:color w:val="auto"/>
          <w:sz w:val="28"/>
          <w:szCs w:val="28"/>
        </w:rPr>
        <w:t>第三章</w:t>
      </w:r>
      <w:r>
        <w:rPr>
          <w:rStyle w:val="45"/>
          <w:rFonts w:ascii="宋体" w:hAnsi="宋体"/>
          <w:b/>
          <w:i w:val="0"/>
          <w:color w:val="auto"/>
          <w:sz w:val="28"/>
          <w:szCs w:val="28"/>
        </w:rPr>
        <w:t xml:space="preserve">  </w:t>
      </w:r>
      <w:r>
        <w:rPr>
          <w:rStyle w:val="45"/>
          <w:rFonts w:hint="eastAsia" w:ascii="宋体" w:hAnsi="宋体"/>
          <w:b/>
          <w:i w:val="0"/>
          <w:color w:val="auto"/>
          <w:sz w:val="28"/>
          <w:szCs w:val="28"/>
        </w:rPr>
        <w:t xml:space="preserve"> 合同条款及格式</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_Toc45007874 \h </w:instrText>
      </w:r>
      <w:r>
        <w:rPr>
          <w:rFonts w:ascii="宋体" w:hAnsi="宋体"/>
          <w:i w:val="0"/>
          <w:color w:val="auto"/>
          <w:sz w:val="28"/>
          <w:szCs w:val="28"/>
        </w:rPr>
        <w:fldChar w:fldCharType="separate"/>
      </w:r>
      <w:r>
        <w:rPr>
          <w:rFonts w:ascii="宋体" w:hAnsi="宋体"/>
          <w:i w:val="0"/>
          <w:color w:val="auto"/>
          <w:sz w:val="28"/>
          <w:szCs w:val="28"/>
        </w:rPr>
        <w:t>22</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"_Toc45007875"</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第一部分</w:t>
      </w:r>
      <w:r>
        <w:rPr>
          <w:rStyle w:val="45"/>
          <w:rFonts w:ascii="宋体" w:hAnsi="宋体"/>
          <w:i w:val="0"/>
          <w:color w:val="auto"/>
          <w:sz w:val="28"/>
          <w:szCs w:val="28"/>
        </w:rPr>
        <w:t xml:space="preserve"> </w:t>
      </w:r>
      <w:r>
        <w:rPr>
          <w:rStyle w:val="45"/>
          <w:rFonts w:hint="eastAsia" w:ascii="宋体" w:hAnsi="宋体"/>
          <w:i w:val="0"/>
          <w:color w:val="auto"/>
          <w:sz w:val="28"/>
          <w:szCs w:val="28"/>
        </w:rPr>
        <w:t>合同协议书</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_Toc45007875 \h </w:instrText>
      </w:r>
      <w:r>
        <w:rPr>
          <w:rFonts w:ascii="宋体" w:hAnsi="宋体"/>
          <w:i w:val="0"/>
          <w:color w:val="auto"/>
          <w:sz w:val="28"/>
          <w:szCs w:val="28"/>
        </w:rPr>
        <w:fldChar w:fldCharType="separate"/>
      </w:r>
      <w:r>
        <w:rPr>
          <w:rFonts w:ascii="宋体" w:hAnsi="宋体"/>
          <w:i w:val="0"/>
          <w:color w:val="auto"/>
          <w:sz w:val="28"/>
          <w:szCs w:val="28"/>
        </w:rPr>
        <w:t>22</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"_Toc45007876"</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第二部分</w:t>
      </w:r>
      <w:r>
        <w:rPr>
          <w:rStyle w:val="45"/>
          <w:rFonts w:ascii="宋体" w:hAnsi="宋体"/>
          <w:i w:val="0"/>
          <w:color w:val="auto"/>
          <w:sz w:val="28"/>
          <w:szCs w:val="28"/>
        </w:rPr>
        <w:t xml:space="preserve"> </w:t>
      </w:r>
      <w:r>
        <w:rPr>
          <w:rStyle w:val="45"/>
          <w:rFonts w:hint="eastAsia" w:ascii="宋体" w:hAnsi="宋体"/>
          <w:i w:val="0"/>
          <w:color w:val="auto"/>
          <w:sz w:val="28"/>
          <w:szCs w:val="28"/>
        </w:rPr>
        <w:t>通用合同条款</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_Toc45007876 \h </w:instrText>
      </w:r>
      <w:r>
        <w:rPr>
          <w:rFonts w:ascii="宋体" w:hAnsi="宋体"/>
          <w:i w:val="0"/>
          <w:color w:val="auto"/>
          <w:sz w:val="28"/>
          <w:szCs w:val="28"/>
        </w:rPr>
        <w:fldChar w:fldCharType="separate"/>
      </w:r>
      <w:r>
        <w:rPr>
          <w:rFonts w:ascii="宋体" w:hAnsi="宋体"/>
          <w:i w:val="0"/>
          <w:color w:val="auto"/>
          <w:sz w:val="28"/>
          <w:szCs w:val="28"/>
        </w:rPr>
        <w:t>25</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"_Toc45007877"</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i w:val="0"/>
          <w:color w:val="auto"/>
          <w:sz w:val="28"/>
          <w:szCs w:val="28"/>
        </w:rPr>
        <w:t>第三部分</w:t>
      </w:r>
      <w:r>
        <w:rPr>
          <w:rStyle w:val="45"/>
          <w:rFonts w:ascii="宋体" w:hAnsi="宋体"/>
          <w:i w:val="0"/>
          <w:color w:val="auto"/>
          <w:sz w:val="28"/>
          <w:szCs w:val="28"/>
        </w:rPr>
        <w:t xml:space="preserve"> </w:t>
      </w:r>
      <w:r>
        <w:rPr>
          <w:rStyle w:val="45"/>
          <w:rFonts w:hint="eastAsia" w:ascii="宋体" w:hAnsi="宋体"/>
          <w:i w:val="0"/>
          <w:color w:val="auto"/>
          <w:sz w:val="28"/>
          <w:szCs w:val="28"/>
        </w:rPr>
        <w:t>专用合同条款</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_Toc45007877 \h </w:instrText>
      </w:r>
      <w:r>
        <w:rPr>
          <w:rFonts w:ascii="宋体" w:hAnsi="宋体"/>
          <w:i w:val="0"/>
          <w:color w:val="auto"/>
          <w:sz w:val="28"/>
          <w:szCs w:val="28"/>
        </w:rPr>
        <w:fldChar w:fldCharType="separate"/>
      </w:r>
      <w:r>
        <w:rPr>
          <w:rFonts w:ascii="宋体" w:hAnsi="宋体"/>
          <w:i w:val="0"/>
          <w:color w:val="auto"/>
          <w:sz w:val="28"/>
          <w:szCs w:val="28"/>
        </w:rPr>
        <w:t>25</w:t>
      </w:r>
      <w:r>
        <w:rPr>
          <w:rFonts w:ascii="宋体" w:hAnsi="宋体"/>
          <w:i w:val="0"/>
          <w:color w:val="auto"/>
          <w:sz w:val="28"/>
          <w:szCs w:val="28"/>
        </w:rPr>
        <w:fldChar w:fldCharType="end"/>
      </w:r>
      <w:r>
        <w:rPr>
          <w:rFonts w:ascii="宋体" w:hAnsi="宋体"/>
          <w:i w:val="0"/>
          <w:color w:val="auto"/>
          <w:sz w:val="28"/>
          <w:szCs w:val="28"/>
        </w:rPr>
        <w:fldChar w:fldCharType="end"/>
      </w:r>
    </w:p>
    <w:p>
      <w:pPr>
        <w:pStyle w:val="21"/>
        <w:tabs>
          <w:tab w:val="right" w:leader="dot" w:pos="9737"/>
        </w:tabs>
        <w:spacing w:line="600" w:lineRule="exact"/>
        <w:rPr>
          <w:rFonts w:ascii="宋体" w:hAnsi="宋体"/>
          <w:i w:val="0"/>
          <w:iCs w:val="0"/>
          <w:color w:val="auto"/>
          <w:kern w:val="2"/>
          <w:sz w:val="28"/>
          <w:szCs w:val="28"/>
          <w:u w:val="none" w:color="auto"/>
        </w:rPr>
      </w:pPr>
      <w:r>
        <w:rPr>
          <w:rFonts w:ascii="宋体" w:hAnsi="宋体"/>
          <w:i w:val="0"/>
          <w:color w:val="auto"/>
          <w:sz w:val="28"/>
          <w:szCs w:val="28"/>
        </w:rPr>
        <w:fldChar w:fldCharType="begin"/>
      </w:r>
      <w:r>
        <w:rPr>
          <w:rStyle w:val="45"/>
          <w:rFonts w:ascii="宋体" w:hAnsi="宋体"/>
          <w:i w:val="0"/>
          <w:color w:val="auto"/>
          <w:sz w:val="28"/>
          <w:szCs w:val="28"/>
        </w:rPr>
        <w:instrText xml:space="preserve"> </w:instrText>
      </w:r>
      <w:r>
        <w:rPr>
          <w:rFonts w:ascii="宋体" w:hAnsi="宋体"/>
          <w:i w:val="0"/>
          <w:color w:val="auto"/>
          <w:sz w:val="28"/>
          <w:szCs w:val="28"/>
        </w:rPr>
        <w:instrText xml:space="preserve">HYPERLINK \l "_Toc45007878"</w:instrText>
      </w:r>
      <w:r>
        <w:rPr>
          <w:rStyle w:val="45"/>
          <w:rFonts w:ascii="宋体" w:hAnsi="宋体"/>
          <w:i w:val="0"/>
          <w:color w:val="auto"/>
          <w:sz w:val="28"/>
          <w:szCs w:val="28"/>
        </w:rPr>
        <w:instrText xml:space="preserve"> </w:instrText>
      </w:r>
      <w:r>
        <w:rPr>
          <w:rFonts w:ascii="宋体" w:hAnsi="宋体"/>
          <w:i w:val="0"/>
          <w:color w:val="auto"/>
          <w:sz w:val="28"/>
          <w:szCs w:val="28"/>
        </w:rPr>
        <w:fldChar w:fldCharType="separate"/>
      </w:r>
      <w:r>
        <w:rPr>
          <w:rStyle w:val="45"/>
          <w:rFonts w:hint="eastAsia" w:ascii="宋体" w:hAnsi="宋体"/>
          <w:b/>
          <w:i w:val="0"/>
          <w:color w:val="auto"/>
          <w:sz w:val="28"/>
          <w:szCs w:val="28"/>
        </w:rPr>
        <w:t>第四章</w:t>
      </w:r>
      <w:r>
        <w:rPr>
          <w:rStyle w:val="45"/>
          <w:rFonts w:ascii="宋体" w:hAnsi="宋体"/>
          <w:b/>
          <w:i w:val="0"/>
          <w:color w:val="auto"/>
          <w:sz w:val="28"/>
          <w:szCs w:val="28"/>
        </w:rPr>
        <w:t xml:space="preserve">   </w:t>
      </w:r>
      <w:r>
        <w:rPr>
          <w:rStyle w:val="45"/>
          <w:rFonts w:hint="eastAsia" w:ascii="宋体" w:hAnsi="宋体"/>
          <w:b/>
          <w:i w:val="0"/>
          <w:color w:val="auto"/>
          <w:sz w:val="28"/>
          <w:szCs w:val="28"/>
        </w:rPr>
        <w:t>响应文件格式</w:t>
      </w:r>
      <w:r>
        <w:rPr>
          <w:rFonts w:ascii="宋体" w:hAnsi="宋体"/>
          <w:i w:val="0"/>
          <w:color w:val="auto"/>
          <w:sz w:val="28"/>
          <w:szCs w:val="28"/>
        </w:rPr>
        <w:tab/>
      </w:r>
      <w:r>
        <w:rPr>
          <w:rFonts w:ascii="宋体" w:hAnsi="宋体"/>
          <w:i w:val="0"/>
          <w:color w:val="auto"/>
          <w:sz w:val="28"/>
          <w:szCs w:val="28"/>
        </w:rPr>
        <w:fldChar w:fldCharType="begin"/>
      </w:r>
      <w:r>
        <w:rPr>
          <w:rFonts w:ascii="宋体" w:hAnsi="宋体"/>
          <w:i w:val="0"/>
          <w:color w:val="auto"/>
          <w:sz w:val="28"/>
          <w:szCs w:val="28"/>
        </w:rPr>
        <w:instrText xml:space="preserve"> PAGEREF _Toc45007878 \h </w:instrText>
      </w:r>
      <w:r>
        <w:rPr>
          <w:rFonts w:ascii="宋体" w:hAnsi="宋体"/>
          <w:i w:val="0"/>
          <w:color w:val="auto"/>
          <w:sz w:val="28"/>
          <w:szCs w:val="28"/>
        </w:rPr>
        <w:fldChar w:fldCharType="separate"/>
      </w:r>
      <w:r>
        <w:rPr>
          <w:rFonts w:ascii="宋体" w:hAnsi="宋体"/>
          <w:i w:val="0"/>
          <w:color w:val="auto"/>
          <w:sz w:val="28"/>
          <w:szCs w:val="28"/>
        </w:rPr>
        <w:t>39</w:t>
      </w:r>
      <w:r>
        <w:rPr>
          <w:rFonts w:ascii="宋体" w:hAnsi="宋体"/>
          <w:i w:val="0"/>
          <w:color w:val="auto"/>
          <w:sz w:val="28"/>
          <w:szCs w:val="28"/>
        </w:rPr>
        <w:fldChar w:fldCharType="end"/>
      </w:r>
      <w:r>
        <w:rPr>
          <w:rFonts w:ascii="宋体" w:hAnsi="宋体"/>
          <w:i w:val="0"/>
          <w:color w:val="auto"/>
          <w:sz w:val="28"/>
          <w:szCs w:val="28"/>
        </w:rPr>
        <w:fldChar w:fldCharType="end"/>
      </w:r>
    </w:p>
    <w:p>
      <w:pPr>
        <w:adjustRightInd w:val="0"/>
        <w:spacing w:line="600" w:lineRule="exact"/>
        <w:jc w:val="center"/>
        <w:rPr>
          <w:rFonts w:hint="eastAsia" w:ascii="宋体" w:hAnsi="宋体"/>
          <w:color w:val="auto"/>
          <w:szCs w:val="21"/>
        </w:rPr>
      </w:pPr>
      <w:r>
        <w:rPr>
          <w:rFonts w:hint="eastAsia" w:ascii="宋体" w:hAnsi="宋体" w:cs="华文楷体"/>
          <w:color w:val="auto"/>
          <w:sz w:val="28"/>
          <w:szCs w:val="28"/>
        </w:rPr>
        <w:fldChar w:fldCharType="end"/>
      </w:r>
    </w:p>
    <w:p>
      <w:pPr>
        <w:adjustRightInd w:val="0"/>
        <w:spacing w:line="520" w:lineRule="exact"/>
        <w:jc w:val="center"/>
        <w:rPr>
          <w:rFonts w:hint="eastAsia" w:ascii="宋体" w:hAnsi="宋体"/>
          <w:color w:val="auto"/>
          <w:szCs w:val="21"/>
        </w:rPr>
      </w:pPr>
    </w:p>
    <w:p>
      <w:pPr>
        <w:adjustRightInd w:val="0"/>
        <w:spacing w:line="520" w:lineRule="exact"/>
        <w:jc w:val="center"/>
        <w:rPr>
          <w:rFonts w:hint="eastAsia" w:ascii="宋体" w:hAnsi="宋体"/>
          <w:color w:val="auto"/>
          <w:szCs w:val="21"/>
        </w:rPr>
      </w:pPr>
    </w:p>
    <w:p>
      <w:pPr>
        <w:adjustRightInd w:val="0"/>
        <w:spacing w:line="520" w:lineRule="exact"/>
        <w:jc w:val="center"/>
        <w:rPr>
          <w:rFonts w:hint="eastAsia" w:ascii="宋体" w:hAnsi="宋体"/>
          <w:color w:val="auto"/>
          <w:szCs w:val="21"/>
        </w:rPr>
      </w:pPr>
    </w:p>
    <w:p>
      <w:pPr>
        <w:adjustRightInd w:val="0"/>
        <w:spacing w:line="520" w:lineRule="exact"/>
        <w:jc w:val="center"/>
        <w:rPr>
          <w:rFonts w:hint="eastAsia" w:ascii="宋体" w:hAnsi="宋体"/>
          <w:color w:val="auto"/>
          <w:szCs w:val="21"/>
        </w:rPr>
      </w:pPr>
    </w:p>
    <w:p>
      <w:pPr>
        <w:adjustRightInd w:val="0"/>
        <w:spacing w:line="520" w:lineRule="exact"/>
        <w:jc w:val="center"/>
        <w:rPr>
          <w:rFonts w:hint="eastAsia" w:ascii="宋体" w:hAnsi="宋体"/>
          <w:color w:val="auto"/>
          <w:szCs w:val="21"/>
        </w:rPr>
      </w:pPr>
    </w:p>
    <w:p>
      <w:pPr>
        <w:adjustRightInd w:val="0"/>
        <w:spacing w:line="520" w:lineRule="exact"/>
        <w:jc w:val="center"/>
        <w:rPr>
          <w:rFonts w:hint="eastAsia" w:ascii="宋体" w:hAnsi="宋体"/>
          <w:color w:val="auto"/>
          <w:szCs w:val="21"/>
        </w:rPr>
      </w:pPr>
    </w:p>
    <w:p>
      <w:pPr>
        <w:spacing w:line="360" w:lineRule="exact"/>
        <w:jc w:val="center"/>
        <w:rPr>
          <w:rFonts w:hint="eastAsia" w:ascii="宋体" w:hAnsi="宋体" w:cs="Courier New"/>
          <w:b/>
          <w:bCs/>
          <w:caps/>
          <w:color w:val="auto"/>
          <w:sz w:val="30"/>
          <w:szCs w:val="30"/>
          <w:lang w:eastAsia="zh-CN"/>
        </w:rPr>
      </w:pPr>
      <w:bookmarkStart w:id="0" w:name="OLE_LINK1"/>
      <w:bookmarkStart w:id="1" w:name="_Toc113257796"/>
      <w:bookmarkStart w:id="2" w:name="_Toc113258055"/>
      <w:r>
        <w:rPr>
          <w:rFonts w:hint="eastAsia" w:ascii="宋体" w:hAnsi="宋体" w:cs="Courier New"/>
          <w:b/>
          <w:bCs/>
          <w:caps/>
          <w:color w:val="auto"/>
          <w:sz w:val="30"/>
          <w:szCs w:val="30"/>
          <w:lang w:eastAsia="zh-CN"/>
        </w:rPr>
        <w:t>广西建坤工程咨询有限公司</w:t>
      </w:r>
    </w:p>
    <w:p>
      <w:pPr>
        <w:spacing w:line="360" w:lineRule="exact"/>
        <w:jc w:val="center"/>
        <w:rPr>
          <w:rFonts w:hint="eastAsia" w:ascii="宋体" w:hAnsi="宋体"/>
          <w:b/>
          <w:color w:val="auto"/>
          <w:sz w:val="28"/>
          <w:szCs w:val="28"/>
          <w:lang w:eastAsia="zh-CN"/>
        </w:rPr>
      </w:pPr>
      <w:r>
        <w:rPr>
          <w:rFonts w:hint="eastAsia" w:ascii="宋体" w:hAnsi="宋体"/>
          <w:b/>
          <w:color w:val="auto"/>
          <w:sz w:val="28"/>
          <w:szCs w:val="28"/>
          <w:lang w:eastAsia="zh-CN"/>
        </w:rPr>
        <w:t>博白县九洲江流域（第一批）农村生活污水处理项目-宁潭镇新榕村</w:t>
      </w:r>
    </w:p>
    <w:p>
      <w:pPr>
        <w:spacing w:line="360" w:lineRule="exact"/>
        <w:jc w:val="center"/>
        <w:rPr>
          <w:rFonts w:hint="eastAsia" w:ascii="宋体" w:hAnsi="宋体" w:eastAsia="宋体"/>
          <w:b/>
          <w:color w:val="auto"/>
          <w:sz w:val="28"/>
          <w:szCs w:val="28"/>
          <w:lang w:eastAsia="zh-CN"/>
        </w:rPr>
      </w:pPr>
      <w:r>
        <w:rPr>
          <w:rFonts w:hint="eastAsia" w:ascii="宋体" w:hAnsi="宋体"/>
          <w:b/>
          <w:color w:val="auto"/>
          <w:sz w:val="28"/>
          <w:szCs w:val="28"/>
          <w:lang w:eastAsia="zh-CN"/>
        </w:rPr>
        <w:t>（官塘背、下低村、下岭队）工程</w:t>
      </w:r>
    </w:p>
    <w:p>
      <w:pPr>
        <w:spacing w:line="360" w:lineRule="exact"/>
        <w:jc w:val="center"/>
        <w:rPr>
          <w:rFonts w:hint="eastAsia"/>
          <w:b/>
          <w:bCs w:val="0"/>
          <w:sz w:val="28"/>
          <w:szCs w:val="28"/>
        </w:rPr>
      </w:pPr>
      <w:r>
        <w:rPr>
          <w:rFonts w:hint="eastAsia" w:ascii="宋体" w:hAnsi="宋体"/>
          <w:b/>
          <w:color w:val="auto"/>
          <w:sz w:val="28"/>
          <w:szCs w:val="28"/>
        </w:rPr>
        <w:t>（项目编号：YLZC2020-C2-</w:t>
      </w:r>
      <w:r>
        <w:rPr>
          <w:rFonts w:hint="eastAsia" w:ascii="宋体" w:hAnsi="宋体"/>
          <w:b/>
          <w:color w:val="auto"/>
          <w:sz w:val="28"/>
          <w:szCs w:val="28"/>
          <w:lang w:val="en-US" w:eastAsia="zh-CN"/>
        </w:rPr>
        <w:t>230235</w:t>
      </w:r>
      <w:r>
        <w:rPr>
          <w:rFonts w:hint="eastAsia" w:ascii="宋体" w:hAnsi="宋体"/>
          <w:b/>
          <w:color w:val="auto"/>
          <w:sz w:val="28"/>
          <w:szCs w:val="28"/>
        </w:rPr>
        <w:t>-</w:t>
      </w:r>
      <w:r>
        <w:rPr>
          <w:rFonts w:hint="eastAsia" w:ascii="宋体" w:hAnsi="宋体"/>
          <w:b/>
          <w:color w:val="auto"/>
          <w:sz w:val="28"/>
          <w:szCs w:val="28"/>
          <w:lang w:val="en-US" w:eastAsia="zh-CN"/>
        </w:rPr>
        <w:t>GXJK</w:t>
      </w:r>
      <w:r>
        <w:rPr>
          <w:rFonts w:hint="eastAsia" w:ascii="宋体" w:hAnsi="宋体"/>
          <w:b/>
          <w:bCs w:val="0"/>
          <w:color w:val="auto"/>
          <w:sz w:val="28"/>
          <w:szCs w:val="28"/>
        </w:rPr>
        <w:t>）</w:t>
      </w:r>
      <w:bookmarkStart w:id="3" w:name="_Toc45007863"/>
      <w:r>
        <w:rPr>
          <w:rFonts w:hint="eastAsia"/>
          <w:b/>
          <w:bCs w:val="0"/>
          <w:sz w:val="28"/>
          <w:szCs w:val="28"/>
        </w:rPr>
        <w:t>竞争性磋商公告</w:t>
      </w:r>
      <w:bookmarkEnd w:id="3"/>
    </w:p>
    <w:p>
      <w:pPr>
        <w:spacing w:line="360" w:lineRule="exact"/>
        <w:jc w:val="center"/>
        <w:rPr>
          <w:rFonts w:hint="eastAsia"/>
          <w:b/>
          <w:bCs w:val="0"/>
          <w:sz w:val="28"/>
          <w:szCs w:val="28"/>
        </w:rPr>
      </w:pPr>
    </w:p>
    <w:bookmarkEnd w:id="0"/>
    <w:bookmarkEnd w:id="1"/>
    <w:bookmarkEnd w:id="2"/>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9854" w:type="dxa"/>
            <w:noWrap w:val="0"/>
            <w:vAlign w:val="top"/>
          </w:tcPr>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项目概况</w:t>
            </w:r>
          </w:p>
          <w:p>
            <w:pPr>
              <w:spacing w:line="400" w:lineRule="exact"/>
              <w:ind w:firstLine="210" w:firstLineChars="100"/>
              <w:rPr>
                <w:rFonts w:ascii="宋体" w:hAnsi="宋体"/>
                <w:color w:val="auto"/>
                <w:szCs w:val="21"/>
              </w:rPr>
            </w:pPr>
            <w:r>
              <w:rPr>
                <w:rFonts w:hint="eastAsia" w:ascii="宋体" w:hAnsi="宋体" w:cs="宋体"/>
                <w:color w:val="auto"/>
                <w:szCs w:val="21"/>
                <w:u w:val="single"/>
              </w:rPr>
              <w:t>（</w:t>
            </w:r>
            <w:r>
              <w:rPr>
                <w:rFonts w:hint="eastAsia" w:ascii="宋体" w:hAnsi="宋体" w:cs="宋体"/>
                <w:color w:val="auto"/>
                <w:szCs w:val="21"/>
                <w:u w:val="single"/>
                <w:lang w:eastAsia="zh-CN"/>
              </w:rPr>
              <w:t>博白县九洲江流域（第一批）农村生活污水处理项目-宁潭镇新榕村（官塘背、下低村、下岭队）工程</w:t>
            </w:r>
            <w:r>
              <w:rPr>
                <w:rFonts w:ascii="宋体" w:hAnsi="宋体" w:cs="宋体"/>
                <w:color w:val="auto"/>
                <w:szCs w:val="21"/>
                <w:u w:val="single"/>
              </w:rPr>
              <w:t>）</w:t>
            </w:r>
            <w:r>
              <w:rPr>
                <w:rFonts w:hint="eastAsia" w:ascii="宋体" w:hAnsi="宋体" w:cs="宋体"/>
                <w:color w:val="auto"/>
                <w:szCs w:val="21"/>
              </w:rPr>
              <w:t>采购项目的潜在供应商应在政府采购云平台（</w:t>
            </w:r>
            <w:r>
              <w:rPr>
                <w:rFonts w:ascii="宋体" w:hAnsi="宋体" w:cs="宋体"/>
                <w:bCs/>
                <w:color w:val="auto"/>
                <w:szCs w:val="21"/>
              </w:rPr>
              <w:t>http://https--www--zcygov--cn.90087.cn/</w:t>
            </w:r>
            <w:r>
              <w:rPr>
                <w:rFonts w:hint="eastAsia" w:ascii="宋体" w:hAnsi="宋体" w:cs="宋体"/>
                <w:color w:val="auto"/>
                <w:szCs w:val="21"/>
              </w:rPr>
              <w:t>）获取采购文件，并于</w:t>
            </w:r>
            <w:r>
              <w:rPr>
                <w:rFonts w:hint="eastAsia" w:ascii="宋体" w:hAnsi="宋体"/>
                <w:color w:val="auto"/>
                <w:szCs w:val="21"/>
                <w:u w:val="none" w:color="auto"/>
              </w:rPr>
              <w:t>2020年</w:t>
            </w:r>
            <w:r>
              <w:rPr>
                <w:rFonts w:hint="eastAsia" w:ascii="宋体" w:hAnsi="宋体"/>
                <w:color w:val="auto"/>
                <w:szCs w:val="21"/>
                <w:u w:val="none" w:color="auto"/>
                <w:lang w:val="en-US" w:eastAsia="zh-CN"/>
              </w:rPr>
              <w:t>12</w:t>
            </w:r>
            <w:r>
              <w:rPr>
                <w:rFonts w:hint="eastAsia" w:ascii="宋体" w:hAnsi="宋体"/>
                <w:color w:val="auto"/>
                <w:szCs w:val="21"/>
                <w:u w:val="none" w:color="auto"/>
              </w:rPr>
              <w:t>月</w:t>
            </w:r>
            <w:r>
              <w:rPr>
                <w:rFonts w:hint="eastAsia" w:ascii="宋体" w:hAnsi="宋体"/>
                <w:color w:val="auto"/>
                <w:szCs w:val="21"/>
                <w:u w:val="none" w:color="auto"/>
                <w:lang w:val="en-US" w:eastAsia="zh-CN"/>
              </w:rPr>
              <w:t>4</w:t>
            </w:r>
            <w:r>
              <w:rPr>
                <w:rFonts w:hint="eastAsia" w:ascii="宋体" w:hAnsi="宋体"/>
                <w:color w:val="auto"/>
                <w:szCs w:val="21"/>
                <w:u w:val="none" w:color="auto"/>
              </w:rPr>
              <w:t>日北京时间</w:t>
            </w:r>
            <w:r>
              <w:rPr>
                <w:rFonts w:hint="eastAsia" w:ascii="宋体" w:hAnsi="宋体"/>
                <w:color w:val="auto"/>
                <w:szCs w:val="21"/>
                <w:u w:val="none" w:color="auto"/>
                <w:lang w:val="en-US" w:eastAsia="zh-CN"/>
              </w:rPr>
              <w:t>10</w:t>
            </w:r>
            <w:r>
              <w:rPr>
                <w:rFonts w:hint="eastAsia" w:ascii="宋体" w:hAnsi="宋体"/>
                <w:color w:val="auto"/>
                <w:szCs w:val="21"/>
                <w:u w:val="none" w:color="auto"/>
              </w:rPr>
              <w:t>时</w:t>
            </w:r>
            <w:r>
              <w:rPr>
                <w:rFonts w:hint="eastAsia" w:ascii="宋体" w:hAnsi="宋体"/>
                <w:color w:val="auto"/>
                <w:szCs w:val="21"/>
                <w:u w:val="none" w:color="auto"/>
                <w:lang w:val="en-US" w:eastAsia="zh-CN"/>
              </w:rPr>
              <w:t>00</w:t>
            </w:r>
            <w:r>
              <w:rPr>
                <w:rFonts w:hint="eastAsia" w:ascii="宋体" w:hAnsi="宋体"/>
                <w:color w:val="auto"/>
                <w:szCs w:val="21"/>
                <w:u w:val="none" w:color="auto"/>
              </w:rPr>
              <w:t>分</w:t>
            </w:r>
            <w:r>
              <w:rPr>
                <w:rFonts w:hint="eastAsia" w:ascii="宋体" w:hAnsi="宋体" w:cs="宋体"/>
                <w:color w:val="auto"/>
                <w:szCs w:val="21"/>
              </w:rPr>
              <w:t>前提交响应文件。</w:t>
            </w:r>
          </w:p>
        </w:tc>
      </w:tr>
    </w:tbl>
    <w:p>
      <w:pPr>
        <w:pStyle w:val="22"/>
        <w:rPr>
          <w:rFonts w:hAnsi="宋体"/>
          <w:b/>
        </w:rPr>
      </w:pPr>
      <w:bookmarkStart w:id="4" w:name="_Toc28359012"/>
      <w:bookmarkStart w:id="5" w:name="_Toc35393798"/>
      <w:bookmarkStart w:id="6" w:name="_Toc35393629"/>
      <w:bookmarkStart w:id="7" w:name="_Toc28359089"/>
      <w:r>
        <w:rPr>
          <w:rFonts w:hint="eastAsia" w:hAnsi="宋体"/>
          <w:b/>
        </w:rPr>
        <w:t>一、项目基本情况</w:t>
      </w:r>
      <w:bookmarkEnd w:id="4"/>
      <w:bookmarkEnd w:id="5"/>
      <w:bookmarkEnd w:id="6"/>
      <w:bookmarkEnd w:id="7"/>
    </w:p>
    <w:p>
      <w:pPr>
        <w:spacing w:before="12" w:beforeLines="5" w:after="12" w:afterLines="5" w:line="400" w:lineRule="exact"/>
        <w:ind w:firstLine="422" w:firstLineChars="200"/>
        <w:jc w:val="left"/>
        <w:rPr>
          <w:rFonts w:hint="eastAsia" w:ascii="宋体" w:hAnsi="宋体" w:eastAsia="宋体" w:cs="宋体"/>
          <w:color w:val="auto"/>
          <w:szCs w:val="21"/>
        </w:rPr>
      </w:pPr>
      <w:r>
        <w:rPr>
          <w:rFonts w:hint="eastAsia" w:ascii="宋体" w:hAnsi="宋体" w:cs="宋体"/>
          <w:b/>
          <w:bCs/>
          <w:color w:val="auto"/>
          <w:szCs w:val="21"/>
        </w:rPr>
        <w:t>项目编号：</w:t>
      </w:r>
      <w:r>
        <w:rPr>
          <w:rFonts w:hint="eastAsia" w:ascii="宋体" w:hAnsi="宋体" w:eastAsia="宋体" w:cs="宋体"/>
          <w:i w:val="0"/>
          <w:caps w:val="0"/>
          <w:color w:val="333333"/>
          <w:spacing w:val="0"/>
          <w:sz w:val="21"/>
          <w:szCs w:val="21"/>
          <w:shd w:val="clear" w:fill="FFFFFF"/>
        </w:rPr>
        <w:t>YLZC2020-C2-23023</w:t>
      </w:r>
      <w:r>
        <w:rPr>
          <w:rFonts w:hint="eastAsia" w:ascii="宋体" w:hAnsi="宋体" w:cs="宋体"/>
          <w:i w:val="0"/>
          <w:caps w:val="0"/>
          <w:color w:val="333333"/>
          <w:spacing w:val="0"/>
          <w:sz w:val="21"/>
          <w:szCs w:val="21"/>
          <w:shd w:val="clear" w:fill="FFFFFF"/>
          <w:lang w:val="en-US" w:eastAsia="zh-CN"/>
        </w:rPr>
        <w:t>5</w:t>
      </w:r>
      <w:r>
        <w:rPr>
          <w:rFonts w:hint="eastAsia" w:ascii="宋体" w:hAnsi="宋体" w:eastAsia="宋体" w:cs="宋体"/>
          <w:i w:val="0"/>
          <w:caps w:val="0"/>
          <w:color w:val="333333"/>
          <w:spacing w:val="0"/>
          <w:sz w:val="21"/>
          <w:szCs w:val="21"/>
          <w:shd w:val="clear" w:fill="FFFFFF"/>
        </w:rPr>
        <w:t>-GXJK</w:t>
      </w:r>
    </w:p>
    <w:p>
      <w:pPr>
        <w:spacing w:before="12" w:beforeLines="5" w:after="12" w:afterLines="5" w:line="400" w:lineRule="exact"/>
        <w:ind w:firstLine="422" w:firstLineChars="200"/>
        <w:jc w:val="left"/>
        <w:rPr>
          <w:rFonts w:hint="default" w:ascii="宋体" w:hAnsi="宋体" w:eastAsia="宋体" w:cs="宋体"/>
          <w:color w:val="auto"/>
          <w:szCs w:val="21"/>
          <w:lang w:val="en-US" w:eastAsia="zh-CN"/>
        </w:rPr>
      </w:pPr>
      <w:r>
        <w:rPr>
          <w:rFonts w:hint="eastAsia" w:ascii="宋体" w:hAnsi="宋体" w:cs="宋体"/>
          <w:b/>
          <w:bCs/>
          <w:color w:val="auto"/>
          <w:szCs w:val="21"/>
          <w:lang w:val="en-US" w:eastAsia="zh-CN"/>
        </w:rPr>
        <w:t>采购计划文号</w:t>
      </w:r>
      <w:r>
        <w:rPr>
          <w:rFonts w:hint="eastAsia" w:ascii="宋体" w:hAnsi="宋体" w:cs="宋体"/>
          <w:color w:val="auto"/>
          <w:szCs w:val="21"/>
          <w:lang w:val="en-US" w:eastAsia="zh-CN"/>
        </w:rPr>
        <w:t>：</w:t>
      </w:r>
      <w:r>
        <w:rPr>
          <w:rFonts w:ascii="宋体" w:hAnsi="宋体" w:cs="宋体"/>
          <w:color w:val="auto"/>
          <w:szCs w:val="21"/>
        </w:rPr>
        <w:t>YLZC2020-C2-</w:t>
      </w:r>
      <w:r>
        <w:rPr>
          <w:rFonts w:hint="eastAsia" w:ascii="宋体" w:hAnsi="宋体" w:cs="宋体"/>
          <w:color w:val="auto"/>
          <w:szCs w:val="21"/>
          <w:lang w:val="en-US" w:eastAsia="zh-CN"/>
        </w:rPr>
        <w:t>63643</w:t>
      </w:r>
    </w:p>
    <w:p>
      <w:pPr>
        <w:spacing w:line="400" w:lineRule="exact"/>
        <w:ind w:left="1474" w:leftChars="200" w:hanging="1054" w:hangingChars="500"/>
        <w:rPr>
          <w:rFonts w:hint="eastAsia" w:ascii="宋体" w:hAnsi="宋体" w:eastAsia="宋体"/>
          <w:color w:val="auto"/>
          <w:szCs w:val="21"/>
          <w:u w:val="single"/>
          <w:lang w:eastAsia="zh-CN"/>
        </w:rPr>
      </w:pPr>
      <w:r>
        <w:rPr>
          <w:rFonts w:hint="eastAsia" w:ascii="宋体" w:hAnsi="宋体" w:cs="宋体"/>
          <w:b/>
          <w:bCs/>
          <w:color w:val="auto"/>
          <w:szCs w:val="21"/>
        </w:rPr>
        <w:t>项目名称：</w:t>
      </w:r>
      <w:r>
        <w:rPr>
          <w:rFonts w:hint="eastAsia" w:ascii="宋体" w:hAnsi="宋体" w:cs="Arial"/>
          <w:bCs/>
          <w:color w:val="auto"/>
          <w:szCs w:val="21"/>
          <w:lang w:eastAsia="zh-CN"/>
        </w:rPr>
        <w:t>博白县九洲江流域（第一批）农村生活污水处理项目-宁潭镇新榕村（官塘背、下低村、下岭队）工程</w:t>
      </w:r>
    </w:p>
    <w:p>
      <w:pPr>
        <w:spacing w:line="400" w:lineRule="exact"/>
        <w:ind w:firstLine="422" w:firstLineChars="200"/>
        <w:rPr>
          <w:rFonts w:ascii="宋体" w:hAnsi="宋体"/>
          <w:color w:val="auto"/>
          <w:szCs w:val="21"/>
        </w:rPr>
      </w:pPr>
      <w:r>
        <w:rPr>
          <w:rFonts w:hint="eastAsia" w:ascii="宋体" w:hAnsi="宋体"/>
          <w:b/>
          <w:color w:val="auto"/>
          <w:szCs w:val="21"/>
        </w:rPr>
        <w:t>采购方式：</w:t>
      </w:r>
      <w:r>
        <w:rPr>
          <w:rFonts w:hint="eastAsia" w:ascii="宋体" w:hAnsi="宋体" w:cs="宋体"/>
          <w:color w:val="auto"/>
          <w:szCs w:val="21"/>
        </w:rPr>
        <w:t xml:space="preserve">□竞争性谈判  </w:t>
      </w:r>
      <w:r>
        <w:rPr>
          <w:rFonts w:hint="eastAsia" w:ascii="宋体" w:hAnsi="宋体" w:cs="宋体"/>
          <w:color w:val="auto"/>
          <w:szCs w:val="21"/>
        </w:rPr>
        <w:sym w:font="Wingdings" w:char="F0FE"/>
      </w:r>
      <w:r>
        <w:rPr>
          <w:rFonts w:hint="eastAsia" w:ascii="宋体" w:hAnsi="宋体" w:cs="宋体"/>
          <w:color w:val="auto"/>
          <w:szCs w:val="21"/>
        </w:rPr>
        <w:t>竞争性磋商  □询价</w:t>
      </w:r>
    </w:p>
    <w:p>
      <w:pPr>
        <w:spacing w:line="400" w:lineRule="exact"/>
        <w:ind w:firstLine="422" w:firstLineChars="200"/>
        <w:rPr>
          <w:rFonts w:ascii="宋体" w:hAnsi="宋体"/>
          <w:color w:val="auto"/>
          <w:szCs w:val="21"/>
        </w:rPr>
      </w:pPr>
      <w:r>
        <w:rPr>
          <w:rFonts w:hint="eastAsia" w:ascii="宋体" w:hAnsi="宋体"/>
          <w:b/>
          <w:color w:val="auto"/>
          <w:szCs w:val="21"/>
        </w:rPr>
        <w:t>预算金额：</w:t>
      </w:r>
      <w:r>
        <w:rPr>
          <w:rFonts w:hint="eastAsia" w:ascii="宋体" w:hAnsi="宋体" w:cs="宋体"/>
          <w:color w:val="auto"/>
          <w:szCs w:val="21"/>
        </w:rPr>
        <w:t>人</w:t>
      </w:r>
      <w:r>
        <w:rPr>
          <w:rFonts w:hint="eastAsia" w:ascii="宋体" w:hAnsi="宋体"/>
          <w:bCs/>
          <w:color w:val="auto"/>
          <w:szCs w:val="21"/>
        </w:rPr>
        <w:t>民币</w:t>
      </w:r>
      <w:r>
        <w:rPr>
          <w:rFonts w:hint="eastAsia" w:ascii="宋体" w:hAnsi="宋体"/>
          <w:bCs/>
          <w:color w:val="auto"/>
          <w:szCs w:val="21"/>
          <w:lang w:eastAsia="zh-CN"/>
        </w:rPr>
        <w:t>玖拾肆万叁仟捌佰贰拾伍元玖角贰分</w:t>
      </w:r>
      <w:r>
        <w:rPr>
          <w:rFonts w:hint="eastAsia" w:ascii="宋体" w:hAnsi="宋体"/>
          <w:bCs/>
          <w:color w:val="auto"/>
          <w:szCs w:val="21"/>
        </w:rPr>
        <w:t>（¥</w:t>
      </w:r>
      <w:r>
        <w:rPr>
          <w:rFonts w:hint="eastAsia" w:ascii="宋体" w:hAnsi="宋体"/>
          <w:bCs/>
          <w:color w:val="auto"/>
          <w:szCs w:val="21"/>
          <w:lang w:val="en-US" w:eastAsia="zh-CN"/>
        </w:rPr>
        <w:t>943825.92</w:t>
      </w:r>
      <w:r>
        <w:rPr>
          <w:rFonts w:hint="eastAsia" w:ascii="宋体" w:hAnsi="宋体"/>
          <w:bCs/>
          <w:color w:val="auto"/>
          <w:szCs w:val="21"/>
        </w:rPr>
        <w:t>）</w:t>
      </w:r>
    </w:p>
    <w:p>
      <w:pPr>
        <w:spacing w:line="400" w:lineRule="exact"/>
        <w:ind w:left="1494" w:leftChars="200" w:hanging="1074" w:hangingChars="500"/>
        <w:rPr>
          <w:rFonts w:hint="eastAsia" w:ascii="宋体" w:hAnsi="宋体" w:cs="Courier New"/>
          <w:color w:val="auto"/>
          <w:spacing w:val="2"/>
          <w:szCs w:val="21"/>
        </w:rPr>
      </w:pPr>
      <w:r>
        <w:rPr>
          <w:rFonts w:hint="eastAsia" w:ascii="宋体" w:hAnsi="宋体" w:cs="Courier New"/>
          <w:b/>
          <w:color w:val="auto"/>
          <w:spacing w:val="2"/>
          <w:szCs w:val="21"/>
        </w:rPr>
        <w:t>采购需求：</w:t>
      </w:r>
      <w:r>
        <w:rPr>
          <w:rFonts w:hint="eastAsia" w:ascii="宋体" w:hAnsi="宋体" w:cs="Arial"/>
          <w:bCs/>
          <w:color w:val="auto"/>
          <w:szCs w:val="21"/>
          <w:lang w:eastAsia="zh-CN"/>
        </w:rPr>
        <w:t>原有100m沟渠清淤、新建150m沟渠、新建3450.75m2污水处理站等</w:t>
      </w:r>
      <w:r>
        <w:rPr>
          <w:rFonts w:hint="eastAsia" w:ascii="宋体" w:hAnsi="宋体" w:cs="Courier New"/>
          <w:color w:val="auto"/>
          <w:spacing w:val="2"/>
          <w:szCs w:val="21"/>
        </w:rPr>
        <w:t>，具体内容以施工图纸、工程量清单所包含的内容及建设单位通知为准；如需进一步了解详细内容，详见竞争性磋商采购文件。</w:t>
      </w:r>
    </w:p>
    <w:p>
      <w:pPr>
        <w:spacing w:line="400" w:lineRule="exact"/>
        <w:ind w:firstLine="430" w:firstLineChars="200"/>
        <w:rPr>
          <w:rFonts w:ascii="宋体" w:hAnsi="宋体" w:cs="Courier New"/>
          <w:color w:val="auto"/>
          <w:spacing w:val="2"/>
          <w:szCs w:val="21"/>
          <w:u w:val="none" w:color="auto"/>
        </w:rPr>
      </w:pPr>
      <w:r>
        <w:rPr>
          <w:rFonts w:hint="eastAsia" w:ascii="宋体" w:hAnsi="宋体" w:cs="Courier New"/>
          <w:b/>
          <w:color w:val="auto"/>
          <w:spacing w:val="2"/>
          <w:szCs w:val="21"/>
        </w:rPr>
        <w:t>合同履行期限：</w:t>
      </w:r>
      <w:r>
        <w:rPr>
          <w:rFonts w:hint="eastAsia" w:ascii="宋体" w:hAnsi="宋体" w:cs="Courier New"/>
          <w:color w:val="auto"/>
          <w:spacing w:val="2"/>
          <w:szCs w:val="21"/>
          <w:u w:val="none" w:color="auto"/>
          <w:lang w:eastAsia="zh-CN"/>
        </w:rPr>
        <w:t>（</w:t>
      </w:r>
      <w:r>
        <w:rPr>
          <w:rFonts w:hint="eastAsia" w:ascii="宋体" w:hAnsi="宋体" w:cs="Courier New"/>
          <w:color w:val="auto"/>
          <w:spacing w:val="2"/>
          <w:szCs w:val="21"/>
          <w:u w:val="none" w:color="auto"/>
        </w:rPr>
        <w:t>工期</w:t>
      </w:r>
      <w:r>
        <w:rPr>
          <w:rFonts w:hint="eastAsia" w:ascii="宋体" w:hAnsi="宋体" w:cs="Courier New"/>
          <w:color w:val="auto"/>
          <w:spacing w:val="2"/>
          <w:szCs w:val="21"/>
          <w:u w:val="none" w:color="auto"/>
          <w:lang w:eastAsia="zh-CN"/>
        </w:rPr>
        <w:t>）</w:t>
      </w:r>
      <w:r>
        <w:rPr>
          <w:rFonts w:hint="eastAsia" w:ascii="宋体" w:hAnsi="宋体" w:cs="Courier New"/>
          <w:color w:val="auto"/>
          <w:spacing w:val="2"/>
          <w:szCs w:val="21"/>
          <w:u w:val="none" w:color="auto"/>
          <w:lang w:val="en-US" w:eastAsia="zh-CN"/>
        </w:rPr>
        <w:t>60</w:t>
      </w:r>
      <w:r>
        <w:rPr>
          <w:rFonts w:hint="eastAsia" w:ascii="宋体" w:hAnsi="宋体" w:cs="Courier New"/>
          <w:color w:val="auto"/>
          <w:spacing w:val="2"/>
          <w:szCs w:val="21"/>
          <w:u w:val="none" w:color="auto"/>
        </w:rPr>
        <w:t>日历天</w:t>
      </w:r>
    </w:p>
    <w:p>
      <w:pPr>
        <w:spacing w:line="40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本项目不接受联合体。</w:t>
      </w:r>
    </w:p>
    <w:p>
      <w:pPr>
        <w:spacing w:before="12" w:beforeLines="5" w:after="12" w:afterLines="5" w:line="400" w:lineRule="exact"/>
        <w:jc w:val="left"/>
        <w:rPr>
          <w:rFonts w:ascii="宋体" w:hAnsi="宋体" w:cs="宋体"/>
          <w:b/>
          <w:color w:val="auto"/>
          <w:szCs w:val="21"/>
        </w:rPr>
      </w:pPr>
      <w:bookmarkStart w:id="8" w:name="_Toc35393799"/>
      <w:bookmarkStart w:id="9" w:name="_Toc28359013"/>
      <w:bookmarkStart w:id="10" w:name="_Toc28359090"/>
      <w:bookmarkStart w:id="11" w:name="_Toc35393630"/>
      <w:r>
        <w:rPr>
          <w:rFonts w:hint="eastAsia" w:ascii="宋体" w:hAnsi="宋体" w:cs="宋体"/>
          <w:b/>
          <w:color w:val="auto"/>
          <w:szCs w:val="21"/>
        </w:rPr>
        <w:t>二、申请人的资格要求：</w:t>
      </w:r>
      <w:bookmarkEnd w:id="8"/>
      <w:bookmarkEnd w:id="9"/>
      <w:bookmarkEnd w:id="10"/>
      <w:bookmarkEnd w:id="11"/>
    </w:p>
    <w:p>
      <w:pPr>
        <w:spacing w:before="12" w:beforeLines="5" w:after="12" w:afterLines="5" w:line="400" w:lineRule="exact"/>
        <w:ind w:firstLine="420" w:firstLineChars="200"/>
        <w:jc w:val="left"/>
        <w:rPr>
          <w:rFonts w:hint="eastAsia" w:ascii="宋体" w:hAnsi="宋体" w:cs="宋体"/>
          <w:bCs/>
          <w:color w:val="auto"/>
          <w:szCs w:val="21"/>
        </w:rPr>
      </w:pPr>
      <w:bookmarkStart w:id="12" w:name="_Toc28359014"/>
      <w:bookmarkStart w:id="13" w:name="_Toc35393631"/>
      <w:bookmarkStart w:id="14" w:name="_Toc35393800"/>
      <w:bookmarkStart w:id="15" w:name="_Toc28359091"/>
      <w:r>
        <w:rPr>
          <w:rFonts w:hint="eastAsia" w:ascii="宋体" w:hAnsi="宋体" w:cs="宋体"/>
          <w:bCs/>
          <w:color w:val="auto"/>
          <w:szCs w:val="21"/>
        </w:rPr>
        <w:t>1、满足《中华人民共和国政府采购法》第二十二条规定条件，并</w:t>
      </w:r>
      <w:r>
        <w:rPr>
          <w:rFonts w:hint="eastAsia" w:ascii="宋体" w:hAnsi="宋体" w:cs="宋体"/>
          <w:color w:val="auto"/>
          <w:szCs w:val="21"/>
        </w:rPr>
        <w:t>具备国内独立法人资格</w:t>
      </w:r>
      <w:r>
        <w:rPr>
          <w:rFonts w:hint="eastAsia" w:ascii="宋体" w:hAnsi="宋体" w:cs="宋体"/>
          <w:bCs/>
          <w:color w:val="auto"/>
          <w:szCs w:val="21"/>
        </w:rPr>
        <w:t>的供应商；</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2.落实政府采购政策需满足的资格要求：</w:t>
      </w:r>
      <w:r>
        <w:rPr>
          <w:rFonts w:hint="eastAsia" w:ascii="宋体" w:hAnsi="宋体" w:cs="宋体"/>
          <w:bCs/>
          <w:color w:val="auto"/>
          <w:szCs w:val="21"/>
          <w:u w:val="single"/>
        </w:rPr>
        <w:t>无</w:t>
      </w:r>
      <w:r>
        <w:rPr>
          <w:rFonts w:hint="eastAsia" w:ascii="宋体" w:hAnsi="宋体" w:cs="宋体"/>
          <w:bCs/>
          <w:color w:val="auto"/>
          <w:szCs w:val="21"/>
        </w:rPr>
        <w:t>；</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3.本项目的特定资格要求：</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3.1</w:t>
      </w:r>
      <w:r>
        <w:rPr>
          <w:rFonts w:hint="eastAsia" w:ascii="宋体" w:hAnsi="宋体" w:cs="宋体"/>
          <w:b w:val="0"/>
          <w:bCs/>
          <w:color w:val="auto"/>
          <w:szCs w:val="21"/>
          <w:u w:val="single" w:color="auto"/>
        </w:rPr>
        <w:t>市政公用工程施工总承包叁级以上（含叁级）资质</w:t>
      </w:r>
      <w:r>
        <w:rPr>
          <w:rFonts w:hint="eastAsia" w:ascii="宋体" w:hAnsi="宋体" w:cs="宋体"/>
          <w:bCs/>
          <w:color w:val="auto"/>
          <w:szCs w:val="21"/>
          <w:lang w:eastAsia="zh-CN"/>
        </w:rPr>
        <w:t>，</w:t>
      </w:r>
      <w:r>
        <w:rPr>
          <w:rFonts w:hint="eastAsia" w:ascii="宋体" w:hAnsi="宋体" w:cs="宋体"/>
          <w:bCs/>
          <w:color w:val="auto"/>
          <w:szCs w:val="21"/>
          <w:u w:val="single"/>
        </w:rPr>
        <w:t>建设主管部门颁发的建设施工企业安全生产许可证，并在人员、设备、资金等方面具备相应施工能力的施工企业</w:t>
      </w:r>
      <w:r>
        <w:rPr>
          <w:rFonts w:hint="eastAsia" w:ascii="宋体" w:hAnsi="宋体" w:cs="宋体"/>
          <w:bCs/>
          <w:color w:val="auto"/>
          <w:szCs w:val="21"/>
        </w:rPr>
        <w:t>；</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3.2拟投入的</w:t>
      </w:r>
      <w:r>
        <w:rPr>
          <w:rFonts w:hint="eastAsia" w:ascii="宋体" w:hAnsi="宋体" w:cs="宋体"/>
          <w:bCs/>
          <w:color w:val="auto"/>
          <w:szCs w:val="21"/>
          <w:u w:val="single" w:color="auto"/>
        </w:rPr>
        <w:t>项目经理必须具有</w:t>
      </w:r>
      <w:r>
        <w:rPr>
          <w:rFonts w:hint="eastAsia" w:ascii="宋体" w:hAnsi="宋体" w:cs="宋体"/>
          <w:color w:val="auto"/>
          <w:szCs w:val="21"/>
          <w:u w:val="single" w:color="auto"/>
          <w:lang w:eastAsia="zh-CN"/>
        </w:rPr>
        <w:t>市政</w:t>
      </w:r>
      <w:r>
        <w:rPr>
          <w:rFonts w:hint="eastAsia" w:ascii="宋体" w:hAnsi="宋体" w:cs="宋体"/>
          <w:color w:val="auto"/>
          <w:szCs w:val="21"/>
          <w:u w:val="single" w:color="auto"/>
        </w:rPr>
        <w:t>工程专业贰级以上（含贰级）注册建造师资格，并具备有效的安全生产考核合格证书（B证），且未担任其他在建工程项目的项目经理</w:t>
      </w:r>
      <w:r>
        <w:rPr>
          <w:rFonts w:hint="eastAsia" w:ascii="宋体" w:hAnsi="宋体" w:cs="宋体"/>
          <w:color w:val="auto"/>
          <w:szCs w:val="21"/>
        </w:rPr>
        <w:t>；</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before="12" w:beforeLines="5" w:after="12" w:afterLines="5" w:line="400" w:lineRule="exact"/>
        <w:jc w:val="left"/>
        <w:rPr>
          <w:rFonts w:ascii="宋体" w:hAnsi="宋体" w:cs="宋体"/>
          <w:b/>
          <w:color w:val="auto"/>
          <w:szCs w:val="21"/>
        </w:rPr>
      </w:pPr>
      <w:r>
        <w:rPr>
          <w:rFonts w:hint="eastAsia" w:ascii="宋体" w:hAnsi="宋体" w:cs="宋体"/>
          <w:b/>
          <w:color w:val="auto"/>
          <w:szCs w:val="21"/>
        </w:rPr>
        <w:t>三、获取采购文件</w:t>
      </w:r>
      <w:bookmarkEnd w:id="12"/>
      <w:bookmarkEnd w:id="13"/>
      <w:bookmarkEnd w:id="14"/>
      <w:bookmarkEnd w:id="15"/>
    </w:p>
    <w:p>
      <w:pPr>
        <w:spacing w:line="400" w:lineRule="exact"/>
        <w:ind w:firstLine="420" w:firstLineChars="200"/>
        <w:rPr>
          <w:rFonts w:ascii="宋体" w:hAnsi="宋体" w:cs="宋体"/>
          <w:bCs/>
          <w:color w:val="auto"/>
          <w:szCs w:val="21"/>
        </w:rPr>
      </w:pPr>
      <w:r>
        <w:rPr>
          <w:rFonts w:hint="eastAsia" w:ascii="宋体" w:hAnsi="宋体"/>
          <w:bCs/>
          <w:color w:val="auto"/>
          <w:szCs w:val="21"/>
        </w:rPr>
        <w:t>获取时间：自公告发布之时起至2020年</w:t>
      </w:r>
      <w:r>
        <w:rPr>
          <w:rFonts w:hint="eastAsia" w:ascii="宋体" w:hAnsi="宋体"/>
          <w:bCs/>
          <w:color w:val="auto"/>
          <w:szCs w:val="21"/>
          <w:lang w:val="en-US" w:eastAsia="zh-CN"/>
        </w:rPr>
        <w:t>11</w:t>
      </w:r>
      <w:r>
        <w:rPr>
          <w:rFonts w:hint="eastAsia" w:ascii="宋体" w:hAnsi="宋体"/>
          <w:bCs/>
          <w:color w:val="auto"/>
          <w:szCs w:val="21"/>
        </w:rPr>
        <w:t>月</w:t>
      </w:r>
      <w:r>
        <w:rPr>
          <w:rFonts w:hint="eastAsia" w:ascii="宋体" w:hAnsi="宋体"/>
          <w:bCs/>
          <w:color w:val="auto"/>
          <w:szCs w:val="21"/>
          <w:lang w:val="en-US" w:eastAsia="zh-CN"/>
        </w:rPr>
        <w:t>27</w:t>
      </w:r>
      <w:r>
        <w:rPr>
          <w:rFonts w:hint="eastAsia" w:ascii="宋体" w:hAnsi="宋体"/>
          <w:bCs/>
          <w:color w:val="auto"/>
          <w:szCs w:val="21"/>
        </w:rPr>
        <w:t>日，每天上午08：00至12：00，下午15：00至18：00（</w:t>
      </w:r>
      <w:r>
        <w:rPr>
          <w:rFonts w:hint="eastAsia" w:ascii="宋体" w:hAnsi="宋体" w:cs="宋体"/>
          <w:bCs/>
          <w:color w:val="auto"/>
          <w:szCs w:val="21"/>
        </w:rPr>
        <w:t>北京时间，</w:t>
      </w:r>
      <w:r>
        <w:rPr>
          <w:rFonts w:ascii="宋体" w:hAnsi="宋体" w:cs="宋体"/>
          <w:bCs/>
          <w:color w:val="auto"/>
          <w:szCs w:val="21"/>
        </w:rPr>
        <w:t>法定节假日</w:t>
      </w:r>
      <w:r>
        <w:rPr>
          <w:rFonts w:hint="eastAsia" w:ascii="宋体" w:hAnsi="宋体" w:cs="宋体"/>
          <w:bCs/>
          <w:color w:val="auto"/>
          <w:szCs w:val="21"/>
        </w:rPr>
        <w:t>除外），供应商未按要求获取本项目</w:t>
      </w:r>
      <w:r>
        <w:rPr>
          <w:rFonts w:hint="eastAsia" w:ascii="宋体" w:hAnsi="宋体" w:cs="Courier New"/>
          <w:color w:val="auto"/>
          <w:spacing w:val="2"/>
          <w:szCs w:val="21"/>
        </w:rPr>
        <w:t>竞争性磋商文件</w:t>
      </w:r>
      <w:r>
        <w:rPr>
          <w:rFonts w:hint="eastAsia" w:ascii="宋体" w:hAnsi="宋体" w:cs="宋体"/>
          <w:bCs/>
          <w:color w:val="auto"/>
          <w:szCs w:val="21"/>
        </w:rPr>
        <w:t>的，代理机构将拒收该响应文件。</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获取方式：供应商须登录“政府采购云平台”（</w:t>
      </w:r>
      <w:r>
        <w:rPr>
          <w:rFonts w:ascii="宋体" w:hAnsi="宋体" w:cs="宋体"/>
          <w:bCs/>
          <w:color w:val="auto"/>
          <w:szCs w:val="21"/>
        </w:rPr>
        <w:t>http://https--www--zcygov--cn.90087.cn/</w:t>
      </w:r>
      <w:r>
        <w:rPr>
          <w:rFonts w:hint="eastAsia" w:ascii="宋体" w:hAnsi="宋体" w:cs="宋体"/>
          <w:bCs/>
          <w:color w:val="auto"/>
          <w:szCs w:val="21"/>
        </w:rPr>
        <w:t>）在线办理报名并自行下载</w:t>
      </w:r>
      <w:r>
        <w:rPr>
          <w:rFonts w:hint="eastAsia" w:ascii="宋体" w:hAnsi="宋体" w:cs="Courier New"/>
          <w:color w:val="auto"/>
          <w:spacing w:val="2"/>
          <w:szCs w:val="21"/>
        </w:rPr>
        <w:t>竞争性磋商</w:t>
      </w:r>
      <w:r>
        <w:rPr>
          <w:rFonts w:hint="eastAsia" w:ascii="宋体" w:hAnsi="宋体" w:cs="宋体"/>
          <w:bCs/>
          <w:color w:val="auto"/>
          <w:szCs w:val="21"/>
        </w:rPr>
        <w:t>文件；</w:t>
      </w:r>
    </w:p>
    <w:p>
      <w:pPr>
        <w:spacing w:line="400" w:lineRule="exact"/>
        <w:ind w:firstLine="420" w:firstLineChars="200"/>
        <w:rPr>
          <w:rFonts w:ascii="宋体" w:hAnsi="宋体"/>
          <w:bCs/>
          <w:color w:val="auto"/>
          <w:szCs w:val="21"/>
        </w:rPr>
      </w:pPr>
      <w:r>
        <w:rPr>
          <w:rFonts w:hint="eastAsia" w:ascii="宋体" w:hAnsi="宋体" w:cs="宋体"/>
          <w:color w:val="auto"/>
          <w:szCs w:val="21"/>
        </w:rPr>
        <w:t>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pPr>
        <w:spacing w:before="12" w:beforeLines="5" w:after="12" w:afterLines="5" w:line="400" w:lineRule="exact"/>
        <w:ind w:firstLine="422" w:firstLineChars="200"/>
        <w:jc w:val="left"/>
        <w:rPr>
          <w:rFonts w:ascii="宋体" w:hAnsi="宋体" w:cs="宋体"/>
          <w:b/>
          <w:color w:val="auto"/>
          <w:szCs w:val="21"/>
        </w:rPr>
      </w:pPr>
      <w:bookmarkStart w:id="16" w:name="_Toc28359092"/>
      <w:bookmarkStart w:id="17" w:name="_Toc28359015"/>
      <w:bookmarkStart w:id="18" w:name="_Toc35393801"/>
      <w:bookmarkStart w:id="19" w:name="_Toc35393632"/>
      <w:r>
        <w:rPr>
          <w:rFonts w:hint="eastAsia" w:ascii="宋体" w:hAnsi="宋体" w:cs="宋体"/>
          <w:b/>
          <w:color w:val="auto"/>
          <w:szCs w:val="21"/>
        </w:rPr>
        <w:t>四、响应文件提交</w:t>
      </w:r>
      <w:bookmarkEnd w:id="16"/>
      <w:bookmarkEnd w:id="17"/>
      <w:bookmarkEnd w:id="18"/>
      <w:bookmarkEnd w:id="19"/>
    </w:p>
    <w:p>
      <w:pPr>
        <w:spacing w:line="400" w:lineRule="exact"/>
        <w:ind w:firstLine="420" w:firstLineChars="200"/>
        <w:rPr>
          <w:rFonts w:ascii="宋体" w:hAnsi="宋体"/>
          <w:bCs/>
          <w:color w:val="auto"/>
          <w:szCs w:val="21"/>
          <w:u w:val="single"/>
        </w:rPr>
      </w:pPr>
      <w:r>
        <w:rPr>
          <w:rFonts w:hint="eastAsia" w:ascii="宋体" w:hAnsi="宋体"/>
          <w:bCs/>
          <w:color w:val="auto"/>
          <w:szCs w:val="21"/>
        </w:rPr>
        <w:t>首次响应文件提交截止时间：</w:t>
      </w:r>
      <w:r>
        <w:rPr>
          <w:rFonts w:hint="eastAsia" w:ascii="宋体" w:hAnsi="宋体"/>
          <w:color w:val="auto"/>
          <w:szCs w:val="21"/>
          <w:u w:val="none" w:color="auto"/>
        </w:rPr>
        <w:t>2020年</w:t>
      </w:r>
      <w:r>
        <w:rPr>
          <w:rFonts w:hint="eastAsia" w:ascii="宋体" w:hAnsi="宋体"/>
          <w:color w:val="auto"/>
          <w:szCs w:val="21"/>
          <w:u w:val="none" w:color="auto"/>
          <w:lang w:val="en-US" w:eastAsia="zh-CN"/>
        </w:rPr>
        <w:t>12</w:t>
      </w:r>
      <w:r>
        <w:rPr>
          <w:rFonts w:hint="eastAsia" w:ascii="宋体" w:hAnsi="宋体"/>
          <w:color w:val="auto"/>
          <w:szCs w:val="21"/>
          <w:u w:val="none" w:color="auto"/>
        </w:rPr>
        <w:t>月</w:t>
      </w:r>
      <w:r>
        <w:rPr>
          <w:rFonts w:hint="eastAsia" w:ascii="宋体" w:hAnsi="宋体"/>
          <w:color w:val="auto"/>
          <w:szCs w:val="21"/>
          <w:u w:val="none" w:color="auto"/>
          <w:lang w:val="en-US" w:eastAsia="zh-CN"/>
        </w:rPr>
        <w:t>4</w:t>
      </w:r>
      <w:r>
        <w:rPr>
          <w:rFonts w:hint="eastAsia" w:ascii="宋体" w:hAnsi="宋体"/>
          <w:color w:val="auto"/>
          <w:szCs w:val="21"/>
          <w:u w:val="none" w:color="auto"/>
        </w:rPr>
        <w:t>日北京时间</w:t>
      </w:r>
      <w:r>
        <w:rPr>
          <w:rFonts w:hint="eastAsia" w:ascii="宋体" w:hAnsi="宋体"/>
          <w:color w:val="auto"/>
          <w:szCs w:val="21"/>
          <w:u w:val="none" w:color="auto"/>
          <w:lang w:val="en-US" w:eastAsia="zh-CN"/>
        </w:rPr>
        <w:t>10</w:t>
      </w:r>
      <w:r>
        <w:rPr>
          <w:rFonts w:hint="eastAsia" w:ascii="宋体" w:hAnsi="宋体"/>
          <w:color w:val="auto"/>
          <w:szCs w:val="21"/>
          <w:u w:val="none" w:color="auto"/>
        </w:rPr>
        <w:t>时</w:t>
      </w:r>
      <w:r>
        <w:rPr>
          <w:rFonts w:hint="eastAsia" w:ascii="宋体" w:hAnsi="宋体"/>
          <w:color w:val="auto"/>
          <w:szCs w:val="21"/>
          <w:u w:val="none" w:color="auto"/>
          <w:lang w:val="en-US" w:eastAsia="zh-CN"/>
        </w:rPr>
        <w:t>00</w:t>
      </w:r>
      <w:r>
        <w:rPr>
          <w:rFonts w:hint="eastAsia" w:ascii="宋体" w:hAnsi="宋体"/>
          <w:color w:val="auto"/>
          <w:szCs w:val="21"/>
          <w:u w:val="none" w:color="auto"/>
        </w:rPr>
        <w:t>分</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bCs/>
          <w:color w:val="auto"/>
          <w:szCs w:val="21"/>
        </w:rPr>
        <w:t>首次响应文件提交地点：</w:t>
      </w:r>
      <w:r>
        <w:rPr>
          <w:rFonts w:hint="eastAsia" w:ascii="宋体" w:hAnsi="宋体" w:cs="宋体"/>
          <w:color w:val="auto"/>
          <w:szCs w:val="21"/>
          <w:lang w:eastAsia="zh-CN"/>
        </w:rPr>
        <w:t>博白县公共资源交易中心开标室(博白县博白镇锦绣东路，博白县政务服务中心六楼)。</w:t>
      </w:r>
    </w:p>
    <w:p>
      <w:pPr>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注：供应商应当在首次响应文件提交截止时间前，将响应文件密封送达首次响应文件提交地点。在首次响应文件提交截止时间后送达的响应文件为无效文件，采购代理机构应当拒收。</w:t>
      </w:r>
    </w:p>
    <w:p>
      <w:pPr>
        <w:spacing w:before="12" w:beforeLines="5" w:after="12" w:afterLines="5" w:line="400" w:lineRule="exact"/>
        <w:ind w:firstLine="422" w:firstLineChars="200"/>
        <w:jc w:val="left"/>
        <w:rPr>
          <w:rFonts w:ascii="宋体" w:hAnsi="宋体" w:cs="宋体"/>
          <w:b/>
          <w:color w:val="auto"/>
          <w:szCs w:val="21"/>
        </w:rPr>
      </w:pPr>
      <w:bookmarkStart w:id="20" w:name="_Toc35393802"/>
      <w:bookmarkStart w:id="21" w:name="_Toc28359016"/>
      <w:bookmarkStart w:id="22" w:name="_Toc28359093"/>
      <w:bookmarkStart w:id="23" w:name="_Toc35393633"/>
      <w:r>
        <w:rPr>
          <w:rFonts w:hint="eastAsia" w:ascii="宋体" w:hAnsi="宋体" w:cs="宋体"/>
          <w:b/>
          <w:color w:val="auto"/>
          <w:szCs w:val="21"/>
        </w:rPr>
        <w:t>五、开启</w:t>
      </w:r>
      <w:bookmarkEnd w:id="20"/>
      <w:bookmarkEnd w:id="21"/>
      <w:bookmarkEnd w:id="22"/>
      <w:bookmarkEnd w:id="23"/>
      <w:r>
        <w:rPr>
          <w:rFonts w:hint="eastAsia" w:ascii="宋体" w:hAnsi="宋体" w:cs="宋体"/>
          <w:b/>
          <w:color w:val="auto"/>
          <w:szCs w:val="21"/>
        </w:rPr>
        <w:t>:</w:t>
      </w:r>
    </w:p>
    <w:p>
      <w:pPr>
        <w:spacing w:before="12" w:beforeLines="5" w:after="12" w:afterLines="5" w:line="400" w:lineRule="exact"/>
        <w:ind w:firstLine="420" w:firstLineChars="200"/>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u w:val="none" w:color="auto"/>
        </w:rPr>
        <w:t>2020年</w:t>
      </w:r>
      <w:r>
        <w:rPr>
          <w:rFonts w:hint="eastAsia" w:ascii="宋体" w:hAnsi="宋体"/>
          <w:color w:val="auto"/>
          <w:szCs w:val="21"/>
          <w:u w:val="none" w:color="auto"/>
          <w:lang w:val="en-US" w:eastAsia="zh-CN"/>
        </w:rPr>
        <w:t>12</w:t>
      </w:r>
      <w:r>
        <w:rPr>
          <w:rFonts w:hint="eastAsia" w:ascii="宋体" w:hAnsi="宋体"/>
          <w:color w:val="auto"/>
          <w:szCs w:val="21"/>
          <w:u w:val="none" w:color="auto"/>
        </w:rPr>
        <w:t>月</w:t>
      </w:r>
      <w:r>
        <w:rPr>
          <w:rFonts w:hint="eastAsia" w:ascii="宋体" w:hAnsi="宋体"/>
          <w:color w:val="auto"/>
          <w:szCs w:val="21"/>
          <w:u w:val="none" w:color="auto"/>
          <w:lang w:val="en-US" w:eastAsia="zh-CN"/>
        </w:rPr>
        <w:t>4</w:t>
      </w:r>
      <w:r>
        <w:rPr>
          <w:rFonts w:hint="eastAsia" w:ascii="宋体" w:hAnsi="宋体"/>
          <w:color w:val="auto"/>
          <w:szCs w:val="21"/>
          <w:u w:val="none" w:color="auto"/>
        </w:rPr>
        <w:t>日北京时间</w:t>
      </w:r>
      <w:r>
        <w:rPr>
          <w:rFonts w:hint="eastAsia" w:ascii="宋体" w:hAnsi="宋体"/>
          <w:color w:val="auto"/>
          <w:szCs w:val="21"/>
          <w:u w:val="none" w:color="auto"/>
          <w:lang w:val="en-US" w:eastAsia="zh-CN"/>
        </w:rPr>
        <w:t>10</w:t>
      </w:r>
      <w:r>
        <w:rPr>
          <w:rFonts w:hint="eastAsia" w:ascii="宋体" w:hAnsi="宋体"/>
          <w:color w:val="auto"/>
          <w:szCs w:val="21"/>
          <w:u w:val="none" w:color="auto"/>
        </w:rPr>
        <w:t>时</w:t>
      </w:r>
      <w:r>
        <w:rPr>
          <w:rFonts w:hint="eastAsia" w:ascii="宋体" w:hAnsi="宋体"/>
          <w:color w:val="auto"/>
          <w:szCs w:val="21"/>
          <w:u w:val="none" w:color="auto"/>
          <w:lang w:val="en-US" w:eastAsia="zh-CN"/>
        </w:rPr>
        <w:t>00</w:t>
      </w:r>
      <w:r>
        <w:rPr>
          <w:rFonts w:hint="eastAsia" w:ascii="宋体" w:hAnsi="宋体"/>
          <w:color w:val="auto"/>
          <w:szCs w:val="21"/>
          <w:u w:val="none" w:color="auto"/>
        </w:rPr>
        <w:t>分</w:t>
      </w:r>
    </w:p>
    <w:p>
      <w:pPr>
        <w:spacing w:before="12" w:beforeLines="5" w:after="12" w:afterLines="5" w:line="40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地点：</w:t>
      </w:r>
      <w:r>
        <w:rPr>
          <w:rFonts w:hint="eastAsia" w:ascii="宋体" w:hAnsi="宋体" w:cs="宋体"/>
          <w:color w:val="auto"/>
          <w:szCs w:val="21"/>
          <w:lang w:eastAsia="zh-CN"/>
        </w:rPr>
        <w:t>博白县公共资源交易中心开标室(博白县博白镇锦绣东路，博白县政务服务中心六楼)。</w:t>
      </w:r>
    </w:p>
    <w:p>
      <w:pPr>
        <w:spacing w:before="12" w:beforeLines="5" w:after="12" w:afterLines="5" w:line="400" w:lineRule="exact"/>
        <w:ind w:firstLine="422" w:firstLineChars="200"/>
        <w:jc w:val="left"/>
        <w:rPr>
          <w:rFonts w:ascii="宋体" w:hAnsi="宋体" w:cs="宋体"/>
          <w:b/>
          <w:color w:val="auto"/>
          <w:szCs w:val="21"/>
        </w:rPr>
      </w:pPr>
      <w:bookmarkStart w:id="24" w:name="_Toc35393803"/>
      <w:bookmarkStart w:id="25" w:name="_Toc28359094"/>
      <w:bookmarkStart w:id="26" w:name="_Toc28359017"/>
      <w:bookmarkStart w:id="27" w:name="_Toc35393634"/>
      <w:r>
        <w:rPr>
          <w:rFonts w:hint="eastAsia" w:ascii="宋体" w:hAnsi="宋体" w:cs="宋体"/>
          <w:b/>
          <w:color w:val="auto"/>
          <w:szCs w:val="21"/>
        </w:rPr>
        <w:t>六、公告期限</w:t>
      </w:r>
      <w:bookmarkEnd w:id="24"/>
      <w:bookmarkEnd w:id="25"/>
      <w:bookmarkEnd w:id="26"/>
      <w:bookmarkEnd w:id="27"/>
    </w:p>
    <w:p>
      <w:pPr>
        <w:spacing w:before="12" w:beforeLines="5" w:after="12" w:afterLines="5" w:line="400" w:lineRule="exact"/>
        <w:ind w:firstLine="420" w:firstLineChars="200"/>
        <w:jc w:val="left"/>
        <w:rPr>
          <w:rFonts w:ascii="宋体" w:hAnsi="宋体" w:cs="宋体"/>
          <w:color w:val="auto"/>
          <w:szCs w:val="21"/>
        </w:rPr>
      </w:pPr>
      <w:r>
        <w:rPr>
          <w:rFonts w:hint="eastAsia" w:ascii="宋体" w:hAnsi="宋体" w:cs="宋体"/>
          <w:color w:val="auto"/>
          <w:szCs w:val="21"/>
        </w:rPr>
        <w:t>自本公告发布之日起5个工作日。</w:t>
      </w:r>
    </w:p>
    <w:p>
      <w:pPr>
        <w:spacing w:before="12" w:beforeLines="5" w:after="12" w:afterLines="5" w:line="400" w:lineRule="exact"/>
        <w:ind w:firstLine="422" w:firstLineChars="200"/>
        <w:jc w:val="left"/>
        <w:rPr>
          <w:rFonts w:hint="eastAsia" w:ascii="宋体" w:hAnsi="宋体" w:cs="宋体"/>
          <w:b/>
          <w:color w:val="auto"/>
          <w:szCs w:val="21"/>
        </w:rPr>
      </w:pPr>
      <w:bookmarkStart w:id="28" w:name="_Toc35393804"/>
      <w:bookmarkStart w:id="29" w:name="_Toc35393635"/>
      <w:r>
        <w:rPr>
          <w:rFonts w:hint="eastAsia" w:ascii="宋体" w:hAnsi="宋体" w:cs="宋体"/>
          <w:b/>
          <w:color w:val="auto"/>
          <w:szCs w:val="21"/>
        </w:rPr>
        <w:t>七、其他补充事宜</w:t>
      </w:r>
      <w:bookmarkEnd w:id="28"/>
      <w:bookmarkEnd w:id="29"/>
    </w:p>
    <w:p>
      <w:pPr>
        <w:spacing w:before="5" w:after="5" w:line="400" w:lineRule="exact"/>
        <w:ind w:firstLine="411" w:firstLineChars="196"/>
        <w:rPr>
          <w:rFonts w:ascii="宋体" w:hAnsi="宋体" w:cs="宋体"/>
          <w:color w:val="auto"/>
          <w:szCs w:val="21"/>
        </w:rPr>
      </w:pPr>
      <w:r>
        <w:rPr>
          <w:rFonts w:hint="eastAsia" w:ascii="宋体" w:hAnsi="宋体" w:cs="宋体"/>
          <w:color w:val="auto"/>
          <w:szCs w:val="21"/>
        </w:rPr>
        <w:t>1.网上查询地址</w:t>
      </w:r>
    </w:p>
    <w:p>
      <w:pPr>
        <w:spacing w:before="5" w:after="5" w:line="400" w:lineRule="exact"/>
        <w:ind w:firstLine="411" w:firstLineChars="196"/>
        <w:rPr>
          <w:rFonts w:hint="eastAsia" w:ascii="宋体" w:hAnsi="宋体" w:eastAsia="宋体"/>
          <w:color w:val="auto"/>
          <w:szCs w:val="21"/>
          <w:lang w:eastAsia="zh-CN"/>
        </w:rPr>
      </w:pPr>
      <w:r>
        <w:rPr>
          <w:rFonts w:hint="eastAsia" w:ascii="宋体" w:hAnsi="宋体"/>
          <w:color w:val="auto"/>
          <w:szCs w:val="21"/>
        </w:rPr>
        <w:t>中国政府采购网、广西壮族自治区政府采购网</w:t>
      </w:r>
      <w:r>
        <w:rPr>
          <w:rFonts w:hint="eastAsia" w:ascii="宋体" w:hAnsi="宋体"/>
          <w:color w:val="auto"/>
          <w:szCs w:val="21"/>
          <w:lang w:eastAsia="zh-CN"/>
        </w:rPr>
        <w:t>。</w:t>
      </w:r>
    </w:p>
    <w:p>
      <w:pPr>
        <w:spacing w:before="5" w:after="5" w:line="400" w:lineRule="exact"/>
        <w:ind w:firstLine="411" w:firstLineChars="196"/>
        <w:rPr>
          <w:rFonts w:hint="eastAsia" w:ascii="宋体" w:hAnsi="宋体" w:cs="宋体"/>
          <w:color w:val="auto"/>
          <w:szCs w:val="21"/>
        </w:rPr>
      </w:pPr>
      <w:r>
        <w:rPr>
          <w:rFonts w:hint="eastAsia" w:ascii="宋体" w:hAnsi="宋体" w:cs="宋体"/>
          <w:color w:val="auto"/>
          <w:szCs w:val="21"/>
        </w:rPr>
        <w:t>2.本项目需要落实的政府采购政策</w:t>
      </w:r>
    </w:p>
    <w:p>
      <w:pPr>
        <w:spacing w:before="5" w:after="5" w:line="400" w:lineRule="exact"/>
        <w:ind w:firstLine="411" w:firstLineChars="196"/>
        <w:rPr>
          <w:rFonts w:hint="eastAsia" w:ascii="宋体" w:hAnsi="宋体" w:cs="宋体"/>
          <w:color w:val="auto"/>
          <w:szCs w:val="21"/>
        </w:rPr>
      </w:pPr>
      <w:r>
        <w:rPr>
          <w:rFonts w:hint="eastAsia" w:ascii="宋体" w:hAnsi="宋体" w:cs="宋体"/>
          <w:color w:val="auto"/>
          <w:szCs w:val="21"/>
        </w:rPr>
        <w:t>（1）政府采购促进中小企业发展。</w:t>
      </w:r>
    </w:p>
    <w:p>
      <w:pPr>
        <w:spacing w:before="5" w:after="5" w:line="400" w:lineRule="exact"/>
        <w:ind w:firstLine="411" w:firstLineChars="196"/>
        <w:rPr>
          <w:rFonts w:hint="eastAsia" w:ascii="宋体" w:hAnsi="宋体" w:cs="宋体"/>
          <w:color w:val="auto"/>
          <w:szCs w:val="21"/>
        </w:rPr>
      </w:pPr>
      <w:r>
        <w:rPr>
          <w:rFonts w:hint="eastAsia" w:ascii="宋体" w:hAnsi="宋体" w:cs="宋体"/>
          <w:color w:val="auto"/>
          <w:szCs w:val="21"/>
        </w:rPr>
        <w:t>（2）政府采购促进残疾人就业政策。</w:t>
      </w:r>
    </w:p>
    <w:p>
      <w:pPr>
        <w:spacing w:before="5" w:after="5" w:line="400" w:lineRule="exact"/>
        <w:ind w:firstLine="411" w:firstLineChars="196"/>
        <w:rPr>
          <w:rFonts w:hint="eastAsia" w:ascii="宋体" w:hAnsi="宋体" w:cs="宋体"/>
          <w:color w:val="auto"/>
          <w:szCs w:val="21"/>
        </w:rPr>
      </w:pPr>
      <w:r>
        <w:rPr>
          <w:rFonts w:hint="eastAsia" w:ascii="宋体" w:hAnsi="宋体" w:cs="宋体"/>
          <w:color w:val="auto"/>
          <w:szCs w:val="21"/>
        </w:rPr>
        <w:t>（3）政府采购支持监狱企业发展。</w:t>
      </w:r>
    </w:p>
    <w:p>
      <w:pPr>
        <w:spacing w:before="12" w:beforeLines="5" w:after="12" w:afterLines="5" w:line="400" w:lineRule="exact"/>
        <w:ind w:firstLine="422" w:firstLineChars="200"/>
        <w:jc w:val="left"/>
        <w:rPr>
          <w:rFonts w:ascii="宋体" w:hAnsi="宋体" w:cs="宋体"/>
          <w:b/>
          <w:color w:val="auto"/>
          <w:szCs w:val="21"/>
        </w:rPr>
      </w:pPr>
      <w:bookmarkStart w:id="30" w:name="_Toc35393636"/>
      <w:bookmarkStart w:id="31" w:name="_Toc28359095"/>
      <w:bookmarkStart w:id="32" w:name="_Toc35393805"/>
      <w:bookmarkStart w:id="33" w:name="_Toc28359018"/>
      <w:r>
        <w:rPr>
          <w:rFonts w:hint="eastAsia" w:ascii="宋体" w:hAnsi="宋体" w:cs="宋体"/>
          <w:b/>
          <w:color w:val="auto"/>
          <w:szCs w:val="21"/>
        </w:rPr>
        <w:t>八、凡对本次采购提出询问，请按</w:t>
      </w:r>
      <w:r>
        <w:rPr>
          <w:rFonts w:ascii="宋体" w:hAnsi="宋体" w:cs="宋体"/>
          <w:b/>
          <w:color w:val="auto"/>
          <w:szCs w:val="21"/>
        </w:rPr>
        <w:t>以下方式</w:t>
      </w:r>
      <w:r>
        <w:rPr>
          <w:rFonts w:hint="eastAsia" w:ascii="宋体" w:hAnsi="宋体" w:cs="宋体"/>
          <w:b/>
          <w:color w:val="auto"/>
          <w:szCs w:val="21"/>
        </w:rPr>
        <w:t>联系。</w:t>
      </w:r>
      <w:bookmarkEnd w:id="30"/>
      <w:bookmarkEnd w:id="31"/>
      <w:bookmarkEnd w:id="32"/>
      <w:bookmarkEnd w:id="33"/>
    </w:p>
    <w:p>
      <w:pPr>
        <w:spacing w:before="12" w:beforeLines="5" w:after="12" w:afterLines="5" w:line="400" w:lineRule="exact"/>
        <w:ind w:firstLine="420" w:firstLineChars="200"/>
        <w:jc w:val="left"/>
        <w:rPr>
          <w:rFonts w:ascii="宋体" w:hAnsi="宋体" w:cs="宋体"/>
          <w:color w:val="auto"/>
          <w:szCs w:val="21"/>
        </w:rPr>
      </w:pPr>
      <w:bookmarkStart w:id="34" w:name="_Toc28359019"/>
      <w:bookmarkStart w:id="35" w:name="_Toc35393806"/>
      <w:bookmarkStart w:id="36" w:name="_Toc35393637"/>
      <w:bookmarkStart w:id="37" w:name="_Toc28359096"/>
      <w:r>
        <w:rPr>
          <w:rFonts w:hint="eastAsia" w:ascii="宋体" w:hAnsi="宋体" w:cs="宋体"/>
          <w:color w:val="auto"/>
          <w:szCs w:val="21"/>
        </w:rPr>
        <w:t>1.采购人信息</w:t>
      </w:r>
      <w:bookmarkEnd w:id="34"/>
      <w:bookmarkEnd w:id="35"/>
      <w:bookmarkEnd w:id="36"/>
      <w:bookmarkEnd w:id="37"/>
    </w:p>
    <w:p>
      <w:pPr>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bCs/>
          <w:color w:val="auto"/>
          <w:szCs w:val="21"/>
          <w:lang w:eastAsia="zh-CN"/>
        </w:rPr>
        <w:t>博白县宁潭镇人民政府</w:t>
      </w:r>
    </w:p>
    <w:p>
      <w:pPr>
        <w:spacing w:line="440" w:lineRule="exact"/>
        <w:rPr>
          <w:rFonts w:hint="eastAsia" w:ascii="宋体" w:hAnsi="宋体" w:eastAsia="宋体" w:cs="宋体"/>
          <w:color w:val="auto"/>
          <w:szCs w:val="21"/>
          <w:lang w:eastAsia="zh-CN"/>
        </w:rPr>
      </w:pPr>
      <w:r>
        <w:rPr>
          <w:rFonts w:hint="eastAsia" w:ascii="宋体" w:hAnsi="宋体" w:cs="宋体"/>
          <w:color w:val="auto"/>
          <w:szCs w:val="21"/>
        </w:rPr>
        <w:t xml:space="preserve">      地址：</w:t>
      </w:r>
      <w:r>
        <w:rPr>
          <w:rFonts w:hint="eastAsia" w:ascii="宋体" w:hAnsi="宋体" w:cs="宋体"/>
          <w:color w:val="auto"/>
          <w:szCs w:val="21"/>
          <w:lang w:eastAsia="zh-CN"/>
        </w:rPr>
        <w:t>博白县宁潭镇</w:t>
      </w:r>
    </w:p>
    <w:p>
      <w:pPr>
        <w:spacing w:line="440" w:lineRule="exact"/>
        <w:rPr>
          <w:rFonts w:hint="eastAsia" w:ascii="宋体" w:hAnsi="宋体" w:cs="宋体"/>
          <w:color w:val="auto"/>
          <w:szCs w:val="21"/>
        </w:rPr>
      </w:pPr>
      <w:r>
        <w:rPr>
          <w:rFonts w:hint="eastAsia" w:ascii="宋体" w:hAnsi="宋体" w:cs="宋体"/>
          <w:color w:val="auto"/>
          <w:szCs w:val="21"/>
        </w:rPr>
        <w:t xml:space="preserve">      联系方式: </w:t>
      </w:r>
      <w:r>
        <w:rPr>
          <w:rFonts w:hint="eastAsia" w:ascii="宋体" w:hAnsi="宋体"/>
          <w:color w:val="auto"/>
          <w:szCs w:val="21"/>
          <w:lang w:val="en-US" w:eastAsia="zh-CN"/>
        </w:rPr>
        <w:t>18277527355</w:t>
      </w:r>
      <w:r>
        <w:rPr>
          <w:rFonts w:hint="eastAsia" w:ascii="宋体" w:hAnsi="宋体" w:cs="宋体"/>
          <w:color w:val="auto"/>
          <w:szCs w:val="21"/>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 xml:space="preserve">     2.采购代理机构信息</w:t>
      </w:r>
    </w:p>
    <w:p>
      <w:pPr>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广西建坤工程咨询有限公司</w:t>
      </w:r>
    </w:p>
    <w:p>
      <w:pPr>
        <w:spacing w:line="440" w:lineRule="exact"/>
        <w:rPr>
          <w:rFonts w:hint="eastAsia" w:ascii="宋体" w:hAnsi="宋体" w:eastAsia="宋体" w:cs="宋体"/>
          <w:color w:val="auto"/>
          <w:szCs w:val="21"/>
          <w:lang w:eastAsia="zh-CN"/>
        </w:rPr>
      </w:pPr>
      <w:r>
        <w:rPr>
          <w:rFonts w:hint="eastAsia" w:ascii="宋体" w:hAnsi="宋体" w:cs="宋体"/>
          <w:color w:val="auto"/>
          <w:szCs w:val="21"/>
        </w:rPr>
        <w:t xml:space="preserve">      地址：</w:t>
      </w:r>
      <w:r>
        <w:rPr>
          <w:rFonts w:hint="eastAsia" w:ascii="宋体" w:hAnsi="宋体" w:cs="宋体"/>
          <w:color w:val="auto"/>
          <w:szCs w:val="21"/>
          <w:lang w:eastAsia="zh-CN"/>
        </w:rPr>
        <w:t>博白县大转盘工商银行三楼</w:t>
      </w:r>
    </w:p>
    <w:p>
      <w:pPr>
        <w:spacing w:line="440" w:lineRule="exact"/>
        <w:rPr>
          <w:rFonts w:hint="default" w:ascii="宋体" w:hAnsi="宋体" w:eastAsia="宋体" w:cs="宋体"/>
          <w:color w:val="auto"/>
          <w:szCs w:val="21"/>
          <w:lang w:val="en-US" w:eastAsia="zh-CN"/>
        </w:rPr>
      </w:pPr>
      <w:r>
        <w:rPr>
          <w:rFonts w:hint="eastAsia" w:ascii="宋体" w:hAnsi="宋体" w:cs="宋体"/>
          <w:color w:val="auto"/>
          <w:szCs w:val="21"/>
        </w:rPr>
        <w:t xml:space="preserve">      联系方式：</w:t>
      </w:r>
      <w:r>
        <w:rPr>
          <w:rFonts w:hint="eastAsia" w:ascii="宋体" w:hAnsi="宋体" w:cs="宋体"/>
          <w:color w:val="auto"/>
          <w:szCs w:val="21"/>
          <w:lang w:val="en-US" w:eastAsia="zh-CN"/>
        </w:rPr>
        <w:t>15277185188</w:t>
      </w:r>
    </w:p>
    <w:p>
      <w:pPr>
        <w:spacing w:line="440" w:lineRule="exact"/>
        <w:ind w:firstLine="525" w:firstLineChars="250"/>
        <w:rPr>
          <w:rFonts w:ascii="宋体" w:hAnsi="宋体" w:cs="宋体"/>
          <w:color w:val="auto"/>
          <w:szCs w:val="21"/>
        </w:rPr>
      </w:pPr>
      <w:bookmarkStart w:id="38" w:name="_Toc35393808"/>
      <w:bookmarkEnd w:id="38"/>
      <w:bookmarkStart w:id="39" w:name="_Toc28359021"/>
      <w:bookmarkEnd w:id="39"/>
      <w:bookmarkStart w:id="40" w:name="_Toc28359098"/>
      <w:bookmarkEnd w:id="40"/>
      <w:bookmarkStart w:id="41" w:name="_Toc35393639"/>
      <w:r>
        <w:rPr>
          <w:rFonts w:hint="eastAsia" w:ascii="宋体" w:hAnsi="宋体" w:cs="宋体"/>
          <w:color w:val="auto"/>
          <w:szCs w:val="21"/>
        </w:rPr>
        <w:t>3.</w:t>
      </w:r>
      <w:bookmarkEnd w:id="41"/>
      <w:r>
        <w:rPr>
          <w:rFonts w:hint="eastAsia" w:ascii="宋体" w:hAnsi="宋体" w:cs="宋体"/>
          <w:color w:val="auto"/>
          <w:szCs w:val="21"/>
        </w:rPr>
        <w:t>项目联系方式</w:t>
      </w:r>
    </w:p>
    <w:p>
      <w:pPr>
        <w:spacing w:line="440" w:lineRule="exact"/>
        <w:ind w:firstLine="525" w:firstLineChars="250"/>
        <w:rPr>
          <w:rFonts w:hint="default" w:ascii="宋体" w:hAnsi="宋体" w:eastAsia="宋体" w:cs="宋体"/>
          <w:color w:val="auto"/>
          <w:szCs w:val="21"/>
          <w:lang w:val="en-US" w:eastAsia="zh-CN"/>
        </w:rPr>
      </w:pPr>
      <w:r>
        <w:rPr>
          <w:rFonts w:hint="eastAsia" w:ascii="宋体" w:hAnsi="宋体" w:cs="宋体"/>
          <w:color w:val="auto"/>
          <w:szCs w:val="21"/>
        </w:rPr>
        <w:t>项目联系人：</w:t>
      </w:r>
      <w:r>
        <w:rPr>
          <w:rFonts w:hint="eastAsia" w:ascii="宋体" w:hAnsi="宋体" w:cs="宋体"/>
          <w:color w:val="auto"/>
          <w:szCs w:val="21"/>
          <w:lang w:eastAsia="zh-CN"/>
        </w:rPr>
        <w:t>杨工</w:t>
      </w:r>
      <w:r>
        <w:rPr>
          <w:rFonts w:hint="eastAsia" w:ascii="宋体" w:hAnsi="宋体" w:cs="宋体"/>
          <w:color w:val="auto"/>
          <w:szCs w:val="21"/>
        </w:rPr>
        <w:t>；电话：</w:t>
      </w:r>
      <w:r>
        <w:rPr>
          <w:rFonts w:hint="eastAsia" w:ascii="宋体" w:hAnsi="宋体" w:cs="宋体"/>
          <w:color w:val="auto"/>
          <w:szCs w:val="21"/>
          <w:lang w:val="en-US" w:eastAsia="zh-CN"/>
        </w:rPr>
        <w:t>15277185188</w:t>
      </w:r>
    </w:p>
    <w:p>
      <w:pPr>
        <w:spacing w:line="500" w:lineRule="exact"/>
        <w:ind w:firstLine="522" w:firstLineChars="249"/>
        <w:rPr>
          <w:rFonts w:hint="default" w:ascii="宋体" w:hAnsi="宋体" w:eastAsia="宋体" w:cs="Courier New"/>
          <w:color w:val="auto"/>
          <w:szCs w:val="21"/>
          <w:lang w:val="en-US" w:eastAsia="zh-CN"/>
        </w:rPr>
      </w:pPr>
      <w:r>
        <w:rPr>
          <w:rFonts w:hint="eastAsia" w:ascii="宋体" w:hAnsi="宋体" w:cs="宋体"/>
          <w:color w:val="auto"/>
          <w:szCs w:val="21"/>
        </w:rPr>
        <w:t>4. 监督部门：</w:t>
      </w:r>
      <w:r>
        <w:rPr>
          <w:rFonts w:hint="eastAsia" w:ascii="宋体" w:hAnsi="宋体" w:cs="Courier New"/>
          <w:color w:val="auto"/>
          <w:szCs w:val="21"/>
          <w:lang w:eastAsia="zh-CN"/>
        </w:rPr>
        <w:t>博白县政府采购管理办公室</w:t>
      </w:r>
      <w:r>
        <w:rPr>
          <w:rFonts w:hint="eastAsia" w:ascii="宋体" w:hAnsi="宋体" w:cs="Courier New"/>
          <w:color w:val="auto"/>
          <w:szCs w:val="21"/>
        </w:rPr>
        <w:t>；电话:</w:t>
      </w:r>
      <w:r>
        <w:rPr>
          <w:rFonts w:hint="eastAsia" w:ascii="宋体" w:hAnsi="宋体" w:cs="宋体"/>
          <w:color w:val="auto"/>
          <w:szCs w:val="21"/>
        </w:rPr>
        <w:t>0775-</w:t>
      </w:r>
      <w:r>
        <w:rPr>
          <w:rFonts w:hint="eastAsia" w:ascii="宋体" w:hAnsi="宋体" w:cs="宋体"/>
          <w:color w:val="auto"/>
          <w:szCs w:val="21"/>
          <w:lang w:val="en-US" w:eastAsia="zh-CN"/>
        </w:rPr>
        <w:t>8331612</w:t>
      </w:r>
    </w:p>
    <w:p>
      <w:pPr>
        <w:spacing w:line="420" w:lineRule="exact"/>
        <w:rPr>
          <w:rFonts w:hint="eastAsia" w:ascii="宋体" w:hAnsi="宋体" w:cs="宋体"/>
          <w:color w:val="auto"/>
          <w:szCs w:val="21"/>
        </w:rPr>
      </w:pPr>
    </w:p>
    <w:p>
      <w:pPr>
        <w:spacing w:line="500" w:lineRule="exact"/>
        <w:ind w:firstLine="522" w:firstLineChars="249"/>
        <w:jc w:val="center"/>
        <w:rPr>
          <w:rFonts w:hint="eastAsia" w:ascii="宋体" w:hAnsi="宋体" w:cs="Courier New"/>
          <w:color w:val="auto"/>
          <w:szCs w:val="21"/>
          <w:lang w:eastAsia="zh-CN"/>
        </w:rPr>
      </w:pPr>
      <w:r>
        <w:rPr>
          <w:rFonts w:hint="eastAsia" w:ascii="宋体" w:hAnsi="宋体" w:cs="Courier New"/>
          <w:color w:val="auto"/>
          <w:szCs w:val="21"/>
          <w:lang w:val="en-US" w:eastAsia="zh-CN"/>
        </w:rPr>
        <w:t xml:space="preserve">                                             </w:t>
      </w:r>
      <w:r>
        <w:rPr>
          <w:rFonts w:hint="eastAsia" w:ascii="宋体" w:hAnsi="宋体" w:cs="Courier New"/>
          <w:color w:val="auto"/>
          <w:szCs w:val="21"/>
          <w:lang w:eastAsia="zh-CN"/>
        </w:rPr>
        <w:t>广西建坤工程咨询有限公司</w:t>
      </w:r>
    </w:p>
    <w:p>
      <w:pPr>
        <w:spacing w:line="500" w:lineRule="exact"/>
        <w:ind w:firstLine="522" w:firstLineChars="249"/>
        <w:jc w:val="center"/>
        <w:rPr>
          <w:rFonts w:hint="eastAsia" w:ascii="宋体" w:hAnsi="宋体" w:cs="Courier New"/>
          <w:color w:val="auto"/>
          <w:szCs w:val="21"/>
        </w:rPr>
      </w:pPr>
      <w:r>
        <w:rPr>
          <w:rFonts w:hint="eastAsia" w:ascii="宋体" w:hAnsi="宋体" w:cs="Courier New"/>
          <w:color w:val="auto"/>
          <w:szCs w:val="21"/>
          <w:lang w:val="en-US" w:eastAsia="zh-CN"/>
        </w:rPr>
        <w:t xml:space="preserve">                                               </w:t>
      </w:r>
      <w:r>
        <w:rPr>
          <w:rFonts w:hint="eastAsia" w:ascii="宋体" w:hAnsi="宋体" w:cs="Courier New"/>
          <w:color w:val="auto"/>
          <w:szCs w:val="21"/>
        </w:rPr>
        <w:t>2020年</w:t>
      </w:r>
      <w:r>
        <w:rPr>
          <w:rFonts w:hint="eastAsia" w:ascii="宋体" w:hAnsi="宋体" w:cs="Courier New"/>
          <w:color w:val="auto"/>
          <w:szCs w:val="21"/>
          <w:lang w:val="en-US" w:eastAsia="zh-CN"/>
        </w:rPr>
        <w:t>11</w:t>
      </w:r>
      <w:r>
        <w:rPr>
          <w:rFonts w:hint="eastAsia" w:ascii="宋体" w:hAnsi="宋体" w:cs="Courier New"/>
          <w:color w:val="auto"/>
          <w:szCs w:val="21"/>
        </w:rPr>
        <w:t>月</w:t>
      </w:r>
      <w:r>
        <w:rPr>
          <w:rFonts w:hint="eastAsia" w:ascii="宋体" w:hAnsi="宋体" w:cs="Courier New"/>
          <w:color w:val="auto"/>
          <w:szCs w:val="21"/>
          <w:lang w:val="en-US" w:eastAsia="zh-CN"/>
        </w:rPr>
        <w:t>20</w:t>
      </w:r>
      <w:r>
        <w:rPr>
          <w:rFonts w:hint="eastAsia" w:ascii="宋体" w:hAnsi="宋体" w:cs="Courier New"/>
          <w:color w:val="auto"/>
          <w:szCs w:val="21"/>
        </w:rPr>
        <w:t>日</w:t>
      </w:r>
    </w:p>
    <w:p>
      <w:pPr>
        <w:pStyle w:val="4"/>
        <w:spacing w:line="400" w:lineRule="exact"/>
        <w:jc w:val="center"/>
        <w:rPr>
          <w:rFonts w:hint="eastAsia"/>
          <w:sz w:val="48"/>
          <w:szCs w:val="48"/>
        </w:rPr>
      </w:pPr>
      <w:r>
        <w:br w:type="page"/>
      </w:r>
      <w:bookmarkStart w:id="42" w:name="_Toc113258056"/>
      <w:bookmarkStart w:id="43" w:name="_Toc198634209"/>
      <w:bookmarkStart w:id="44" w:name="_Toc45007864"/>
      <w:bookmarkStart w:id="45" w:name="_Toc113257797"/>
      <w:r>
        <w:rPr>
          <w:rFonts w:hint="eastAsia"/>
          <w:sz w:val="48"/>
          <w:szCs w:val="48"/>
        </w:rPr>
        <w:t>第一章  供应商须知</w:t>
      </w:r>
      <w:bookmarkEnd w:id="42"/>
      <w:bookmarkEnd w:id="43"/>
      <w:bookmarkEnd w:id="44"/>
      <w:bookmarkEnd w:id="45"/>
    </w:p>
    <w:p>
      <w:pPr>
        <w:pStyle w:val="4"/>
        <w:spacing w:before="0" w:after="120" w:afterLines="50" w:line="400" w:lineRule="exact"/>
        <w:jc w:val="center"/>
        <w:rPr>
          <w:rFonts w:cs="Courier New"/>
          <w:spacing w:val="2"/>
          <w:sz w:val="28"/>
          <w:szCs w:val="28"/>
        </w:rPr>
      </w:pPr>
      <w:bookmarkStart w:id="46" w:name="_Toc113257798"/>
      <w:bookmarkStart w:id="47" w:name="_Toc45007865"/>
      <w:bookmarkStart w:id="48" w:name="_Toc113258057"/>
      <w:bookmarkStart w:id="49" w:name="_Toc198634210"/>
      <w:r>
        <w:rPr>
          <w:rFonts w:hint="eastAsia"/>
          <w:sz w:val="28"/>
          <w:szCs w:val="28"/>
        </w:rPr>
        <w:t>磋商</w:t>
      </w:r>
      <w:r>
        <w:rPr>
          <w:sz w:val="28"/>
          <w:szCs w:val="28"/>
        </w:rPr>
        <w:t>须知前附表</w:t>
      </w:r>
      <w:bookmarkEnd w:id="46"/>
      <w:bookmarkEnd w:id="47"/>
      <w:bookmarkEnd w:id="48"/>
      <w:bookmarkEnd w:id="49"/>
    </w:p>
    <w:tbl>
      <w:tblPr>
        <w:tblStyle w:val="39"/>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74"/>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项号</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条款号</w:t>
            </w:r>
          </w:p>
        </w:tc>
        <w:tc>
          <w:tcPr>
            <w:tcW w:w="8265"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w:t>
            </w:r>
          </w:p>
        </w:tc>
        <w:tc>
          <w:tcPr>
            <w:tcW w:w="974" w:type="dxa"/>
            <w:noWrap w:val="0"/>
            <w:vAlign w:val="center"/>
          </w:tcPr>
          <w:p>
            <w:pPr>
              <w:pStyle w:val="28"/>
              <w:pBdr>
                <w:bottom w:val="none" w:color="auto" w:sz="0" w:space="0"/>
              </w:pBdr>
              <w:tabs>
                <w:tab w:val="clear" w:pos="4153"/>
                <w:tab w:val="clear" w:pos="8306"/>
              </w:tabs>
              <w:snapToGrid/>
              <w:spacing w:line="240" w:lineRule="auto"/>
              <w:rPr>
                <w:rFonts w:hint="eastAsia" w:ascii="宋体" w:hAnsi="宋体" w:cs="Courier New"/>
                <w:color w:val="auto"/>
                <w:spacing w:val="2"/>
                <w:sz w:val="21"/>
                <w:szCs w:val="21"/>
              </w:rPr>
            </w:pPr>
            <w:r>
              <w:rPr>
                <w:rFonts w:ascii="宋体" w:hAnsi="宋体" w:cs="Courier New"/>
                <w:color w:val="auto"/>
                <w:spacing w:val="2"/>
                <w:sz w:val="21"/>
                <w:szCs w:val="21"/>
              </w:rPr>
              <w:t>1.1</w:t>
            </w:r>
          </w:p>
        </w:tc>
        <w:tc>
          <w:tcPr>
            <w:tcW w:w="8265" w:type="dxa"/>
            <w:noWrap w:val="0"/>
            <w:vAlign w:val="center"/>
          </w:tcPr>
          <w:p>
            <w:pPr>
              <w:pStyle w:val="22"/>
              <w:spacing w:line="380" w:lineRule="exact"/>
              <w:ind w:left="963" w:leftChars="-11" w:hanging="986" w:hangingChars="461"/>
              <w:rPr>
                <w:rFonts w:hint="eastAsia" w:hAnsi="宋体" w:eastAsia="宋体"/>
                <w:lang w:eastAsia="zh-CN"/>
              </w:rPr>
            </w:pPr>
            <w:r>
              <w:rPr>
                <w:rFonts w:hint="eastAsia" w:hAnsi="宋体" w:cs="Courier New"/>
                <w:spacing w:val="2"/>
              </w:rPr>
              <w:t>工程名称：</w:t>
            </w:r>
            <w:r>
              <w:rPr>
                <w:rFonts w:hint="eastAsia" w:hAnsi="宋体"/>
                <w:bCs/>
                <w:lang w:eastAsia="zh-CN"/>
              </w:rPr>
              <w:t>博白县九洲江流域（第一批）农村生活污水处理项目-宁潭镇新榕村（官塘背、下低村、下岭队）工程</w:t>
            </w:r>
          </w:p>
          <w:p>
            <w:pPr>
              <w:spacing w:line="380" w:lineRule="exact"/>
              <w:ind w:left="0" w:leftChars="-11" w:hanging="23" w:hangingChars="11"/>
              <w:rPr>
                <w:rFonts w:hint="default" w:ascii="宋体" w:hAnsi="宋体" w:eastAsia="宋体"/>
                <w:bCs/>
                <w:color w:val="auto"/>
                <w:szCs w:val="21"/>
                <w:lang w:val="en-US" w:eastAsia="zh-CN"/>
              </w:rPr>
            </w:pPr>
            <w:r>
              <w:rPr>
                <w:rFonts w:hint="eastAsia" w:ascii="宋体" w:hAnsi="宋体" w:cs="Courier New"/>
                <w:bCs/>
                <w:color w:val="auto"/>
                <w:spacing w:val="2"/>
                <w:szCs w:val="21"/>
              </w:rPr>
              <w:t>项目编号：</w:t>
            </w:r>
            <w:r>
              <w:rPr>
                <w:rFonts w:hint="eastAsia" w:ascii="宋体" w:hAnsi="宋体"/>
                <w:bCs/>
                <w:color w:val="auto"/>
                <w:szCs w:val="21"/>
              </w:rPr>
              <w:t>YLZC2020-C2-</w:t>
            </w:r>
            <w:r>
              <w:rPr>
                <w:rFonts w:hint="eastAsia" w:ascii="宋体" w:hAnsi="宋体"/>
                <w:bCs/>
                <w:color w:val="auto"/>
                <w:szCs w:val="21"/>
                <w:lang w:val="en-US" w:eastAsia="zh-CN"/>
              </w:rPr>
              <w:t>230235</w:t>
            </w:r>
            <w:bookmarkStart w:id="651" w:name="_GoBack"/>
            <w:bookmarkEnd w:id="651"/>
            <w:r>
              <w:rPr>
                <w:rFonts w:hint="eastAsia" w:ascii="宋体" w:hAnsi="宋体"/>
                <w:bCs/>
                <w:color w:val="auto"/>
                <w:szCs w:val="21"/>
              </w:rPr>
              <w:t>-</w:t>
            </w:r>
            <w:r>
              <w:rPr>
                <w:rFonts w:hint="eastAsia" w:ascii="宋体" w:hAnsi="宋体"/>
                <w:bCs/>
                <w:color w:val="auto"/>
                <w:szCs w:val="21"/>
                <w:lang w:val="en-US" w:eastAsia="zh-CN"/>
              </w:rPr>
              <w:t>GXJK</w:t>
            </w:r>
          </w:p>
          <w:p>
            <w:pPr>
              <w:spacing w:line="380" w:lineRule="exact"/>
              <w:ind w:left="0" w:leftChars="-11" w:hanging="23" w:hangingChars="11"/>
              <w:rPr>
                <w:rFonts w:hint="eastAsia" w:ascii="宋体" w:hAnsi="宋体"/>
                <w:bCs/>
                <w:color w:val="auto"/>
              </w:rPr>
            </w:pPr>
            <w:r>
              <w:rPr>
                <w:rFonts w:hint="eastAsia" w:ascii="宋体" w:hAnsi="宋体" w:cs="Courier New"/>
                <w:bCs/>
                <w:color w:val="auto"/>
                <w:spacing w:val="2"/>
                <w:szCs w:val="21"/>
              </w:rPr>
              <w:t>建设地点：</w:t>
            </w:r>
            <w:r>
              <w:rPr>
                <w:rFonts w:hint="eastAsia" w:hAnsi="宋体"/>
                <w:bCs/>
                <w:color w:val="auto"/>
                <w:lang w:eastAsia="zh-CN"/>
              </w:rPr>
              <w:t>博白县宁潭镇</w:t>
            </w:r>
          </w:p>
          <w:p>
            <w:pPr>
              <w:spacing w:line="380" w:lineRule="exact"/>
              <w:ind w:left="0" w:leftChars="-11" w:hanging="23" w:hangingChars="11"/>
              <w:rPr>
                <w:rFonts w:hint="eastAsia" w:ascii="宋体" w:hAnsi="宋体" w:cs="Courier New"/>
                <w:b/>
                <w:color w:val="auto"/>
                <w:spacing w:val="2"/>
                <w:szCs w:val="21"/>
              </w:rPr>
            </w:pPr>
            <w:r>
              <w:rPr>
                <w:rFonts w:hint="eastAsia" w:ascii="宋体" w:hAnsi="宋体" w:cs="Courier New"/>
                <w:color w:val="auto"/>
                <w:spacing w:val="2"/>
                <w:szCs w:val="21"/>
              </w:rPr>
              <w:t>发包方式：</w:t>
            </w:r>
            <w:r>
              <w:rPr>
                <w:rFonts w:hint="eastAsia" w:ascii="宋体" w:hAnsi="宋体" w:cs="Courier New"/>
                <w:b/>
                <w:color w:val="auto"/>
                <w:spacing w:val="2"/>
                <w:szCs w:val="21"/>
              </w:rPr>
              <w:t>综合单价包干,包工包料</w:t>
            </w:r>
          </w:p>
          <w:p>
            <w:pPr>
              <w:spacing w:line="380" w:lineRule="exact"/>
              <w:ind w:left="0" w:leftChars="-11" w:hanging="23" w:hangingChars="11"/>
              <w:rPr>
                <w:rFonts w:hint="eastAsia" w:ascii="宋体" w:hAnsi="宋体" w:eastAsia="宋体" w:cs="Courier New"/>
                <w:color w:val="auto"/>
                <w:spacing w:val="2"/>
                <w:szCs w:val="21"/>
                <w:lang w:eastAsia="zh-CN"/>
              </w:rPr>
            </w:pPr>
            <w:r>
              <w:rPr>
                <w:rFonts w:hint="eastAsia" w:ascii="宋体" w:hAnsi="宋体" w:cs="Courier New"/>
                <w:color w:val="auto"/>
                <w:spacing w:val="2"/>
                <w:szCs w:val="21"/>
              </w:rPr>
              <w:t>工程质量要求：</w:t>
            </w:r>
            <w:r>
              <w:rPr>
                <w:rFonts w:hint="eastAsia" w:ascii="宋体" w:hAnsi="宋体" w:cs="Courier New"/>
                <w:color w:val="auto"/>
                <w:spacing w:val="2"/>
                <w:szCs w:val="21"/>
                <w:lang w:eastAsia="zh-CN"/>
              </w:rPr>
              <w:t>合格</w:t>
            </w:r>
          </w:p>
          <w:p>
            <w:pPr>
              <w:spacing w:line="380" w:lineRule="exact"/>
              <w:ind w:left="0" w:leftChars="-11" w:hanging="23" w:hangingChars="11"/>
              <w:rPr>
                <w:rFonts w:hint="eastAsia" w:ascii="宋体" w:hAnsi="宋体" w:cs="Courier New"/>
                <w:b/>
                <w:bCs/>
                <w:color w:val="auto"/>
                <w:spacing w:val="2"/>
                <w:szCs w:val="21"/>
                <w:u w:val="single" w:color="auto"/>
              </w:rPr>
            </w:pPr>
            <w:r>
              <w:rPr>
                <w:rFonts w:hint="eastAsia" w:ascii="宋体" w:hAnsi="宋体" w:cs="Courier New"/>
                <w:color w:val="auto"/>
                <w:spacing w:val="2"/>
                <w:szCs w:val="21"/>
              </w:rPr>
              <w:t>计划开工时间：</w:t>
            </w:r>
            <w:r>
              <w:rPr>
                <w:rFonts w:hint="eastAsia" w:ascii="宋体" w:hAnsi="宋体" w:cs="Courier New"/>
                <w:bCs/>
                <w:color w:val="auto"/>
                <w:spacing w:val="2"/>
                <w:szCs w:val="21"/>
              </w:rPr>
              <w:t>2020年</w:t>
            </w:r>
            <w:r>
              <w:rPr>
                <w:rFonts w:hint="eastAsia" w:ascii="宋体" w:hAnsi="宋体" w:cs="Courier New"/>
                <w:bCs/>
                <w:color w:val="auto"/>
                <w:spacing w:val="2"/>
                <w:szCs w:val="21"/>
                <w:lang w:val="en-US" w:eastAsia="zh-CN"/>
              </w:rPr>
              <w:t>12</w:t>
            </w:r>
            <w:r>
              <w:rPr>
                <w:rFonts w:hint="eastAsia" w:ascii="宋体" w:hAnsi="宋体" w:cs="Courier New"/>
                <w:bCs/>
                <w:color w:val="auto"/>
                <w:spacing w:val="2"/>
                <w:szCs w:val="21"/>
              </w:rPr>
              <w:t>月，具体以采购人下达的开工时间为准。</w:t>
            </w:r>
          </w:p>
          <w:p>
            <w:pPr>
              <w:spacing w:line="380" w:lineRule="exact"/>
              <w:ind w:left="0" w:leftChars="-11" w:hanging="23" w:hangingChars="11"/>
              <w:rPr>
                <w:rFonts w:hint="eastAsia" w:ascii="宋体" w:hAnsi="宋体" w:cs="Courier New"/>
                <w:color w:val="auto"/>
                <w:spacing w:val="2"/>
                <w:szCs w:val="21"/>
              </w:rPr>
            </w:pPr>
            <w:r>
              <w:rPr>
                <w:rFonts w:hint="eastAsia" w:ascii="宋体" w:hAnsi="宋体" w:cs="Courier New"/>
                <w:color w:val="auto"/>
                <w:spacing w:val="2"/>
                <w:szCs w:val="21"/>
              </w:rPr>
              <w:t>工期：</w:t>
            </w:r>
            <w:r>
              <w:rPr>
                <w:rFonts w:hint="eastAsia" w:ascii="宋体" w:hAnsi="宋体" w:cs="Courier New"/>
                <w:color w:val="auto"/>
                <w:spacing w:val="2"/>
                <w:szCs w:val="21"/>
                <w:lang w:val="en-US" w:eastAsia="zh-CN"/>
              </w:rPr>
              <w:t>60</w:t>
            </w:r>
            <w:r>
              <w:rPr>
                <w:rFonts w:hint="eastAsia" w:ascii="宋体" w:hAnsi="宋体" w:cs="Courier New"/>
                <w:color w:val="auto"/>
                <w:spacing w:val="2"/>
                <w:szCs w:val="21"/>
              </w:rPr>
              <w:t>天（日历天）</w:t>
            </w:r>
          </w:p>
          <w:p>
            <w:pPr>
              <w:snapToGrid w:val="0"/>
              <w:spacing w:line="400" w:lineRule="exact"/>
              <w:rPr>
                <w:rFonts w:hint="eastAsia" w:ascii="宋体" w:hAnsi="宋体" w:cs="宋体"/>
                <w:bCs/>
                <w:color w:val="auto"/>
                <w:szCs w:val="21"/>
              </w:rPr>
            </w:pPr>
            <w:r>
              <w:rPr>
                <w:rFonts w:hint="eastAsia" w:ascii="宋体" w:hAnsi="宋体" w:cs="Courier New"/>
                <w:color w:val="auto"/>
                <w:spacing w:val="2"/>
                <w:szCs w:val="21"/>
              </w:rPr>
              <w:t>建设内容：</w:t>
            </w:r>
            <w:r>
              <w:rPr>
                <w:rFonts w:hint="eastAsia" w:ascii="宋体" w:hAnsi="宋体" w:cs="宋体"/>
                <w:bCs/>
                <w:color w:val="auto"/>
                <w:szCs w:val="21"/>
              </w:rPr>
              <w:t>具体详见施工图纸及工程量清单所包含的内容。</w:t>
            </w:r>
          </w:p>
          <w:p>
            <w:pPr>
              <w:spacing w:line="380" w:lineRule="exact"/>
              <w:rPr>
                <w:rFonts w:hint="eastAsia" w:ascii="宋体" w:hAnsi="宋体"/>
                <w:color w:val="auto"/>
                <w:szCs w:val="21"/>
              </w:rPr>
            </w:pPr>
            <w:r>
              <w:rPr>
                <w:rFonts w:hint="eastAsia" w:ascii="宋体" w:hAnsi="宋体" w:cs="Courier New"/>
                <w:bCs/>
                <w:color w:val="auto"/>
                <w:spacing w:val="2"/>
                <w:szCs w:val="21"/>
                <w:u w:val="none" w:color="auto"/>
              </w:rPr>
              <w:t>本项目招标控制价：</w:t>
            </w:r>
            <w:r>
              <w:rPr>
                <w:rFonts w:hint="eastAsia" w:ascii="宋体" w:hAnsi="宋体" w:cs="Courier New"/>
                <w:b w:val="0"/>
                <w:bCs w:val="0"/>
                <w:color w:val="auto"/>
                <w:spacing w:val="2"/>
                <w:szCs w:val="21"/>
                <w:u w:val="none" w:color="auto"/>
                <w:lang w:eastAsia="zh-CN"/>
              </w:rPr>
              <w:t>人民币玖拾肆万叁仟捌佰贰拾伍元玖角贰分（¥943825.92）</w:t>
            </w:r>
            <w:r>
              <w:rPr>
                <w:rFonts w:hint="eastAsia" w:ascii="宋体" w:hAnsi="宋体" w:cs="Courier New"/>
                <w:b w:val="0"/>
                <w:bCs w:val="0"/>
                <w:color w:val="auto"/>
                <w:spacing w:val="2"/>
                <w:szCs w:val="21"/>
                <w:u w:val="none" w:color="auto"/>
              </w:rPr>
              <w:t>磋</w:t>
            </w:r>
            <w:r>
              <w:rPr>
                <w:rFonts w:hint="eastAsia" w:ascii="宋体" w:hAnsi="宋体" w:cs="Courier New"/>
                <w:color w:val="auto"/>
                <w:spacing w:val="2"/>
                <w:szCs w:val="21"/>
                <w:u w:val="none" w:color="auto"/>
              </w:rPr>
              <w:t>商供应商的磋商报价必须低于本项目上限控制价，否则，作无效磋商处理。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2</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2</w:t>
            </w:r>
            <w:r>
              <w:rPr>
                <w:rFonts w:ascii="宋体" w:hAnsi="宋体" w:cs="Courier New"/>
                <w:color w:val="auto"/>
                <w:spacing w:val="2"/>
                <w:szCs w:val="21"/>
              </w:rPr>
              <w:t>.1</w:t>
            </w:r>
          </w:p>
        </w:tc>
        <w:tc>
          <w:tcPr>
            <w:tcW w:w="8265" w:type="dxa"/>
            <w:noWrap w:val="0"/>
            <w:vAlign w:val="center"/>
          </w:tcPr>
          <w:p>
            <w:pPr>
              <w:spacing w:line="380" w:lineRule="exact"/>
              <w:ind w:left="-2" w:leftChars="-15" w:hanging="29" w:hangingChars="14"/>
              <w:rPr>
                <w:rFonts w:hint="eastAsia" w:ascii="宋体" w:hAnsi="宋体" w:eastAsia="宋体" w:cs="Courier New"/>
                <w:color w:val="auto"/>
                <w:spacing w:val="2"/>
                <w:szCs w:val="21"/>
                <w:u w:val="none" w:color="auto"/>
                <w:lang w:eastAsia="zh-CN"/>
              </w:rPr>
            </w:pPr>
            <w:r>
              <w:rPr>
                <w:rFonts w:hint="eastAsia" w:ascii="宋体" w:hAnsi="宋体" w:cs="Courier New"/>
                <w:color w:val="auto"/>
                <w:spacing w:val="2"/>
              </w:rPr>
              <w:t>资金来源：</w:t>
            </w:r>
            <w:r>
              <w:rPr>
                <w:rFonts w:hint="eastAsia" w:ascii="宋体" w:hAnsi="宋体" w:cs="Courier New"/>
                <w:color w:val="auto"/>
                <w:spacing w:val="2"/>
                <w:u w:val="none" w:color="auto"/>
                <w:lang w:eastAsia="zh-CN"/>
              </w:rPr>
              <w:t>九洲江流域水环境综合整治资金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3</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3.1</w:t>
            </w:r>
          </w:p>
        </w:tc>
        <w:tc>
          <w:tcPr>
            <w:tcW w:w="8265" w:type="dxa"/>
            <w:noWrap w:val="0"/>
            <w:vAlign w:val="center"/>
          </w:tcPr>
          <w:p>
            <w:pPr>
              <w:spacing w:line="380" w:lineRule="exact"/>
              <w:rPr>
                <w:rFonts w:hint="eastAsia" w:ascii="宋体" w:hAnsi="宋体"/>
                <w:b/>
                <w:color w:val="auto"/>
                <w:szCs w:val="21"/>
              </w:rPr>
            </w:pPr>
            <w:r>
              <w:rPr>
                <w:rFonts w:hint="eastAsia" w:ascii="宋体" w:hAnsi="宋体" w:cs="Courier New"/>
                <w:b/>
                <w:bCs/>
                <w:color w:val="auto"/>
                <w:spacing w:val="2"/>
                <w:szCs w:val="21"/>
              </w:rPr>
              <w:t>磋商供应商资格要求</w:t>
            </w:r>
            <w:r>
              <w:rPr>
                <w:rFonts w:hint="eastAsia" w:ascii="宋体" w:hAnsi="宋体"/>
                <w:b/>
                <w:color w:val="auto"/>
                <w:szCs w:val="21"/>
              </w:rPr>
              <w:t>：</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1、满足《中华人民共和国政府采购法》第二十二条规定条件，并</w:t>
            </w:r>
            <w:r>
              <w:rPr>
                <w:rFonts w:hint="eastAsia" w:ascii="宋体" w:hAnsi="宋体" w:cs="宋体"/>
                <w:color w:val="auto"/>
                <w:szCs w:val="21"/>
              </w:rPr>
              <w:t>具备国内独立法人资格</w:t>
            </w:r>
            <w:r>
              <w:rPr>
                <w:rFonts w:hint="eastAsia" w:ascii="宋体" w:hAnsi="宋体" w:cs="宋体"/>
                <w:bCs/>
                <w:color w:val="auto"/>
                <w:szCs w:val="21"/>
              </w:rPr>
              <w:t>的供应商；</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2.落实政府采购政策需满足的资格要求：</w:t>
            </w:r>
            <w:r>
              <w:rPr>
                <w:rFonts w:hint="eastAsia" w:ascii="宋体" w:hAnsi="宋体" w:cs="宋体"/>
                <w:bCs/>
                <w:color w:val="auto"/>
                <w:szCs w:val="21"/>
                <w:u w:val="single"/>
              </w:rPr>
              <w:t>无</w:t>
            </w:r>
            <w:r>
              <w:rPr>
                <w:rFonts w:hint="eastAsia" w:ascii="宋体" w:hAnsi="宋体" w:cs="宋体"/>
                <w:bCs/>
                <w:color w:val="auto"/>
                <w:szCs w:val="21"/>
              </w:rPr>
              <w:t>；</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3.本项目的特定资格要求：</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w:t>
            </w:r>
            <w:r>
              <w:rPr>
                <w:rFonts w:hint="eastAsia" w:ascii="宋体" w:hAnsi="宋体" w:cs="宋体"/>
                <w:b w:val="0"/>
                <w:bCs/>
                <w:color w:val="auto"/>
                <w:szCs w:val="21"/>
              </w:rPr>
              <w:t>.1</w:t>
            </w:r>
            <w:r>
              <w:rPr>
                <w:rFonts w:hint="eastAsia" w:ascii="宋体" w:hAnsi="宋体" w:cs="宋体"/>
                <w:b w:val="0"/>
                <w:bCs/>
                <w:color w:val="auto"/>
                <w:szCs w:val="21"/>
                <w:u w:val="single" w:color="auto"/>
              </w:rPr>
              <w:t>须</w:t>
            </w:r>
            <w:r>
              <w:rPr>
                <w:rFonts w:hint="eastAsia" w:ascii="宋体" w:hAnsi="宋体" w:cs="宋体"/>
                <w:b w:val="0"/>
                <w:bCs/>
                <w:color w:val="auto"/>
                <w:szCs w:val="21"/>
                <w:u w:val="single" w:color="auto"/>
                <w:lang w:eastAsia="zh-CN"/>
              </w:rPr>
              <w:t>具备</w:t>
            </w:r>
            <w:r>
              <w:rPr>
                <w:rFonts w:hint="eastAsia" w:ascii="宋体" w:hAnsi="宋体" w:cs="宋体"/>
                <w:b w:val="0"/>
                <w:bCs/>
                <w:color w:val="auto"/>
                <w:szCs w:val="21"/>
                <w:u w:val="single" w:color="auto"/>
              </w:rPr>
              <w:t>市政公用工程施工总承包叁级以上（含叁级）资质</w:t>
            </w:r>
            <w:r>
              <w:rPr>
                <w:rFonts w:hint="eastAsia" w:ascii="宋体" w:hAnsi="宋体" w:cs="宋体"/>
                <w:b w:val="0"/>
                <w:bCs/>
                <w:color w:val="auto"/>
                <w:szCs w:val="21"/>
                <w:u w:val="single"/>
              </w:rPr>
              <w:t>，</w:t>
            </w:r>
            <w:r>
              <w:rPr>
                <w:rFonts w:hint="eastAsia" w:ascii="宋体" w:hAnsi="宋体" w:cs="宋体"/>
                <w:bCs/>
                <w:color w:val="auto"/>
                <w:szCs w:val="21"/>
                <w:u w:val="single"/>
              </w:rPr>
              <w:t>并在人员、设备、资金等方面具备相应施工能力的施工企业</w:t>
            </w:r>
            <w:r>
              <w:rPr>
                <w:rFonts w:hint="eastAsia" w:ascii="宋体" w:hAnsi="宋体" w:cs="宋体"/>
                <w:bCs/>
                <w:color w:val="auto"/>
                <w:szCs w:val="21"/>
              </w:rPr>
              <w:t>；</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3.2拟投入的</w:t>
            </w:r>
            <w:r>
              <w:rPr>
                <w:rFonts w:hint="eastAsia" w:ascii="宋体" w:hAnsi="宋体" w:cs="宋体"/>
                <w:bCs/>
                <w:color w:val="auto"/>
                <w:szCs w:val="21"/>
                <w:u w:val="single" w:color="auto"/>
              </w:rPr>
              <w:t>项目经理必须具有</w:t>
            </w:r>
            <w:r>
              <w:rPr>
                <w:rFonts w:hint="eastAsia" w:ascii="宋体" w:hAnsi="宋体" w:cs="宋体"/>
                <w:color w:val="auto"/>
                <w:szCs w:val="21"/>
                <w:u w:val="single" w:color="auto"/>
                <w:lang w:eastAsia="zh-CN"/>
              </w:rPr>
              <w:t>市政公用工程</w:t>
            </w:r>
            <w:r>
              <w:rPr>
                <w:rFonts w:hint="eastAsia" w:ascii="宋体" w:hAnsi="宋体" w:cs="宋体"/>
                <w:color w:val="auto"/>
                <w:szCs w:val="21"/>
                <w:u w:val="single" w:color="auto"/>
              </w:rPr>
              <w:t>专业贰级以上（含贰级）注册建造师资格，并具备有效的安全生产考核合格证书（B证），初级及以上职称，且未担任其他在建工程项目的项目经理</w:t>
            </w:r>
            <w:r>
              <w:rPr>
                <w:rFonts w:hint="eastAsia" w:ascii="宋体" w:hAnsi="宋体" w:cs="宋体"/>
                <w:color w:val="auto"/>
                <w:szCs w:val="21"/>
              </w:rPr>
              <w:t>；</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before="12" w:beforeLines="5" w:after="12" w:afterLines="5"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4</w:t>
            </w:r>
          </w:p>
        </w:tc>
        <w:tc>
          <w:tcPr>
            <w:tcW w:w="974" w:type="dxa"/>
            <w:noWrap w:val="0"/>
            <w:vAlign w:val="center"/>
          </w:tcPr>
          <w:p>
            <w:pPr>
              <w:spacing w:line="240" w:lineRule="auto"/>
              <w:jc w:val="center"/>
              <w:rPr>
                <w:rFonts w:hint="eastAsia" w:ascii="宋体" w:hAnsi="宋体" w:cs="Courier New"/>
                <w:color w:val="auto"/>
                <w:spacing w:val="2"/>
                <w:szCs w:val="21"/>
              </w:rPr>
            </w:pPr>
            <w:r>
              <w:rPr>
                <w:rFonts w:ascii="宋体" w:hAnsi="宋体" w:cs="Courier New"/>
                <w:color w:val="auto"/>
                <w:spacing w:val="2"/>
                <w:szCs w:val="21"/>
              </w:rPr>
              <w:t>1</w:t>
            </w:r>
            <w:r>
              <w:rPr>
                <w:rFonts w:hint="eastAsia" w:ascii="宋体" w:hAnsi="宋体" w:cs="Courier New"/>
                <w:color w:val="auto"/>
                <w:spacing w:val="2"/>
                <w:szCs w:val="21"/>
              </w:rPr>
              <w:t>2</w:t>
            </w:r>
            <w:r>
              <w:rPr>
                <w:rFonts w:ascii="宋体" w:hAnsi="宋体" w:cs="Courier New"/>
                <w:color w:val="auto"/>
                <w:spacing w:val="2"/>
                <w:szCs w:val="21"/>
              </w:rPr>
              <w:t>.1</w:t>
            </w:r>
          </w:p>
        </w:tc>
        <w:tc>
          <w:tcPr>
            <w:tcW w:w="8265" w:type="dxa"/>
            <w:noWrap w:val="0"/>
            <w:vAlign w:val="center"/>
          </w:tcPr>
          <w:p>
            <w:pPr>
              <w:spacing w:line="380" w:lineRule="exact"/>
              <w:rPr>
                <w:rFonts w:hint="eastAsia" w:ascii="宋体" w:hAnsi="宋体" w:cs="Courier New"/>
                <w:color w:val="auto"/>
                <w:spacing w:val="2"/>
                <w:szCs w:val="21"/>
              </w:rPr>
            </w:pPr>
            <w:r>
              <w:rPr>
                <w:rFonts w:hint="eastAsia" w:ascii="宋体" w:hAnsi="宋体" w:cs="Courier New"/>
                <w:color w:val="auto"/>
                <w:spacing w:val="2"/>
                <w:szCs w:val="21"/>
              </w:rPr>
              <w:t>磋商有效期为：</w:t>
            </w:r>
            <w:r>
              <w:rPr>
                <w:rFonts w:hint="eastAsia" w:ascii="宋体" w:hAnsi="宋体" w:cs="宋体"/>
                <w:b/>
                <w:bCs w:val="0"/>
                <w:color w:val="auto"/>
                <w:szCs w:val="21"/>
              </w:rPr>
              <w:t>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5</w:t>
            </w:r>
          </w:p>
        </w:tc>
        <w:tc>
          <w:tcPr>
            <w:tcW w:w="974" w:type="dxa"/>
            <w:noWrap w:val="0"/>
            <w:vAlign w:val="center"/>
          </w:tcPr>
          <w:p>
            <w:pPr>
              <w:spacing w:line="240" w:lineRule="auto"/>
              <w:jc w:val="center"/>
              <w:rPr>
                <w:rFonts w:hint="eastAsia" w:ascii="宋体" w:hAnsi="宋体" w:cs="Courier New"/>
                <w:color w:val="auto"/>
                <w:spacing w:val="2"/>
                <w:szCs w:val="21"/>
              </w:rPr>
            </w:pPr>
            <w:r>
              <w:rPr>
                <w:rFonts w:ascii="宋体" w:hAnsi="宋体" w:cs="Courier New"/>
                <w:color w:val="auto"/>
                <w:spacing w:val="2"/>
                <w:szCs w:val="21"/>
              </w:rPr>
              <w:t>1</w:t>
            </w:r>
            <w:r>
              <w:rPr>
                <w:rFonts w:hint="eastAsia" w:ascii="宋体" w:hAnsi="宋体" w:cs="Courier New"/>
                <w:color w:val="auto"/>
                <w:spacing w:val="2"/>
                <w:szCs w:val="21"/>
              </w:rPr>
              <w:t>3</w:t>
            </w:r>
            <w:r>
              <w:rPr>
                <w:rFonts w:ascii="宋体" w:hAnsi="宋体" w:cs="Courier New"/>
                <w:color w:val="auto"/>
                <w:spacing w:val="2"/>
                <w:szCs w:val="21"/>
              </w:rPr>
              <w:t>.1</w:t>
            </w:r>
          </w:p>
        </w:tc>
        <w:tc>
          <w:tcPr>
            <w:tcW w:w="8265" w:type="dxa"/>
            <w:noWrap w:val="0"/>
            <w:vAlign w:val="center"/>
          </w:tcPr>
          <w:p>
            <w:pPr>
              <w:spacing w:line="400" w:lineRule="exact"/>
              <w:rPr>
                <w:rFonts w:hint="eastAsia" w:ascii="宋体" w:hAnsi="宋体" w:cs="Courier New"/>
                <w:color w:val="auto"/>
                <w:spacing w:val="2"/>
                <w:szCs w:val="21"/>
                <w:u w:val="none" w:color="auto"/>
              </w:rPr>
            </w:pPr>
            <w:r>
              <w:rPr>
                <w:rFonts w:hint="eastAsia" w:ascii="宋体" w:hAnsi="宋体"/>
                <w:b/>
                <w:color w:val="auto"/>
                <w:szCs w:val="21"/>
              </w:rPr>
              <w:t>磋商保证金（人民币）：</w:t>
            </w: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pStyle w:val="28"/>
              <w:pBdr>
                <w:bottom w:val="none" w:color="auto" w:sz="0" w:space="0"/>
              </w:pBdr>
              <w:tabs>
                <w:tab w:val="clear" w:pos="4153"/>
                <w:tab w:val="clear" w:pos="8306"/>
              </w:tabs>
              <w:snapToGrid/>
              <w:spacing w:line="240" w:lineRule="auto"/>
              <w:rPr>
                <w:rFonts w:hint="eastAsia" w:ascii="宋体" w:hAnsi="宋体" w:cs="Courier New"/>
                <w:color w:val="auto"/>
                <w:spacing w:val="2"/>
                <w:sz w:val="21"/>
                <w:szCs w:val="21"/>
              </w:rPr>
            </w:pPr>
            <w:r>
              <w:rPr>
                <w:rFonts w:hint="eastAsia" w:ascii="宋体" w:hAnsi="宋体" w:cs="Courier New"/>
                <w:color w:val="auto"/>
                <w:spacing w:val="2"/>
                <w:sz w:val="21"/>
                <w:szCs w:val="21"/>
              </w:rPr>
              <w:t>6</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15.1</w:t>
            </w:r>
          </w:p>
        </w:tc>
        <w:tc>
          <w:tcPr>
            <w:tcW w:w="8265" w:type="dxa"/>
            <w:noWrap w:val="0"/>
            <w:vAlign w:val="center"/>
          </w:tcPr>
          <w:p>
            <w:pPr>
              <w:spacing w:line="400" w:lineRule="exact"/>
              <w:rPr>
                <w:rFonts w:hint="eastAsia" w:ascii="宋体" w:hAnsi="宋体" w:cs="Courier New"/>
                <w:b/>
                <w:color w:val="auto"/>
                <w:spacing w:val="2"/>
                <w:szCs w:val="21"/>
                <w:u w:val="none" w:color="auto"/>
              </w:rPr>
            </w:pPr>
            <w:r>
              <w:rPr>
                <w:rFonts w:hint="eastAsia" w:ascii="宋体" w:hAnsi="宋体" w:cs="Courier New"/>
                <w:b/>
                <w:color w:val="auto"/>
                <w:spacing w:val="2"/>
                <w:szCs w:val="21"/>
                <w:u w:val="none" w:color="auto"/>
              </w:rPr>
              <w:t>现场勘察：</w:t>
            </w:r>
          </w:p>
          <w:p>
            <w:pPr>
              <w:spacing w:line="400" w:lineRule="exact"/>
              <w:rPr>
                <w:rFonts w:hint="eastAsia" w:ascii="宋体" w:hAnsi="宋体" w:cs="Courier New"/>
                <w:color w:val="auto"/>
                <w:spacing w:val="2"/>
                <w:szCs w:val="21"/>
                <w:u w:val="none" w:color="auto"/>
              </w:rPr>
            </w:pPr>
            <w:r>
              <w:rPr>
                <w:rFonts w:hint="eastAsia" w:ascii="宋体" w:hAnsi="宋体" w:cs="Courier New"/>
                <w:color w:val="auto"/>
                <w:spacing w:val="2"/>
                <w:szCs w:val="21"/>
                <w:u w:val="none" w:color="auto"/>
              </w:rPr>
              <w:t>1、视项目具体情况，不组织踏勘现场，</w:t>
            </w:r>
          </w:p>
          <w:p>
            <w:pPr>
              <w:pStyle w:val="22"/>
              <w:spacing w:line="380" w:lineRule="exact"/>
              <w:rPr>
                <w:rFonts w:hint="eastAsia" w:hAnsi="宋体"/>
                <w:szCs w:val="21"/>
              </w:rPr>
            </w:pPr>
            <w:r>
              <w:rPr>
                <w:rFonts w:hint="eastAsia" w:hAnsi="宋体" w:cs="Courier New"/>
                <w:spacing w:val="2"/>
                <w:szCs w:val="21"/>
              </w:rPr>
              <w:t>2、供应商可自行对工程现场和周围环境勘察。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7</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16</w:t>
            </w:r>
            <w:r>
              <w:rPr>
                <w:rFonts w:ascii="宋体" w:hAnsi="宋体" w:cs="Courier New"/>
                <w:color w:val="auto"/>
                <w:spacing w:val="2"/>
                <w:szCs w:val="21"/>
              </w:rPr>
              <w:t>.1</w:t>
            </w:r>
          </w:p>
        </w:tc>
        <w:tc>
          <w:tcPr>
            <w:tcW w:w="8265" w:type="dxa"/>
            <w:noWrap w:val="0"/>
            <w:vAlign w:val="center"/>
          </w:tcPr>
          <w:p>
            <w:pPr>
              <w:spacing w:line="380" w:lineRule="exact"/>
              <w:rPr>
                <w:rFonts w:hint="eastAsia" w:ascii="宋体" w:hAnsi="宋体" w:cs="Courier New"/>
                <w:color w:val="auto"/>
                <w:spacing w:val="2"/>
                <w:szCs w:val="21"/>
              </w:rPr>
            </w:pPr>
            <w:r>
              <w:rPr>
                <w:rFonts w:hint="eastAsia" w:ascii="宋体" w:hAnsi="宋体" w:cs="Courier New"/>
                <w:color w:val="auto"/>
                <w:spacing w:val="2"/>
                <w:szCs w:val="21"/>
              </w:rPr>
              <w:t>响应文件套数：</w:t>
            </w:r>
            <w:r>
              <w:rPr>
                <w:rFonts w:hint="eastAsia" w:ascii="宋体" w:hAnsi="宋体" w:cs="Courier New"/>
                <w:bCs/>
                <w:color w:val="auto"/>
                <w:spacing w:val="2"/>
                <w:szCs w:val="21"/>
              </w:rPr>
              <w:t>正本一套、副本三套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826" w:type="dxa"/>
            <w:noWrap w:val="0"/>
            <w:vAlign w:val="center"/>
          </w:tcPr>
          <w:p>
            <w:pPr>
              <w:jc w:val="center"/>
              <w:rPr>
                <w:rFonts w:hint="eastAsia" w:ascii="宋体" w:hAnsi="宋体" w:cs="Courier New"/>
                <w:color w:val="auto"/>
                <w:spacing w:val="2"/>
                <w:szCs w:val="21"/>
              </w:rPr>
            </w:pPr>
            <w:r>
              <w:rPr>
                <w:rFonts w:hint="eastAsia" w:ascii="宋体" w:hAnsi="宋体" w:cs="Courier New"/>
                <w:color w:val="auto"/>
                <w:spacing w:val="2"/>
                <w:szCs w:val="21"/>
              </w:rPr>
              <w:t>8</w:t>
            </w:r>
          </w:p>
        </w:tc>
        <w:tc>
          <w:tcPr>
            <w:tcW w:w="974" w:type="dxa"/>
            <w:noWrap w:val="0"/>
            <w:vAlign w:val="center"/>
          </w:tcPr>
          <w:p>
            <w:pPr>
              <w:jc w:val="center"/>
              <w:rPr>
                <w:rFonts w:hint="eastAsia" w:ascii="宋体" w:hAnsi="宋体" w:cs="Courier New"/>
                <w:color w:val="auto"/>
                <w:spacing w:val="2"/>
                <w:szCs w:val="21"/>
              </w:rPr>
            </w:pPr>
            <w:r>
              <w:rPr>
                <w:rFonts w:hint="eastAsia" w:ascii="宋体" w:hAnsi="宋体" w:cs="Courier New"/>
                <w:color w:val="auto"/>
                <w:spacing w:val="2"/>
                <w:szCs w:val="21"/>
              </w:rPr>
              <w:t>17.1</w:t>
            </w:r>
          </w:p>
        </w:tc>
        <w:tc>
          <w:tcPr>
            <w:tcW w:w="8265" w:type="dxa"/>
            <w:noWrap w:val="0"/>
            <w:vAlign w:val="center"/>
          </w:tcPr>
          <w:p>
            <w:pPr>
              <w:spacing w:line="380" w:lineRule="exact"/>
              <w:rPr>
                <w:rFonts w:hint="eastAsia" w:ascii="宋体" w:hAnsi="宋体" w:cs="Courier New"/>
                <w:color w:val="auto"/>
                <w:spacing w:val="2"/>
                <w:szCs w:val="21"/>
                <w:u w:val="none" w:color="auto"/>
              </w:rPr>
            </w:pPr>
            <w:r>
              <w:rPr>
                <w:rFonts w:hint="eastAsia" w:ascii="宋体" w:hAnsi="宋体" w:cs="Courier New"/>
                <w:color w:val="auto"/>
                <w:spacing w:val="2"/>
                <w:szCs w:val="21"/>
              </w:rPr>
              <w:t>响应</w:t>
            </w:r>
            <w:r>
              <w:rPr>
                <w:rFonts w:hint="eastAsia" w:ascii="宋体" w:hAnsi="宋体" w:cs="Courier New"/>
                <w:color w:val="auto"/>
                <w:spacing w:val="2"/>
                <w:szCs w:val="21"/>
                <w:u w:val="none" w:color="auto"/>
              </w:rPr>
              <w:t>文件递交：</w:t>
            </w:r>
            <w:r>
              <w:rPr>
                <w:rFonts w:hint="eastAsia" w:ascii="宋体" w:hAnsi="宋体" w:cs="Courier New"/>
                <w:color w:val="auto"/>
                <w:spacing w:val="2"/>
                <w:szCs w:val="21"/>
              </w:rPr>
              <w:t>响应</w:t>
            </w:r>
            <w:r>
              <w:rPr>
                <w:rFonts w:hint="eastAsia" w:ascii="宋体" w:hAnsi="宋体" w:cs="Courier New"/>
                <w:color w:val="auto"/>
                <w:spacing w:val="2"/>
                <w:szCs w:val="21"/>
                <w:u w:val="none" w:color="auto"/>
              </w:rPr>
              <w:t>文件须在</w:t>
            </w:r>
            <w:r>
              <w:rPr>
                <w:rFonts w:hint="eastAsia" w:ascii="宋体" w:hAnsi="宋体"/>
                <w:color w:val="auto"/>
                <w:szCs w:val="21"/>
                <w:u w:val="none" w:color="auto"/>
              </w:rPr>
              <w:t>2020年</w:t>
            </w:r>
            <w:r>
              <w:rPr>
                <w:rFonts w:hint="eastAsia" w:ascii="宋体" w:hAnsi="宋体"/>
                <w:color w:val="auto"/>
                <w:szCs w:val="21"/>
                <w:u w:val="none" w:color="auto"/>
                <w:lang w:val="en-US" w:eastAsia="zh-CN"/>
              </w:rPr>
              <w:t>12</w:t>
            </w:r>
            <w:r>
              <w:rPr>
                <w:rFonts w:hint="eastAsia" w:ascii="宋体" w:hAnsi="宋体"/>
                <w:color w:val="auto"/>
                <w:szCs w:val="21"/>
                <w:u w:val="none" w:color="auto"/>
              </w:rPr>
              <w:t>月</w:t>
            </w:r>
            <w:r>
              <w:rPr>
                <w:rFonts w:hint="eastAsia" w:ascii="宋体" w:hAnsi="宋体"/>
                <w:color w:val="auto"/>
                <w:szCs w:val="21"/>
                <w:u w:val="none" w:color="auto"/>
                <w:lang w:val="en-US" w:eastAsia="zh-CN"/>
              </w:rPr>
              <w:t>4</w:t>
            </w:r>
            <w:r>
              <w:rPr>
                <w:rFonts w:hint="eastAsia" w:ascii="宋体" w:hAnsi="宋体"/>
                <w:color w:val="auto"/>
                <w:szCs w:val="21"/>
                <w:u w:val="none" w:color="auto"/>
              </w:rPr>
              <w:t>日北京时间</w:t>
            </w:r>
            <w:r>
              <w:rPr>
                <w:rFonts w:hint="eastAsia" w:ascii="宋体" w:hAnsi="宋体"/>
                <w:color w:val="auto"/>
                <w:szCs w:val="21"/>
                <w:u w:val="none" w:color="auto"/>
                <w:lang w:val="en-US" w:eastAsia="zh-CN"/>
              </w:rPr>
              <w:t>10</w:t>
            </w:r>
            <w:r>
              <w:rPr>
                <w:rFonts w:hint="eastAsia" w:ascii="宋体" w:hAnsi="宋体"/>
                <w:color w:val="auto"/>
                <w:szCs w:val="21"/>
                <w:u w:val="none" w:color="auto"/>
              </w:rPr>
              <w:t>时</w:t>
            </w:r>
            <w:r>
              <w:rPr>
                <w:rFonts w:hint="eastAsia" w:ascii="宋体" w:hAnsi="宋体"/>
                <w:color w:val="auto"/>
                <w:szCs w:val="21"/>
                <w:u w:val="none" w:color="auto"/>
                <w:lang w:val="en-US" w:eastAsia="zh-CN"/>
              </w:rPr>
              <w:t>00</w:t>
            </w:r>
            <w:r>
              <w:rPr>
                <w:rFonts w:hint="eastAsia" w:ascii="宋体" w:hAnsi="宋体"/>
                <w:color w:val="auto"/>
                <w:szCs w:val="21"/>
                <w:u w:val="none" w:color="auto"/>
              </w:rPr>
              <w:t>分</w:t>
            </w:r>
            <w:r>
              <w:rPr>
                <w:rFonts w:hint="eastAsia" w:ascii="宋体" w:hAnsi="宋体"/>
                <w:color w:val="auto"/>
                <w:u w:val="none" w:color="auto"/>
              </w:rPr>
              <w:t>前</w:t>
            </w:r>
            <w:r>
              <w:rPr>
                <w:rFonts w:hint="eastAsia" w:ascii="宋体" w:hAnsi="宋体" w:cs="Courier New"/>
                <w:color w:val="auto"/>
                <w:spacing w:val="2"/>
                <w:szCs w:val="21"/>
                <w:u w:val="none" w:color="auto"/>
              </w:rPr>
              <w:t>递交至</w:t>
            </w:r>
            <w:r>
              <w:rPr>
                <w:rFonts w:hint="eastAsia" w:ascii="宋体" w:hAnsi="宋体"/>
                <w:color w:val="auto"/>
                <w:szCs w:val="21"/>
                <w:u w:val="single" w:color="auto"/>
                <w:lang w:eastAsia="zh-CN"/>
              </w:rPr>
              <w:t>博白县公共资源交易中心开标室(博白县博白镇锦绣东路，博白县政务服务中心六楼)。</w:t>
            </w:r>
            <w:r>
              <w:rPr>
                <w:rFonts w:hint="eastAsia" w:ascii="宋体" w:hAnsi="宋体"/>
                <w:color w:val="auto"/>
                <w:szCs w:val="21"/>
                <w:u w:val="single" w:color="auto"/>
              </w:rPr>
              <w:t>开标室</w:t>
            </w:r>
            <w:r>
              <w:rPr>
                <w:rFonts w:hint="eastAsia" w:ascii="宋体" w:hAnsi="宋体" w:cs="Courier New"/>
                <w:color w:val="auto"/>
                <w:spacing w:val="2"/>
                <w:szCs w:val="21"/>
                <w:u w:val="none" w:color="auto"/>
              </w:rPr>
              <w:t>，由采购代理机构工作人员接收。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9</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19</w:t>
            </w:r>
            <w:r>
              <w:rPr>
                <w:rFonts w:ascii="宋体" w:hAnsi="宋体" w:cs="Courier New"/>
                <w:color w:val="auto"/>
                <w:spacing w:val="2"/>
                <w:szCs w:val="21"/>
              </w:rPr>
              <w:t>.1</w:t>
            </w:r>
          </w:p>
        </w:tc>
        <w:tc>
          <w:tcPr>
            <w:tcW w:w="8265" w:type="dxa"/>
            <w:noWrap w:val="0"/>
            <w:vAlign w:val="center"/>
          </w:tcPr>
          <w:p>
            <w:pPr>
              <w:spacing w:line="380" w:lineRule="exact"/>
              <w:rPr>
                <w:rFonts w:hint="eastAsia" w:ascii="宋体" w:hAnsi="宋体" w:cs="Courier New"/>
                <w:b/>
                <w:bCs/>
                <w:color w:val="auto"/>
                <w:spacing w:val="2"/>
                <w:szCs w:val="21"/>
              </w:rPr>
            </w:pPr>
            <w:r>
              <w:rPr>
                <w:rFonts w:hint="eastAsia" w:ascii="宋体" w:hAnsi="宋体" w:cs="Courier New"/>
                <w:color w:val="auto"/>
                <w:spacing w:val="2"/>
                <w:szCs w:val="21"/>
              </w:rPr>
              <w:t>开标时间：</w:t>
            </w:r>
            <w:r>
              <w:rPr>
                <w:rFonts w:hint="eastAsia" w:ascii="宋体" w:hAnsi="宋体"/>
                <w:color w:val="auto"/>
                <w:szCs w:val="21"/>
                <w:u w:val="none" w:color="auto"/>
              </w:rPr>
              <w:t>2020年</w:t>
            </w:r>
            <w:r>
              <w:rPr>
                <w:rFonts w:hint="eastAsia" w:ascii="宋体" w:hAnsi="宋体"/>
                <w:color w:val="auto"/>
                <w:szCs w:val="21"/>
                <w:u w:val="none" w:color="auto"/>
                <w:lang w:val="en-US" w:eastAsia="zh-CN"/>
              </w:rPr>
              <w:t>12</w:t>
            </w:r>
            <w:r>
              <w:rPr>
                <w:rFonts w:hint="eastAsia" w:ascii="宋体" w:hAnsi="宋体"/>
                <w:color w:val="auto"/>
                <w:szCs w:val="21"/>
                <w:u w:val="none" w:color="auto"/>
              </w:rPr>
              <w:t>月</w:t>
            </w:r>
            <w:r>
              <w:rPr>
                <w:rFonts w:hint="eastAsia" w:ascii="宋体" w:hAnsi="宋体"/>
                <w:color w:val="auto"/>
                <w:szCs w:val="21"/>
                <w:u w:val="none" w:color="auto"/>
                <w:lang w:val="en-US" w:eastAsia="zh-CN"/>
              </w:rPr>
              <w:t>4</w:t>
            </w:r>
            <w:r>
              <w:rPr>
                <w:rFonts w:hint="eastAsia" w:ascii="宋体" w:hAnsi="宋体"/>
                <w:color w:val="auto"/>
                <w:szCs w:val="21"/>
                <w:u w:val="none" w:color="auto"/>
              </w:rPr>
              <w:t>日北京时间</w:t>
            </w:r>
            <w:r>
              <w:rPr>
                <w:rFonts w:hint="eastAsia" w:ascii="宋体" w:hAnsi="宋体"/>
                <w:color w:val="auto"/>
                <w:szCs w:val="21"/>
                <w:u w:val="none" w:color="auto"/>
                <w:lang w:val="en-US" w:eastAsia="zh-CN"/>
              </w:rPr>
              <w:t>10</w:t>
            </w:r>
            <w:r>
              <w:rPr>
                <w:rFonts w:hint="eastAsia" w:ascii="宋体" w:hAnsi="宋体"/>
                <w:color w:val="auto"/>
                <w:szCs w:val="21"/>
                <w:u w:val="none" w:color="auto"/>
              </w:rPr>
              <w:t>时</w:t>
            </w:r>
            <w:r>
              <w:rPr>
                <w:rFonts w:hint="eastAsia" w:ascii="宋体" w:hAnsi="宋体"/>
                <w:color w:val="auto"/>
                <w:szCs w:val="21"/>
                <w:u w:val="none" w:color="auto"/>
                <w:lang w:val="en-US" w:eastAsia="zh-CN"/>
              </w:rPr>
              <w:t>00</w:t>
            </w:r>
            <w:r>
              <w:rPr>
                <w:rFonts w:hint="eastAsia" w:ascii="宋体" w:hAnsi="宋体"/>
                <w:color w:val="auto"/>
                <w:szCs w:val="21"/>
                <w:u w:val="none" w:color="auto"/>
              </w:rPr>
              <w:t>分</w:t>
            </w:r>
          </w:p>
          <w:p>
            <w:pPr>
              <w:spacing w:line="380" w:lineRule="exact"/>
              <w:rPr>
                <w:rFonts w:hint="eastAsia" w:ascii="宋体" w:hAnsi="宋体" w:cs="Courier New"/>
                <w:color w:val="auto"/>
                <w:spacing w:val="2"/>
                <w:szCs w:val="21"/>
              </w:rPr>
            </w:pPr>
            <w:r>
              <w:rPr>
                <w:rFonts w:hint="eastAsia" w:ascii="宋体" w:hAnsi="宋体" w:cs="Courier New"/>
                <w:color w:val="auto"/>
                <w:spacing w:val="2"/>
                <w:szCs w:val="21"/>
              </w:rPr>
              <w:t>地　点：</w:t>
            </w:r>
            <w:r>
              <w:rPr>
                <w:rFonts w:hint="eastAsia" w:ascii="宋体" w:hAnsi="宋体"/>
                <w:color w:val="auto"/>
                <w:szCs w:val="21"/>
                <w:u w:val="single" w:color="auto"/>
                <w:lang w:eastAsia="zh-CN"/>
              </w:rPr>
              <w:t>博白县公共资源交易中心开标室(博白县博白镇锦绣东路，博白县政务服务中心六楼)。</w:t>
            </w:r>
            <w:r>
              <w:rPr>
                <w:rFonts w:hint="eastAsia" w:ascii="宋体" w:hAnsi="宋体"/>
                <w:color w:val="auto"/>
                <w:szCs w:val="21"/>
                <w:u w:val="single" w:color="auto"/>
              </w:rPr>
              <w:t>开标室</w:t>
            </w:r>
            <w:r>
              <w:rPr>
                <w:rFonts w:hint="eastAsia" w:ascii="宋体" w:hAnsi="宋体" w:cs="Courier New"/>
                <w:color w:val="auto"/>
                <w:spacing w:val="2"/>
                <w:szCs w:val="21"/>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10</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24.8</w:t>
            </w:r>
          </w:p>
        </w:tc>
        <w:tc>
          <w:tcPr>
            <w:tcW w:w="8265" w:type="dxa"/>
            <w:noWrap w:val="0"/>
            <w:vAlign w:val="center"/>
          </w:tcPr>
          <w:p>
            <w:pPr>
              <w:spacing w:line="380" w:lineRule="exact"/>
              <w:rPr>
                <w:rFonts w:hint="eastAsia" w:ascii="宋体" w:hAnsi="宋体" w:cs="Courier New"/>
                <w:color w:val="auto"/>
                <w:spacing w:val="2"/>
                <w:szCs w:val="21"/>
              </w:rPr>
            </w:pPr>
            <w:r>
              <w:rPr>
                <w:rFonts w:hint="eastAsia" w:ascii="宋体" w:hAnsi="宋体"/>
                <w:b/>
                <w:bCs/>
                <w:color w:val="auto"/>
                <w:u w:val="none" w:color="auto"/>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11</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29</w:t>
            </w:r>
          </w:p>
        </w:tc>
        <w:tc>
          <w:tcPr>
            <w:tcW w:w="8265" w:type="dxa"/>
            <w:noWrap w:val="0"/>
            <w:vAlign w:val="center"/>
          </w:tcPr>
          <w:p>
            <w:pPr>
              <w:pStyle w:val="15"/>
              <w:spacing w:line="300" w:lineRule="exact"/>
              <w:rPr>
                <w:rFonts w:hint="eastAsia" w:ascii="宋体" w:hAnsi="宋体"/>
                <w:color w:val="auto"/>
                <w:szCs w:val="21"/>
              </w:rPr>
            </w:pPr>
            <w:r>
              <w:rPr>
                <w:rFonts w:hint="eastAsia" w:ascii="宋体" w:hAnsi="宋体"/>
                <w:color w:val="auto"/>
                <w:szCs w:val="21"/>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12</w:t>
            </w:r>
          </w:p>
        </w:tc>
        <w:tc>
          <w:tcPr>
            <w:tcW w:w="974"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30</w:t>
            </w:r>
          </w:p>
        </w:tc>
        <w:tc>
          <w:tcPr>
            <w:tcW w:w="8265" w:type="dxa"/>
            <w:noWrap w:val="0"/>
            <w:vAlign w:val="center"/>
          </w:tcPr>
          <w:p>
            <w:pPr>
              <w:spacing w:line="380" w:lineRule="exact"/>
              <w:rPr>
                <w:rFonts w:hint="eastAsia" w:ascii="宋体" w:hAnsi="宋体"/>
                <w:color w:val="auto"/>
                <w:szCs w:val="21"/>
                <w:u w:val="none" w:color="auto"/>
              </w:rPr>
            </w:pPr>
            <w:r>
              <w:rPr>
                <w:rFonts w:hint="eastAsia" w:ascii="宋体" w:hAnsi="宋体"/>
                <w:b/>
                <w:bCs/>
                <w:color w:val="auto"/>
              </w:rPr>
              <w:t>采购代理服务费：本项目采购代理服务费参照《关于进一步放开建设项目专业服务价格的通知》（发改价格[2015]299号）文件、广西壮族自治区物价局转发国家发展改革委关于进一步放开建设项目专业服务价格的通知（桂价费〔2015〕32号）进行收取，由成交人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13</w:t>
            </w:r>
          </w:p>
        </w:tc>
        <w:tc>
          <w:tcPr>
            <w:tcW w:w="974" w:type="dxa"/>
            <w:noWrap w:val="0"/>
            <w:vAlign w:val="center"/>
          </w:tcPr>
          <w:p>
            <w:pPr>
              <w:spacing w:line="240" w:lineRule="auto"/>
              <w:jc w:val="center"/>
              <w:rPr>
                <w:rFonts w:hint="eastAsia" w:ascii="宋体" w:hAnsi="宋体" w:cs="Courier New"/>
                <w:color w:val="auto"/>
                <w:spacing w:val="2"/>
                <w:szCs w:val="21"/>
              </w:rPr>
            </w:pPr>
          </w:p>
        </w:tc>
        <w:tc>
          <w:tcPr>
            <w:tcW w:w="8265" w:type="dxa"/>
            <w:noWrap w:val="0"/>
            <w:vAlign w:val="center"/>
          </w:tcPr>
          <w:p>
            <w:pPr>
              <w:spacing w:line="380" w:lineRule="exact"/>
              <w:rPr>
                <w:rFonts w:hint="eastAsia" w:ascii="宋体" w:hAnsi="宋体"/>
                <w:color w:val="auto"/>
              </w:rPr>
            </w:pPr>
            <w:r>
              <w:rPr>
                <w:rFonts w:hint="eastAsia" w:ascii="宋体" w:hAnsi="宋体"/>
                <w:b/>
                <w:color w:val="auto"/>
              </w:rPr>
              <w:t>政府采购合同公告：</w:t>
            </w:r>
            <w:r>
              <w:rPr>
                <w:rFonts w:hint="eastAsia" w:ascii="宋体" w:hAnsi="宋体"/>
                <w:color w:val="auto"/>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6" w:type="dxa"/>
            <w:noWrap w:val="0"/>
            <w:vAlign w:val="center"/>
          </w:tcPr>
          <w:p>
            <w:pPr>
              <w:spacing w:line="240" w:lineRule="auto"/>
              <w:jc w:val="center"/>
              <w:rPr>
                <w:rFonts w:hint="eastAsia" w:ascii="宋体" w:hAnsi="宋体" w:cs="Courier New"/>
                <w:color w:val="auto"/>
                <w:spacing w:val="2"/>
                <w:szCs w:val="21"/>
              </w:rPr>
            </w:pPr>
            <w:r>
              <w:rPr>
                <w:rFonts w:hint="eastAsia" w:ascii="宋体" w:hAnsi="宋体" w:cs="Courier New"/>
                <w:color w:val="auto"/>
                <w:spacing w:val="2"/>
                <w:szCs w:val="21"/>
              </w:rPr>
              <w:t>14</w:t>
            </w:r>
          </w:p>
        </w:tc>
        <w:tc>
          <w:tcPr>
            <w:tcW w:w="974" w:type="dxa"/>
            <w:noWrap w:val="0"/>
            <w:vAlign w:val="center"/>
          </w:tcPr>
          <w:p>
            <w:pPr>
              <w:spacing w:line="240" w:lineRule="auto"/>
              <w:jc w:val="center"/>
              <w:rPr>
                <w:rFonts w:hint="eastAsia" w:ascii="宋体" w:hAnsi="宋体" w:cs="Courier New"/>
                <w:color w:val="auto"/>
                <w:spacing w:val="2"/>
                <w:szCs w:val="21"/>
              </w:rPr>
            </w:pPr>
          </w:p>
        </w:tc>
        <w:tc>
          <w:tcPr>
            <w:tcW w:w="8265" w:type="dxa"/>
            <w:noWrap w:val="0"/>
            <w:vAlign w:val="center"/>
          </w:tcPr>
          <w:p>
            <w:pPr>
              <w:spacing w:line="380" w:lineRule="exact"/>
              <w:rPr>
                <w:rFonts w:hint="eastAsia" w:ascii="宋体" w:hAnsi="宋体"/>
                <w:color w:val="auto"/>
              </w:rPr>
            </w:pPr>
            <w:r>
              <w:rPr>
                <w:rFonts w:hint="eastAsia" w:ascii="宋体" w:hAnsi="宋体"/>
                <w:color w:val="auto"/>
              </w:rPr>
              <w:t>1、本文件中描述供应商的“公章”是指根据我国对公章的管理制度，用供应商法定主体行为名称制作的印章，除本文件有特殊规定外，供应商的财务章、部门章、分公司章、工会章、合同章、投标专用章、业务专用章及银行的转帐章、现金付讫章等其它形式印章均不能代替公章。</w:t>
            </w:r>
          </w:p>
          <w:p>
            <w:pPr>
              <w:spacing w:line="380" w:lineRule="exact"/>
              <w:rPr>
                <w:rFonts w:hint="eastAsia" w:ascii="宋体" w:hAnsi="宋体"/>
                <w:color w:val="auto"/>
              </w:rPr>
            </w:pPr>
            <w:r>
              <w:rPr>
                <w:rFonts w:hint="eastAsia" w:ascii="宋体" w:hAnsi="宋体"/>
                <w:color w:val="auto"/>
              </w:rPr>
              <w:t>2、本文件中描述供应商的“签字”是指供应商的法定代表人或授权人亲自在文件规定的签署处亲笔写上个人的名字的行为。</w:t>
            </w:r>
          </w:p>
        </w:tc>
      </w:tr>
    </w:tbl>
    <w:p>
      <w:pPr>
        <w:pStyle w:val="4"/>
        <w:spacing w:before="200" w:after="200" w:line="240" w:lineRule="auto"/>
        <w:jc w:val="center"/>
      </w:pPr>
      <w:r>
        <w:br w:type="page"/>
      </w:r>
      <w:bookmarkStart w:id="50" w:name="_Toc45007866"/>
      <w:bookmarkStart w:id="51" w:name="_Toc113257799"/>
      <w:bookmarkStart w:id="52" w:name="_Toc113258058"/>
      <w:bookmarkStart w:id="53" w:name="_Toc198634211"/>
      <w:r>
        <w:t>一、总则</w:t>
      </w:r>
      <w:bookmarkEnd w:id="50"/>
      <w:bookmarkEnd w:id="51"/>
      <w:bookmarkEnd w:id="52"/>
      <w:bookmarkEnd w:id="53"/>
    </w:p>
    <w:p>
      <w:pPr>
        <w:widowControl w:val="0"/>
        <w:adjustRightInd w:val="0"/>
        <w:snapToGrid w:val="0"/>
        <w:spacing w:line="400" w:lineRule="exact"/>
        <w:rPr>
          <w:rFonts w:ascii="宋体" w:hAnsi="宋体" w:cs="Courier New"/>
          <w:b/>
          <w:bCs/>
          <w:color w:val="auto"/>
          <w:spacing w:val="2"/>
        </w:rPr>
      </w:pPr>
      <w:r>
        <w:rPr>
          <w:rFonts w:hint="eastAsia" w:ascii="宋体" w:hAnsi="宋体" w:cs="Courier New"/>
          <w:b/>
          <w:bCs/>
          <w:color w:val="auto"/>
          <w:spacing w:val="2"/>
        </w:rPr>
        <w:t>l、工程说明</w:t>
      </w:r>
    </w:p>
    <w:p>
      <w:pPr>
        <w:widowControl w:val="0"/>
        <w:adjustRightInd w:val="0"/>
        <w:snapToGrid w:val="0"/>
        <w:spacing w:line="400" w:lineRule="exact"/>
        <w:ind w:firstLine="419" w:firstLineChars="196"/>
        <w:rPr>
          <w:rFonts w:hint="eastAsia" w:ascii="宋体" w:hAnsi="宋体" w:cs="Courier New"/>
          <w:color w:val="auto"/>
          <w:spacing w:val="2"/>
        </w:rPr>
      </w:pPr>
      <w:r>
        <w:rPr>
          <w:rFonts w:hint="eastAsia" w:ascii="宋体" w:hAnsi="宋体" w:cs="Courier New"/>
          <w:color w:val="auto"/>
          <w:spacing w:val="2"/>
        </w:rPr>
        <w:t>1</w:t>
      </w:r>
      <w:r>
        <w:rPr>
          <w:rFonts w:ascii="宋体" w:hAnsi="宋体" w:cs="Courier New"/>
          <w:color w:val="auto"/>
          <w:spacing w:val="2"/>
        </w:rPr>
        <w:t>.</w:t>
      </w:r>
      <w:r>
        <w:rPr>
          <w:rFonts w:hint="eastAsia" w:ascii="宋体" w:hAnsi="宋体" w:cs="Courier New"/>
          <w:color w:val="auto"/>
          <w:spacing w:val="2"/>
        </w:rPr>
        <w:t>1 工程的说明见磋商须知前附表（以下称“前附表”）第1项所述。</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2、资金来源及落实情况</w:t>
      </w:r>
    </w:p>
    <w:p>
      <w:pPr>
        <w:widowControl w:val="0"/>
        <w:adjustRightInd w:val="0"/>
        <w:snapToGrid w:val="0"/>
        <w:spacing w:line="400" w:lineRule="exact"/>
        <w:ind w:firstLine="417" w:firstLineChars="195"/>
        <w:rPr>
          <w:rFonts w:hint="eastAsia" w:ascii="宋体" w:hAnsi="宋体" w:eastAsia="宋体" w:cs="Courier New"/>
          <w:color w:val="auto"/>
          <w:spacing w:val="2"/>
          <w:lang w:eastAsia="zh-CN"/>
        </w:rPr>
      </w:pPr>
      <w:r>
        <w:rPr>
          <w:rFonts w:hint="eastAsia" w:ascii="宋体" w:hAnsi="宋体" w:cs="Courier New"/>
          <w:color w:val="auto"/>
          <w:spacing w:val="2"/>
        </w:rPr>
        <w:t>2.1 本工程的资金来源于</w:t>
      </w:r>
      <w:r>
        <w:rPr>
          <w:rFonts w:hint="eastAsia" w:ascii="宋体" w:hAnsi="宋体" w:cs="Courier New"/>
          <w:color w:val="auto"/>
          <w:spacing w:val="2"/>
          <w:u w:val="none" w:color="auto"/>
          <w:lang w:eastAsia="zh-CN"/>
        </w:rPr>
        <w:t>九洲江流域水环境综合整治资金</w:t>
      </w:r>
      <w:r>
        <w:rPr>
          <w:rFonts w:hint="eastAsia" w:ascii="宋体" w:hAnsi="宋体" w:cs="Courier New"/>
          <w:color w:val="auto"/>
          <w:spacing w:val="2"/>
        </w:rPr>
        <w:t>，资金已落实</w:t>
      </w:r>
      <w:r>
        <w:rPr>
          <w:rFonts w:hint="eastAsia" w:ascii="宋体" w:hAnsi="宋体" w:cs="Courier New"/>
          <w:color w:val="auto"/>
          <w:spacing w:val="2"/>
          <w:lang w:eastAsia="zh-CN"/>
        </w:rPr>
        <w:t>。</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3、供应商资格</w:t>
      </w:r>
    </w:p>
    <w:p>
      <w:pPr>
        <w:widowControl w:val="0"/>
        <w:adjustRightInd w:val="0"/>
        <w:snapToGrid w:val="0"/>
        <w:spacing w:line="400" w:lineRule="exact"/>
        <w:ind w:firstLine="417" w:firstLineChars="195"/>
        <w:rPr>
          <w:rFonts w:ascii="宋体" w:hAnsi="宋体" w:cs="Courier New"/>
          <w:color w:val="auto"/>
          <w:spacing w:val="2"/>
        </w:rPr>
      </w:pPr>
      <w:r>
        <w:rPr>
          <w:rFonts w:hint="eastAsia" w:ascii="宋体" w:hAnsi="宋体" w:cs="Courier New"/>
          <w:color w:val="auto"/>
          <w:spacing w:val="2"/>
        </w:rPr>
        <w:t xml:space="preserve">3.1 </w:t>
      </w:r>
      <w:r>
        <w:rPr>
          <w:rFonts w:hint="eastAsia" w:ascii="宋体" w:hAnsi="宋体"/>
          <w:color w:val="auto"/>
        </w:rPr>
        <w:t>参加本项目的供应商必须满足本须知前附表第3项要求的资格。</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4、磋商内容</w:t>
      </w:r>
    </w:p>
    <w:p>
      <w:pPr>
        <w:widowControl w:val="0"/>
        <w:adjustRightInd w:val="0"/>
        <w:snapToGrid w:val="0"/>
        <w:spacing w:line="400" w:lineRule="exact"/>
        <w:ind w:firstLine="409" w:firstLineChars="195"/>
        <w:rPr>
          <w:rFonts w:hint="eastAsia" w:ascii="宋体" w:hAnsi="宋体"/>
          <w:color w:val="auto"/>
        </w:rPr>
      </w:pPr>
      <w:r>
        <w:rPr>
          <w:rFonts w:hint="eastAsia" w:ascii="宋体" w:hAnsi="宋体"/>
          <w:color w:val="auto"/>
        </w:rPr>
        <w:t xml:space="preserve">4.1 磋商内容见磋商须知前附表（以下称“前附表”）第1项所述 </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5、磋商费用和工程招标控制价</w:t>
      </w:r>
    </w:p>
    <w:p>
      <w:pPr>
        <w:pStyle w:val="17"/>
        <w:adjustRightInd w:val="0"/>
        <w:snapToGrid w:val="0"/>
        <w:spacing w:line="400" w:lineRule="exact"/>
        <w:ind w:firstLine="417" w:firstLineChars="195"/>
        <w:rPr>
          <w:rFonts w:hint="eastAsia"/>
        </w:rPr>
      </w:pPr>
      <w:r>
        <w:rPr>
          <w:rFonts w:hint="eastAsia"/>
        </w:rPr>
        <w:t>5.1供应商应自行承担所有与本次磋商有关的全部费用。</w:t>
      </w:r>
    </w:p>
    <w:p>
      <w:pPr>
        <w:pStyle w:val="4"/>
        <w:spacing w:before="200" w:after="200" w:line="400" w:lineRule="exact"/>
        <w:jc w:val="center"/>
      </w:pPr>
      <w:bookmarkStart w:id="54" w:name="_Toc198634212"/>
      <w:bookmarkStart w:id="55" w:name="_Toc113258059"/>
      <w:bookmarkStart w:id="56" w:name="_Toc113257800"/>
      <w:bookmarkStart w:id="57" w:name="_Toc45007867"/>
      <w:r>
        <w:t>二、</w:t>
      </w:r>
      <w:r>
        <w:rPr>
          <w:rFonts w:hint="eastAsia"/>
        </w:rPr>
        <w:t>竞争性磋商</w:t>
      </w:r>
      <w:r>
        <w:t>文件</w:t>
      </w:r>
      <w:bookmarkEnd w:id="54"/>
      <w:bookmarkEnd w:id="55"/>
      <w:bookmarkEnd w:id="56"/>
      <w:r>
        <w:t>(以下简称：</w:t>
      </w:r>
      <w:r>
        <w:rPr>
          <w:rFonts w:hint="eastAsia"/>
        </w:rPr>
        <w:t>磋商</w:t>
      </w:r>
      <w:r>
        <w:t>文件)</w:t>
      </w:r>
      <w:bookmarkEnd w:id="57"/>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6、竞争性磋商文件的构成</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6</w:t>
      </w:r>
      <w:r>
        <w:rPr>
          <w:rFonts w:ascii="宋体" w:hAnsi="宋体" w:cs="Courier New"/>
          <w:color w:val="auto"/>
          <w:spacing w:val="2"/>
        </w:rPr>
        <w:t>.</w:t>
      </w:r>
      <w:r>
        <w:rPr>
          <w:rFonts w:hint="eastAsia" w:ascii="宋体" w:hAnsi="宋体" w:cs="Courier New"/>
          <w:color w:val="auto"/>
          <w:spacing w:val="2"/>
        </w:rPr>
        <w:t>1</w:t>
      </w:r>
      <w:r>
        <w:rPr>
          <w:rFonts w:hint="eastAsia" w:ascii="宋体" w:hAnsi="宋体"/>
          <w:color w:val="auto"/>
        </w:rPr>
        <w:t>竞争性磋商</w:t>
      </w:r>
      <w:r>
        <w:rPr>
          <w:rFonts w:ascii="宋体" w:hAnsi="宋体"/>
          <w:color w:val="auto"/>
        </w:rPr>
        <w:t>文件</w:t>
      </w:r>
      <w:r>
        <w:rPr>
          <w:rFonts w:hint="eastAsia" w:ascii="宋体" w:hAnsi="宋体" w:cs="Courier New"/>
          <w:color w:val="auto"/>
          <w:spacing w:val="2"/>
        </w:rPr>
        <w:t>包括：</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竞争性磋商公告</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第一章  供应商须知</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第二章  评标办法</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第三章  合同格式</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第四章  响应文件格式</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第五章  工程招标控制价</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6</w:t>
      </w:r>
      <w:r>
        <w:rPr>
          <w:rFonts w:ascii="宋体" w:hAnsi="宋体" w:cs="Courier New"/>
          <w:color w:val="auto"/>
          <w:spacing w:val="2"/>
        </w:rPr>
        <w:t>.</w:t>
      </w:r>
      <w:r>
        <w:rPr>
          <w:rFonts w:hint="eastAsia" w:ascii="宋体" w:hAnsi="宋体" w:cs="Courier New"/>
          <w:color w:val="auto"/>
          <w:spacing w:val="2"/>
        </w:rPr>
        <w:t>2</w:t>
      </w:r>
      <w:r>
        <w:rPr>
          <w:rFonts w:ascii="宋体" w:hAnsi="宋体" w:cs="Courier New"/>
          <w:color w:val="auto"/>
          <w:spacing w:val="2"/>
        </w:rPr>
        <w:t xml:space="preserve"> </w:t>
      </w:r>
      <w:r>
        <w:rPr>
          <w:rFonts w:hint="eastAsia" w:ascii="宋体" w:hAnsi="宋体" w:cs="Courier New"/>
          <w:color w:val="auto"/>
          <w:spacing w:val="2"/>
        </w:rPr>
        <w:t>供应商应认真审阅</w:t>
      </w:r>
      <w:r>
        <w:rPr>
          <w:rFonts w:hint="eastAsia" w:ascii="宋体" w:hAnsi="宋体"/>
          <w:color w:val="auto"/>
        </w:rPr>
        <w:t>竞争性磋商</w:t>
      </w:r>
      <w:r>
        <w:rPr>
          <w:rFonts w:ascii="宋体" w:hAnsi="宋体"/>
          <w:color w:val="auto"/>
        </w:rPr>
        <w:t>文件</w:t>
      </w:r>
      <w:r>
        <w:rPr>
          <w:rFonts w:hint="eastAsia" w:ascii="宋体" w:hAnsi="宋体" w:cs="Courier New"/>
          <w:color w:val="auto"/>
          <w:spacing w:val="2"/>
        </w:rPr>
        <w:t>中所有的磋商须知、合同条件、规定格式及要求。如果供应商编制的</w:t>
      </w:r>
      <w:r>
        <w:rPr>
          <w:rFonts w:hint="eastAsia" w:ascii="宋体" w:hAnsi="宋体" w:cs="Courier New"/>
          <w:color w:val="auto"/>
          <w:spacing w:val="2"/>
          <w:u w:val="none" w:color="auto"/>
        </w:rPr>
        <w:t>响应</w:t>
      </w:r>
      <w:r>
        <w:rPr>
          <w:rFonts w:hint="eastAsia" w:ascii="宋体" w:hAnsi="宋体" w:cs="Courier New"/>
          <w:color w:val="auto"/>
          <w:spacing w:val="2"/>
        </w:rPr>
        <w:t>文件不能符合竞争性磋商文件的要求，责任由供应商自负。实质上不响应竞争性磋商文件要求的响应文件将被采购人拒绝。</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7、竞争性磋商文件的澄清与修改</w:t>
      </w:r>
    </w:p>
    <w:p>
      <w:pPr>
        <w:pStyle w:val="22"/>
        <w:spacing w:line="400" w:lineRule="exact"/>
        <w:ind w:firstLine="420" w:firstLineChars="200"/>
        <w:rPr>
          <w:rFonts w:hint="eastAsia" w:hAnsi="宋体"/>
        </w:rPr>
      </w:pPr>
      <w:r>
        <w:rPr>
          <w:rFonts w:hint="eastAsia" w:hAnsi="宋体"/>
        </w:rPr>
        <w:t>7.1供应商要认真审核竞争性磋商文件，如果供应商认为本竞争性磋商文件中存在有倾向性、排他性的内容或条款的，可以在磋商截止日期3个工作日前，以书面形式并附上相关证明材料向采购项目联系人反映。</w:t>
      </w:r>
    </w:p>
    <w:p>
      <w:pPr>
        <w:pStyle w:val="22"/>
        <w:spacing w:line="400" w:lineRule="exact"/>
        <w:ind w:firstLine="420" w:firstLineChars="200"/>
        <w:rPr>
          <w:rFonts w:hint="eastAsia" w:hAnsi="宋体"/>
        </w:rPr>
      </w:pPr>
      <w:r>
        <w:rPr>
          <w:rFonts w:hint="eastAsia" w:hAnsi="宋体"/>
        </w:rPr>
        <w:t>7.2任何供应商对竞争性磋商文件的澄清要求，均应于磋商截止时间3个工作日前的正常工作时间以书面形式通知采购代理机构，同时认定其他形式为无效。采购代理机构将以书面形式予以答复，该答复不指明答复问题的来源，并以书面形式通知所有获得竞争性磋商文件的供应商。答复将同时在竞争性磋商公告信息发布媒体上公布。为确保项目的如期完成，采购代理机构将可能对供应商在规定时间之后提出的澄清问题不予答复。</w:t>
      </w:r>
    </w:p>
    <w:p>
      <w:pPr>
        <w:pStyle w:val="22"/>
        <w:spacing w:line="400" w:lineRule="exact"/>
        <w:ind w:firstLine="420" w:firstLineChars="200"/>
        <w:rPr>
          <w:rFonts w:hint="eastAsia" w:hAnsi="宋体"/>
        </w:rPr>
      </w:pPr>
      <w:r>
        <w:rPr>
          <w:rFonts w:hint="eastAsia" w:hAnsi="宋体"/>
        </w:rPr>
        <w:t>7.3采购代理机构对已发出的竞争性磋商文件进行必要修改的，在竞争性磋商文件提交</w:t>
      </w:r>
      <w:r>
        <w:rPr>
          <w:rFonts w:hint="eastAsia" w:hAnsi="宋体" w:cs="Courier New"/>
          <w:spacing w:val="2"/>
        </w:rPr>
        <w:t>响应文件截止时间3个工作日前，在竞争性磋商公告信息发布媒体上公布更正公告，并以书面形式通知所有获取</w:t>
      </w:r>
      <w:r>
        <w:rPr>
          <w:rFonts w:hint="eastAsia" w:hAnsi="宋体"/>
        </w:rPr>
        <w:t>竞争性磋商文件的供应商。</w:t>
      </w:r>
    </w:p>
    <w:p>
      <w:pPr>
        <w:pStyle w:val="22"/>
        <w:spacing w:line="400" w:lineRule="exact"/>
        <w:ind w:firstLine="420" w:firstLineChars="200"/>
        <w:rPr>
          <w:rFonts w:hint="eastAsia" w:hAnsi="宋体"/>
        </w:rPr>
      </w:pPr>
      <w:r>
        <w:rPr>
          <w:rFonts w:hint="eastAsia" w:hAnsi="宋体"/>
        </w:rPr>
        <w:t>7.4请供应商接电话通知后到采购代理机构处领取以上澄清答复（或补充通知），或在网上查询，不用传真方式发出，如在电话通知后24小时内不上门领取的，则视为已在网上查询收到。该澄清或修改的内容为竞争性磋商文件的组成部分。供应商在每一次收到澄清答复或补充通知后应立即以书面形式通知采购代理机构，确认已收到该澄清答复或补充通知。否则，由此造成的一切后果由供应商承担。</w:t>
      </w:r>
    </w:p>
    <w:p>
      <w:pPr>
        <w:pStyle w:val="4"/>
        <w:spacing w:before="200" w:after="200" w:line="400" w:lineRule="exact"/>
        <w:jc w:val="center"/>
      </w:pPr>
      <w:bookmarkStart w:id="58" w:name="_Toc198634213"/>
      <w:bookmarkStart w:id="59" w:name="_Toc113258060"/>
      <w:bookmarkStart w:id="60" w:name="_Toc113257801"/>
      <w:bookmarkStart w:id="61" w:name="_Toc45007868"/>
      <w:r>
        <w:t>三、</w:t>
      </w:r>
      <w:bookmarkEnd w:id="58"/>
      <w:bookmarkEnd w:id="59"/>
      <w:bookmarkEnd w:id="60"/>
      <w:r>
        <w:t>响应文件的编制</w:t>
      </w:r>
      <w:bookmarkEnd w:id="61"/>
    </w:p>
    <w:p>
      <w:pPr>
        <w:widowControl w:val="0"/>
        <w:adjustRightInd w:val="0"/>
        <w:snapToGrid w:val="0"/>
        <w:spacing w:line="410" w:lineRule="exact"/>
        <w:rPr>
          <w:rFonts w:hint="eastAsia" w:ascii="宋体" w:hAnsi="宋体" w:cs="Courier New"/>
          <w:b/>
          <w:bCs/>
          <w:color w:val="auto"/>
          <w:spacing w:val="2"/>
        </w:rPr>
      </w:pPr>
      <w:r>
        <w:rPr>
          <w:rFonts w:hint="eastAsia" w:ascii="宋体" w:hAnsi="宋体" w:cs="Courier New"/>
          <w:b/>
          <w:bCs/>
          <w:color w:val="auto"/>
          <w:spacing w:val="2"/>
        </w:rPr>
        <w:t>8、</w:t>
      </w:r>
      <w:r>
        <w:rPr>
          <w:rFonts w:hint="eastAsia" w:ascii="宋体" w:hAnsi="宋体"/>
          <w:b/>
          <w:color w:val="auto"/>
        </w:rPr>
        <w:t>响应文件编写的注意事项</w:t>
      </w:r>
    </w:p>
    <w:p>
      <w:pPr>
        <w:widowControl w:val="0"/>
        <w:adjustRightInd w:val="0"/>
        <w:snapToGrid w:val="0"/>
        <w:spacing w:line="410" w:lineRule="exact"/>
        <w:ind w:firstLine="419" w:firstLineChars="196"/>
        <w:rPr>
          <w:rFonts w:hint="eastAsia" w:ascii="宋体" w:hAnsi="宋体"/>
          <w:b/>
          <w:color w:val="auto"/>
        </w:rPr>
      </w:pPr>
      <w:r>
        <w:rPr>
          <w:rFonts w:hint="eastAsia" w:ascii="宋体" w:hAnsi="宋体" w:cs="Courier New"/>
          <w:color w:val="auto"/>
          <w:spacing w:val="2"/>
        </w:rPr>
        <w:t>8.1</w:t>
      </w:r>
      <w:r>
        <w:rPr>
          <w:rFonts w:hint="eastAsia" w:ascii="宋体" w:hAnsi="宋体"/>
          <w:color w:val="auto"/>
        </w:rPr>
        <w:t>供应商应仔细阅读</w:t>
      </w:r>
      <w:r>
        <w:rPr>
          <w:rFonts w:hint="eastAsia" w:ascii="宋体" w:hAnsi="宋体"/>
          <w:color w:val="auto"/>
          <w:u w:val="none" w:color="auto"/>
        </w:rPr>
        <w:t>竞争性磋商文件</w:t>
      </w:r>
      <w:r>
        <w:rPr>
          <w:rFonts w:hint="eastAsia" w:ascii="宋体" w:hAnsi="宋体"/>
          <w:color w:val="auto"/>
        </w:rPr>
        <w:t>，按</w:t>
      </w:r>
      <w:r>
        <w:rPr>
          <w:rFonts w:hint="eastAsia" w:ascii="宋体" w:hAnsi="宋体"/>
          <w:color w:val="auto"/>
          <w:u w:val="none" w:color="auto"/>
        </w:rPr>
        <w:t>竞争性磋商文件</w:t>
      </w:r>
      <w:r>
        <w:rPr>
          <w:rFonts w:hint="eastAsia" w:ascii="宋体" w:hAnsi="宋体"/>
          <w:color w:val="auto"/>
        </w:rPr>
        <w:t>的要求编制</w:t>
      </w:r>
      <w:r>
        <w:rPr>
          <w:rFonts w:hint="eastAsia" w:ascii="宋体" w:hAnsi="宋体" w:cs="Courier New"/>
          <w:color w:val="auto"/>
          <w:spacing w:val="2"/>
          <w:u w:val="none" w:color="auto"/>
        </w:rPr>
        <w:t>响应</w:t>
      </w:r>
      <w:r>
        <w:rPr>
          <w:rFonts w:hint="eastAsia" w:ascii="宋体" w:hAnsi="宋体"/>
          <w:color w:val="auto"/>
        </w:rPr>
        <w:t>文件。</w:t>
      </w:r>
      <w:r>
        <w:rPr>
          <w:rFonts w:hint="eastAsia" w:ascii="宋体" w:hAnsi="宋体"/>
          <w:b/>
          <w:color w:val="auto"/>
        </w:rPr>
        <w:t>如果没有按竞争性磋商文件要求提交响应文件，没有对竞争性磋商文件提出的实质性要求和条件作出响应，该磋商将被拒绝。</w:t>
      </w:r>
    </w:p>
    <w:p>
      <w:pPr>
        <w:widowControl w:val="0"/>
        <w:adjustRightInd w:val="0"/>
        <w:snapToGrid w:val="0"/>
        <w:spacing w:line="410" w:lineRule="exact"/>
        <w:ind w:firstLine="411" w:firstLineChars="196"/>
        <w:rPr>
          <w:rFonts w:hint="eastAsia" w:ascii="宋体" w:hAnsi="宋体"/>
          <w:color w:val="auto"/>
          <w:u w:val="none" w:color="auto"/>
        </w:rPr>
      </w:pPr>
      <w:r>
        <w:rPr>
          <w:rFonts w:hint="eastAsia" w:ascii="宋体" w:hAnsi="宋体"/>
          <w:color w:val="auto"/>
        </w:rPr>
        <w:t>8.2响应文件应当对</w:t>
      </w:r>
      <w:r>
        <w:rPr>
          <w:rFonts w:hint="eastAsia" w:ascii="宋体" w:hAnsi="宋体"/>
          <w:color w:val="auto"/>
          <w:u w:val="none" w:color="auto"/>
        </w:rPr>
        <w:t>竞争性磋商文件中规定的工期、磋商有效期、质量要求、技术标准和要求、磋商范围等实质性内容作出响应。</w:t>
      </w:r>
    </w:p>
    <w:p>
      <w:pPr>
        <w:widowControl w:val="0"/>
        <w:adjustRightInd w:val="0"/>
        <w:snapToGrid w:val="0"/>
        <w:spacing w:line="410" w:lineRule="exact"/>
        <w:rPr>
          <w:rFonts w:hint="eastAsia" w:ascii="宋体" w:hAnsi="宋体"/>
          <w:b/>
          <w:color w:val="auto"/>
          <w:u w:val="none" w:color="auto"/>
        </w:rPr>
      </w:pPr>
      <w:r>
        <w:rPr>
          <w:rFonts w:hint="eastAsia" w:ascii="宋体" w:hAnsi="宋体"/>
          <w:b/>
          <w:color w:val="auto"/>
          <w:u w:val="none" w:color="auto"/>
        </w:rPr>
        <w:t>9、响应文件的文字及计量单位</w:t>
      </w:r>
    </w:p>
    <w:p>
      <w:pPr>
        <w:widowControl w:val="0"/>
        <w:adjustRightInd w:val="0"/>
        <w:snapToGrid w:val="0"/>
        <w:spacing w:line="410" w:lineRule="exact"/>
        <w:ind w:firstLine="419" w:firstLineChars="196"/>
        <w:rPr>
          <w:rFonts w:hint="eastAsia" w:ascii="宋体" w:hAnsi="宋体" w:cs="Courier New"/>
          <w:color w:val="auto"/>
          <w:spacing w:val="2"/>
        </w:rPr>
      </w:pPr>
      <w:r>
        <w:rPr>
          <w:rFonts w:hint="eastAsia" w:ascii="宋体" w:hAnsi="宋体" w:cs="Courier New"/>
          <w:color w:val="auto"/>
          <w:spacing w:val="2"/>
        </w:rPr>
        <w:t>9.1供应商的</w:t>
      </w:r>
      <w:r>
        <w:rPr>
          <w:rFonts w:hint="eastAsia" w:ascii="宋体" w:hAnsi="宋体" w:cs="Courier New"/>
          <w:color w:val="auto"/>
          <w:spacing w:val="2"/>
          <w:u w:val="none" w:color="auto"/>
        </w:rPr>
        <w:t>响应</w:t>
      </w:r>
      <w:r>
        <w:rPr>
          <w:rFonts w:hint="eastAsia" w:ascii="宋体" w:hAnsi="宋体" w:cs="Courier New"/>
          <w:color w:val="auto"/>
          <w:spacing w:val="2"/>
        </w:rPr>
        <w:t>文件以及供应商与采购人（或采购代理机构</w:t>
      </w:r>
      <w:r>
        <w:rPr>
          <w:rFonts w:ascii="宋体" w:hAnsi="宋体" w:cs="Courier New"/>
          <w:color w:val="auto"/>
          <w:spacing w:val="2"/>
        </w:rPr>
        <w:t>）</w:t>
      </w:r>
      <w:r>
        <w:rPr>
          <w:rFonts w:hint="eastAsia" w:ascii="宋体" w:hAnsi="宋体" w:cs="Courier New"/>
          <w:color w:val="auto"/>
          <w:spacing w:val="2"/>
        </w:rPr>
        <w:t>的所有来往的函件统一使用</w:t>
      </w:r>
      <w:r>
        <w:rPr>
          <w:rFonts w:hint="eastAsia" w:ascii="宋体" w:hAnsi="宋体" w:cs="Courier New"/>
          <w:b/>
          <w:bCs/>
          <w:color w:val="auto"/>
          <w:spacing w:val="2"/>
          <w:szCs w:val="21"/>
        </w:rPr>
        <w:t>中文</w:t>
      </w:r>
      <w:r>
        <w:rPr>
          <w:rFonts w:hint="eastAsia" w:ascii="宋体" w:hAnsi="宋体" w:cs="Courier New"/>
          <w:b/>
          <w:color w:val="auto"/>
          <w:spacing w:val="2"/>
        </w:rPr>
        <w:t>。</w:t>
      </w:r>
    </w:p>
    <w:p>
      <w:pPr>
        <w:widowControl w:val="0"/>
        <w:adjustRightInd w:val="0"/>
        <w:snapToGrid w:val="0"/>
        <w:spacing w:line="410" w:lineRule="exact"/>
        <w:ind w:firstLine="419" w:firstLineChars="196"/>
        <w:rPr>
          <w:rFonts w:hint="eastAsia" w:ascii="宋体" w:hAnsi="宋体" w:cs="Courier New"/>
          <w:color w:val="auto"/>
          <w:spacing w:val="2"/>
        </w:rPr>
      </w:pPr>
      <w:r>
        <w:rPr>
          <w:rFonts w:hint="eastAsia" w:ascii="宋体" w:hAnsi="宋体" w:cs="Courier New"/>
          <w:color w:val="auto"/>
          <w:spacing w:val="2"/>
        </w:rPr>
        <w:t>9.2</w:t>
      </w:r>
      <w:r>
        <w:rPr>
          <w:rFonts w:hint="eastAsia" w:ascii="宋体" w:hAnsi="宋体"/>
          <w:color w:val="auto"/>
        </w:rPr>
        <w:t>磋商文件使用的计量单位除</w:t>
      </w:r>
      <w:r>
        <w:rPr>
          <w:rFonts w:hint="eastAsia" w:ascii="宋体" w:hAnsi="宋体"/>
          <w:color w:val="auto"/>
          <w:u w:val="none" w:color="auto"/>
        </w:rPr>
        <w:t>竞争性磋商文件</w:t>
      </w:r>
      <w:r>
        <w:rPr>
          <w:rFonts w:hint="eastAsia" w:ascii="宋体" w:hAnsi="宋体"/>
          <w:color w:val="auto"/>
        </w:rPr>
        <w:t>中有特殊规定外，一律使用法定计量单位</w:t>
      </w:r>
      <w:r>
        <w:rPr>
          <w:rFonts w:hint="eastAsia" w:ascii="宋体" w:hAnsi="宋体" w:cs="Courier New"/>
          <w:color w:val="auto"/>
          <w:spacing w:val="2"/>
        </w:rPr>
        <w:t>。</w:t>
      </w:r>
    </w:p>
    <w:p>
      <w:pPr>
        <w:widowControl w:val="0"/>
        <w:adjustRightInd w:val="0"/>
        <w:snapToGrid w:val="0"/>
        <w:spacing w:line="410" w:lineRule="exact"/>
        <w:rPr>
          <w:rFonts w:hint="eastAsia" w:ascii="宋体" w:hAnsi="宋体" w:cs="Courier New"/>
          <w:b/>
          <w:bCs/>
          <w:color w:val="auto"/>
          <w:spacing w:val="2"/>
        </w:rPr>
      </w:pPr>
      <w:r>
        <w:rPr>
          <w:rFonts w:hint="eastAsia" w:ascii="宋体" w:hAnsi="宋体" w:cs="Courier New"/>
          <w:b/>
          <w:bCs/>
          <w:color w:val="auto"/>
          <w:spacing w:val="2"/>
        </w:rPr>
        <w:t>10、响应文件的构成</w:t>
      </w:r>
    </w:p>
    <w:p>
      <w:pPr>
        <w:widowControl w:val="0"/>
        <w:adjustRightInd w:val="0"/>
        <w:snapToGrid w:val="0"/>
        <w:spacing w:line="410" w:lineRule="exact"/>
        <w:ind w:firstLine="417" w:firstLineChars="195"/>
        <w:rPr>
          <w:rFonts w:hint="eastAsia" w:ascii="宋体" w:hAnsi="宋体"/>
          <w:color w:val="auto"/>
        </w:rPr>
      </w:pPr>
      <w:r>
        <w:rPr>
          <w:rFonts w:hint="eastAsia" w:ascii="宋体" w:hAnsi="宋体" w:cs="Courier New"/>
          <w:color w:val="auto"/>
          <w:spacing w:val="2"/>
        </w:rPr>
        <w:t>10</w:t>
      </w:r>
      <w:r>
        <w:rPr>
          <w:rFonts w:ascii="宋体" w:hAnsi="宋体" w:cs="Courier New"/>
          <w:color w:val="auto"/>
          <w:spacing w:val="2"/>
        </w:rPr>
        <w:t>.1</w:t>
      </w:r>
      <w:r>
        <w:rPr>
          <w:rFonts w:hint="eastAsia" w:ascii="宋体" w:hAnsi="宋体" w:cs="Courier New"/>
          <w:color w:val="auto"/>
          <w:spacing w:val="2"/>
        </w:rPr>
        <w:t>供应商编写的且在</w:t>
      </w:r>
      <w:r>
        <w:rPr>
          <w:rFonts w:hint="eastAsia" w:ascii="宋体" w:hAnsi="宋体" w:cs="Courier New"/>
          <w:color w:val="auto"/>
          <w:spacing w:val="2"/>
          <w:u w:val="none" w:color="auto"/>
        </w:rPr>
        <w:t>响应</w:t>
      </w:r>
      <w:r>
        <w:rPr>
          <w:rFonts w:ascii="宋体" w:hAnsi="宋体" w:cs="Courier New"/>
          <w:color w:val="auto"/>
          <w:spacing w:val="2"/>
        </w:rPr>
        <w:t>文件</w:t>
      </w:r>
      <w:r>
        <w:rPr>
          <w:rFonts w:hint="eastAsia" w:ascii="宋体" w:hAnsi="宋体" w:cs="Courier New"/>
          <w:color w:val="auto"/>
          <w:spacing w:val="2"/>
        </w:rPr>
        <w:t>递交截止时间前递交的</w:t>
      </w:r>
      <w:r>
        <w:rPr>
          <w:rFonts w:hint="eastAsia" w:ascii="宋体" w:hAnsi="宋体" w:cs="Courier New"/>
          <w:color w:val="auto"/>
          <w:spacing w:val="2"/>
          <w:u w:val="none" w:color="auto"/>
        </w:rPr>
        <w:t>响应文件</w:t>
      </w:r>
      <w:r>
        <w:rPr>
          <w:rFonts w:hint="eastAsia" w:ascii="宋体" w:hAnsi="宋体" w:cs="Courier New"/>
          <w:color w:val="auto"/>
          <w:spacing w:val="2"/>
        </w:rPr>
        <w:t>必须包括以下内容（</w:t>
      </w:r>
      <w:r>
        <w:rPr>
          <w:rFonts w:hint="eastAsia" w:ascii="宋体" w:hAnsi="宋体" w:cs="Courier New"/>
          <w:b/>
          <w:color w:val="auto"/>
          <w:spacing w:val="2"/>
        </w:rPr>
        <w:t>供应商必须按下列顺序自编目录及书内页码装订成册，否则文件失散以及由此引起的后果由供应商自负</w:t>
      </w:r>
      <w:r>
        <w:rPr>
          <w:rFonts w:hint="eastAsia" w:ascii="宋体" w:hAnsi="宋体" w:cs="Courier New"/>
          <w:color w:val="auto"/>
          <w:spacing w:val="2"/>
        </w:rPr>
        <w:t>）</w:t>
      </w:r>
      <w:r>
        <w:rPr>
          <w:rFonts w:hint="eastAsia" w:ascii="宋体" w:hAnsi="宋体"/>
          <w:color w:val="auto"/>
        </w:rPr>
        <w:t>；</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竞争性磋商响应文件的组成：竞争性磋商响应文件包括商务文件及技术文件：</w:t>
      </w:r>
    </w:p>
    <w:p>
      <w:pPr>
        <w:widowControl w:val="0"/>
        <w:adjustRightInd w:val="0"/>
        <w:snapToGrid w:val="0"/>
        <w:spacing w:line="410" w:lineRule="exact"/>
        <w:ind w:firstLine="411" w:firstLineChars="195"/>
        <w:rPr>
          <w:rFonts w:hint="eastAsia" w:ascii="宋体" w:hAnsi="宋体"/>
          <w:b/>
          <w:bCs/>
          <w:color w:val="auto"/>
        </w:rPr>
      </w:pPr>
      <w:r>
        <w:rPr>
          <w:rFonts w:hint="eastAsia" w:ascii="宋体" w:hAnsi="宋体"/>
          <w:b/>
          <w:bCs/>
          <w:color w:val="auto"/>
        </w:rPr>
        <w:t>商务文件应包括以下资料：</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1）磋商函（必须提供）；</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 xml:space="preserve">2）磋商报价表（必须提供）； </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3）磋商工程量清单报价表（必须提供）；</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4）供应商资格审查证明材料（必须提供）；</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5）安全文明施工承诺书（必须提供）；</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6）其他有效证明文件（如磋商供应商属于小型或微型企业的，以提供工商注册地的工业和信息化部门出具的相关证明材料为准）。</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szCs w:val="22"/>
        </w:rPr>
        <w:t>7）农民工工资保障金的交纳与使用承诺书</w:t>
      </w:r>
      <w:r>
        <w:rPr>
          <w:rFonts w:hint="eastAsia" w:ascii="宋体" w:hAnsi="宋体"/>
          <w:color w:val="auto"/>
        </w:rPr>
        <w:t>（必须提供）</w:t>
      </w:r>
      <w:r>
        <w:rPr>
          <w:rFonts w:hint="eastAsia" w:ascii="宋体" w:hAnsi="宋体"/>
          <w:color w:val="auto"/>
          <w:szCs w:val="22"/>
        </w:rPr>
        <w:t>。</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8）磋商供应商认为需要提供的其他有关资料。</w:t>
      </w:r>
    </w:p>
    <w:p>
      <w:pPr>
        <w:widowControl w:val="0"/>
        <w:adjustRightInd w:val="0"/>
        <w:snapToGrid w:val="0"/>
        <w:spacing w:line="410" w:lineRule="exact"/>
        <w:ind w:firstLine="411" w:firstLineChars="195"/>
        <w:rPr>
          <w:rFonts w:hint="eastAsia" w:ascii="宋体" w:hAnsi="宋体"/>
          <w:b/>
          <w:bCs/>
          <w:color w:val="auto"/>
        </w:rPr>
      </w:pPr>
      <w:r>
        <w:rPr>
          <w:rFonts w:hint="eastAsia" w:ascii="宋体" w:hAnsi="宋体"/>
          <w:b/>
          <w:bCs/>
          <w:color w:val="auto"/>
        </w:rPr>
        <w:t>技术文件应包含以下资料：</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1）施工方案</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2）拟投入本项目人员一览表</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企业信誉业绩</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1)业绩一览表</w:t>
      </w:r>
    </w:p>
    <w:p>
      <w:pPr>
        <w:widowControl w:val="0"/>
        <w:adjustRightInd w:val="0"/>
        <w:snapToGrid w:val="0"/>
        <w:spacing w:line="410" w:lineRule="exact"/>
        <w:ind w:firstLine="409" w:firstLineChars="195"/>
        <w:rPr>
          <w:rFonts w:hint="eastAsia" w:ascii="宋体" w:hAnsi="宋体"/>
          <w:color w:val="auto"/>
        </w:rPr>
      </w:pPr>
      <w:r>
        <w:rPr>
          <w:rFonts w:hint="eastAsia" w:ascii="宋体" w:hAnsi="宋体"/>
          <w:color w:val="auto"/>
        </w:rPr>
        <w:t>2）其他</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color w:val="auto"/>
          <w:spacing w:val="2"/>
        </w:rPr>
        <w:t>10</w:t>
      </w:r>
      <w:r>
        <w:rPr>
          <w:rFonts w:ascii="宋体" w:hAnsi="宋体" w:cs="Courier New"/>
          <w:color w:val="auto"/>
          <w:spacing w:val="2"/>
        </w:rPr>
        <w:t>.</w:t>
      </w:r>
      <w:r>
        <w:rPr>
          <w:rFonts w:hint="eastAsia" w:ascii="宋体" w:hAnsi="宋体" w:cs="Courier New"/>
          <w:color w:val="auto"/>
          <w:spacing w:val="2"/>
        </w:rPr>
        <w:t>2供应商必须使用竞争性磋商文件第四章提供的</w:t>
      </w:r>
      <w:r>
        <w:rPr>
          <w:rFonts w:hint="eastAsia" w:ascii="宋体" w:hAnsi="宋体" w:cs="Courier New"/>
          <w:color w:val="auto"/>
          <w:spacing w:val="2"/>
          <w:u w:val="none" w:color="auto"/>
        </w:rPr>
        <w:t>响应</w:t>
      </w:r>
      <w:r>
        <w:rPr>
          <w:rFonts w:hint="eastAsia" w:ascii="宋体" w:hAnsi="宋体" w:cs="Courier New"/>
          <w:color w:val="auto"/>
          <w:spacing w:val="2"/>
        </w:rPr>
        <w:t>文件格式和顺序另行编制</w:t>
      </w:r>
      <w:r>
        <w:rPr>
          <w:rFonts w:hint="eastAsia" w:ascii="宋体" w:hAnsi="宋体" w:cs="Courier New"/>
          <w:color w:val="auto"/>
          <w:spacing w:val="2"/>
          <w:u w:val="none" w:color="auto"/>
        </w:rPr>
        <w:t>响应</w:t>
      </w:r>
      <w:r>
        <w:rPr>
          <w:rFonts w:hint="eastAsia" w:ascii="宋体" w:hAnsi="宋体" w:cs="Courier New"/>
          <w:color w:val="auto"/>
          <w:spacing w:val="2"/>
        </w:rPr>
        <w:t>文件，但表格可以按同样格式扩展；</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11、磋商报价</w:t>
      </w:r>
    </w:p>
    <w:p>
      <w:pPr>
        <w:widowControl w:val="0"/>
        <w:adjustRightInd w:val="0"/>
        <w:snapToGrid w:val="0"/>
        <w:spacing w:line="400" w:lineRule="exact"/>
        <w:rPr>
          <w:rFonts w:hint="eastAsia" w:ascii="宋体" w:hAnsi="宋体" w:cs="Courier New"/>
          <w:bCs/>
          <w:color w:val="auto"/>
          <w:spacing w:val="2"/>
        </w:rPr>
      </w:pPr>
      <w:r>
        <w:rPr>
          <w:rFonts w:hint="eastAsia" w:ascii="宋体" w:hAnsi="宋体" w:cs="Courier New"/>
          <w:b/>
          <w:bCs/>
          <w:color w:val="auto"/>
          <w:spacing w:val="2"/>
        </w:rPr>
        <w:t xml:space="preserve">    </w:t>
      </w:r>
      <w:r>
        <w:rPr>
          <w:rFonts w:hint="eastAsia" w:ascii="宋体" w:hAnsi="宋体" w:cs="Courier New"/>
          <w:bCs/>
          <w:color w:val="auto"/>
          <w:spacing w:val="2"/>
        </w:rPr>
        <w:t>11.1</w:t>
      </w:r>
      <w:r>
        <w:rPr>
          <w:rFonts w:ascii="宋体" w:hAnsi="宋体" w:cs="Courier New"/>
          <w:bCs/>
          <w:color w:val="auto"/>
          <w:spacing w:val="2"/>
        </w:rPr>
        <w:t xml:space="preserve"> </w:t>
      </w:r>
      <w:r>
        <w:rPr>
          <w:rFonts w:hint="eastAsia" w:ascii="宋体" w:hAnsi="宋体" w:cs="Courier New"/>
          <w:bCs/>
          <w:color w:val="auto"/>
          <w:spacing w:val="2"/>
        </w:rPr>
        <w:t>磋商报价说明</w:t>
      </w:r>
    </w:p>
    <w:p>
      <w:pPr>
        <w:widowControl w:val="0"/>
        <w:adjustRightInd w:val="0"/>
        <w:snapToGrid w:val="0"/>
        <w:spacing w:line="400" w:lineRule="exact"/>
        <w:ind w:firstLine="419" w:firstLineChars="195"/>
        <w:rPr>
          <w:rFonts w:hint="eastAsia" w:ascii="宋体" w:hAnsi="宋体" w:cs="Courier New"/>
          <w:b/>
          <w:color w:val="auto"/>
          <w:spacing w:val="2"/>
        </w:rPr>
      </w:pPr>
      <w:r>
        <w:rPr>
          <w:rFonts w:hint="eastAsia" w:ascii="宋体" w:hAnsi="宋体" w:cs="Courier New"/>
          <w:b/>
          <w:color w:val="auto"/>
          <w:spacing w:val="2"/>
        </w:rPr>
        <w:t>11</w:t>
      </w:r>
      <w:r>
        <w:rPr>
          <w:rFonts w:ascii="宋体" w:hAnsi="宋体" w:cs="Courier New"/>
          <w:b/>
          <w:color w:val="auto"/>
          <w:spacing w:val="2"/>
        </w:rPr>
        <w:t>.</w:t>
      </w:r>
      <w:r>
        <w:rPr>
          <w:rFonts w:hint="eastAsia" w:ascii="宋体" w:hAnsi="宋体" w:cs="Courier New"/>
          <w:b/>
          <w:color w:val="auto"/>
          <w:spacing w:val="2"/>
        </w:rPr>
        <w:t>1</w:t>
      </w:r>
      <w:r>
        <w:rPr>
          <w:rFonts w:ascii="宋体" w:hAnsi="宋体" w:cs="Courier New"/>
          <w:b/>
          <w:color w:val="auto"/>
          <w:spacing w:val="2"/>
        </w:rPr>
        <w:t>.</w:t>
      </w:r>
      <w:r>
        <w:rPr>
          <w:rFonts w:hint="eastAsia" w:ascii="宋体" w:hAnsi="宋体" w:cs="Courier New"/>
          <w:b/>
          <w:color w:val="auto"/>
          <w:spacing w:val="2"/>
        </w:rPr>
        <w:t>1</w:t>
      </w:r>
      <w:r>
        <w:rPr>
          <w:rFonts w:hint="eastAsia" w:ascii="宋体" w:hAnsi="宋体" w:cs="Courier New"/>
          <w:b/>
          <w:color w:val="auto"/>
          <w:spacing w:val="2"/>
          <w:u w:val="none" w:color="auto"/>
        </w:rPr>
        <w:t>本工程</w:t>
      </w:r>
      <w:r>
        <w:rPr>
          <w:rFonts w:hint="eastAsia" w:ascii="宋体" w:hAnsi="宋体" w:cs="Courier New"/>
          <w:b/>
          <w:color w:val="auto"/>
          <w:spacing w:val="2"/>
          <w:u w:val="single" w:color="auto"/>
        </w:rPr>
        <w:t>采用综合单价包干</w:t>
      </w:r>
      <w:r>
        <w:rPr>
          <w:rFonts w:hint="eastAsia" w:ascii="宋体" w:hAnsi="宋体" w:cs="Courier New"/>
          <w:color w:val="auto"/>
          <w:spacing w:val="2"/>
        </w:rPr>
        <w:t>，磋商</w:t>
      </w:r>
      <w:r>
        <w:rPr>
          <w:rFonts w:ascii="宋体" w:hAnsi="宋体" w:cs="Courier New"/>
          <w:color w:val="auto"/>
          <w:spacing w:val="2"/>
        </w:rPr>
        <w:t>报价为</w:t>
      </w:r>
      <w:r>
        <w:rPr>
          <w:rFonts w:hint="eastAsia" w:ascii="宋体" w:hAnsi="宋体" w:cs="Courier New"/>
          <w:color w:val="auto"/>
          <w:spacing w:val="2"/>
        </w:rPr>
        <w:t>供应商</w:t>
      </w:r>
      <w:r>
        <w:rPr>
          <w:rFonts w:ascii="宋体" w:hAnsi="宋体" w:cs="Courier New"/>
          <w:color w:val="auto"/>
          <w:spacing w:val="2"/>
        </w:rPr>
        <w:t>在</w:t>
      </w:r>
      <w:r>
        <w:rPr>
          <w:rFonts w:hint="eastAsia" w:ascii="宋体" w:hAnsi="宋体" w:cs="Courier New"/>
          <w:color w:val="auto"/>
          <w:spacing w:val="2"/>
          <w:u w:val="none" w:color="auto"/>
        </w:rPr>
        <w:t>响应</w:t>
      </w:r>
      <w:r>
        <w:rPr>
          <w:rFonts w:ascii="宋体" w:hAnsi="宋体" w:cs="Courier New"/>
          <w:color w:val="auto"/>
          <w:spacing w:val="2"/>
        </w:rPr>
        <w:t>文件中提出的各项支付金额的总和。</w:t>
      </w:r>
    </w:p>
    <w:p>
      <w:pPr>
        <w:widowControl w:val="0"/>
        <w:adjustRightInd w:val="0"/>
        <w:snapToGrid w:val="0"/>
        <w:spacing w:line="400" w:lineRule="exact"/>
        <w:ind w:firstLine="419" w:firstLineChars="195"/>
        <w:rPr>
          <w:rFonts w:hint="eastAsia" w:ascii="宋体" w:hAnsi="宋体" w:cs="Courier New"/>
          <w:b/>
          <w:color w:val="auto"/>
          <w:spacing w:val="2"/>
        </w:rPr>
      </w:pPr>
      <w:r>
        <w:rPr>
          <w:rFonts w:hint="eastAsia" w:ascii="宋体" w:hAnsi="宋体" w:cs="Courier New"/>
          <w:b/>
          <w:color w:val="auto"/>
          <w:spacing w:val="2"/>
        </w:rPr>
        <w:t>11.1.2</w:t>
      </w:r>
      <w:r>
        <w:rPr>
          <w:rFonts w:hint="eastAsia" w:ascii="宋体" w:hAnsi="宋体"/>
          <w:b/>
          <w:bCs/>
          <w:color w:val="auto"/>
          <w:u w:val="single" w:color="auto"/>
        </w:rPr>
        <w:t>本工程磋商报价采用工程量清单报价</w:t>
      </w:r>
      <w:r>
        <w:rPr>
          <w:rFonts w:hint="eastAsia" w:ascii="宋体" w:hAnsi="宋体"/>
          <w:b/>
          <w:bCs/>
          <w:color w:val="auto"/>
        </w:rPr>
        <w:t>。</w:t>
      </w:r>
      <w:r>
        <w:rPr>
          <w:rFonts w:hint="eastAsia" w:ascii="宋体" w:hAnsi="宋体" w:cs="Courier New"/>
          <w:color w:val="auto"/>
          <w:spacing w:val="2"/>
        </w:rPr>
        <w:t>供应商</w:t>
      </w:r>
      <w:r>
        <w:rPr>
          <w:rFonts w:ascii="宋体" w:hAnsi="宋体" w:cs="Courier New"/>
          <w:color w:val="auto"/>
          <w:spacing w:val="2"/>
        </w:rPr>
        <w:t>在报价中所报的单价和合价，以及</w:t>
      </w:r>
      <w:r>
        <w:rPr>
          <w:rFonts w:hint="eastAsia" w:ascii="宋体" w:hAnsi="宋体" w:cs="Courier New"/>
          <w:color w:val="auto"/>
          <w:spacing w:val="2"/>
        </w:rPr>
        <w:t>磋商</w:t>
      </w:r>
      <w:r>
        <w:rPr>
          <w:rFonts w:ascii="宋体" w:hAnsi="宋体" w:cs="Courier New"/>
          <w:color w:val="auto"/>
          <w:spacing w:val="2"/>
        </w:rPr>
        <w:t>报价汇总表中的价格均包括完成该工程项目的</w:t>
      </w:r>
      <w:r>
        <w:rPr>
          <w:rFonts w:hint="eastAsia" w:ascii="宋体" w:hAnsi="宋体" w:cs="Courier New"/>
          <w:color w:val="auto"/>
          <w:spacing w:val="2"/>
        </w:rPr>
        <w:t>成本、利润、税金、开办费、技术措施费、大型机械进出场费、风险费、政策性文件规定费用等所有费用。</w:t>
      </w:r>
      <w:r>
        <w:rPr>
          <w:rFonts w:hint="eastAsia" w:ascii="宋体" w:hAnsi="宋体" w:cs="Courier New"/>
          <w:b/>
          <w:color w:val="auto"/>
          <w:spacing w:val="2"/>
        </w:rPr>
        <w:t>本次磋商项目为多次报价（最多三次</w:t>
      </w:r>
      <w:r>
        <w:rPr>
          <w:rFonts w:ascii="宋体" w:hAnsi="宋体" w:cs="Courier New"/>
          <w:b/>
          <w:color w:val="auto"/>
          <w:spacing w:val="2"/>
        </w:rPr>
        <w:t>）</w:t>
      </w:r>
      <w:r>
        <w:rPr>
          <w:rFonts w:hint="eastAsia" w:ascii="宋体" w:hAnsi="宋体" w:cs="Courier New"/>
          <w:b/>
          <w:color w:val="auto"/>
          <w:spacing w:val="2"/>
        </w:rPr>
        <w:t>，供应商必须预先准备好壹份完整的纸质版报价清单计价表作为应答文件的一部分一并递交。</w:t>
      </w:r>
    </w:p>
    <w:p>
      <w:pPr>
        <w:widowControl w:val="0"/>
        <w:adjustRightInd w:val="0"/>
        <w:snapToGrid w:val="0"/>
        <w:spacing w:line="400" w:lineRule="exact"/>
        <w:ind w:firstLine="417" w:firstLineChars="195"/>
        <w:rPr>
          <w:rFonts w:ascii="宋体" w:hAnsi="宋体" w:cs="Courier New"/>
          <w:color w:val="auto"/>
          <w:spacing w:val="2"/>
        </w:rPr>
      </w:pPr>
      <w:r>
        <w:rPr>
          <w:rFonts w:hint="eastAsia" w:ascii="宋体" w:hAnsi="宋体" w:cs="Courier New"/>
          <w:color w:val="auto"/>
          <w:spacing w:val="2"/>
        </w:rPr>
        <w:t>11</w:t>
      </w:r>
      <w:r>
        <w:rPr>
          <w:rFonts w:ascii="宋体" w:hAnsi="宋体" w:cs="Courier New"/>
          <w:color w:val="auto"/>
          <w:spacing w:val="2"/>
        </w:rPr>
        <w:t>.1.</w:t>
      </w:r>
      <w:r>
        <w:rPr>
          <w:rFonts w:hint="eastAsia" w:ascii="宋体" w:hAnsi="宋体" w:cs="Courier New"/>
          <w:color w:val="auto"/>
          <w:spacing w:val="2"/>
        </w:rPr>
        <w:t>3</w:t>
      </w:r>
      <w:r>
        <w:rPr>
          <w:rFonts w:ascii="宋体" w:hAnsi="宋体" w:cs="Courier New"/>
          <w:color w:val="auto"/>
          <w:spacing w:val="2"/>
        </w:rPr>
        <w:t xml:space="preserve"> </w:t>
      </w:r>
      <w:r>
        <w:rPr>
          <w:rFonts w:hint="eastAsia" w:ascii="宋体" w:hAnsi="宋体" w:cs="Courier New"/>
          <w:color w:val="auto"/>
          <w:spacing w:val="2"/>
        </w:rPr>
        <w:t>供应商所填报的各项基价中的各种材料单价在合同实施期间不因市场价格变化因素而变动，供应商在填报综合单价时应考虑各种风险因素和自己的承受能力。</w:t>
      </w:r>
    </w:p>
    <w:p>
      <w:pPr>
        <w:widowControl w:val="0"/>
        <w:adjustRightInd w:val="0"/>
        <w:snapToGrid w:val="0"/>
        <w:spacing w:line="400" w:lineRule="exact"/>
        <w:ind w:firstLine="419" w:firstLineChars="195"/>
        <w:rPr>
          <w:rFonts w:hint="eastAsia" w:ascii="宋体" w:hAnsi="宋体" w:cs="Courier New"/>
          <w:b/>
          <w:color w:val="auto"/>
          <w:spacing w:val="2"/>
        </w:rPr>
      </w:pPr>
      <w:r>
        <w:rPr>
          <w:rFonts w:hint="eastAsia" w:ascii="宋体" w:hAnsi="宋体" w:cs="Courier New"/>
          <w:b/>
          <w:color w:val="auto"/>
          <w:spacing w:val="2"/>
        </w:rPr>
        <w:t>11</w:t>
      </w:r>
      <w:r>
        <w:rPr>
          <w:rFonts w:ascii="宋体" w:hAnsi="宋体" w:cs="Courier New"/>
          <w:b/>
          <w:color w:val="auto"/>
          <w:spacing w:val="2"/>
        </w:rPr>
        <w:t>.1.</w:t>
      </w:r>
      <w:r>
        <w:rPr>
          <w:rFonts w:hint="eastAsia" w:ascii="宋体" w:hAnsi="宋体" w:cs="Courier New"/>
          <w:b/>
          <w:color w:val="auto"/>
          <w:spacing w:val="2"/>
        </w:rPr>
        <w:t>4</w:t>
      </w:r>
      <w:r>
        <w:rPr>
          <w:rFonts w:hint="eastAsia" w:ascii="宋体" w:hAnsi="宋体" w:cs="Courier New"/>
          <w:color w:val="auto"/>
          <w:spacing w:val="2"/>
        </w:rPr>
        <w:t>因设计变更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除外)，并乘以下浮系数(成交价/经财政部门审定的工程预算控制价)计算，其中材料价格有信息价的按施工期间的信息价进行计算，无信息的按市场价或双方签订的价格；无定额可套的，由发包人、承包人根据市场价格协商；新增项目的单价应经财政部门审定。国家和自治区政策性调整有关费用标准的，按文件规定执行。</w:t>
      </w:r>
    </w:p>
    <w:p>
      <w:pPr>
        <w:widowControl w:val="0"/>
        <w:adjustRightInd w:val="0"/>
        <w:snapToGrid w:val="0"/>
        <w:spacing w:line="400" w:lineRule="exact"/>
        <w:ind w:firstLine="419" w:firstLineChars="195"/>
        <w:rPr>
          <w:rFonts w:ascii="宋体" w:hAnsi="宋体" w:cs="Courier New"/>
          <w:b/>
          <w:color w:val="auto"/>
          <w:spacing w:val="2"/>
        </w:rPr>
      </w:pPr>
      <w:r>
        <w:rPr>
          <w:rFonts w:hint="eastAsia" w:ascii="宋体" w:hAnsi="宋体" w:cs="Courier New"/>
          <w:b/>
          <w:color w:val="auto"/>
          <w:spacing w:val="2"/>
        </w:rPr>
        <w:t>11</w:t>
      </w:r>
      <w:r>
        <w:rPr>
          <w:rFonts w:ascii="宋体" w:hAnsi="宋体" w:cs="Courier New"/>
          <w:b/>
          <w:color w:val="auto"/>
          <w:spacing w:val="2"/>
        </w:rPr>
        <w:t>.1.</w:t>
      </w:r>
      <w:r>
        <w:rPr>
          <w:rFonts w:hint="eastAsia" w:ascii="宋体" w:hAnsi="宋体" w:cs="Courier New"/>
          <w:b/>
          <w:color w:val="auto"/>
          <w:spacing w:val="2"/>
        </w:rPr>
        <w:t>5</w:t>
      </w:r>
      <w:r>
        <w:rPr>
          <w:rFonts w:ascii="宋体" w:hAnsi="宋体" w:cs="Courier New"/>
          <w:b/>
          <w:color w:val="auto"/>
          <w:spacing w:val="2"/>
        </w:rPr>
        <w:t xml:space="preserve"> </w:t>
      </w:r>
      <w:r>
        <w:rPr>
          <w:rFonts w:hint="eastAsia" w:ascii="宋体" w:hAnsi="宋体" w:cs="Courier New"/>
          <w:b/>
          <w:color w:val="auto"/>
          <w:spacing w:val="2"/>
        </w:rPr>
        <w:t>磋商单位应认真填写工程量清单中所列的所有各细目的单价和合价，填写工程量清单时应注意：</w:t>
      </w:r>
    </w:p>
    <w:p>
      <w:pPr>
        <w:widowControl w:val="0"/>
        <w:adjustRightInd w:val="0"/>
        <w:snapToGrid w:val="0"/>
        <w:spacing w:line="400" w:lineRule="exact"/>
        <w:ind w:firstLine="417" w:firstLineChars="195"/>
        <w:rPr>
          <w:rFonts w:ascii="宋体" w:hAnsi="宋体" w:cs="Courier New"/>
          <w:color w:val="auto"/>
          <w:spacing w:val="2"/>
        </w:rPr>
      </w:pPr>
      <w:r>
        <w:rPr>
          <w:rFonts w:hint="eastAsia" w:ascii="宋体" w:hAnsi="宋体" w:cs="Courier New"/>
          <w:color w:val="auto"/>
          <w:spacing w:val="2"/>
        </w:rPr>
        <w:t>（1）有工程数量的应报单价和合价。</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（2）无工程数量的项目不报价。</w:t>
      </w:r>
    </w:p>
    <w:p>
      <w:pPr>
        <w:widowControl w:val="0"/>
        <w:adjustRightInd w:val="0"/>
        <w:snapToGrid w:val="0"/>
        <w:spacing w:line="400" w:lineRule="exact"/>
        <w:ind w:firstLine="417" w:firstLineChars="195"/>
        <w:rPr>
          <w:rFonts w:ascii="宋体" w:hAnsi="宋体" w:cs="Courier New"/>
          <w:color w:val="auto"/>
          <w:spacing w:val="2"/>
        </w:rPr>
      </w:pPr>
      <w:r>
        <w:rPr>
          <w:rFonts w:hint="eastAsia" w:ascii="宋体" w:hAnsi="宋体" w:cs="Courier New"/>
          <w:color w:val="auto"/>
          <w:spacing w:val="2"/>
        </w:rPr>
        <w:t>（3）</w:t>
      </w:r>
      <w:r>
        <w:rPr>
          <w:rFonts w:ascii="宋体" w:hAnsi="宋体" w:cs="Courier New"/>
          <w:color w:val="auto"/>
          <w:spacing w:val="2"/>
        </w:rPr>
        <w:t>除非</w:t>
      </w:r>
      <w:r>
        <w:rPr>
          <w:rFonts w:hint="eastAsia" w:ascii="宋体" w:hAnsi="宋体" w:cs="Courier New"/>
          <w:color w:val="auto"/>
          <w:spacing w:val="2"/>
        </w:rPr>
        <w:t>采购</w:t>
      </w:r>
      <w:r>
        <w:rPr>
          <w:rFonts w:ascii="宋体" w:hAnsi="宋体" w:cs="Courier New"/>
          <w:color w:val="auto"/>
          <w:spacing w:val="2"/>
        </w:rPr>
        <w:t>人对</w:t>
      </w:r>
      <w:r>
        <w:rPr>
          <w:rFonts w:hint="eastAsia" w:ascii="宋体" w:hAnsi="宋体" w:cs="Courier New"/>
          <w:color w:val="auto"/>
          <w:spacing w:val="2"/>
        </w:rPr>
        <w:t>磋商文件</w:t>
      </w:r>
      <w:r>
        <w:rPr>
          <w:rFonts w:ascii="宋体" w:hAnsi="宋体" w:cs="Courier New"/>
          <w:color w:val="auto"/>
          <w:spacing w:val="2"/>
        </w:rPr>
        <w:t>予以修改</w:t>
      </w:r>
      <w:r>
        <w:rPr>
          <w:rFonts w:hint="eastAsia" w:ascii="宋体" w:hAnsi="宋体" w:cs="Courier New"/>
          <w:color w:val="auto"/>
          <w:spacing w:val="2"/>
        </w:rPr>
        <w:t>，供应商</w:t>
      </w:r>
      <w:r>
        <w:rPr>
          <w:rFonts w:ascii="宋体" w:hAnsi="宋体" w:cs="Courier New"/>
          <w:color w:val="auto"/>
          <w:spacing w:val="2"/>
        </w:rPr>
        <w:t>应按</w:t>
      </w:r>
      <w:r>
        <w:rPr>
          <w:rFonts w:hint="eastAsia" w:ascii="宋体" w:hAnsi="宋体" w:cs="Courier New"/>
          <w:color w:val="auto"/>
          <w:spacing w:val="2"/>
        </w:rPr>
        <w:t>采购</w:t>
      </w:r>
      <w:r>
        <w:rPr>
          <w:rFonts w:ascii="宋体" w:hAnsi="宋体" w:cs="Courier New"/>
          <w:color w:val="auto"/>
          <w:spacing w:val="2"/>
        </w:rPr>
        <w:t>人提供的工程量清单中列出的工程项目和工程量填报单价和合价。每一项目只允许有一个报价。任何有选择的报价将不予接受。</w:t>
      </w:r>
      <w:r>
        <w:rPr>
          <w:rFonts w:hint="eastAsia" w:ascii="宋体" w:hAnsi="宋体" w:cs="Courier New"/>
          <w:color w:val="auto"/>
          <w:spacing w:val="2"/>
        </w:rPr>
        <w:t>供应商</w:t>
      </w:r>
      <w:r>
        <w:rPr>
          <w:rFonts w:ascii="宋体" w:hAnsi="宋体" w:cs="Courier New"/>
          <w:color w:val="auto"/>
          <w:spacing w:val="2"/>
        </w:rPr>
        <w:t>未填单价或合价的工程项目，在实施后，</w:t>
      </w:r>
      <w:r>
        <w:rPr>
          <w:rFonts w:hint="eastAsia" w:ascii="宋体" w:hAnsi="宋体" w:cs="Courier New"/>
          <w:color w:val="auto"/>
          <w:spacing w:val="2"/>
        </w:rPr>
        <w:t>采购</w:t>
      </w:r>
      <w:r>
        <w:rPr>
          <w:rFonts w:ascii="宋体" w:hAnsi="宋体" w:cs="Courier New"/>
          <w:color w:val="auto"/>
          <w:spacing w:val="2"/>
        </w:rPr>
        <w:t>人将不予以支付，并视为该项费用已包括在其他有价款的单价或合价内</w:t>
      </w:r>
      <w:r>
        <w:rPr>
          <w:rFonts w:hint="eastAsia" w:ascii="宋体" w:hAnsi="宋体" w:cs="Courier New"/>
          <w:color w:val="auto"/>
          <w:spacing w:val="2"/>
        </w:rPr>
        <w:t>，承包人必须按工程师的指令完成工程量清单中未填入单价或总价的工程细目，但不能得到支付与结算。</w:t>
      </w:r>
    </w:p>
    <w:p>
      <w:pPr>
        <w:widowControl w:val="0"/>
        <w:adjustRightInd w:val="0"/>
        <w:snapToGrid w:val="0"/>
        <w:spacing w:line="400" w:lineRule="exact"/>
        <w:ind w:firstLine="419" w:firstLineChars="195"/>
        <w:rPr>
          <w:rFonts w:hint="eastAsia" w:ascii="宋体" w:hAnsi="宋体" w:cs="Courier New"/>
          <w:b/>
          <w:color w:val="auto"/>
          <w:spacing w:val="2"/>
        </w:rPr>
      </w:pPr>
      <w:r>
        <w:rPr>
          <w:rFonts w:hint="eastAsia" w:ascii="宋体" w:hAnsi="宋体" w:cs="Courier New"/>
          <w:b/>
          <w:color w:val="auto"/>
          <w:spacing w:val="2"/>
        </w:rPr>
        <w:t>11</w:t>
      </w:r>
      <w:r>
        <w:rPr>
          <w:rFonts w:ascii="宋体" w:hAnsi="宋体" w:cs="Courier New"/>
          <w:b/>
          <w:color w:val="auto"/>
          <w:spacing w:val="2"/>
        </w:rPr>
        <w:t>.1.</w:t>
      </w:r>
      <w:r>
        <w:rPr>
          <w:rFonts w:hint="eastAsia" w:ascii="宋体" w:hAnsi="宋体" w:cs="Courier New"/>
          <w:b/>
          <w:color w:val="auto"/>
          <w:spacing w:val="2"/>
        </w:rPr>
        <w:t>6采购人所提供的工程量清单，应认为已包括完成本工程的所有项目。凡设计图纸已指明的工程或完成图纸所示工程所必不可少的附属工程、相关工程、衔接与后续工程所需的费用，磋商单位应计入相关项目的单价中：</w:t>
      </w:r>
    </w:p>
    <w:p>
      <w:pPr>
        <w:widowControl w:val="0"/>
        <w:adjustRightInd w:val="0"/>
        <w:snapToGrid w:val="0"/>
        <w:spacing w:line="410" w:lineRule="exact"/>
        <w:ind w:firstLine="417" w:firstLineChars="195"/>
        <w:rPr>
          <w:rFonts w:hint="eastAsia" w:ascii="宋体" w:hAnsi="宋体" w:cs="Courier New"/>
          <w:color w:val="auto"/>
          <w:spacing w:val="2"/>
        </w:rPr>
      </w:pPr>
      <w:r>
        <w:rPr>
          <w:rFonts w:hint="eastAsia" w:ascii="宋体" w:hAnsi="宋体" w:cs="Courier New"/>
          <w:color w:val="auto"/>
          <w:spacing w:val="2"/>
        </w:rPr>
        <w:t>11</w:t>
      </w:r>
      <w:r>
        <w:rPr>
          <w:rFonts w:ascii="宋体" w:hAnsi="宋体" w:cs="Courier New"/>
          <w:color w:val="auto"/>
          <w:spacing w:val="2"/>
        </w:rPr>
        <w:t>.1.</w:t>
      </w:r>
      <w:r>
        <w:rPr>
          <w:rFonts w:hint="eastAsia" w:ascii="宋体" w:hAnsi="宋体" w:cs="Courier New"/>
          <w:color w:val="auto"/>
          <w:spacing w:val="2"/>
        </w:rPr>
        <w:t>7</w:t>
      </w:r>
      <w:r>
        <w:rPr>
          <w:rFonts w:ascii="宋体" w:hAnsi="宋体" w:cs="Courier New"/>
          <w:color w:val="auto"/>
          <w:spacing w:val="2"/>
        </w:rPr>
        <w:t xml:space="preserve"> </w:t>
      </w:r>
      <w:r>
        <w:rPr>
          <w:rFonts w:hint="eastAsia" w:ascii="宋体" w:hAnsi="宋体" w:cs="Courier New"/>
          <w:color w:val="auto"/>
          <w:spacing w:val="2"/>
        </w:rPr>
        <w:t>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pPr>
        <w:widowControl w:val="0"/>
        <w:adjustRightInd w:val="0"/>
        <w:snapToGrid w:val="0"/>
        <w:spacing w:line="410" w:lineRule="exact"/>
        <w:ind w:firstLine="417" w:firstLineChars="195"/>
        <w:rPr>
          <w:rFonts w:ascii="宋体" w:hAnsi="宋体" w:cs="Courier New"/>
          <w:color w:val="auto"/>
          <w:spacing w:val="2"/>
        </w:rPr>
      </w:pPr>
      <w:r>
        <w:rPr>
          <w:rFonts w:hint="eastAsia" w:ascii="宋体" w:hAnsi="宋体" w:cs="Courier New"/>
          <w:color w:val="auto"/>
          <w:spacing w:val="2"/>
        </w:rPr>
        <w:t>11.1.8供应商</w:t>
      </w:r>
      <w:r>
        <w:rPr>
          <w:rFonts w:ascii="宋体" w:hAnsi="宋体" w:cs="Courier New"/>
          <w:color w:val="auto"/>
          <w:spacing w:val="2"/>
        </w:rPr>
        <w:t>可先到工地踏勘</w:t>
      </w:r>
      <w:r>
        <w:rPr>
          <w:rFonts w:hint="eastAsia" w:ascii="宋体" w:hAnsi="宋体" w:cs="Courier New"/>
          <w:color w:val="auto"/>
          <w:spacing w:val="2"/>
        </w:rPr>
        <w:t>现场</w:t>
      </w:r>
      <w:r>
        <w:rPr>
          <w:rFonts w:ascii="宋体" w:hAnsi="宋体" w:cs="Courier New"/>
          <w:color w:val="auto"/>
          <w:spacing w:val="2"/>
        </w:rPr>
        <w:t>以充分了解工地位置、情况、道路、储存空间、装卸限制及任何其他足以影响承包价的情况，任何因忽视或误解工地情况而导致的索赔或工期延长申请将不被批准。</w:t>
      </w:r>
    </w:p>
    <w:p>
      <w:pPr>
        <w:widowControl w:val="0"/>
        <w:adjustRightInd w:val="0"/>
        <w:snapToGrid w:val="0"/>
        <w:spacing w:line="410" w:lineRule="exact"/>
        <w:ind w:firstLine="419" w:firstLineChars="195"/>
        <w:rPr>
          <w:rFonts w:hint="eastAsia" w:ascii="宋体" w:hAnsi="宋体" w:cs="Courier New"/>
          <w:bCs/>
          <w:color w:val="auto"/>
          <w:spacing w:val="2"/>
        </w:rPr>
      </w:pPr>
      <w:r>
        <w:rPr>
          <w:rFonts w:hint="eastAsia" w:ascii="宋体" w:hAnsi="宋体" w:cs="Courier New"/>
          <w:b/>
          <w:color w:val="auto"/>
          <w:spacing w:val="2"/>
        </w:rPr>
        <w:t>11.1.9</w:t>
      </w:r>
      <w:r>
        <w:rPr>
          <w:rFonts w:hint="eastAsia" w:ascii="宋体" w:hAnsi="宋体" w:cs="Courier New"/>
          <w:bCs/>
          <w:color w:val="auto"/>
          <w:spacing w:val="2"/>
        </w:rPr>
        <w:t xml:space="preserve"> 供应商在进行工程量清单磋商时，应按照采购人的工程量清单进行报价。供应商对自己所填写的项目编码、项目名称、计量单位、工程数量负责。评标中，如项目编码与项目名称不一致，以项目编码为准；如项目编码与计量单位、工程数量无法一一对应，该清单项目作废，该清单项目的费用视为包含在其他清单中；如作废的清单项目达到3项以上（含本数）或作废的清单项目造价累计超过单位工程磋商报价的2%（含本数），视为不响应竞争性磋商文件实质性内容，作为无效磋商处理。供应商安全文明施工费和规费、增值税不按规定报价的，磋商无效。</w:t>
      </w:r>
    </w:p>
    <w:p>
      <w:pPr>
        <w:spacing w:line="410" w:lineRule="exact"/>
        <w:ind w:firstLine="482"/>
        <w:rPr>
          <w:rFonts w:hint="eastAsia" w:ascii="宋体" w:hAnsi="宋体" w:cs="宋体-方正超大字符集"/>
          <w:bCs/>
          <w:color w:val="auto"/>
          <w:sz w:val="24"/>
          <w:szCs w:val="24"/>
        </w:rPr>
      </w:pPr>
      <w:r>
        <w:rPr>
          <w:rFonts w:hint="eastAsia" w:ascii="宋体" w:hAnsi="宋体"/>
          <w:b/>
          <w:color w:val="auto"/>
          <w:szCs w:val="21"/>
        </w:rPr>
        <w:t>11.1.10</w:t>
      </w:r>
      <w:r>
        <w:rPr>
          <w:rFonts w:hint="eastAsia" w:ascii="宋体" w:hAnsi="宋体"/>
          <w:bCs/>
          <w:color w:val="auto"/>
          <w:szCs w:val="21"/>
        </w:rPr>
        <w:t>磋商报价规费中含按规定向建安劳保费管理机构缴纳的建安</w:t>
      </w:r>
      <w:r>
        <w:rPr>
          <w:rFonts w:hint="eastAsia" w:ascii="宋体" w:hAnsi="宋体" w:cs="宋体-方正超大字符集"/>
          <w:bCs/>
          <w:color w:val="auto"/>
          <w:szCs w:val="21"/>
        </w:rPr>
        <w:t>劳保费（依据为桂政发</w:t>
      </w:r>
      <w:r>
        <w:rPr>
          <w:rFonts w:hint="eastAsia" w:ascii="宋体" w:hAnsi="宋体"/>
          <w:bCs/>
          <w:color w:val="auto"/>
          <w:szCs w:val="21"/>
        </w:rPr>
        <w:t>〔2012〕42号，桂建计〔2000〕48号，现行收取标准依据桂建计字〔2000〕48号有关规定执行，即按建筑安装工程造价的2%收取</w:t>
      </w:r>
      <w:r>
        <w:rPr>
          <w:rFonts w:hint="eastAsia" w:ascii="宋体" w:hAnsi="宋体"/>
          <w:bCs/>
          <w:color w:val="auto"/>
          <w:sz w:val="24"/>
          <w:szCs w:val="24"/>
        </w:rPr>
        <w:t>。</w:t>
      </w:r>
    </w:p>
    <w:p>
      <w:pPr>
        <w:widowControl w:val="0"/>
        <w:adjustRightInd w:val="0"/>
        <w:snapToGrid w:val="0"/>
        <w:spacing w:line="410" w:lineRule="exact"/>
        <w:ind w:firstLine="419" w:firstLineChars="195"/>
        <w:rPr>
          <w:rFonts w:hint="eastAsia" w:ascii="宋体" w:hAnsi="宋体" w:cs="Courier New"/>
          <w:b/>
          <w:color w:val="auto"/>
          <w:spacing w:val="2"/>
        </w:rPr>
      </w:pPr>
      <w:r>
        <w:rPr>
          <w:rFonts w:hint="eastAsia" w:ascii="宋体" w:hAnsi="宋体" w:cs="Courier New"/>
          <w:b/>
          <w:color w:val="auto"/>
          <w:spacing w:val="2"/>
        </w:rPr>
        <w:t>11</w:t>
      </w:r>
      <w:r>
        <w:rPr>
          <w:rFonts w:ascii="宋体" w:hAnsi="宋体" w:cs="Courier New"/>
          <w:b/>
          <w:color w:val="auto"/>
          <w:spacing w:val="2"/>
        </w:rPr>
        <w:t>.</w:t>
      </w:r>
      <w:r>
        <w:rPr>
          <w:rFonts w:hint="eastAsia" w:ascii="宋体" w:hAnsi="宋体" w:cs="Courier New"/>
          <w:b/>
          <w:color w:val="auto"/>
          <w:spacing w:val="2"/>
        </w:rPr>
        <w:t>2 如工程量清单汇总表的总价与磋商函中的报价不相符的，将被视为无效磋商。</w:t>
      </w:r>
    </w:p>
    <w:p>
      <w:pPr>
        <w:widowControl w:val="0"/>
        <w:adjustRightInd w:val="0"/>
        <w:snapToGrid w:val="0"/>
        <w:spacing w:line="410" w:lineRule="exact"/>
        <w:ind w:firstLine="419" w:firstLineChars="195"/>
        <w:rPr>
          <w:rFonts w:hint="eastAsia" w:ascii="宋体" w:hAnsi="宋体" w:cs="Courier New"/>
          <w:b/>
          <w:color w:val="auto"/>
          <w:spacing w:val="2"/>
        </w:rPr>
      </w:pPr>
      <w:r>
        <w:rPr>
          <w:rFonts w:hint="eastAsia" w:ascii="宋体" w:hAnsi="宋体" w:cs="Courier New"/>
          <w:b/>
          <w:color w:val="auto"/>
          <w:spacing w:val="2"/>
        </w:rPr>
        <w:t>11</w:t>
      </w:r>
      <w:r>
        <w:rPr>
          <w:rFonts w:ascii="宋体" w:hAnsi="宋体" w:cs="Courier New"/>
          <w:b/>
          <w:color w:val="auto"/>
          <w:spacing w:val="2"/>
        </w:rPr>
        <w:t>.</w:t>
      </w:r>
      <w:r>
        <w:rPr>
          <w:rFonts w:hint="eastAsia" w:ascii="宋体" w:hAnsi="宋体" w:cs="Courier New"/>
          <w:b/>
          <w:color w:val="auto"/>
          <w:spacing w:val="2"/>
        </w:rPr>
        <w:t>3 计算依据：</w:t>
      </w:r>
    </w:p>
    <w:p>
      <w:pPr>
        <w:widowControl w:val="0"/>
        <w:adjustRightInd w:val="0"/>
        <w:snapToGrid w:val="0"/>
        <w:spacing w:line="410" w:lineRule="exact"/>
        <w:ind w:firstLine="419" w:firstLineChars="195"/>
        <w:rPr>
          <w:rFonts w:hint="eastAsia" w:ascii="宋体" w:hAnsi="宋体" w:cs="Courier New"/>
          <w:b/>
          <w:color w:val="auto"/>
          <w:spacing w:val="2"/>
        </w:rPr>
      </w:pPr>
      <w:r>
        <w:rPr>
          <w:rFonts w:hint="eastAsia" w:ascii="宋体" w:hAnsi="宋体" w:cs="Courier New"/>
          <w:b/>
          <w:color w:val="auto"/>
          <w:spacing w:val="2"/>
        </w:rPr>
        <w:t>详见工程量清单</w:t>
      </w:r>
    </w:p>
    <w:p>
      <w:pPr>
        <w:widowControl w:val="0"/>
        <w:adjustRightInd w:val="0"/>
        <w:snapToGrid w:val="0"/>
        <w:spacing w:line="410" w:lineRule="exact"/>
        <w:ind w:firstLine="419" w:firstLineChars="195"/>
        <w:rPr>
          <w:rFonts w:ascii="宋体" w:hAnsi="宋体" w:cs="Courier New"/>
          <w:b/>
          <w:color w:val="auto"/>
          <w:spacing w:val="2"/>
        </w:rPr>
      </w:pPr>
      <w:r>
        <w:rPr>
          <w:rFonts w:hint="eastAsia" w:ascii="宋体" w:hAnsi="宋体" w:cs="Courier New"/>
          <w:b/>
          <w:color w:val="auto"/>
          <w:spacing w:val="2"/>
        </w:rPr>
        <w:t>11</w:t>
      </w:r>
      <w:r>
        <w:rPr>
          <w:rFonts w:ascii="宋体" w:hAnsi="宋体" w:cs="Courier New"/>
          <w:b/>
          <w:color w:val="auto"/>
          <w:spacing w:val="2"/>
        </w:rPr>
        <w:t>.</w:t>
      </w:r>
      <w:r>
        <w:rPr>
          <w:rFonts w:hint="eastAsia" w:ascii="宋体" w:hAnsi="宋体" w:cs="Courier New"/>
          <w:b/>
          <w:color w:val="auto"/>
          <w:spacing w:val="2"/>
        </w:rPr>
        <w:t>4</w:t>
      </w:r>
      <w:r>
        <w:rPr>
          <w:rFonts w:ascii="宋体" w:hAnsi="宋体" w:cs="Courier New"/>
          <w:b/>
          <w:color w:val="auto"/>
          <w:spacing w:val="2"/>
        </w:rPr>
        <w:t xml:space="preserve"> </w:t>
      </w:r>
      <w:r>
        <w:rPr>
          <w:rFonts w:hint="eastAsia" w:ascii="宋体" w:hAnsi="宋体" w:cs="Courier New"/>
          <w:b/>
          <w:color w:val="auto"/>
          <w:spacing w:val="2"/>
        </w:rPr>
        <w:t>磋商货币</w:t>
      </w:r>
    </w:p>
    <w:p>
      <w:pPr>
        <w:widowControl w:val="0"/>
        <w:adjustRightInd w:val="0"/>
        <w:snapToGrid w:val="0"/>
        <w:spacing w:line="410" w:lineRule="exact"/>
        <w:ind w:firstLine="522" w:firstLineChars="244"/>
        <w:rPr>
          <w:rFonts w:hint="eastAsia" w:ascii="宋体" w:hAnsi="宋体" w:cs="Courier New"/>
          <w:color w:val="auto"/>
          <w:spacing w:val="2"/>
        </w:rPr>
      </w:pPr>
      <w:r>
        <w:rPr>
          <w:rFonts w:hint="eastAsia" w:ascii="宋体" w:hAnsi="宋体" w:cs="Courier New"/>
          <w:color w:val="auto"/>
          <w:spacing w:val="2"/>
        </w:rPr>
        <w:t>响应文件报价中的单价和合价全部采用</w:t>
      </w:r>
      <w:r>
        <w:rPr>
          <w:rFonts w:hint="eastAsia" w:ascii="宋体" w:hAnsi="宋体" w:cs="Courier New"/>
          <w:b/>
          <w:color w:val="auto"/>
          <w:spacing w:val="2"/>
          <w:sz w:val="24"/>
          <w:szCs w:val="24"/>
        </w:rPr>
        <w:t>人民币</w:t>
      </w:r>
      <w:r>
        <w:rPr>
          <w:rFonts w:hint="eastAsia" w:ascii="宋体" w:hAnsi="宋体" w:cs="Courier New"/>
          <w:color w:val="auto"/>
          <w:spacing w:val="2"/>
        </w:rPr>
        <w:t>表示。</w:t>
      </w:r>
    </w:p>
    <w:p>
      <w:pPr>
        <w:widowControl w:val="0"/>
        <w:adjustRightInd w:val="0"/>
        <w:snapToGrid w:val="0"/>
        <w:spacing w:line="410" w:lineRule="exact"/>
        <w:outlineLvl w:val="2"/>
        <w:rPr>
          <w:rFonts w:hint="eastAsia" w:ascii="宋体" w:hAnsi="宋体" w:cs="Courier New"/>
          <w:color w:val="auto"/>
          <w:spacing w:val="2"/>
          <w:sz w:val="22"/>
          <w:szCs w:val="22"/>
        </w:rPr>
      </w:pPr>
      <w:r>
        <w:rPr>
          <w:rFonts w:hint="eastAsia" w:ascii="宋体" w:hAnsi="宋体" w:cs="Courier New"/>
          <w:b/>
          <w:bCs/>
          <w:color w:val="auto"/>
          <w:spacing w:val="2"/>
          <w:sz w:val="22"/>
          <w:szCs w:val="22"/>
        </w:rPr>
        <w:t>12、供应商资格审查证明材料</w:t>
      </w:r>
      <w:r>
        <w:rPr>
          <w:rFonts w:hint="eastAsia" w:ascii="宋体" w:hAnsi="宋体" w:cs="Courier New"/>
          <w:color w:val="auto"/>
          <w:spacing w:val="2"/>
          <w:sz w:val="22"/>
          <w:szCs w:val="22"/>
        </w:rPr>
        <w:t>（</w:t>
      </w:r>
      <w:r>
        <w:rPr>
          <w:rFonts w:hint="eastAsia" w:ascii="宋体" w:hAnsi="宋体" w:cs="宋体"/>
          <w:b/>
          <w:color w:val="auto"/>
          <w:szCs w:val="21"/>
        </w:rPr>
        <w:t>下述资格证明文件中注明必须提供的文件均必须提交完备，如提供的材料不完备或未按规定加盖单位公章的，将被当作资格审查不合格不进入详评</w:t>
      </w:r>
      <w:r>
        <w:rPr>
          <w:rFonts w:hint="eastAsia" w:ascii="宋体" w:hAnsi="宋体" w:cs="Courier New"/>
          <w:color w:val="auto"/>
          <w:spacing w:val="2"/>
          <w:sz w:val="22"/>
          <w:szCs w:val="22"/>
        </w:rPr>
        <w:t>）</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1）法定代表人身份证明原件及身份证复印件（法定代表人签署磋商响应文件时提供）或者磋商响应文件签署授权委托书（原件），附：法定代表人身份证明及身份证、委托代理的委托代理人身份证等材料的复印件（委托代理人签署磋商响应文件时提供）（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（2）磋商单位基本情况表（附有效的企业营业执照</w:t>
      </w:r>
      <w:r>
        <w:rPr>
          <w:rFonts w:hint="eastAsia" w:ascii="宋体" w:hAnsi="宋体" w:cs="Courier New"/>
          <w:b/>
          <w:bCs/>
          <w:color w:val="auto"/>
          <w:spacing w:val="2"/>
          <w:sz w:val="22"/>
          <w:szCs w:val="22"/>
          <w:lang w:eastAsia="zh-CN"/>
        </w:rPr>
        <w:t>副本</w:t>
      </w:r>
      <w:r>
        <w:rPr>
          <w:rFonts w:hint="eastAsia" w:ascii="宋体" w:hAnsi="宋体" w:cs="Courier New"/>
          <w:b/>
          <w:bCs/>
          <w:color w:val="auto"/>
          <w:spacing w:val="2"/>
          <w:sz w:val="22"/>
          <w:szCs w:val="22"/>
        </w:rPr>
        <w:t>、企业资质证书副本和安全生产许可证）（必须提供）；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（3）建设工程项目管理承诺书（必须提供）；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（4）项目经理简历表；[附项目经理注册建造师注册证书和安全生产考核合格证书（B 类）]（必须提供）；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（5）专职安全员简历表；[附专职安全员安全生产考核合格证书（C 类）]（必须提供）；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6）响应文件递交截止之日前半年内供应商连续三个月的依法缴纳社保费的缴费凭证复印件（原件备查）；无缴费记录的，应提供由供应商所在地行政主管部门出具的《依法缴纳或依法免缴社保费证明》复印件；（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7）响应文件递交截止之日前半年内供应商连续三个月的依法缴纳税费或依法免缴税费的证明材料复印件（原件备查）；无纳税记录的，应提供由供应商所在地税务部门出具的《依法纳税或依法免税证明》复印件；（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8）投标人提供2019年的财务状况报告复印件[可以是财务报表（资产负债表和利润表）、银行出具的资信证明、第三方审计报告等证明材料，2020年新成立的企业按实际产生月份提供财务证明]；(必须提供，加盖公章)；（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（9）参加政府采购活动前3年内在经营活动中没有重大违法记录的书面声明(必须提供)；</w:t>
      </w:r>
    </w:p>
    <w:p>
      <w:pPr>
        <w:widowControl w:val="0"/>
        <w:adjustRightInd w:val="0"/>
        <w:snapToGrid w:val="0"/>
        <w:spacing w:line="410" w:lineRule="exact"/>
        <w:ind w:firstLine="450" w:firstLineChars="200"/>
        <w:rPr>
          <w:rFonts w:hint="eastAsia" w:ascii="宋体" w:hAnsi="宋体" w:cs="Courier New"/>
          <w:b/>
          <w:bCs/>
          <w:color w:val="auto"/>
          <w:spacing w:val="2"/>
          <w:sz w:val="22"/>
          <w:szCs w:val="22"/>
        </w:rPr>
      </w:pPr>
      <w:r>
        <w:rPr>
          <w:rFonts w:hint="eastAsia" w:ascii="宋体" w:hAnsi="宋体" w:cs="Courier New"/>
          <w:b/>
          <w:bCs/>
          <w:color w:val="auto"/>
          <w:spacing w:val="2"/>
          <w:sz w:val="22"/>
          <w:szCs w:val="22"/>
        </w:rPr>
        <w:t>（10）资格审查需要的其他材料：项目管理机构配备情况表、拟投入施工机械设备情况表、企业近年已完成类似项目一览表（如有）、企业近年信誉实力一览表（如有）、近年发生的诉讼和仲裁情况（如有）等。</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13、磋商有效期</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13</w:t>
      </w:r>
      <w:r>
        <w:rPr>
          <w:rFonts w:ascii="宋体" w:hAnsi="宋体" w:cs="Courier New"/>
          <w:color w:val="auto"/>
          <w:spacing w:val="2"/>
        </w:rPr>
        <w:t>.</w:t>
      </w:r>
      <w:r>
        <w:rPr>
          <w:rFonts w:hint="eastAsia" w:ascii="宋体" w:hAnsi="宋体" w:cs="Courier New"/>
          <w:color w:val="auto"/>
          <w:spacing w:val="2"/>
        </w:rPr>
        <w:t>l</w:t>
      </w:r>
      <w:r>
        <w:rPr>
          <w:rFonts w:ascii="宋体" w:hAnsi="宋体" w:cs="Courier New"/>
          <w:color w:val="auto"/>
          <w:spacing w:val="2"/>
        </w:rPr>
        <w:t xml:space="preserve"> </w:t>
      </w:r>
      <w:r>
        <w:rPr>
          <w:rFonts w:hint="eastAsia" w:ascii="宋体" w:hAnsi="宋体" w:cs="Courier New"/>
          <w:color w:val="auto"/>
          <w:spacing w:val="2"/>
          <w:u w:val="none" w:color="auto"/>
        </w:rPr>
        <w:t>响应</w:t>
      </w:r>
      <w:r>
        <w:rPr>
          <w:rFonts w:hint="eastAsia" w:ascii="宋体" w:hAnsi="宋体" w:cs="Courier New"/>
          <w:color w:val="auto"/>
          <w:spacing w:val="2"/>
        </w:rPr>
        <w:t>文件在本须知前附表规定的磋商截止日期后</w:t>
      </w:r>
      <w:r>
        <w:rPr>
          <w:rFonts w:hint="eastAsia" w:ascii="宋体" w:hAnsi="宋体" w:cs="Courier New"/>
          <w:b/>
          <w:color w:val="auto"/>
          <w:spacing w:val="2"/>
          <w:u w:val="single"/>
        </w:rPr>
        <w:t xml:space="preserve"> 60 </w:t>
      </w:r>
      <w:r>
        <w:rPr>
          <w:rFonts w:hint="eastAsia" w:ascii="宋体" w:hAnsi="宋体" w:cs="Courier New"/>
          <w:color w:val="auto"/>
          <w:spacing w:val="2"/>
          <w:u w:val="none" w:color="auto"/>
        </w:rPr>
        <w:t>天</w:t>
      </w:r>
      <w:r>
        <w:rPr>
          <w:rFonts w:hint="eastAsia" w:ascii="宋体" w:hAnsi="宋体" w:cs="Courier New"/>
          <w:color w:val="auto"/>
          <w:spacing w:val="2"/>
        </w:rPr>
        <w:t>（日历天）内有效。</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13</w:t>
      </w:r>
      <w:r>
        <w:rPr>
          <w:rFonts w:ascii="宋体" w:hAnsi="宋体" w:cs="Courier New"/>
          <w:color w:val="auto"/>
          <w:spacing w:val="2"/>
        </w:rPr>
        <w:t>.</w:t>
      </w:r>
      <w:r>
        <w:rPr>
          <w:rFonts w:hint="eastAsia" w:ascii="宋体" w:hAnsi="宋体" w:cs="Courier New"/>
          <w:color w:val="auto"/>
          <w:spacing w:val="2"/>
        </w:rPr>
        <w:t>2</w:t>
      </w:r>
      <w:r>
        <w:rPr>
          <w:rFonts w:ascii="宋体" w:hAnsi="宋体" w:cs="Courier New"/>
          <w:color w:val="auto"/>
          <w:spacing w:val="2"/>
        </w:rPr>
        <w:t xml:space="preserve"> </w:t>
      </w:r>
      <w:r>
        <w:rPr>
          <w:rFonts w:hint="eastAsia" w:ascii="宋体" w:hAnsi="宋体" w:cs="Courier New"/>
          <w:color w:val="auto"/>
          <w:spacing w:val="2"/>
        </w:rPr>
        <w:t>在原定磋商有效期满之前，如果出现特殊情况，采购人可以书面形式向供应商提出延长磋商有效期的要求。供应商须以书面形式予以答复。</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14、磋商保证金</w:t>
      </w:r>
    </w:p>
    <w:p>
      <w:pPr>
        <w:widowControl w:val="0"/>
        <w:adjustRightInd w:val="0"/>
        <w:snapToGrid w:val="0"/>
        <w:spacing w:line="400" w:lineRule="exact"/>
        <w:ind w:firstLine="634" w:firstLineChars="295"/>
        <w:rPr>
          <w:rFonts w:hint="eastAsia" w:ascii="宋体" w:hAnsi="宋体" w:cs="Courier New"/>
          <w:b/>
          <w:color w:val="auto"/>
          <w:spacing w:val="2"/>
          <w:u w:val="single" w:color="auto"/>
        </w:rPr>
      </w:pPr>
      <w:r>
        <w:rPr>
          <w:rFonts w:hint="eastAsia" w:ascii="宋体" w:hAnsi="宋体" w:cs="Courier New"/>
          <w:b/>
          <w:color w:val="auto"/>
          <w:spacing w:val="2"/>
          <w:u w:val="single" w:color="auto"/>
        </w:rPr>
        <w:t>无。</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15、踏勘现场和磋商答疑</w:t>
      </w:r>
    </w:p>
    <w:p>
      <w:pPr>
        <w:widowControl w:val="0"/>
        <w:adjustRightInd w:val="0"/>
        <w:snapToGrid w:val="0"/>
        <w:spacing w:line="400" w:lineRule="exact"/>
        <w:ind w:firstLine="417" w:firstLineChars="195"/>
        <w:rPr>
          <w:rFonts w:hint="eastAsia" w:ascii="宋体" w:hAnsi="宋体" w:cs="Courier New"/>
          <w:color w:val="auto"/>
          <w:spacing w:val="2"/>
        </w:rPr>
      </w:pPr>
      <w:r>
        <w:rPr>
          <w:rFonts w:ascii="宋体" w:hAnsi="宋体" w:cs="Courier New"/>
          <w:color w:val="auto"/>
          <w:spacing w:val="2"/>
        </w:rPr>
        <w:t>1</w:t>
      </w:r>
      <w:r>
        <w:rPr>
          <w:rFonts w:hint="eastAsia" w:ascii="宋体" w:hAnsi="宋体" w:cs="Courier New"/>
          <w:color w:val="auto"/>
          <w:spacing w:val="2"/>
        </w:rPr>
        <w:t>5.1供应商可在磋商截止时间前，自行对项目现场进行踏勘。踏勘过程中发生的一切风险及费用由供应商承担。</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15</w:t>
      </w:r>
      <w:r>
        <w:rPr>
          <w:rFonts w:ascii="宋体" w:hAnsi="宋体" w:cs="Courier New"/>
          <w:color w:val="auto"/>
          <w:spacing w:val="2"/>
        </w:rPr>
        <w:t>.</w:t>
      </w:r>
      <w:r>
        <w:rPr>
          <w:rFonts w:hint="eastAsia" w:ascii="宋体" w:hAnsi="宋体" w:cs="Courier New"/>
          <w:color w:val="auto"/>
          <w:spacing w:val="2"/>
        </w:rPr>
        <w:t>2采购人向供应商提供的有关施工现场的数据资料以及供应商在踏勘现场中所获取的项目有关周边环境情况，供供应商在编制磋商文件时参考利用。采购人对供应商由此作出的</w:t>
      </w:r>
      <w:r>
        <w:rPr>
          <w:rFonts w:ascii="宋体" w:hAnsi="宋体"/>
          <w:color w:val="auto"/>
          <w:szCs w:val="21"/>
        </w:rPr>
        <w:t>判断和决策</w:t>
      </w:r>
      <w:r>
        <w:rPr>
          <w:rFonts w:hint="eastAsia" w:ascii="宋体" w:hAnsi="宋体" w:cs="Courier New"/>
          <w:color w:val="auto"/>
          <w:spacing w:val="2"/>
        </w:rPr>
        <w:t>概不负责。</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15.3 供应商在踏勘现场后须向采购人提出的与磋商有关的任何问题须在磋商截止时间2日前的正常工作时间内，以书面形式送达采购代理机构。采购代理机构将以书面形式予以答复，并同时将该答复送达所有获得</w:t>
      </w:r>
      <w:r>
        <w:rPr>
          <w:rFonts w:hint="eastAsia" w:ascii="宋体" w:hAnsi="宋体"/>
          <w:color w:val="auto"/>
          <w:u w:val="none" w:color="auto"/>
        </w:rPr>
        <w:t>竞争性磋商文件</w:t>
      </w:r>
      <w:r>
        <w:rPr>
          <w:rFonts w:hint="eastAsia" w:ascii="宋体" w:hAnsi="宋体" w:cs="Courier New"/>
          <w:color w:val="auto"/>
          <w:spacing w:val="2"/>
        </w:rPr>
        <w:t>的供应商。</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16、响应文件的份数和签署</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16</w:t>
      </w:r>
      <w:r>
        <w:rPr>
          <w:rFonts w:ascii="宋体" w:hAnsi="宋体" w:cs="Courier New"/>
          <w:color w:val="auto"/>
          <w:spacing w:val="2"/>
        </w:rPr>
        <w:t>.</w:t>
      </w:r>
      <w:r>
        <w:rPr>
          <w:rFonts w:hint="eastAsia" w:ascii="宋体" w:hAnsi="宋体" w:cs="Courier New"/>
          <w:color w:val="auto"/>
          <w:spacing w:val="2"/>
        </w:rPr>
        <w:t>l供应商按须知前附表第7项的规定，编制一套</w:t>
      </w:r>
      <w:r>
        <w:rPr>
          <w:rFonts w:hint="eastAsia" w:ascii="宋体" w:hAnsi="宋体" w:cs="Courier New"/>
          <w:color w:val="auto"/>
          <w:spacing w:val="2"/>
          <w:u w:val="none" w:color="auto"/>
        </w:rPr>
        <w:t>响应</w:t>
      </w:r>
      <w:r>
        <w:rPr>
          <w:rFonts w:hint="eastAsia" w:ascii="宋体" w:hAnsi="宋体" w:cs="Courier New"/>
          <w:color w:val="auto"/>
          <w:spacing w:val="2"/>
        </w:rPr>
        <w:t>文件“正本”和前附表第7项所述套数的“副本”。</w:t>
      </w:r>
      <w:r>
        <w:rPr>
          <w:rFonts w:hint="eastAsia" w:ascii="宋体" w:hAnsi="宋体" w:cs="Courier New"/>
          <w:color w:val="auto"/>
          <w:spacing w:val="2"/>
          <w:u w:val="none" w:color="auto"/>
        </w:rPr>
        <w:t>响应</w:t>
      </w:r>
      <w:r>
        <w:rPr>
          <w:rFonts w:hint="eastAsia" w:ascii="宋体" w:hAnsi="宋体" w:cs="Courier New"/>
          <w:color w:val="auto"/>
          <w:spacing w:val="2"/>
        </w:rPr>
        <w:t>文件正本和副本如有不一致之处，以正本为准。</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16.2磋商文件正本与副本均应使用不能擦去的墨水打印或书写，由供应商法定代表人或其授权委托人在规定签字处签名或加盖法人印章和加盖单位的公章，否则其磋商无效。</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16.3全套</w:t>
      </w:r>
      <w:r>
        <w:rPr>
          <w:rFonts w:hint="eastAsia" w:ascii="宋体" w:hAnsi="宋体" w:cs="Courier New"/>
          <w:color w:val="auto"/>
          <w:spacing w:val="2"/>
          <w:u w:val="none" w:color="auto"/>
        </w:rPr>
        <w:t>响应</w:t>
      </w:r>
      <w:r>
        <w:rPr>
          <w:rFonts w:hint="eastAsia" w:ascii="宋体" w:hAnsi="宋体" w:cs="Courier New"/>
          <w:color w:val="auto"/>
          <w:spacing w:val="2"/>
        </w:rPr>
        <w:t>文件应无涂改和行间插字，除非这些删改是根据采购人指示进行的，或者是供应商造成的必须修改的错误，但修改处应由</w:t>
      </w:r>
      <w:r>
        <w:rPr>
          <w:rFonts w:hint="eastAsia" w:ascii="宋体" w:hAnsi="宋体" w:cs="Courier New"/>
          <w:color w:val="auto"/>
          <w:spacing w:val="2"/>
          <w:u w:val="none" w:color="auto"/>
        </w:rPr>
        <w:t>响应</w:t>
      </w:r>
      <w:r>
        <w:rPr>
          <w:rFonts w:hint="eastAsia" w:ascii="宋体" w:hAnsi="宋体" w:cs="Courier New"/>
          <w:color w:val="auto"/>
          <w:spacing w:val="2"/>
        </w:rPr>
        <w:t>文件签字人签字证明并加盖印鉴，否则修改无效。</w:t>
      </w:r>
    </w:p>
    <w:p>
      <w:pPr>
        <w:pStyle w:val="4"/>
        <w:spacing w:before="200" w:after="200" w:line="400" w:lineRule="exact"/>
        <w:jc w:val="center"/>
      </w:pPr>
      <w:bookmarkStart w:id="62" w:name="_Toc198634215"/>
      <w:bookmarkStart w:id="63" w:name="_Toc113257803"/>
      <w:bookmarkStart w:id="64" w:name="_Toc45007869"/>
      <w:bookmarkStart w:id="65" w:name="_Toc113258062"/>
      <w:r>
        <w:t>四、</w:t>
      </w:r>
      <w:r>
        <w:rPr>
          <w:rFonts w:hint="eastAsia"/>
        </w:rPr>
        <w:t>磋商</w:t>
      </w:r>
      <w:r>
        <w:t>文件的递交</w:t>
      </w:r>
      <w:bookmarkEnd w:id="62"/>
      <w:bookmarkEnd w:id="63"/>
      <w:bookmarkEnd w:id="64"/>
      <w:bookmarkEnd w:id="65"/>
    </w:p>
    <w:p>
      <w:pPr>
        <w:spacing w:line="400" w:lineRule="exact"/>
        <w:rPr>
          <w:rFonts w:hint="eastAsia" w:ascii="宋体" w:hAnsi="宋体" w:cs="Courier New"/>
          <w:b/>
          <w:bCs/>
          <w:color w:val="auto"/>
          <w:spacing w:val="2"/>
        </w:rPr>
      </w:pPr>
      <w:r>
        <w:rPr>
          <w:rFonts w:hint="eastAsia" w:ascii="宋体" w:hAnsi="宋体" w:cs="Courier New"/>
          <w:b/>
          <w:bCs/>
          <w:color w:val="auto"/>
          <w:spacing w:val="2"/>
        </w:rPr>
        <w:t>17、响应文件的密封、装订与标志</w:t>
      </w:r>
    </w:p>
    <w:p>
      <w:pPr>
        <w:pStyle w:val="22"/>
        <w:spacing w:line="400" w:lineRule="exact"/>
        <w:ind w:firstLine="420"/>
        <w:rPr>
          <w:rFonts w:hint="eastAsia" w:hAnsi="宋体"/>
        </w:rPr>
      </w:pPr>
      <w:r>
        <w:rPr>
          <w:rFonts w:hint="eastAsia" w:hAnsi="宋体"/>
        </w:rPr>
        <w:t>17.1供应商应将</w:t>
      </w:r>
      <w:r>
        <w:rPr>
          <w:rFonts w:hint="eastAsia" w:hAnsi="宋体" w:cs="Courier New"/>
          <w:spacing w:val="2"/>
        </w:rPr>
        <w:t>响应</w:t>
      </w:r>
      <w:r>
        <w:rPr>
          <w:rFonts w:hint="eastAsia" w:hAnsi="宋体"/>
        </w:rPr>
        <w:t>文件正、副本分别装订成册，在每个文本封面上标明“正本”或“副本”以及项目名称、项目编号、供应商名称等内容。</w:t>
      </w:r>
    </w:p>
    <w:p>
      <w:pPr>
        <w:pStyle w:val="22"/>
        <w:spacing w:line="400" w:lineRule="exact"/>
        <w:ind w:firstLine="420" w:firstLineChars="200"/>
        <w:rPr>
          <w:rFonts w:hint="eastAsia" w:hAnsi="宋体"/>
        </w:rPr>
      </w:pPr>
      <w:r>
        <w:rPr>
          <w:rFonts w:hint="eastAsia" w:hAnsi="宋体"/>
        </w:rPr>
        <w:t>17.2供应商应将</w:t>
      </w:r>
      <w:r>
        <w:rPr>
          <w:rFonts w:hint="eastAsia" w:hAnsi="宋体" w:cs="Courier New"/>
          <w:spacing w:val="2"/>
        </w:rPr>
        <w:t>响应</w:t>
      </w:r>
      <w:r>
        <w:rPr>
          <w:rFonts w:hint="eastAsia" w:hAnsi="宋体"/>
        </w:rPr>
        <w:t>文件（正本一套、副本三套）一并装入同一个响应文件袋中并</w:t>
      </w:r>
      <w:r>
        <w:rPr>
          <w:rFonts w:hint="eastAsia" w:hAnsi="宋体" w:cs="宋体"/>
        </w:rPr>
        <w:t>加以</w:t>
      </w:r>
      <w:r>
        <w:rPr>
          <w:rFonts w:hint="eastAsia" w:hAnsi="宋体"/>
        </w:rPr>
        <w:t>密封，所有封贴处必须密封后签字（法定代表人或其委托代理人签字均可，当为代理人签字时由代理人在开标会上随身携带授权书原件以备核验）并加盖单位公章。</w:t>
      </w:r>
    </w:p>
    <w:p>
      <w:pPr>
        <w:pStyle w:val="22"/>
        <w:spacing w:line="400" w:lineRule="exact"/>
        <w:ind w:firstLine="420"/>
        <w:rPr>
          <w:rFonts w:hAnsi="宋体"/>
        </w:rPr>
      </w:pPr>
      <w:r>
        <w:rPr>
          <w:rFonts w:hint="eastAsia" w:hAnsi="宋体"/>
        </w:rPr>
        <w:t>17.3响应</w:t>
      </w:r>
      <w:r>
        <w:rPr>
          <w:rFonts w:hAnsi="宋体"/>
        </w:rPr>
        <w:t>文件袋上应写明</w:t>
      </w:r>
      <w:r>
        <w:rPr>
          <w:rFonts w:hint="eastAsia" w:hAnsi="宋体"/>
        </w:rPr>
        <w:t>（空格内要求写明具体内容）</w:t>
      </w:r>
      <w:r>
        <w:rPr>
          <w:rFonts w:hAnsi="宋体"/>
        </w:rPr>
        <w:t>：</w:t>
      </w:r>
    </w:p>
    <w:p>
      <w:pPr>
        <w:pStyle w:val="22"/>
        <w:spacing w:line="400" w:lineRule="exact"/>
        <w:ind w:firstLine="720"/>
        <w:rPr>
          <w:rFonts w:hint="eastAsia" w:hAnsi="宋体"/>
        </w:rPr>
      </w:pPr>
      <w:r>
        <w:rPr>
          <w:rFonts w:hint="eastAsia" w:hAnsi="宋体"/>
        </w:rPr>
        <w:t>⑴ 采购代理机构：</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pPr>
        <w:pStyle w:val="22"/>
        <w:wordWrap w:val="0"/>
        <w:spacing w:line="400" w:lineRule="exact"/>
        <w:ind w:firstLine="720"/>
        <w:rPr>
          <w:rFonts w:hint="eastAsia" w:hAnsi="宋体"/>
          <w:bCs/>
          <w:u w:val="single"/>
        </w:rPr>
      </w:pPr>
      <w:r>
        <w:rPr>
          <w:rFonts w:hint="eastAsia" w:hAnsi="宋体"/>
        </w:rPr>
        <w:t>⑵ 项目名称：</w:t>
      </w:r>
      <w:r>
        <w:rPr>
          <w:rFonts w:hint="eastAsia" w:hAnsi="宋体"/>
          <w:szCs w:val="21"/>
          <w:u w:val="single"/>
        </w:rPr>
        <w:t xml:space="preserve">                            </w:t>
      </w:r>
    </w:p>
    <w:p>
      <w:pPr>
        <w:pStyle w:val="22"/>
        <w:wordWrap w:val="0"/>
        <w:spacing w:line="400" w:lineRule="exact"/>
        <w:ind w:firstLine="720"/>
        <w:rPr>
          <w:rFonts w:hint="eastAsia" w:hAnsi="宋体"/>
        </w:rPr>
      </w:pPr>
      <w:r>
        <w:rPr>
          <w:rFonts w:hint="eastAsia" w:hAnsi="宋体"/>
        </w:rPr>
        <w:t>⑶ 项目编号：</w:t>
      </w:r>
      <w:r>
        <w:rPr>
          <w:rFonts w:hint="eastAsia" w:hAnsi="宋体"/>
          <w:u w:val="single"/>
        </w:rPr>
        <w:t xml:space="preserve">                            </w:t>
      </w:r>
    </w:p>
    <w:p>
      <w:pPr>
        <w:pStyle w:val="22"/>
        <w:wordWrap w:val="0"/>
        <w:spacing w:line="400" w:lineRule="exact"/>
        <w:ind w:firstLine="720"/>
        <w:rPr>
          <w:rFonts w:hint="eastAsia" w:hAnsi="宋体"/>
          <w:u w:val="single"/>
        </w:rPr>
      </w:pPr>
      <w:r>
        <w:rPr>
          <w:rFonts w:hint="eastAsia" w:hAnsi="宋体"/>
        </w:rPr>
        <w:t>⑷ 磋商单位：</w:t>
      </w:r>
      <w:r>
        <w:rPr>
          <w:rFonts w:hint="eastAsia" w:hAnsi="宋体"/>
          <w:u w:val="single"/>
        </w:rPr>
        <w:t xml:space="preserve">                            </w:t>
      </w:r>
    </w:p>
    <w:p>
      <w:pPr>
        <w:pStyle w:val="22"/>
        <w:spacing w:line="400" w:lineRule="exact"/>
        <w:ind w:firstLine="720"/>
        <w:rPr>
          <w:rFonts w:hint="eastAsia" w:hAnsi="宋体"/>
        </w:rPr>
      </w:pPr>
      <w:r>
        <w:rPr>
          <w:rFonts w:hint="eastAsia" w:hAnsi="宋体"/>
        </w:rPr>
        <w:t>⑸ 开标前不得拆封</w:t>
      </w:r>
    </w:p>
    <w:p>
      <w:pPr>
        <w:pStyle w:val="22"/>
        <w:spacing w:line="400" w:lineRule="exact"/>
        <w:ind w:firstLine="420" w:firstLineChars="200"/>
        <w:rPr>
          <w:rFonts w:hint="eastAsia" w:hAnsi="宋体"/>
        </w:rPr>
      </w:pPr>
      <w:r>
        <w:rPr>
          <w:rFonts w:hint="eastAsia" w:hAnsi="宋体"/>
        </w:rPr>
        <w:t>17.4供应商须按上述要求和文件袋样式包装。</w:t>
      </w:r>
    </w:p>
    <w:p>
      <w:pPr>
        <w:pStyle w:val="22"/>
        <w:spacing w:line="400" w:lineRule="exact"/>
        <w:ind w:firstLine="422" w:firstLineChars="200"/>
        <w:rPr>
          <w:rFonts w:hint="eastAsia" w:hAnsi="宋体"/>
          <w:b/>
        </w:rPr>
      </w:pPr>
      <w:r>
        <w:rPr>
          <w:rFonts w:hint="eastAsia" w:hAnsi="宋体"/>
          <w:b/>
        </w:rPr>
        <w:t>17.5</w:t>
      </w:r>
      <w:r>
        <w:rPr>
          <w:rFonts w:hint="eastAsia" w:hAnsi="宋体"/>
          <w:b/>
          <w:bCs/>
        </w:rPr>
        <w:t>响应</w:t>
      </w:r>
      <w:r>
        <w:rPr>
          <w:rFonts w:hAnsi="宋体"/>
          <w:b/>
          <w:bCs/>
        </w:rPr>
        <w:t>文件的密封以</w:t>
      </w:r>
      <w:r>
        <w:rPr>
          <w:rFonts w:hint="eastAsia" w:hAnsi="宋体"/>
          <w:b/>
          <w:bCs/>
        </w:rPr>
        <w:t>响应</w:t>
      </w:r>
      <w:r>
        <w:rPr>
          <w:rFonts w:hAnsi="宋体"/>
          <w:b/>
          <w:bCs/>
        </w:rPr>
        <w:t>文件袋无明显缝隙暴露袋内文件且封口处有密封签</w:t>
      </w:r>
      <w:r>
        <w:rPr>
          <w:rFonts w:hint="eastAsia" w:hAnsi="宋体"/>
          <w:b/>
          <w:bCs/>
        </w:rPr>
        <w:t>字和盖单位公章</w:t>
      </w:r>
      <w:r>
        <w:rPr>
          <w:rFonts w:hAnsi="宋体"/>
          <w:b/>
          <w:bCs/>
        </w:rPr>
        <w:t>为合格。</w:t>
      </w:r>
    </w:p>
    <w:p>
      <w:pPr>
        <w:pStyle w:val="22"/>
        <w:spacing w:line="400" w:lineRule="exact"/>
        <w:ind w:firstLine="420" w:firstLineChars="200"/>
        <w:rPr>
          <w:rFonts w:hint="eastAsia" w:hAnsi="宋体"/>
        </w:rPr>
      </w:pPr>
      <w:r>
        <w:rPr>
          <w:rFonts w:hint="eastAsia" w:hAnsi="宋体"/>
        </w:rPr>
        <w:t>17.6</w:t>
      </w:r>
      <w:r>
        <w:rPr>
          <w:rFonts w:hint="eastAsia" w:hAnsi="宋体"/>
          <w:b/>
          <w:bCs/>
          <w:szCs w:val="21"/>
        </w:rPr>
        <w:t>供应商在递交响应文件时响应文件袋未按本须知要求密封、标记的，采购代理机构有权拒收，拒收所产生的后果由供应商自负。</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18、磋商截止时间</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18.1</w:t>
      </w:r>
      <w:r>
        <w:rPr>
          <w:rFonts w:hint="eastAsia" w:ascii="宋体" w:hAnsi="宋体" w:cs="Courier New"/>
          <w:color w:val="auto"/>
          <w:spacing w:val="2"/>
          <w:u w:val="none" w:color="auto"/>
        </w:rPr>
        <w:t>响应文件</w:t>
      </w:r>
      <w:r>
        <w:rPr>
          <w:rFonts w:hint="eastAsia" w:ascii="宋体" w:hAnsi="宋体" w:cs="Courier New"/>
          <w:color w:val="auto"/>
          <w:spacing w:val="2"/>
        </w:rPr>
        <w:t>应在前附表第8项规定的日期和时间递交至指定地点交由采购</w:t>
      </w:r>
      <w:r>
        <w:rPr>
          <w:rFonts w:hint="eastAsia" w:ascii="宋体" w:hAnsi="宋体"/>
          <w:color w:val="auto"/>
          <w:u w:val="none" w:color="auto"/>
        </w:rPr>
        <w:t>代理机构工作人员</w:t>
      </w:r>
      <w:r>
        <w:rPr>
          <w:rFonts w:hint="eastAsia" w:ascii="宋体" w:hAnsi="宋体" w:cs="Courier New"/>
          <w:color w:val="auto"/>
          <w:spacing w:val="2"/>
        </w:rPr>
        <w:t>接收</w:t>
      </w:r>
      <w:r>
        <w:rPr>
          <w:rFonts w:hint="eastAsia" w:ascii="宋体" w:hAnsi="宋体" w:cs="Courier New"/>
          <w:b/>
          <w:color w:val="auto"/>
          <w:spacing w:val="2"/>
        </w:rPr>
        <w:t>.</w:t>
      </w:r>
      <w:r>
        <w:rPr>
          <w:rFonts w:hint="eastAsia" w:ascii="宋体" w:hAnsi="宋体" w:cs="Courier New"/>
          <w:color w:val="auto"/>
          <w:spacing w:val="2"/>
        </w:rPr>
        <w:t>凡逾期送达或未按时送达指定地点的响应文件将视为无效响应文件处理。</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18</w:t>
      </w:r>
      <w:r>
        <w:rPr>
          <w:rFonts w:ascii="宋体" w:hAnsi="宋体" w:cs="Courier New"/>
          <w:color w:val="auto"/>
          <w:spacing w:val="2"/>
        </w:rPr>
        <w:t>.</w:t>
      </w:r>
      <w:r>
        <w:rPr>
          <w:rFonts w:hint="eastAsia" w:ascii="宋体" w:hAnsi="宋体" w:cs="Courier New"/>
          <w:color w:val="auto"/>
          <w:spacing w:val="2"/>
        </w:rPr>
        <w:t>2 供应商在磋商截止期以后送达的</w:t>
      </w:r>
      <w:r>
        <w:rPr>
          <w:rFonts w:hint="eastAsia" w:ascii="宋体" w:hAnsi="宋体" w:cs="Courier New"/>
          <w:color w:val="auto"/>
          <w:spacing w:val="2"/>
          <w:u w:val="none" w:color="auto"/>
        </w:rPr>
        <w:t>响应</w:t>
      </w:r>
      <w:r>
        <w:rPr>
          <w:rFonts w:hint="eastAsia" w:ascii="宋体" w:hAnsi="宋体" w:cs="Courier New"/>
          <w:color w:val="auto"/>
          <w:spacing w:val="2"/>
        </w:rPr>
        <w:t>文件采购人将予以拒绝，并原封退给供应商。</w:t>
      </w:r>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19、响应文件的撤回</w:t>
      </w:r>
    </w:p>
    <w:p>
      <w:pPr>
        <w:widowControl w:val="0"/>
        <w:adjustRightInd w:val="0"/>
        <w:snapToGrid w:val="0"/>
        <w:spacing w:line="400" w:lineRule="exact"/>
        <w:ind w:firstLine="417" w:firstLineChars="195"/>
        <w:rPr>
          <w:rFonts w:hint="eastAsia" w:ascii="宋体" w:hAnsi="宋体" w:cs="Courier New"/>
          <w:color w:val="auto"/>
          <w:spacing w:val="2"/>
        </w:rPr>
      </w:pPr>
      <w:r>
        <w:rPr>
          <w:rFonts w:hint="eastAsia" w:ascii="宋体" w:hAnsi="宋体" w:cs="Courier New"/>
          <w:color w:val="auto"/>
          <w:spacing w:val="2"/>
        </w:rPr>
        <w:t>19.1供应商在磋商截止时间前，对所递交的响应文件可以进行补充、修改或撤回，供应商对所递交的补充、修改或撤回需要向采购代理机构出具书面通知。补充、修改的内容为响应文件的组成部分。</w:t>
      </w:r>
    </w:p>
    <w:p>
      <w:pPr>
        <w:widowControl w:val="0"/>
        <w:adjustRightInd w:val="0"/>
        <w:snapToGrid w:val="0"/>
        <w:spacing w:line="400" w:lineRule="exact"/>
        <w:ind w:firstLine="428" w:firstLineChars="200"/>
        <w:rPr>
          <w:rFonts w:hint="eastAsia" w:ascii="宋体" w:hAnsi="宋体" w:cs="Courier New"/>
          <w:color w:val="auto"/>
          <w:spacing w:val="2"/>
        </w:rPr>
      </w:pPr>
      <w:r>
        <w:rPr>
          <w:rFonts w:hint="eastAsia" w:ascii="宋体" w:hAnsi="宋体" w:cs="Courier New"/>
          <w:color w:val="auto"/>
          <w:spacing w:val="2"/>
        </w:rPr>
        <w:t>19.2</w:t>
      </w:r>
      <w:r>
        <w:rPr>
          <w:rFonts w:hint="eastAsia" w:ascii="宋体" w:hAnsi="宋体" w:cs="Courier New"/>
          <w:color w:val="auto"/>
          <w:spacing w:val="2"/>
          <w:u w:val="none" w:color="auto"/>
        </w:rPr>
        <w:t>响应文件的</w:t>
      </w:r>
      <w:r>
        <w:rPr>
          <w:rFonts w:hint="eastAsia" w:ascii="宋体" w:hAnsi="宋体" w:cs="Courier New"/>
          <w:color w:val="auto"/>
          <w:spacing w:val="2"/>
        </w:rPr>
        <w:t>修改和撤回通知应按本须知第17条的规定密封、标记和递交，并在封面上标明“修改”字样。</w:t>
      </w:r>
    </w:p>
    <w:p>
      <w:pPr>
        <w:widowControl w:val="0"/>
        <w:adjustRightInd w:val="0"/>
        <w:snapToGrid w:val="0"/>
        <w:spacing w:line="400" w:lineRule="exact"/>
        <w:ind w:firstLine="428" w:firstLineChars="200"/>
        <w:rPr>
          <w:rFonts w:hint="eastAsia" w:ascii="宋体" w:hAnsi="宋体" w:cs="Courier New"/>
          <w:color w:val="auto"/>
          <w:spacing w:val="2"/>
        </w:rPr>
      </w:pPr>
      <w:r>
        <w:rPr>
          <w:rFonts w:hint="eastAsia" w:ascii="宋体" w:hAnsi="宋体" w:cs="Courier New"/>
          <w:color w:val="auto"/>
          <w:spacing w:val="2"/>
        </w:rPr>
        <w:t>19.3在磋商结束后的磋商有效期内，供应商不得撤回其磋商文件。</w:t>
      </w:r>
    </w:p>
    <w:p>
      <w:pPr>
        <w:pStyle w:val="4"/>
        <w:spacing w:before="200" w:after="200" w:line="400" w:lineRule="exact"/>
        <w:jc w:val="center"/>
      </w:pPr>
      <w:bookmarkStart w:id="66" w:name="_Toc45007870"/>
      <w:r>
        <w:t>五、</w:t>
      </w:r>
      <w:r>
        <w:rPr>
          <w:rFonts w:hint="eastAsia"/>
        </w:rPr>
        <w:t>竞争性磋商</w:t>
      </w:r>
      <w:r>
        <w:t>与评标</w:t>
      </w:r>
      <w:bookmarkEnd w:id="66"/>
    </w:p>
    <w:p>
      <w:pPr>
        <w:widowControl w:val="0"/>
        <w:adjustRightInd w:val="0"/>
        <w:snapToGrid w:val="0"/>
        <w:spacing w:line="400" w:lineRule="exact"/>
        <w:rPr>
          <w:rFonts w:hint="eastAsia" w:ascii="宋体" w:hAnsi="宋体" w:cs="Courier New"/>
          <w:b/>
          <w:bCs/>
          <w:color w:val="auto"/>
          <w:spacing w:val="2"/>
        </w:rPr>
      </w:pPr>
      <w:r>
        <w:rPr>
          <w:rFonts w:hint="eastAsia" w:ascii="宋体" w:hAnsi="宋体" w:cs="Courier New"/>
          <w:b/>
          <w:bCs/>
          <w:color w:val="auto"/>
          <w:spacing w:val="2"/>
        </w:rPr>
        <w:t>20、截标、开标</w:t>
      </w:r>
    </w:p>
    <w:p>
      <w:pPr>
        <w:spacing w:line="400" w:lineRule="exact"/>
        <w:ind w:firstLine="420" w:firstLineChars="200"/>
        <w:rPr>
          <w:rFonts w:ascii="宋体" w:hAnsi="宋体"/>
          <w:color w:val="auto"/>
        </w:rPr>
      </w:pPr>
      <w:r>
        <w:rPr>
          <w:rFonts w:hint="eastAsia" w:ascii="宋体" w:hAnsi="宋体"/>
          <w:color w:val="auto"/>
        </w:rPr>
        <w:t>20.l采购代理机构将于前附表第9项规定的时间和地点公开开标，</w:t>
      </w:r>
      <w:r>
        <w:rPr>
          <w:rFonts w:hint="eastAsia" w:ascii="宋体" w:hAnsi="宋体"/>
          <w:b/>
          <w:color w:val="auto"/>
        </w:rPr>
        <w:t>供应商的法定代表人（携带本人身份证原件及复印件加盖公章、有效的营业执照副本复印件加盖公章）或其委托代理人（</w:t>
      </w:r>
      <w:r>
        <w:rPr>
          <w:rFonts w:hint="eastAsia" w:ascii="宋体" w:hAnsi="宋体" w:cs="宋体"/>
          <w:b/>
          <w:bCs/>
          <w:color w:val="auto"/>
        </w:rPr>
        <w:t>携带本人身份证原件及复印件加盖公章、有效的营业执照副本复印件加盖公章、法定代表人身份证复印件加盖公章和参加开标会议的授权委托书</w:t>
      </w:r>
      <w:r>
        <w:rPr>
          <w:rFonts w:hint="eastAsia" w:ascii="宋体" w:hAnsi="宋体"/>
          <w:b/>
          <w:color w:val="auto"/>
        </w:rPr>
        <w:t>原件）</w:t>
      </w:r>
      <w:r>
        <w:rPr>
          <w:rFonts w:hint="eastAsia" w:ascii="宋体" w:hAnsi="宋体"/>
          <w:color w:val="auto"/>
        </w:rPr>
        <w:t>应签到参加开标会并接受验证。供应商的法定代表人或其委托代表未按时签到的，视同放弃开标监督权利、认可开标结果。</w:t>
      </w:r>
    </w:p>
    <w:p>
      <w:pPr>
        <w:spacing w:line="400" w:lineRule="exact"/>
        <w:ind w:firstLine="420" w:firstLineChars="200"/>
        <w:rPr>
          <w:rFonts w:hint="eastAsia" w:ascii="宋体" w:hAnsi="宋体"/>
          <w:color w:val="auto"/>
        </w:rPr>
      </w:pPr>
      <w:r>
        <w:rPr>
          <w:rFonts w:hint="eastAsia" w:ascii="宋体" w:hAnsi="宋体"/>
          <w:color w:val="auto"/>
        </w:rPr>
        <w:t>20</w:t>
      </w:r>
      <w:r>
        <w:rPr>
          <w:rFonts w:ascii="宋体" w:hAnsi="宋体"/>
          <w:color w:val="auto"/>
        </w:rPr>
        <w:t>.</w:t>
      </w:r>
      <w:r>
        <w:rPr>
          <w:rFonts w:hint="eastAsia" w:ascii="宋体" w:hAnsi="宋体"/>
          <w:color w:val="auto"/>
        </w:rPr>
        <w:t>2</w:t>
      </w:r>
      <w:r>
        <w:rPr>
          <w:rFonts w:ascii="宋体" w:hAnsi="宋体"/>
          <w:color w:val="auto"/>
        </w:rPr>
        <w:t xml:space="preserve"> </w:t>
      </w:r>
      <w:r>
        <w:rPr>
          <w:rFonts w:hint="eastAsia" w:ascii="宋体" w:hAnsi="宋体"/>
          <w:color w:val="auto"/>
        </w:rPr>
        <w:t>开标会议由采购代理机构组织并主持，开标会议按按以下程序要求进行：</w:t>
      </w:r>
    </w:p>
    <w:p>
      <w:pPr>
        <w:spacing w:line="400" w:lineRule="exact"/>
        <w:ind w:firstLine="315" w:firstLineChars="150"/>
        <w:rPr>
          <w:rFonts w:hint="eastAsia" w:ascii="宋体" w:hAnsi="宋体"/>
          <w:color w:val="auto"/>
        </w:rPr>
      </w:pPr>
      <w:r>
        <w:rPr>
          <w:rFonts w:hint="eastAsia" w:ascii="宋体" w:hAnsi="宋体"/>
          <w:color w:val="auto"/>
        </w:rPr>
        <w:t xml:space="preserve"> (1) 主持人宣布开标会议开始，介绍参加开标会人员名单、供应商名单、宣布会场纪律等；</w:t>
      </w:r>
    </w:p>
    <w:p>
      <w:pPr>
        <w:spacing w:line="400" w:lineRule="exact"/>
        <w:ind w:firstLine="420" w:firstLineChars="200"/>
        <w:rPr>
          <w:rFonts w:hint="eastAsia" w:ascii="宋体" w:hAnsi="宋体"/>
          <w:color w:val="auto"/>
        </w:rPr>
      </w:pPr>
      <w:r>
        <w:rPr>
          <w:rFonts w:hint="eastAsia" w:ascii="宋体" w:hAnsi="宋体"/>
          <w:color w:val="auto"/>
        </w:rPr>
        <w:t>(2) 由采购人代表、监督人员共同检验参加会议的各供应商代表的资格证件(按上20.1条要求提交)，主持人当众宣布核查结果；</w:t>
      </w:r>
    </w:p>
    <w:p>
      <w:pPr>
        <w:spacing w:line="400" w:lineRule="exact"/>
        <w:ind w:firstLine="420" w:firstLineChars="200"/>
        <w:rPr>
          <w:rFonts w:hint="eastAsia" w:ascii="宋体" w:hAnsi="宋体"/>
          <w:color w:val="auto"/>
        </w:rPr>
      </w:pPr>
      <w:r>
        <w:rPr>
          <w:rFonts w:hint="eastAsia" w:ascii="宋体" w:hAnsi="宋体"/>
          <w:color w:val="auto"/>
        </w:rPr>
        <w:t>(3) 由各供应商代表共同检查</w:t>
      </w:r>
      <w:r>
        <w:rPr>
          <w:rFonts w:hint="eastAsia" w:ascii="宋体" w:hAnsi="宋体" w:cs="Courier New"/>
          <w:color w:val="auto"/>
          <w:spacing w:val="2"/>
          <w:u w:val="none" w:color="auto"/>
        </w:rPr>
        <w:t>响应</w:t>
      </w:r>
      <w:r>
        <w:rPr>
          <w:rFonts w:hint="eastAsia" w:ascii="宋体" w:hAnsi="宋体"/>
          <w:color w:val="auto"/>
        </w:rPr>
        <w:t>文件密封的完整性并签字确认；</w:t>
      </w:r>
    </w:p>
    <w:p>
      <w:pPr>
        <w:spacing w:line="400" w:lineRule="exact"/>
        <w:ind w:firstLine="420" w:firstLineChars="200"/>
        <w:rPr>
          <w:rFonts w:hint="eastAsia" w:ascii="宋体" w:hAnsi="宋体"/>
          <w:color w:val="auto"/>
        </w:rPr>
      </w:pPr>
      <w:r>
        <w:rPr>
          <w:rFonts w:hint="eastAsia" w:ascii="宋体" w:hAnsi="宋体"/>
          <w:color w:val="auto"/>
        </w:rPr>
        <w:t>(4) 宣布磋商与评标期间的有关事项；</w:t>
      </w:r>
    </w:p>
    <w:p>
      <w:pPr>
        <w:widowControl w:val="0"/>
        <w:adjustRightInd w:val="0"/>
        <w:snapToGrid w:val="0"/>
        <w:spacing w:line="400" w:lineRule="exact"/>
        <w:ind w:firstLine="411" w:firstLineChars="196"/>
        <w:rPr>
          <w:rFonts w:hint="eastAsia" w:ascii="宋体" w:hAnsi="宋体"/>
          <w:color w:val="auto"/>
        </w:rPr>
      </w:pPr>
      <w:r>
        <w:rPr>
          <w:rFonts w:hint="eastAsia" w:ascii="宋体" w:hAnsi="宋体"/>
          <w:color w:val="auto"/>
        </w:rPr>
        <w:t>(5) 截标会议结束，供应商代表退场。</w:t>
      </w:r>
    </w:p>
    <w:p>
      <w:pPr>
        <w:spacing w:line="420" w:lineRule="exact"/>
        <w:ind w:left="422" w:hanging="422" w:hangingChars="200"/>
        <w:rPr>
          <w:rFonts w:hint="eastAsia" w:ascii="宋体" w:hAnsi="宋体"/>
          <w:b/>
          <w:color w:val="auto"/>
        </w:rPr>
      </w:pPr>
      <w:r>
        <w:rPr>
          <w:rFonts w:hint="eastAsia" w:ascii="宋体" w:hAnsi="宋体"/>
          <w:b/>
          <w:color w:val="auto"/>
        </w:rPr>
        <w:t>21.磋商</w:t>
      </w:r>
    </w:p>
    <w:p>
      <w:pPr>
        <w:pStyle w:val="22"/>
        <w:spacing w:line="420" w:lineRule="exact"/>
        <w:ind w:firstLine="420" w:firstLineChars="200"/>
        <w:rPr>
          <w:rFonts w:hint="eastAsia" w:hAnsi="宋体"/>
          <w:bCs/>
        </w:rPr>
      </w:pPr>
      <w:r>
        <w:rPr>
          <w:rFonts w:hint="eastAsia" w:hAnsi="宋体"/>
          <w:bCs/>
        </w:rPr>
        <w:t>21.1 磋商时间及地点详见本须知前附表第9项规定。</w:t>
      </w:r>
    </w:p>
    <w:p>
      <w:pPr>
        <w:pStyle w:val="22"/>
        <w:spacing w:line="420" w:lineRule="exact"/>
        <w:ind w:firstLine="420" w:firstLineChars="200"/>
        <w:rPr>
          <w:rFonts w:hint="eastAsia" w:hAnsi="宋体"/>
        </w:rPr>
      </w:pPr>
      <w:r>
        <w:rPr>
          <w:rFonts w:hint="eastAsia" w:hAnsi="宋体"/>
        </w:rPr>
        <w:t>21.2采购代理机构可根据项目特点组建磋商小组，磋商小组成员将由聘请的专家、采购人代表共三人以上单数组成，其中专家成员不少于成员总数的三分之二。在整个磋商过程中，磋商小组将负责对全部响应文件进行审查、磋商及评标工作。</w:t>
      </w:r>
    </w:p>
    <w:p>
      <w:pPr>
        <w:pStyle w:val="22"/>
        <w:spacing w:line="420" w:lineRule="exact"/>
        <w:ind w:firstLine="420"/>
        <w:rPr>
          <w:rFonts w:hint="eastAsia" w:hAnsi="宋体"/>
        </w:rPr>
      </w:pPr>
      <w:r>
        <w:rPr>
          <w:rFonts w:hint="eastAsia" w:hAnsi="宋体"/>
        </w:rPr>
        <w:t>21.3磋商开始前，磋商小组定好下列事项：磋商的具体程序，如磋商轮次及每个轮次的磋商重点；拟磋商的内容，包括技术规格、磋商范围等，明确磋商小组应当考虑的具体因素及相关要求等。</w:t>
      </w:r>
    </w:p>
    <w:p>
      <w:pPr>
        <w:pStyle w:val="22"/>
        <w:spacing w:line="420" w:lineRule="exact"/>
        <w:ind w:firstLine="420"/>
        <w:rPr>
          <w:rFonts w:hint="eastAsia" w:hAnsi="宋体"/>
        </w:rPr>
      </w:pPr>
      <w:r>
        <w:rPr>
          <w:rFonts w:hint="eastAsia" w:hAnsi="宋体"/>
        </w:rPr>
        <w:t>21.4磋商程序：</w:t>
      </w:r>
    </w:p>
    <w:p>
      <w:pPr>
        <w:pStyle w:val="22"/>
        <w:spacing w:line="420" w:lineRule="exact"/>
        <w:ind w:firstLine="420"/>
        <w:rPr>
          <w:rFonts w:hint="eastAsia" w:hAnsi="宋体"/>
          <w:spacing w:val="-4"/>
        </w:rPr>
      </w:pPr>
      <w:r>
        <w:rPr>
          <w:rFonts w:hint="eastAsia" w:hAnsi="宋体"/>
        </w:rPr>
        <w:t>(1) 供应商可由1～3人参加磋商，磋商中供应商成员之间意见不一致时，以供应商的法定代表人</w:t>
      </w:r>
      <w:r>
        <w:rPr>
          <w:rFonts w:hint="eastAsia" w:hAnsi="宋体"/>
          <w:szCs w:val="21"/>
        </w:rPr>
        <w:t>（或其委托代理人</w:t>
      </w:r>
      <w:r>
        <w:rPr>
          <w:rFonts w:hAnsi="宋体"/>
          <w:szCs w:val="21"/>
        </w:rPr>
        <w:t>）</w:t>
      </w:r>
      <w:r>
        <w:rPr>
          <w:rFonts w:hint="eastAsia" w:hAnsi="宋体"/>
        </w:rPr>
        <w:t>的意见为准。</w:t>
      </w:r>
      <w:r>
        <w:rPr>
          <w:rFonts w:hint="eastAsia" w:hAnsi="宋体"/>
          <w:b/>
        </w:rPr>
        <w:t>供应商的法定代表人或其授权的受托人必须持证件【</w:t>
      </w:r>
      <w:r>
        <w:rPr>
          <w:rFonts w:hint="eastAsia" w:hAnsi="宋体"/>
          <w:b/>
          <w:spacing w:val="-4"/>
        </w:rPr>
        <w:t>法定代表人持本人资格证及身份证原件或授权委托人持授权委托书及本人身份证原件】</w:t>
      </w:r>
      <w:r>
        <w:rPr>
          <w:rFonts w:hint="eastAsia" w:hAnsi="宋体"/>
          <w:spacing w:val="-4"/>
        </w:rPr>
        <w:t>依时到达现场等候参加磋商，并自觉接受核验上述证件。供应商在规定时间内不参加磋商的，视为供应商自动放弃磋商。</w:t>
      </w:r>
    </w:p>
    <w:p>
      <w:pPr>
        <w:pStyle w:val="22"/>
        <w:spacing w:line="420" w:lineRule="exact"/>
        <w:ind w:firstLine="420"/>
        <w:rPr>
          <w:rFonts w:hint="eastAsia" w:hAnsi="宋体"/>
        </w:rPr>
      </w:pPr>
      <w:r>
        <w:rPr>
          <w:rFonts w:hint="eastAsia" w:hAnsi="宋体"/>
        </w:rPr>
        <w:t xml:space="preserve"> (2)磋商小组成员作为一个集体与单个供应商分别进行磋商，磋商的内容包括技术条件、商务性条件及磋商小组认为需要磋商的内容。当竞争性磋商文件有实质性变动的，磋商小组以书面形式通知所有参加磋商的供应商。其中涉及价格内容不得要求供应商在磋商时作口头报价，而应以书面密封形式报价。</w:t>
      </w:r>
    </w:p>
    <w:p>
      <w:pPr>
        <w:pStyle w:val="22"/>
        <w:spacing w:line="420" w:lineRule="exact"/>
        <w:ind w:firstLine="420"/>
        <w:rPr>
          <w:rFonts w:hint="eastAsia" w:hAnsi="宋体"/>
        </w:rPr>
      </w:pPr>
      <w:r>
        <w:rPr>
          <w:rFonts w:hint="eastAsia" w:hAnsi="宋体"/>
        </w:rPr>
        <w:t>(3)磋商内容应作记录，并由供应商及磋商小组成员签字确认。</w:t>
      </w:r>
    </w:p>
    <w:p>
      <w:pPr>
        <w:pStyle w:val="22"/>
        <w:spacing w:line="420" w:lineRule="exact"/>
        <w:ind w:firstLine="420"/>
        <w:rPr>
          <w:rFonts w:hint="eastAsia" w:hAnsi="宋体"/>
          <w:spacing w:val="-4"/>
        </w:rPr>
      </w:pPr>
      <w:r>
        <w:rPr>
          <w:rFonts w:hint="eastAsia" w:hAnsi="宋体"/>
        </w:rPr>
        <w:t>(4)</w:t>
      </w:r>
      <w:r>
        <w:rPr>
          <w:rFonts w:hint="eastAsia" w:hAnsi="宋体"/>
          <w:spacing w:val="-4"/>
        </w:rPr>
        <w:t xml:space="preserve"> 磋商结束后，磋商小组应要求供应商在规定的时间、地点以书面密封形式递交磋商时要求其就商务和技术条件作出包含补充、修改、承诺、重新报价（应采用综合单价进行工程量清单报价，磋商报价格式必须符合《</w:t>
      </w:r>
      <w:r>
        <w:rPr>
          <w:rFonts w:hint="eastAsia" w:hAnsi="宋体"/>
        </w:rPr>
        <w:t>建设工程工程量清单计价规范（GB50854-GB50862-2013）广西壮族自治区实施细则（修订本）》，供应商必须预先准备好壹份完整的纸质版报价清单计价表作为应答文件的一部分一并递交</w:t>
      </w:r>
      <w:r>
        <w:rPr>
          <w:rFonts w:hAnsi="宋体"/>
        </w:rPr>
        <w:t>）</w:t>
      </w:r>
      <w:r>
        <w:rPr>
          <w:rFonts w:hint="eastAsia" w:hAnsi="宋体"/>
          <w:spacing w:val="-4"/>
        </w:rPr>
        <w:t>等内容的应答文件，应答文件必须由供应商的法定代表人或委托代理人签名或盖单位公章，应答文件构成响应文件的一部分。</w:t>
      </w:r>
    </w:p>
    <w:p>
      <w:pPr>
        <w:pStyle w:val="22"/>
        <w:spacing w:line="420" w:lineRule="exact"/>
        <w:ind w:firstLine="420"/>
        <w:rPr>
          <w:rFonts w:hint="eastAsia" w:hAnsi="宋体"/>
        </w:rPr>
      </w:pPr>
      <w:r>
        <w:rPr>
          <w:rFonts w:hint="eastAsia" w:hAnsi="宋体"/>
          <w:spacing w:val="-4"/>
        </w:rPr>
        <w:t xml:space="preserve">(5) </w:t>
      </w:r>
      <w:r>
        <w:rPr>
          <w:rFonts w:hint="eastAsia" w:hAnsi="宋体"/>
        </w:rPr>
        <w:t>磋商小组对各供应商递交的应答文件统一开启，并进行评审后，认为有必要再次进行磋商的，可再次与供应商进行磋商(最多三轮)，磋商报价，直至磋商小组认为没有必要再进行磋商，磋商方可结束。对最后一轮磋商，磋商小组应明确告知供应商，并要求所有供应商在规定的时间、地点以书面密封形式递交最终的应答文件。</w:t>
      </w:r>
    </w:p>
    <w:p>
      <w:pPr>
        <w:pStyle w:val="22"/>
        <w:spacing w:line="420" w:lineRule="exact"/>
        <w:ind w:firstLine="420"/>
        <w:rPr>
          <w:rFonts w:hint="eastAsia" w:hAnsi="宋体"/>
        </w:rPr>
      </w:pPr>
      <w:r>
        <w:rPr>
          <w:rFonts w:hint="eastAsia" w:hAnsi="宋体"/>
        </w:rPr>
        <w:t>21.5</w:t>
      </w:r>
      <w:r>
        <w:rPr>
          <w:rFonts w:hint="eastAsia" w:hAnsi="宋体"/>
          <w:spacing w:val="-4"/>
        </w:rPr>
        <w:t xml:space="preserve"> 最终磋商结束后，</w:t>
      </w:r>
      <w:r>
        <w:rPr>
          <w:rFonts w:hint="eastAsia" w:hAnsi="宋体"/>
        </w:rPr>
        <w:t>磋商小组不得再与供应商进行任何形式的商谈。</w:t>
      </w:r>
    </w:p>
    <w:p>
      <w:pPr>
        <w:widowControl w:val="0"/>
        <w:adjustRightInd w:val="0"/>
        <w:snapToGrid w:val="0"/>
        <w:spacing w:line="400" w:lineRule="exact"/>
        <w:ind w:firstLine="420" w:firstLineChars="200"/>
        <w:rPr>
          <w:rFonts w:hint="eastAsia" w:ascii="宋体" w:hAnsi="宋体"/>
          <w:color w:val="auto"/>
        </w:rPr>
      </w:pPr>
      <w:r>
        <w:rPr>
          <w:rFonts w:hint="eastAsia" w:ascii="宋体" w:hAnsi="宋体"/>
          <w:color w:val="auto"/>
        </w:rPr>
        <w:t>21.6磋商的任何一方不得透露与磋商有关的其他供应商的技术资料和其他信息。</w:t>
      </w:r>
    </w:p>
    <w:p>
      <w:pPr>
        <w:spacing w:line="420" w:lineRule="exact"/>
        <w:ind w:left="422" w:hanging="422" w:hangingChars="200"/>
        <w:rPr>
          <w:rFonts w:hint="eastAsia" w:ascii="宋体" w:hAnsi="宋体"/>
          <w:b/>
          <w:color w:val="auto"/>
        </w:rPr>
      </w:pPr>
      <w:r>
        <w:rPr>
          <w:rFonts w:hint="eastAsia" w:ascii="宋体" w:hAnsi="宋体"/>
          <w:b/>
          <w:color w:val="auto"/>
        </w:rPr>
        <w:t xml:space="preserve">22.评标 </w:t>
      </w:r>
    </w:p>
    <w:p>
      <w:pPr>
        <w:spacing w:line="420" w:lineRule="exact"/>
        <w:ind w:firstLine="420" w:firstLineChars="200"/>
        <w:rPr>
          <w:rFonts w:hint="eastAsia" w:ascii="宋体" w:hAnsi="宋体"/>
          <w:color w:val="auto"/>
        </w:rPr>
      </w:pPr>
      <w:r>
        <w:rPr>
          <w:rFonts w:hint="eastAsia" w:ascii="宋体" w:hAnsi="宋体"/>
          <w:color w:val="auto"/>
        </w:rPr>
        <w:t>22.1本采购项目的评标依据为</w:t>
      </w:r>
      <w:r>
        <w:rPr>
          <w:rFonts w:hint="eastAsia" w:ascii="宋体" w:hAnsi="宋体"/>
          <w:color w:val="auto"/>
          <w:u w:val="none" w:color="auto"/>
        </w:rPr>
        <w:t>竞争性磋商文件</w:t>
      </w:r>
      <w:r>
        <w:rPr>
          <w:rFonts w:hint="eastAsia" w:ascii="宋体" w:hAnsi="宋体"/>
          <w:color w:val="auto"/>
        </w:rPr>
        <w:t>和响应文件。</w:t>
      </w:r>
    </w:p>
    <w:p>
      <w:pPr>
        <w:spacing w:line="420" w:lineRule="exact"/>
        <w:ind w:firstLine="420" w:firstLineChars="200"/>
        <w:rPr>
          <w:rFonts w:hint="eastAsia" w:ascii="宋体" w:hAnsi="宋体"/>
          <w:color w:val="auto"/>
        </w:rPr>
      </w:pPr>
      <w:r>
        <w:rPr>
          <w:rFonts w:hint="eastAsia" w:ascii="宋体" w:hAnsi="宋体"/>
          <w:color w:val="auto"/>
        </w:rPr>
        <w:t>22.2 本项目是以工程招标控制价为最高限价，当供应商的磋商报价超出工程招标控制价时，采购人不能支付的，磋商小组对其</w:t>
      </w:r>
      <w:r>
        <w:rPr>
          <w:rFonts w:hint="eastAsia" w:ascii="宋体" w:hAnsi="宋体"/>
          <w:color w:val="auto"/>
          <w:spacing w:val="-4"/>
        </w:rPr>
        <w:t>响应</w:t>
      </w:r>
      <w:r>
        <w:rPr>
          <w:rFonts w:hint="eastAsia" w:ascii="宋体" w:hAnsi="宋体"/>
          <w:color w:val="auto"/>
        </w:rPr>
        <w:t>文件将不予以评审。</w:t>
      </w:r>
    </w:p>
    <w:p>
      <w:pPr>
        <w:spacing w:line="420" w:lineRule="exact"/>
        <w:ind w:firstLine="420" w:firstLineChars="200"/>
        <w:rPr>
          <w:rFonts w:hint="eastAsia" w:ascii="宋体" w:hAnsi="宋体"/>
          <w:color w:val="auto"/>
        </w:rPr>
      </w:pPr>
      <w:r>
        <w:rPr>
          <w:rFonts w:hint="eastAsia" w:ascii="宋体" w:hAnsi="宋体"/>
          <w:color w:val="auto"/>
        </w:rPr>
        <w:t>22.3本项目采用的评标方法为</w:t>
      </w:r>
      <w:r>
        <w:rPr>
          <w:rFonts w:hint="eastAsia" w:ascii="宋体" w:hAnsi="宋体"/>
          <w:color w:val="auto"/>
          <w:u w:val="single" w:color="auto"/>
        </w:rPr>
        <w:t>综合评分法</w:t>
      </w:r>
      <w:r>
        <w:rPr>
          <w:rFonts w:hint="eastAsia" w:ascii="宋体" w:hAnsi="宋体"/>
          <w:color w:val="auto"/>
        </w:rPr>
        <w:t>。评标办法具体详见第二章。磋商小组成员、有关工作人员及其他知情人不得透露对</w:t>
      </w:r>
      <w:r>
        <w:rPr>
          <w:rFonts w:hint="eastAsia" w:ascii="宋体" w:hAnsi="宋体"/>
          <w:color w:val="auto"/>
          <w:spacing w:val="-4"/>
        </w:rPr>
        <w:t>响应</w:t>
      </w:r>
      <w:r>
        <w:rPr>
          <w:rFonts w:hint="eastAsia" w:ascii="宋体" w:hAnsi="宋体"/>
          <w:color w:val="auto"/>
        </w:rPr>
        <w:t>文件评审、比较和成交候选供应商的推荐情况以及与评标有关的其他情况。</w:t>
      </w:r>
    </w:p>
    <w:p>
      <w:pPr>
        <w:widowControl w:val="0"/>
        <w:adjustRightInd w:val="0"/>
        <w:snapToGrid w:val="0"/>
        <w:spacing w:line="400" w:lineRule="exact"/>
        <w:ind w:firstLine="315" w:firstLineChars="150"/>
        <w:rPr>
          <w:rFonts w:hint="eastAsia" w:ascii="宋体" w:hAnsi="宋体"/>
          <w:color w:val="auto"/>
        </w:rPr>
      </w:pPr>
      <w:r>
        <w:rPr>
          <w:rFonts w:hint="eastAsia" w:ascii="宋体" w:hAnsi="宋体"/>
          <w:color w:val="auto"/>
        </w:rPr>
        <w:t>22.4供应商在评标过程中，所进行的力图影响评标结果公正性的活动，将可能导致其成交资格被取消。</w:t>
      </w:r>
    </w:p>
    <w:p>
      <w:pPr>
        <w:spacing w:line="420" w:lineRule="exact"/>
        <w:ind w:left="422" w:hanging="422" w:hangingChars="200"/>
        <w:rPr>
          <w:rFonts w:hint="eastAsia" w:ascii="宋体" w:hAnsi="宋体"/>
          <w:b/>
          <w:color w:val="auto"/>
        </w:rPr>
      </w:pPr>
      <w:bookmarkStart w:id="67" w:name="_Toc182358686"/>
      <w:r>
        <w:rPr>
          <w:rFonts w:hint="eastAsia" w:ascii="宋体" w:hAnsi="宋体"/>
          <w:b/>
          <w:color w:val="auto"/>
        </w:rPr>
        <w:t>23.无效的</w:t>
      </w:r>
      <w:r>
        <w:rPr>
          <w:rFonts w:hint="eastAsia" w:ascii="宋体" w:hAnsi="宋体"/>
          <w:b/>
          <w:color w:val="auto"/>
          <w:spacing w:val="-4"/>
        </w:rPr>
        <w:t>响应</w:t>
      </w:r>
      <w:r>
        <w:rPr>
          <w:rFonts w:hint="eastAsia" w:ascii="宋体" w:hAnsi="宋体"/>
          <w:b/>
          <w:color w:val="auto"/>
        </w:rPr>
        <w:t>文件</w:t>
      </w:r>
      <w:bookmarkEnd w:id="67"/>
    </w:p>
    <w:p>
      <w:pPr>
        <w:pStyle w:val="22"/>
        <w:spacing w:line="420" w:lineRule="exact"/>
        <w:ind w:firstLine="316" w:firstLineChars="150"/>
        <w:rPr>
          <w:rFonts w:hint="eastAsia" w:hAnsi="宋体"/>
          <w:b/>
        </w:rPr>
      </w:pPr>
      <w:bookmarkStart w:id="68" w:name="_Toc182358687"/>
      <w:r>
        <w:rPr>
          <w:rFonts w:hint="eastAsia" w:hAnsi="宋体"/>
          <w:b/>
        </w:rPr>
        <w:t>23.1</w:t>
      </w:r>
      <w:r>
        <w:rPr>
          <w:rFonts w:hint="eastAsia" w:hAnsi="宋体"/>
          <w:b/>
          <w:spacing w:val="-4"/>
        </w:rPr>
        <w:t>响应</w:t>
      </w:r>
      <w:r>
        <w:rPr>
          <w:rFonts w:hint="eastAsia" w:hAnsi="宋体"/>
          <w:b/>
        </w:rPr>
        <w:t>文件如出现下列情况之一，将会在评标中按照无效文件处理。</w:t>
      </w:r>
    </w:p>
    <w:p>
      <w:pPr>
        <w:pStyle w:val="22"/>
        <w:spacing w:line="420" w:lineRule="exact"/>
        <w:ind w:firstLine="211" w:firstLineChars="100"/>
        <w:rPr>
          <w:rFonts w:hint="eastAsia" w:hAnsi="宋体"/>
          <w:b/>
          <w:szCs w:val="21"/>
        </w:rPr>
      </w:pPr>
      <w:r>
        <w:rPr>
          <w:rFonts w:hint="eastAsia" w:hAnsi="宋体"/>
          <w:b/>
          <w:szCs w:val="21"/>
        </w:rPr>
        <w:t>（1）供应商所提供材料不足以证明其具备本项目要求的资格；</w:t>
      </w:r>
    </w:p>
    <w:p>
      <w:pPr>
        <w:pStyle w:val="22"/>
        <w:spacing w:line="420" w:lineRule="exact"/>
        <w:ind w:firstLine="207" w:firstLineChars="98"/>
        <w:rPr>
          <w:rFonts w:hint="eastAsia" w:hAnsi="宋体"/>
          <w:b/>
          <w:szCs w:val="21"/>
        </w:rPr>
      </w:pPr>
      <w:r>
        <w:rPr>
          <w:rFonts w:hint="eastAsia" w:hAnsi="宋体"/>
          <w:b/>
          <w:szCs w:val="21"/>
        </w:rPr>
        <w:t>（2）供应商未按规定获取本项目</w:t>
      </w:r>
      <w:r>
        <w:rPr>
          <w:rFonts w:hint="eastAsia" w:hAnsi="宋体"/>
          <w:b/>
        </w:rPr>
        <w:t>竞争性磋商文件</w:t>
      </w:r>
      <w:r>
        <w:rPr>
          <w:rFonts w:hint="eastAsia" w:hAnsi="宋体"/>
          <w:b/>
          <w:szCs w:val="21"/>
        </w:rPr>
        <w:t>；</w:t>
      </w:r>
    </w:p>
    <w:p>
      <w:pPr>
        <w:pStyle w:val="22"/>
        <w:spacing w:line="420" w:lineRule="exact"/>
        <w:ind w:firstLine="207" w:firstLineChars="98"/>
        <w:rPr>
          <w:rFonts w:hint="eastAsia" w:hAnsi="宋体"/>
          <w:b/>
          <w:szCs w:val="21"/>
        </w:rPr>
      </w:pPr>
      <w:r>
        <w:rPr>
          <w:rFonts w:hint="eastAsia" w:hAnsi="宋体"/>
          <w:b/>
          <w:szCs w:val="21"/>
        </w:rPr>
        <w:t>（3）超越了按照法律法规规定必须获得行政许可或者行政审批的经营范围的；</w:t>
      </w:r>
    </w:p>
    <w:p>
      <w:pPr>
        <w:pStyle w:val="22"/>
        <w:spacing w:line="420" w:lineRule="exact"/>
        <w:ind w:firstLine="207" w:firstLineChars="98"/>
        <w:rPr>
          <w:rFonts w:hint="eastAsia" w:hAnsi="宋体"/>
          <w:b/>
          <w:szCs w:val="21"/>
        </w:rPr>
      </w:pPr>
      <w:r>
        <w:rPr>
          <w:rFonts w:hint="eastAsia" w:hAnsi="宋体"/>
          <w:b/>
          <w:szCs w:val="21"/>
        </w:rPr>
        <w:t>（4）供应商提交两份或多份内容不同的</w:t>
      </w:r>
      <w:r>
        <w:rPr>
          <w:rFonts w:hint="eastAsia" w:hAnsi="宋体" w:cs="Courier New"/>
          <w:b/>
          <w:spacing w:val="2"/>
        </w:rPr>
        <w:t>响应</w:t>
      </w:r>
      <w:r>
        <w:rPr>
          <w:rFonts w:hint="eastAsia" w:hAnsi="宋体"/>
          <w:b/>
          <w:szCs w:val="21"/>
        </w:rPr>
        <w:t>文件，或在一份</w:t>
      </w:r>
      <w:r>
        <w:rPr>
          <w:rFonts w:hint="eastAsia" w:hAnsi="宋体" w:cs="Courier New"/>
          <w:b/>
          <w:spacing w:val="2"/>
        </w:rPr>
        <w:t>响应</w:t>
      </w:r>
      <w:r>
        <w:rPr>
          <w:rFonts w:hint="eastAsia" w:hAnsi="宋体"/>
          <w:b/>
          <w:szCs w:val="21"/>
        </w:rPr>
        <w:t>文件中对同一采购项目报有两个或多个报价，且未声明哪一个为最终报价的；</w:t>
      </w:r>
    </w:p>
    <w:p>
      <w:pPr>
        <w:pStyle w:val="22"/>
        <w:spacing w:line="420" w:lineRule="exact"/>
        <w:ind w:firstLine="207" w:firstLineChars="98"/>
        <w:rPr>
          <w:rFonts w:hint="eastAsia" w:hAnsi="宋体"/>
          <w:b/>
          <w:szCs w:val="21"/>
        </w:rPr>
      </w:pPr>
      <w:r>
        <w:rPr>
          <w:rFonts w:hint="eastAsia" w:hAnsi="宋体"/>
          <w:b/>
          <w:szCs w:val="21"/>
        </w:rPr>
        <w:t>（5）</w:t>
      </w:r>
      <w:r>
        <w:rPr>
          <w:rFonts w:hint="eastAsia" w:hAnsi="宋体" w:cs="Courier New"/>
          <w:b/>
          <w:spacing w:val="2"/>
        </w:rPr>
        <w:t>响应文件</w:t>
      </w:r>
      <w:r>
        <w:rPr>
          <w:rFonts w:hint="eastAsia" w:hAnsi="宋体"/>
          <w:b/>
          <w:szCs w:val="21"/>
        </w:rPr>
        <w:t>未按</w:t>
      </w:r>
      <w:r>
        <w:rPr>
          <w:rFonts w:hint="eastAsia" w:hAnsi="宋体"/>
          <w:b/>
        </w:rPr>
        <w:t>竞争性磋商文件</w:t>
      </w:r>
      <w:r>
        <w:rPr>
          <w:rFonts w:hint="eastAsia" w:hAnsi="宋体"/>
          <w:b/>
          <w:szCs w:val="21"/>
        </w:rPr>
        <w:t>的要求密封、标记签署、盖章的；</w:t>
      </w:r>
    </w:p>
    <w:p>
      <w:pPr>
        <w:pStyle w:val="22"/>
        <w:spacing w:line="420" w:lineRule="exact"/>
        <w:ind w:firstLine="207" w:firstLineChars="98"/>
        <w:rPr>
          <w:rFonts w:hint="eastAsia" w:hAnsi="宋体"/>
          <w:b/>
          <w:szCs w:val="21"/>
        </w:rPr>
      </w:pPr>
      <w:r>
        <w:rPr>
          <w:rFonts w:hint="eastAsia" w:hAnsi="宋体"/>
          <w:b/>
          <w:szCs w:val="21"/>
        </w:rPr>
        <w:t>（6）</w:t>
      </w:r>
      <w:r>
        <w:rPr>
          <w:rFonts w:hint="eastAsia" w:hAnsi="宋体"/>
          <w:b/>
          <w:bCs/>
          <w:szCs w:val="21"/>
        </w:rPr>
        <w:t>超出工程招标控制价的</w:t>
      </w:r>
      <w:r>
        <w:rPr>
          <w:rFonts w:hint="eastAsia" w:hAnsi="宋体"/>
          <w:b/>
          <w:szCs w:val="21"/>
        </w:rPr>
        <w:t>磋商报价；</w:t>
      </w:r>
    </w:p>
    <w:p>
      <w:pPr>
        <w:pStyle w:val="22"/>
        <w:spacing w:line="420" w:lineRule="exact"/>
        <w:ind w:firstLine="207" w:firstLineChars="98"/>
        <w:rPr>
          <w:rFonts w:hint="eastAsia" w:hAnsi="宋体"/>
          <w:b/>
          <w:szCs w:val="21"/>
        </w:rPr>
      </w:pPr>
      <w:r>
        <w:rPr>
          <w:rFonts w:hint="eastAsia" w:hAnsi="宋体"/>
          <w:b/>
          <w:szCs w:val="21"/>
        </w:rPr>
        <w:t>（7）不符合本须知8.2款中规定的实质性要求并且在磋商规定的时间内无法说明和补充的；</w:t>
      </w:r>
    </w:p>
    <w:p>
      <w:pPr>
        <w:pStyle w:val="22"/>
        <w:spacing w:line="420" w:lineRule="exact"/>
        <w:ind w:firstLine="207" w:firstLineChars="98"/>
        <w:rPr>
          <w:rFonts w:hint="eastAsia" w:hAnsi="宋体"/>
          <w:b/>
          <w:szCs w:val="21"/>
        </w:rPr>
      </w:pPr>
      <w:r>
        <w:rPr>
          <w:rFonts w:hint="eastAsia" w:hAnsi="宋体"/>
          <w:b/>
          <w:szCs w:val="21"/>
        </w:rPr>
        <w:t>（8）供应商无法在规定时间内提供资格证明材料进行核对，或应磋商与磋商小组要求提供的有关材料原件与其在</w:t>
      </w:r>
      <w:r>
        <w:rPr>
          <w:rFonts w:hint="eastAsia" w:hAnsi="宋体"/>
          <w:b/>
          <w:spacing w:val="-4"/>
        </w:rPr>
        <w:t>响应</w:t>
      </w:r>
      <w:r>
        <w:rPr>
          <w:rFonts w:hint="eastAsia" w:hAnsi="宋体"/>
          <w:b/>
          <w:szCs w:val="21"/>
        </w:rPr>
        <w:t>文件中所提供的材料复印件不一致的；</w:t>
      </w:r>
    </w:p>
    <w:p>
      <w:pPr>
        <w:pStyle w:val="22"/>
        <w:spacing w:line="420" w:lineRule="exact"/>
        <w:ind w:firstLine="207" w:firstLineChars="98"/>
        <w:rPr>
          <w:rFonts w:hint="eastAsia" w:hAnsi="宋体"/>
          <w:b/>
          <w:szCs w:val="21"/>
        </w:rPr>
      </w:pPr>
      <w:r>
        <w:rPr>
          <w:rFonts w:hint="eastAsia" w:hAnsi="宋体"/>
          <w:b/>
        </w:rPr>
        <w:t>（9）不符合法律、法规和竞争性磋商文件规定的其他实质性要求和条件的。</w:t>
      </w:r>
    </w:p>
    <w:p>
      <w:pPr>
        <w:pStyle w:val="22"/>
        <w:spacing w:line="420" w:lineRule="exact"/>
        <w:ind w:firstLine="207" w:firstLineChars="98"/>
        <w:rPr>
          <w:rFonts w:hint="eastAsia" w:hAnsi="宋体"/>
          <w:b/>
        </w:rPr>
      </w:pPr>
      <w:r>
        <w:rPr>
          <w:rFonts w:hint="eastAsia" w:hAnsi="宋体"/>
          <w:b/>
        </w:rPr>
        <w:t>（10）</w:t>
      </w:r>
      <w:r>
        <w:rPr>
          <w:rFonts w:hint="eastAsia" w:hAnsi="宋体"/>
          <w:b/>
          <w:szCs w:val="21"/>
        </w:rPr>
        <w:t>字迹潦草、表达不清或未按要求填写响应文件的。</w:t>
      </w:r>
    </w:p>
    <w:p>
      <w:pPr>
        <w:spacing w:line="420" w:lineRule="exact"/>
        <w:ind w:firstLine="207" w:firstLineChars="98"/>
        <w:jc w:val="left"/>
        <w:rPr>
          <w:rFonts w:hint="eastAsia" w:ascii="宋体" w:hAnsi="宋体"/>
          <w:b/>
          <w:color w:val="auto"/>
          <w:szCs w:val="21"/>
        </w:rPr>
      </w:pPr>
      <w:r>
        <w:rPr>
          <w:rFonts w:hint="eastAsia" w:ascii="宋体" w:hAnsi="宋体"/>
          <w:b/>
          <w:color w:val="auto"/>
          <w:szCs w:val="21"/>
        </w:rPr>
        <w:t>（11）供应商安全文明施工费和规费、增值税不按规定报价的。</w:t>
      </w:r>
    </w:p>
    <w:p>
      <w:pPr>
        <w:spacing w:line="420" w:lineRule="exact"/>
        <w:ind w:firstLine="207" w:firstLineChars="98"/>
        <w:jc w:val="left"/>
        <w:rPr>
          <w:rFonts w:hint="eastAsia" w:ascii="宋体" w:hAnsi="宋体"/>
          <w:b/>
          <w:color w:val="auto"/>
          <w:szCs w:val="21"/>
        </w:rPr>
      </w:pPr>
      <w:r>
        <w:rPr>
          <w:rFonts w:hint="eastAsia" w:ascii="宋体" w:hAnsi="宋体"/>
          <w:b/>
          <w:color w:val="auto"/>
          <w:szCs w:val="21"/>
        </w:rPr>
        <w:t>（12）未提供拟投入本项目建造师和专职安全员无在建证明承诺书的。</w:t>
      </w:r>
    </w:p>
    <w:p>
      <w:pPr>
        <w:spacing w:line="380" w:lineRule="exact"/>
        <w:ind w:firstLine="422" w:firstLineChars="200"/>
        <w:rPr>
          <w:rFonts w:hint="eastAsia" w:ascii="宋体" w:hAnsi="宋体"/>
          <w:b/>
          <w:color w:val="auto"/>
        </w:rPr>
      </w:pPr>
      <w:r>
        <w:rPr>
          <w:rFonts w:hint="eastAsia" w:ascii="宋体" w:hAnsi="宋体"/>
          <w:b/>
          <w:color w:val="auto"/>
        </w:rPr>
        <w:t>23.2有下列情形之一的视为供应商相互串通投标，响应文件将被视为无效：</w:t>
      </w:r>
    </w:p>
    <w:p>
      <w:pPr>
        <w:spacing w:line="380" w:lineRule="exact"/>
        <w:ind w:firstLine="211" w:firstLineChars="100"/>
        <w:rPr>
          <w:rFonts w:hint="eastAsia" w:ascii="宋体" w:hAnsi="宋体"/>
          <w:b/>
          <w:color w:val="auto"/>
        </w:rPr>
      </w:pPr>
      <w:r>
        <w:rPr>
          <w:rFonts w:hint="eastAsia" w:ascii="宋体" w:hAnsi="宋体"/>
          <w:b/>
          <w:color w:val="auto"/>
        </w:rPr>
        <w:t>（1）不同供应商的响应文件由同一单位或者个人编制；或不同供应商报名的IP地址一致的；</w:t>
      </w:r>
    </w:p>
    <w:p>
      <w:pPr>
        <w:spacing w:line="380" w:lineRule="exact"/>
        <w:ind w:firstLine="211" w:firstLineChars="100"/>
        <w:rPr>
          <w:rFonts w:hint="eastAsia" w:ascii="宋体" w:hAnsi="宋体"/>
          <w:b/>
          <w:color w:val="auto"/>
        </w:rPr>
      </w:pPr>
      <w:r>
        <w:rPr>
          <w:rFonts w:hint="eastAsia" w:ascii="宋体" w:hAnsi="宋体"/>
          <w:b/>
          <w:color w:val="auto"/>
        </w:rPr>
        <w:t>（2）不同供应商委托同一单位或者个人办理竞标事宜；</w:t>
      </w:r>
    </w:p>
    <w:p>
      <w:pPr>
        <w:spacing w:line="380" w:lineRule="exact"/>
        <w:ind w:firstLine="211" w:firstLineChars="100"/>
        <w:rPr>
          <w:rFonts w:hint="eastAsia" w:ascii="宋体" w:hAnsi="宋体"/>
          <w:b/>
          <w:color w:val="auto"/>
        </w:rPr>
      </w:pPr>
      <w:r>
        <w:rPr>
          <w:rFonts w:hint="eastAsia" w:ascii="宋体" w:hAnsi="宋体"/>
          <w:b/>
          <w:color w:val="auto"/>
        </w:rPr>
        <w:t>（3）不同的供应商的响应文件载明的项目管理员为同一个人；</w:t>
      </w:r>
    </w:p>
    <w:p>
      <w:pPr>
        <w:spacing w:line="380" w:lineRule="exact"/>
        <w:ind w:firstLine="211" w:firstLineChars="100"/>
        <w:rPr>
          <w:rFonts w:hint="eastAsia" w:ascii="宋体" w:hAnsi="宋体"/>
          <w:b/>
          <w:color w:val="auto"/>
        </w:rPr>
      </w:pPr>
      <w:r>
        <w:rPr>
          <w:rFonts w:hint="eastAsia" w:ascii="宋体" w:hAnsi="宋体"/>
          <w:b/>
          <w:color w:val="auto"/>
        </w:rPr>
        <w:t>（4）不同供应商的响应文件异常一致或报价呈规律性差异；</w:t>
      </w:r>
    </w:p>
    <w:p>
      <w:pPr>
        <w:spacing w:line="380" w:lineRule="exact"/>
        <w:ind w:firstLine="211" w:firstLineChars="100"/>
        <w:rPr>
          <w:rFonts w:hint="eastAsia" w:ascii="宋体" w:hAnsi="宋体"/>
          <w:b/>
          <w:color w:val="auto"/>
        </w:rPr>
      </w:pPr>
      <w:r>
        <w:rPr>
          <w:rFonts w:hint="eastAsia" w:ascii="宋体" w:hAnsi="宋体"/>
          <w:b/>
          <w:color w:val="auto"/>
        </w:rPr>
        <w:t>（5）不同供应商的响应文件相互混装；</w:t>
      </w:r>
    </w:p>
    <w:p>
      <w:pPr>
        <w:spacing w:line="420" w:lineRule="exact"/>
        <w:rPr>
          <w:rFonts w:hint="eastAsia" w:ascii="宋体" w:hAnsi="宋体"/>
          <w:b/>
          <w:color w:val="auto"/>
        </w:rPr>
      </w:pPr>
    </w:p>
    <w:p>
      <w:pPr>
        <w:spacing w:line="420" w:lineRule="exact"/>
        <w:rPr>
          <w:rFonts w:hint="eastAsia" w:ascii="宋体" w:hAnsi="宋体"/>
          <w:b/>
          <w:color w:val="auto"/>
        </w:rPr>
      </w:pPr>
      <w:r>
        <w:rPr>
          <w:rFonts w:hint="eastAsia" w:ascii="宋体" w:hAnsi="宋体"/>
          <w:b/>
          <w:color w:val="auto"/>
        </w:rPr>
        <w:t>24.废标</w:t>
      </w:r>
      <w:bookmarkEnd w:id="68"/>
    </w:p>
    <w:p>
      <w:pPr>
        <w:spacing w:line="420" w:lineRule="exact"/>
        <w:ind w:firstLine="420" w:firstLineChars="200"/>
        <w:rPr>
          <w:rFonts w:hint="eastAsia" w:ascii="宋体" w:hAnsi="宋体"/>
          <w:color w:val="auto"/>
        </w:rPr>
      </w:pPr>
      <w:r>
        <w:rPr>
          <w:rFonts w:hint="eastAsia" w:ascii="宋体" w:hAnsi="宋体"/>
          <w:color w:val="auto"/>
        </w:rPr>
        <w:t>24.1磋商采购项目出现下列情形之一的，采购代理机构将予以废标；</w:t>
      </w:r>
    </w:p>
    <w:p>
      <w:pPr>
        <w:widowControl w:val="0"/>
        <w:numPr>
          <w:ilvl w:val="0"/>
          <w:numId w:val="1"/>
        </w:numPr>
        <w:spacing w:line="420" w:lineRule="exact"/>
        <w:ind w:hanging="8"/>
        <w:textAlignment w:val="auto"/>
        <w:rPr>
          <w:rFonts w:hint="eastAsia" w:ascii="宋体" w:hAnsi="宋体"/>
          <w:color w:val="auto"/>
        </w:rPr>
      </w:pPr>
      <w:r>
        <w:rPr>
          <w:rFonts w:hint="eastAsia" w:ascii="宋体" w:hAnsi="宋体"/>
          <w:color w:val="auto"/>
        </w:rPr>
        <w:t>符合相应资格条件的供应商或者对竞争性磋商文件作实质响应的不足三家的；</w:t>
      </w:r>
    </w:p>
    <w:p>
      <w:pPr>
        <w:widowControl w:val="0"/>
        <w:numPr>
          <w:ilvl w:val="0"/>
          <w:numId w:val="1"/>
        </w:numPr>
        <w:spacing w:line="420" w:lineRule="exact"/>
        <w:ind w:hanging="8"/>
        <w:textAlignment w:val="auto"/>
        <w:rPr>
          <w:rFonts w:hint="eastAsia" w:ascii="宋体" w:hAnsi="宋体"/>
          <w:color w:val="auto"/>
        </w:rPr>
      </w:pPr>
      <w:r>
        <w:rPr>
          <w:rFonts w:hint="eastAsia" w:ascii="宋体" w:hAnsi="宋体"/>
          <w:color w:val="auto"/>
        </w:rPr>
        <w:t>出现影响采购公正的违法、违规行为的；</w:t>
      </w:r>
    </w:p>
    <w:p>
      <w:pPr>
        <w:widowControl w:val="0"/>
        <w:numPr>
          <w:ilvl w:val="0"/>
          <w:numId w:val="1"/>
        </w:numPr>
        <w:spacing w:line="420" w:lineRule="exact"/>
        <w:ind w:hanging="8"/>
        <w:textAlignment w:val="auto"/>
        <w:rPr>
          <w:rFonts w:hint="eastAsia" w:ascii="宋体" w:hAnsi="宋体"/>
          <w:color w:val="auto"/>
        </w:rPr>
      </w:pPr>
      <w:r>
        <w:rPr>
          <w:rFonts w:hint="eastAsia" w:ascii="宋体" w:hAnsi="宋体"/>
          <w:color w:val="auto"/>
        </w:rPr>
        <w:t>供应商的报价均超过了工程招标控制价，采购人不能支付的；</w:t>
      </w:r>
    </w:p>
    <w:p>
      <w:pPr>
        <w:widowControl w:val="0"/>
        <w:numPr>
          <w:ilvl w:val="0"/>
          <w:numId w:val="1"/>
        </w:numPr>
        <w:spacing w:line="420" w:lineRule="exact"/>
        <w:ind w:hanging="8"/>
        <w:textAlignment w:val="auto"/>
        <w:rPr>
          <w:rFonts w:hint="eastAsia" w:ascii="宋体" w:hAnsi="宋体"/>
          <w:color w:val="auto"/>
        </w:rPr>
      </w:pPr>
      <w:r>
        <w:rPr>
          <w:rFonts w:hint="eastAsia" w:ascii="宋体" w:hAnsi="宋体"/>
          <w:color w:val="auto"/>
        </w:rPr>
        <w:t>因重大变故，采购任务取消的；</w:t>
      </w:r>
    </w:p>
    <w:p>
      <w:pPr>
        <w:widowControl w:val="0"/>
        <w:adjustRightInd w:val="0"/>
        <w:snapToGrid w:val="0"/>
        <w:spacing w:line="400" w:lineRule="exact"/>
        <w:ind w:firstLine="210" w:firstLineChars="100"/>
        <w:rPr>
          <w:rFonts w:hint="eastAsia" w:ascii="宋体" w:hAnsi="宋体"/>
          <w:color w:val="auto"/>
        </w:rPr>
      </w:pPr>
      <w:r>
        <w:rPr>
          <w:rFonts w:hint="eastAsia" w:ascii="宋体" w:hAnsi="宋体"/>
          <w:color w:val="auto"/>
        </w:rPr>
        <w:t>24.2废标后，应重新组织招标；采购代理机构并将把废标理由通知所有供应商。</w:t>
      </w:r>
    </w:p>
    <w:p>
      <w:pPr>
        <w:pStyle w:val="4"/>
        <w:spacing w:before="200" w:after="200" w:line="400" w:lineRule="exact"/>
        <w:jc w:val="center"/>
      </w:pPr>
      <w:bookmarkStart w:id="69" w:name="_Toc45007871"/>
      <w:bookmarkStart w:id="70" w:name="_Toc450306450"/>
      <w:bookmarkStart w:id="71" w:name="_Toc298255193"/>
      <w:bookmarkStart w:id="72" w:name="_Toc401070225"/>
      <w:bookmarkStart w:id="73" w:name="_Toc182358688"/>
      <w:bookmarkStart w:id="74" w:name="_Toc113257806"/>
      <w:bookmarkStart w:id="75" w:name="_Toc198634218"/>
      <w:bookmarkStart w:id="76" w:name="_Toc113258065"/>
      <w:r>
        <w:t>六、    签订合同</w:t>
      </w:r>
      <w:bookmarkEnd w:id="69"/>
      <w:bookmarkEnd w:id="70"/>
      <w:bookmarkEnd w:id="71"/>
      <w:bookmarkEnd w:id="72"/>
      <w:bookmarkEnd w:id="73"/>
    </w:p>
    <w:p>
      <w:pPr>
        <w:spacing w:line="420" w:lineRule="exact"/>
        <w:ind w:left="422" w:hanging="422" w:hangingChars="200"/>
        <w:rPr>
          <w:rFonts w:hint="eastAsia" w:ascii="宋体" w:hAnsi="宋体"/>
          <w:b/>
          <w:color w:val="auto"/>
        </w:rPr>
      </w:pPr>
      <w:bookmarkStart w:id="77" w:name="_Toc182358689"/>
      <w:r>
        <w:rPr>
          <w:rFonts w:hint="eastAsia" w:ascii="宋体" w:hAnsi="宋体"/>
          <w:b/>
          <w:color w:val="auto"/>
        </w:rPr>
        <w:t>25.成交公告</w:t>
      </w:r>
      <w:bookmarkEnd w:id="77"/>
    </w:p>
    <w:p>
      <w:pPr>
        <w:spacing w:line="420" w:lineRule="exact"/>
        <w:ind w:firstLine="420" w:firstLineChars="200"/>
        <w:rPr>
          <w:rFonts w:hint="eastAsia" w:ascii="宋体" w:hAnsi="宋体"/>
          <w:color w:val="auto"/>
        </w:rPr>
      </w:pPr>
      <w:r>
        <w:rPr>
          <w:rFonts w:hint="eastAsia" w:ascii="宋体" w:hAnsi="宋体"/>
          <w:color w:val="auto"/>
        </w:rPr>
        <w:t>25.1本公司在磋商工作完成2个工作日内将磋商报告送采购人，采购人确认后，成交结果将在磋商公告发布的网站上公布。</w:t>
      </w:r>
    </w:p>
    <w:p>
      <w:pPr>
        <w:spacing w:line="420" w:lineRule="exact"/>
        <w:ind w:firstLine="420" w:firstLineChars="200"/>
        <w:rPr>
          <w:rFonts w:hint="eastAsia" w:ascii="宋体" w:hAnsi="宋体"/>
          <w:color w:val="auto"/>
        </w:rPr>
      </w:pPr>
      <w:r>
        <w:rPr>
          <w:rFonts w:hint="eastAsia" w:ascii="宋体" w:hAnsi="宋体"/>
          <w:color w:val="auto"/>
        </w:rPr>
        <w:t>25.2成交公告期限为1个工作日，各有关当事人对成交结果有异议的，可以在成交公告期限届满之日起七个工作日内以书面形式向采购人或采购代理机构提出质疑，逾期将不再受理。</w:t>
      </w:r>
    </w:p>
    <w:p>
      <w:pPr>
        <w:spacing w:line="420" w:lineRule="exact"/>
        <w:ind w:firstLine="420" w:firstLineChars="200"/>
        <w:rPr>
          <w:rFonts w:hint="eastAsia" w:ascii="宋体" w:hAnsi="宋体"/>
          <w:color w:val="auto"/>
        </w:rPr>
      </w:pPr>
      <w:r>
        <w:rPr>
          <w:rFonts w:hint="eastAsia" w:ascii="宋体" w:hAnsi="宋体"/>
          <w:color w:val="auto"/>
        </w:rPr>
        <w:t>25.3质疑供应商必须首先经过质疑程序，质疑材料必须符合《广西壮族自治区政府采购供应商质疑处理办法》（桂财采[2006]11号）的规定，在对采购代理机构的答复不满意或者采购代理机构未在规定的时间内做出答复的，可以在答复期满后十五个工作日内书面向同级政府采购监督管理部门投诉。</w:t>
      </w:r>
    </w:p>
    <w:p>
      <w:pPr>
        <w:spacing w:line="420" w:lineRule="exact"/>
        <w:ind w:left="422" w:hanging="422" w:hangingChars="200"/>
        <w:rPr>
          <w:rFonts w:hint="eastAsia" w:ascii="宋体" w:hAnsi="宋体"/>
          <w:b/>
          <w:color w:val="auto"/>
        </w:rPr>
      </w:pPr>
      <w:bookmarkStart w:id="78" w:name="_Toc182358690"/>
      <w:r>
        <w:rPr>
          <w:rFonts w:hint="eastAsia" w:ascii="宋体" w:hAnsi="宋体"/>
          <w:b/>
          <w:color w:val="auto"/>
        </w:rPr>
        <w:t>26.成交通知</w:t>
      </w:r>
      <w:bookmarkEnd w:id="78"/>
    </w:p>
    <w:p>
      <w:pPr>
        <w:spacing w:line="420" w:lineRule="exact"/>
        <w:ind w:firstLine="420" w:firstLineChars="200"/>
        <w:rPr>
          <w:rFonts w:hint="eastAsia" w:ascii="宋体" w:hAnsi="宋体"/>
          <w:color w:val="auto"/>
        </w:rPr>
      </w:pPr>
      <w:r>
        <w:rPr>
          <w:rFonts w:hint="eastAsia" w:ascii="宋体" w:hAnsi="宋体"/>
          <w:color w:val="auto"/>
        </w:rPr>
        <w:t>26.1采购代理机构在发布成交公告的同时，向成交供应商发出成交通知书。</w:t>
      </w:r>
    </w:p>
    <w:p>
      <w:pPr>
        <w:spacing w:line="420" w:lineRule="exact"/>
        <w:ind w:firstLine="420" w:firstLineChars="200"/>
        <w:rPr>
          <w:rFonts w:hint="eastAsia" w:ascii="宋体" w:hAnsi="宋体"/>
          <w:color w:val="auto"/>
        </w:rPr>
      </w:pPr>
      <w:r>
        <w:rPr>
          <w:rFonts w:hint="eastAsia" w:ascii="宋体" w:hAnsi="宋体"/>
          <w:color w:val="auto"/>
        </w:rPr>
        <w:t>26.2采购代理机构无义务向落标的供应商解释落标原因和退还</w:t>
      </w:r>
      <w:r>
        <w:rPr>
          <w:rFonts w:hint="eastAsia" w:ascii="宋体" w:hAnsi="宋体"/>
          <w:color w:val="auto"/>
          <w:spacing w:val="-4"/>
        </w:rPr>
        <w:t>响应</w:t>
      </w:r>
      <w:r>
        <w:rPr>
          <w:rFonts w:hint="eastAsia" w:ascii="宋体" w:hAnsi="宋体"/>
          <w:color w:val="auto"/>
        </w:rPr>
        <w:t>文件。</w:t>
      </w:r>
    </w:p>
    <w:p>
      <w:pPr>
        <w:spacing w:line="420" w:lineRule="exact"/>
        <w:ind w:left="422" w:hanging="422" w:hangingChars="200"/>
        <w:rPr>
          <w:rFonts w:hint="eastAsia" w:ascii="宋体" w:hAnsi="宋体"/>
          <w:b/>
          <w:color w:val="auto"/>
        </w:rPr>
      </w:pPr>
      <w:bookmarkStart w:id="79" w:name="_Toc147250342"/>
      <w:bookmarkStart w:id="80" w:name="_Toc147250388"/>
      <w:bookmarkStart w:id="81" w:name="_Toc147250544"/>
      <w:bookmarkStart w:id="82" w:name="_Toc182358691"/>
      <w:r>
        <w:rPr>
          <w:rFonts w:hint="eastAsia" w:ascii="宋体" w:hAnsi="宋体"/>
          <w:b/>
          <w:color w:val="auto"/>
        </w:rPr>
        <w:t>27.合同授予标准</w:t>
      </w:r>
      <w:bookmarkEnd w:id="79"/>
      <w:bookmarkEnd w:id="80"/>
      <w:bookmarkEnd w:id="81"/>
      <w:bookmarkEnd w:id="82"/>
    </w:p>
    <w:p>
      <w:pPr>
        <w:spacing w:line="420" w:lineRule="exact"/>
        <w:ind w:firstLine="420" w:firstLineChars="200"/>
        <w:rPr>
          <w:rFonts w:hint="eastAsia" w:ascii="宋体" w:hAnsi="宋体"/>
          <w:color w:val="auto"/>
        </w:rPr>
      </w:pPr>
      <w:r>
        <w:rPr>
          <w:rFonts w:hint="eastAsia" w:ascii="宋体" w:hAnsi="宋体"/>
          <w:color w:val="auto"/>
        </w:rPr>
        <w:t>27.1合同授予被确定为实质上响应</w:t>
      </w:r>
      <w:r>
        <w:rPr>
          <w:rFonts w:hint="eastAsia" w:ascii="宋体" w:hAnsi="宋体"/>
          <w:color w:val="auto"/>
          <w:u w:val="none" w:color="auto"/>
        </w:rPr>
        <w:t>竞争性磋商文件</w:t>
      </w:r>
      <w:r>
        <w:rPr>
          <w:rFonts w:hint="eastAsia" w:ascii="宋体" w:hAnsi="宋体"/>
          <w:color w:val="auto"/>
        </w:rPr>
        <w:t>要求，磋商小组推荐排名第一的供应商。</w:t>
      </w:r>
    </w:p>
    <w:p>
      <w:pPr>
        <w:spacing w:line="420" w:lineRule="exact"/>
        <w:ind w:firstLine="420" w:firstLineChars="200"/>
        <w:rPr>
          <w:rFonts w:hint="eastAsia" w:ascii="宋体" w:hAnsi="宋体"/>
          <w:color w:val="auto"/>
        </w:rPr>
      </w:pPr>
      <w:r>
        <w:rPr>
          <w:rFonts w:hint="eastAsia" w:ascii="宋体" w:hAnsi="宋体"/>
          <w:color w:val="auto"/>
        </w:rPr>
        <w:t>27.2 采购人应按照评标报告中推荐的成交候选供应商顺序确定成交供应商，也可以事先授权磋商小组直接确定成交供应商。</w:t>
      </w:r>
    </w:p>
    <w:p>
      <w:pPr>
        <w:spacing w:line="420" w:lineRule="exact"/>
        <w:ind w:left="422" w:hanging="422" w:hangingChars="200"/>
        <w:rPr>
          <w:rFonts w:hint="eastAsia" w:ascii="宋体" w:hAnsi="宋体"/>
          <w:b/>
          <w:color w:val="auto"/>
        </w:rPr>
      </w:pPr>
      <w:bookmarkStart w:id="83" w:name="_Toc182358692"/>
      <w:r>
        <w:rPr>
          <w:rFonts w:hint="eastAsia" w:ascii="宋体" w:hAnsi="宋体"/>
          <w:b/>
          <w:color w:val="auto"/>
        </w:rPr>
        <w:t>28.签订合同</w:t>
      </w:r>
      <w:bookmarkEnd w:id="83"/>
    </w:p>
    <w:p>
      <w:pPr>
        <w:pStyle w:val="22"/>
        <w:spacing w:line="420" w:lineRule="exact"/>
        <w:ind w:firstLine="420"/>
        <w:rPr>
          <w:rFonts w:hint="eastAsia" w:hAnsi="宋体"/>
        </w:rPr>
      </w:pPr>
      <w:bookmarkStart w:id="84" w:name="_Toc182358693"/>
      <w:r>
        <w:rPr>
          <w:rFonts w:hint="eastAsia" w:hAnsi="宋体"/>
        </w:rPr>
        <w:t>28.1采购人与成交供应商应当在成交通知书发出之日起二十五日内，按照竞争性磋商文件确定的事项签订政府采购合同。</w:t>
      </w:r>
    </w:p>
    <w:p>
      <w:pPr>
        <w:pStyle w:val="22"/>
        <w:spacing w:line="420" w:lineRule="exact"/>
        <w:ind w:firstLine="420"/>
        <w:rPr>
          <w:rFonts w:hint="eastAsia" w:hAnsi="宋体"/>
          <w:szCs w:val="21"/>
        </w:rPr>
      </w:pPr>
      <w:r>
        <w:rPr>
          <w:rFonts w:hint="eastAsia" w:hAnsi="宋体"/>
        </w:rPr>
        <w:t>28.2</w:t>
      </w:r>
      <w:r>
        <w:rPr>
          <w:rFonts w:hint="eastAsia" w:hAnsi="宋体"/>
          <w:szCs w:val="21"/>
        </w:rPr>
        <w:t>成交通知书对采购人和成交供应商均具有法律效力。成交通知书发出后，采购人改变成交结果的，应当依法承担法律责任。成交供应商放弃成交项目的，或者不按成交通知书的规定签订合同，则按成交供应商违约处理，采购代理机构将上报相关采购监督管理部门。</w:t>
      </w:r>
    </w:p>
    <w:p>
      <w:pPr>
        <w:pStyle w:val="22"/>
        <w:spacing w:line="420" w:lineRule="exact"/>
        <w:ind w:firstLine="420"/>
        <w:rPr>
          <w:rFonts w:hint="eastAsia" w:hAnsi="宋体"/>
          <w:szCs w:val="21"/>
        </w:rPr>
      </w:pPr>
      <w:r>
        <w:rPr>
          <w:rFonts w:hint="eastAsia" w:hAnsi="宋体"/>
          <w:szCs w:val="21"/>
        </w:rPr>
        <w:t>28.3如供应商成交后不按时、足额将农民工工资保障金存入建设行政主管部门指定的帐户的，采购人将取消其成交资格。</w:t>
      </w:r>
    </w:p>
    <w:p>
      <w:pPr>
        <w:pStyle w:val="22"/>
        <w:spacing w:line="420" w:lineRule="exact"/>
        <w:ind w:firstLine="420"/>
        <w:rPr>
          <w:rFonts w:hint="eastAsia" w:hAnsi="宋体"/>
        </w:rPr>
      </w:pPr>
      <w:r>
        <w:rPr>
          <w:rFonts w:hint="eastAsia" w:hAnsi="宋体"/>
          <w:szCs w:val="21"/>
        </w:rPr>
        <w:t>28.4成交结果公布以后，拟派的项目负责人未经采购人及建设行政主管部门同意不得更换。</w:t>
      </w:r>
    </w:p>
    <w:p>
      <w:pPr>
        <w:spacing w:line="420" w:lineRule="exact"/>
        <w:ind w:left="422" w:hanging="422" w:hangingChars="200"/>
        <w:rPr>
          <w:rFonts w:hint="eastAsia" w:ascii="宋体" w:hAnsi="宋体"/>
          <w:b/>
          <w:color w:val="auto"/>
        </w:rPr>
      </w:pPr>
      <w:r>
        <w:rPr>
          <w:rFonts w:hint="eastAsia" w:ascii="宋体" w:hAnsi="宋体"/>
          <w:b/>
          <w:color w:val="auto"/>
        </w:rPr>
        <w:t>29.履约保证金</w:t>
      </w:r>
      <w:bookmarkEnd w:id="84"/>
    </w:p>
    <w:p>
      <w:pPr>
        <w:pStyle w:val="22"/>
        <w:spacing w:line="360" w:lineRule="exact"/>
        <w:ind w:firstLine="420"/>
        <w:rPr>
          <w:rFonts w:hint="eastAsia" w:hAnsi="宋体"/>
          <w:szCs w:val="21"/>
        </w:rPr>
      </w:pPr>
      <w:bookmarkStart w:id="85" w:name="_Toc182358695"/>
      <w:r>
        <w:rPr>
          <w:rFonts w:hint="eastAsia" w:hAnsi="宋体"/>
          <w:szCs w:val="21"/>
        </w:rPr>
        <w:t>无</w:t>
      </w:r>
    </w:p>
    <w:p>
      <w:pPr>
        <w:spacing w:line="420" w:lineRule="exact"/>
        <w:ind w:left="422" w:hanging="422" w:hangingChars="200"/>
        <w:rPr>
          <w:rFonts w:hint="eastAsia" w:ascii="宋体" w:hAnsi="宋体"/>
          <w:b/>
          <w:color w:val="auto"/>
        </w:rPr>
      </w:pPr>
      <w:r>
        <w:rPr>
          <w:rFonts w:hint="eastAsia" w:ascii="宋体" w:hAnsi="宋体"/>
          <w:b/>
          <w:color w:val="auto"/>
        </w:rPr>
        <w:t>30.</w:t>
      </w:r>
      <w:bookmarkEnd w:id="85"/>
      <w:r>
        <w:rPr>
          <w:rFonts w:hint="eastAsia" w:ascii="宋体" w:hAnsi="宋体"/>
          <w:color w:val="auto"/>
        </w:rPr>
        <w:t xml:space="preserve"> 采购代理服务费</w:t>
      </w:r>
    </w:p>
    <w:p>
      <w:pPr>
        <w:spacing w:line="420" w:lineRule="exact"/>
        <w:ind w:firstLine="420" w:firstLineChars="200"/>
        <w:rPr>
          <w:rFonts w:hint="eastAsia" w:ascii="宋体" w:hAnsi="宋体"/>
          <w:color w:val="auto"/>
        </w:rPr>
      </w:pPr>
      <w:bookmarkStart w:id="86" w:name="_Toc182358696"/>
      <w:r>
        <w:rPr>
          <w:rFonts w:hint="eastAsia" w:ascii="宋体" w:hAnsi="宋体"/>
          <w:color w:val="auto"/>
        </w:rPr>
        <w:t>30.1签订合同前，成交供应商须向</w:t>
      </w:r>
      <w:r>
        <w:rPr>
          <w:rFonts w:hint="eastAsia" w:ascii="宋体" w:hAnsi="宋体"/>
          <w:color w:val="auto"/>
          <w:lang w:eastAsia="zh-CN"/>
        </w:rPr>
        <w:t>广西建坤工程咨询有限公司</w:t>
      </w:r>
      <w:r>
        <w:rPr>
          <w:rFonts w:hint="eastAsia" w:ascii="宋体" w:hAnsi="宋体"/>
          <w:color w:val="auto"/>
        </w:rPr>
        <w:t>一次付清采购代理服务费，其金额按供应商须知前附表第12项规则计收。否则，采购代理机构将视之为违约，取消该成交决定。</w:t>
      </w:r>
    </w:p>
    <w:bookmarkEnd w:id="86"/>
    <w:p>
      <w:pPr>
        <w:spacing w:line="420" w:lineRule="exact"/>
        <w:ind w:left="422" w:hanging="422" w:hangingChars="200"/>
        <w:rPr>
          <w:rFonts w:hint="eastAsia" w:ascii="宋体" w:hAnsi="宋体"/>
          <w:b/>
          <w:color w:val="auto"/>
        </w:rPr>
      </w:pPr>
      <w:bookmarkStart w:id="87" w:name="_Toc182358697"/>
      <w:r>
        <w:rPr>
          <w:rFonts w:hint="eastAsia" w:ascii="宋体" w:hAnsi="宋体"/>
          <w:b/>
          <w:color w:val="auto"/>
        </w:rPr>
        <w:t>31.有关事宜</w:t>
      </w:r>
      <w:bookmarkEnd w:id="87"/>
    </w:p>
    <w:p>
      <w:pPr>
        <w:spacing w:line="420" w:lineRule="exact"/>
        <w:ind w:firstLine="420" w:firstLineChars="200"/>
        <w:rPr>
          <w:rFonts w:hint="eastAsia" w:ascii="宋体" w:hAnsi="宋体"/>
          <w:color w:val="auto"/>
        </w:rPr>
      </w:pPr>
      <w:r>
        <w:rPr>
          <w:rFonts w:hint="eastAsia" w:ascii="宋体" w:hAnsi="宋体"/>
          <w:color w:val="auto"/>
        </w:rPr>
        <w:t>32.1所有与本磋商文件有关的函电请按下列通讯地址联系：</w:t>
      </w:r>
    </w:p>
    <w:p>
      <w:pPr>
        <w:pStyle w:val="22"/>
        <w:spacing w:line="390" w:lineRule="exact"/>
        <w:ind w:firstLine="420" w:firstLineChars="200"/>
        <w:rPr>
          <w:rFonts w:hint="eastAsia" w:hAnsi="宋体" w:eastAsia="宋体"/>
          <w:szCs w:val="21"/>
          <w:lang w:eastAsia="zh-CN"/>
        </w:rPr>
      </w:pPr>
      <w:r>
        <w:rPr>
          <w:rFonts w:hint="eastAsia" w:hAnsi="宋体"/>
          <w:szCs w:val="21"/>
        </w:rPr>
        <w:t>①</w:t>
      </w:r>
      <w:r>
        <w:rPr>
          <w:rFonts w:hint="eastAsia" w:hAnsi="宋体"/>
          <w:szCs w:val="21"/>
          <w:lang w:eastAsia="zh-CN"/>
        </w:rPr>
        <w:t>广西建坤工程咨询有限公司</w:t>
      </w:r>
    </w:p>
    <w:p>
      <w:pPr>
        <w:pStyle w:val="22"/>
        <w:spacing w:line="390" w:lineRule="exact"/>
        <w:ind w:firstLine="412"/>
        <w:rPr>
          <w:rFonts w:hint="eastAsia" w:hAnsi="宋体"/>
          <w:szCs w:val="21"/>
        </w:rPr>
      </w:pPr>
      <w:r>
        <w:rPr>
          <w:rFonts w:hint="eastAsia" w:hAnsi="宋体"/>
          <w:szCs w:val="21"/>
        </w:rPr>
        <w:t>通讯地址：</w:t>
      </w:r>
      <w:r>
        <w:rPr>
          <w:rFonts w:hint="eastAsia" w:hAnsi="宋体"/>
          <w:szCs w:val="21"/>
          <w:lang w:eastAsia="zh-CN"/>
        </w:rPr>
        <w:t>博白县大转盘工商银行三楼</w:t>
      </w:r>
      <w:r>
        <w:rPr>
          <w:rFonts w:hint="eastAsia" w:hAnsi="宋体"/>
          <w:szCs w:val="21"/>
        </w:rPr>
        <w:t xml:space="preserve">   </w:t>
      </w:r>
    </w:p>
    <w:p>
      <w:pPr>
        <w:pStyle w:val="22"/>
        <w:spacing w:line="390" w:lineRule="exact"/>
        <w:ind w:firstLine="412"/>
        <w:rPr>
          <w:rFonts w:hint="eastAsia" w:hAnsi="宋体"/>
          <w:szCs w:val="21"/>
        </w:rPr>
      </w:pPr>
      <w:r>
        <w:rPr>
          <w:rFonts w:hint="eastAsia" w:hAnsi="宋体"/>
          <w:szCs w:val="21"/>
        </w:rPr>
        <w:t>联系人：</w:t>
      </w:r>
      <w:r>
        <w:rPr>
          <w:rFonts w:hint="eastAsia" w:hAnsi="宋体"/>
          <w:szCs w:val="21"/>
          <w:lang w:eastAsia="zh-CN"/>
        </w:rPr>
        <w:t>杨工</w:t>
      </w:r>
      <w:r>
        <w:rPr>
          <w:rFonts w:hint="eastAsia" w:hAnsi="宋体"/>
          <w:szCs w:val="21"/>
        </w:rPr>
        <w:t>；电话：</w:t>
      </w:r>
      <w:r>
        <w:rPr>
          <w:rFonts w:hint="eastAsia" w:hAnsi="宋体"/>
          <w:szCs w:val="21"/>
          <w:lang w:val="en-US" w:eastAsia="zh-CN"/>
        </w:rPr>
        <w:t>15277185188</w:t>
      </w:r>
      <w:r>
        <w:rPr>
          <w:rFonts w:hint="eastAsia" w:hAnsi="宋体"/>
          <w:szCs w:val="21"/>
        </w:rPr>
        <w:t xml:space="preserve">  </w:t>
      </w:r>
    </w:p>
    <w:p>
      <w:pPr>
        <w:spacing w:after="50" w:line="400" w:lineRule="atLeast"/>
        <w:ind w:firstLine="420" w:firstLineChars="200"/>
        <w:rPr>
          <w:rFonts w:hint="default" w:ascii="宋体" w:hAnsi="宋体" w:eastAsia="宋体"/>
          <w:color w:val="auto"/>
          <w:szCs w:val="21"/>
          <w:lang w:val="en-US" w:eastAsia="zh-CN"/>
        </w:rPr>
      </w:pPr>
      <w:r>
        <w:rPr>
          <w:rFonts w:hint="eastAsia" w:ascii="宋体" w:hAnsi="宋体"/>
          <w:color w:val="auto"/>
          <w:szCs w:val="21"/>
        </w:rPr>
        <w:t xml:space="preserve">②监督部门: </w:t>
      </w:r>
      <w:r>
        <w:rPr>
          <w:rFonts w:hint="eastAsia" w:ascii="宋体" w:hAnsi="宋体"/>
          <w:color w:val="auto"/>
          <w:szCs w:val="21"/>
          <w:lang w:eastAsia="zh-CN"/>
        </w:rPr>
        <w:t>博白县政府采购管理办公室</w:t>
      </w:r>
      <w:r>
        <w:rPr>
          <w:rFonts w:hint="eastAsia" w:ascii="宋体" w:hAnsi="宋体"/>
          <w:color w:val="auto"/>
          <w:szCs w:val="21"/>
        </w:rPr>
        <w:t>；联系电话：</w:t>
      </w:r>
      <w:r>
        <w:rPr>
          <w:rFonts w:hint="eastAsia" w:ascii="宋体" w:hAnsi="宋体" w:cs="宋体"/>
          <w:color w:val="auto"/>
          <w:szCs w:val="21"/>
        </w:rPr>
        <w:t>0775-</w:t>
      </w:r>
      <w:r>
        <w:rPr>
          <w:rFonts w:hint="eastAsia" w:ascii="宋体" w:hAnsi="宋体" w:cs="宋体"/>
          <w:color w:val="auto"/>
          <w:szCs w:val="21"/>
          <w:lang w:val="en-US" w:eastAsia="zh-CN"/>
        </w:rPr>
        <w:t>8331612</w:t>
      </w:r>
    </w:p>
    <w:p>
      <w:pPr>
        <w:pStyle w:val="22"/>
        <w:spacing w:line="390" w:lineRule="exact"/>
        <w:ind w:firstLine="412"/>
        <w:rPr>
          <w:rFonts w:hint="eastAsia" w:hAnsi="宋体"/>
          <w:szCs w:val="21"/>
        </w:rPr>
      </w:pPr>
    </w:p>
    <w:p>
      <w:pPr>
        <w:pStyle w:val="22"/>
        <w:spacing w:line="390" w:lineRule="exact"/>
        <w:ind w:firstLine="412"/>
        <w:rPr>
          <w:rFonts w:hint="eastAsia" w:hAnsi="宋体"/>
          <w:szCs w:val="21"/>
        </w:rPr>
      </w:pPr>
      <w:r>
        <w:rPr>
          <w:rFonts w:hint="eastAsia" w:hAnsi="宋体"/>
          <w:szCs w:val="21"/>
        </w:rPr>
        <w:t xml:space="preserve">                 </w:t>
      </w:r>
    </w:p>
    <w:p>
      <w:pPr>
        <w:pStyle w:val="4"/>
        <w:spacing w:before="0" w:after="0" w:line="600" w:lineRule="exact"/>
        <w:jc w:val="center"/>
        <w:rPr>
          <w:rFonts w:hint="eastAsia"/>
          <w:sz w:val="48"/>
          <w:szCs w:val="48"/>
        </w:rPr>
      </w:pPr>
      <w:r>
        <w:rPr>
          <w:rFonts w:hint="eastAsia"/>
        </w:rPr>
        <w:t xml:space="preserve">                  </w:t>
      </w:r>
      <w:bookmarkEnd w:id="74"/>
      <w:bookmarkEnd w:id="75"/>
      <w:bookmarkEnd w:id="76"/>
      <w:bookmarkStart w:id="88" w:name="_Toc433883630"/>
      <w:bookmarkStart w:id="89" w:name="_Toc113258066"/>
      <w:bookmarkStart w:id="90" w:name="_Toc198634219"/>
      <w:bookmarkStart w:id="91" w:name="_Toc113257807"/>
      <w:r>
        <w:rPr>
          <w:bCs w:val="0"/>
          <w:sz w:val="30"/>
          <w:szCs w:val="30"/>
        </w:rPr>
        <w:br w:type="page"/>
      </w:r>
      <w:bookmarkStart w:id="92" w:name="_Toc45007873"/>
      <w:bookmarkStart w:id="93" w:name="_Toc45007872"/>
      <w:bookmarkStart w:id="94" w:name="_Toc45007339"/>
      <w:r>
        <w:rPr>
          <w:rFonts w:hint="eastAsia"/>
          <w:sz w:val="48"/>
          <w:szCs w:val="48"/>
        </w:rPr>
        <w:t xml:space="preserve">第二章  </w:t>
      </w:r>
      <w:r>
        <w:rPr>
          <w:sz w:val="48"/>
          <w:szCs w:val="48"/>
        </w:rPr>
        <w:t xml:space="preserve"> </w:t>
      </w:r>
      <w:r>
        <w:rPr>
          <w:rFonts w:hint="eastAsia"/>
          <w:sz w:val="48"/>
          <w:szCs w:val="48"/>
        </w:rPr>
        <w:t>评标办法</w:t>
      </w:r>
      <w:bookmarkEnd w:id="88"/>
      <w:bookmarkEnd w:id="92"/>
      <w:bookmarkEnd w:id="93"/>
      <w:bookmarkEnd w:id="94"/>
    </w:p>
    <w:p>
      <w:pPr>
        <w:snapToGrid w:val="0"/>
        <w:spacing w:before="120" w:line="400" w:lineRule="exact"/>
        <w:rPr>
          <w:rFonts w:hint="eastAsia" w:ascii="宋体" w:hAnsi="宋体" w:cs="宋体"/>
          <w:b/>
          <w:color w:val="auto"/>
        </w:rPr>
      </w:pPr>
      <w:r>
        <w:rPr>
          <w:rFonts w:hint="eastAsia" w:ascii="宋体" w:hAnsi="宋体" w:cs="宋体"/>
          <w:b/>
          <w:color w:val="auto"/>
        </w:rPr>
        <w:t>一、评标原则</w:t>
      </w:r>
    </w:p>
    <w:p>
      <w:pPr>
        <w:snapToGrid w:val="0"/>
        <w:spacing w:line="400" w:lineRule="exact"/>
        <w:ind w:left="630" w:hanging="630"/>
        <w:rPr>
          <w:rFonts w:hint="eastAsia" w:ascii="宋体" w:hAnsi="宋体" w:cs="宋体"/>
          <w:color w:val="auto"/>
        </w:rPr>
      </w:pPr>
      <w:r>
        <w:rPr>
          <w:rFonts w:hint="eastAsia" w:ascii="宋体" w:hAnsi="宋体" w:cs="宋体"/>
          <w:color w:val="auto"/>
        </w:rPr>
        <w:t>（一）磋商（评标）小组构成：磋商小组成员由采购人代表和在政府采购专家库中随机抽取的有关技术、经济等方面专家组成，成员人数为三人以上（含三人）单数组成，其中技术、经济等方面专家不少于成员总数的三分之二。</w:t>
      </w:r>
    </w:p>
    <w:p>
      <w:pPr>
        <w:snapToGrid w:val="0"/>
        <w:spacing w:line="400" w:lineRule="exact"/>
        <w:ind w:left="630" w:hanging="630"/>
        <w:rPr>
          <w:rFonts w:hint="eastAsia" w:ascii="宋体" w:hAnsi="宋体" w:cs="宋体"/>
          <w:color w:val="auto"/>
        </w:rPr>
      </w:pPr>
      <w:r>
        <w:rPr>
          <w:rFonts w:hint="eastAsia" w:ascii="宋体" w:hAnsi="宋体" w:cs="宋体"/>
          <w:color w:val="auto"/>
        </w:rPr>
        <w:t>（二）评标依据：以竞争性磋商文件和响应文件为评审依据。</w:t>
      </w:r>
    </w:p>
    <w:p>
      <w:pPr>
        <w:snapToGrid w:val="0"/>
        <w:spacing w:line="400" w:lineRule="exact"/>
        <w:ind w:left="630" w:hanging="630"/>
        <w:rPr>
          <w:rFonts w:hint="eastAsia" w:ascii="宋体" w:hAnsi="宋体" w:cs="宋体"/>
          <w:color w:val="auto"/>
        </w:rPr>
      </w:pPr>
      <w:r>
        <w:rPr>
          <w:rFonts w:hint="eastAsia" w:ascii="宋体" w:hAnsi="宋体" w:cs="宋体"/>
          <w:color w:val="auto"/>
        </w:rPr>
        <w:t>（三）评标方法：经磋商确定最终方案和提交最后报价的磋商单位后，由磋商小组采用综合评分法对提交最后报价的磋商单位的响应文件和最后报价进行综合评分。</w:t>
      </w:r>
    </w:p>
    <w:p>
      <w:pPr>
        <w:pStyle w:val="22"/>
        <w:spacing w:line="420" w:lineRule="exact"/>
        <w:rPr>
          <w:rFonts w:hint="eastAsia" w:hAnsi="宋体"/>
          <w:bCs/>
          <w:color w:val="000000"/>
          <w:lang w:val="en-US" w:eastAsia="zh-CN"/>
        </w:rPr>
      </w:pPr>
      <w:r>
        <w:rPr>
          <w:rFonts w:hint="eastAsia" w:ascii="宋体" w:hAnsi="宋体" w:cs="宋体"/>
          <w:color w:val="auto"/>
          <w:lang w:eastAsia="zh-CN"/>
        </w:rPr>
        <w:t>（四）</w:t>
      </w:r>
      <w:r>
        <w:rPr>
          <w:rFonts w:hint="eastAsia" w:hAnsi="宋体"/>
          <w:color w:val="000000"/>
        </w:rPr>
        <w:t>(二)</w:t>
      </w:r>
      <w:r>
        <w:rPr>
          <w:rFonts w:hint="eastAsia" w:hAnsi="宋体"/>
          <w:color w:val="000000"/>
          <w:lang w:eastAsia="zh-CN"/>
        </w:rPr>
        <w:t>残疾人福利单位、小型和微型企业最终报价</w:t>
      </w:r>
      <w:r>
        <w:rPr>
          <w:rFonts w:hint="eastAsia" w:hAnsi="宋体"/>
          <w:bCs/>
          <w:color w:val="000000"/>
          <w:lang w:val="en-US" w:eastAsia="zh-CN"/>
        </w:rPr>
        <w:t>政策性扣除计算方法</w:t>
      </w:r>
    </w:p>
    <w:p>
      <w:pPr>
        <w:pStyle w:val="22"/>
        <w:spacing w:line="420" w:lineRule="exact"/>
        <w:ind w:firstLine="420" w:firstLineChars="200"/>
        <w:rPr>
          <w:rFonts w:hint="eastAsia" w:hAnsi="宋体"/>
          <w:bCs/>
          <w:color w:val="000000"/>
          <w:lang w:val="en-US"/>
        </w:rPr>
      </w:pPr>
      <w:r>
        <w:rPr>
          <w:rFonts w:hint="eastAsia" w:hAnsi="宋体"/>
          <w:bCs/>
          <w:color w:val="000000"/>
          <w:lang w:val="en-US"/>
        </w:rPr>
        <w:t>（1）评标价为供应商的</w:t>
      </w:r>
      <w:r>
        <w:rPr>
          <w:rFonts w:hint="eastAsia" w:hAnsi="宋体"/>
          <w:bCs/>
          <w:color w:val="000000"/>
          <w:lang w:val="en-US" w:eastAsia="zh-CN"/>
        </w:rPr>
        <w:t>竞标</w:t>
      </w:r>
      <w:r>
        <w:rPr>
          <w:rFonts w:hint="eastAsia" w:hAnsi="宋体"/>
          <w:bCs/>
          <w:color w:val="000000"/>
          <w:lang w:val="en-US"/>
        </w:rPr>
        <w:t>报价进行政策性扣除后的价格，评标价只是作为评标时使用。最终成交供应商的成交金额＝</w:t>
      </w:r>
      <w:r>
        <w:rPr>
          <w:rFonts w:hint="eastAsia" w:hAnsi="宋体"/>
          <w:bCs/>
          <w:color w:val="000000"/>
          <w:lang w:val="en-US" w:eastAsia="zh-CN"/>
        </w:rPr>
        <w:t>竞标</w:t>
      </w:r>
      <w:r>
        <w:rPr>
          <w:rFonts w:hint="eastAsia" w:hAnsi="宋体"/>
          <w:bCs/>
          <w:color w:val="000000"/>
          <w:lang w:val="en-US"/>
        </w:rPr>
        <w:t>报价。</w:t>
      </w:r>
    </w:p>
    <w:p>
      <w:pPr>
        <w:pStyle w:val="22"/>
        <w:spacing w:line="420" w:lineRule="exact"/>
        <w:ind w:firstLine="210" w:firstLineChars="100"/>
        <w:rPr>
          <w:rFonts w:hint="eastAsia" w:hAnsi="宋体"/>
          <w:bCs/>
          <w:color w:val="000000"/>
          <w:lang w:val="en-US"/>
        </w:rPr>
      </w:pPr>
      <w:r>
        <w:rPr>
          <w:rFonts w:hint="eastAsia" w:hAnsi="宋体"/>
          <w:bCs/>
          <w:color w:val="000000"/>
          <w:lang w:val="en-US" w:eastAsia="zh-CN"/>
        </w:rPr>
        <w:t xml:space="preserve">  </w:t>
      </w:r>
      <w:r>
        <w:rPr>
          <w:rFonts w:hint="eastAsia" w:hAnsi="宋体"/>
          <w:bCs/>
          <w:color w:val="000000"/>
          <w:lang w:val="en-US"/>
        </w:rPr>
        <w:t>（</w:t>
      </w:r>
      <w:r>
        <w:rPr>
          <w:rFonts w:hint="eastAsia" w:hAnsi="宋体"/>
          <w:bCs/>
          <w:color w:val="000000"/>
          <w:lang w:val="en-US" w:eastAsia="zh-CN"/>
        </w:rPr>
        <w:t>2</w:t>
      </w:r>
      <w:r>
        <w:rPr>
          <w:rFonts w:hint="eastAsia" w:hAnsi="宋体"/>
          <w:bCs/>
          <w:color w:val="000000"/>
          <w:lang w:val="en-US"/>
        </w:rPr>
        <w:t>）按照《财政部、司法部关于政府采购支持监狱企业发展有关问题的通知》（财库〔2014〕68号）之规定，监狱企业视同小型、微型企业。</w:t>
      </w:r>
    </w:p>
    <w:p>
      <w:pPr>
        <w:pStyle w:val="22"/>
        <w:spacing w:line="420" w:lineRule="exact"/>
        <w:ind w:firstLine="420" w:firstLineChars="200"/>
        <w:rPr>
          <w:rFonts w:hint="eastAsia" w:hAnsi="宋体"/>
          <w:bCs/>
          <w:color w:val="000000"/>
          <w:lang w:val="en-US"/>
        </w:rPr>
      </w:pPr>
      <w:r>
        <w:rPr>
          <w:rFonts w:hint="eastAsia" w:hAnsi="宋体"/>
          <w:bCs/>
          <w:color w:val="000000"/>
          <w:lang w:val="en-US"/>
        </w:rPr>
        <w:t>（</w:t>
      </w:r>
      <w:r>
        <w:rPr>
          <w:rFonts w:hint="eastAsia" w:hAnsi="宋体"/>
          <w:bCs/>
          <w:color w:val="000000"/>
          <w:lang w:val="en-US" w:eastAsia="zh-CN"/>
        </w:rPr>
        <w:t>3</w:t>
      </w:r>
      <w:r>
        <w:rPr>
          <w:rFonts w:hint="eastAsia" w:hAnsi="宋体"/>
          <w:bCs/>
          <w:color w:val="000000"/>
          <w:lang w:val="en-US"/>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22"/>
        <w:spacing w:line="420" w:lineRule="exact"/>
        <w:ind w:firstLine="420" w:firstLineChars="200"/>
        <w:rPr>
          <w:rFonts w:hint="eastAsia" w:hAnsi="宋体"/>
          <w:bCs/>
          <w:color w:val="000000"/>
          <w:lang w:val="en-US" w:eastAsia="zh-CN"/>
        </w:rPr>
      </w:pPr>
      <w:r>
        <w:rPr>
          <w:rFonts w:hint="eastAsia" w:hAnsi="宋体"/>
          <w:bCs/>
          <w:color w:val="000000"/>
          <w:lang w:val="en-US"/>
        </w:rPr>
        <w:t>（</w:t>
      </w:r>
      <w:r>
        <w:rPr>
          <w:rFonts w:hint="eastAsia" w:hAnsi="宋体"/>
          <w:bCs/>
          <w:color w:val="000000"/>
          <w:lang w:val="en-US" w:eastAsia="zh-CN"/>
        </w:rPr>
        <w:t>4</w:t>
      </w:r>
      <w:r>
        <w:rPr>
          <w:rFonts w:hint="eastAsia" w:hAnsi="宋体"/>
          <w:bCs/>
          <w:color w:val="000000"/>
          <w:lang w:val="en-US"/>
        </w:rPr>
        <w:t>）按照《政府采购促进中小企业发展暂行办法》（财库[2011]181号）之规定，竞标产品被认定为小型和微型企业产品（以具有认定职能的部门出具的证明材料为准）的，对小型和微型企业产品的价格给予</w:t>
      </w:r>
      <w:r>
        <w:rPr>
          <w:rFonts w:hint="eastAsia" w:hAnsi="宋体"/>
          <w:bCs/>
          <w:color w:val="000000"/>
          <w:lang w:val="en-US" w:eastAsia="zh-CN"/>
        </w:rPr>
        <w:t>10</w:t>
      </w:r>
      <w:r>
        <w:rPr>
          <w:rFonts w:hint="eastAsia" w:hAnsi="宋体"/>
          <w:bCs/>
          <w:color w:val="000000"/>
          <w:lang w:val="en-US"/>
        </w:rPr>
        <w:t>%的扣除，扣除后的价格为评标报价，即评标报价=</w:t>
      </w:r>
      <w:r>
        <w:rPr>
          <w:rFonts w:hint="eastAsia" w:hAnsi="宋体"/>
          <w:bCs/>
          <w:color w:val="000000"/>
          <w:lang w:val="en-US" w:eastAsia="zh-CN"/>
        </w:rPr>
        <w:t>竞标</w:t>
      </w:r>
      <w:r>
        <w:rPr>
          <w:rFonts w:hint="eastAsia" w:hAnsi="宋体"/>
          <w:bCs/>
          <w:color w:val="000000"/>
          <w:lang w:val="en-US"/>
        </w:rPr>
        <w:t>报价×（1-</w:t>
      </w:r>
      <w:r>
        <w:rPr>
          <w:rFonts w:hint="eastAsia" w:hAnsi="宋体"/>
          <w:bCs/>
          <w:color w:val="000000"/>
          <w:lang w:val="en-US" w:eastAsia="zh-CN"/>
        </w:rPr>
        <w:t>10</w:t>
      </w:r>
      <w:r>
        <w:rPr>
          <w:rFonts w:hint="eastAsia" w:hAnsi="宋体"/>
          <w:bCs/>
          <w:color w:val="000000"/>
          <w:lang w:val="en-US"/>
        </w:rPr>
        <w:t>%）；大中型企业和其他自然人、法人或者其他组织与小型、微型企业组成联合体竞标，联合体协议中约定小型、微型企业的协议合同金额占到联合体协议合同总金额30%以上的，联合体竞标价给予2%的扣除，扣除后的价格为评标价，即评标报价=</w:t>
      </w:r>
      <w:r>
        <w:rPr>
          <w:rFonts w:hint="eastAsia" w:hAnsi="宋体"/>
          <w:bCs/>
          <w:color w:val="000000"/>
          <w:lang w:val="en-US" w:eastAsia="zh-CN"/>
        </w:rPr>
        <w:t>竞标</w:t>
      </w:r>
      <w:r>
        <w:rPr>
          <w:rFonts w:hint="eastAsia" w:hAnsi="宋体"/>
          <w:bCs/>
          <w:color w:val="000000"/>
          <w:lang w:val="en-US"/>
        </w:rPr>
        <w:t>报价×（1-2%）；除上述情况外，评标报价=</w:t>
      </w:r>
      <w:r>
        <w:rPr>
          <w:rFonts w:hint="eastAsia" w:hAnsi="宋体"/>
          <w:bCs/>
          <w:color w:val="000000"/>
          <w:lang w:val="en-US" w:eastAsia="zh-CN"/>
        </w:rPr>
        <w:t>竞标</w:t>
      </w:r>
      <w:r>
        <w:rPr>
          <w:rFonts w:hint="eastAsia" w:hAnsi="宋体"/>
          <w:bCs/>
          <w:color w:val="000000"/>
          <w:lang w:val="en-US"/>
        </w:rPr>
        <w:t>报价。</w:t>
      </w:r>
    </w:p>
    <w:p>
      <w:pPr>
        <w:snapToGrid w:val="0"/>
        <w:spacing w:line="400" w:lineRule="exact"/>
        <w:ind w:left="630" w:hanging="630"/>
        <w:rPr>
          <w:rFonts w:hint="eastAsia" w:ascii="宋体" w:hAnsi="宋体" w:eastAsia="宋体" w:cs="宋体"/>
          <w:color w:val="auto"/>
          <w:lang w:eastAsia="zh-CN"/>
        </w:rPr>
      </w:pPr>
    </w:p>
    <w:p>
      <w:pPr>
        <w:snapToGrid w:val="0"/>
        <w:spacing w:line="360" w:lineRule="auto"/>
        <w:rPr>
          <w:rFonts w:hint="eastAsia" w:ascii="宋体" w:hAnsi="宋体" w:cs="宋体"/>
          <w:b/>
          <w:color w:val="auto"/>
        </w:rPr>
      </w:pPr>
      <w:r>
        <w:rPr>
          <w:rFonts w:hint="eastAsia" w:ascii="宋体" w:hAnsi="宋体" w:cs="宋体"/>
          <w:b/>
          <w:color w:val="auto"/>
        </w:rPr>
        <w:t>二、评审因素和标准</w:t>
      </w:r>
    </w:p>
    <w:tbl>
      <w:tblPr>
        <w:tblStyle w:val="39"/>
        <w:tblW w:w="10411" w:type="dxa"/>
        <w:jc w:val="center"/>
        <w:tblLayout w:type="fixed"/>
        <w:tblCellMar>
          <w:top w:w="0" w:type="dxa"/>
          <w:left w:w="0" w:type="dxa"/>
          <w:bottom w:w="0" w:type="dxa"/>
          <w:right w:w="0" w:type="dxa"/>
        </w:tblCellMar>
      </w:tblPr>
      <w:tblGrid>
        <w:gridCol w:w="779"/>
        <w:gridCol w:w="581"/>
        <w:gridCol w:w="1333"/>
        <w:gridCol w:w="825"/>
        <w:gridCol w:w="1450"/>
        <w:gridCol w:w="5443"/>
      </w:tblGrid>
      <w:tr>
        <w:tblPrEx>
          <w:tblCellMar>
            <w:top w:w="0" w:type="dxa"/>
            <w:left w:w="0" w:type="dxa"/>
            <w:bottom w:w="0" w:type="dxa"/>
            <w:right w:w="0" w:type="dxa"/>
          </w:tblCellMar>
        </w:tblPrEx>
        <w:trPr>
          <w:trHeight w:val="454" w:hRule="atLeast"/>
          <w:jc w:val="center"/>
        </w:trPr>
        <w:tc>
          <w:tcPr>
            <w:tcW w:w="779" w:type="dxa"/>
            <w:tcBorders>
              <w:top w:val="single" w:color="000000" w:sz="4" w:space="0"/>
              <w:left w:val="single" w:color="000000" w:sz="4" w:space="0"/>
              <w:bottom w:val="single" w:color="000000" w:sz="4" w:space="0"/>
              <w:right w:val="single" w:color="auto" w:sz="4" w:space="0"/>
            </w:tcBorders>
            <w:shd w:val="clear" w:color="auto" w:fill="E6E6E6"/>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条款号</w:t>
            </w:r>
          </w:p>
        </w:tc>
        <w:tc>
          <w:tcPr>
            <w:tcW w:w="4189" w:type="dxa"/>
            <w:gridSpan w:val="4"/>
            <w:tcBorders>
              <w:top w:val="single" w:color="auto" w:sz="4" w:space="0"/>
              <w:left w:val="single" w:color="auto" w:sz="4" w:space="0"/>
              <w:bottom w:val="single" w:color="auto" w:sz="4" w:space="0"/>
              <w:right w:val="single" w:color="auto" w:sz="4" w:space="0"/>
            </w:tcBorders>
            <w:shd w:val="clear" w:color="auto" w:fill="E6E6E6"/>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评审因素</w:t>
            </w:r>
          </w:p>
        </w:tc>
        <w:tc>
          <w:tcPr>
            <w:tcW w:w="5443" w:type="dxa"/>
            <w:tcBorders>
              <w:top w:val="single" w:color="auto" w:sz="4" w:space="0"/>
              <w:left w:val="single" w:color="auto" w:sz="4" w:space="0"/>
              <w:bottom w:val="single" w:color="auto" w:sz="4" w:space="0"/>
              <w:right w:val="single" w:color="auto" w:sz="4" w:space="0"/>
            </w:tcBorders>
            <w:shd w:val="clear" w:color="auto" w:fill="E6E6E6"/>
            <w:noWrap w:val="0"/>
            <w:tcMar>
              <w:top w:w="0" w:type="dxa"/>
              <w:left w:w="108" w:type="dxa"/>
              <w:bottom w:w="0" w:type="dxa"/>
              <w:right w:w="108" w:type="dxa"/>
            </w:tcMar>
            <w:vAlign w:val="top"/>
          </w:tcPr>
          <w:p>
            <w:pPr>
              <w:snapToGrid w:val="0"/>
              <w:jc w:val="center"/>
              <w:rPr>
                <w:rFonts w:hint="eastAsia" w:ascii="宋体" w:hAnsi="宋体" w:cs="宋体"/>
                <w:color w:val="auto"/>
              </w:rPr>
            </w:pPr>
            <w:r>
              <w:rPr>
                <w:rFonts w:hint="eastAsia" w:ascii="宋体" w:hAnsi="宋体" w:cs="宋体"/>
                <w:color w:val="auto"/>
              </w:rPr>
              <w:t>评审标准</w:t>
            </w:r>
          </w:p>
        </w:tc>
      </w:tr>
      <w:tr>
        <w:tblPrEx>
          <w:tblCellMar>
            <w:top w:w="0" w:type="dxa"/>
            <w:left w:w="0" w:type="dxa"/>
            <w:bottom w:w="0" w:type="dxa"/>
            <w:right w:w="0" w:type="dxa"/>
          </w:tblCellMar>
        </w:tblPrEx>
        <w:trPr>
          <w:trHeight w:val="594" w:hRule="atLeast"/>
          <w:jc w:val="center"/>
        </w:trPr>
        <w:tc>
          <w:tcPr>
            <w:tcW w:w="779" w:type="dxa"/>
            <w:vMerge w:val="restart"/>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2.1.1</w:t>
            </w:r>
          </w:p>
        </w:tc>
        <w:tc>
          <w:tcPr>
            <w:tcW w:w="581"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资格评审标准</w:t>
            </w:r>
          </w:p>
        </w:tc>
        <w:tc>
          <w:tcPr>
            <w:tcW w:w="905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b/>
                <w:color w:val="auto"/>
              </w:rPr>
            </w:pPr>
            <w:r>
              <w:rPr>
                <w:rFonts w:hint="eastAsia" w:ascii="宋体" w:hAnsi="宋体" w:cs="宋体"/>
                <w:b/>
                <w:color w:val="auto"/>
              </w:rPr>
              <w:t>合格标准：缺少任何一项或有任何一项不合格者，其资格审查视为不合格</w:t>
            </w:r>
          </w:p>
        </w:tc>
      </w:tr>
      <w:tr>
        <w:tblPrEx>
          <w:tblCellMar>
            <w:top w:w="0" w:type="dxa"/>
            <w:left w:w="0" w:type="dxa"/>
            <w:bottom w:w="0" w:type="dxa"/>
            <w:right w:w="0" w:type="dxa"/>
          </w:tblCellMar>
        </w:tblPrEx>
        <w:trPr>
          <w:trHeight w:val="454" w:hRule="atLeast"/>
          <w:jc w:val="center"/>
        </w:trPr>
        <w:tc>
          <w:tcPr>
            <w:tcW w:w="779"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58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33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合格制</w:t>
            </w: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响应文件签署</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有效的法定代表人身份证明（附身份证复印件）或法人授权委托书（附身份证复印件，授权代理时必须提供）</w:t>
            </w:r>
          </w:p>
        </w:tc>
      </w:tr>
      <w:tr>
        <w:tblPrEx>
          <w:tblCellMar>
            <w:top w:w="0" w:type="dxa"/>
            <w:left w:w="0" w:type="dxa"/>
            <w:bottom w:w="0" w:type="dxa"/>
            <w:right w:w="0" w:type="dxa"/>
          </w:tblCellMar>
        </w:tblPrEx>
        <w:trPr>
          <w:trHeight w:val="454" w:hRule="atLeast"/>
          <w:jc w:val="center"/>
        </w:trPr>
        <w:tc>
          <w:tcPr>
            <w:tcW w:w="779"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p>
        </w:tc>
        <w:tc>
          <w:tcPr>
            <w:tcW w:w="58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p>
        </w:tc>
        <w:tc>
          <w:tcPr>
            <w:tcW w:w="133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营业执照</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具备有效的营业执照</w:t>
            </w:r>
          </w:p>
        </w:tc>
      </w:tr>
      <w:tr>
        <w:tblPrEx>
          <w:tblCellMar>
            <w:top w:w="0" w:type="dxa"/>
            <w:left w:w="0" w:type="dxa"/>
            <w:bottom w:w="0" w:type="dxa"/>
            <w:right w:w="0" w:type="dxa"/>
          </w:tblCellMar>
        </w:tblPrEx>
        <w:trPr>
          <w:trHeight w:val="454" w:hRule="atLeast"/>
          <w:jc w:val="center"/>
        </w:trPr>
        <w:tc>
          <w:tcPr>
            <w:tcW w:w="779"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58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33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安全生产许可证</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具备有效的安全生产许可证</w:t>
            </w:r>
          </w:p>
        </w:tc>
      </w:tr>
      <w:tr>
        <w:tblPrEx>
          <w:tblCellMar>
            <w:top w:w="0" w:type="dxa"/>
            <w:left w:w="0" w:type="dxa"/>
            <w:bottom w:w="0" w:type="dxa"/>
            <w:right w:w="0" w:type="dxa"/>
          </w:tblCellMar>
        </w:tblPrEx>
        <w:trPr>
          <w:trHeight w:val="454" w:hRule="atLeast"/>
          <w:jc w:val="center"/>
        </w:trPr>
        <w:tc>
          <w:tcPr>
            <w:tcW w:w="779"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58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33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资质等级</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 xml:space="preserve">符合采购文件要求 </w:t>
            </w:r>
          </w:p>
        </w:tc>
      </w:tr>
      <w:tr>
        <w:tblPrEx>
          <w:tblCellMar>
            <w:top w:w="0" w:type="dxa"/>
            <w:left w:w="0" w:type="dxa"/>
            <w:bottom w:w="0" w:type="dxa"/>
            <w:right w:w="0" w:type="dxa"/>
          </w:tblCellMar>
        </w:tblPrEx>
        <w:trPr>
          <w:trHeight w:val="515" w:hRule="atLeast"/>
          <w:jc w:val="center"/>
        </w:trPr>
        <w:tc>
          <w:tcPr>
            <w:tcW w:w="779"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58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33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项目经理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 xml:space="preserve">符合采购文件要求 </w:t>
            </w:r>
          </w:p>
        </w:tc>
      </w:tr>
      <w:tr>
        <w:tblPrEx>
          <w:tblCellMar>
            <w:top w:w="0" w:type="dxa"/>
            <w:left w:w="0" w:type="dxa"/>
            <w:bottom w:w="0" w:type="dxa"/>
            <w:right w:w="0" w:type="dxa"/>
          </w:tblCellMar>
        </w:tblPrEx>
        <w:trPr>
          <w:trHeight w:val="550" w:hRule="atLeast"/>
          <w:jc w:val="center"/>
        </w:trPr>
        <w:tc>
          <w:tcPr>
            <w:tcW w:w="779"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58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33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专职安全员</w:t>
            </w:r>
          </w:p>
        </w:tc>
        <w:tc>
          <w:tcPr>
            <w:tcW w:w="5443"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 xml:space="preserve">符合采购文件要求 </w:t>
            </w:r>
          </w:p>
        </w:tc>
      </w:tr>
      <w:tr>
        <w:tblPrEx>
          <w:tblCellMar>
            <w:top w:w="0" w:type="dxa"/>
            <w:left w:w="0" w:type="dxa"/>
            <w:bottom w:w="0" w:type="dxa"/>
            <w:right w:w="0" w:type="dxa"/>
          </w:tblCellMar>
        </w:tblPrEx>
        <w:trPr>
          <w:trHeight w:val="593" w:hRule="atLeast"/>
          <w:jc w:val="center"/>
        </w:trPr>
        <w:tc>
          <w:tcPr>
            <w:tcW w:w="779"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2.1.2</w:t>
            </w:r>
          </w:p>
        </w:tc>
        <w:tc>
          <w:tcPr>
            <w:tcW w:w="1914"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形式</w:t>
            </w:r>
          </w:p>
          <w:p>
            <w:pPr>
              <w:snapToGrid w:val="0"/>
              <w:jc w:val="center"/>
              <w:rPr>
                <w:rFonts w:hint="eastAsia" w:ascii="宋体" w:hAnsi="宋体" w:cs="宋体"/>
                <w:color w:val="auto"/>
              </w:rPr>
            </w:pPr>
            <w:r>
              <w:rPr>
                <w:rFonts w:hint="eastAsia" w:ascii="宋体" w:hAnsi="宋体" w:cs="宋体"/>
                <w:color w:val="auto"/>
              </w:rPr>
              <w:t>评审标准</w:t>
            </w:r>
          </w:p>
        </w:tc>
        <w:tc>
          <w:tcPr>
            <w:tcW w:w="7718"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b/>
                <w:color w:val="auto"/>
              </w:rPr>
            </w:pPr>
            <w:r>
              <w:rPr>
                <w:rFonts w:hint="eastAsia" w:ascii="宋体" w:hAnsi="宋体" w:cs="宋体"/>
                <w:b/>
                <w:color w:val="auto"/>
              </w:rPr>
              <w:t>合格标准：缺少任何一项或有任何一项不合格者，其形式评审视为不合格</w:t>
            </w:r>
          </w:p>
        </w:tc>
      </w:tr>
      <w:tr>
        <w:tblPrEx>
          <w:tblCellMar>
            <w:top w:w="0" w:type="dxa"/>
            <w:left w:w="0" w:type="dxa"/>
            <w:bottom w:w="0" w:type="dxa"/>
            <w:right w:w="0" w:type="dxa"/>
          </w:tblCellMar>
        </w:tblPrEx>
        <w:trPr>
          <w:trHeight w:val="303"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磋商人名称</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与营业执照、资质证书、安全生产许可证一致</w:t>
            </w:r>
          </w:p>
        </w:tc>
      </w:tr>
      <w:tr>
        <w:tblPrEx>
          <w:tblCellMar>
            <w:top w:w="0" w:type="dxa"/>
            <w:left w:w="0" w:type="dxa"/>
            <w:bottom w:w="0" w:type="dxa"/>
            <w:right w:w="0" w:type="dxa"/>
          </w:tblCellMar>
        </w:tblPrEx>
        <w:trPr>
          <w:trHeight w:val="303"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磋商函签字盖章</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法定代表人或其委托代理人签字或盖章及加盖磋商人单位公章</w:t>
            </w:r>
          </w:p>
        </w:tc>
      </w:tr>
      <w:tr>
        <w:tblPrEx>
          <w:tblCellMar>
            <w:top w:w="0" w:type="dxa"/>
            <w:left w:w="0" w:type="dxa"/>
            <w:bottom w:w="0" w:type="dxa"/>
            <w:right w:w="0" w:type="dxa"/>
          </w:tblCellMar>
        </w:tblPrEx>
        <w:trPr>
          <w:trHeight w:val="303"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响应文件格式</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符合“响应文件格式”的要求</w:t>
            </w:r>
          </w:p>
        </w:tc>
      </w:tr>
      <w:tr>
        <w:tblPrEx>
          <w:tblCellMar>
            <w:top w:w="0" w:type="dxa"/>
            <w:left w:w="0" w:type="dxa"/>
            <w:bottom w:w="0" w:type="dxa"/>
            <w:right w:w="0" w:type="dxa"/>
          </w:tblCellMar>
        </w:tblPrEx>
        <w:trPr>
          <w:trHeight w:val="303"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报价唯一</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只能有一个有效报价。</w:t>
            </w:r>
          </w:p>
        </w:tc>
      </w:tr>
      <w:tr>
        <w:tblPrEx>
          <w:tblCellMar>
            <w:top w:w="0" w:type="dxa"/>
            <w:left w:w="0" w:type="dxa"/>
            <w:bottom w:w="0" w:type="dxa"/>
            <w:right w:w="0" w:type="dxa"/>
          </w:tblCellMar>
        </w:tblPrEx>
        <w:trPr>
          <w:trHeight w:val="584" w:hRule="atLeast"/>
          <w:jc w:val="center"/>
        </w:trPr>
        <w:tc>
          <w:tcPr>
            <w:tcW w:w="779"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2.1.3</w:t>
            </w:r>
          </w:p>
          <w:p>
            <w:pPr>
              <w:snapToGrid w:val="0"/>
              <w:jc w:val="center"/>
              <w:rPr>
                <w:rFonts w:hint="eastAsia" w:ascii="宋体" w:hAnsi="宋体" w:cs="宋体"/>
                <w:color w:val="auto"/>
              </w:rPr>
            </w:pPr>
          </w:p>
        </w:tc>
        <w:tc>
          <w:tcPr>
            <w:tcW w:w="1914"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响应性</w:t>
            </w:r>
          </w:p>
          <w:p>
            <w:pPr>
              <w:snapToGrid w:val="0"/>
              <w:jc w:val="center"/>
              <w:rPr>
                <w:rFonts w:hint="eastAsia" w:ascii="宋体" w:hAnsi="宋体" w:cs="宋体"/>
                <w:color w:val="auto"/>
              </w:rPr>
            </w:pPr>
            <w:r>
              <w:rPr>
                <w:rFonts w:hint="eastAsia" w:ascii="宋体" w:hAnsi="宋体" w:cs="宋体"/>
                <w:color w:val="auto"/>
              </w:rPr>
              <w:t>评审标准</w:t>
            </w:r>
          </w:p>
          <w:p>
            <w:pPr>
              <w:snapToGrid w:val="0"/>
              <w:jc w:val="center"/>
              <w:rPr>
                <w:rFonts w:hint="eastAsia" w:ascii="宋体" w:hAnsi="宋体" w:cs="宋体"/>
                <w:color w:val="auto"/>
              </w:rPr>
            </w:pPr>
            <w:r>
              <w:rPr>
                <w:rFonts w:hint="eastAsia" w:ascii="宋体" w:hAnsi="宋体" w:cs="宋体"/>
                <w:color w:val="auto"/>
              </w:rPr>
              <w:t>【备注：采购人可按项目需求分为商务标响应性评审和技术标响应性评审两部分】</w:t>
            </w:r>
          </w:p>
        </w:tc>
        <w:tc>
          <w:tcPr>
            <w:tcW w:w="7718"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b/>
                <w:color w:val="auto"/>
              </w:rPr>
            </w:pPr>
            <w:r>
              <w:rPr>
                <w:rFonts w:hint="eastAsia" w:ascii="宋体" w:hAnsi="宋体" w:cs="宋体"/>
                <w:b/>
                <w:color w:val="auto"/>
              </w:rPr>
              <w:t>合格标准：缺少任何一项或有任何一项不合格者，其响应性评审视为不合格</w:t>
            </w:r>
          </w:p>
        </w:tc>
      </w:tr>
      <w:tr>
        <w:tblPrEx>
          <w:tblCellMar>
            <w:top w:w="0" w:type="dxa"/>
            <w:left w:w="0" w:type="dxa"/>
            <w:bottom w:w="0" w:type="dxa"/>
            <w:right w:w="0" w:type="dxa"/>
          </w:tblCellMar>
        </w:tblPrEx>
        <w:trPr>
          <w:trHeight w:val="50"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竞标内容</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符合第二章“磋商人须知”采购内容及要求规定</w:t>
            </w:r>
          </w:p>
        </w:tc>
      </w:tr>
      <w:tr>
        <w:tblPrEx>
          <w:tblCellMar>
            <w:top w:w="0" w:type="dxa"/>
            <w:left w:w="0" w:type="dxa"/>
            <w:bottom w:w="0" w:type="dxa"/>
            <w:right w:w="0" w:type="dxa"/>
          </w:tblCellMar>
        </w:tblPrEx>
        <w:trPr>
          <w:trHeight w:val="50"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工期</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符合第二章“磋商人须知”采购内容及要求规定</w:t>
            </w:r>
          </w:p>
        </w:tc>
      </w:tr>
      <w:tr>
        <w:tblPrEx>
          <w:tblCellMar>
            <w:top w:w="0" w:type="dxa"/>
            <w:left w:w="0" w:type="dxa"/>
            <w:bottom w:w="0" w:type="dxa"/>
            <w:right w:w="0" w:type="dxa"/>
          </w:tblCellMar>
        </w:tblPrEx>
        <w:trPr>
          <w:trHeight w:val="50"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工程质量</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符合第二章“磋商人须知”采购内容及要求规定</w:t>
            </w:r>
          </w:p>
        </w:tc>
      </w:tr>
      <w:tr>
        <w:tblPrEx>
          <w:tblCellMar>
            <w:top w:w="0" w:type="dxa"/>
            <w:left w:w="0" w:type="dxa"/>
            <w:bottom w:w="0" w:type="dxa"/>
            <w:right w:w="0" w:type="dxa"/>
          </w:tblCellMar>
        </w:tblPrEx>
        <w:trPr>
          <w:trHeight w:val="50"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竞标有效期</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r>
              <w:rPr>
                <w:rFonts w:hint="eastAsia" w:ascii="宋体" w:hAnsi="宋体" w:cs="宋体"/>
                <w:color w:val="auto"/>
              </w:rPr>
              <w:t>符合第二章“磋商人须知”采购内容及要求规定</w:t>
            </w:r>
          </w:p>
        </w:tc>
      </w:tr>
      <w:tr>
        <w:tblPrEx>
          <w:tblCellMar>
            <w:top w:w="0" w:type="dxa"/>
            <w:left w:w="0" w:type="dxa"/>
            <w:bottom w:w="0" w:type="dxa"/>
            <w:right w:w="0" w:type="dxa"/>
          </w:tblCellMar>
        </w:tblPrEx>
        <w:trPr>
          <w:trHeight w:val="50"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权利义务</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磋商函附录中的相关承诺符合或优于第三章“合同条款及格式”的相关规定</w:t>
            </w:r>
          </w:p>
        </w:tc>
      </w:tr>
      <w:tr>
        <w:tblPrEx>
          <w:tblCellMar>
            <w:top w:w="0" w:type="dxa"/>
            <w:left w:w="0" w:type="dxa"/>
            <w:bottom w:w="0" w:type="dxa"/>
            <w:right w:w="0" w:type="dxa"/>
          </w:tblCellMar>
        </w:tblPrEx>
        <w:trPr>
          <w:trHeight w:val="233"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技术标准和要求</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符合磋商文件规定</w:t>
            </w:r>
          </w:p>
        </w:tc>
      </w:tr>
      <w:tr>
        <w:tblPrEx>
          <w:tblCellMar>
            <w:top w:w="0" w:type="dxa"/>
            <w:left w:w="0" w:type="dxa"/>
            <w:bottom w:w="0" w:type="dxa"/>
            <w:right w:w="0" w:type="dxa"/>
          </w:tblCellMar>
        </w:tblPrEx>
        <w:trPr>
          <w:trHeight w:val="330"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竞标价格</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低于（含等于）采购人公布的招标上限控制价。</w:t>
            </w:r>
          </w:p>
        </w:tc>
      </w:tr>
      <w:tr>
        <w:tblPrEx>
          <w:tblCellMar>
            <w:top w:w="0" w:type="dxa"/>
            <w:left w:w="0" w:type="dxa"/>
            <w:bottom w:w="0" w:type="dxa"/>
            <w:right w:w="0" w:type="dxa"/>
          </w:tblCellMar>
        </w:tblPrEx>
        <w:trPr>
          <w:trHeight w:val="465"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20" w:lineRule="exact"/>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20" w:lineRule="exact"/>
              <w:rPr>
                <w:rFonts w:hint="eastAsia" w:ascii="宋体" w:hAnsi="宋体" w:cs="宋体"/>
                <w:color w:val="auto"/>
              </w:rPr>
            </w:pP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已标价工程量清单</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符合磋商文件“工程量清单”的编制要求。</w:t>
            </w:r>
          </w:p>
        </w:tc>
      </w:tr>
      <w:tr>
        <w:tblPrEx>
          <w:tblCellMar>
            <w:top w:w="0" w:type="dxa"/>
            <w:left w:w="0" w:type="dxa"/>
            <w:bottom w:w="0" w:type="dxa"/>
            <w:right w:w="0" w:type="dxa"/>
          </w:tblCellMar>
        </w:tblPrEx>
        <w:trPr>
          <w:trHeight w:val="590" w:hRule="atLeast"/>
          <w:jc w:val="center"/>
        </w:trPr>
        <w:tc>
          <w:tcPr>
            <w:tcW w:w="7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2.2</w:t>
            </w:r>
          </w:p>
        </w:tc>
        <w:tc>
          <w:tcPr>
            <w:tcW w:w="191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详细评审</w:t>
            </w:r>
          </w:p>
        </w:tc>
        <w:tc>
          <w:tcPr>
            <w:tcW w:w="7718"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r>
              <w:rPr>
                <w:rFonts w:hint="eastAsia" w:ascii="宋体" w:hAnsi="宋体" w:cs="宋体"/>
                <w:color w:val="auto"/>
              </w:rPr>
              <w:t>通过资格审查的合格磋商人，只有通过了形式评审和响应性评审，才能进入详细评审程序。</w:t>
            </w:r>
          </w:p>
        </w:tc>
      </w:tr>
      <w:tr>
        <w:tblPrEx>
          <w:tblCellMar>
            <w:top w:w="0" w:type="dxa"/>
            <w:left w:w="0" w:type="dxa"/>
            <w:bottom w:w="0" w:type="dxa"/>
            <w:right w:w="0" w:type="dxa"/>
          </w:tblCellMar>
        </w:tblPrEx>
        <w:trPr>
          <w:trHeight w:val="1139" w:hRule="atLeast"/>
          <w:jc w:val="center"/>
        </w:trPr>
        <w:tc>
          <w:tcPr>
            <w:tcW w:w="7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2.2.1</w:t>
            </w:r>
          </w:p>
        </w:tc>
        <w:tc>
          <w:tcPr>
            <w:tcW w:w="191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分值构成</w:t>
            </w:r>
          </w:p>
        </w:tc>
        <w:tc>
          <w:tcPr>
            <w:tcW w:w="227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ind w:firstLine="630"/>
              <w:rPr>
                <w:rFonts w:hint="eastAsia" w:ascii="宋体" w:hAnsi="宋体" w:cs="宋体"/>
                <w:color w:val="auto"/>
              </w:rPr>
            </w:pPr>
            <w:r>
              <w:rPr>
                <w:rFonts w:hint="eastAsia" w:ascii="宋体" w:hAnsi="宋体" w:cs="宋体"/>
                <w:color w:val="auto"/>
              </w:rPr>
              <w:t>分值构成</w:t>
            </w:r>
          </w:p>
          <w:p>
            <w:pPr>
              <w:snapToGrid w:val="0"/>
              <w:spacing w:line="360" w:lineRule="auto"/>
              <w:jc w:val="center"/>
              <w:rPr>
                <w:rFonts w:hint="eastAsia" w:ascii="宋体" w:hAnsi="宋体" w:cs="宋体"/>
                <w:color w:val="auto"/>
              </w:rPr>
            </w:pPr>
            <w:r>
              <w:rPr>
                <w:rFonts w:hint="eastAsia" w:ascii="宋体" w:hAnsi="宋体" w:cs="宋体"/>
                <w:color w:val="auto"/>
              </w:rPr>
              <w:t>（总分100分）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技术标评审部分：80分</w:t>
            </w:r>
          </w:p>
          <w:p>
            <w:pPr>
              <w:snapToGrid w:val="0"/>
              <w:spacing w:line="400" w:lineRule="exact"/>
              <w:rPr>
                <w:rFonts w:hint="eastAsia" w:ascii="宋体" w:hAnsi="宋体" w:cs="宋体"/>
                <w:color w:val="auto"/>
              </w:rPr>
            </w:pPr>
            <w:r>
              <w:rPr>
                <w:rFonts w:hint="eastAsia" w:ascii="宋体" w:hAnsi="宋体" w:cs="宋体"/>
                <w:color w:val="auto"/>
              </w:rPr>
              <w:t>商务标评审部分：10分</w:t>
            </w:r>
          </w:p>
          <w:p>
            <w:pPr>
              <w:snapToGrid w:val="0"/>
              <w:spacing w:line="400" w:lineRule="exact"/>
              <w:rPr>
                <w:rFonts w:hint="eastAsia" w:ascii="宋体" w:hAnsi="宋体" w:cs="宋体"/>
                <w:color w:val="auto"/>
              </w:rPr>
            </w:pPr>
            <w:r>
              <w:rPr>
                <w:rFonts w:hint="eastAsia" w:ascii="宋体" w:hAnsi="宋体" w:cs="宋体"/>
                <w:color w:val="auto"/>
              </w:rPr>
              <w:t>企业信誉业绩分：10分</w:t>
            </w:r>
          </w:p>
        </w:tc>
      </w:tr>
      <w:tr>
        <w:tblPrEx>
          <w:tblCellMar>
            <w:top w:w="0" w:type="dxa"/>
            <w:left w:w="0" w:type="dxa"/>
            <w:bottom w:w="0" w:type="dxa"/>
            <w:right w:w="0" w:type="dxa"/>
          </w:tblCellMar>
        </w:tblPrEx>
        <w:trPr>
          <w:trHeight w:val="607" w:hRule="atLeast"/>
          <w:jc w:val="center"/>
        </w:trPr>
        <w:tc>
          <w:tcPr>
            <w:tcW w:w="779"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20" w:lineRule="exact"/>
              <w:jc w:val="center"/>
              <w:rPr>
                <w:rFonts w:hint="eastAsia" w:ascii="宋体" w:hAnsi="宋体" w:cs="宋体"/>
                <w:color w:val="auto"/>
              </w:rPr>
            </w:pPr>
            <w:r>
              <w:rPr>
                <w:rFonts w:hint="eastAsia" w:ascii="宋体" w:hAnsi="宋体" w:cs="宋体"/>
                <w:color w:val="auto"/>
              </w:rPr>
              <w:t>2.2.2（1）</w:t>
            </w:r>
          </w:p>
          <w:p>
            <w:pPr>
              <w:snapToGrid w:val="0"/>
              <w:spacing w:line="300" w:lineRule="auto"/>
              <w:ind w:firstLine="420"/>
              <w:rPr>
                <w:rFonts w:hint="eastAsia" w:ascii="宋体" w:hAnsi="宋体" w:cs="宋体"/>
                <w:color w:val="auto"/>
              </w:rPr>
            </w:pPr>
          </w:p>
        </w:tc>
        <w:tc>
          <w:tcPr>
            <w:tcW w:w="1914"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00" w:lineRule="auto"/>
              <w:jc w:val="center"/>
              <w:rPr>
                <w:rFonts w:hint="eastAsia" w:ascii="宋体" w:hAnsi="宋体" w:cs="宋体"/>
                <w:color w:val="auto"/>
              </w:rPr>
            </w:pPr>
            <w:r>
              <w:rPr>
                <w:rFonts w:hint="eastAsia" w:ascii="宋体" w:hAnsi="宋体" w:cs="宋体"/>
                <w:color w:val="auto"/>
              </w:rPr>
              <w:t>技术标</w:t>
            </w:r>
          </w:p>
          <w:p>
            <w:pPr>
              <w:snapToGrid w:val="0"/>
              <w:spacing w:line="300" w:lineRule="auto"/>
              <w:jc w:val="center"/>
              <w:rPr>
                <w:rFonts w:hint="eastAsia" w:ascii="宋体" w:hAnsi="宋体" w:cs="宋体"/>
                <w:color w:val="auto"/>
              </w:rPr>
            </w:pPr>
            <w:r>
              <w:rPr>
                <w:rFonts w:hint="eastAsia" w:ascii="宋体" w:hAnsi="宋体" w:cs="宋体"/>
                <w:color w:val="auto"/>
              </w:rPr>
              <w:t>评分标准</w:t>
            </w:r>
          </w:p>
          <w:p>
            <w:pPr>
              <w:snapToGrid w:val="0"/>
              <w:spacing w:line="300" w:lineRule="auto"/>
              <w:ind w:firstLine="420"/>
              <w:rPr>
                <w:rFonts w:hint="eastAsia" w:ascii="宋体" w:hAnsi="宋体" w:cs="宋体"/>
                <w:color w:val="auto"/>
              </w:rPr>
            </w:pPr>
            <w:r>
              <w:rPr>
                <w:rFonts w:hint="eastAsia" w:ascii="宋体" w:hAnsi="宋体" w:cs="宋体"/>
                <w:color w:val="auto"/>
              </w:rPr>
              <w:t>（满分80分）</w:t>
            </w:r>
          </w:p>
        </w:tc>
        <w:tc>
          <w:tcPr>
            <w:tcW w:w="82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20" w:lineRule="exact"/>
              <w:jc w:val="center"/>
              <w:rPr>
                <w:rFonts w:hint="eastAsia" w:ascii="宋体" w:hAnsi="宋体" w:cs="宋体"/>
                <w:color w:val="auto"/>
              </w:rPr>
            </w:pPr>
            <w:r>
              <w:rPr>
                <w:rFonts w:hint="eastAsia" w:ascii="宋体" w:hAnsi="宋体" w:cs="宋体"/>
                <w:color w:val="auto"/>
              </w:rPr>
              <w:t>项目管理机构（</w:t>
            </w:r>
            <w:r>
              <w:rPr>
                <w:rFonts w:hint="eastAsia" w:ascii="宋体" w:hAnsi="宋体" w:cs="宋体"/>
                <w:color w:val="auto"/>
                <w:lang w:val="en-US" w:eastAsia="zh-CN"/>
              </w:rPr>
              <w:t>8</w:t>
            </w:r>
            <w:r>
              <w:rPr>
                <w:rFonts w:hint="eastAsia" w:ascii="宋体" w:hAnsi="宋体" w:cs="宋体"/>
                <w:color w:val="auto"/>
              </w:rPr>
              <w:t>分）</w:t>
            </w: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b w:val="0"/>
                <w:bCs/>
                <w:color w:val="auto"/>
                <w:szCs w:val="22"/>
              </w:rPr>
              <w:t>拟投入</w:t>
            </w:r>
            <w:r>
              <w:rPr>
                <w:rFonts w:hint="eastAsia" w:ascii="宋体" w:hAnsi="宋体" w:cs="宋体"/>
                <w:b w:val="0"/>
                <w:bCs/>
                <w:color w:val="auto"/>
                <w:szCs w:val="22"/>
                <w:lang w:eastAsia="zh-CN"/>
              </w:rPr>
              <w:t>项目经理</w:t>
            </w:r>
            <w:r>
              <w:rPr>
                <w:rFonts w:hint="eastAsia" w:ascii="宋体" w:hAnsi="宋体" w:cs="宋体"/>
                <w:b w:val="0"/>
                <w:bCs/>
                <w:color w:val="auto"/>
                <w:szCs w:val="22"/>
              </w:rPr>
              <w:t>（</w:t>
            </w:r>
            <w:r>
              <w:rPr>
                <w:rFonts w:hint="eastAsia" w:ascii="宋体" w:hAnsi="宋体" w:cs="宋体"/>
                <w:b w:val="0"/>
                <w:bCs/>
                <w:color w:val="auto"/>
                <w:szCs w:val="22"/>
                <w:lang w:val="en-US" w:eastAsia="zh-CN"/>
              </w:rPr>
              <w:t>4</w:t>
            </w:r>
            <w:r>
              <w:rPr>
                <w:rFonts w:hint="eastAsia" w:ascii="宋体" w:hAnsi="宋体" w:cs="宋体"/>
                <w:b w:val="0"/>
                <w:bCs/>
                <w:color w:val="auto"/>
                <w:szCs w:val="22"/>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由评委在打分前根据投标人所提供的拟投入的技术力量、人员配置集体讨论确定各投标人所属档次，在相应档次内独立打分。（人员进行了调整）：</w:t>
            </w:r>
          </w:p>
          <w:p>
            <w:pPr>
              <w:snapToGrid w:val="0"/>
              <w:spacing w:line="400" w:lineRule="exact"/>
              <w:rPr>
                <w:rFonts w:hint="eastAsia" w:ascii="宋体" w:hAnsi="宋体" w:cs="宋体"/>
                <w:b/>
                <w:color w:val="auto"/>
              </w:rPr>
            </w:pPr>
            <w:r>
              <w:rPr>
                <w:rFonts w:hint="eastAsia" w:ascii="宋体" w:hAnsi="宋体" w:cs="宋体"/>
                <w:b/>
                <w:color w:val="auto"/>
              </w:rPr>
              <w:t>1.项目经理注册资格（满分</w:t>
            </w:r>
            <w:r>
              <w:rPr>
                <w:rFonts w:hint="eastAsia" w:ascii="宋体" w:hAnsi="宋体" w:cs="宋体"/>
                <w:b/>
                <w:color w:val="auto"/>
                <w:lang w:val="en-US" w:eastAsia="zh-CN"/>
              </w:rPr>
              <w:t>4</w:t>
            </w:r>
            <w:r>
              <w:rPr>
                <w:rFonts w:hint="eastAsia" w:ascii="宋体" w:hAnsi="宋体" w:cs="宋体"/>
                <w:b/>
                <w:color w:val="auto"/>
              </w:rPr>
              <w:t>分）</w:t>
            </w:r>
          </w:p>
          <w:p>
            <w:pPr>
              <w:snapToGrid w:val="0"/>
              <w:spacing w:line="400" w:lineRule="exact"/>
              <w:rPr>
                <w:rFonts w:hint="eastAsia" w:ascii="宋体" w:hAnsi="宋体" w:cs="宋体"/>
                <w:color w:val="auto"/>
              </w:rPr>
            </w:pPr>
            <w:r>
              <w:rPr>
                <w:rFonts w:hint="eastAsia" w:ascii="宋体" w:hAnsi="宋体" w:cs="宋体"/>
                <w:color w:val="auto"/>
              </w:rPr>
              <w:t>①</w:t>
            </w:r>
            <w:r>
              <w:rPr>
                <w:rFonts w:hint="eastAsia" w:ascii="宋体" w:hAnsi="宋体" w:cs="宋体"/>
                <w:color w:val="auto"/>
                <w:lang w:eastAsia="zh-CN"/>
              </w:rPr>
              <w:t>市政</w:t>
            </w:r>
            <w:r>
              <w:rPr>
                <w:rFonts w:hint="eastAsia" w:ascii="宋体" w:hAnsi="宋体" w:cs="宋体"/>
                <w:color w:val="auto"/>
              </w:rPr>
              <w:t>工程专业二级及其以上：得</w:t>
            </w:r>
            <w:r>
              <w:rPr>
                <w:rFonts w:hint="eastAsia" w:ascii="宋体" w:hAnsi="宋体" w:cs="宋体"/>
                <w:color w:val="auto"/>
                <w:lang w:val="en-US" w:eastAsia="zh-CN"/>
              </w:rPr>
              <w:t>2</w:t>
            </w:r>
            <w:r>
              <w:rPr>
                <w:rFonts w:hint="eastAsia" w:ascii="宋体" w:hAnsi="宋体" w:cs="宋体"/>
                <w:color w:val="auto"/>
              </w:rPr>
              <w:t>分</w:t>
            </w:r>
          </w:p>
          <w:p>
            <w:pPr>
              <w:snapToGrid w:val="0"/>
              <w:spacing w:line="400" w:lineRule="exact"/>
              <w:rPr>
                <w:rFonts w:hint="eastAsia" w:ascii="宋体" w:hAnsi="宋体" w:cs="宋体"/>
                <w:color w:val="auto"/>
              </w:rPr>
            </w:pPr>
            <w:r>
              <w:rPr>
                <w:rFonts w:hint="eastAsia" w:ascii="宋体" w:hAnsi="宋体" w:cs="宋体"/>
                <w:color w:val="auto"/>
              </w:rPr>
              <w:t>②拟派任注册建造师</w:t>
            </w:r>
            <w:r>
              <w:rPr>
                <w:rFonts w:hint="eastAsia" w:ascii="宋体" w:hAnsi="宋体"/>
                <w:color w:val="auto"/>
                <w:szCs w:val="21"/>
              </w:rPr>
              <w:t>具有中级职称</w:t>
            </w:r>
            <w:r>
              <w:rPr>
                <w:rFonts w:hint="eastAsia" w:ascii="宋体" w:hAnsi="宋体" w:cs="宋体"/>
                <w:color w:val="auto"/>
              </w:rPr>
              <w:t>：得2分</w:t>
            </w:r>
          </w:p>
          <w:p>
            <w:pPr>
              <w:snapToGrid w:val="0"/>
              <w:spacing w:line="400" w:lineRule="exact"/>
              <w:rPr>
                <w:rFonts w:hint="eastAsia" w:ascii="宋体" w:hAnsi="宋体" w:cs="宋体"/>
                <w:color w:val="auto"/>
              </w:rPr>
            </w:pPr>
            <w:r>
              <w:rPr>
                <w:rFonts w:hint="eastAsia" w:ascii="宋体" w:hAnsi="宋体" w:cs="宋体"/>
                <w:color w:val="auto"/>
              </w:rPr>
              <w:t>（以上必须为磋商供应商本单位职工，提交相关人员近三个月缴纳社保证明及提供相关证书复印件）</w:t>
            </w:r>
          </w:p>
        </w:tc>
      </w:tr>
      <w:tr>
        <w:tblPrEx>
          <w:tblCellMar>
            <w:top w:w="0" w:type="dxa"/>
            <w:left w:w="0" w:type="dxa"/>
            <w:bottom w:w="0" w:type="dxa"/>
            <w:right w:w="0" w:type="dxa"/>
          </w:tblCellMar>
        </w:tblPrEx>
        <w:trPr>
          <w:trHeight w:val="1027"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00" w:lineRule="auto"/>
              <w:ind w:firstLine="420"/>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00" w:lineRule="auto"/>
              <w:ind w:firstLine="420"/>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20" w:lineRule="exact"/>
              <w:jc w:val="center"/>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b w:val="0"/>
                <w:bCs/>
                <w:color w:val="auto"/>
                <w:szCs w:val="22"/>
              </w:rPr>
              <w:t>拟投入</w:t>
            </w:r>
            <w:r>
              <w:rPr>
                <w:rFonts w:hint="eastAsia" w:ascii="宋体" w:hAnsi="宋体" w:cs="宋体"/>
                <w:b w:val="0"/>
                <w:bCs/>
                <w:color w:val="auto"/>
                <w:szCs w:val="22"/>
                <w:lang w:eastAsia="zh-CN"/>
              </w:rPr>
              <w:t>技术负责人</w:t>
            </w:r>
            <w:r>
              <w:rPr>
                <w:rFonts w:hint="eastAsia" w:ascii="宋体" w:hAnsi="宋体" w:cs="宋体"/>
                <w:b w:val="0"/>
                <w:bCs/>
                <w:color w:val="auto"/>
                <w:szCs w:val="22"/>
                <w:lang w:val="en-US" w:eastAsia="zh-CN"/>
              </w:rPr>
              <w:t>2</w:t>
            </w:r>
            <w:r>
              <w:rPr>
                <w:rFonts w:hint="eastAsia" w:ascii="宋体" w:hAnsi="宋体" w:cs="宋体"/>
                <w:b w:val="0"/>
                <w:bCs/>
                <w:color w:val="auto"/>
                <w:szCs w:val="22"/>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2"/>
              </w:numPr>
              <w:snapToGrid w:val="0"/>
              <w:spacing w:line="400" w:lineRule="exact"/>
              <w:rPr>
                <w:rFonts w:hint="eastAsia" w:ascii="宋体" w:hAnsi="宋体" w:cs="宋体"/>
                <w:color w:val="auto"/>
              </w:rPr>
            </w:pPr>
            <w:r>
              <w:rPr>
                <w:rFonts w:ascii="宋体" w:hAnsi="宋体" w:cs="宋体"/>
                <w:color w:val="auto"/>
              </w:rPr>
              <w:t>拟派驻本项目的技术负责人</w:t>
            </w:r>
            <w:r>
              <w:rPr>
                <w:rFonts w:hint="eastAsia" w:ascii="宋体" w:hAnsi="宋体" w:cs="宋体"/>
                <w:color w:val="auto"/>
              </w:rPr>
              <w:t>具有中级职称的得2分。</w:t>
            </w:r>
          </w:p>
          <w:p>
            <w:pPr>
              <w:numPr>
                <w:ilvl w:val="0"/>
                <w:numId w:val="0"/>
              </w:numPr>
              <w:snapToGrid w:val="0"/>
              <w:spacing w:line="400" w:lineRule="exact"/>
              <w:rPr>
                <w:rFonts w:hint="eastAsia" w:ascii="宋体" w:hAnsi="宋体" w:cs="宋体"/>
                <w:color w:val="auto"/>
              </w:rPr>
            </w:pPr>
            <w:r>
              <w:rPr>
                <w:rFonts w:hint="eastAsia" w:ascii="宋体" w:hAnsi="宋体" w:cs="宋体"/>
                <w:color w:val="auto"/>
              </w:rPr>
              <w:t>（以上必须为磋商供应商本单位职工，提交相关人员近三个月缴纳社保证明及提供相关证书复印件）</w:t>
            </w:r>
          </w:p>
        </w:tc>
      </w:tr>
      <w:tr>
        <w:tblPrEx>
          <w:tblCellMar>
            <w:top w:w="0" w:type="dxa"/>
            <w:left w:w="0" w:type="dxa"/>
            <w:bottom w:w="0" w:type="dxa"/>
            <w:right w:w="0" w:type="dxa"/>
          </w:tblCellMar>
        </w:tblPrEx>
        <w:trPr>
          <w:trHeight w:val="583"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00" w:lineRule="auto"/>
              <w:ind w:firstLine="420"/>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00" w:lineRule="auto"/>
              <w:ind w:firstLine="420"/>
              <w:rPr>
                <w:rFonts w:hint="eastAsia" w:ascii="宋体" w:hAnsi="宋体" w:cs="宋体"/>
                <w:color w:val="auto"/>
              </w:rPr>
            </w:pPr>
          </w:p>
        </w:tc>
        <w:tc>
          <w:tcPr>
            <w:tcW w:w="825"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20" w:lineRule="exact"/>
              <w:jc w:val="center"/>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220" w:lineRule="exact"/>
              <w:rPr>
                <w:rFonts w:ascii="宋体" w:hAnsi="宋体"/>
                <w:color w:val="auto"/>
                <w:szCs w:val="21"/>
              </w:rPr>
            </w:pPr>
            <w:r>
              <w:rPr>
                <w:rFonts w:ascii="宋体" w:hAnsi="宋体"/>
                <w:color w:val="auto"/>
                <w:szCs w:val="21"/>
              </w:rPr>
              <w:t>其他主要人员</w:t>
            </w: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ascii="宋体" w:hAnsi="宋体" w:cs="宋体"/>
                <w:color w:val="auto"/>
              </w:rPr>
            </w:pPr>
            <w:r>
              <w:rPr>
                <w:rFonts w:hint="eastAsia" w:ascii="宋体" w:hAnsi="宋体" w:cs="宋体"/>
                <w:color w:val="auto"/>
              </w:rPr>
              <w:t>1、</w:t>
            </w:r>
            <w:r>
              <w:rPr>
                <w:rFonts w:ascii="宋体" w:hAnsi="宋体" w:cs="宋体"/>
                <w:color w:val="auto"/>
              </w:rPr>
              <w:t>人员齐备、专业配套，安全员、施工员、质</w:t>
            </w:r>
            <w:r>
              <w:rPr>
                <w:rFonts w:hint="eastAsia" w:ascii="宋体" w:hAnsi="宋体" w:cs="宋体"/>
                <w:color w:val="auto"/>
              </w:rPr>
              <w:t>量</w:t>
            </w:r>
            <w:r>
              <w:rPr>
                <w:rFonts w:ascii="宋体" w:hAnsi="宋体" w:cs="宋体"/>
                <w:color w:val="auto"/>
              </w:rPr>
              <w:t>员、</w:t>
            </w:r>
            <w:r>
              <w:rPr>
                <w:rFonts w:hint="eastAsia" w:ascii="宋体" w:hAnsi="宋体" w:cs="宋体"/>
                <w:color w:val="auto"/>
              </w:rPr>
              <w:t>资料员</w:t>
            </w:r>
            <w:r>
              <w:rPr>
                <w:rFonts w:ascii="宋体" w:hAnsi="宋体" w:cs="宋体"/>
                <w:color w:val="auto"/>
              </w:rPr>
              <w:t>具备相关岗位证书</w:t>
            </w:r>
            <w:r>
              <w:rPr>
                <w:rFonts w:hint="eastAsia" w:ascii="宋体" w:hAnsi="宋体" w:cs="宋体"/>
                <w:color w:val="auto"/>
              </w:rPr>
              <w:t>且</w:t>
            </w:r>
            <w:r>
              <w:rPr>
                <w:rFonts w:ascii="宋体" w:hAnsi="宋体" w:cs="宋体"/>
                <w:color w:val="auto"/>
              </w:rPr>
              <w:t>符合国家及广西壮族自治区的规定</w:t>
            </w:r>
            <w:r>
              <w:rPr>
                <w:rFonts w:hint="eastAsia" w:ascii="宋体" w:hAnsi="宋体" w:cs="宋体"/>
                <w:color w:val="auto"/>
              </w:rPr>
              <w:t>的得</w:t>
            </w:r>
            <w:r>
              <w:rPr>
                <w:rFonts w:hint="eastAsia" w:ascii="宋体" w:hAnsi="宋体" w:cs="宋体"/>
                <w:color w:val="auto"/>
                <w:lang w:val="en-US" w:eastAsia="zh-CN"/>
              </w:rPr>
              <w:t>2</w:t>
            </w:r>
            <w:r>
              <w:rPr>
                <w:rFonts w:hint="eastAsia" w:ascii="宋体" w:hAnsi="宋体" w:cs="宋体"/>
                <w:color w:val="auto"/>
              </w:rPr>
              <w:t>分。</w:t>
            </w:r>
          </w:p>
          <w:p>
            <w:pPr>
              <w:snapToGrid w:val="0"/>
              <w:spacing w:line="400" w:lineRule="exact"/>
              <w:rPr>
                <w:rFonts w:hint="eastAsia" w:ascii="宋体" w:hAnsi="宋体" w:cs="宋体"/>
                <w:color w:val="auto"/>
              </w:rPr>
            </w:pPr>
          </w:p>
        </w:tc>
      </w:tr>
      <w:tr>
        <w:tblPrEx>
          <w:tblCellMar>
            <w:top w:w="0" w:type="dxa"/>
            <w:left w:w="0" w:type="dxa"/>
            <w:bottom w:w="0" w:type="dxa"/>
            <w:right w:w="0" w:type="dxa"/>
          </w:tblCellMar>
        </w:tblPrEx>
        <w:trPr>
          <w:trHeight w:val="1482"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rPr>
                <w:rFonts w:hint="eastAsia" w:ascii="宋体" w:hAnsi="宋体" w:cs="宋体"/>
                <w:color w:val="auto"/>
              </w:rPr>
            </w:pPr>
          </w:p>
        </w:tc>
        <w:tc>
          <w:tcPr>
            <w:tcW w:w="82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施工组织设计（7</w:t>
            </w:r>
            <w:r>
              <w:rPr>
                <w:rFonts w:hint="eastAsia" w:ascii="宋体" w:hAnsi="宋体" w:cs="宋体"/>
                <w:color w:val="auto"/>
                <w:lang w:val="en-US" w:eastAsia="zh-CN"/>
              </w:rPr>
              <w:t>2</w:t>
            </w:r>
            <w:r>
              <w:rPr>
                <w:rFonts w:hint="eastAsia" w:ascii="宋体" w:hAnsi="宋体" w:cs="宋体"/>
                <w:color w:val="auto"/>
              </w:rPr>
              <w:t>分）</w:t>
            </w:r>
          </w:p>
          <w:p>
            <w:pPr>
              <w:snapToGrid w:val="0"/>
              <w:jc w:val="center"/>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主要施工方法（</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各主要分部施工方法符合项目实际，须有详尽的施工技术方案，工艺先进、方法科学合理、可行，能指导具体施工并确保安全。[优（5.1-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607"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拟投入的主要物资计划（</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投入的施工材料有详细的组织计划且计划周密，数量、选型配置、进场时间安排合理，满足施工需要。[优（5.1-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1266"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拟投入的主要施工机械、设备计划（</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投入的施工机械、设备、机具有详细的组织计划且计划周密，设备数量、选型配置、进场时间安排合理，满足施工需要。[优（5.1-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607"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劳动力安排计划（</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各主要施工工序应有详细周密的劳动力安排计划，有各工种劳动力安排计划，劳动力投入合理，满足施工需要。[优（5.1-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607"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确保工程质量的技术组织措施</w:t>
            </w:r>
          </w:p>
          <w:p>
            <w:pPr>
              <w:snapToGrid w:val="0"/>
              <w:spacing w:line="336" w:lineRule="auto"/>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应有专门的质量技术管理班子和制度，且人员配备合理，制度健全。主要工序应有质量技术保证措施和手段，自控体系完整，能有效保证技术质量，达到承诺的质量标准。[优（5.1-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607"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确保安全生产的技术组织措施</w:t>
            </w:r>
          </w:p>
          <w:p>
            <w:pPr>
              <w:snapToGrid w:val="0"/>
              <w:spacing w:line="336" w:lineRule="auto"/>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应有专门的安全管理人员和制度，且人员配备合理，制度健全，各道工序安全技术措施针对性强，符合实际且满足有关安全技术标准要求。现场防火、应急救援、社会治安安全措施得力。[优（5.1-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607"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确保工期的技术组织措施（</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607"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确保文明施工的技术组织措施（</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1582"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914"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82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p>
        </w:tc>
        <w:tc>
          <w:tcPr>
            <w:tcW w:w="145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napToGrid w:val="0"/>
              <w:spacing w:line="336" w:lineRule="auto"/>
              <w:rPr>
                <w:rFonts w:hint="eastAsia" w:ascii="宋体" w:hAnsi="宋体" w:cs="宋体"/>
                <w:color w:val="auto"/>
              </w:rPr>
            </w:pPr>
            <w:r>
              <w:rPr>
                <w:rFonts w:hint="eastAsia" w:ascii="宋体" w:hAnsi="宋体" w:cs="宋体"/>
                <w:color w:val="auto"/>
              </w:rPr>
              <w:t>工程施工的重点和难点及保证措施</w:t>
            </w:r>
          </w:p>
          <w:p>
            <w:pPr>
              <w:snapToGrid w:val="0"/>
              <w:spacing w:line="336" w:lineRule="auto"/>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8</w:t>
            </w:r>
            <w:r>
              <w:rPr>
                <w:rFonts w:hint="eastAsia" w:ascii="宋体" w:hAnsi="宋体" w:cs="宋体"/>
                <w:color w:val="auto"/>
              </w:rPr>
              <w:t>分）</w:t>
            </w:r>
          </w:p>
        </w:tc>
        <w:tc>
          <w:tcPr>
            <w:tcW w:w="5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针对本工程的特点，阐述本工程的重点和难点，解决重点和难点问题的方法是否合理。[优（5.1-</w:t>
            </w:r>
            <w:r>
              <w:rPr>
                <w:rFonts w:hint="eastAsia" w:ascii="宋体" w:hAnsi="宋体" w:cs="宋体"/>
                <w:color w:val="auto"/>
                <w:lang w:val="en-US" w:eastAsia="zh-CN"/>
              </w:rPr>
              <w:t>8</w:t>
            </w:r>
            <w:r>
              <w:rPr>
                <w:rFonts w:hint="eastAsia" w:ascii="宋体" w:hAnsi="宋体" w:cs="宋体"/>
                <w:color w:val="auto"/>
              </w:rPr>
              <w:t>分）、良（3.1-5分）、差（0-3分）]</w:t>
            </w:r>
          </w:p>
        </w:tc>
      </w:tr>
      <w:tr>
        <w:tblPrEx>
          <w:tblCellMar>
            <w:top w:w="0" w:type="dxa"/>
            <w:left w:w="0" w:type="dxa"/>
            <w:bottom w:w="0" w:type="dxa"/>
            <w:right w:w="0" w:type="dxa"/>
          </w:tblCellMar>
        </w:tblPrEx>
        <w:trPr>
          <w:trHeight w:val="434" w:hRule="atLeast"/>
          <w:jc w:val="center"/>
        </w:trPr>
        <w:tc>
          <w:tcPr>
            <w:tcW w:w="779"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2.2.2</w:t>
            </w:r>
          </w:p>
          <w:p>
            <w:pPr>
              <w:snapToGrid w:val="0"/>
              <w:jc w:val="center"/>
              <w:rPr>
                <w:rFonts w:hint="eastAsia" w:ascii="宋体" w:hAnsi="宋体" w:cs="宋体"/>
                <w:color w:val="auto"/>
              </w:rPr>
            </w:pPr>
            <w:r>
              <w:rPr>
                <w:rFonts w:hint="eastAsia" w:ascii="宋体" w:hAnsi="宋体" w:cs="宋体"/>
                <w:color w:val="auto"/>
              </w:rPr>
              <w:t>（2）</w:t>
            </w:r>
          </w:p>
        </w:tc>
        <w:tc>
          <w:tcPr>
            <w:tcW w:w="1914" w:type="dxa"/>
            <w:gridSpan w:val="2"/>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宋体" w:hAnsi="宋体" w:cs="宋体"/>
                <w:b/>
                <w:bCs/>
                <w:color w:val="auto"/>
              </w:rPr>
            </w:pPr>
            <w:r>
              <w:rPr>
                <w:rFonts w:hint="eastAsia" w:ascii="宋体" w:hAnsi="宋体" w:cs="宋体"/>
                <w:b/>
                <w:bCs/>
                <w:color w:val="auto"/>
              </w:rPr>
              <w:t>评标基准价</w:t>
            </w:r>
          </w:p>
        </w:tc>
        <w:tc>
          <w:tcPr>
            <w:tcW w:w="7718" w:type="dxa"/>
            <w:gridSpan w:val="3"/>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hint="eastAsia" w:ascii="宋体" w:hAnsi="宋体" w:cs="宋体"/>
                <w:b/>
                <w:bCs/>
                <w:color w:val="auto"/>
              </w:rPr>
            </w:pPr>
            <w:r>
              <w:rPr>
                <w:rFonts w:hint="eastAsia" w:ascii="宋体" w:hAnsi="宋体" w:cs="宋体"/>
                <w:b/>
                <w:bCs/>
                <w:color w:val="auto"/>
              </w:rPr>
              <w:t>满足磋商文件要求且最后评标报价最低的价格为磋商基准价</w:t>
            </w:r>
          </w:p>
        </w:tc>
      </w:tr>
      <w:tr>
        <w:tblPrEx>
          <w:tblCellMar>
            <w:top w:w="0" w:type="dxa"/>
            <w:left w:w="0" w:type="dxa"/>
            <w:bottom w:w="0" w:type="dxa"/>
            <w:right w:w="0" w:type="dxa"/>
          </w:tblCellMar>
        </w:tblPrEx>
        <w:trPr>
          <w:trHeight w:val="362"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2.2.2（3）</w:t>
            </w:r>
          </w:p>
        </w:tc>
        <w:tc>
          <w:tcPr>
            <w:tcW w:w="1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商务标</w:t>
            </w:r>
          </w:p>
          <w:p>
            <w:pPr>
              <w:snapToGrid w:val="0"/>
              <w:jc w:val="center"/>
              <w:rPr>
                <w:rFonts w:hint="eastAsia" w:ascii="宋体" w:hAnsi="宋体" w:cs="宋体"/>
                <w:color w:val="auto"/>
              </w:rPr>
            </w:pPr>
            <w:r>
              <w:rPr>
                <w:rFonts w:hint="eastAsia" w:ascii="宋体" w:hAnsi="宋体" w:cs="宋体"/>
                <w:color w:val="auto"/>
              </w:rPr>
              <w:t>评分标准</w:t>
            </w:r>
          </w:p>
          <w:p>
            <w:pPr>
              <w:snapToGrid w:val="0"/>
              <w:rPr>
                <w:rFonts w:hint="eastAsia" w:ascii="宋体" w:hAnsi="宋体" w:cs="宋体"/>
                <w:color w:val="auto"/>
              </w:rPr>
            </w:pPr>
            <w:r>
              <w:rPr>
                <w:rFonts w:hint="eastAsia" w:ascii="宋体" w:hAnsi="宋体" w:cs="宋体"/>
                <w:color w:val="auto"/>
              </w:rPr>
              <w:t>（满分10分）</w:t>
            </w:r>
          </w:p>
        </w:tc>
        <w:tc>
          <w:tcPr>
            <w:tcW w:w="771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hint="eastAsia" w:ascii="宋体" w:hAnsi="宋体" w:cs="宋体"/>
                <w:b/>
                <w:color w:val="auto"/>
              </w:rPr>
            </w:pPr>
            <w:r>
              <w:rPr>
                <w:rFonts w:hint="eastAsia" w:ascii="宋体" w:hAnsi="宋体" w:cs="宋体"/>
                <w:b/>
                <w:color w:val="auto"/>
              </w:rPr>
              <w:t>商务标评分标准：</w:t>
            </w:r>
          </w:p>
          <w:p>
            <w:pPr>
              <w:snapToGrid w:val="0"/>
              <w:rPr>
                <w:rFonts w:ascii="宋体" w:hAnsi="宋体" w:cs="宋体"/>
                <w:color w:val="auto"/>
              </w:rPr>
            </w:pPr>
            <w:r>
              <w:rPr>
                <w:rFonts w:hint="eastAsia" w:ascii="宋体" w:hAnsi="宋体" w:cs="宋体"/>
                <w:b/>
                <w:color w:val="auto"/>
              </w:rPr>
              <w:t>磋商报价得分=（磋商基准价/最后磋商报价）×10</w:t>
            </w:r>
          </w:p>
        </w:tc>
      </w:tr>
      <w:tr>
        <w:tblPrEx>
          <w:tblCellMar>
            <w:top w:w="0" w:type="dxa"/>
            <w:left w:w="0" w:type="dxa"/>
            <w:bottom w:w="0" w:type="dxa"/>
            <w:right w:w="0" w:type="dxa"/>
          </w:tblCellMar>
        </w:tblPrEx>
        <w:trPr>
          <w:trHeight w:val="1550" w:hRule="atLeast"/>
          <w:jc w:val="center"/>
        </w:trPr>
        <w:tc>
          <w:tcPr>
            <w:tcW w:w="77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rPr>
            </w:pPr>
            <w:r>
              <w:rPr>
                <w:rFonts w:hint="eastAsia" w:ascii="宋体" w:hAnsi="宋体" w:cs="宋体"/>
                <w:color w:val="auto"/>
              </w:rPr>
              <w:t>2.2.2（4）</w:t>
            </w:r>
          </w:p>
          <w:p>
            <w:pPr>
              <w:snapToGrid w:val="0"/>
              <w:jc w:val="center"/>
              <w:rPr>
                <w:rFonts w:hint="eastAsia" w:ascii="宋体" w:hAnsi="宋体" w:cs="宋体"/>
                <w:color w:val="auto"/>
                <w:szCs w:val="21"/>
              </w:rPr>
            </w:pPr>
          </w:p>
          <w:p>
            <w:pPr>
              <w:snapToGrid w:val="0"/>
              <w:jc w:val="center"/>
              <w:rPr>
                <w:rFonts w:hint="eastAsia" w:ascii="宋体" w:hAnsi="宋体" w:cs="宋体"/>
                <w:color w:val="auto"/>
              </w:rPr>
            </w:pPr>
          </w:p>
        </w:tc>
        <w:tc>
          <w:tcPr>
            <w:tcW w:w="1914" w:type="dxa"/>
            <w:gridSpan w:val="2"/>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宋体" w:hAnsi="宋体" w:cs="宋体"/>
                <w:color w:val="auto"/>
                <w:szCs w:val="21"/>
              </w:rPr>
            </w:pPr>
            <w:r>
              <w:rPr>
                <w:rFonts w:hint="eastAsia" w:ascii="宋体" w:hAnsi="宋体" w:cs="宋体"/>
                <w:color w:val="auto"/>
              </w:rPr>
              <w:t>企业信誉业绩</w:t>
            </w:r>
            <w:r>
              <w:rPr>
                <w:rFonts w:hint="eastAsia" w:ascii="宋体" w:hAnsi="宋体" w:cs="宋体"/>
                <w:color w:val="auto"/>
                <w:szCs w:val="21"/>
                <w:lang w:bidi="ar"/>
              </w:rPr>
              <w:t>分评分标准（满分10分）</w:t>
            </w:r>
          </w:p>
        </w:tc>
        <w:tc>
          <w:tcPr>
            <w:tcW w:w="7718" w:type="dxa"/>
            <w:gridSpan w:val="3"/>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ascii="宋体" w:hAnsi="宋体" w:cs="宋体"/>
                <w:color w:val="auto"/>
              </w:rPr>
            </w:pPr>
            <w:r>
              <w:rPr>
                <w:rFonts w:hint="eastAsia" w:ascii="宋体" w:hAnsi="宋体" w:cs="宋体"/>
                <w:color w:val="auto"/>
              </w:rPr>
              <w:t>201</w:t>
            </w:r>
            <w:r>
              <w:rPr>
                <w:rFonts w:hint="eastAsia" w:ascii="宋体" w:hAnsi="宋体" w:cs="宋体"/>
                <w:color w:val="auto"/>
                <w:lang w:val="en-US" w:eastAsia="zh-CN"/>
              </w:rPr>
              <w:t>8</w:t>
            </w:r>
            <w:r>
              <w:rPr>
                <w:rFonts w:hint="eastAsia" w:ascii="宋体" w:hAnsi="宋体" w:cs="宋体"/>
                <w:color w:val="auto"/>
              </w:rPr>
              <w:t>年以来，供应商完成类似项目业绩，每有一项得</w:t>
            </w:r>
            <w:r>
              <w:rPr>
                <w:rFonts w:hint="eastAsia" w:ascii="宋体" w:hAnsi="宋体" w:cs="宋体"/>
                <w:color w:val="auto"/>
                <w:lang w:val="en-US" w:eastAsia="zh-CN"/>
              </w:rPr>
              <w:t>5</w:t>
            </w:r>
            <w:r>
              <w:rPr>
                <w:rFonts w:hint="eastAsia" w:ascii="宋体" w:hAnsi="宋体" w:cs="宋体"/>
                <w:color w:val="auto"/>
              </w:rPr>
              <w:t>分。本项满分10分。（以签订时间为准，提供中标通知书复印件或合同书复印件）</w:t>
            </w:r>
          </w:p>
        </w:tc>
      </w:tr>
      <w:tr>
        <w:tblPrEx>
          <w:tblCellMar>
            <w:top w:w="0" w:type="dxa"/>
            <w:left w:w="0" w:type="dxa"/>
            <w:bottom w:w="0" w:type="dxa"/>
            <w:right w:w="0" w:type="dxa"/>
          </w:tblCellMar>
        </w:tblPrEx>
        <w:trPr>
          <w:trHeight w:val="706" w:hRule="atLeast"/>
          <w:jc w:val="center"/>
        </w:trPr>
        <w:tc>
          <w:tcPr>
            <w:tcW w:w="269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宋体" w:hAnsi="宋体" w:cs="宋体"/>
                <w:b/>
                <w:color w:val="auto"/>
              </w:rPr>
            </w:pPr>
            <w:r>
              <w:rPr>
                <w:rFonts w:hint="eastAsia" w:ascii="宋体" w:hAnsi="宋体" w:cs="宋体"/>
                <w:b/>
                <w:color w:val="auto"/>
              </w:rPr>
              <w:t>磋商人汇总得分</w:t>
            </w:r>
          </w:p>
        </w:tc>
        <w:tc>
          <w:tcPr>
            <w:tcW w:w="771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宋体" w:hAnsi="宋体" w:cs="宋体"/>
                <w:b/>
                <w:color w:val="auto"/>
              </w:rPr>
            </w:pPr>
            <w:r>
              <w:rPr>
                <w:rFonts w:hint="eastAsia" w:ascii="宋体" w:hAnsi="宋体" w:cs="宋体"/>
                <w:b/>
                <w:color w:val="auto"/>
              </w:rPr>
              <w:t>磋商人汇总得分=该磋商人的技术标得分+商务标得分+企业信誉业绩分</w:t>
            </w:r>
          </w:p>
        </w:tc>
      </w:tr>
    </w:tbl>
    <w:p>
      <w:pPr>
        <w:spacing w:line="440" w:lineRule="exact"/>
        <w:ind w:firstLine="422" w:firstLineChars="200"/>
        <w:rPr>
          <w:rFonts w:hint="eastAsia" w:ascii="宋体" w:hAnsi="宋体" w:cs="Arial"/>
          <w:b/>
          <w:color w:val="auto"/>
        </w:rPr>
      </w:pPr>
      <w:r>
        <w:rPr>
          <w:rFonts w:hint="eastAsia" w:ascii="宋体" w:hAnsi="宋体" w:cs="Arial"/>
          <w:b/>
          <w:color w:val="auto"/>
        </w:rPr>
        <w:t>三、成交候选人推荐原则</w:t>
      </w:r>
    </w:p>
    <w:bookmarkEnd w:id="89"/>
    <w:bookmarkEnd w:id="90"/>
    <w:bookmarkEnd w:id="91"/>
    <w:p>
      <w:pPr>
        <w:snapToGrid w:val="0"/>
        <w:spacing w:line="400" w:lineRule="exact"/>
        <w:ind w:firstLine="420"/>
        <w:rPr>
          <w:rFonts w:hint="eastAsia" w:ascii="宋体" w:hAnsi="宋体" w:cs="宋体"/>
          <w:color w:val="auto"/>
        </w:rPr>
      </w:pPr>
      <w:bookmarkStart w:id="95" w:name="_Toc433883631"/>
      <w:r>
        <w:rPr>
          <w:rFonts w:hint="eastAsia" w:ascii="宋体" w:hAnsi="宋体" w:cs="宋体"/>
          <w:color w:val="auto"/>
        </w:rPr>
        <w:t>磋商小组应当从通过资格性审查和符合性审查、质量和服务均能满足招标文件（竞争性磋商文件）全部实质性响应要求的磋商单位中。</w:t>
      </w:r>
    </w:p>
    <w:p>
      <w:pPr>
        <w:numPr>
          <w:ilvl w:val="0"/>
          <w:numId w:val="3"/>
        </w:numPr>
        <w:snapToGrid w:val="0"/>
        <w:spacing w:line="400" w:lineRule="exact"/>
        <w:ind w:firstLine="420"/>
        <w:rPr>
          <w:rFonts w:hint="eastAsia" w:ascii="宋体" w:hAnsi="宋体" w:cs="宋体"/>
          <w:color w:val="FF0000"/>
        </w:rPr>
      </w:pPr>
      <w:r>
        <w:rPr>
          <w:rFonts w:hint="eastAsia" w:ascii="宋体" w:hAnsi="宋体" w:cs="宋体"/>
          <w:color w:val="auto"/>
        </w:rPr>
        <w:t>磋商小组根据评审结果按评审后得分由高到低顺序排列推荐3名成交候选人。</w:t>
      </w:r>
    </w:p>
    <w:p>
      <w:pPr>
        <w:numPr>
          <w:ilvl w:val="0"/>
          <w:numId w:val="0"/>
        </w:numPr>
        <w:snapToGrid w:val="0"/>
        <w:spacing w:line="400" w:lineRule="exact"/>
        <w:ind w:firstLine="420" w:firstLineChars="200"/>
        <w:rPr>
          <w:rFonts w:hint="eastAsia" w:ascii="宋体" w:hAnsi="宋体" w:cs="宋体"/>
          <w:color w:val="auto"/>
        </w:rPr>
      </w:pPr>
      <w:r>
        <w:rPr>
          <w:rFonts w:hint="eastAsia" w:ascii="宋体" w:hAnsi="宋体" w:cs="宋体"/>
          <w:color w:val="auto"/>
        </w:rPr>
        <w:t>（2）采购人应当确定磋商小组推荐排名第一的成交候选人为成交人。排名第一的成交候选人放弃成交、因不可抗力提出不能履行合同，或者招标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pPr>
        <w:keepNext/>
        <w:snapToGrid w:val="0"/>
        <w:spacing w:line="560" w:lineRule="exact"/>
        <w:jc w:val="center"/>
        <w:rPr>
          <w:rFonts w:hint="eastAsia" w:ascii="宋体" w:hAnsi="宋体" w:cs="宋体"/>
          <w:b/>
          <w:color w:val="auto"/>
          <w:sz w:val="44"/>
        </w:rPr>
      </w:pPr>
    </w:p>
    <w:p>
      <w:pPr>
        <w:pStyle w:val="4"/>
        <w:spacing w:before="0" w:after="0" w:line="600" w:lineRule="exact"/>
        <w:jc w:val="center"/>
        <w:rPr>
          <w:rFonts w:hint="eastAsia"/>
          <w:sz w:val="48"/>
          <w:szCs w:val="48"/>
        </w:rPr>
      </w:pPr>
      <w:r>
        <w:rPr>
          <w:rFonts w:hint="eastAsia"/>
          <w:bCs w:val="0"/>
          <w:kern w:val="2"/>
          <w:sz w:val="30"/>
          <w:szCs w:val="30"/>
        </w:rPr>
        <w:br w:type="page"/>
      </w:r>
      <w:bookmarkStart w:id="96" w:name="_Toc45007874"/>
      <w:r>
        <w:rPr>
          <w:rFonts w:hint="eastAsia"/>
          <w:sz w:val="48"/>
          <w:szCs w:val="48"/>
        </w:rPr>
        <w:t>第三章  合同条款及格式</w:t>
      </w:r>
      <w:bookmarkEnd w:id="95"/>
      <w:bookmarkEnd w:id="96"/>
      <w:r>
        <w:rPr>
          <w:rFonts w:hint="eastAsia"/>
          <w:sz w:val="48"/>
          <w:szCs w:val="48"/>
        </w:rPr>
        <w:t xml:space="preserve"> </w:t>
      </w:r>
    </w:p>
    <w:p>
      <w:pPr>
        <w:pStyle w:val="4"/>
        <w:spacing w:before="200" w:after="200" w:line="400" w:lineRule="exact"/>
        <w:jc w:val="center"/>
      </w:pPr>
      <w:bookmarkStart w:id="97" w:name="_Toc351203480"/>
      <w:bookmarkStart w:id="98" w:name="_Toc433883632"/>
      <w:bookmarkStart w:id="99" w:name="_Toc45007875"/>
      <w:bookmarkStart w:id="100" w:name="_Toc296503025"/>
      <w:bookmarkStart w:id="101" w:name="_Toc296890982"/>
      <w:bookmarkStart w:id="102" w:name="_Toc198634225"/>
      <w:r>
        <w:t>第一部分 合同协议书</w:t>
      </w:r>
      <w:bookmarkEnd w:id="97"/>
      <w:bookmarkEnd w:id="98"/>
      <w:bookmarkEnd w:id="99"/>
      <w:bookmarkEnd w:id="100"/>
      <w:bookmarkEnd w:id="101"/>
    </w:p>
    <w:p>
      <w:pPr>
        <w:spacing w:line="400" w:lineRule="exact"/>
        <w:rPr>
          <w:rFonts w:ascii="宋体" w:hAnsi="宋体"/>
          <w:b/>
          <w:color w:val="auto"/>
          <w:szCs w:val="21"/>
          <w:u w:val="single"/>
        </w:rPr>
      </w:pPr>
      <w:r>
        <w:rPr>
          <w:rFonts w:ascii="宋体" w:hAnsi="宋体"/>
          <w:b/>
          <w:color w:val="auto"/>
          <w:szCs w:val="21"/>
        </w:rPr>
        <w:t>发包人（全称）：</w:t>
      </w:r>
      <w:r>
        <w:rPr>
          <w:rFonts w:hint="eastAsia" w:ascii="宋体" w:hAnsi="宋体" w:cs="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cs="宋体"/>
          <w:b/>
          <w:color w:val="auto"/>
          <w:szCs w:val="21"/>
          <w:u w:val="single"/>
        </w:rPr>
        <w:t></w:t>
      </w:r>
      <w:r>
        <w:rPr>
          <w:rFonts w:hint="eastAsia" w:ascii="宋体" w:hAnsi="宋体"/>
          <w:b/>
          <w:color w:val="auto"/>
          <w:szCs w:val="21"/>
          <w:u w:val="single"/>
        </w:rPr>
        <w:t xml:space="preserve">      </w:t>
      </w:r>
      <w:r>
        <w:rPr>
          <w:rFonts w:hint="eastAsia" w:ascii="宋体" w:hAnsi="宋体" w:cs="宋体"/>
          <w:b/>
          <w:color w:val="auto"/>
          <w:szCs w:val="21"/>
          <w:u w:val="single"/>
        </w:rPr>
        <w:t></w:t>
      </w:r>
    </w:p>
    <w:p>
      <w:pPr>
        <w:spacing w:line="400" w:lineRule="exact"/>
        <w:rPr>
          <w:rFonts w:ascii="宋体" w:hAnsi="宋体"/>
          <w:b/>
          <w:color w:val="auto"/>
          <w:szCs w:val="21"/>
          <w:u w:val="single"/>
        </w:rPr>
      </w:pPr>
      <w:r>
        <w:rPr>
          <w:rFonts w:ascii="宋体" w:hAnsi="宋体"/>
          <w:b/>
          <w:color w:val="auto"/>
          <w:szCs w:val="21"/>
        </w:rPr>
        <w:t>承包人（全称）：</w:t>
      </w:r>
      <w:r>
        <w:rPr>
          <w:rFonts w:hint="eastAsia" w:ascii="宋体" w:hAnsi="宋体" w:cs="宋体"/>
          <w:b/>
          <w:color w:val="auto"/>
          <w:szCs w:val="21"/>
          <w:u w:val="single"/>
        </w:rPr>
        <w:t></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cs="宋体"/>
          <w:b/>
          <w:color w:val="auto"/>
          <w:szCs w:val="21"/>
          <w:u w:val="single"/>
        </w:rPr>
        <w:t></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hint="eastAsia" w:ascii="宋体" w:hAnsi="宋体" w:cs="宋体"/>
          <w:b/>
          <w:color w:val="auto"/>
          <w:szCs w:val="21"/>
          <w:u w:val="single"/>
        </w:rPr>
        <w:t></w:t>
      </w:r>
    </w:p>
    <w:p>
      <w:pPr>
        <w:spacing w:line="400" w:lineRule="exact"/>
        <w:ind w:firstLine="420" w:firstLineChars="200"/>
        <w:rPr>
          <w:rFonts w:ascii="宋体" w:hAnsi="宋体"/>
          <w:color w:val="auto"/>
          <w:szCs w:val="21"/>
        </w:rPr>
      </w:pPr>
      <w:r>
        <w:rPr>
          <w:rFonts w:ascii="宋体" w:hAnsi="宋体"/>
          <w:color w:val="auto"/>
          <w:szCs w:val="21"/>
        </w:rPr>
        <w:t>根据《中华人民共和国合同法》、《中华人民共和国建筑法》及有关法律规定，遵循平等、自愿、公平和诚实信用的原则，双方就</w:t>
      </w:r>
      <w:r>
        <w:rPr>
          <w:rFonts w:ascii="宋体" w:hAnsi="宋体"/>
          <w:color w:val="auto"/>
          <w:szCs w:val="21"/>
          <w:u w:val="single"/>
        </w:rPr>
        <w:t xml:space="preserve">                       </w:t>
      </w:r>
      <w:r>
        <w:rPr>
          <w:rFonts w:ascii="宋体" w:hAnsi="宋体"/>
          <w:color w:val="auto"/>
          <w:szCs w:val="21"/>
        </w:rPr>
        <w:t>工程施工及有关事项协商一致</w:t>
      </w:r>
      <w:r>
        <w:rPr>
          <w:rFonts w:hint="eastAsia" w:ascii="宋体" w:hAnsi="宋体"/>
          <w:color w:val="auto"/>
          <w:szCs w:val="21"/>
        </w:rPr>
        <w:t>，</w:t>
      </w:r>
      <w:r>
        <w:rPr>
          <w:rFonts w:ascii="宋体" w:hAnsi="宋体"/>
          <w:color w:val="auto"/>
          <w:szCs w:val="21"/>
        </w:rPr>
        <w:t>共同达成如下协议：</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r>
        <w:rPr>
          <w:rFonts w:ascii="宋体" w:hAnsi="宋体" w:eastAsia="宋体"/>
          <w:b w:val="0"/>
          <w:color w:val="auto"/>
          <w:sz w:val="21"/>
          <w:szCs w:val="21"/>
        </w:rPr>
        <w:t xml:space="preserve"> </w:t>
      </w:r>
      <w:bookmarkStart w:id="103" w:name="_Toc351203481"/>
      <w:r>
        <w:rPr>
          <w:rFonts w:ascii="宋体" w:hAnsi="宋体" w:eastAsia="宋体"/>
          <w:b w:val="0"/>
          <w:color w:val="auto"/>
          <w:sz w:val="21"/>
          <w:szCs w:val="21"/>
        </w:rPr>
        <w:t>一、工程概况</w:t>
      </w:r>
      <w:bookmarkEnd w:id="103"/>
    </w:p>
    <w:p>
      <w:pPr>
        <w:spacing w:line="400" w:lineRule="exact"/>
        <w:ind w:firstLine="411" w:firstLineChars="196"/>
        <w:rPr>
          <w:rFonts w:ascii="宋体" w:hAnsi="宋体"/>
          <w:color w:val="auto"/>
          <w:szCs w:val="21"/>
          <w:u w:val="single"/>
        </w:rPr>
      </w:pPr>
      <w:r>
        <w:rPr>
          <w:rFonts w:ascii="宋体" w:hAnsi="宋体"/>
          <w:bCs/>
          <w:color w:val="auto"/>
          <w:szCs w:val="21"/>
        </w:rPr>
        <w:t>1.工程名称</w:t>
      </w:r>
      <w:r>
        <w:rPr>
          <w:rFonts w:ascii="宋体" w:hAnsi="宋体"/>
          <w:color w:val="auto"/>
          <w:szCs w:val="21"/>
        </w:rPr>
        <w:t>：</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11" w:firstLineChars="196"/>
        <w:rPr>
          <w:rFonts w:ascii="宋体" w:hAnsi="宋体"/>
          <w:bCs/>
          <w:color w:val="auto"/>
          <w:szCs w:val="21"/>
        </w:rPr>
      </w:pPr>
      <w:r>
        <w:rPr>
          <w:rFonts w:ascii="宋体" w:hAnsi="宋体"/>
          <w:bCs/>
          <w:color w:val="auto"/>
          <w:szCs w:val="21"/>
        </w:rPr>
        <w:t>2.工程地点：</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11" w:firstLineChars="196"/>
        <w:rPr>
          <w:rFonts w:ascii="宋体" w:hAnsi="宋体"/>
          <w:bCs/>
          <w:color w:val="auto"/>
          <w:szCs w:val="21"/>
        </w:rPr>
      </w:pPr>
      <w:r>
        <w:rPr>
          <w:rFonts w:ascii="宋体" w:hAnsi="宋体"/>
          <w:bCs/>
          <w:color w:val="auto"/>
          <w:szCs w:val="21"/>
        </w:rPr>
        <w:t>3.工程立项批准文号：</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bCs/>
          <w:color w:val="auto"/>
          <w:szCs w:val="21"/>
        </w:rPr>
        <w:t>。</w:t>
      </w:r>
    </w:p>
    <w:p>
      <w:pPr>
        <w:spacing w:line="400" w:lineRule="exact"/>
        <w:ind w:firstLine="411" w:firstLineChars="196"/>
        <w:rPr>
          <w:rFonts w:hint="eastAsia" w:ascii="宋体" w:hAnsi="宋体"/>
          <w:bCs/>
          <w:color w:val="auto"/>
          <w:szCs w:val="21"/>
        </w:rPr>
      </w:pPr>
      <w:r>
        <w:rPr>
          <w:rFonts w:ascii="宋体" w:hAnsi="宋体"/>
          <w:bCs/>
          <w:color w:val="auto"/>
          <w:szCs w:val="21"/>
        </w:rPr>
        <w:t>4.资金来源：</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bCs/>
          <w:color w:val="auto"/>
          <w:szCs w:val="21"/>
        </w:rPr>
        <w:t>。</w:t>
      </w:r>
    </w:p>
    <w:p>
      <w:pPr>
        <w:spacing w:line="400" w:lineRule="exact"/>
        <w:ind w:firstLine="411" w:firstLineChars="196"/>
        <w:rPr>
          <w:rFonts w:hint="eastAsia" w:ascii="宋体" w:hAnsi="宋体"/>
          <w:bCs/>
          <w:color w:val="auto"/>
          <w:szCs w:val="21"/>
        </w:rPr>
      </w:pPr>
      <w:r>
        <w:rPr>
          <w:rFonts w:hint="eastAsia" w:ascii="宋体" w:hAnsi="宋体"/>
          <w:bCs/>
          <w:color w:val="auto"/>
          <w:szCs w:val="21"/>
        </w:rPr>
        <w:t>5.工程内容：</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bCs/>
          <w:color w:val="auto"/>
          <w:szCs w:val="21"/>
        </w:rPr>
        <w:t>。</w:t>
      </w:r>
    </w:p>
    <w:p>
      <w:pPr>
        <w:spacing w:line="400" w:lineRule="exact"/>
        <w:ind w:firstLine="411" w:firstLineChars="196"/>
        <w:rPr>
          <w:rFonts w:ascii="宋体" w:hAnsi="宋体"/>
          <w:bCs/>
          <w:color w:val="auto"/>
          <w:szCs w:val="21"/>
        </w:rPr>
      </w:pPr>
      <w:r>
        <w:rPr>
          <w:rFonts w:hint="eastAsia" w:ascii="宋体" w:hAnsi="宋体"/>
          <w:color w:val="auto"/>
          <w:szCs w:val="21"/>
        </w:rPr>
        <w:t>群体工程应附《</w:t>
      </w:r>
      <w:r>
        <w:rPr>
          <w:rFonts w:ascii="宋体" w:hAnsi="宋体"/>
          <w:color w:val="auto"/>
          <w:szCs w:val="21"/>
        </w:rPr>
        <w:t>承包人承揽工程项目一览表</w:t>
      </w:r>
      <w:r>
        <w:rPr>
          <w:rFonts w:hint="eastAsia" w:ascii="宋体" w:hAnsi="宋体"/>
          <w:color w:val="auto"/>
          <w:szCs w:val="21"/>
        </w:rPr>
        <w:t>》（附件1）。</w:t>
      </w:r>
    </w:p>
    <w:p>
      <w:pPr>
        <w:spacing w:line="400" w:lineRule="exact"/>
        <w:ind w:firstLine="411" w:firstLineChars="196"/>
        <w:rPr>
          <w:rFonts w:ascii="宋体" w:hAnsi="宋体"/>
          <w:color w:val="auto"/>
          <w:szCs w:val="21"/>
        </w:rPr>
      </w:pPr>
      <w:r>
        <w:rPr>
          <w:rFonts w:hint="eastAsia" w:ascii="宋体" w:hAnsi="宋体"/>
          <w:bCs/>
          <w:color w:val="auto"/>
          <w:szCs w:val="21"/>
        </w:rPr>
        <w:t>6</w:t>
      </w:r>
      <w:r>
        <w:rPr>
          <w:rFonts w:ascii="宋体" w:hAnsi="宋体"/>
          <w:bCs/>
          <w:color w:val="auto"/>
          <w:szCs w:val="21"/>
        </w:rPr>
        <w:t>.工程承包范围：</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04" w:name="_Toc351203482"/>
      <w:r>
        <w:rPr>
          <w:rFonts w:ascii="宋体" w:hAnsi="宋体" w:eastAsia="宋体"/>
          <w:bCs w:val="0"/>
          <w:color w:val="auto"/>
          <w:sz w:val="21"/>
          <w:szCs w:val="21"/>
        </w:rPr>
        <w:t>二、合同工期</w:t>
      </w:r>
      <w:bookmarkEnd w:id="104"/>
    </w:p>
    <w:p>
      <w:pPr>
        <w:spacing w:line="400" w:lineRule="exact"/>
        <w:ind w:firstLine="459"/>
        <w:rPr>
          <w:rFonts w:ascii="宋体" w:hAnsi="宋体"/>
          <w:color w:val="auto"/>
          <w:szCs w:val="21"/>
        </w:rPr>
      </w:pPr>
      <w:r>
        <w:rPr>
          <w:rFonts w:ascii="宋体" w:hAnsi="宋体"/>
          <w:color w:val="auto"/>
          <w:szCs w:val="21"/>
        </w:rPr>
        <w:t>计划开工日期：</w:t>
      </w:r>
      <w:r>
        <w:rPr>
          <w:rFonts w:hint="eastAsia" w:ascii="宋体" w:hAnsi="宋体" w:cs="宋体"/>
          <w:color w:val="auto"/>
          <w:szCs w:val="21"/>
          <w:u w:val="single"/>
        </w:rPr>
        <w:t></w:t>
      </w:r>
      <w:r>
        <w:rPr>
          <w:rFonts w:ascii="宋体" w:hAnsi="宋体"/>
          <w:color w:val="auto"/>
          <w:szCs w:val="21"/>
        </w:rPr>
        <w:t>年</w:t>
      </w:r>
      <w:r>
        <w:rPr>
          <w:rFonts w:hint="eastAsia" w:ascii="宋体" w:hAnsi="宋体" w:cs="宋体"/>
          <w:color w:val="auto"/>
          <w:szCs w:val="21"/>
          <w:u w:val="single"/>
        </w:rPr>
        <w:t></w:t>
      </w:r>
      <w:r>
        <w:rPr>
          <w:rFonts w:ascii="宋体" w:hAnsi="宋体"/>
          <w:color w:val="auto"/>
          <w:szCs w:val="21"/>
        </w:rPr>
        <w:t>月</w:t>
      </w:r>
      <w:r>
        <w:rPr>
          <w:rFonts w:hint="eastAsia" w:ascii="宋体" w:hAnsi="宋体" w:cs="宋体"/>
          <w:color w:val="auto"/>
          <w:szCs w:val="21"/>
          <w:u w:val="single"/>
        </w:rPr>
        <w:t></w:t>
      </w:r>
      <w:r>
        <w:rPr>
          <w:rFonts w:ascii="宋体" w:hAnsi="宋体"/>
          <w:color w:val="auto"/>
          <w:szCs w:val="21"/>
        </w:rPr>
        <w:t>日。</w:t>
      </w:r>
    </w:p>
    <w:p>
      <w:pPr>
        <w:spacing w:line="400" w:lineRule="exact"/>
        <w:ind w:firstLine="459"/>
        <w:rPr>
          <w:rFonts w:ascii="宋体" w:hAnsi="宋体"/>
          <w:color w:val="auto"/>
          <w:szCs w:val="21"/>
        </w:rPr>
      </w:pPr>
      <w:r>
        <w:rPr>
          <w:rFonts w:ascii="宋体" w:hAnsi="宋体"/>
          <w:color w:val="auto"/>
          <w:szCs w:val="21"/>
        </w:rPr>
        <w:t>计划竣工日期：</w:t>
      </w:r>
      <w:r>
        <w:rPr>
          <w:rFonts w:hint="eastAsia" w:ascii="宋体" w:hAnsi="宋体" w:cs="宋体"/>
          <w:color w:val="auto"/>
          <w:szCs w:val="21"/>
          <w:u w:val="single"/>
        </w:rPr>
        <w:t></w:t>
      </w:r>
      <w:r>
        <w:rPr>
          <w:rFonts w:ascii="宋体" w:hAnsi="宋体"/>
          <w:color w:val="auto"/>
          <w:szCs w:val="21"/>
        </w:rPr>
        <w:t>年</w:t>
      </w:r>
      <w:r>
        <w:rPr>
          <w:rFonts w:hint="eastAsia" w:ascii="宋体" w:hAnsi="宋体" w:cs="宋体"/>
          <w:color w:val="auto"/>
          <w:szCs w:val="21"/>
          <w:u w:val="single"/>
        </w:rPr>
        <w:t></w:t>
      </w:r>
      <w:r>
        <w:rPr>
          <w:rFonts w:ascii="宋体" w:hAnsi="宋体"/>
          <w:color w:val="auto"/>
          <w:szCs w:val="21"/>
        </w:rPr>
        <w:t>月</w:t>
      </w:r>
      <w:r>
        <w:rPr>
          <w:rFonts w:hint="eastAsia" w:ascii="宋体" w:hAnsi="宋体" w:cs="宋体"/>
          <w:color w:val="auto"/>
          <w:szCs w:val="21"/>
          <w:u w:val="single"/>
        </w:rPr>
        <w:t></w:t>
      </w:r>
      <w:r>
        <w:rPr>
          <w:rFonts w:ascii="宋体" w:hAnsi="宋体"/>
          <w:color w:val="auto"/>
          <w:szCs w:val="21"/>
        </w:rPr>
        <w:t>日。</w:t>
      </w:r>
    </w:p>
    <w:p>
      <w:pPr>
        <w:spacing w:line="400" w:lineRule="exact"/>
        <w:ind w:firstLine="459"/>
        <w:rPr>
          <w:rFonts w:ascii="宋体" w:hAnsi="宋体"/>
          <w:color w:val="auto"/>
          <w:szCs w:val="21"/>
        </w:rPr>
      </w:pPr>
      <w:r>
        <w:rPr>
          <w:rFonts w:ascii="宋体" w:hAnsi="宋体"/>
          <w:color w:val="auto"/>
          <w:szCs w:val="21"/>
        </w:rPr>
        <w:t>工期总日历天数：</w:t>
      </w:r>
      <w:r>
        <w:rPr>
          <w:rFonts w:hint="eastAsia" w:ascii="宋体" w:hAnsi="宋体" w:cs="宋体"/>
          <w:color w:val="auto"/>
          <w:szCs w:val="21"/>
          <w:u w:val="single"/>
        </w:rPr>
        <w:t></w:t>
      </w:r>
      <w:r>
        <w:rPr>
          <w:rFonts w:ascii="宋体" w:hAnsi="宋体"/>
          <w:color w:val="auto"/>
          <w:szCs w:val="21"/>
        </w:rPr>
        <w:t>天。工期总日历天数与根据前述计划开竣工日期计算的工期天数不一致的，以工期总日历天数为准。</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05" w:name="_Toc351203483"/>
      <w:r>
        <w:rPr>
          <w:rFonts w:ascii="宋体" w:hAnsi="宋体" w:eastAsia="宋体"/>
          <w:bCs w:val="0"/>
          <w:color w:val="auto"/>
          <w:sz w:val="21"/>
          <w:szCs w:val="21"/>
        </w:rPr>
        <w:t>三、质量标准</w:t>
      </w:r>
      <w:bookmarkEnd w:id="105"/>
    </w:p>
    <w:p>
      <w:pPr>
        <w:spacing w:line="400" w:lineRule="exact"/>
        <w:ind w:firstLine="459"/>
        <w:rPr>
          <w:rFonts w:ascii="宋体" w:hAnsi="宋体"/>
          <w:color w:val="auto"/>
          <w:szCs w:val="21"/>
        </w:rPr>
      </w:pPr>
      <w:r>
        <w:rPr>
          <w:rFonts w:ascii="宋体" w:hAnsi="宋体"/>
          <w:color w:val="auto"/>
          <w:szCs w:val="21"/>
        </w:rPr>
        <w:t>工程质量符合</w:t>
      </w:r>
      <w:r>
        <w:rPr>
          <w:rFonts w:hint="eastAsia" w:ascii="宋体" w:hAnsi="宋体" w:cs="宋体"/>
          <w:color w:val="auto"/>
          <w:szCs w:val="21"/>
          <w:u w:val="single"/>
        </w:rPr>
        <w:t></w:t>
      </w:r>
      <w:r>
        <w:rPr>
          <w:rFonts w:ascii="宋体" w:hAnsi="宋体"/>
          <w:color w:val="auto"/>
          <w:szCs w:val="21"/>
        </w:rPr>
        <w:t>标准。</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06" w:name="_Toc351203484"/>
      <w:r>
        <w:rPr>
          <w:rFonts w:ascii="宋体" w:hAnsi="宋体" w:eastAsia="宋体"/>
          <w:bCs w:val="0"/>
          <w:color w:val="auto"/>
          <w:sz w:val="21"/>
          <w:szCs w:val="21"/>
        </w:rPr>
        <w:t>四、签约合同价与合同价格形式</w:t>
      </w:r>
      <w:bookmarkEnd w:id="106"/>
      <w:r>
        <w:rPr>
          <w:rFonts w:ascii="宋体" w:hAnsi="宋体" w:eastAsia="宋体"/>
          <w:bCs w:val="0"/>
          <w:color w:val="auto"/>
          <w:sz w:val="21"/>
          <w:szCs w:val="21"/>
        </w:rPr>
        <w:tab/>
      </w:r>
    </w:p>
    <w:p>
      <w:pPr>
        <w:spacing w:line="400" w:lineRule="exact"/>
        <w:ind w:firstLine="420" w:firstLineChars="200"/>
        <w:rPr>
          <w:rFonts w:ascii="宋体" w:hAnsi="宋体"/>
          <w:color w:val="auto"/>
          <w:szCs w:val="21"/>
        </w:rPr>
      </w:pPr>
      <w:r>
        <w:rPr>
          <w:rFonts w:ascii="宋体" w:hAnsi="宋体"/>
          <w:color w:val="auto"/>
          <w:szCs w:val="21"/>
        </w:rPr>
        <w:t>1.签约合同价为：</w:t>
      </w:r>
    </w:p>
    <w:p>
      <w:pPr>
        <w:spacing w:line="400" w:lineRule="exact"/>
        <w:ind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其中：</w:t>
      </w:r>
    </w:p>
    <w:p>
      <w:pPr>
        <w:spacing w:line="400" w:lineRule="exact"/>
        <w:ind w:firstLine="420" w:firstLineChars="200"/>
        <w:rPr>
          <w:rFonts w:ascii="宋体" w:hAnsi="宋体"/>
          <w:color w:val="auto"/>
          <w:szCs w:val="21"/>
        </w:rPr>
      </w:pPr>
      <w:r>
        <w:rPr>
          <w:rFonts w:ascii="宋体" w:hAnsi="宋体"/>
          <w:color w:val="auto"/>
          <w:szCs w:val="21"/>
        </w:rPr>
        <w:t>（1）安全文明施工费：</w:t>
      </w:r>
    </w:p>
    <w:p>
      <w:pPr>
        <w:spacing w:line="40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（2）材料和工程设备暂估价金额：</w:t>
      </w:r>
    </w:p>
    <w:p>
      <w:pPr>
        <w:spacing w:line="40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（3）专业工程暂估价金额：</w:t>
      </w:r>
    </w:p>
    <w:p>
      <w:pPr>
        <w:spacing w:line="40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（4）暂列金额：</w:t>
      </w:r>
    </w:p>
    <w:p>
      <w:pPr>
        <w:spacing w:line="40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2.合同价格形式：</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07" w:name="_Toc351203485"/>
      <w:r>
        <w:rPr>
          <w:rFonts w:ascii="宋体" w:hAnsi="宋体" w:eastAsia="宋体"/>
          <w:bCs w:val="0"/>
          <w:color w:val="auto"/>
          <w:sz w:val="21"/>
          <w:szCs w:val="21"/>
        </w:rPr>
        <w:t>五、</w:t>
      </w:r>
      <w:bookmarkEnd w:id="107"/>
      <w:r>
        <w:rPr>
          <w:rFonts w:ascii="宋体" w:hAnsi="宋体" w:eastAsia="宋体"/>
          <w:bCs w:val="0"/>
          <w:color w:val="auto"/>
          <w:sz w:val="21"/>
          <w:szCs w:val="21"/>
        </w:rPr>
        <w:t>项目负责人</w:t>
      </w:r>
    </w:p>
    <w:p>
      <w:pPr>
        <w:spacing w:line="400" w:lineRule="exact"/>
        <w:ind w:firstLine="420" w:firstLineChars="200"/>
        <w:rPr>
          <w:rFonts w:ascii="宋体" w:hAnsi="宋体"/>
          <w:color w:val="auto"/>
          <w:szCs w:val="21"/>
        </w:rPr>
      </w:pPr>
      <w:r>
        <w:rPr>
          <w:rFonts w:ascii="宋体" w:hAnsi="宋体"/>
          <w:color w:val="auto"/>
          <w:szCs w:val="21"/>
        </w:rPr>
        <w:t>承包人项目负责人：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08" w:name="_Toc351203486"/>
      <w:r>
        <w:rPr>
          <w:rFonts w:ascii="宋体" w:hAnsi="宋体" w:eastAsia="宋体"/>
          <w:bCs w:val="0"/>
          <w:color w:val="auto"/>
          <w:sz w:val="21"/>
          <w:szCs w:val="21"/>
        </w:rPr>
        <w:t>六、合同文件构成</w:t>
      </w:r>
      <w:bookmarkEnd w:id="108"/>
    </w:p>
    <w:p>
      <w:pPr>
        <w:spacing w:line="400" w:lineRule="exact"/>
        <w:ind w:firstLine="420" w:firstLineChars="200"/>
        <w:rPr>
          <w:rFonts w:ascii="宋体" w:hAnsi="宋体"/>
          <w:bCs/>
          <w:color w:val="auto"/>
          <w:szCs w:val="21"/>
        </w:rPr>
      </w:pPr>
      <w:r>
        <w:rPr>
          <w:rFonts w:ascii="宋体" w:hAnsi="宋体"/>
          <w:bCs/>
          <w:color w:val="auto"/>
          <w:szCs w:val="21"/>
        </w:rPr>
        <w:t>本协议书与下列文件一起构成合同文件：</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（1）中标通知书（如果有）；</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 xml:space="preserve">（2）投标函及其附录（如果有）； </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（3）专用合同条款及其附件；</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（4）通用合同条款；</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（5）技术标准和要求；</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（6）图纸；</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（7）已标价工程量清单或预算书；</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（8）其他合同文件。</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w:t>
      </w:r>
      <w:r>
        <w:rPr>
          <w:rFonts w:hint="eastAsia" w:ascii="宋体" w:hAnsi="宋体"/>
          <w:color w:val="auto"/>
          <w:szCs w:val="21"/>
        </w:rPr>
        <w:t>专用合同条款及其附件须经合同当事人签字或盖章。</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09" w:name="_Toc351203487"/>
      <w:r>
        <w:rPr>
          <w:rFonts w:ascii="宋体" w:hAnsi="宋体" w:eastAsia="宋体"/>
          <w:bCs w:val="0"/>
          <w:color w:val="auto"/>
          <w:sz w:val="21"/>
          <w:szCs w:val="21"/>
        </w:rPr>
        <w:t>七、承诺</w:t>
      </w:r>
      <w:bookmarkEnd w:id="109"/>
    </w:p>
    <w:p>
      <w:pPr>
        <w:spacing w:line="400" w:lineRule="exact"/>
        <w:ind w:firstLine="420" w:firstLineChars="200"/>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pPr>
        <w:spacing w:line="400" w:lineRule="exact"/>
        <w:ind w:firstLine="420" w:firstLineChars="200"/>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bCs/>
          <w:color w:val="auto"/>
          <w:szCs w:val="21"/>
        </w:rPr>
      </w:pPr>
      <w:r>
        <w:rPr>
          <w:rFonts w:ascii="宋体" w:hAnsi="宋体"/>
          <w:bCs/>
          <w:color w:val="auto"/>
          <w:szCs w:val="21"/>
        </w:rPr>
        <w:t>3.发包人和承包人通过招投标形式签订合同的，双方理解并</w:t>
      </w:r>
      <w:r>
        <w:rPr>
          <w:rFonts w:hint="eastAsia" w:ascii="宋体" w:hAnsi="宋体"/>
          <w:bCs/>
          <w:color w:val="auto"/>
          <w:szCs w:val="21"/>
        </w:rPr>
        <w:t>承诺</w:t>
      </w:r>
      <w:r>
        <w:rPr>
          <w:rFonts w:ascii="宋体" w:hAnsi="宋体"/>
          <w:bCs/>
          <w:color w:val="auto"/>
          <w:szCs w:val="21"/>
        </w:rPr>
        <w:t>不再就同一工程另行签订与合同实质性内容相背离的协议。</w:t>
      </w:r>
    </w:p>
    <w:p>
      <w:pPr>
        <w:pStyle w:val="5"/>
        <w:spacing w:before="120" w:after="120" w:line="400" w:lineRule="exact"/>
        <w:rPr>
          <w:rFonts w:ascii="宋体" w:hAnsi="宋体" w:eastAsia="宋体"/>
          <w:bCs w:val="0"/>
          <w:color w:val="auto"/>
          <w:sz w:val="21"/>
          <w:szCs w:val="21"/>
        </w:rPr>
      </w:pPr>
      <w:bookmarkStart w:id="110" w:name="_Toc351203488"/>
      <w:r>
        <w:rPr>
          <w:rFonts w:hint="eastAsia" w:ascii="宋体" w:hAnsi="宋体" w:eastAsia="宋体"/>
          <w:bCs w:val="0"/>
          <w:color w:val="auto"/>
          <w:sz w:val="21"/>
          <w:szCs w:val="21"/>
        </w:rPr>
        <w:t xml:space="preserve">    </w:t>
      </w:r>
      <w:r>
        <w:rPr>
          <w:rFonts w:ascii="宋体" w:hAnsi="宋体" w:eastAsia="宋体"/>
          <w:bCs w:val="0"/>
          <w:color w:val="auto"/>
          <w:sz w:val="21"/>
          <w:szCs w:val="21"/>
        </w:rPr>
        <w:t>八、词语含义</w:t>
      </w:r>
      <w:bookmarkEnd w:id="110"/>
    </w:p>
    <w:p>
      <w:pPr>
        <w:spacing w:line="400" w:lineRule="exact"/>
        <w:ind w:firstLine="420" w:firstLineChars="200"/>
        <w:rPr>
          <w:rFonts w:ascii="宋体" w:hAnsi="宋体"/>
          <w:bCs/>
          <w:color w:val="auto"/>
          <w:szCs w:val="21"/>
        </w:rPr>
      </w:pPr>
      <w:r>
        <w:rPr>
          <w:rFonts w:ascii="宋体" w:hAnsi="宋体"/>
          <w:bCs/>
          <w:color w:val="auto"/>
          <w:szCs w:val="21"/>
        </w:rPr>
        <w:t>本协议书中词语含义与第二部分通用合同条款中赋予的含义相同。</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11" w:name="_Toc351203489"/>
      <w:r>
        <w:rPr>
          <w:rFonts w:ascii="宋体" w:hAnsi="宋体" w:eastAsia="宋体"/>
          <w:bCs w:val="0"/>
          <w:color w:val="auto"/>
          <w:sz w:val="21"/>
          <w:szCs w:val="21"/>
        </w:rPr>
        <w:t>九、签订时间</w:t>
      </w:r>
      <w:bookmarkEnd w:id="111"/>
    </w:p>
    <w:p>
      <w:pPr>
        <w:spacing w:line="400" w:lineRule="exact"/>
        <w:ind w:firstLine="420" w:firstLineChars="200"/>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12" w:name="_Toc351203490"/>
      <w:r>
        <w:rPr>
          <w:rFonts w:ascii="宋体" w:hAnsi="宋体" w:eastAsia="宋体"/>
          <w:bCs w:val="0"/>
          <w:color w:val="auto"/>
          <w:sz w:val="21"/>
          <w:szCs w:val="21"/>
        </w:rPr>
        <w:t>十、签订地点</w:t>
      </w:r>
      <w:bookmarkEnd w:id="112"/>
    </w:p>
    <w:p>
      <w:pPr>
        <w:spacing w:line="400" w:lineRule="exact"/>
        <w:ind w:firstLine="420" w:firstLineChars="200"/>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13" w:name="_Toc351203491"/>
      <w:r>
        <w:rPr>
          <w:rFonts w:ascii="宋体" w:hAnsi="宋体" w:eastAsia="宋体"/>
          <w:bCs w:val="0"/>
          <w:color w:val="auto"/>
          <w:sz w:val="21"/>
          <w:szCs w:val="21"/>
        </w:rPr>
        <w:t>十一、补充协议</w:t>
      </w:r>
      <w:bookmarkEnd w:id="113"/>
    </w:p>
    <w:p>
      <w:pPr>
        <w:spacing w:line="400" w:lineRule="exact"/>
        <w:ind w:firstLine="420" w:firstLineChars="200"/>
        <w:rPr>
          <w:rFonts w:ascii="宋体" w:hAnsi="宋体"/>
          <w:b/>
          <w:bCs/>
          <w:color w:val="auto"/>
          <w:szCs w:val="21"/>
        </w:rPr>
      </w:pPr>
      <w:r>
        <w:rPr>
          <w:rFonts w:ascii="宋体" w:hAnsi="宋体"/>
          <w:bCs/>
          <w:color w:val="auto"/>
          <w:szCs w:val="21"/>
        </w:rPr>
        <w:t>合同未尽事宜，合同当事人另行签订补充协议</w:t>
      </w:r>
      <w:r>
        <w:rPr>
          <w:rFonts w:hint="eastAsia" w:ascii="宋体" w:hAnsi="宋体"/>
          <w:bCs/>
          <w:color w:val="auto"/>
          <w:szCs w:val="21"/>
        </w:rPr>
        <w:t>，</w:t>
      </w:r>
      <w:r>
        <w:rPr>
          <w:rFonts w:ascii="宋体" w:hAnsi="宋体"/>
          <w:bCs/>
          <w:color w:val="auto"/>
          <w:szCs w:val="21"/>
        </w:rPr>
        <w:t>补充协议是合同的组成部分。</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14" w:name="_Toc351203492"/>
      <w:r>
        <w:rPr>
          <w:rFonts w:ascii="宋体" w:hAnsi="宋体" w:eastAsia="宋体"/>
          <w:bCs w:val="0"/>
          <w:color w:val="auto"/>
          <w:sz w:val="21"/>
          <w:szCs w:val="21"/>
        </w:rPr>
        <w:t>十二、合同生效</w:t>
      </w:r>
      <w:bookmarkEnd w:id="114"/>
    </w:p>
    <w:p>
      <w:pPr>
        <w:spacing w:line="400" w:lineRule="exact"/>
        <w:ind w:firstLine="420" w:firstLineChars="200"/>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pPr>
        <w:pStyle w:val="5"/>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115" w:name="_Toc351203493"/>
      <w:r>
        <w:rPr>
          <w:rFonts w:ascii="宋体" w:hAnsi="宋体" w:eastAsia="宋体"/>
          <w:bCs w:val="0"/>
          <w:color w:val="auto"/>
          <w:sz w:val="21"/>
          <w:szCs w:val="21"/>
        </w:rPr>
        <w:t>十三、合同份数</w:t>
      </w:r>
      <w:bookmarkEnd w:id="115"/>
    </w:p>
    <w:p>
      <w:pPr>
        <w:spacing w:line="400" w:lineRule="exact"/>
        <w:ind w:firstLine="420" w:firstLineChars="200"/>
        <w:rPr>
          <w:rFonts w:hint="eastAsia"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份，均具有同等法律效力，发包人执</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w:t>
      </w:r>
    </w:p>
    <w:p>
      <w:pPr>
        <w:spacing w:line="400" w:lineRule="exact"/>
        <w:ind w:firstLine="420" w:firstLineChars="200"/>
        <w:rPr>
          <w:rFonts w:hint="eastAsia" w:ascii="宋体" w:hAnsi="宋体"/>
          <w:bCs/>
          <w:color w:val="auto"/>
          <w:szCs w:val="21"/>
        </w:rPr>
      </w:pPr>
    </w:p>
    <w:p>
      <w:pPr>
        <w:spacing w:line="400" w:lineRule="exact"/>
        <w:rPr>
          <w:rFonts w:hint="eastAsia" w:ascii="宋体" w:hAnsi="宋体"/>
          <w:color w:val="auto"/>
          <w:szCs w:val="21"/>
        </w:rPr>
      </w:pPr>
      <w:r>
        <w:rPr>
          <w:rFonts w:ascii="宋体" w:hAnsi="宋体"/>
          <w:color w:val="auto"/>
          <w:szCs w:val="21"/>
        </w:rPr>
        <w:t>发包人</w:t>
      </w:r>
      <w:r>
        <w:rPr>
          <w:rFonts w:hint="eastAsia" w:ascii="宋体" w:hAnsi="宋体"/>
          <w:color w:val="auto"/>
          <w:szCs w:val="21"/>
        </w:rPr>
        <w:t xml:space="preserve">：  </w:t>
      </w:r>
      <w:r>
        <w:rPr>
          <w:rFonts w:ascii="宋体" w:hAnsi="宋体"/>
          <w:color w:val="auto"/>
          <w:szCs w:val="21"/>
        </w:rPr>
        <w:t>(公章)</w:t>
      </w:r>
      <w:r>
        <w:rPr>
          <w:rFonts w:hint="eastAsia" w:ascii="宋体" w:hAnsi="宋体"/>
          <w:color w:val="auto"/>
          <w:szCs w:val="21"/>
        </w:rPr>
        <w:t xml:space="preserve">                     </w:t>
      </w:r>
      <w:r>
        <w:rPr>
          <w:rFonts w:ascii="宋体" w:hAnsi="宋体"/>
          <w:color w:val="auto"/>
          <w:szCs w:val="21"/>
        </w:rPr>
        <w:t>承包人</w:t>
      </w:r>
      <w:r>
        <w:rPr>
          <w:rFonts w:hint="eastAsia" w:ascii="宋体" w:hAnsi="宋体"/>
          <w:color w:val="auto"/>
          <w:szCs w:val="21"/>
        </w:rPr>
        <w:t xml:space="preserve">：  </w:t>
      </w:r>
      <w:r>
        <w:rPr>
          <w:rFonts w:ascii="宋体" w:hAnsi="宋体"/>
          <w:color w:val="auto"/>
          <w:szCs w:val="21"/>
        </w:rPr>
        <w:t>(公章)</w:t>
      </w:r>
    </w:p>
    <w:p>
      <w:pPr>
        <w:spacing w:line="400" w:lineRule="exact"/>
        <w:rPr>
          <w:rFonts w:hint="eastAsia" w:ascii="宋体" w:hAnsi="宋体"/>
          <w:color w:val="auto"/>
          <w:szCs w:val="21"/>
          <w:u w:val="single"/>
        </w:rPr>
      </w:pPr>
      <w:r>
        <w:rPr>
          <w:rFonts w:hint="eastAsia" w:ascii="宋体" w:hAnsi="宋体"/>
          <w:color w:val="auto"/>
          <w:szCs w:val="21"/>
        </w:rPr>
        <w:t xml:space="preserve">                                 </w:t>
      </w:r>
    </w:p>
    <w:p>
      <w:pPr>
        <w:spacing w:line="400" w:lineRule="exact"/>
        <w:rPr>
          <w:rFonts w:hint="eastAsia" w:ascii="宋体" w:hAnsi="宋体"/>
          <w:color w:val="auto"/>
          <w:szCs w:val="21"/>
        </w:rPr>
      </w:pPr>
      <w:r>
        <w:rPr>
          <w:rFonts w:hint="eastAsia" w:ascii="宋体" w:hAnsi="宋体"/>
          <w:color w:val="auto"/>
          <w:szCs w:val="21"/>
        </w:rPr>
        <w:t>法定代表人或其委托代理人：          法定代表人或其委托代理人：</w:t>
      </w:r>
    </w:p>
    <w:p>
      <w:pPr>
        <w:spacing w:line="400" w:lineRule="exact"/>
        <w:rPr>
          <w:rFonts w:hint="eastAsia" w:ascii="宋体" w:hAnsi="宋体"/>
          <w:color w:val="auto"/>
          <w:szCs w:val="21"/>
        </w:rPr>
      </w:pPr>
      <w:r>
        <w:rPr>
          <w:rFonts w:hint="eastAsia" w:ascii="宋体" w:hAnsi="宋体"/>
          <w:color w:val="auto"/>
          <w:szCs w:val="21"/>
        </w:rPr>
        <w:t>（签字）                           （签字）</w:t>
      </w:r>
    </w:p>
    <w:p>
      <w:pPr>
        <w:tabs>
          <w:tab w:val="left" w:pos="4410"/>
        </w:tabs>
        <w:spacing w:line="400" w:lineRule="exact"/>
        <w:rPr>
          <w:rFonts w:ascii="宋体" w:hAnsi="宋体"/>
          <w:color w:val="auto"/>
          <w:szCs w:val="21"/>
        </w:rPr>
      </w:pPr>
      <w:r>
        <w:rPr>
          <w:rFonts w:hint="eastAsia" w:ascii="宋体" w:hAnsi="宋体"/>
          <w:color w:val="auto"/>
          <w:szCs w:val="21"/>
        </w:rPr>
        <w:t>组织机构代码：</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组织机构代码：</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rPr>
        <w:t xml:space="preserve">         </w:t>
      </w:r>
      <w:r>
        <w:rPr>
          <w:rFonts w:ascii="宋体" w:hAnsi="宋体"/>
          <w:color w:val="auto"/>
          <w:szCs w:val="21"/>
        </w:rPr>
        <w:t>地  址：</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邮政编码：</w:t>
      </w:r>
      <w:r>
        <w:rPr>
          <w:rFonts w:hint="eastAsia" w:ascii="宋体" w:hAnsi="宋体" w:cs="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法定代表人：</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法定代表人：</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委托代理人：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委托代理人：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电  话：</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  话：</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传  真：</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传  真：</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电子信箱：</w:t>
      </w:r>
      <w:r>
        <w:rPr>
          <w:rFonts w:hint="eastAsia" w:ascii="宋体" w:hAnsi="宋体" w:cs="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开户银行：</w:t>
      </w:r>
      <w:r>
        <w:rPr>
          <w:rFonts w:hint="eastAsia" w:ascii="宋体" w:hAnsi="宋体" w:cs="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开户银行：</w:t>
      </w:r>
      <w:r>
        <w:rPr>
          <w:rFonts w:hint="eastAsia" w:ascii="宋体" w:hAnsi="宋体" w:cs="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账  号：</w:t>
      </w:r>
      <w:r>
        <w:rPr>
          <w:rFonts w:hint="eastAsia" w:ascii="宋体" w:hAnsi="宋体" w:cs="宋体"/>
          <w:color w:val="auto"/>
          <w:szCs w:val="21"/>
          <w:u w:val="single"/>
        </w:rPr>
        <w:t xml:space="preserve">       </w:t>
      </w:r>
      <w:r>
        <w:rPr>
          <w:rFonts w:hint="eastAsia" w:ascii="宋体" w:hAnsi="宋体"/>
          <w:color w:val="auto"/>
          <w:szCs w:val="21"/>
        </w:rPr>
        <w:t xml:space="preserve">          </w:t>
      </w:r>
      <w:r>
        <w:rPr>
          <w:rFonts w:ascii="宋体" w:hAnsi="宋体"/>
          <w:color w:val="auto"/>
          <w:szCs w:val="21"/>
        </w:rPr>
        <w:t>账</w:t>
      </w:r>
      <w:r>
        <w:rPr>
          <w:rFonts w:hint="eastAsia" w:ascii="宋体" w:hAnsi="宋体"/>
          <w:color w:val="auto"/>
          <w:szCs w:val="21"/>
        </w:rPr>
        <w:t xml:space="preserve"> </w:t>
      </w:r>
      <w:r>
        <w:rPr>
          <w:rFonts w:ascii="宋体" w:hAnsi="宋体"/>
          <w:color w:val="auto"/>
          <w:szCs w:val="21"/>
        </w:rPr>
        <w:t xml:space="preserve"> 号：</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pStyle w:val="4"/>
        <w:spacing w:before="0" w:line="400" w:lineRule="exact"/>
        <w:jc w:val="center"/>
      </w:pPr>
      <w:r>
        <w:br w:type="page"/>
      </w:r>
      <w:bookmarkStart w:id="116" w:name="_Toc433883633"/>
      <w:bookmarkStart w:id="117" w:name="_Toc351203494"/>
      <w:bookmarkStart w:id="118" w:name="_Toc45007876"/>
      <w:r>
        <w:t>第二部分 通用合同条款</w:t>
      </w:r>
      <w:bookmarkEnd w:id="116"/>
      <w:bookmarkEnd w:id="117"/>
      <w:bookmarkEnd w:id="118"/>
    </w:p>
    <w:p>
      <w:pPr>
        <w:spacing w:line="400" w:lineRule="exact"/>
        <w:jc w:val="center"/>
        <w:rPr>
          <w:rFonts w:hint="eastAsia" w:ascii="宋体" w:hAnsi="宋体"/>
          <w:color w:val="auto"/>
        </w:rPr>
      </w:pPr>
      <w:r>
        <w:rPr>
          <w:rFonts w:hint="eastAsia" w:ascii="宋体" w:hAnsi="宋体"/>
          <w:color w:val="auto"/>
        </w:rPr>
        <w:t>详见</w:t>
      </w:r>
      <w:r>
        <w:rPr>
          <w:rFonts w:ascii="宋体" w:hAnsi="宋体"/>
          <w:color w:val="auto"/>
        </w:rPr>
        <w:t>《建设工程施工合同（示范文本）》（GF-201</w:t>
      </w:r>
      <w:r>
        <w:rPr>
          <w:rFonts w:hint="eastAsia" w:ascii="宋体" w:hAnsi="宋体"/>
          <w:color w:val="auto"/>
        </w:rPr>
        <w:t>8</w:t>
      </w:r>
      <w:r>
        <w:rPr>
          <w:rFonts w:ascii="宋体" w:hAnsi="宋体"/>
          <w:color w:val="auto"/>
        </w:rPr>
        <w:t>-0201）</w:t>
      </w:r>
    </w:p>
    <w:p>
      <w:pPr>
        <w:pStyle w:val="4"/>
        <w:spacing w:line="400" w:lineRule="exact"/>
        <w:jc w:val="center"/>
      </w:pPr>
      <w:bookmarkStart w:id="119" w:name="_Toc433883634"/>
      <w:bookmarkStart w:id="120" w:name="_Toc45007877"/>
      <w:r>
        <w:t>第三部分 专用合同条款</w:t>
      </w:r>
      <w:bookmarkEnd w:id="119"/>
      <w:bookmarkEnd w:id="120"/>
    </w:p>
    <w:p>
      <w:pPr>
        <w:pStyle w:val="5"/>
        <w:spacing w:before="120" w:after="120" w:line="400" w:lineRule="exact"/>
        <w:rPr>
          <w:rFonts w:ascii="宋体" w:hAnsi="宋体" w:eastAsia="宋体"/>
          <w:b w:val="0"/>
          <w:color w:val="auto"/>
          <w:sz w:val="21"/>
          <w:szCs w:val="21"/>
        </w:rPr>
      </w:pPr>
      <w:bookmarkStart w:id="121" w:name="_Toc351203633"/>
      <w:r>
        <w:rPr>
          <w:rFonts w:ascii="宋体" w:hAnsi="宋体" w:eastAsia="宋体"/>
          <w:b w:val="0"/>
          <w:color w:val="auto"/>
          <w:sz w:val="21"/>
          <w:szCs w:val="21"/>
        </w:rPr>
        <w:t>1</w:t>
      </w:r>
      <w:bookmarkStart w:id="122" w:name="_Toc297120456"/>
      <w:bookmarkStart w:id="123" w:name="_Toc292559866"/>
      <w:bookmarkStart w:id="124" w:name="_Toc292559361"/>
      <w:bookmarkStart w:id="125" w:name="_Toc296891196"/>
      <w:bookmarkStart w:id="126" w:name="_Toc297048342"/>
      <w:bookmarkStart w:id="127" w:name="_Toc296346657"/>
      <w:bookmarkStart w:id="128" w:name="_Toc296890984"/>
      <w:bookmarkStart w:id="129" w:name="_Toc296503156"/>
      <w:bookmarkStart w:id="130" w:name="_Toc296347155"/>
      <w:bookmarkStart w:id="131" w:name="_Toc296944495"/>
      <w:r>
        <w:rPr>
          <w:rFonts w:ascii="宋体" w:hAnsi="宋体" w:eastAsia="宋体"/>
          <w:b w:val="0"/>
          <w:color w:val="auto"/>
          <w:sz w:val="21"/>
          <w:szCs w:val="21"/>
        </w:rPr>
        <w:t>. 一般约定</w:t>
      </w:r>
      <w:bookmarkEnd w:id="121"/>
    </w:p>
    <w:bookmarkEnd w:id="122"/>
    <w:bookmarkEnd w:id="123"/>
    <w:bookmarkEnd w:id="124"/>
    <w:bookmarkEnd w:id="125"/>
    <w:bookmarkEnd w:id="126"/>
    <w:bookmarkEnd w:id="127"/>
    <w:bookmarkEnd w:id="128"/>
    <w:bookmarkEnd w:id="129"/>
    <w:bookmarkEnd w:id="130"/>
    <w:bookmarkEnd w:id="131"/>
    <w:p>
      <w:pPr>
        <w:spacing w:after="120" w:line="400" w:lineRule="exact"/>
        <w:ind w:firstLine="420" w:firstLineChars="200"/>
        <w:rPr>
          <w:rFonts w:ascii="宋体" w:hAnsi="宋体"/>
          <w:color w:val="auto"/>
          <w:szCs w:val="21"/>
        </w:rPr>
      </w:pPr>
      <w:r>
        <w:rPr>
          <w:rFonts w:ascii="宋体" w:hAnsi="宋体"/>
          <w:color w:val="auto"/>
          <w:szCs w:val="21"/>
        </w:rPr>
        <w:t>1.1 词语定义</w:t>
      </w:r>
    </w:p>
    <w:p>
      <w:pPr>
        <w:spacing w:line="400" w:lineRule="exact"/>
        <w:ind w:firstLine="420" w:firstLineChars="200"/>
        <w:rPr>
          <w:rFonts w:ascii="宋体" w:hAnsi="宋体"/>
          <w:color w:val="auto"/>
          <w:szCs w:val="21"/>
        </w:rPr>
      </w:pPr>
      <w:r>
        <w:rPr>
          <w:rFonts w:ascii="宋体" w:hAnsi="宋体"/>
          <w:color w:val="auto"/>
          <w:szCs w:val="21"/>
        </w:rPr>
        <w:t>1.1.1合同</w:t>
      </w:r>
    </w:p>
    <w:p>
      <w:pPr>
        <w:spacing w:line="400" w:lineRule="exact"/>
        <w:ind w:firstLine="420" w:firstLineChars="200"/>
        <w:rPr>
          <w:rFonts w:ascii="宋体" w:hAnsi="宋体"/>
          <w:color w:val="auto"/>
          <w:szCs w:val="21"/>
        </w:rPr>
      </w:pPr>
      <w:r>
        <w:rPr>
          <w:rFonts w:ascii="宋体" w:hAnsi="宋体"/>
          <w:color w:val="auto"/>
          <w:szCs w:val="21"/>
        </w:rPr>
        <w:t>1.1.1.10其他合同文件包括：</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1.1.2 合同当事人及其他相关方</w:t>
      </w:r>
    </w:p>
    <w:p>
      <w:pPr>
        <w:spacing w:line="400" w:lineRule="exact"/>
        <w:ind w:firstLine="420" w:firstLineChars="200"/>
        <w:rPr>
          <w:rFonts w:ascii="宋体" w:hAnsi="宋体"/>
          <w:color w:val="auto"/>
          <w:szCs w:val="21"/>
        </w:rPr>
      </w:pPr>
      <w:r>
        <w:rPr>
          <w:rFonts w:ascii="宋体" w:hAnsi="宋体"/>
          <w:color w:val="auto"/>
          <w:szCs w:val="21"/>
        </w:rPr>
        <w:t>1.1.2.4监理人：</w:t>
      </w:r>
    </w:p>
    <w:p>
      <w:pPr>
        <w:spacing w:line="400" w:lineRule="exact"/>
        <w:ind w:firstLine="420" w:firstLineChars="200"/>
        <w:rPr>
          <w:rFonts w:ascii="宋体" w:hAnsi="宋体"/>
          <w:color w:val="auto"/>
          <w:szCs w:val="21"/>
        </w:rPr>
      </w:pPr>
      <w:r>
        <w:rPr>
          <w:rFonts w:ascii="宋体" w:hAnsi="宋体"/>
          <w:color w:val="auto"/>
          <w:szCs w:val="21"/>
        </w:rPr>
        <w:t>名    称：</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通信地址：</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1.1.2.5 设计人：</w:t>
      </w:r>
    </w:p>
    <w:p>
      <w:pPr>
        <w:spacing w:line="400" w:lineRule="exact"/>
        <w:ind w:firstLine="420" w:firstLineChars="200"/>
        <w:rPr>
          <w:rFonts w:ascii="宋体" w:hAnsi="宋体"/>
          <w:color w:val="auto"/>
          <w:szCs w:val="21"/>
        </w:rPr>
      </w:pPr>
      <w:r>
        <w:rPr>
          <w:rFonts w:ascii="宋体" w:hAnsi="宋体"/>
          <w:color w:val="auto"/>
          <w:szCs w:val="21"/>
        </w:rPr>
        <w:t>名    称：</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hint="eastAsia" w:ascii="宋体" w:hAnsi="宋体"/>
          <w:color w:val="auto"/>
          <w:szCs w:val="21"/>
        </w:rPr>
      </w:pPr>
      <w:r>
        <w:rPr>
          <w:rFonts w:ascii="宋体" w:hAnsi="宋体"/>
          <w:color w:val="auto"/>
          <w:szCs w:val="21"/>
        </w:rPr>
        <w:t>通信地址：</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1.1.3 工程和设备</w:t>
      </w:r>
    </w:p>
    <w:p>
      <w:pPr>
        <w:spacing w:line="400" w:lineRule="exact"/>
        <w:ind w:firstLine="420" w:firstLineChars="200"/>
        <w:rPr>
          <w:rFonts w:ascii="宋体" w:hAnsi="宋体"/>
          <w:color w:val="auto"/>
          <w:szCs w:val="21"/>
        </w:rPr>
      </w:pPr>
      <w:r>
        <w:rPr>
          <w:rFonts w:ascii="宋体" w:hAnsi="宋体"/>
          <w:color w:val="auto"/>
          <w:szCs w:val="21"/>
        </w:rPr>
        <w:t>1.1.3.7 作为施工现场组成部分的其他场所包括：</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1.1.3.9 永久占地包括：</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1.1.3.10 临时占地包括：</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 xml:space="preserve">1.3法律 </w:t>
      </w:r>
    </w:p>
    <w:p>
      <w:pPr>
        <w:spacing w:line="400" w:lineRule="exact"/>
        <w:ind w:firstLine="420" w:firstLineChars="200"/>
        <w:rPr>
          <w:rFonts w:ascii="宋体" w:hAnsi="宋体"/>
          <w:color w:val="auto"/>
          <w:szCs w:val="21"/>
        </w:rPr>
      </w:pPr>
      <w:r>
        <w:rPr>
          <w:rFonts w:ascii="宋体" w:hAnsi="宋体"/>
          <w:color w:val="auto"/>
          <w:szCs w:val="21"/>
        </w:rPr>
        <w:t>适用于合同的其他规范性文件：</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1.4 标准和规范</w:t>
      </w:r>
    </w:p>
    <w:p>
      <w:pPr>
        <w:spacing w:line="400" w:lineRule="exact"/>
        <w:ind w:firstLine="420" w:firstLineChars="200"/>
        <w:rPr>
          <w:rFonts w:ascii="宋体" w:hAnsi="宋体"/>
          <w:color w:val="auto"/>
          <w:szCs w:val="21"/>
        </w:rPr>
      </w:pPr>
      <w:r>
        <w:rPr>
          <w:rFonts w:ascii="宋体" w:hAnsi="宋体"/>
          <w:color w:val="auto"/>
          <w:szCs w:val="21"/>
        </w:rPr>
        <w:t>1.4.1适用于工程的标准规范包括：</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1.4.2 发包人提供国外标准、规范的名称：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发包人提供国外标准、规范的份数：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发包人提供国外标准、规范的名称：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1.4.3发包人对工程的技术标准和功能要求的特殊要求：</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1.5 合同文件的优先顺序</w:t>
      </w:r>
    </w:p>
    <w:p>
      <w:pPr>
        <w:spacing w:line="400" w:lineRule="exact"/>
        <w:ind w:firstLine="420" w:firstLineChars="200"/>
        <w:rPr>
          <w:rFonts w:hint="eastAsia" w:ascii="宋体" w:hAnsi="宋体"/>
          <w:color w:val="auto"/>
          <w:szCs w:val="21"/>
        </w:rPr>
      </w:pPr>
      <w:r>
        <w:rPr>
          <w:rFonts w:ascii="宋体" w:hAnsi="宋体"/>
          <w:color w:val="auto"/>
          <w:szCs w:val="21"/>
        </w:rPr>
        <w:t>合同文件组成及优先顺序为：</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1.6 图纸和承包人文件</w:t>
      </w:r>
      <w:r>
        <w:rPr>
          <w:rFonts w:ascii="宋体" w:hAnsi="宋体"/>
          <w:color w:val="auto"/>
          <w:szCs w:val="21"/>
        </w:rPr>
        <w:tab/>
      </w:r>
    </w:p>
    <w:p>
      <w:pPr>
        <w:spacing w:line="400" w:lineRule="exact"/>
        <w:ind w:firstLine="420" w:firstLineChars="200"/>
        <w:rPr>
          <w:rFonts w:ascii="宋体" w:hAnsi="宋体"/>
          <w:color w:val="auto"/>
          <w:szCs w:val="21"/>
        </w:rPr>
      </w:pPr>
      <w:r>
        <w:rPr>
          <w:rFonts w:ascii="宋体" w:hAnsi="宋体"/>
          <w:color w:val="auto"/>
          <w:szCs w:val="21"/>
        </w:rPr>
        <w:t>1.6.1 图纸的提供</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发包人向承包人提供图纸的期限：</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发包人向承包人提供图纸的数量：</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发包人向承包人提供图纸的内容：</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1.6.4 承包人文件</w:t>
      </w:r>
    </w:p>
    <w:p>
      <w:pPr>
        <w:spacing w:line="400" w:lineRule="exact"/>
        <w:ind w:firstLine="420" w:firstLineChars="200"/>
        <w:rPr>
          <w:rFonts w:ascii="宋体" w:hAnsi="宋体"/>
          <w:color w:val="auto"/>
          <w:szCs w:val="21"/>
        </w:rPr>
      </w:pPr>
      <w:r>
        <w:rPr>
          <w:rFonts w:ascii="宋体" w:hAnsi="宋体"/>
          <w:color w:val="auto"/>
          <w:szCs w:val="21"/>
        </w:rPr>
        <w:t>需要由承包人提供的文件，包括：</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承包人提供的文件的期限为：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承包人提供的文件的数量为：</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承包人提供的文件的形式为：</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w:t>
      </w:r>
      <w:r>
        <w:rPr>
          <w:rFonts w:hint="eastAsia" w:ascii="宋体" w:hAnsi="宋体"/>
          <w:color w:val="auto"/>
          <w:szCs w:val="21"/>
        </w:rPr>
        <w:t>审批</w:t>
      </w:r>
      <w:r>
        <w:rPr>
          <w:rFonts w:ascii="宋体" w:hAnsi="宋体"/>
          <w:color w:val="auto"/>
          <w:szCs w:val="21"/>
        </w:rPr>
        <w:t>承包人文件的期限：</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1.6.5 现场图纸准备</w:t>
      </w:r>
    </w:p>
    <w:p>
      <w:pPr>
        <w:spacing w:line="400" w:lineRule="exact"/>
        <w:ind w:firstLine="420" w:firstLineChars="200"/>
        <w:rPr>
          <w:rFonts w:ascii="宋体" w:hAnsi="宋体"/>
          <w:color w:val="auto"/>
          <w:szCs w:val="21"/>
        </w:rPr>
      </w:pPr>
      <w:r>
        <w:rPr>
          <w:rFonts w:ascii="宋体" w:hAnsi="宋体"/>
          <w:color w:val="auto"/>
          <w:szCs w:val="21"/>
        </w:rPr>
        <w:t>关于现场图纸准备的约定：</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1.7 联络</w:t>
      </w:r>
    </w:p>
    <w:p>
      <w:pPr>
        <w:spacing w:line="400" w:lineRule="exact"/>
        <w:ind w:firstLine="420" w:firstLineChars="200"/>
        <w:rPr>
          <w:rFonts w:hint="eastAsia" w:ascii="宋体" w:hAnsi="宋体"/>
          <w:color w:val="auto"/>
          <w:szCs w:val="21"/>
        </w:rPr>
      </w:pPr>
      <w:r>
        <w:rPr>
          <w:rFonts w:ascii="宋体" w:hAnsi="宋体"/>
          <w:color w:val="auto"/>
          <w:szCs w:val="21"/>
        </w:rPr>
        <w:t>1.7.1发包人和承包人应当在</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天内将与合同有关的通知、批准、证明、证书、指示、指令、要求、请求、同意、意见、确定和决定等书面函件送达对方当事人</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1.7.2 发包人接收文件的地点：</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发包人指定的接收人为：</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承包人接收文件的地点：</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承包人指定的接收人为：</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监理人接收文件的地点：</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监理人指定的接收人为：</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1.10 交通运输</w:t>
      </w:r>
    </w:p>
    <w:p>
      <w:pPr>
        <w:spacing w:line="400" w:lineRule="exact"/>
        <w:ind w:firstLine="420" w:firstLineChars="200"/>
        <w:rPr>
          <w:rFonts w:ascii="宋体" w:hAnsi="宋体"/>
          <w:color w:val="auto"/>
          <w:szCs w:val="21"/>
        </w:rPr>
      </w:pPr>
      <w:r>
        <w:rPr>
          <w:rFonts w:ascii="宋体" w:hAnsi="宋体"/>
          <w:color w:val="auto"/>
          <w:szCs w:val="21"/>
        </w:rPr>
        <w:t>1</w:t>
      </w:r>
      <w:bookmarkStart w:id="132" w:name="_Toc303539100"/>
      <w:bookmarkStart w:id="133" w:name="_Toc318581155"/>
      <w:bookmarkStart w:id="134" w:name="_Toc300934943"/>
      <w:bookmarkStart w:id="135" w:name="_Toc312677986"/>
      <w:bookmarkStart w:id="136" w:name="_Toc304295521"/>
      <w:r>
        <w:rPr>
          <w:rFonts w:ascii="宋体" w:hAnsi="宋体"/>
          <w:color w:val="auto"/>
          <w:szCs w:val="21"/>
        </w:rPr>
        <w:t>.10.1 出入现场的权利</w:t>
      </w:r>
    </w:p>
    <w:p>
      <w:pPr>
        <w:spacing w:line="400" w:lineRule="exact"/>
        <w:ind w:firstLine="420" w:firstLineChars="200"/>
        <w:rPr>
          <w:rFonts w:ascii="宋体" w:hAnsi="宋体"/>
          <w:color w:val="auto"/>
          <w:szCs w:val="21"/>
        </w:rPr>
      </w:pPr>
      <w:r>
        <w:rPr>
          <w:rFonts w:ascii="宋体" w:hAnsi="宋体"/>
          <w:color w:val="auto"/>
          <w:szCs w:val="21"/>
        </w:rPr>
        <w:t>关于出入现场的权利的约定：</w:t>
      </w:r>
      <w:r>
        <w:rPr>
          <w:rFonts w:hint="eastAsia" w:ascii="宋体" w:hAnsi="宋体" w:cs="宋体"/>
          <w:color w:val="auto"/>
          <w:szCs w:val="21"/>
          <w:u w:val="single"/>
        </w:rPr>
        <w:t> 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bookmarkEnd w:id="132"/>
    <w:bookmarkEnd w:id="133"/>
    <w:bookmarkEnd w:id="134"/>
    <w:bookmarkEnd w:id="135"/>
    <w:bookmarkEnd w:id="136"/>
    <w:p>
      <w:pPr>
        <w:spacing w:line="400" w:lineRule="exact"/>
        <w:ind w:firstLine="420" w:firstLineChars="200"/>
        <w:jc w:val="left"/>
        <w:rPr>
          <w:rFonts w:ascii="宋体" w:hAnsi="宋体"/>
          <w:color w:val="auto"/>
          <w:szCs w:val="21"/>
        </w:rPr>
      </w:pPr>
      <w:r>
        <w:rPr>
          <w:rFonts w:ascii="宋体" w:hAnsi="宋体"/>
          <w:color w:val="auto"/>
          <w:szCs w:val="21"/>
        </w:rPr>
        <w:t>1</w:t>
      </w:r>
      <w:bookmarkStart w:id="137" w:name="_Toc312677987"/>
      <w:bookmarkStart w:id="138" w:name="_Toc300934944"/>
      <w:bookmarkStart w:id="139" w:name="_Toc318581156"/>
      <w:bookmarkStart w:id="140" w:name="_Toc303539101"/>
      <w:bookmarkStart w:id="141" w:name="_Toc304295522"/>
      <w:r>
        <w:rPr>
          <w:rFonts w:ascii="宋体" w:hAnsi="宋体"/>
          <w:color w:val="auto"/>
          <w:szCs w:val="21"/>
        </w:rPr>
        <w:t>.10.3 场内交通</w:t>
      </w:r>
    </w:p>
    <w:p>
      <w:pPr>
        <w:spacing w:line="400" w:lineRule="exact"/>
        <w:ind w:firstLine="420" w:firstLineChars="200"/>
        <w:jc w:val="left"/>
        <w:rPr>
          <w:rFonts w:ascii="宋体" w:hAnsi="宋体"/>
          <w:color w:val="auto"/>
          <w:szCs w:val="21"/>
        </w:rPr>
      </w:pPr>
      <w:r>
        <w:rPr>
          <w:rFonts w:ascii="宋体" w:hAnsi="宋体"/>
          <w:color w:val="auto"/>
          <w:szCs w:val="21"/>
        </w:rPr>
        <w:t>关于场外交通和场内交通的边界的约定：</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关于发包人向承包人免费提供满足工程施工需要的场内道路和交通设施的约定：</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bookmarkEnd w:id="137"/>
      <w:bookmarkEnd w:id="138"/>
      <w:bookmarkEnd w:id="139"/>
      <w:bookmarkEnd w:id="140"/>
      <w:bookmarkEnd w:id="141"/>
      <w:r>
        <w:rPr>
          <w:rFonts w:ascii="宋体" w:hAnsi="宋体"/>
          <w:color w:val="auto"/>
          <w:szCs w:val="21"/>
        </w:rPr>
        <w:t xml:space="preserve">  </w:t>
      </w:r>
      <w:bookmarkStart w:id="142" w:name="_Toc318581157"/>
    </w:p>
    <w:p>
      <w:pPr>
        <w:spacing w:line="400" w:lineRule="exact"/>
        <w:ind w:firstLine="420" w:firstLineChars="200"/>
        <w:jc w:val="left"/>
        <w:rPr>
          <w:rFonts w:ascii="宋体" w:hAnsi="宋体"/>
          <w:color w:val="auto"/>
          <w:szCs w:val="21"/>
        </w:rPr>
      </w:pPr>
      <w:r>
        <w:rPr>
          <w:rFonts w:ascii="宋体" w:hAnsi="宋体"/>
          <w:color w:val="auto"/>
          <w:szCs w:val="21"/>
        </w:rPr>
        <w:t>1.10.4超大件和超重件的运输</w:t>
      </w:r>
    </w:p>
    <w:p>
      <w:pPr>
        <w:spacing w:line="400" w:lineRule="exact"/>
        <w:ind w:firstLine="420" w:firstLineChars="200"/>
        <w:jc w:val="left"/>
        <w:rPr>
          <w:rFonts w:ascii="宋体" w:hAnsi="宋体"/>
          <w:color w:val="auto"/>
          <w:szCs w:val="21"/>
        </w:rPr>
      </w:pPr>
      <w:r>
        <w:rPr>
          <w:rFonts w:ascii="宋体" w:hAnsi="宋体"/>
          <w:color w:val="auto"/>
          <w:szCs w:val="21"/>
        </w:rPr>
        <w:t>运输超大件或超重件所需的道路和桥梁临时加固改造费用和其他有关费用由</w:t>
      </w:r>
      <w:r>
        <w:rPr>
          <w:rFonts w:ascii="宋体" w:hAnsi="宋体"/>
          <w:color w:val="auto"/>
          <w:szCs w:val="21"/>
          <w:u w:val="single"/>
        </w:rPr>
        <w:t xml:space="preserve">         </w:t>
      </w:r>
      <w:r>
        <w:rPr>
          <w:rFonts w:ascii="宋体" w:hAnsi="宋体"/>
          <w:color w:val="auto"/>
          <w:szCs w:val="21"/>
        </w:rPr>
        <w:t>承担。</w:t>
      </w:r>
    </w:p>
    <w:bookmarkEnd w:id="142"/>
    <w:p>
      <w:pPr>
        <w:spacing w:after="120" w:line="400" w:lineRule="exact"/>
        <w:ind w:firstLine="420" w:firstLineChars="200"/>
        <w:rPr>
          <w:rFonts w:ascii="宋体" w:hAnsi="宋体"/>
          <w:color w:val="auto"/>
          <w:szCs w:val="21"/>
        </w:rPr>
      </w:pPr>
      <w:r>
        <w:rPr>
          <w:rFonts w:ascii="宋体" w:hAnsi="宋体"/>
          <w:color w:val="auto"/>
          <w:szCs w:val="21"/>
        </w:rPr>
        <w:t>1.11 知识产权</w:t>
      </w:r>
    </w:p>
    <w:p>
      <w:pPr>
        <w:spacing w:line="400" w:lineRule="exact"/>
        <w:jc w:val="left"/>
        <w:rPr>
          <w:rFonts w:ascii="宋体" w:hAnsi="宋体"/>
          <w:color w:val="auto"/>
          <w:szCs w:val="21"/>
        </w:rPr>
      </w:pPr>
      <w:r>
        <w:rPr>
          <w:rFonts w:ascii="宋体" w:hAnsi="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关于发包人提供的上述文件的使用限制的要求：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1.11.2 关于承包人为实施工程所编制文件的著作权的归属：</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关于承包人提供的上述文件的使用限制的要求：</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1.11.4 承包人在施工过程中所采用的专利、专有技术、技术秘密的使用费的承担方式：</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1.13工程量清单错误的修正</w:t>
      </w:r>
    </w:p>
    <w:p>
      <w:pPr>
        <w:spacing w:line="400" w:lineRule="exact"/>
        <w:ind w:firstLine="420" w:firstLineChars="200"/>
        <w:jc w:val="left"/>
        <w:rPr>
          <w:rFonts w:ascii="宋体" w:hAnsi="宋体"/>
          <w:color w:val="auto"/>
          <w:szCs w:val="21"/>
        </w:rPr>
      </w:pPr>
      <w:r>
        <w:rPr>
          <w:rFonts w:hint="eastAsia" w:ascii="宋体" w:hAnsi="宋体"/>
          <w:color w:val="auto"/>
          <w:szCs w:val="21"/>
        </w:rPr>
        <w:t>出现工程量清单错误时，是否调整合同价格：</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允许调整合同价格的工程量偏差范围：</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5"/>
        <w:spacing w:before="120" w:after="120" w:line="400" w:lineRule="exact"/>
        <w:rPr>
          <w:rFonts w:ascii="宋体" w:hAnsi="宋体" w:eastAsia="宋体"/>
          <w:b w:val="0"/>
          <w:color w:val="auto"/>
          <w:sz w:val="21"/>
          <w:szCs w:val="21"/>
        </w:rPr>
      </w:pPr>
      <w:bookmarkStart w:id="143" w:name="_Toc351203634"/>
      <w:r>
        <w:rPr>
          <w:rFonts w:ascii="宋体" w:hAnsi="宋体" w:eastAsia="宋体"/>
          <w:b w:val="0"/>
          <w:color w:val="auto"/>
          <w:sz w:val="21"/>
          <w:szCs w:val="21"/>
        </w:rPr>
        <w:t>2</w:t>
      </w:r>
      <w:bookmarkStart w:id="144" w:name="_Toc297120457"/>
      <w:bookmarkStart w:id="145" w:name="_Toc296890985"/>
      <w:bookmarkStart w:id="146" w:name="_Toc292559867"/>
      <w:bookmarkStart w:id="147" w:name="_Toc296347156"/>
      <w:bookmarkStart w:id="148" w:name="_Toc296891197"/>
      <w:bookmarkStart w:id="149" w:name="_Toc296944496"/>
      <w:bookmarkStart w:id="150" w:name="_Toc297048343"/>
      <w:bookmarkStart w:id="151" w:name="_Toc296503157"/>
      <w:bookmarkStart w:id="152" w:name="_Toc296346658"/>
      <w:bookmarkStart w:id="153" w:name="_Toc292559362"/>
      <w:r>
        <w:rPr>
          <w:rFonts w:ascii="宋体" w:hAnsi="宋体" w:eastAsia="宋体"/>
          <w:b w:val="0"/>
          <w:color w:val="auto"/>
          <w:sz w:val="21"/>
          <w:szCs w:val="21"/>
        </w:rPr>
        <w:t>. 发包人</w:t>
      </w:r>
      <w:bookmarkEnd w:id="143"/>
    </w:p>
    <w:bookmarkEnd w:id="144"/>
    <w:bookmarkEnd w:id="145"/>
    <w:bookmarkEnd w:id="146"/>
    <w:bookmarkEnd w:id="147"/>
    <w:bookmarkEnd w:id="148"/>
    <w:bookmarkEnd w:id="149"/>
    <w:bookmarkEnd w:id="150"/>
    <w:bookmarkEnd w:id="151"/>
    <w:bookmarkEnd w:id="152"/>
    <w:bookmarkEnd w:id="153"/>
    <w:p>
      <w:pPr>
        <w:spacing w:after="120" w:line="400" w:lineRule="exact"/>
        <w:ind w:firstLine="420" w:firstLineChars="200"/>
        <w:rPr>
          <w:rFonts w:ascii="宋体" w:hAnsi="宋体"/>
          <w:color w:val="auto"/>
          <w:szCs w:val="21"/>
        </w:rPr>
      </w:pPr>
      <w:r>
        <w:rPr>
          <w:rFonts w:ascii="宋体" w:hAnsi="宋体"/>
          <w:color w:val="auto"/>
          <w:szCs w:val="21"/>
        </w:rPr>
        <w:t>2.2 发包人代表</w:t>
      </w:r>
    </w:p>
    <w:p>
      <w:pPr>
        <w:spacing w:line="400" w:lineRule="exact"/>
        <w:ind w:firstLine="420" w:firstLineChars="200"/>
        <w:rPr>
          <w:rFonts w:ascii="宋体" w:hAnsi="宋体"/>
          <w:color w:val="auto"/>
          <w:szCs w:val="21"/>
        </w:rPr>
      </w:pPr>
      <w:r>
        <w:rPr>
          <w:rFonts w:ascii="宋体" w:hAnsi="宋体"/>
          <w:color w:val="auto"/>
          <w:szCs w:val="21"/>
        </w:rPr>
        <w:t>发包人代表：</w:t>
      </w:r>
    </w:p>
    <w:p>
      <w:pPr>
        <w:spacing w:line="400" w:lineRule="exact"/>
        <w:ind w:firstLine="420" w:firstLineChars="200"/>
        <w:rPr>
          <w:rFonts w:ascii="宋体" w:hAnsi="宋体"/>
          <w:color w:val="auto"/>
          <w:szCs w:val="21"/>
        </w:rPr>
      </w:pPr>
      <w:r>
        <w:rPr>
          <w:rFonts w:ascii="宋体" w:hAnsi="宋体"/>
          <w:color w:val="auto"/>
          <w:szCs w:val="21"/>
        </w:rPr>
        <w:t>姓    名：</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身份证号：</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职    务：</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通信地址：</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b/>
          <w:color w:val="auto"/>
          <w:szCs w:val="21"/>
        </w:rPr>
      </w:pPr>
      <w:r>
        <w:rPr>
          <w:rFonts w:ascii="宋体" w:hAnsi="宋体"/>
          <w:color w:val="auto"/>
          <w:szCs w:val="21"/>
        </w:rPr>
        <w:t>发包人对发包人代表的授权范围如下：</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2.4 施工现场、施工条件和基础资料的提供</w:t>
      </w:r>
    </w:p>
    <w:p>
      <w:pPr>
        <w:spacing w:line="400" w:lineRule="exact"/>
        <w:ind w:firstLine="420" w:firstLineChars="200"/>
        <w:rPr>
          <w:rFonts w:ascii="宋体" w:hAnsi="宋体"/>
          <w:color w:val="auto"/>
          <w:szCs w:val="21"/>
        </w:rPr>
      </w:pPr>
      <w:r>
        <w:rPr>
          <w:rFonts w:ascii="宋体" w:hAnsi="宋体"/>
          <w:color w:val="auto"/>
          <w:szCs w:val="21"/>
        </w:rPr>
        <w:t>2.4.1 提供施工现场</w:t>
      </w:r>
    </w:p>
    <w:p>
      <w:pPr>
        <w:spacing w:line="400" w:lineRule="exact"/>
        <w:ind w:firstLine="420" w:firstLineChars="200"/>
        <w:jc w:val="left"/>
        <w:rPr>
          <w:rFonts w:ascii="宋体" w:hAnsi="宋体"/>
          <w:color w:val="auto"/>
          <w:szCs w:val="21"/>
        </w:rPr>
      </w:pPr>
      <w:r>
        <w:rPr>
          <w:rFonts w:ascii="宋体" w:hAnsi="宋体"/>
          <w:color w:val="auto"/>
          <w:szCs w:val="21"/>
        </w:rPr>
        <w:t>关于发包人移交施工现场的期限要求：</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2.4.2 提供施工条件</w:t>
      </w:r>
    </w:p>
    <w:p>
      <w:pPr>
        <w:spacing w:line="400" w:lineRule="exact"/>
        <w:ind w:firstLine="420" w:firstLineChars="200"/>
        <w:rPr>
          <w:rFonts w:ascii="宋体" w:hAnsi="宋体"/>
          <w:color w:val="auto"/>
          <w:szCs w:val="21"/>
          <w:u w:val="single"/>
        </w:rPr>
      </w:pPr>
      <w:r>
        <w:rPr>
          <w:rFonts w:ascii="宋体" w:hAnsi="宋体"/>
          <w:color w:val="auto"/>
          <w:szCs w:val="21"/>
        </w:rPr>
        <w:t>关于发包人应负责提供施工</w:t>
      </w:r>
      <w:r>
        <w:rPr>
          <w:rFonts w:hint="eastAsia" w:ascii="宋体" w:hAnsi="宋体"/>
          <w:color w:val="auto"/>
          <w:szCs w:val="21"/>
        </w:rPr>
        <w:t>所需要的条件，</w:t>
      </w:r>
      <w:r>
        <w:rPr>
          <w:rFonts w:ascii="宋体" w:hAnsi="宋体"/>
          <w:color w:val="auto"/>
          <w:szCs w:val="21"/>
        </w:rPr>
        <w:t>包括：</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2.5 资金来源证明及支付担保</w:t>
      </w:r>
    </w:p>
    <w:p>
      <w:pPr>
        <w:spacing w:line="400" w:lineRule="exact"/>
        <w:ind w:firstLine="420" w:firstLineChars="200"/>
        <w:rPr>
          <w:rFonts w:ascii="宋体" w:hAnsi="宋体"/>
          <w:color w:val="auto"/>
          <w:szCs w:val="21"/>
        </w:rPr>
      </w:pPr>
      <w:r>
        <w:rPr>
          <w:rFonts w:ascii="宋体" w:hAnsi="宋体"/>
          <w:color w:val="auto"/>
          <w:szCs w:val="21"/>
        </w:rPr>
        <w:t>发包人提供资金来源证明的期限要求：</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发包人是否提供支付担保：</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u w:val="single"/>
        </w:rPr>
      </w:pPr>
      <w:r>
        <w:rPr>
          <w:rFonts w:ascii="宋体" w:hAnsi="宋体"/>
          <w:color w:val="auto"/>
          <w:szCs w:val="21"/>
        </w:rPr>
        <w:t>发包人提供支付担保的形式：</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pStyle w:val="5"/>
        <w:spacing w:before="120" w:after="120" w:line="400" w:lineRule="exact"/>
        <w:rPr>
          <w:rFonts w:ascii="宋体" w:hAnsi="宋体" w:eastAsia="宋体"/>
          <w:b w:val="0"/>
          <w:color w:val="auto"/>
          <w:sz w:val="21"/>
          <w:szCs w:val="21"/>
        </w:rPr>
      </w:pPr>
      <w:bookmarkStart w:id="154" w:name="_Toc351203635"/>
      <w:r>
        <w:rPr>
          <w:rFonts w:ascii="宋体" w:hAnsi="宋体" w:eastAsia="宋体"/>
          <w:b w:val="0"/>
          <w:color w:val="auto"/>
          <w:sz w:val="21"/>
          <w:szCs w:val="21"/>
        </w:rPr>
        <w:t>3</w:t>
      </w:r>
      <w:bookmarkStart w:id="155" w:name="_Toc296944497"/>
      <w:bookmarkStart w:id="156" w:name="_Toc296890986"/>
      <w:bookmarkStart w:id="157" w:name="_Toc296346659"/>
      <w:bookmarkStart w:id="158" w:name="_Toc297120458"/>
      <w:bookmarkStart w:id="159" w:name="_Toc296347157"/>
      <w:bookmarkStart w:id="160" w:name="_Toc292559868"/>
      <w:bookmarkStart w:id="161" w:name="_Toc297048344"/>
      <w:bookmarkStart w:id="162" w:name="_Toc292559363"/>
      <w:bookmarkStart w:id="163" w:name="_Toc296503158"/>
      <w:bookmarkStart w:id="164" w:name="_Toc296891198"/>
      <w:r>
        <w:rPr>
          <w:rFonts w:ascii="宋体" w:hAnsi="宋体" w:eastAsia="宋体"/>
          <w:b w:val="0"/>
          <w:color w:val="auto"/>
          <w:sz w:val="21"/>
          <w:szCs w:val="21"/>
        </w:rPr>
        <w:t>. 承包人</w:t>
      </w:r>
      <w:bookmarkEnd w:id="154"/>
    </w:p>
    <w:bookmarkEnd w:id="155"/>
    <w:bookmarkEnd w:id="156"/>
    <w:bookmarkEnd w:id="157"/>
    <w:bookmarkEnd w:id="158"/>
    <w:bookmarkEnd w:id="159"/>
    <w:bookmarkEnd w:id="160"/>
    <w:bookmarkEnd w:id="161"/>
    <w:bookmarkEnd w:id="162"/>
    <w:bookmarkEnd w:id="163"/>
    <w:bookmarkEnd w:id="164"/>
    <w:p>
      <w:pPr>
        <w:spacing w:after="120" w:line="400" w:lineRule="exact"/>
        <w:ind w:firstLine="420" w:firstLineChars="200"/>
        <w:rPr>
          <w:rFonts w:ascii="宋体" w:hAnsi="宋体"/>
          <w:color w:val="auto"/>
          <w:szCs w:val="21"/>
        </w:rPr>
      </w:pPr>
      <w:r>
        <w:rPr>
          <w:rFonts w:ascii="宋体" w:hAnsi="宋体"/>
          <w:color w:val="auto"/>
          <w:szCs w:val="21"/>
        </w:rPr>
        <w:t>3.1 承包人的一般义务</w:t>
      </w:r>
    </w:p>
    <w:p>
      <w:pPr>
        <w:spacing w:line="400" w:lineRule="exact"/>
        <w:ind w:firstLine="420" w:firstLineChars="200"/>
        <w:rPr>
          <w:rFonts w:ascii="宋体" w:hAnsi="宋体"/>
          <w:color w:val="auto"/>
          <w:szCs w:val="21"/>
        </w:rPr>
      </w:pPr>
      <w:r>
        <w:rPr>
          <w:rFonts w:ascii="宋体" w:hAnsi="宋体"/>
          <w:color w:val="auto"/>
          <w:szCs w:val="21"/>
        </w:rPr>
        <w:t>（5）承包人提交的竣工资料的内容：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承包人需要提交的竣工资料套数：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承包人提交的竣工资料的费用承担：</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承包人提交的竣工资料移交时间：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hint="eastAsia" w:ascii="宋体" w:hAnsi="宋体"/>
          <w:color w:val="auto"/>
          <w:szCs w:val="21"/>
        </w:rPr>
      </w:pPr>
      <w:r>
        <w:rPr>
          <w:rFonts w:ascii="宋体" w:hAnsi="宋体"/>
          <w:color w:val="auto"/>
          <w:szCs w:val="21"/>
        </w:rPr>
        <w:t>承包人提交的竣工资料形式要求：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（6）承包人应履行的其他义务：</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3.2 项目负责人</w:t>
      </w:r>
    </w:p>
    <w:p>
      <w:pPr>
        <w:spacing w:line="400" w:lineRule="exact"/>
        <w:ind w:firstLine="420" w:firstLineChars="200"/>
        <w:rPr>
          <w:rFonts w:ascii="宋体" w:hAnsi="宋体"/>
          <w:color w:val="auto"/>
          <w:szCs w:val="21"/>
        </w:rPr>
      </w:pPr>
      <w:r>
        <w:rPr>
          <w:rFonts w:ascii="宋体" w:hAnsi="宋体"/>
          <w:color w:val="auto"/>
          <w:szCs w:val="21"/>
        </w:rPr>
        <w:t>3.2.1 项目负责人：</w:t>
      </w:r>
    </w:p>
    <w:p>
      <w:pPr>
        <w:spacing w:line="400" w:lineRule="exact"/>
        <w:ind w:firstLine="420" w:firstLineChars="200"/>
        <w:rPr>
          <w:rFonts w:ascii="宋体" w:hAnsi="宋体"/>
          <w:color w:val="auto"/>
          <w:szCs w:val="21"/>
        </w:rPr>
      </w:pPr>
      <w:r>
        <w:rPr>
          <w:rFonts w:ascii="宋体" w:hAnsi="宋体"/>
          <w:color w:val="auto"/>
          <w:szCs w:val="21"/>
        </w:rPr>
        <w:t>姓    名：</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身份证号：</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建造师执业资格等级：</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建造师注册证书号：</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建造师执业印章号：</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安全生产考核合格证书号：</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通信地址：</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承包人对项目负责人的授权范围如下：</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关于项目负责人每月在施工现场的时间要求：</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承包人未提交劳动合同，以及没有为项目负责人缴纳社会保险证明的违约责任：</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项目负责人未经批准，擅自离开施工现场的违约责任：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3.2.3 承包人擅自更换项目负责人的违约责任：</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 xml:space="preserve">    3.2.4 承包人无正当理由拒绝更换项目负责人的违约责任：</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3.3 承包人人员</w:t>
      </w:r>
    </w:p>
    <w:p>
      <w:pPr>
        <w:spacing w:line="400" w:lineRule="exact"/>
        <w:ind w:firstLine="420" w:firstLineChars="200"/>
        <w:jc w:val="left"/>
        <w:rPr>
          <w:rFonts w:ascii="宋体" w:hAnsi="宋体"/>
          <w:color w:val="auto"/>
          <w:szCs w:val="21"/>
        </w:rPr>
      </w:pPr>
      <w:r>
        <w:rPr>
          <w:rFonts w:ascii="宋体" w:hAnsi="宋体"/>
          <w:color w:val="auto"/>
          <w:szCs w:val="21"/>
        </w:rPr>
        <w:t>3.3.1 承包人提交项目管理机构及施工现场管理人员安排报告的期限：</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3.3.3 承包人无正当理由拒绝撤换主要施工管理人员的违约责任：</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u w:val="single"/>
        </w:rPr>
      </w:pPr>
      <w:r>
        <w:rPr>
          <w:rFonts w:ascii="宋体" w:hAnsi="宋体"/>
          <w:color w:val="auto"/>
          <w:szCs w:val="21"/>
        </w:rPr>
        <w:t xml:space="preserve">3.3.4 承包人主要施工管理人员离开施工现场的批准要求：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3.3.5承包人擅自更换主要施工管理人员的违约责任：</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承包人主要施工管理人员擅自离开施工现场的违约责任：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3</w:t>
      </w:r>
      <w:bookmarkStart w:id="165" w:name="_Toc312677988"/>
      <w:bookmarkStart w:id="166" w:name="_Toc304295523"/>
      <w:bookmarkStart w:id="167" w:name="_Toc297123492"/>
      <w:bookmarkStart w:id="168" w:name="_Toc297048345"/>
      <w:bookmarkStart w:id="169" w:name="_Toc297216151"/>
      <w:bookmarkStart w:id="170" w:name="_Toc303539102"/>
      <w:bookmarkStart w:id="171" w:name="_Toc296891199"/>
      <w:bookmarkStart w:id="172" w:name="_Toc300934945"/>
      <w:bookmarkStart w:id="173" w:name="_Toc296503159"/>
      <w:bookmarkStart w:id="174" w:name="_Toc296346660"/>
      <w:bookmarkStart w:id="175" w:name="_Toc292559869"/>
      <w:bookmarkStart w:id="176" w:name="_Toc292559364"/>
      <w:bookmarkStart w:id="177" w:name="_Toc296944498"/>
      <w:bookmarkStart w:id="178" w:name="_Toc296347158"/>
      <w:bookmarkStart w:id="179" w:name="_Toc297120459"/>
      <w:bookmarkStart w:id="180" w:name="_Toc296890987"/>
      <w:r>
        <w:rPr>
          <w:rFonts w:ascii="宋体" w:hAnsi="宋体"/>
          <w:color w:val="auto"/>
          <w:szCs w:val="21"/>
        </w:rPr>
        <w:t>.5 分包</w:t>
      </w: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400" w:lineRule="exact"/>
        <w:ind w:firstLine="420" w:firstLineChars="200"/>
        <w:rPr>
          <w:rFonts w:ascii="宋体" w:hAnsi="宋体"/>
          <w:color w:val="auto"/>
          <w:szCs w:val="21"/>
        </w:rPr>
      </w:pPr>
      <w:r>
        <w:rPr>
          <w:rFonts w:ascii="宋体" w:hAnsi="宋体"/>
          <w:color w:val="auto"/>
          <w:szCs w:val="21"/>
        </w:rPr>
        <w:t>3</w:t>
      </w:r>
      <w:bookmarkStart w:id="181" w:name="_Toc297048346"/>
      <w:bookmarkStart w:id="182" w:name="_Toc300934946"/>
      <w:bookmarkStart w:id="183" w:name="_Toc297120460"/>
      <w:bookmarkStart w:id="184" w:name="_Toc292559870"/>
      <w:bookmarkStart w:id="185" w:name="_Toc296346661"/>
      <w:bookmarkStart w:id="186" w:name="_Toc296890988"/>
      <w:bookmarkStart w:id="187" w:name="_Toc303539103"/>
      <w:bookmarkStart w:id="188" w:name="_Toc297216152"/>
      <w:bookmarkStart w:id="189" w:name="_Toc297123493"/>
      <w:bookmarkStart w:id="190" w:name="_Toc304295524"/>
      <w:bookmarkStart w:id="191" w:name="_Toc296347159"/>
      <w:bookmarkStart w:id="192" w:name="_Toc296944499"/>
      <w:bookmarkStart w:id="193" w:name="_Toc296891200"/>
      <w:bookmarkStart w:id="194" w:name="_Toc296503160"/>
      <w:bookmarkStart w:id="195" w:name="_Toc292559365"/>
      <w:bookmarkStart w:id="196" w:name="_Toc318581158"/>
      <w:bookmarkStart w:id="197" w:name="_Toc312677989"/>
      <w:r>
        <w:rPr>
          <w:rFonts w:ascii="宋体" w:hAnsi="宋体"/>
          <w:color w:val="auto"/>
          <w:szCs w:val="21"/>
        </w:rPr>
        <w:t>.5.1 分包的一般约定</w:t>
      </w:r>
    </w:p>
    <w:p>
      <w:pPr>
        <w:spacing w:line="400" w:lineRule="exact"/>
        <w:ind w:firstLine="420" w:firstLineChars="200"/>
        <w:jc w:val="left"/>
        <w:rPr>
          <w:rFonts w:ascii="宋体" w:hAnsi="宋体"/>
          <w:color w:val="auto"/>
          <w:szCs w:val="21"/>
        </w:rPr>
      </w:pPr>
      <w:r>
        <w:rPr>
          <w:rFonts w:ascii="宋体" w:hAnsi="宋体"/>
          <w:color w:val="auto"/>
          <w:szCs w:val="21"/>
        </w:rPr>
        <w:t>禁止分包的工程包括：</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主体结构、关键性工作的范围：</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Start w:id="198" w:name="_Toc297048347"/>
      <w:bookmarkStart w:id="199" w:name="_Toc296503161"/>
      <w:bookmarkStart w:id="200" w:name="_Toc296891201"/>
      <w:bookmarkStart w:id="201" w:name="_Toc304295525"/>
      <w:bookmarkStart w:id="202" w:name="_Toc297120461"/>
      <w:bookmarkStart w:id="203" w:name="_Toc297123494"/>
      <w:bookmarkStart w:id="204" w:name="_Toc296346662"/>
      <w:bookmarkStart w:id="205" w:name="_Toc296890989"/>
      <w:bookmarkStart w:id="206" w:name="_Toc300934947"/>
      <w:bookmarkStart w:id="207" w:name="_Toc296347160"/>
      <w:bookmarkStart w:id="208" w:name="_Toc303539104"/>
      <w:bookmarkStart w:id="209" w:name="_Toc297216153"/>
      <w:bookmarkStart w:id="210" w:name="_Toc296944500"/>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Pr>
        <w:spacing w:line="400" w:lineRule="exact"/>
        <w:rPr>
          <w:rFonts w:ascii="宋体" w:hAnsi="宋体"/>
          <w:color w:val="auto"/>
          <w:szCs w:val="21"/>
        </w:rPr>
      </w:pPr>
      <w:r>
        <w:rPr>
          <w:rFonts w:ascii="宋体" w:hAnsi="宋体"/>
          <w:color w:val="auto"/>
          <w:szCs w:val="21"/>
        </w:rPr>
        <w:t xml:space="preserve">    3</w:t>
      </w:r>
      <w:bookmarkStart w:id="211" w:name="_Toc318581159"/>
      <w:bookmarkStart w:id="212" w:name="_Toc312677990"/>
      <w:r>
        <w:rPr>
          <w:rFonts w:ascii="宋体" w:hAnsi="宋体"/>
          <w:color w:val="auto"/>
          <w:szCs w:val="21"/>
        </w:rPr>
        <w:t>.5.2分包的确定</w:t>
      </w:r>
    </w:p>
    <w:p>
      <w:pPr>
        <w:spacing w:line="400" w:lineRule="exact"/>
        <w:ind w:firstLine="420" w:firstLineChars="200"/>
        <w:rPr>
          <w:rFonts w:ascii="宋体" w:hAnsi="宋体"/>
          <w:color w:val="auto"/>
          <w:szCs w:val="21"/>
          <w:u w:val="single"/>
        </w:rPr>
      </w:pPr>
      <w:r>
        <w:rPr>
          <w:rFonts w:ascii="宋体" w:hAnsi="宋体"/>
          <w:color w:val="auto"/>
          <w:szCs w:val="21"/>
        </w:rPr>
        <w:t>允许分包的专业工程包括：</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其他关于分包的约定：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3.5.4 分包合同价款</w:t>
      </w:r>
    </w:p>
    <w:p>
      <w:pPr>
        <w:spacing w:line="400" w:lineRule="exact"/>
        <w:ind w:firstLine="420" w:firstLineChars="200"/>
        <w:rPr>
          <w:rFonts w:ascii="宋体" w:hAnsi="宋体"/>
          <w:color w:val="auto"/>
          <w:szCs w:val="21"/>
        </w:rPr>
      </w:pPr>
      <w:r>
        <w:rPr>
          <w:rFonts w:ascii="宋体" w:hAnsi="宋体"/>
          <w:color w:val="auto"/>
          <w:szCs w:val="21"/>
        </w:rPr>
        <w:t>关于分包合同价款支付的约定：</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11"/>
    <w:bookmarkEnd w:id="212"/>
    <w:p>
      <w:pPr>
        <w:spacing w:after="120" w:line="400" w:lineRule="exact"/>
        <w:ind w:firstLine="420" w:firstLineChars="200"/>
        <w:rPr>
          <w:rFonts w:ascii="宋体" w:hAnsi="宋体"/>
          <w:color w:val="auto"/>
          <w:szCs w:val="21"/>
        </w:rPr>
      </w:pPr>
      <w:r>
        <w:rPr>
          <w:rFonts w:ascii="宋体" w:hAnsi="宋体"/>
          <w:color w:val="auto"/>
          <w:szCs w:val="21"/>
        </w:rPr>
        <w:t>3.6 工程照管与成品、半成品保护</w:t>
      </w:r>
    </w:p>
    <w:p>
      <w:pPr>
        <w:spacing w:before="120" w:after="120" w:line="400" w:lineRule="exact"/>
        <w:ind w:firstLine="420" w:firstLineChars="200"/>
        <w:rPr>
          <w:rFonts w:ascii="宋体" w:hAnsi="宋体"/>
          <w:color w:val="auto"/>
          <w:szCs w:val="21"/>
          <w:u w:val="single"/>
        </w:rPr>
      </w:pPr>
      <w:r>
        <w:rPr>
          <w:rFonts w:ascii="宋体" w:hAnsi="宋体"/>
          <w:color w:val="auto"/>
          <w:szCs w:val="21"/>
        </w:rPr>
        <w:t>承包人负责照管工程及工程相关的材料、工程设备的起始时间：</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3.7 履约担保</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承包人是否提供履约担保：</w:t>
      </w:r>
      <w:r>
        <w:rPr>
          <w:rFonts w:ascii="宋体" w:hAnsi="宋体"/>
          <w:color w:val="auto"/>
          <w:szCs w:val="21"/>
          <w:u w:val="single"/>
        </w:rPr>
        <w:t xml:space="preserve">       </w:t>
      </w:r>
      <w:r>
        <w:rPr>
          <w:rFonts w:hint="eastAsia" w:ascii="宋体" w:hAnsi="宋体"/>
          <w:color w:val="auto"/>
          <w:szCs w:val="21"/>
          <w:u w:val="single"/>
        </w:rPr>
        <w:t>按竞争性磋商文件要求提供</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承包人提供履约担保的形式</w:t>
      </w:r>
      <w:r>
        <w:rPr>
          <w:rFonts w:hint="eastAsia" w:ascii="宋体" w:hAnsi="宋体"/>
          <w:color w:val="auto"/>
          <w:szCs w:val="21"/>
        </w:rPr>
        <w:t>、金额及期限的</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按竞争性磋商文件要求提供</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5"/>
        <w:spacing w:before="120" w:after="120" w:line="400" w:lineRule="exact"/>
        <w:rPr>
          <w:rFonts w:ascii="宋体" w:hAnsi="宋体" w:eastAsia="宋体"/>
          <w:b w:val="0"/>
          <w:color w:val="auto"/>
          <w:sz w:val="21"/>
          <w:szCs w:val="21"/>
        </w:rPr>
      </w:pPr>
      <w:bookmarkStart w:id="213" w:name="_Toc351203636"/>
      <w:r>
        <w:rPr>
          <w:rFonts w:ascii="宋体" w:hAnsi="宋体" w:eastAsia="宋体"/>
          <w:b w:val="0"/>
          <w:color w:val="auto"/>
          <w:sz w:val="21"/>
          <w:szCs w:val="21"/>
        </w:rPr>
        <w:t>4</w:t>
      </w:r>
      <w:bookmarkStart w:id="214" w:name="_Toc297120462"/>
      <w:bookmarkStart w:id="215" w:name="_Toc296944501"/>
      <w:bookmarkStart w:id="216" w:name="_Toc296503162"/>
      <w:bookmarkStart w:id="217" w:name="_Toc292559871"/>
      <w:bookmarkStart w:id="218" w:name="_Toc296891202"/>
      <w:bookmarkStart w:id="219" w:name="_Toc292559366"/>
      <w:bookmarkStart w:id="220" w:name="_Toc296890990"/>
      <w:bookmarkStart w:id="221" w:name="_Toc296346663"/>
      <w:bookmarkStart w:id="222" w:name="_Toc297048348"/>
      <w:bookmarkStart w:id="223" w:name="_Toc296347161"/>
      <w:bookmarkStart w:id="224" w:name="_Toc267251413"/>
      <w:r>
        <w:rPr>
          <w:rFonts w:ascii="宋体" w:hAnsi="宋体" w:eastAsia="宋体"/>
          <w:b w:val="0"/>
          <w:color w:val="auto"/>
          <w:sz w:val="21"/>
          <w:szCs w:val="21"/>
        </w:rPr>
        <w:t>. 监</w:t>
      </w:r>
      <w:bookmarkEnd w:id="214"/>
      <w:bookmarkEnd w:id="215"/>
      <w:bookmarkEnd w:id="216"/>
      <w:bookmarkEnd w:id="217"/>
      <w:bookmarkEnd w:id="218"/>
      <w:bookmarkEnd w:id="219"/>
      <w:bookmarkEnd w:id="220"/>
      <w:bookmarkEnd w:id="221"/>
      <w:bookmarkEnd w:id="222"/>
      <w:bookmarkEnd w:id="223"/>
      <w:bookmarkEnd w:id="224"/>
      <w:r>
        <w:rPr>
          <w:rFonts w:ascii="宋体" w:hAnsi="宋体" w:eastAsia="宋体"/>
          <w:b w:val="0"/>
          <w:color w:val="auto"/>
          <w:sz w:val="21"/>
          <w:szCs w:val="21"/>
        </w:rPr>
        <w:t>理人</w:t>
      </w:r>
      <w:bookmarkEnd w:id="213"/>
    </w:p>
    <w:p>
      <w:pPr>
        <w:spacing w:after="120" w:line="400" w:lineRule="exact"/>
        <w:ind w:firstLine="420" w:firstLineChars="200"/>
        <w:rPr>
          <w:rFonts w:ascii="宋体" w:hAnsi="宋体"/>
          <w:color w:val="auto"/>
          <w:szCs w:val="21"/>
        </w:rPr>
      </w:pPr>
      <w:r>
        <w:rPr>
          <w:rFonts w:ascii="宋体" w:hAnsi="宋体"/>
          <w:color w:val="auto"/>
          <w:szCs w:val="21"/>
        </w:rPr>
        <w:t>4.1监理人的一般规定</w:t>
      </w:r>
    </w:p>
    <w:p>
      <w:pPr>
        <w:spacing w:line="400" w:lineRule="exact"/>
        <w:ind w:firstLine="420" w:firstLineChars="200"/>
        <w:jc w:val="left"/>
        <w:rPr>
          <w:rFonts w:ascii="宋体" w:hAnsi="宋体"/>
          <w:color w:val="auto"/>
          <w:szCs w:val="21"/>
        </w:rPr>
      </w:pPr>
      <w:r>
        <w:rPr>
          <w:rFonts w:ascii="宋体" w:hAnsi="宋体"/>
          <w:color w:val="auto"/>
          <w:szCs w:val="21"/>
        </w:rPr>
        <w:t>关于监理人的监理内容：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关于监理人的监理权限：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rPr>
          <w:rFonts w:hint="eastAsia" w:ascii="宋体" w:hAnsi="宋体"/>
          <w:color w:val="auto"/>
          <w:szCs w:val="21"/>
        </w:rPr>
      </w:pPr>
      <w:r>
        <w:rPr>
          <w:rFonts w:ascii="宋体" w:hAnsi="宋体"/>
          <w:color w:val="auto"/>
          <w:szCs w:val="21"/>
        </w:rPr>
        <w:t>关于监理人在施工现场的办公场所、生活场所的提供和费用承担的约定：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4.2 监理人员</w:t>
      </w:r>
    </w:p>
    <w:p>
      <w:pPr>
        <w:spacing w:line="400" w:lineRule="exact"/>
        <w:ind w:firstLine="420" w:firstLineChars="200"/>
        <w:rPr>
          <w:rFonts w:ascii="宋体" w:hAnsi="宋体"/>
          <w:color w:val="auto"/>
          <w:szCs w:val="21"/>
        </w:rPr>
      </w:pPr>
      <w:r>
        <w:rPr>
          <w:rFonts w:ascii="宋体" w:hAnsi="宋体"/>
          <w:color w:val="auto"/>
          <w:szCs w:val="21"/>
        </w:rPr>
        <w:t>总监理工程师：</w:t>
      </w:r>
    </w:p>
    <w:p>
      <w:pPr>
        <w:spacing w:line="400" w:lineRule="exact"/>
        <w:ind w:firstLine="420" w:firstLineChars="200"/>
        <w:rPr>
          <w:rFonts w:ascii="宋体" w:hAnsi="宋体"/>
          <w:color w:val="auto"/>
          <w:szCs w:val="21"/>
        </w:rPr>
      </w:pPr>
      <w:r>
        <w:rPr>
          <w:rFonts w:ascii="宋体" w:hAnsi="宋体"/>
          <w:color w:val="auto"/>
          <w:szCs w:val="21"/>
        </w:rPr>
        <w:t>姓    名：</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职    务：</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监理工程师执业资格证书号：</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通信地址：</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关于监理人的其他约定：</w:t>
      </w:r>
      <w:r>
        <w:rPr>
          <w:rFonts w:hint="eastAsia" w:ascii="宋体" w:hAnsi="宋体" w:cs="宋体"/>
          <w:color w:val="auto"/>
          <w:szCs w:val="21"/>
          <w:u w:val="single"/>
        </w:rPr>
        <w:t>  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4.4 商定或确定</w:t>
      </w:r>
    </w:p>
    <w:p>
      <w:pPr>
        <w:spacing w:line="400" w:lineRule="exact"/>
        <w:ind w:firstLine="420" w:firstLineChars="200"/>
        <w:rPr>
          <w:rFonts w:ascii="宋体" w:hAnsi="宋体"/>
          <w:color w:val="auto"/>
          <w:szCs w:val="21"/>
        </w:rPr>
      </w:pPr>
      <w:bookmarkStart w:id="225" w:name="_Toc267251418"/>
      <w:r>
        <w:rPr>
          <w:rFonts w:ascii="宋体" w:hAnsi="宋体"/>
          <w:color w:val="auto"/>
          <w:szCs w:val="21"/>
        </w:rPr>
        <w:t>在发包人和承包人不能通过协商达成一致意见时，发包人授权监理人对以下事项进行确定：</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（1）</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（2）</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5"/>
        <w:spacing w:before="120" w:after="120" w:line="400" w:lineRule="exact"/>
        <w:rPr>
          <w:rFonts w:ascii="宋体" w:hAnsi="宋体" w:eastAsia="宋体"/>
          <w:b w:val="0"/>
          <w:color w:val="auto"/>
          <w:sz w:val="21"/>
          <w:szCs w:val="21"/>
        </w:rPr>
      </w:pPr>
      <w:bookmarkStart w:id="226" w:name="_Toc351203637"/>
      <w:r>
        <w:rPr>
          <w:rFonts w:ascii="宋体" w:hAnsi="宋体" w:eastAsia="宋体"/>
          <w:b w:val="0"/>
          <w:color w:val="auto"/>
          <w:sz w:val="21"/>
          <w:szCs w:val="21"/>
        </w:rPr>
        <w:t>5</w:t>
      </w:r>
      <w:bookmarkEnd w:id="225"/>
      <w:bookmarkStart w:id="227" w:name="_Toc296890991"/>
      <w:bookmarkStart w:id="228" w:name="_Toc292559367"/>
      <w:bookmarkStart w:id="229" w:name="_Toc296944502"/>
      <w:bookmarkStart w:id="230" w:name="_Toc296503163"/>
      <w:bookmarkStart w:id="231" w:name="_Toc297120463"/>
      <w:bookmarkStart w:id="232" w:name="_Toc296347162"/>
      <w:bookmarkStart w:id="233" w:name="_Toc296346664"/>
      <w:bookmarkStart w:id="234" w:name="_Toc292559872"/>
      <w:bookmarkStart w:id="235" w:name="_Toc296891203"/>
      <w:bookmarkStart w:id="236" w:name="_Toc297048349"/>
      <w:r>
        <w:rPr>
          <w:rFonts w:ascii="宋体" w:hAnsi="宋体" w:eastAsia="宋体"/>
          <w:b w:val="0"/>
          <w:color w:val="auto"/>
          <w:sz w:val="21"/>
          <w:szCs w:val="21"/>
        </w:rPr>
        <w:t>. 工程质量</w:t>
      </w:r>
      <w:bookmarkEnd w:id="226"/>
    </w:p>
    <w:p>
      <w:pPr>
        <w:spacing w:after="120" w:line="400" w:lineRule="exact"/>
        <w:ind w:firstLine="420" w:firstLineChars="200"/>
        <w:rPr>
          <w:rFonts w:ascii="宋体" w:hAnsi="宋体"/>
          <w:color w:val="auto"/>
          <w:szCs w:val="21"/>
        </w:rPr>
      </w:pPr>
      <w:r>
        <w:rPr>
          <w:rFonts w:ascii="宋体" w:hAnsi="宋体"/>
          <w:color w:val="auto"/>
          <w:szCs w:val="21"/>
        </w:rPr>
        <w:t>5.1 质量要求</w:t>
      </w:r>
    </w:p>
    <w:p>
      <w:pPr>
        <w:spacing w:line="400" w:lineRule="exact"/>
        <w:ind w:firstLine="420" w:firstLineChars="200"/>
        <w:rPr>
          <w:rFonts w:ascii="宋体" w:hAnsi="宋体"/>
          <w:color w:val="auto"/>
          <w:szCs w:val="21"/>
        </w:rPr>
      </w:pPr>
      <w:r>
        <w:rPr>
          <w:rFonts w:ascii="宋体" w:hAnsi="宋体"/>
          <w:color w:val="auto"/>
          <w:szCs w:val="21"/>
        </w:rPr>
        <w:t>5</w:t>
      </w:r>
      <w:bookmarkStart w:id="237" w:name="_Toc312677997"/>
      <w:bookmarkStart w:id="238" w:name="_Toc297216155"/>
      <w:bookmarkStart w:id="239" w:name="_Toc304295527"/>
      <w:bookmarkStart w:id="240" w:name="_Toc303539106"/>
      <w:bookmarkStart w:id="241" w:name="_Toc300934949"/>
      <w:bookmarkStart w:id="242" w:name="_Toc297123496"/>
      <w:bookmarkStart w:id="243" w:name="_Toc318581164"/>
      <w:r>
        <w:rPr>
          <w:rFonts w:ascii="宋体" w:hAnsi="宋体"/>
          <w:color w:val="auto"/>
          <w:szCs w:val="21"/>
        </w:rPr>
        <w:t>.1.1 特殊质量标准和要求：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hint="eastAsia" w:ascii="宋体" w:hAnsi="宋体"/>
          <w:color w:val="auto"/>
          <w:szCs w:val="21"/>
        </w:rPr>
      </w:pPr>
      <w:r>
        <w:rPr>
          <w:rFonts w:ascii="宋体" w:hAnsi="宋体"/>
          <w:color w:val="auto"/>
          <w:szCs w:val="21"/>
        </w:rPr>
        <w:t>关于工程奖项的约定：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5.3 隐蔽工程检查</w:t>
      </w:r>
    </w:p>
    <w:p>
      <w:pPr>
        <w:spacing w:line="400" w:lineRule="exact"/>
        <w:ind w:firstLine="420" w:firstLineChars="200"/>
        <w:jc w:val="left"/>
        <w:rPr>
          <w:rFonts w:ascii="宋体" w:hAnsi="宋体"/>
          <w:color w:val="auto"/>
          <w:szCs w:val="21"/>
        </w:rPr>
      </w:pPr>
      <w:r>
        <w:rPr>
          <w:rFonts w:ascii="宋体" w:hAnsi="宋体"/>
          <w:color w:val="auto"/>
          <w:szCs w:val="21"/>
        </w:rPr>
        <w:t>5.3.2承包人提前通知监理人隐蔽工程检查的期限的约定：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监理人不能按时进行检查时，应提前</w:t>
      </w:r>
      <w:r>
        <w:rPr>
          <w:rFonts w:ascii="宋体" w:hAnsi="宋体"/>
          <w:color w:val="auto"/>
          <w:szCs w:val="21"/>
          <w:u w:val="single"/>
        </w:rPr>
        <w:t xml:space="preserve">       </w:t>
      </w:r>
      <w:r>
        <w:rPr>
          <w:rFonts w:ascii="宋体" w:hAnsi="宋体"/>
          <w:color w:val="auto"/>
          <w:szCs w:val="21"/>
        </w:rPr>
        <w:t>小时提交书面延期要求。</w:t>
      </w:r>
    </w:p>
    <w:p>
      <w:pPr>
        <w:spacing w:line="400" w:lineRule="exact"/>
        <w:ind w:firstLine="420" w:firstLineChars="200"/>
        <w:jc w:val="left"/>
        <w:rPr>
          <w:rFonts w:ascii="宋体" w:hAnsi="宋体"/>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ascii="宋体" w:hAnsi="宋体"/>
          <w:color w:val="auto"/>
          <w:szCs w:val="21"/>
        </w:rPr>
        <w:t>小时。</w:t>
      </w:r>
    </w:p>
    <w:p>
      <w:pPr>
        <w:pStyle w:val="5"/>
        <w:spacing w:before="120" w:after="120" w:line="400" w:lineRule="exact"/>
        <w:rPr>
          <w:rFonts w:ascii="宋体" w:hAnsi="宋体" w:eastAsia="宋体"/>
          <w:b w:val="0"/>
          <w:color w:val="auto"/>
          <w:sz w:val="21"/>
          <w:szCs w:val="21"/>
        </w:rPr>
      </w:pPr>
      <w:bookmarkStart w:id="244" w:name="_Toc351203638"/>
      <w:r>
        <w:rPr>
          <w:rFonts w:ascii="宋体" w:hAnsi="宋体" w:eastAsia="宋体"/>
          <w:b w:val="0"/>
          <w:color w:val="auto"/>
          <w:sz w:val="21"/>
          <w:szCs w:val="21"/>
        </w:rPr>
        <w:t>6. 安全文明施工与环境保护</w:t>
      </w:r>
      <w:bookmarkEnd w:id="244"/>
    </w:p>
    <w:p>
      <w:pPr>
        <w:spacing w:after="120" w:line="400" w:lineRule="exact"/>
        <w:ind w:firstLine="420" w:firstLineChars="200"/>
        <w:rPr>
          <w:rFonts w:ascii="宋体" w:hAnsi="宋体"/>
          <w:color w:val="auto"/>
          <w:szCs w:val="21"/>
        </w:rPr>
      </w:pPr>
      <w:r>
        <w:rPr>
          <w:rFonts w:ascii="宋体" w:hAnsi="宋体"/>
          <w:color w:val="auto"/>
          <w:szCs w:val="21"/>
        </w:rPr>
        <w:t>6.1安全文明施工</w:t>
      </w:r>
    </w:p>
    <w:p>
      <w:pPr>
        <w:spacing w:line="400" w:lineRule="exact"/>
        <w:ind w:firstLine="420" w:firstLineChars="200"/>
        <w:rPr>
          <w:rFonts w:ascii="宋体" w:hAnsi="宋体"/>
          <w:color w:val="auto"/>
          <w:szCs w:val="21"/>
        </w:rPr>
      </w:pPr>
      <w:r>
        <w:rPr>
          <w:rFonts w:ascii="宋体" w:hAnsi="宋体"/>
          <w:color w:val="auto"/>
          <w:szCs w:val="21"/>
        </w:rPr>
        <w:t>6.1.1 项目安全生产的达标目标及相应事项的约定：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6.1.4 关于治安保卫的特别约定：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hint="eastAsia" w:ascii="宋体" w:hAnsi="宋体"/>
          <w:color w:val="auto"/>
          <w:szCs w:val="21"/>
        </w:rPr>
      </w:pPr>
      <w:r>
        <w:rPr>
          <w:rFonts w:ascii="宋体" w:hAnsi="宋体"/>
          <w:color w:val="auto"/>
          <w:szCs w:val="21"/>
        </w:rPr>
        <w:t>关于编制施工场地治安管理计划的约定：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6.1.5 文明施工</w:t>
      </w:r>
    </w:p>
    <w:p>
      <w:pPr>
        <w:spacing w:line="400" w:lineRule="exact"/>
        <w:ind w:firstLine="420" w:firstLineChars="200"/>
        <w:rPr>
          <w:rFonts w:ascii="宋体" w:hAnsi="宋体"/>
          <w:color w:val="auto"/>
          <w:szCs w:val="21"/>
        </w:rPr>
      </w:pPr>
      <w:r>
        <w:rPr>
          <w:rFonts w:hint="eastAsia" w:ascii="宋体" w:hAnsi="宋体"/>
          <w:color w:val="auto"/>
          <w:szCs w:val="21"/>
        </w:rPr>
        <w:t>合同当事人对文明施工的要求：</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6.1.6 关于安全文明施工费支付比例和支付期限的约定：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37"/>
    <w:bookmarkEnd w:id="238"/>
    <w:bookmarkEnd w:id="239"/>
    <w:bookmarkEnd w:id="240"/>
    <w:bookmarkEnd w:id="241"/>
    <w:bookmarkEnd w:id="242"/>
    <w:bookmarkEnd w:id="243"/>
    <w:p>
      <w:pPr>
        <w:pStyle w:val="5"/>
        <w:spacing w:before="120" w:after="120" w:line="400" w:lineRule="exact"/>
        <w:rPr>
          <w:rFonts w:ascii="宋体" w:hAnsi="宋体" w:eastAsia="宋体"/>
          <w:b w:val="0"/>
          <w:color w:val="auto"/>
          <w:sz w:val="21"/>
          <w:szCs w:val="21"/>
        </w:rPr>
      </w:pPr>
      <w:bookmarkStart w:id="245" w:name="_Toc351203639"/>
      <w:r>
        <w:rPr>
          <w:rFonts w:ascii="宋体" w:hAnsi="宋体" w:eastAsia="宋体"/>
          <w:b w:val="0"/>
          <w:color w:val="auto"/>
          <w:sz w:val="21"/>
          <w:szCs w:val="21"/>
        </w:rPr>
        <w:t>7. 工期和进度</w:t>
      </w:r>
      <w:bookmarkEnd w:id="245"/>
    </w:p>
    <w:p>
      <w:pPr>
        <w:spacing w:after="120" w:line="400" w:lineRule="exact"/>
        <w:ind w:firstLine="420" w:firstLineChars="200"/>
        <w:rPr>
          <w:rFonts w:ascii="宋体" w:hAnsi="宋体"/>
          <w:color w:val="auto"/>
          <w:szCs w:val="21"/>
        </w:rPr>
      </w:pPr>
      <w:r>
        <w:rPr>
          <w:rFonts w:ascii="宋体" w:hAnsi="宋体"/>
          <w:color w:val="auto"/>
          <w:szCs w:val="21"/>
        </w:rPr>
        <w:t>7.1 施工组织设计</w:t>
      </w:r>
    </w:p>
    <w:p>
      <w:pPr>
        <w:autoSpaceDE w:val="0"/>
        <w:autoSpaceDN w:val="0"/>
        <w:adjustRightInd w:val="0"/>
        <w:spacing w:line="400" w:lineRule="exact"/>
        <w:jc w:val="left"/>
        <w:rPr>
          <w:rFonts w:ascii="宋体" w:hAnsi="宋体"/>
          <w:color w:val="auto"/>
          <w:szCs w:val="21"/>
        </w:rPr>
      </w:pPr>
      <w:r>
        <w:rPr>
          <w:rFonts w:ascii="宋体" w:hAnsi="宋体"/>
          <w:color w:val="auto"/>
          <w:szCs w:val="21"/>
        </w:rPr>
        <w:t>7.1.</w:t>
      </w:r>
      <w:r>
        <w:rPr>
          <w:rFonts w:hint="eastAsia" w:ascii="宋体" w:hAnsi="宋体"/>
          <w:color w:val="auto"/>
          <w:szCs w:val="21"/>
        </w:rPr>
        <w:t>1 合同当事人约定的</w:t>
      </w:r>
      <w:r>
        <w:rPr>
          <w:rFonts w:ascii="宋体" w:hAnsi="宋体"/>
          <w:color w:val="auto"/>
          <w:szCs w:val="21"/>
        </w:rPr>
        <w:t>施工组织设计</w:t>
      </w:r>
      <w:r>
        <w:rPr>
          <w:rFonts w:hint="eastAsia" w:ascii="宋体" w:hAnsi="宋体"/>
          <w:color w:val="auto"/>
          <w:szCs w:val="21"/>
        </w:rPr>
        <w:t>应包括的其他内容</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7.1.2 施工组织设计的提交和修改</w:t>
      </w:r>
    </w:p>
    <w:p>
      <w:pPr>
        <w:spacing w:line="400" w:lineRule="exact"/>
        <w:ind w:firstLine="420" w:firstLineChars="200"/>
        <w:rPr>
          <w:rFonts w:hint="eastAsia" w:ascii="宋体" w:hAnsi="宋体"/>
          <w:color w:val="auto"/>
          <w:szCs w:val="21"/>
        </w:rPr>
      </w:pPr>
      <w:r>
        <w:rPr>
          <w:rFonts w:ascii="宋体" w:hAnsi="宋体"/>
          <w:color w:val="auto"/>
          <w:szCs w:val="21"/>
        </w:rPr>
        <w:t>承包人提交详细施工组织设计的期限的约定：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发包人和监理人在收到</w:t>
      </w:r>
      <w:r>
        <w:rPr>
          <w:rFonts w:hint="eastAsia" w:ascii="宋体" w:hAnsi="宋体"/>
          <w:color w:val="auto"/>
          <w:szCs w:val="21"/>
        </w:rPr>
        <w:t>详细的施工组织设计</w:t>
      </w:r>
      <w:r>
        <w:rPr>
          <w:rFonts w:ascii="宋体" w:hAnsi="宋体"/>
          <w:color w:val="auto"/>
          <w:szCs w:val="21"/>
        </w:rPr>
        <w:t>后确认或提出修改意见的期限：</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7</w:t>
      </w:r>
      <w:bookmarkStart w:id="246" w:name="_Toc312677479"/>
      <w:bookmarkStart w:id="247" w:name="_Toc304295541"/>
      <w:bookmarkStart w:id="248" w:name="_Toc312678005"/>
      <w:bookmarkStart w:id="249" w:name="_Toc303539123"/>
      <w:bookmarkStart w:id="250" w:name="_Toc300934966"/>
      <w:bookmarkStart w:id="251" w:name="_Toc297123514"/>
      <w:bookmarkStart w:id="252" w:name="_Toc297216173"/>
      <w:r>
        <w:rPr>
          <w:rFonts w:ascii="宋体" w:hAnsi="宋体"/>
          <w:color w:val="auto"/>
          <w:szCs w:val="21"/>
        </w:rPr>
        <w:t>.2 施工进度计划</w:t>
      </w:r>
    </w:p>
    <w:p>
      <w:pPr>
        <w:spacing w:line="400" w:lineRule="exact"/>
        <w:ind w:firstLine="420" w:firstLineChars="200"/>
        <w:jc w:val="left"/>
        <w:rPr>
          <w:rFonts w:ascii="宋体" w:hAnsi="宋体"/>
          <w:color w:val="auto"/>
          <w:szCs w:val="21"/>
        </w:rPr>
      </w:pPr>
      <w:r>
        <w:rPr>
          <w:rFonts w:ascii="宋体" w:hAnsi="宋体"/>
          <w:color w:val="auto"/>
          <w:szCs w:val="21"/>
        </w:rPr>
        <w:t>7.2.2 施工进度计划的修订</w:t>
      </w:r>
    </w:p>
    <w:p>
      <w:pPr>
        <w:spacing w:line="400" w:lineRule="exact"/>
        <w:ind w:firstLine="420" w:firstLineChars="200"/>
        <w:jc w:val="left"/>
        <w:rPr>
          <w:rFonts w:ascii="宋体" w:hAnsi="宋体"/>
          <w:color w:val="auto"/>
          <w:szCs w:val="21"/>
        </w:rPr>
      </w:pPr>
      <w:r>
        <w:rPr>
          <w:rFonts w:ascii="宋体" w:hAnsi="宋体"/>
          <w:color w:val="auto"/>
          <w:szCs w:val="21"/>
        </w:rPr>
        <w:t>发包人和监理人在收到修订的施工进度计划后确认或提出修改意见的期限：</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7.3 开工</w:t>
      </w:r>
    </w:p>
    <w:p>
      <w:pPr>
        <w:spacing w:line="400" w:lineRule="exact"/>
        <w:ind w:firstLine="420" w:firstLineChars="200"/>
        <w:jc w:val="left"/>
        <w:rPr>
          <w:rFonts w:ascii="宋体" w:hAnsi="宋体"/>
          <w:color w:val="auto"/>
          <w:szCs w:val="21"/>
        </w:rPr>
      </w:pPr>
      <w:r>
        <w:rPr>
          <w:rFonts w:ascii="宋体" w:hAnsi="宋体"/>
          <w:color w:val="auto"/>
          <w:szCs w:val="21"/>
        </w:rPr>
        <w:t>7.3.1 开工准备</w:t>
      </w:r>
    </w:p>
    <w:p>
      <w:pPr>
        <w:spacing w:line="400" w:lineRule="exact"/>
        <w:ind w:firstLine="420" w:firstLineChars="200"/>
        <w:rPr>
          <w:rFonts w:ascii="宋体" w:hAnsi="宋体"/>
          <w:color w:val="auto"/>
          <w:szCs w:val="21"/>
          <w:u w:val="single"/>
        </w:rPr>
      </w:pPr>
      <w:r>
        <w:rPr>
          <w:rFonts w:ascii="宋体" w:hAnsi="宋体"/>
          <w:color w:val="auto"/>
          <w:szCs w:val="21"/>
        </w:rPr>
        <w:t>关于承包人提交工程开工报审表的期限：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关于发包人应完成的其他开工准备工作及期限：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关于承包人应完成的其他开工准备工作及期限：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7.3.2开工通知</w:t>
      </w:r>
    </w:p>
    <w:p>
      <w:pPr>
        <w:spacing w:line="400" w:lineRule="exact"/>
        <w:ind w:firstLine="420" w:firstLineChars="200"/>
        <w:jc w:val="left"/>
        <w:rPr>
          <w:rFonts w:ascii="宋体" w:hAnsi="宋体"/>
          <w:color w:val="auto"/>
          <w:szCs w:val="21"/>
        </w:rPr>
      </w:pPr>
      <w:r>
        <w:rPr>
          <w:rFonts w:ascii="宋体" w:hAnsi="宋体"/>
          <w:color w:val="auto"/>
          <w:szCs w:val="21"/>
        </w:rPr>
        <w:t>因发包人原因造成监理人未能在计划开工日期之日起</w:t>
      </w:r>
      <w:r>
        <w:rPr>
          <w:rFonts w:ascii="宋体" w:hAnsi="宋体"/>
          <w:color w:val="auto"/>
          <w:szCs w:val="21"/>
          <w:u w:val="single"/>
        </w:rPr>
        <w:t xml:space="preserve">     </w:t>
      </w:r>
      <w:r>
        <w:rPr>
          <w:rFonts w:ascii="宋体" w:hAnsi="宋体"/>
          <w:color w:val="auto"/>
          <w:szCs w:val="21"/>
        </w:rPr>
        <w:t>天内发出开工通知的，承包人有权提出价格调整要求，或者解除合同。</w:t>
      </w:r>
    </w:p>
    <w:bookmarkEnd w:id="246"/>
    <w:bookmarkEnd w:id="247"/>
    <w:bookmarkEnd w:id="248"/>
    <w:bookmarkEnd w:id="249"/>
    <w:bookmarkEnd w:id="250"/>
    <w:bookmarkEnd w:id="251"/>
    <w:bookmarkEnd w:id="252"/>
    <w:p>
      <w:pPr>
        <w:spacing w:after="120" w:line="400" w:lineRule="exact"/>
        <w:ind w:firstLine="420" w:firstLineChars="200"/>
        <w:rPr>
          <w:rFonts w:ascii="宋体" w:hAnsi="宋体"/>
          <w:color w:val="auto"/>
          <w:szCs w:val="21"/>
        </w:rPr>
      </w:pPr>
      <w:r>
        <w:rPr>
          <w:rFonts w:ascii="宋体" w:hAnsi="宋体"/>
          <w:color w:val="auto"/>
          <w:szCs w:val="21"/>
        </w:rPr>
        <w:t>7.4 测量放线</w:t>
      </w:r>
    </w:p>
    <w:p>
      <w:pPr>
        <w:spacing w:line="400" w:lineRule="exact"/>
        <w:ind w:firstLine="420" w:firstLineChars="200"/>
        <w:jc w:val="left"/>
        <w:rPr>
          <w:rFonts w:hint="eastAsia" w:ascii="宋体" w:hAnsi="宋体"/>
          <w:color w:val="auto"/>
          <w:szCs w:val="21"/>
          <w:u w:val="single"/>
        </w:rPr>
      </w:pPr>
      <w:r>
        <w:rPr>
          <w:rFonts w:ascii="宋体" w:hAnsi="宋体"/>
          <w:color w:val="auto"/>
          <w:szCs w:val="21"/>
        </w:rPr>
        <w:t>7.4.1发包人通过监理人向承包人提供测量基准点、基准线和水准点及其书面资料的期限：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7</w:t>
      </w:r>
      <w:bookmarkStart w:id="253" w:name="_Toc300934968"/>
      <w:bookmarkStart w:id="254" w:name="_Toc304295546"/>
      <w:bookmarkStart w:id="255" w:name="_Toc297123516"/>
      <w:bookmarkStart w:id="256" w:name="_Toc312678010"/>
      <w:bookmarkStart w:id="257" w:name="_Toc303539125"/>
      <w:bookmarkStart w:id="258" w:name="_Toc297216175"/>
      <w:bookmarkStart w:id="259" w:name="_Toc312677484"/>
      <w:r>
        <w:rPr>
          <w:rFonts w:ascii="宋体" w:hAnsi="宋体"/>
          <w:color w:val="auto"/>
          <w:szCs w:val="21"/>
        </w:rPr>
        <w:t>.5 工期延误</w:t>
      </w:r>
    </w:p>
    <w:bookmarkEnd w:id="253"/>
    <w:bookmarkEnd w:id="254"/>
    <w:bookmarkEnd w:id="255"/>
    <w:bookmarkEnd w:id="256"/>
    <w:bookmarkEnd w:id="257"/>
    <w:bookmarkEnd w:id="258"/>
    <w:bookmarkEnd w:id="259"/>
    <w:p>
      <w:pPr>
        <w:spacing w:line="400" w:lineRule="exact"/>
        <w:ind w:firstLine="420" w:firstLineChars="200"/>
        <w:jc w:val="left"/>
        <w:rPr>
          <w:rFonts w:ascii="宋体" w:hAnsi="宋体"/>
          <w:color w:val="auto"/>
          <w:szCs w:val="21"/>
        </w:rPr>
      </w:pPr>
      <w:r>
        <w:rPr>
          <w:rFonts w:ascii="宋体" w:hAnsi="宋体"/>
          <w:color w:val="auto"/>
          <w:szCs w:val="21"/>
        </w:rPr>
        <w:t>7.5.1 因发包人原因导致工期延误</w:t>
      </w:r>
    </w:p>
    <w:p>
      <w:pPr>
        <w:spacing w:line="400" w:lineRule="exact"/>
        <w:ind w:firstLine="420" w:firstLineChars="200"/>
        <w:jc w:val="left"/>
        <w:rPr>
          <w:rFonts w:ascii="宋体" w:hAnsi="宋体"/>
          <w:color w:val="auto"/>
          <w:szCs w:val="21"/>
        </w:rPr>
      </w:pPr>
      <w:r>
        <w:rPr>
          <w:rFonts w:ascii="宋体" w:hAnsi="宋体"/>
          <w:color w:val="auto"/>
          <w:szCs w:val="21"/>
        </w:rPr>
        <w:t>（7）因发包人原因导致工期延误的其他情形：</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7</w:t>
      </w:r>
      <w:bookmarkStart w:id="260" w:name="_Toc312678012"/>
      <w:bookmarkStart w:id="261" w:name="_Toc318581169"/>
      <w:bookmarkStart w:id="262" w:name="_Toc312677486"/>
      <w:bookmarkStart w:id="263" w:name="_Toc304295548"/>
      <w:bookmarkStart w:id="264" w:name="_Toc300934970"/>
      <w:bookmarkStart w:id="265" w:name="_Toc297216177"/>
      <w:bookmarkStart w:id="266" w:name="_Toc303539127"/>
      <w:bookmarkStart w:id="267" w:name="_Toc297123518"/>
      <w:r>
        <w:rPr>
          <w:rFonts w:ascii="宋体" w:hAnsi="宋体"/>
          <w:color w:val="auto"/>
          <w:szCs w:val="21"/>
        </w:rPr>
        <w:t>.5.2 因承包人原因导致工期延误</w:t>
      </w:r>
    </w:p>
    <w:bookmarkEnd w:id="260"/>
    <w:bookmarkEnd w:id="261"/>
    <w:bookmarkEnd w:id="262"/>
    <w:p>
      <w:pPr>
        <w:spacing w:line="400" w:lineRule="exact"/>
        <w:ind w:firstLine="420" w:firstLineChars="200"/>
        <w:jc w:val="left"/>
        <w:rPr>
          <w:rFonts w:ascii="宋体" w:hAnsi="宋体"/>
          <w:color w:val="auto"/>
          <w:szCs w:val="21"/>
        </w:rPr>
      </w:pPr>
      <w:r>
        <w:rPr>
          <w:rFonts w:ascii="宋体" w:hAnsi="宋体"/>
          <w:color w:val="auto"/>
          <w:szCs w:val="21"/>
        </w:rPr>
        <w:t>因</w:t>
      </w:r>
      <w:bookmarkStart w:id="268" w:name="_Toc312677487"/>
      <w:bookmarkStart w:id="269" w:name="_Toc312678013"/>
      <w:bookmarkStart w:id="270" w:name="_Toc318581170"/>
      <w:r>
        <w:rPr>
          <w:rFonts w:ascii="宋体" w:hAnsi="宋体"/>
          <w:color w:val="auto"/>
          <w:szCs w:val="21"/>
        </w:rPr>
        <w:t>承包人原因造成工期延误，逾期竣工违约金的计算方法为：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263"/>
      <w:bookmarkEnd w:id="264"/>
      <w:bookmarkEnd w:id="265"/>
      <w:bookmarkEnd w:id="266"/>
      <w:bookmarkEnd w:id="267"/>
      <w:bookmarkEnd w:id="268"/>
      <w:bookmarkEnd w:id="269"/>
    </w:p>
    <w:bookmarkEnd w:id="270"/>
    <w:p>
      <w:pPr>
        <w:spacing w:line="400" w:lineRule="exact"/>
        <w:ind w:firstLine="420" w:firstLineChars="200"/>
        <w:jc w:val="left"/>
        <w:rPr>
          <w:rFonts w:ascii="宋体" w:hAnsi="宋体"/>
          <w:color w:val="auto"/>
          <w:szCs w:val="21"/>
        </w:rPr>
      </w:pPr>
      <w:r>
        <w:rPr>
          <w:rFonts w:ascii="宋体" w:hAnsi="宋体"/>
          <w:color w:val="auto"/>
          <w:szCs w:val="21"/>
        </w:rPr>
        <w:t>因承包人原因造成工期延误，逾</w:t>
      </w:r>
      <w:bookmarkStart w:id="271" w:name="_Toc318581171"/>
      <w:bookmarkStart w:id="272" w:name="_Toc312678014"/>
      <w:r>
        <w:rPr>
          <w:rFonts w:ascii="宋体" w:hAnsi="宋体"/>
          <w:color w:val="auto"/>
          <w:szCs w:val="21"/>
        </w:rPr>
        <w:t>期竣工违约金的上限：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71"/>
    <w:bookmarkEnd w:id="272"/>
    <w:p>
      <w:pPr>
        <w:spacing w:after="120" w:line="400" w:lineRule="exact"/>
        <w:ind w:firstLine="420" w:firstLineChars="200"/>
        <w:rPr>
          <w:rFonts w:ascii="宋体" w:hAnsi="宋体"/>
          <w:color w:val="auto"/>
          <w:szCs w:val="21"/>
        </w:rPr>
      </w:pPr>
      <w:r>
        <w:rPr>
          <w:rFonts w:ascii="宋体" w:hAnsi="宋体"/>
          <w:color w:val="auto"/>
          <w:szCs w:val="21"/>
        </w:rPr>
        <w:t>7</w:t>
      </w:r>
      <w:bookmarkStart w:id="273" w:name="_Toc304295549"/>
      <w:bookmarkStart w:id="274" w:name="_Toc303539128"/>
      <w:bookmarkStart w:id="275" w:name="_Toc312678015"/>
      <w:bookmarkStart w:id="276" w:name="_Toc300934971"/>
      <w:bookmarkStart w:id="277" w:name="_Toc297123519"/>
      <w:bookmarkStart w:id="278" w:name="_Toc297216178"/>
      <w:r>
        <w:rPr>
          <w:rFonts w:ascii="宋体" w:hAnsi="宋体"/>
          <w:color w:val="auto"/>
          <w:szCs w:val="21"/>
        </w:rPr>
        <w:t>.6 不</w:t>
      </w:r>
      <w:bookmarkEnd w:id="273"/>
      <w:bookmarkEnd w:id="274"/>
      <w:bookmarkEnd w:id="275"/>
      <w:bookmarkEnd w:id="276"/>
      <w:bookmarkEnd w:id="277"/>
      <w:bookmarkEnd w:id="278"/>
      <w:r>
        <w:rPr>
          <w:rFonts w:ascii="宋体" w:hAnsi="宋体"/>
          <w:color w:val="auto"/>
          <w:szCs w:val="21"/>
        </w:rPr>
        <w:t>利物质条件</w:t>
      </w:r>
    </w:p>
    <w:p>
      <w:pPr>
        <w:spacing w:line="400" w:lineRule="exact"/>
        <w:ind w:firstLine="420" w:firstLineChars="200"/>
        <w:jc w:val="left"/>
        <w:rPr>
          <w:rFonts w:ascii="宋体" w:hAnsi="宋体"/>
          <w:color w:val="auto"/>
          <w:szCs w:val="21"/>
        </w:rPr>
      </w:pPr>
      <w:bookmarkStart w:id="279" w:name="_Toc300934972"/>
      <w:bookmarkStart w:id="280" w:name="_Toc297216179"/>
      <w:bookmarkStart w:id="281" w:name="_Toc297123520"/>
      <w:bookmarkStart w:id="282" w:name="_Toc312678016"/>
      <w:bookmarkStart w:id="283" w:name="_Toc304295550"/>
      <w:bookmarkStart w:id="284" w:name="_Toc318581172"/>
      <w:bookmarkStart w:id="285" w:name="_Toc303539129"/>
      <w:r>
        <w:rPr>
          <w:rFonts w:ascii="宋体" w:hAnsi="宋体"/>
          <w:color w:val="auto"/>
          <w:szCs w:val="21"/>
        </w:rPr>
        <w:t>不利物质条件的其他情形和有关约定：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79"/>
    <w:bookmarkEnd w:id="280"/>
    <w:bookmarkEnd w:id="281"/>
    <w:bookmarkEnd w:id="282"/>
    <w:bookmarkEnd w:id="283"/>
    <w:bookmarkEnd w:id="284"/>
    <w:bookmarkEnd w:id="285"/>
    <w:p>
      <w:pPr>
        <w:spacing w:after="120" w:line="400" w:lineRule="exact"/>
        <w:ind w:firstLine="420" w:firstLineChars="200"/>
        <w:rPr>
          <w:rFonts w:ascii="宋体" w:hAnsi="宋体"/>
          <w:color w:val="auto"/>
          <w:szCs w:val="21"/>
        </w:rPr>
      </w:pPr>
      <w:r>
        <w:rPr>
          <w:rFonts w:ascii="宋体" w:hAnsi="宋体"/>
          <w:color w:val="auto"/>
          <w:szCs w:val="21"/>
        </w:rPr>
        <w:t>7</w:t>
      </w:r>
      <w:bookmarkStart w:id="286" w:name="_Toc304295551"/>
      <w:bookmarkStart w:id="287" w:name="_Toc300934973"/>
      <w:bookmarkStart w:id="288" w:name="_Toc312678017"/>
      <w:bookmarkStart w:id="289" w:name="_Toc303539130"/>
      <w:bookmarkStart w:id="290" w:name="_Toc297216180"/>
      <w:bookmarkStart w:id="291" w:name="_Toc297123521"/>
      <w:r>
        <w:rPr>
          <w:rFonts w:ascii="宋体" w:hAnsi="宋体"/>
          <w:color w:val="auto"/>
          <w:szCs w:val="21"/>
        </w:rPr>
        <w:t>.7异常恶劣的气候条件</w:t>
      </w:r>
    </w:p>
    <w:bookmarkEnd w:id="286"/>
    <w:bookmarkEnd w:id="287"/>
    <w:bookmarkEnd w:id="288"/>
    <w:bookmarkEnd w:id="289"/>
    <w:bookmarkEnd w:id="290"/>
    <w:bookmarkEnd w:id="291"/>
    <w:p>
      <w:pPr>
        <w:spacing w:line="400" w:lineRule="exact"/>
        <w:ind w:firstLine="420" w:firstLineChars="200"/>
        <w:jc w:val="left"/>
        <w:rPr>
          <w:rFonts w:ascii="宋体" w:hAnsi="宋体"/>
          <w:color w:val="auto"/>
          <w:szCs w:val="21"/>
        </w:rPr>
      </w:pPr>
      <w:r>
        <w:rPr>
          <w:rFonts w:ascii="宋体" w:hAnsi="宋体"/>
          <w:color w:val="auto"/>
          <w:szCs w:val="21"/>
        </w:rPr>
        <w:t>发包人和承包人同意以下情形视为异常恶劣的气候条件：</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7.9 提前竣工的奖励</w:t>
      </w:r>
    </w:p>
    <w:p>
      <w:pPr>
        <w:spacing w:line="400" w:lineRule="exact"/>
        <w:ind w:firstLine="420" w:firstLineChars="200"/>
        <w:jc w:val="left"/>
        <w:rPr>
          <w:rFonts w:hint="eastAsia" w:ascii="宋体" w:hAnsi="宋体"/>
          <w:color w:val="auto"/>
          <w:szCs w:val="21"/>
        </w:rPr>
      </w:pPr>
      <w:r>
        <w:rPr>
          <w:rFonts w:ascii="宋体" w:hAnsi="宋体"/>
          <w:color w:val="auto"/>
          <w:szCs w:val="21"/>
        </w:rPr>
        <w:t>7.9.2提前竣工的奖励：</w:t>
      </w:r>
      <w:r>
        <w:rPr>
          <w:rFonts w:ascii="宋体" w:hAnsi="宋体"/>
          <w:color w:val="auto"/>
          <w:szCs w:val="21"/>
          <w:u w:val="single"/>
        </w:rPr>
        <w:t xml:space="preserve">         </w:t>
      </w:r>
      <w:r>
        <w:rPr>
          <w:rFonts w:hint="eastAsia" w:ascii="宋体" w:hAnsi="宋体"/>
          <w:color w:val="auto"/>
          <w:szCs w:val="21"/>
          <w:u w:val="single"/>
        </w:rPr>
        <w:t>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5"/>
        <w:spacing w:before="120" w:after="120" w:line="400" w:lineRule="exact"/>
        <w:rPr>
          <w:rFonts w:ascii="宋体" w:hAnsi="宋体" w:eastAsia="宋体"/>
          <w:b w:val="0"/>
          <w:color w:val="auto"/>
          <w:sz w:val="21"/>
          <w:szCs w:val="21"/>
        </w:rPr>
      </w:pPr>
      <w:bookmarkStart w:id="292" w:name="_Toc351203640"/>
      <w:r>
        <w:rPr>
          <w:rFonts w:ascii="宋体" w:hAnsi="宋体" w:eastAsia="宋体"/>
          <w:b w:val="0"/>
          <w:color w:val="auto"/>
          <w:sz w:val="21"/>
          <w:szCs w:val="21"/>
        </w:rPr>
        <w:t>8. 材料与设备</w:t>
      </w:r>
      <w:bookmarkEnd w:id="292"/>
    </w:p>
    <w:bookmarkEnd w:id="227"/>
    <w:bookmarkEnd w:id="228"/>
    <w:bookmarkEnd w:id="229"/>
    <w:bookmarkEnd w:id="230"/>
    <w:bookmarkEnd w:id="231"/>
    <w:bookmarkEnd w:id="232"/>
    <w:bookmarkEnd w:id="233"/>
    <w:bookmarkEnd w:id="234"/>
    <w:bookmarkEnd w:id="235"/>
    <w:bookmarkEnd w:id="236"/>
    <w:p>
      <w:pPr>
        <w:spacing w:line="400" w:lineRule="exact"/>
        <w:ind w:firstLine="420" w:firstLineChars="200"/>
        <w:jc w:val="left"/>
        <w:rPr>
          <w:rFonts w:ascii="宋体" w:hAnsi="宋体"/>
          <w:color w:val="auto"/>
          <w:szCs w:val="21"/>
        </w:rPr>
      </w:pPr>
      <w:r>
        <w:rPr>
          <w:rFonts w:ascii="宋体" w:hAnsi="宋体"/>
          <w:color w:val="auto"/>
          <w:szCs w:val="21"/>
        </w:rPr>
        <w:t>8</w:t>
      </w:r>
      <w:bookmarkStart w:id="293" w:name="_Toc297120467"/>
      <w:bookmarkStart w:id="294" w:name="_Toc296503167"/>
      <w:bookmarkStart w:id="295" w:name="_Toc280868654"/>
      <w:bookmarkStart w:id="296" w:name="_Toc296944506"/>
      <w:bookmarkStart w:id="297" w:name="_Toc312677493"/>
      <w:bookmarkStart w:id="298" w:name="_Toc296346668"/>
      <w:bookmarkStart w:id="299" w:name="_Toc296891207"/>
      <w:bookmarkStart w:id="300" w:name="_Toc296347166"/>
      <w:bookmarkStart w:id="301" w:name="_Toc296890995"/>
      <w:bookmarkStart w:id="302" w:name="_Toc300934979"/>
      <w:bookmarkStart w:id="303" w:name="_Toc292559877"/>
      <w:bookmarkStart w:id="304" w:name="_Toc304295556"/>
      <w:bookmarkStart w:id="305" w:name="_Toc297216186"/>
      <w:bookmarkStart w:id="306" w:name="_Toc297123527"/>
      <w:bookmarkStart w:id="307" w:name="_Toc312678019"/>
      <w:bookmarkStart w:id="308" w:name="_Toc292559372"/>
      <w:bookmarkStart w:id="309" w:name="_Toc303539136"/>
      <w:bookmarkStart w:id="310" w:name="_Toc297048353"/>
      <w:bookmarkStart w:id="311" w:name="_Toc267251424"/>
      <w:bookmarkStart w:id="312" w:name="_Toc280868655"/>
      <w:bookmarkStart w:id="313" w:name="_Toc280868656"/>
      <w:r>
        <w:rPr>
          <w:rFonts w:ascii="宋体" w:hAnsi="宋体"/>
          <w:color w:val="auto"/>
          <w:szCs w:val="21"/>
        </w:rPr>
        <w:t>.4材料与工程设备的保管与使用</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Pr>
        <w:spacing w:line="400" w:lineRule="exact"/>
        <w:ind w:firstLine="420" w:firstLineChars="200"/>
        <w:jc w:val="left"/>
        <w:rPr>
          <w:rFonts w:ascii="宋体" w:hAnsi="宋体"/>
          <w:color w:val="auto"/>
          <w:szCs w:val="21"/>
        </w:rPr>
      </w:pPr>
      <w:r>
        <w:rPr>
          <w:rFonts w:ascii="宋体" w:hAnsi="宋体"/>
          <w:color w:val="auto"/>
          <w:szCs w:val="21"/>
        </w:rPr>
        <w:t>8</w:t>
      </w:r>
      <w:bookmarkStart w:id="314" w:name="_Toc292559878"/>
      <w:bookmarkStart w:id="315" w:name="_Toc292559373"/>
      <w:bookmarkStart w:id="316" w:name="_Toc296503168"/>
      <w:bookmarkStart w:id="317" w:name="_Toc300934980"/>
      <w:bookmarkStart w:id="318" w:name="_Toc312678020"/>
      <w:bookmarkStart w:id="319" w:name="_Toc297048354"/>
      <w:bookmarkStart w:id="320" w:name="_Toc297123528"/>
      <w:bookmarkStart w:id="321" w:name="_Toc318581173"/>
      <w:bookmarkStart w:id="322" w:name="_Toc303539137"/>
      <w:bookmarkStart w:id="323" w:name="_Toc296944507"/>
      <w:bookmarkStart w:id="324" w:name="_Toc296890996"/>
      <w:bookmarkStart w:id="325" w:name="_Toc297216187"/>
      <w:bookmarkStart w:id="326" w:name="_Toc296346669"/>
      <w:bookmarkStart w:id="327" w:name="_Toc296347167"/>
      <w:bookmarkStart w:id="328" w:name="_Toc304295557"/>
      <w:bookmarkStart w:id="329" w:name="_Toc297120468"/>
      <w:bookmarkStart w:id="330" w:name="_Toc296891208"/>
      <w:bookmarkStart w:id="331" w:name="_Toc312677494"/>
      <w:r>
        <w:rPr>
          <w:rFonts w:ascii="宋体" w:hAnsi="宋体"/>
          <w:color w:val="auto"/>
          <w:szCs w:val="21"/>
        </w:rPr>
        <w:t>.4.1发包人供应的材料设备的保管费用的承担：</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双方协商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314"/>
      <w:bookmarkEnd w:id="315"/>
    </w:p>
    <w:p>
      <w:pPr>
        <w:spacing w:after="120" w:line="400" w:lineRule="exact"/>
        <w:ind w:firstLine="420" w:firstLineChars="200"/>
        <w:rPr>
          <w:rFonts w:ascii="宋体" w:hAnsi="宋体"/>
          <w:color w:val="auto"/>
          <w:szCs w:val="21"/>
        </w:rPr>
      </w:pPr>
      <w:r>
        <w:rPr>
          <w:rFonts w:ascii="宋体" w:hAnsi="宋体"/>
          <w:color w:val="auto"/>
          <w:szCs w:val="21"/>
        </w:rPr>
        <w:t>8.6 样品</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8.6.1</w:t>
      </w:r>
      <w:r>
        <w:rPr>
          <w:rFonts w:ascii="宋体" w:hAnsi="宋体"/>
          <w:color w:val="auto"/>
          <w:szCs w:val="21"/>
        </w:rPr>
        <w:tab/>
      </w:r>
      <w:r>
        <w:rPr>
          <w:rFonts w:ascii="宋体" w:hAnsi="宋体"/>
          <w:color w:val="auto"/>
          <w:szCs w:val="21"/>
        </w:rPr>
        <w:t>样品的报送</w:t>
      </w:r>
      <w:r>
        <w:rPr>
          <w:rFonts w:hint="eastAsia" w:ascii="宋体" w:hAnsi="宋体"/>
          <w:color w:val="auto"/>
          <w:szCs w:val="21"/>
        </w:rPr>
        <w:t>与封存</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需要承包人报送样品的材料或工程设备，样品的种类、名称、规格、数量要求：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8.8 施工设备和临时设施</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8.8.1 承包人提供的施工设备和临时设施</w:t>
      </w:r>
    </w:p>
    <w:p>
      <w:pPr>
        <w:spacing w:line="400" w:lineRule="exact"/>
        <w:ind w:firstLine="420" w:firstLineChars="200"/>
        <w:jc w:val="left"/>
        <w:rPr>
          <w:rFonts w:ascii="宋体" w:hAnsi="宋体"/>
          <w:color w:val="auto"/>
          <w:szCs w:val="21"/>
        </w:rPr>
      </w:pPr>
      <w:r>
        <w:rPr>
          <w:rFonts w:ascii="宋体" w:hAnsi="宋体"/>
          <w:color w:val="auto"/>
          <w:szCs w:val="21"/>
        </w:rPr>
        <w:t>关于修建临时设施费用承担的约定：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pStyle w:val="5"/>
        <w:spacing w:before="120" w:after="120" w:line="400" w:lineRule="exact"/>
        <w:rPr>
          <w:rFonts w:ascii="宋体" w:hAnsi="宋体" w:eastAsia="宋体"/>
          <w:b w:val="0"/>
          <w:color w:val="auto"/>
          <w:sz w:val="21"/>
          <w:szCs w:val="21"/>
        </w:rPr>
      </w:pPr>
      <w:bookmarkStart w:id="332" w:name="_Toc351203641"/>
      <w:r>
        <w:rPr>
          <w:rFonts w:ascii="宋体" w:hAnsi="宋体" w:eastAsia="宋体"/>
          <w:b w:val="0"/>
          <w:color w:val="auto"/>
          <w:sz w:val="21"/>
          <w:szCs w:val="21"/>
        </w:rPr>
        <w:t>9</w:t>
      </w:r>
      <w:bookmarkEnd w:id="311"/>
      <w:bookmarkEnd w:id="312"/>
      <w:bookmarkEnd w:id="313"/>
      <w:bookmarkStart w:id="333" w:name="_Toc312677495"/>
      <w:bookmarkStart w:id="334" w:name="_Toc312678021"/>
      <w:bookmarkStart w:id="335" w:name="_Toc304295559"/>
      <w:bookmarkStart w:id="336" w:name="_Toc297123533"/>
      <w:bookmarkStart w:id="337" w:name="_Toc297216192"/>
      <w:bookmarkStart w:id="338" w:name="_Toc300934982"/>
      <w:bookmarkStart w:id="339" w:name="_Toc303539139"/>
      <w:bookmarkStart w:id="340" w:name="_Toc296891213"/>
      <w:bookmarkStart w:id="341" w:name="_Toc296944512"/>
      <w:bookmarkStart w:id="342" w:name="_Toc267251427"/>
      <w:bookmarkStart w:id="343" w:name="_Toc296891001"/>
      <w:bookmarkStart w:id="344" w:name="_Toc296347172"/>
      <w:bookmarkStart w:id="345" w:name="_Toc297120473"/>
      <w:bookmarkStart w:id="346" w:name="_Toc297048359"/>
      <w:bookmarkStart w:id="347" w:name="_Toc296346674"/>
      <w:bookmarkStart w:id="348" w:name="_Toc292559883"/>
      <w:bookmarkStart w:id="349" w:name="_Toc296503173"/>
      <w:bookmarkStart w:id="350" w:name="_Toc267251428"/>
      <w:bookmarkStart w:id="351" w:name="_Toc292559378"/>
      <w:r>
        <w:rPr>
          <w:rFonts w:ascii="宋体" w:hAnsi="宋体" w:eastAsia="宋体"/>
          <w:b w:val="0"/>
          <w:color w:val="auto"/>
          <w:sz w:val="21"/>
          <w:szCs w:val="21"/>
        </w:rPr>
        <w:t>. 试验与检验</w:t>
      </w:r>
      <w:bookmarkEnd w:id="332"/>
    </w:p>
    <w:bookmarkEnd w:id="333"/>
    <w:bookmarkEnd w:id="334"/>
    <w:bookmarkEnd w:id="335"/>
    <w:bookmarkEnd w:id="336"/>
    <w:bookmarkEnd w:id="337"/>
    <w:bookmarkEnd w:id="338"/>
    <w:bookmarkEnd w:id="339"/>
    <w:p>
      <w:pPr>
        <w:spacing w:after="120" w:line="400" w:lineRule="exact"/>
        <w:ind w:firstLine="420" w:firstLineChars="200"/>
        <w:rPr>
          <w:rFonts w:ascii="宋体" w:hAnsi="宋体"/>
          <w:color w:val="auto"/>
          <w:szCs w:val="21"/>
        </w:rPr>
      </w:pPr>
      <w:r>
        <w:rPr>
          <w:rFonts w:ascii="宋体" w:hAnsi="宋体"/>
          <w:color w:val="auto"/>
          <w:szCs w:val="21"/>
        </w:rPr>
        <w:t>9</w:t>
      </w:r>
      <w:bookmarkStart w:id="352" w:name="_Toc300934983"/>
      <w:bookmarkStart w:id="353" w:name="_Toc297123534"/>
      <w:bookmarkStart w:id="354" w:name="_Toc297216193"/>
      <w:bookmarkStart w:id="355" w:name="_Toc312678022"/>
      <w:bookmarkStart w:id="356" w:name="_Toc304295560"/>
      <w:bookmarkStart w:id="357" w:name="_Toc312677496"/>
      <w:bookmarkStart w:id="358" w:name="_Toc303539140"/>
      <w:r>
        <w:rPr>
          <w:rFonts w:ascii="宋体" w:hAnsi="宋体"/>
          <w:color w:val="auto"/>
          <w:szCs w:val="21"/>
        </w:rPr>
        <w:t>.1试验设备与试验人员</w:t>
      </w:r>
    </w:p>
    <w:bookmarkEnd w:id="352"/>
    <w:bookmarkEnd w:id="353"/>
    <w:bookmarkEnd w:id="354"/>
    <w:bookmarkEnd w:id="355"/>
    <w:bookmarkEnd w:id="356"/>
    <w:bookmarkEnd w:id="357"/>
    <w:bookmarkEnd w:id="358"/>
    <w:p>
      <w:pPr>
        <w:spacing w:line="400" w:lineRule="exact"/>
        <w:ind w:firstLine="420" w:firstLineChars="200"/>
        <w:jc w:val="left"/>
        <w:rPr>
          <w:rFonts w:ascii="宋体" w:hAnsi="宋体"/>
          <w:color w:val="auto"/>
          <w:szCs w:val="21"/>
        </w:rPr>
      </w:pPr>
      <w:r>
        <w:rPr>
          <w:rFonts w:ascii="宋体" w:hAnsi="宋体"/>
          <w:color w:val="auto"/>
          <w:szCs w:val="21"/>
        </w:rPr>
        <w:t>9</w:t>
      </w:r>
      <w:bookmarkStart w:id="359" w:name="_Toc304295561"/>
      <w:bookmarkStart w:id="360" w:name="_Toc300934984"/>
      <w:bookmarkStart w:id="361" w:name="_Toc297123535"/>
      <w:bookmarkStart w:id="362" w:name="_Toc297216194"/>
      <w:bookmarkStart w:id="363" w:name="_Toc303539141"/>
      <w:bookmarkStart w:id="364" w:name="_Toc312678023"/>
      <w:bookmarkStart w:id="365" w:name="_Toc312677497"/>
      <w:bookmarkStart w:id="366" w:name="_Toc318581174"/>
      <w:r>
        <w:rPr>
          <w:rFonts w:ascii="宋体" w:hAnsi="宋体"/>
          <w:color w:val="auto"/>
          <w:szCs w:val="21"/>
        </w:rPr>
        <w:t>.1.2 试验设备</w:t>
      </w:r>
    </w:p>
    <w:p>
      <w:pPr>
        <w:spacing w:line="400" w:lineRule="exact"/>
        <w:ind w:firstLine="420" w:firstLineChars="200"/>
        <w:jc w:val="left"/>
        <w:rPr>
          <w:rFonts w:ascii="宋体" w:hAnsi="宋体"/>
          <w:color w:val="auto"/>
          <w:szCs w:val="21"/>
        </w:rPr>
      </w:pPr>
      <w:r>
        <w:rPr>
          <w:rFonts w:ascii="宋体" w:hAnsi="宋体"/>
          <w:color w:val="auto"/>
          <w:szCs w:val="21"/>
        </w:rPr>
        <w:t>施工现场需要配置的试验场所：</w:t>
      </w:r>
      <w:bookmarkEnd w:id="359"/>
      <w:bookmarkEnd w:id="360"/>
      <w:bookmarkEnd w:id="361"/>
      <w:bookmarkEnd w:id="362"/>
      <w:bookmarkEnd w:id="363"/>
      <w:bookmarkEnd w:id="364"/>
      <w:bookmarkEnd w:id="365"/>
      <w:bookmarkStart w:id="367" w:name="_Toc297123536"/>
      <w:bookmarkStart w:id="368" w:name="_Toc300934985"/>
      <w:bookmarkStart w:id="369" w:name="_Toc297216195"/>
      <w:bookmarkStart w:id="370" w:name="_Toc312678024"/>
      <w:bookmarkStart w:id="371" w:name="_Toc303539142"/>
      <w:bookmarkStart w:id="372" w:name="_Toc312677498"/>
      <w:bookmarkStart w:id="373" w:name="_Toc304295562"/>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施工现场需要配备的试验设备：</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施工现场需要具备的其他试验条件：</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9.4 现场工艺试验</w:t>
      </w:r>
      <w:r>
        <w:rPr>
          <w:rFonts w:hint="eastAsia" w:ascii="宋体" w:hAnsi="宋体"/>
          <w:color w:val="auto"/>
          <w:szCs w:val="21"/>
        </w:rPr>
        <w:t xml:space="preserve"> </w:t>
      </w:r>
    </w:p>
    <w:p>
      <w:pPr>
        <w:spacing w:line="400" w:lineRule="exact"/>
        <w:ind w:firstLine="420" w:firstLineChars="200"/>
        <w:jc w:val="left"/>
        <w:rPr>
          <w:rFonts w:hint="eastAsia" w:ascii="宋体" w:hAnsi="宋体"/>
          <w:color w:val="auto"/>
          <w:szCs w:val="21"/>
        </w:rPr>
      </w:pPr>
      <w:r>
        <w:rPr>
          <w:rFonts w:ascii="宋体" w:hAnsi="宋体"/>
          <w:color w:val="auto"/>
          <w:szCs w:val="21"/>
        </w:rPr>
        <w:t>现场工艺试验的有关约定：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366"/>
    <w:bookmarkEnd w:id="367"/>
    <w:bookmarkEnd w:id="368"/>
    <w:bookmarkEnd w:id="369"/>
    <w:bookmarkEnd w:id="370"/>
    <w:bookmarkEnd w:id="371"/>
    <w:bookmarkEnd w:id="372"/>
    <w:bookmarkEnd w:id="373"/>
    <w:p>
      <w:pPr>
        <w:pStyle w:val="5"/>
        <w:spacing w:before="120" w:after="120" w:line="400" w:lineRule="exact"/>
        <w:rPr>
          <w:rFonts w:ascii="宋体" w:hAnsi="宋体" w:eastAsia="宋体"/>
          <w:b w:val="0"/>
          <w:color w:val="auto"/>
          <w:sz w:val="21"/>
          <w:szCs w:val="21"/>
        </w:rPr>
      </w:pPr>
      <w:bookmarkStart w:id="374" w:name="_Toc351203642"/>
      <w:r>
        <w:rPr>
          <w:rFonts w:ascii="宋体" w:hAnsi="宋体" w:eastAsia="宋体"/>
          <w:b w:val="0"/>
          <w:color w:val="auto"/>
          <w:sz w:val="21"/>
          <w:szCs w:val="21"/>
        </w:rPr>
        <w:t>1</w:t>
      </w:r>
      <w:bookmarkEnd w:id="340"/>
      <w:bookmarkEnd w:id="341"/>
      <w:bookmarkEnd w:id="342"/>
      <w:bookmarkEnd w:id="343"/>
      <w:bookmarkEnd w:id="344"/>
      <w:bookmarkEnd w:id="345"/>
      <w:bookmarkEnd w:id="346"/>
      <w:bookmarkEnd w:id="347"/>
      <w:bookmarkEnd w:id="348"/>
      <w:bookmarkEnd w:id="349"/>
      <w:bookmarkEnd w:id="350"/>
      <w:bookmarkEnd w:id="351"/>
      <w:bookmarkStart w:id="375" w:name="_Toc296347192"/>
      <w:bookmarkStart w:id="376" w:name="_Toc296503193"/>
      <w:bookmarkStart w:id="377" w:name="_Toc292559398"/>
      <w:bookmarkStart w:id="378" w:name="_Toc303539146"/>
      <w:bookmarkStart w:id="379" w:name="_Toc296891233"/>
      <w:bookmarkStart w:id="380" w:name="_Toc296944532"/>
      <w:bookmarkStart w:id="381" w:name="_Toc300934989"/>
      <w:bookmarkStart w:id="382" w:name="_Toc296891021"/>
      <w:bookmarkStart w:id="383" w:name="_Toc296346694"/>
      <w:bookmarkStart w:id="384" w:name="_Toc297120493"/>
      <w:bookmarkStart w:id="385" w:name="_Toc292559903"/>
      <w:bookmarkStart w:id="386" w:name="_Toc297216199"/>
      <w:bookmarkStart w:id="387" w:name="_Toc304295566"/>
      <w:bookmarkStart w:id="388" w:name="_Toc297048379"/>
      <w:bookmarkStart w:id="389" w:name="_Toc297123540"/>
      <w:bookmarkStart w:id="390" w:name="_Toc312677499"/>
      <w:bookmarkStart w:id="391" w:name="_Toc312678025"/>
      <w:bookmarkStart w:id="392" w:name="_Toc267251439"/>
      <w:bookmarkStart w:id="393" w:name="_Toc267251441"/>
      <w:bookmarkStart w:id="394" w:name="_Toc267251433"/>
      <w:bookmarkStart w:id="395" w:name="_Toc267251437"/>
      <w:bookmarkStart w:id="396" w:name="_Toc267251440"/>
      <w:bookmarkStart w:id="397" w:name="_Toc267251435"/>
      <w:bookmarkStart w:id="398" w:name="_Toc267251442"/>
      <w:r>
        <w:rPr>
          <w:rFonts w:ascii="宋体" w:hAnsi="宋体" w:eastAsia="宋体"/>
          <w:b w:val="0"/>
          <w:color w:val="auto"/>
          <w:sz w:val="21"/>
          <w:szCs w:val="21"/>
        </w:rPr>
        <w:t>0. 变更</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bookmarkEnd w:id="390"/>
    <w:bookmarkEnd w:id="391"/>
    <w:p>
      <w:pPr>
        <w:spacing w:after="120" w:line="400" w:lineRule="exact"/>
        <w:ind w:firstLine="420" w:firstLineChars="200"/>
        <w:rPr>
          <w:rFonts w:ascii="宋体" w:hAnsi="宋体"/>
          <w:color w:val="auto"/>
          <w:szCs w:val="21"/>
        </w:rPr>
      </w:pPr>
      <w:r>
        <w:rPr>
          <w:rFonts w:ascii="宋体" w:hAnsi="宋体"/>
          <w:color w:val="auto"/>
          <w:szCs w:val="21"/>
        </w:rPr>
        <w:t>1</w:t>
      </w:r>
      <w:bookmarkStart w:id="399" w:name="_Toc297048380"/>
      <w:bookmarkStart w:id="400" w:name="_Toc292559399"/>
      <w:bookmarkStart w:id="401" w:name="_Toc296347193"/>
      <w:bookmarkStart w:id="402" w:name="_Toc300934990"/>
      <w:bookmarkStart w:id="403" w:name="_Toc297120494"/>
      <w:bookmarkStart w:id="404" w:name="_Toc296944533"/>
      <w:bookmarkStart w:id="405" w:name="_Toc312677500"/>
      <w:bookmarkStart w:id="406" w:name="_Toc292559904"/>
      <w:bookmarkStart w:id="407" w:name="_Toc296891234"/>
      <w:bookmarkStart w:id="408" w:name="_Toc296346695"/>
      <w:bookmarkStart w:id="409" w:name="_Toc296503194"/>
      <w:bookmarkStart w:id="410" w:name="_Toc297123541"/>
      <w:bookmarkStart w:id="411" w:name="_Toc303539147"/>
      <w:bookmarkStart w:id="412" w:name="_Toc312678026"/>
      <w:bookmarkStart w:id="413" w:name="_Toc297216200"/>
      <w:bookmarkStart w:id="414" w:name="_Toc296891022"/>
      <w:bookmarkStart w:id="415" w:name="_Toc304295567"/>
      <w:r>
        <w:rPr>
          <w:rFonts w:ascii="宋体" w:hAnsi="宋体"/>
          <w:color w:val="auto"/>
          <w:szCs w:val="21"/>
        </w:rPr>
        <w:t>0.1变更的范围</w:t>
      </w:r>
    </w:p>
    <w:p>
      <w:pPr>
        <w:spacing w:line="400" w:lineRule="exact"/>
        <w:ind w:firstLine="420" w:firstLineChars="200"/>
        <w:jc w:val="left"/>
        <w:rPr>
          <w:rFonts w:ascii="宋体" w:hAnsi="宋体"/>
          <w:color w:val="auto"/>
          <w:szCs w:val="21"/>
        </w:rPr>
      </w:pPr>
      <w:r>
        <w:rPr>
          <w:rFonts w:ascii="宋体" w:hAnsi="宋体"/>
          <w:color w:val="auto"/>
          <w:szCs w:val="21"/>
        </w:rPr>
        <w:t>关于变更的范围的约定：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10.4 变更估价</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10.4.1 变更估价原则</w:t>
      </w:r>
    </w:p>
    <w:p>
      <w:pPr>
        <w:spacing w:line="400" w:lineRule="exact"/>
        <w:ind w:firstLine="420" w:firstLineChars="200"/>
        <w:jc w:val="left"/>
        <w:rPr>
          <w:rFonts w:ascii="宋体" w:hAnsi="宋体"/>
          <w:color w:val="auto"/>
          <w:szCs w:val="21"/>
          <w:u w:val="single"/>
        </w:rPr>
      </w:pPr>
      <w:r>
        <w:rPr>
          <w:rFonts w:ascii="宋体" w:hAnsi="宋体"/>
          <w:color w:val="auto"/>
          <w:szCs w:val="21"/>
        </w:rPr>
        <w:t xml:space="preserve">关于变更估价的约定: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6" w:name="_Toc300934993"/>
      <w:bookmarkStart w:id="417" w:name="_Toc292559907"/>
      <w:bookmarkStart w:id="418" w:name="_Toc296944536"/>
      <w:bookmarkStart w:id="419" w:name="_Toc297216203"/>
      <w:bookmarkStart w:id="420" w:name="_Toc296503197"/>
      <w:bookmarkStart w:id="421" w:name="_Toc297120497"/>
      <w:bookmarkStart w:id="422" w:name="_Toc296346698"/>
      <w:bookmarkStart w:id="423" w:name="_Toc296891025"/>
      <w:bookmarkStart w:id="424" w:name="_Toc296891237"/>
      <w:bookmarkStart w:id="425" w:name="_Toc303539150"/>
      <w:bookmarkStart w:id="426" w:name="_Toc296347196"/>
      <w:bookmarkStart w:id="427" w:name="_Toc297123544"/>
      <w:bookmarkStart w:id="428" w:name="_Toc292559402"/>
      <w:bookmarkStart w:id="429" w:name="_Toc297048383"/>
      <w:bookmarkStart w:id="430" w:name="_Toc304295570"/>
      <w:bookmarkStart w:id="431" w:name="_Toc312677503"/>
      <w:bookmarkStart w:id="432" w:name="_Toc312678029"/>
      <w:r>
        <w:rPr>
          <w:rFonts w:ascii="宋体" w:hAnsi="宋体"/>
          <w:color w:val="auto"/>
          <w:szCs w:val="21"/>
        </w:rPr>
        <w:t>0.5承</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Start w:id="433" w:name="_Toc296347202"/>
      <w:bookmarkStart w:id="434" w:name="_Toc297120503"/>
      <w:bookmarkStart w:id="435" w:name="_Toc297216204"/>
      <w:bookmarkStart w:id="436" w:name="_Toc296891031"/>
      <w:bookmarkStart w:id="437" w:name="_Toc296944542"/>
      <w:bookmarkStart w:id="438" w:name="_Toc296346704"/>
      <w:bookmarkStart w:id="439" w:name="_Toc303539151"/>
      <w:bookmarkStart w:id="440" w:name="_Toc300934994"/>
      <w:bookmarkStart w:id="441" w:name="_Toc296891243"/>
      <w:bookmarkStart w:id="442" w:name="_Toc297123545"/>
      <w:bookmarkStart w:id="443" w:name="_Toc292559408"/>
      <w:bookmarkStart w:id="444" w:name="_Toc292559913"/>
      <w:bookmarkStart w:id="445" w:name="_Toc296503203"/>
      <w:bookmarkStart w:id="446" w:name="_Toc297048389"/>
      <w:r>
        <w:rPr>
          <w:rFonts w:ascii="宋体" w:hAnsi="宋体"/>
          <w:color w:val="auto"/>
          <w:szCs w:val="21"/>
        </w:rPr>
        <w:t>包人的合理化建议</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spacing w:line="400" w:lineRule="exact"/>
        <w:ind w:firstLine="420" w:firstLineChars="200"/>
        <w:jc w:val="left"/>
        <w:rPr>
          <w:rFonts w:ascii="宋体" w:hAnsi="宋体"/>
          <w:color w:val="auto"/>
          <w:szCs w:val="21"/>
        </w:rPr>
      </w:pPr>
      <w:r>
        <w:rPr>
          <w:rFonts w:ascii="宋体" w:hAnsi="宋体"/>
          <w:color w:val="auto"/>
          <w:szCs w:val="21"/>
        </w:rPr>
        <w:t>监理人审查承包人合理化建议的期限：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发包人审批承包人合理化建议的期限：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承</w:t>
      </w:r>
      <w:bookmarkStart w:id="447" w:name="_Toc296347203"/>
      <w:bookmarkStart w:id="448" w:name="_Toc297120504"/>
      <w:bookmarkStart w:id="449" w:name="_Toc300934995"/>
      <w:bookmarkStart w:id="450" w:name="_Toc296891244"/>
      <w:bookmarkStart w:id="451" w:name="_Toc296346705"/>
      <w:bookmarkStart w:id="452" w:name="_Toc296503204"/>
      <w:bookmarkStart w:id="453" w:name="_Toc292559914"/>
      <w:bookmarkStart w:id="454" w:name="_Toc304295571"/>
      <w:bookmarkStart w:id="455" w:name="_Toc296944543"/>
      <w:bookmarkStart w:id="456" w:name="_Toc303539152"/>
      <w:bookmarkStart w:id="457" w:name="_Toc318581175"/>
      <w:bookmarkStart w:id="458" w:name="_Toc312677504"/>
      <w:bookmarkStart w:id="459" w:name="_Toc297123546"/>
      <w:bookmarkStart w:id="460" w:name="_Toc312678030"/>
      <w:bookmarkStart w:id="461" w:name="_Toc297048390"/>
      <w:bookmarkStart w:id="462" w:name="_Toc296891032"/>
      <w:bookmarkStart w:id="463" w:name="_Toc297216205"/>
      <w:bookmarkStart w:id="464" w:name="_Toc292559409"/>
      <w:r>
        <w:rPr>
          <w:rFonts w:ascii="宋体" w:hAnsi="宋体"/>
          <w:color w:val="auto"/>
          <w:szCs w:val="21"/>
        </w:rPr>
        <w:t>包人提出的合理化建议降低了合同价格或者提高了工程经济效益的奖励的方法和金额为：</w:t>
      </w:r>
      <w:r>
        <w:rPr>
          <w:rFonts w:ascii="宋体" w:hAnsi="宋体"/>
          <w:color w:val="auto"/>
          <w:szCs w:val="21"/>
          <w:u w:val="single"/>
        </w:rPr>
        <w:t xml:space="preserve">  </w:t>
      </w:r>
      <w:r>
        <w:rPr>
          <w:rFonts w:ascii="宋体" w:hAnsi="宋体"/>
          <w:color w:val="auto"/>
          <w:szCs w:val="21"/>
        </w:rPr>
        <w:t>。</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spacing w:after="120" w:line="400" w:lineRule="exact"/>
        <w:ind w:firstLine="420" w:firstLineChars="200"/>
        <w:rPr>
          <w:rFonts w:ascii="宋体" w:hAnsi="宋体"/>
          <w:color w:val="auto"/>
          <w:szCs w:val="21"/>
        </w:rPr>
      </w:pPr>
      <w:r>
        <w:rPr>
          <w:rFonts w:ascii="宋体" w:hAnsi="宋体"/>
          <w:color w:val="auto"/>
          <w:szCs w:val="21"/>
        </w:rPr>
        <w:t>1</w:t>
      </w:r>
      <w:bookmarkStart w:id="465" w:name="_Toc296891239"/>
      <w:bookmarkStart w:id="466" w:name="_Toc297048385"/>
      <w:bookmarkStart w:id="467" w:name="_Toc297216207"/>
      <w:bookmarkStart w:id="468" w:name="_Toc296346700"/>
      <w:bookmarkStart w:id="469" w:name="_Toc292559909"/>
      <w:bookmarkStart w:id="470" w:name="_Toc292559404"/>
      <w:bookmarkStart w:id="471" w:name="_Toc300934997"/>
      <w:bookmarkStart w:id="472" w:name="_Toc297123548"/>
      <w:bookmarkStart w:id="473" w:name="_Toc296891027"/>
      <w:bookmarkStart w:id="474" w:name="_Toc304295574"/>
      <w:bookmarkStart w:id="475" w:name="_Toc296944538"/>
      <w:bookmarkStart w:id="476" w:name="_Toc312677507"/>
      <w:bookmarkStart w:id="477" w:name="_Toc296347198"/>
      <w:bookmarkStart w:id="478" w:name="_Toc297120499"/>
      <w:bookmarkStart w:id="479" w:name="_Toc312678033"/>
      <w:bookmarkStart w:id="480" w:name="_Toc296503199"/>
      <w:bookmarkStart w:id="481" w:name="_Toc303539154"/>
      <w:r>
        <w:rPr>
          <w:rFonts w:ascii="宋体" w:hAnsi="宋体"/>
          <w:color w:val="auto"/>
          <w:szCs w:val="21"/>
        </w:rPr>
        <w:t>0.7 暂估价</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spacing w:line="400" w:lineRule="exact"/>
        <w:ind w:firstLine="420" w:firstLineChars="200"/>
        <w:jc w:val="left"/>
        <w:rPr>
          <w:rFonts w:ascii="宋体" w:hAnsi="宋体"/>
          <w:color w:val="auto"/>
          <w:szCs w:val="21"/>
        </w:rPr>
      </w:pPr>
      <w:r>
        <w:rPr>
          <w:rFonts w:ascii="宋体" w:hAnsi="宋体"/>
          <w:color w:val="auto"/>
          <w:szCs w:val="21"/>
        </w:rPr>
        <w:t>暂</w:t>
      </w:r>
      <w:bookmarkStart w:id="482" w:name="_Toc312678034"/>
      <w:bookmarkStart w:id="483" w:name="_Toc312677508"/>
      <w:bookmarkStart w:id="484" w:name="_Toc318581176"/>
      <w:r>
        <w:rPr>
          <w:rFonts w:ascii="宋体" w:hAnsi="宋体"/>
          <w:color w:val="auto"/>
          <w:szCs w:val="21"/>
        </w:rPr>
        <w:t>估价材料和工程设备的明细详见附件</w:t>
      </w:r>
      <w:r>
        <w:rPr>
          <w:rFonts w:hint="eastAsia" w:ascii="宋体" w:hAnsi="宋体"/>
          <w:color w:val="auto"/>
          <w:szCs w:val="21"/>
        </w:rPr>
        <w:t>11：《</w:t>
      </w:r>
      <w:r>
        <w:rPr>
          <w:rFonts w:ascii="宋体" w:hAnsi="宋体"/>
          <w:color w:val="auto"/>
          <w:szCs w:val="21"/>
        </w:rPr>
        <w:t>暂估价一览表</w:t>
      </w:r>
      <w:r>
        <w:rPr>
          <w:rFonts w:hint="eastAsia" w:ascii="宋体" w:hAnsi="宋体"/>
          <w:color w:val="auto"/>
          <w:szCs w:val="21"/>
        </w:rPr>
        <w:t>》。</w:t>
      </w:r>
    </w:p>
    <w:bookmarkEnd w:id="482"/>
    <w:bookmarkEnd w:id="483"/>
    <w:bookmarkEnd w:id="484"/>
    <w:p>
      <w:pPr>
        <w:spacing w:line="400" w:lineRule="exact"/>
        <w:ind w:firstLine="420" w:firstLineChars="200"/>
        <w:jc w:val="left"/>
        <w:rPr>
          <w:rFonts w:ascii="宋体" w:hAnsi="宋体"/>
          <w:color w:val="auto"/>
          <w:szCs w:val="21"/>
        </w:rPr>
      </w:pPr>
      <w:r>
        <w:rPr>
          <w:rFonts w:ascii="宋体" w:hAnsi="宋体"/>
          <w:color w:val="auto"/>
          <w:szCs w:val="21"/>
        </w:rPr>
        <w:t>1</w:t>
      </w:r>
      <w:bookmarkStart w:id="485" w:name="_Toc312678035"/>
      <w:bookmarkStart w:id="486" w:name="_Toc318581177"/>
      <w:bookmarkStart w:id="487" w:name="_Toc312677509"/>
      <w:r>
        <w:rPr>
          <w:rFonts w:ascii="宋体" w:hAnsi="宋体"/>
          <w:color w:val="auto"/>
          <w:szCs w:val="21"/>
        </w:rPr>
        <w:t>0.7.1 依法必须招标的暂估价项目</w:t>
      </w:r>
    </w:p>
    <w:bookmarkEnd w:id="485"/>
    <w:bookmarkEnd w:id="486"/>
    <w:bookmarkEnd w:id="487"/>
    <w:p>
      <w:pPr>
        <w:spacing w:line="400" w:lineRule="exact"/>
        <w:ind w:firstLine="420" w:firstLineChars="200"/>
        <w:jc w:val="left"/>
        <w:rPr>
          <w:rFonts w:ascii="宋体" w:hAnsi="宋体"/>
          <w:color w:val="auto"/>
          <w:szCs w:val="21"/>
        </w:rPr>
      </w:pPr>
      <w:r>
        <w:rPr>
          <w:rFonts w:ascii="宋体" w:hAnsi="宋体"/>
          <w:color w:val="auto"/>
          <w:szCs w:val="21"/>
        </w:rPr>
        <w:t>对于依法必须招标的暂估价项目的确认和批准采取第</w:t>
      </w:r>
      <w:r>
        <w:rPr>
          <w:rFonts w:ascii="宋体" w:hAnsi="宋体"/>
          <w:color w:val="auto"/>
          <w:szCs w:val="21"/>
          <w:u w:val="single"/>
        </w:rPr>
        <w:t xml:space="preserve">    </w:t>
      </w:r>
      <w:r>
        <w:rPr>
          <w:rFonts w:ascii="宋体" w:hAnsi="宋体"/>
          <w:color w:val="auto"/>
          <w:szCs w:val="21"/>
        </w:rPr>
        <w:t>种方式确定。</w:t>
      </w:r>
    </w:p>
    <w:p>
      <w:pPr>
        <w:spacing w:line="400" w:lineRule="exact"/>
        <w:ind w:firstLine="420" w:firstLineChars="200"/>
        <w:jc w:val="left"/>
        <w:rPr>
          <w:rFonts w:ascii="宋体" w:hAnsi="宋体"/>
          <w:color w:val="auto"/>
          <w:szCs w:val="21"/>
        </w:rPr>
      </w:pPr>
      <w:r>
        <w:rPr>
          <w:rFonts w:ascii="宋体" w:hAnsi="宋体"/>
          <w:color w:val="auto"/>
          <w:szCs w:val="21"/>
        </w:rPr>
        <w:t>10.7.2 不属于依法必须招标的暂估价项目</w:t>
      </w:r>
    </w:p>
    <w:p>
      <w:pPr>
        <w:spacing w:line="400" w:lineRule="exact"/>
        <w:ind w:firstLine="420" w:firstLineChars="200"/>
        <w:jc w:val="left"/>
        <w:rPr>
          <w:rFonts w:hint="eastAsia" w:ascii="宋体" w:hAnsi="宋体"/>
          <w:color w:val="auto"/>
          <w:szCs w:val="21"/>
        </w:rPr>
      </w:pPr>
      <w:r>
        <w:rPr>
          <w:rFonts w:ascii="宋体" w:hAnsi="宋体"/>
          <w:color w:val="auto"/>
          <w:szCs w:val="21"/>
        </w:rPr>
        <w:t>对于不属于依法必须招标的暂估价项目的确认和批准采取第</w:t>
      </w:r>
      <w:r>
        <w:rPr>
          <w:rFonts w:ascii="宋体" w:hAnsi="宋体"/>
          <w:color w:val="auto"/>
          <w:szCs w:val="21"/>
          <w:u w:val="single"/>
        </w:rPr>
        <w:t xml:space="preserve">   </w:t>
      </w:r>
      <w:r>
        <w:rPr>
          <w:rFonts w:ascii="宋体" w:hAnsi="宋体"/>
          <w:color w:val="auto"/>
          <w:szCs w:val="21"/>
        </w:rPr>
        <w:t xml:space="preserve"> 种方式确定。</w:t>
      </w:r>
    </w:p>
    <w:p>
      <w:pPr>
        <w:spacing w:line="400" w:lineRule="exact"/>
        <w:ind w:firstLine="420" w:firstLineChars="200"/>
        <w:jc w:val="left"/>
        <w:rPr>
          <w:rFonts w:ascii="宋体" w:hAnsi="宋体"/>
          <w:color w:val="auto"/>
          <w:szCs w:val="21"/>
        </w:rPr>
      </w:pPr>
      <w:r>
        <w:rPr>
          <w:rFonts w:ascii="宋体" w:hAnsi="宋体"/>
          <w:color w:val="auto"/>
          <w:szCs w:val="21"/>
        </w:rPr>
        <w:t>第3种方式：承包人直接实施的暂估价项目</w:t>
      </w:r>
    </w:p>
    <w:p>
      <w:pPr>
        <w:spacing w:line="400" w:lineRule="exact"/>
        <w:ind w:firstLine="420" w:firstLineChars="200"/>
        <w:jc w:val="left"/>
        <w:rPr>
          <w:rFonts w:hint="eastAsia" w:ascii="宋体" w:hAnsi="宋体"/>
          <w:color w:val="auto"/>
          <w:szCs w:val="21"/>
        </w:rPr>
      </w:pPr>
      <w:r>
        <w:rPr>
          <w:rFonts w:ascii="宋体" w:hAnsi="宋体"/>
          <w:color w:val="auto"/>
          <w:szCs w:val="21"/>
        </w:rPr>
        <w:t>承包人直接实施的暂估价项目的约定：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10.8 暂列金额</w:t>
      </w:r>
    </w:p>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合同当事人关于暂列金额使用的约定：</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pStyle w:val="5"/>
        <w:spacing w:before="120" w:after="120" w:line="400" w:lineRule="exact"/>
        <w:rPr>
          <w:rFonts w:ascii="宋体" w:hAnsi="宋体" w:eastAsia="宋体"/>
          <w:b w:val="0"/>
          <w:color w:val="auto"/>
          <w:sz w:val="21"/>
          <w:szCs w:val="21"/>
        </w:rPr>
      </w:pPr>
      <w:bookmarkStart w:id="488" w:name="_Toc351203643"/>
      <w:r>
        <w:rPr>
          <w:rFonts w:ascii="宋体" w:hAnsi="宋体" w:eastAsia="宋体"/>
          <w:b w:val="0"/>
          <w:color w:val="auto"/>
          <w:sz w:val="21"/>
          <w:szCs w:val="21"/>
        </w:rPr>
        <w:t>11. 价格调整</w:t>
      </w:r>
      <w:bookmarkEnd w:id="488"/>
    </w:p>
    <w:p>
      <w:pPr>
        <w:spacing w:after="120" w:line="400" w:lineRule="exact"/>
        <w:ind w:firstLine="420" w:firstLineChars="200"/>
        <w:rPr>
          <w:rFonts w:ascii="宋体" w:hAnsi="宋体"/>
          <w:color w:val="auto"/>
          <w:szCs w:val="21"/>
        </w:rPr>
      </w:pPr>
      <w:bookmarkStart w:id="489" w:name="_Toc296891029"/>
      <w:bookmarkStart w:id="490" w:name="_Toc312678039"/>
      <w:bookmarkStart w:id="491" w:name="_Toc292559911"/>
      <w:bookmarkStart w:id="492" w:name="_Toc296503201"/>
      <w:bookmarkStart w:id="493" w:name="_Toc296347200"/>
      <w:bookmarkStart w:id="494" w:name="_Toc297120501"/>
      <w:bookmarkStart w:id="495" w:name="_Toc296944540"/>
      <w:bookmarkStart w:id="496" w:name="_Toc304295577"/>
      <w:bookmarkStart w:id="497" w:name="_Toc296346702"/>
      <w:bookmarkStart w:id="498" w:name="_Toc297216209"/>
      <w:bookmarkStart w:id="499" w:name="_Toc297048387"/>
      <w:bookmarkStart w:id="500" w:name="_Toc303539157"/>
      <w:bookmarkStart w:id="501" w:name="_Toc300935000"/>
      <w:bookmarkStart w:id="502" w:name="_Toc296891241"/>
      <w:bookmarkStart w:id="503" w:name="_Toc297123550"/>
      <w:bookmarkStart w:id="504" w:name="_Toc292559406"/>
      <w:r>
        <w:rPr>
          <w:rFonts w:ascii="宋体" w:hAnsi="宋体"/>
          <w:color w:val="auto"/>
          <w:szCs w:val="21"/>
        </w:rPr>
        <w:t>11.1 市场价格波动引起的调整</w:t>
      </w:r>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line="400" w:lineRule="exact"/>
        <w:ind w:firstLine="420" w:firstLineChars="200"/>
        <w:jc w:val="left"/>
        <w:rPr>
          <w:rFonts w:ascii="宋体" w:hAnsi="宋体"/>
          <w:color w:val="auto"/>
          <w:szCs w:val="21"/>
        </w:rPr>
      </w:pPr>
      <w:r>
        <w:rPr>
          <w:rFonts w:ascii="宋体" w:hAnsi="宋体"/>
          <w:color w:val="auto"/>
          <w:szCs w:val="21"/>
        </w:rPr>
        <w:t>市场价格波动是否调整合同价格的约定：</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因市场价格波动调整合同价格，采用以下第</w:t>
      </w:r>
      <w:r>
        <w:rPr>
          <w:rFonts w:ascii="宋体" w:hAnsi="宋体"/>
          <w:color w:val="auto"/>
          <w:szCs w:val="21"/>
          <w:u w:val="single"/>
        </w:rPr>
        <w:t xml:space="preserve">    </w:t>
      </w:r>
      <w:r>
        <w:rPr>
          <w:rFonts w:ascii="宋体" w:hAnsi="宋体"/>
          <w:color w:val="auto"/>
          <w:szCs w:val="21"/>
        </w:rPr>
        <w:t>种方式对合同价格进行调整：</w:t>
      </w:r>
    </w:p>
    <w:p>
      <w:pPr>
        <w:spacing w:line="400" w:lineRule="exact"/>
        <w:ind w:firstLine="420" w:firstLineChars="200"/>
        <w:jc w:val="left"/>
        <w:rPr>
          <w:rFonts w:ascii="宋体" w:hAnsi="宋体"/>
          <w:color w:val="auto"/>
          <w:szCs w:val="21"/>
        </w:rPr>
      </w:pPr>
      <w:r>
        <w:rPr>
          <w:rFonts w:ascii="宋体" w:hAnsi="宋体"/>
          <w:color w:val="auto"/>
          <w:szCs w:val="21"/>
        </w:rPr>
        <w:t>第1种方式：采用价格指数</w:t>
      </w:r>
      <w:r>
        <w:rPr>
          <w:rFonts w:hint="eastAsia" w:ascii="宋体" w:hAnsi="宋体"/>
          <w:color w:val="auto"/>
          <w:szCs w:val="21"/>
        </w:rPr>
        <w:t>进行价格</w:t>
      </w:r>
      <w:r>
        <w:rPr>
          <w:rFonts w:ascii="宋体" w:hAnsi="宋体"/>
          <w:color w:val="auto"/>
          <w:szCs w:val="21"/>
        </w:rPr>
        <w:t>调整。</w:t>
      </w:r>
    </w:p>
    <w:p>
      <w:pPr>
        <w:spacing w:line="400" w:lineRule="exact"/>
        <w:ind w:firstLine="420" w:firstLineChars="200"/>
        <w:rPr>
          <w:rFonts w:ascii="宋体" w:hAnsi="宋体"/>
          <w:color w:val="auto"/>
          <w:szCs w:val="21"/>
          <w:u w:val="single"/>
        </w:rPr>
      </w:pPr>
      <w:r>
        <w:rPr>
          <w:rFonts w:ascii="宋体" w:hAnsi="宋体"/>
          <w:color w:val="auto"/>
          <w:szCs w:val="21"/>
        </w:rPr>
        <w:t>关于各可调因子、定值和变值权重，以及基本价格指数及其来源的约定：</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第2种方式：采用造价信息</w:t>
      </w:r>
      <w:r>
        <w:rPr>
          <w:rFonts w:hint="eastAsia" w:ascii="宋体" w:hAnsi="宋体"/>
          <w:color w:val="auto"/>
          <w:szCs w:val="21"/>
        </w:rPr>
        <w:t>进行价格</w:t>
      </w:r>
      <w:r>
        <w:rPr>
          <w:rFonts w:ascii="宋体" w:hAnsi="宋体"/>
          <w:color w:val="auto"/>
          <w:szCs w:val="21"/>
        </w:rPr>
        <w:t>调整。</w:t>
      </w:r>
    </w:p>
    <w:p>
      <w:pPr>
        <w:spacing w:line="400" w:lineRule="exact"/>
        <w:ind w:firstLine="420" w:firstLineChars="200"/>
        <w:jc w:val="left"/>
        <w:rPr>
          <w:rFonts w:ascii="宋体" w:hAnsi="宋体"/>
          <w:color w:val="auto"/>
          <w:szCs w:val="21"/>
        </w:rPr>
      </w:pPr>
      <w:r>
        <w:rPr>
          <w:rFonts w:ascii="宋体" w:hAnsi="宋体"/>
          <w:color w:val="auto"/>
          <w:szCs w:val="21"/>
        </w:rPr>
        <w:t>（2）关于基准价格的约定：</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专用合同条款</w:t>
      </w:r>
      <w:r>
        <w:rPr>
          <w:rFonts w:hint="eastAsia" w:ascii="宋体" w:hAnsi="宋体" w:cs="宋体"/>
          <w:color w:val="auto"/>
          <w:szCs w:val="21"/>
        </w:rPr>
        <w:t>①</w:t>
      </w:r>
      <w:r>
        <w:rPr>
          <w:rFonts w:ascii="宋体" w:hAnsi="宋体"/>
          <w:color w:val="auto"/>
          <w:szCs w:val="21"/>
        </w:rPr>
        <w:t>承包人在已标价工程量清单或预算书中载明的材料单价低于基准价格的：专用合同条款合同履行期间材料单价涨幅以基准价格为基础超过</w:t>
      </w:r>
      <w:r>
        <w:rPr>
          <w:rFonts w:ascii="宋体" w:hAnsi="宋体"/>
          <w:color w:val="auto"/>
          <w:szCs w:val="21"/>
          <w:u w:val="single"/>
        </w:rPr>
        <w:t xml:space="preserve">   </w:t>
      </w:r>
      <w:r>
        <w:rPr>
          <w:rFonts w:ascii="宋体" w:hAnsi="宋体"/>
          <w:color w:val="auto"/>
          <w:szCs w:val="21"/>
        </w:rPr>
        <w:t>%时，或材料单价跌幅以已标价工程量清单或预算书中载明材料单价为基础超过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②</w:t>
      </w:r>
      <w:r>
        <w:rPr>
          <w:rFonts w:ascii="宋体" w:hAnsi="宋体"/>
          <w:color w:val="auto"/>
          <w:szCs w:val="21"/>
        </w:rPr>
        <w:t>承包人在已标价工程量清单或预算书中载明的材料单价高于基准价格的：专用合同条款合同履行期间材料单价跌幅以基准价格为基础超过</w:t>
      </w:r>
      <w:r>
        <w:rPr>
          <w:rFonts w:ascii="宋体" w:hAnsi="宋体"/>
          <w:color w:val="auto"/>
          <w:szCs w:val="21"/>
          <w:u w:val="single"/>
        </w:rPr>
        <w:t xml:space="preserve">   </w:t>
      </w:r>
      <w:r>
        <w:rPr>
          <w:rFonts w:ascii="宋体" w:hAnsi="宋体"/>
          <w:color w:val="auto"/>
          <w:szCs w:val="21"/>
        </w:rPr>
        <w:t>%时，材料单价涨幅以已标价工程量清单或预算书中载明材料单价为基础超过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00" w:lineRule="exact"/>
        <w:ind w:firstLine="645"/>
        <w:jc w:val="left"/>
        <w:rPr>
          <w:rFonts w:ascii="宋体" w:hAnsi="宋体"/>
          <w:color w:val="auto"/>
          <w:szCs w:val="21"/>
        </w:rPr>
      </w:pPr>
      <w:r>
        <w:rPr>
          <w:rFonts w:hint="eastAsia" w:ascii="宋体" w:hAnsi="宋体" w:cs="宋体"/>
          <w:color w:val="auto"/>
          <w:szCs w:val="21"/>
        </w:rPr>
        <w:t>③</w:t>
      </w:r>
      <w:r>
        <w:rPr>
          <w:rFonts w:ascii="宋体" w:hAnsi="宋体"/>
          <w:color w:val="auto"/>
          <w:szCs w:val="21"/>
        </w:rPr>
        <w:t>承包人在已标价工程量清单或预算书中载明的材料单价等于基准单价的：专用合同条款合同履行期间材料单价涨跌幅以基准单价为基础超过±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00" w:lineRule="exact"/>
        <w:jc w:val="left"/>
        <w:rPr>
          <w:rFonts w:ascii="宋体" w:hAnsi="宋体"/>
          <w:color w:val="auto"/>
          <w:szCs w:val="21"/>
        </w:rPr>
      </w:pPr>
      <w:r>
        <w:rPr>
          <w:rFonts w:ascii="宋体" w:hAnsi="宋体"/>
          <w:color w:val="auto"/>
          <w:szCs w:val="21"/>
        </w:rPr>
        <w:t>第3种方式：其他价格调整方式：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392"/>
    <w:bookmarkEnd w:id="393"/>
    <w:bookmarkEnd w:id="394"/>
    <w:bookmarkEnd w:id="395"/>
    <w:bookmarkEnd w:id="396"/>
    <w:bookmarkEnd w:id="397"/>
    <w:p>
      <w:pPr>
        <w:pStyle w:val="5"/>
        <w:spacing w:before="120" w:after="120" w:line="400" w:lineRule="exact"/>
        <w:rPr>
          <w:rFonts w:ascii="宋体" w:hAnsi="宋体" w:eastAsia="宋体"/>
          <w:b w:val="0"/>
          <w:color w:val="auto"/>
          <w:sz w:val="21"/>
          <w:szCs w:val="21"/>
        </w:rPr>
      </w:pPr>
      <w:bookmarkStart w:id="505" w:name="_Toc296503205"/>
      <w:bookmarkStart w:id="506" w:name="_Toc296944544"/>
      <w:bookmarkStart w:id="507" w:name="_Toc296891033"/>
      <w:bookmarkStart w:id="508" w:name="_Toc297048391"/>
      <w:bookmarkStart w:id="509" w:name="_Toc296891245"/>
      <w:bookmarkStart w:id="510" w:name="_Toc296346706"/>
      <w:bookmarkStart w:id="511" w:name="_Toc297120505"/>
      <w:bookmarkStart w:id="512" w:name="_Toc296347204"/>
      <w:bookmarkStart w:id="513" w:name="_Toc292559915"/>
      <w:bookmarkStart w:id="514" w:name="_Toc292559410"/>
      <w:bookmarkStart w:id="515" w:name="_Toc351203644"/>
      <w:bookmarkStart w:id="516" w:name="_Toc297216211"/>
      <w:bookmarkStart w:id="517" w:name="_Toc300935002"/>
      <w:bookmarkStart w:id="518" w:name="_Toc303539159"/>
      <w:bookmarkStart w:id="519" w:name="_Toc304295579"/>
      <w:bookmarkStart w:id="520" w:name="_Toc297123552"/>
      <w:bookmarkStart w:id="521" w:name="_Toc312678040"/>
      <w:r>
        <w:rPr>
          <w:rFonts w:ascii="宋体" w:hAnsi="宋体" w:eastAsia="宋体"/>
          <w:b w:val="0"/>
          <w:color w:val="auto"/>
          <w:sz w:val="21"/>
          <w:szCs w:val="21"/>
        </w:rPr>
        <w:t xml:space="preserve">12. </w:t>
      </w:r>
      <w:bookmarkEnd w:id="505"/>
      <w:bookmarkEnd w:id="506"/>
      <w:bookmarkEnd w:id="507"/>
      <w:bookmarkEnd w:id="508"/>
      <w:bookmarkEnd w:id="509"/>
      <w:bookmarkEnd w:id="510"/>
      <w:bookmarkEnd w:id="511"/>
      <w:bookmarkEnd w:id="512"/>
      <w:bookmarkEnd w:id="513"/>
      <w:bookmarkEnd w:id="514"/>
      <w:r>
        <w:rPr>
          <w:rFonts w:ascii="宋体" w:hAnsi="宋体" w:eastAsia="宋体"/>
          <w:b w:val="0"/>
          <w:color w:val="auto"/>
          <w:sz w:val="21"/>
          <w:szCs w:val="21"/>
        </w:rPr>
        <w:t>合同价格、计量与支付</w:t>
      </w:r>
      <w:bookmarkEnd w:id="515"/>
    </w:p>
    <w:bookmarkEnd w:id="516"/>
    <w:bookmarkEnd w:id="517"/>
    <w:bookmarkEnd w:id="518"/>
    <w:bookmarkEnd w:id="519"/>
    <w:bookmarkEnd w:id="520"/>
    <w:bookmarkEnd w:id="521"/>
    <w:p>
      <w:pPr>
        <w:spacing w:after="120" w:line="400" w:lineRule="exact"/>
        <w:ind w:firstLine="420" w:firstLineChars="200"/>
        <w:rPr>
          <w:rFonts w:ascii="宋体" w:hAnsi="宋体"/>
          <w:color w:val="auto"/>
          <w:szCs w:val="21"/>
        </w:rPr>
      </w:pPr>
      <w:bookmarkStart w:id="522" w:name="_Toc267251461"/>
      <w:bookmarkStart w:id="523" w:name="_Toc292559411"/>
      <w:bookmarkStart w:id="524" w:name="_Toc292559916"/>
      <w:bookmarkStart w:id="525" w:name="_Toc297048392"/>
      <w:bookmarkStart w:id="526" w:name="_Toc296944545"/>
      <w:bookmarkStart w:id="527" w:name="_Toc297120506"/>
      <w:bookmarkStart w:id="528" w:name="_Toc296891246"/>
      <w:bookmarkStart w:id="529" w:name="_Toc296346707"/>
      <w:bookmarkStart w:id="530" w:name="_Toc296347205"/>
      <w:bookmarkStart w:id="531" w:name="_Toc296503206"/>
      <w:bookmarkStart w:id="532" w:name="_Toc296891034"/>
      <w:bookmarkStart w:id="533" w:name="_Toc303539160"/>
      <w:bookmarkStart w:id="534" w:name="_Toc312678041"/>
      <w:bookmarkStart w:id="535" w:name="_Toc297123553"/>
      <w:bookmarkStart w:id="536" w:name="_Toc300935003"/>
      <w:bookmarkStart w:id="537" w:name="_Toc304295580"/>
      <w:bookmarkStart w:id="538" w:name="_Toc297216212"/>
      <w:r>
        <w:rPr>
          <w:rFonts w:ascii="宋体" w:hAnsi="宋体"/>
          <w:color w:val="auto"/>
          <w:szCs w:val="21"/>
        </w:rPr>
        <w:t>12.1 合</w:t>
      </w:r>
      <w:bookmarkEnd w:id="522"/>
      <w:bookmarkEnd w:id="523"/>
      <w:bookmarkEnd w:id="524"/>
      <w:r>
        <w:rPr>
          <w:rFonts w:ascii="宋体" w:hAnsi="宋体"/>
          <w:color w:val="auto"/>
          <w:szCs w:val="21"/>
        </w:rPr>
        <w:t>同价</w:t>
      </w:r>
      <w:bookmarkEnd w:id="525"/>
      <w:bookmarkEnd w:id="526"/>
      <w:bookmarkEnd w:id="527"/>
      <w:bookmarkEnd w:id="528"/>
      <w:bookmarkEnd w:id="529"/>
      <w:bookmarkEnd w:id="530"/>
      <w:bookmarkEnd w:id="531"/>
      <w:bookmarkEnd w:id="532"/>
      <w:r>
        <w:rPr>
          <w:rFonts w:ascii="宋体" w:hAnsi="宋体"/>
          <w:color w:val="auto"/>
          <w:szCs w:val="21"/>
        </w:rPr>
        <w:t>格形式</w:t>
      </w:r>
    </w:p>
    <w:bookmarkEnd w:id="533"/>
    <w:bookmarkEnd w:id="534"/>
    <w:bookmarkEnd w:id="535"/>
    <w:bookmarkEnd w:id="536"/>
    <w:bookmarkEnd w:id="537"/>
    <w:bookmarkEnd w:id="538"/>
    <w:p>
      <w:pPr>
        <w:spacing w:line="400" w:lineRule="exact"/>
        <w:ind w:firstLine="420" w:firstLineChars="200"/>
        <w:jc w:val="left"/>
        <w:rPr>
          <w:rFonts w:ascii="宋体" w:hAnsi="宋体"/>
          <w:color w:val="auto"/>
          <w:szCs w:val="21"/>
        </w:rPr>
      </w:pPr>
      <w:r>
        <w:rPr>
          <w:rFonts w:ascii="宋体" w:hAnsi="宋体"/>
          <w:color w:val="auto"/>
          <w:szCs w:val="21"/>
        </w:rPr>
        <w:t>1、单价合同。</w:t>
      </w:r>
    </w:p>
    <w:p>
      <w:pPr>
        <w:spacing w:line="400" w:lineRule="exact"/>
        <w:jc w:val="left"/>
        <w:rPr>
          <w:rFonts w:ascii="宋体" w:hAnsi="宋体"/>
          <w:color w:val="auto"/>
          <w:szCs w:val="21"/>
        </w:rPr>
      </w:pPr>
      <w:r>
        <w:rPr>
          <w:rFonts w:ascii="宋体" w:hAnsi="宋体"/>
          <w:color w:val="auto"/>
          <w:szCs w:val="21"/>
        </w:rPr>
        <w:t>综合单价包含的风险范围：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2、总价合同。</w:t>
      </w:r>
    </w:p>
    <w:p>
      <w:pPr>
        <w:spacing w:line="400" w:lineRule="exact"/>
        <w:jc w:val="left"/>
        <w:rPr>
          <w:rFonts w:ascii="宋体" w:hAnsi="宋体"/>
          <w:color w:val="auto"/>
          <w:szCs w:val="21"/>
        </w:rPr>
      </w:pPr>
      <w:r>
        <w:rPr>
          <w:rFonts w:ascii="宋体" w:hAnsi="宋体"/>
          <w:color w:val="auto"/>
          <w:szCs w:val="21"/>
        </w:rPr>
        <w:t>总价包含的风险范围：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hint="eastAsia"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3、其他价格方式：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bookmarkStart w:id="539" w:name="_Toc300935004"/>
      <w:bookmarkStart w:id="540" w:name="_Toc297123554"/>
      <w:bookmarkStart w:id="541" w:name="_Toc304295581"/>
      <w:bookmarkStart w:id="542" w:name="_Toc297216213"/>
      <w:bookmarkStart w:id="543" w:name="_Toc303539161"/>
      <w:bookmarkStart w:id="544" w:name="_Toc312678042"/>
      <w:bookmarkStart w:id="545" w:name="_Toc297048393"/>
      <w:bookmarkStart w:id="546" w:name="_Toc292559412"/>
      <w:bookmarkStart w:id="547" w:name="_Toc296944546"/>
      <w:bookmarkStart w:id="548" w:name="_Toc296891035"/>
      <w:bookmarkStart w:id="549" w:name="_Toc297120507"/>
      <w:bookmarkStart w:id="550" w:name="_Toc296347206"/>
      <w:bookmarkStart w:id="551" w:name="_Toc296346708"/>
      <w:bookmarkStart w:id="552" w:name="_Toc296503207"/>
      <w:bookmarkStart w:id="553" w:name="_Toc296891247"/>
      <w:bookmarkStart w:id="554" w:name="_Toc292559917"/>
      <w:r>
        <w:rPr>
          <w:rFonts w:ascii="宋体" w:hAnsi="宋体"/>
          <w:color w:val="auto"/>
          <w:szCs w:val="21"/>
        </w:rPr>
        <w:t>12.2 预付款</w:t>
      </w:r>
    </w:p>
    <w:bookmarkEnd w:id="539"/>
    <w:bookmarkEnd w:id="540"/>
    <w:bookmarkEnd w:id="541"/>
    <w:bookmarkEnd w:id="542"/>
    <w:bookmarkEnd w:id="543"/>
    <w:bookmarkEnd w:id="544"/>
    <w:p>
      <w:pPr>
        <w:spacing w:line="400" w:lineRule="exact"/>
        <w:ind w:firstLine="420" w:firstLineChars="200"/>
        <w:jc w:val="left"/>
        <w:rPr>
          <w:rFonts w:ascii="宋体" w:hAnsi="宋体"/>
          <w:color w:val="auto"/>
          <w:szCs w:val="21"/>
        </w:rPr>
      </w:pPr>
      <w:r>
        <w:rPr>
          <w:rFonts w:ascii="宋体" w:hAnsi="宋体"/>
          <w:color w:val="auto"/>
          <w:szCs w:val="21"/>
        </w:rPr>
        <w:t>12.2.1 预付款的支付</w:t>
      </w:r>
    </w:p>
    <w:p>
      <w:pPr>
        <w:spacing w:line="400" w:lineRule="exact"/>
        <w:ind w:firstLine="420" w:firstLineChars="200"/>
        <w:jc w:val="left"/>
        <w:rPr>
          <w:rFonts w:ascii="宋体" w:hAnsi="宋体"/>
          <w:color w:val="auto"/>
          <w:szCs w:val="21"/>
        </w:rPr>
      </w:pPr>
      <w:r>
        <w:rPr>
          <w:rFonts w:ascii="宋体" w:hAnsi="宋体"/>
          <w:color w:val="auto"/>
          <w:szCs w:val="21"/>
        </w:rPr>
        <w:t>预付款支付比例或金额：</w:t>
      </w:r>
      <w:r>
        <w:rPr>
          <w:rFonts w:ascii="宋体" w:hAnsi="宋体"/>
          <w:color w:val="auto"/>
          <w:szCs w:val="21"/>
          <w:u w:val="single"/>
        </w:rPr>
        <w:t xml:space="preserve"> </w:t>
      </w:r>
      <w:r>
        <w:rPr>
          <w:rFonts w:hint="eastAsia" w:ascii="宋体" w:hAnsi="宋体"/>
          <w:color w:val="auto"/>
          <w:szCs w:val="21"/>
          <w:u w:val="single"/>
          <w:lang w:val="en-US" w:eastAsia="zh-CN"/>
        </w:rPr>
        <w:t>30%</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预付款支付期限：</w:t>
      </w:r>
      <w:r>
        <w:rPr>
          <w:rFonts w:ascii="宋体" w:hAnsi="宋体"/>
          <w:color w:val="auto"/>
          <w:szCs w:val="21"/>
          <w:u w:val="single"/>
        </w:rPr>
        <w:t xml:space="preserve">   </w:t>
      </w:r>
      <w:r>
        <w:rPr>
          <w:rFonts w:hint="eastAsia" w:ascii="宋体" w:hAnsi="宋体"/>
          <w:color w:val="auto"/>
          <w:szCs w:val="21"/>
          <w:u w:val="single"/>
        </w:rPr>
        <w:t>按完成工程量周期支付</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预付款扣回的方式：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12.2.2 预付款担保</w:t>
      </w:r>
    </w:p>
    <w:p>
      <w:pPr>
        <w:spacing w:line="400" w:lineRule="exact"/>
        <w:ind w:firstLine="420" w:firstLineChars="200"/>
        <w:jc w:val="left"/>
        <w:rPr>
          <w:rFonts w:ascii="宋体" w:hAnsi="宋体"/>
          <w:color w:val="auto"/>
          <w:szCs w:val="21"/>
        </w:rPr>
      </w:pPr>
      <w:r>
        <w:rPr>
          <w:rFonts w:ascii="宋体" w:hAnsi="宋体"/>
          <w:color w:val="auto"/>
          <w:szCs w:val="21"/>
        </w:rPr>
        <w:t>承包人提交预付款担保的期限：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预付款担保的形式为：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45"/>
    <w:bookmarkEnd w:id="546"/>
    <w:bookmarkEnd w:id="547"/>
    <w:bookmarkEnd w:id="548"/>
    <w:bookmarkEnd w:id="549"/>
    <w:bookmarkEnd w:id="550"/>
    <w:bookmarkEnd w:id="551"/>
    <w:bookmarkEnd w:id="552"/>
    <w:bookmarkEnd w:id="553"/>
    <w:bookmarkEnd w:id="554"/>
    <w:p>
      <w:pPr>
        <w:spacing w:after="120" w:line="400" w:lineRule="exact"/>
        <w:ind w:firstLine="420" w:firstLineChars="200"/>
        <w:rPr>
          <w:rFonts w:ascii="宋体" w:hAnsi="宋体"/>
          <w:color w:val="auto"/>
          <w:szCs w:val="21"/>
        </w:rPr>
      </w:pPr>
      <w:r>
        <w:rPr>
          <w:rFonts w:ascii="宋体" w:hAnsi="宋体"/>
          <w:color w:val="auto"/>
          <w:szCs w:val="21"/>
        </w:rPr>
        <w:t>12.3 计量</w:t>
      </w:r>
    </w:p>
    <w:p>
      <w:pPr>
        <w:spacing w:line="400" w:lineRule="exact"/>
        <w:ind w:firstLine="420" w:firstLineChars="200"/>
        <w:jc w:val="left"/>
        <w:rPr>
          <w:rFonts w:ascii="宋体" w:hAnsi="宋体"/>
          <w:color w:val="auto"/>
          <w:szCs w:val="21"/>
        </w:rPr>
      </w:pPr>
      <w:r>
        <w:rPr>
          <w:rFonts w:ascii="宋体" w:hAnsi="宋体"/>
          <w:color w:val="auto"/>
          <w:szCs w:val="21"/>
        </w:rPr>
        <w:t>12.3.1 计量原则</w:t>
      </w:r>
    </w:p>
    <w:p>
      <w:pPr>
        <w:spacing w:line="400" w:lineRule="exact"/>
        <w:ind w:firstLine="420" w:firstLineChars="200"/>
        <w:jc w:val="left"/>
        <w:rPr>
          <w:rFonts w:ascii="宋体" w:hAnsi="宋体"/>
          <w:color w:val="auto"/>
          <w:szCs w:val="21"/>
        </w:rPr>
      </w:pPr>
      <w:r>
        <w:rPr>
          <w:rFonts w:ascii="宋体" w:hAnsi="宋体"/>
          <w:color w:val="auto"/>
          <w:szCs w:val="21"/>
        </w:rPr>
        <w:t>工程量计算规则：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12.3.2 计量周期</w:t>
      </w:r>
    </w:p>
    <w:p>
      <w:pPr>
        <w:spacing w:line="400" w:lineRule="exact"/>
        <w:ind w:firstLine="420" w:firstLineChars="200"/>
        <w:jc w:val="left"/>
        <w:rPr>
          <w:rFonts w:ascii="宋体" w:hAnsi="宋体"/>
          <w:color w:val="auto"/>
          <w:szCs w:val="21"/>
        </w:rPr>
      </w:pPr>
      <w:r>
        <w:rPr>
          <w:rFonts w:ascii="宋体" w:hAnsi="宋体"/>
          <w:color w:val="auto"/>
          <w:szCs w:val="21"/>
        </w:rPr>
        <w:t>关于计量周期的约定：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12.3.3 单价合同的计量</w:t>
      </w:r>
    </w:p>
    <w:p>
      <w:pPr>
        <w:spacing w:line="400" w:lineRule="exact"/>
        <w:ind w:firstLine="420" w:firstLineChars="200"/>
        <w:jc w:val="left"/>
        <w:rPr>
          <w:rFonts w:ascii="宋体" w:hAnsi="宋体"/>
          <w:color w:val="auto"/>
          <w:szCs w:val="21"/>
        </w:rPr>
      </w:pPr>
      <w:r>
        <w:rPr>
          <w:rFonts w:ascii="宋体" w:hAnsi="宋体"/>
          <w:color w:val="auto"/>
          <w:szCs w:val="21"/>
        </w:rPr>
        <w:t>关于单价合同计量的约定：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12.3.4 总价合同的计量</w:t>
      </w:r>
    </w:p>
    <w:p>
      <w:pPr>
        <w:spacing w:line="400" w:lineRule="exact"/>
        <w:ind w:firstLine="420" w:firstLineChars="200"/>
        <w:jc w:val="left"/>
        <w:rPr>
          <w:rFonts w:hint="eastAsia" w:ascii="宋体" w:hAnsi="宋体"/>
          <w:color w:val="auto"/>
          <w:szCs w:val="21"/>
        </w:rPr>
      </w:pPr>
      <w:r>
        <w:rPr>
          <w:rFonts w:ascii="宋体" w:hAnsi="宋体"/>
          <w:color w:val="auto"/>
          <w:szCs w:val="21"/>
        </w:rPr>
        <w:t>关于总价合同计量的约定：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12.3.5总价合同采用支付分解表计量支付的，是否适用第12.3.4 项</w:t>
      </w:r>
      <w:r>
        <w:rPr>
          <w:rFonts w:hint="eastAsia" w:ascii="宋体" w:hAnsi="宋体"/>
          <w:color w:val="auto"/>
          <w:szCs w:val="21"/>
        </w:rPr>
        <w:t>〔</w:t>
      </w:r>
      <w:r>
        <w:rPr>
          <w:rFonts w:ascii="宋体" w:hAnsi="宋体"/>
          <w:color w:val="auto"/>
          <w:szCs w:val="21"/>
        </w:rPr>
        <w:t>总价合同的计量</w:t>
      </w:r>
      <w:r>
        <w:rPr>
          <w:rFonts w:hint="eastAsia" w:ascii="宋体" w:hAnsi="宋体"/>
          <w:color w:val="auto"/>
          <w:szCs w:val="21"/>
        </w:rPr>
        <w:t>〕</w:t>
      </w:r>
      <w:r>
        <w:rPr>
          <w:rFonts w:ascii="宋体" w:hAnsi="宋体"/>
          <w:color w:val="auto"/>
          <w:szCs w:val="21"/>
        </w:rPr>
        <w:t>约定</w:t>
      </w:r>
      <w:r>
        <w:rPr>
          <w:rFonts w:hint="eastAsia" w:ascii="宋体" w:hAnsi="宋体"/>
          <w:color w:val="auto"/>
          <w:szCs w:val="21"/>
        </w:rPr>
        <w:t>进行计量：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12.3.6 其他价格形式合同的计量</w:t>
      </w:r>
    </w:p>
    <w:p>
      <w:pPr>
        <w:spacing w:line="400" w:lineRule="exact"/>
        <w:jc w:val="left"/>
        <w:rPr>
          <w:rFonts w:ascii="宋体" w:hAnsi="宋体"/>
          <w:color w:val="auto"/>
          <w:szCs w:val="21"/>
        </w:rPr>
      </w:pPr>
      <w:r>
        <w:rPr>
          <w:rFonts w:ascii="宋体" w:hAnsi="宋体"/>
          <w:color w:val="auto"/>
          <w:szCs w:val="21"/>
        </w:rPr>
        <w:t>其他价格形式的计量方式和程序：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12.4 工程进度款支付</w:t>
      </w:r>
    </w:p>
    <w:p>
      <w:pPr>
        <w:spacing w:line="360" w:lineRule="auto"/>
        <w:ind w:firstLine="420" w:firstLineChars="200"/>
        <w:jc w:val="left"/>
        <w:rPr>
          <w:rFonts w:ascii="宋体" w:hAnsi="宋体"/>
          <w:b w:val="0"/>
          <w:bCs w:val="0"/>
          <w:color w:val="auto"/>
          <w:sz w:val="21"/>
          <w:szCs w:val="21"/>
        </w:rPr>
      </w:pPr>
      <w:r>
        <w:rPr>
          <w:rFonts w:hint="eastAsia" w:ascii="宋体" w:hAnsi="宋体"/>
          <w:b w:val="0"/>
          <w:bCs w:val="0"/>
          <w:color w:val="auto"/>
          <w:sz w:val="21"/>
          <w:szCs w:val="21"/>
          <w:highlight w:val="none"/>
          <w:u w:val="single"/>
        </w:rPr>
        <w:t>签订合同后支付工程总价的30%，</w:t>
      </w:r>
      <w:r>
        <w:rPr>
          <w:rFonts w:hint="eastAsia" w:ascii="宋体" w:hAnsi="宋体"/>
          <w:b w:val="0"/>
          <w:bCs w:val="0"/>
          <w:color w:val="auto"/>
          <w:sz w:val="21"/>
          <w:szCs w:val="21"/>
          <w:u w:val="single"/>
        </w:rPr>
        <w:t>工程款按月支付，合同内进度款支付限额为已完成工程量的80%，工程变更部分进度款支付限额为已完成工程量的70%；累计支付额度以不超合同总额90%为上限；工程完工验收达到质量要求，工程款支付至结算总价的97%（含已支付的），总额的3%作为质量保证金，</w:t>
      </w:r>
      <w:r>
        <w:rPr>
          <w:rFonts w:hint="eastAsia" w:ascii="宋体" w:hAnsi="宋体"/>
          <w:b w:val="0"/>
          <w:bCs w:val="0"/>
          <w:color w:val="auto"/>
          <w:sz w:val="21"/>
          <w:szCs w:val="21"/>
          <w:u w:val="single" w:color="auto"/>
        </w:rPr>
        <w:t>待工程质量缺陷责任期满后支付。</w:t>
      </w:r>
    </w:p>
    <w:p>
      <w:pPr>
        <w:spacing w:line="400" w:lineRule="exact"/>
        <w:ind w:firstLine="525" w:firstLineChars="250"/>
        <w:jc w:val="left"/>
        <w:rPr>
          <w:rFonts w:hint="eastAsia" w:ascii="宋体" w:hAnsi="宋体"/>
          <w:color w:val="auto"/>
          <w:szCs w:val="21"/>
        </w:rPr>
      </w:pPr>
      <w:r>
        <w:rPr>
          <w:rFonts w:ascii="宋体" w:hAnsi="宋体"/>
          <w:color w:val="auto"/>
          <w:szCs w:val="21"/>
        </w:rPr>
        <w:t>12.4.6 支付分解表的编制</w:t>
      </w:r>
    </w:p>
    <w:p>
      <w:pPr>
        <w:spacing w:line="400" w:lineRule="exact"/>
        <w:ind w:left="4200" w:hanging="4200" w:hangingChars="2000"/>
        <w:jc w:val="left"/>
        <w:rPr>
          <w:rFonts w:ascii="宋体" w:hAnsi="宋体"/>
          <w:color w:val="auto"/>
          <w:szCs w:val="21"/>
        </w:rPr>
      </w:pPr>
      <w:r>
        <w:rPr>
          <w:rFonts w:ascii="宋体" w:hAnsi="宋体"/>
          <w:color w:val="auto"/>
          <w:szCs w:val="21"/>
        </w:rPr>
        <w:t>2、总价合同支付分解表的编制与审批：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3、单价合同的总价项目支付分解表的编制与审批：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398"/>
    <w:p>
      <w:pPr>
        <w:pStyle w:val="5"/>
        <w:spacing w:before="120" w:after="120" w:line="400" w:lineRule="exact"/>
        <w:rPr>
          <w:rFonts w:ascii="宋体" w:hAnsi="宋体" w:eastAsia="宋体"/>
          <w:b w:val="0"/>
          <w:color w:val="auto"/>
          <w:sz w:val="21"/>
          <w:szCs w:val="21"/>
        </w:rPr>
      </w:pPr>
      <w:bookmarkStart w:id="555" w:name="_Toc351203645"/>
      <w:bookmarkStart w:id="556" w:name="_Toc297216223"/>
      <w:bookmarkStart w:id="557" w:name="_Toc297048405"/>
      <w:bookmarkStart w:id="558" w:name="_Toc297120519"/>
      <w:bookmarkStart w:id="559" w:name="_Toc303539172"/>
      <w:bookmarkStart w:id="560" w:name="_Toc296944558"/>
      <w:bookmarkStart w:id="561" w:name="_Toc296503219"/>
      <w:bookmarkStart w:id="562" w:name="_Toc292559929"/>
      <w:bookmarkStart w:id="563" w:name="_Toc312678053"/>
      <w:bookmarkStart w:id="564" w:name="_Toc304295593"/>
      <w:bookmarkStart w:id="565" w:name="_Toc296347218"/>
      <w:bookmarkStart w:id="566" w:name="_Toc297123564"/>
      <w:bookmarkStart w:id="567" w:name="_Toc292559424"/>
      <w:bookmarkStart w:id="568" w:name="_Toc296346720"/>
      <w:bookmarkStart w:id="569" w:name="_Toc300935015"/>
      <w:bookmarkStart w:id="570" w:name="_Toc296891047"/>
      <w:bookmarkStart w:id="571" w:name="_Toc296891259"/>
      <w:r>
        <w:rPr>
          <w:rFonts w:ascii="宋体" w:hAnsi="宋体" w:eastAsia="宋体"/>
          <w:b w:val="0"/>
          <w:color w:val="auto"/>
          <w:sz w:val="21"/>
          <w:szCs w:val="21"/>
        </w:rPr>
        <w:t>13.</w:t>
      </w:r>
      <w:r>
        <w:rPr>
          <w:rFonts w:hint="eastAsia" w:ascii="宋体" w:hAnsi="宋体" w:eastAsia="宋体"/>
          <w:b w:val="0"/>
          <w:color w:val="auto"/>
          <w:sz w:val="21"/>
          <w:szCs w:val="21"/>
        </w:rPr>
        <w:t xml:space="preserve"> </w:t>
      </w:r>
      <w:r>
        <w:rPr>
          <w:rFonts w:ascii="宋体" w:hAnsi="宋体" w:eastAsia="宋体"/>
          <w:b w:val="0"/>
          <w:color w:val="auto"/>
          <w:sz w:val="21"/>
          <w:szCs w:val="21"/>
        </w:rPr>
        <w:t>验收和工程试车</w:t>
      </w:r>
      <w:bookmarkEnd w:id="555"/>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spacing w:after="120" w:line="400" w:lineRule="exact"/>
        <w:ind w:firstLine="420" w:firstLineChars="200"/>
        <w:rPr>
          <w:rFonts w:ascii="宋体" w:hAnsi="宋体"/>
          <w:color w:val="auto"/>
          <w:szCs w:val="21"/>
        </w:rPr>
      </w:pPr>
      <w:r>
        <w:rPr>
          <w:rFonts w:ascii="宋体" w:hAnsi="宋体"/>
          <w:color w:val="auto"/>
          <w:szCs w:val="21"/>
        </w:rPr>
        <w:t>13.1 分部分项工程验收</w:t>
      </w:r>
    </w:p>
    <w:p>
      <w:pPr>
        <w:spacing w:line="400" w:lineRule="exact"/>
        <w:ind w:firstLine="420" w:firstLineChars="200"/>
        <w:jc w:val="left"/>
        <w:rPr>
          <w:rFonts w:ascii="宋体" w:hAnsi="宋体"/>
          <w:color w:val="auto"/>
          <w:szCs w:val="21"/>
        </w:rPr>
      </w:pPr>
      <w:r>
        <w:rPr>
          <w:rFonts w:ascii="宋体" w:hAnsi="宋体"/>
          <w:color w:val="auto"/>
          <w:szCs w:val="21"/>
        </w:rPr>
        <w:t>13.1.2监理人不能按时进行验收时，应提前</w:t>
      </w:r>
      <w:r>
        <w:rPr>
          <w:rFonts w:ascii="宋体" w:hAnsi="宋体"/>
          <w:color w:val="auto"/>
          <w:szCs w:val="21"/>
          <w:u w:val="single"/>
        </w:rPr>
        <w:t xml:space="preserve">       </w:t>
      </w:r>
      <w:r>
        <w:rPr>
          <w:rFonts w:ascii="宋体" w:hAnsi="宋体"/>
          <w:color w:val="auto"/>
          <w:szCs w:val="21"/>
        </w:rPr>
        <w:t>小时提交书面延期要求。</w:t>
      </w:r>
    </w:p>
    <w:p>
      <w:pPr>
        <w:spacing w:line="400" w:lineRule="exact"/>
        <w:ind w:firstLine="420" w:firstLineChars="200"/>
        <w:jc w:val="left"/>
        <w:rPr>
          <w:rFonts w:ascii="宋体" w:hAnsi="宋体"/>
          <w:b/>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ascii="宋体" w:hAnsi="宋体"/>
          <w:color w:val="auto"/>
          <w:szCs w:val="21"/>
        </w:rPr>
        <w:t>小时。</w:t>
      </w:r>
    </w:p>
    <w:p>
      <w:pPr>
        <w:spacing w:after="120" w:line="400" w:lineRule="exact"/>
        <w:ind w:firstLine="420" w:firstLineChars="200"/>
        <w:rPr>
          <w:rFonts w:ascii="宋体" w:hAnsi="宋体"/>
          <w:color w:val="auto"/>
          <w:szCs w:val="21"/>
        </w:rPr>
      </w:pPr>
      <w:bookmarkStart w:id="572" w:name="_Toc297123565"/>
      <w:bookmarkStart w:id="573" w:name="_Toc297216224"/>
      <w:bookmarkStart w:id="574" w:name="_Toc296944562"/>
      <w:bookmarkStart w:id="575" w:name="_Toc303539173"/>
      <w:bookmarkStart w:id="576" w:name="_Toc297048409"/>
      <w:bookmarkStart w:id="577" w:name="_Toc297120523"/>
      <w:bookmarkStart w:id="578" w:name="_Toc304295596"/>
      <w:bookmarkStart w:id="579" w:name="_Toc296346724"/>
      <w:bookmarkStart w:id="580" w:name="_Toc296503223"/>
      <w:bookmarkStart w:id="581" w:name="_Toc296891263"/>
      <w:bookmarkStart w:id="582" w:name="_Toc296891051"/>
      <w:bookmarkStart w:id="583" w:name="_Toc300935016"/>
      <w:bookmarkStart w:id="584" w:name="_Toc296347222"/>
      <w:bookmarkStart w:id="585" w:name="_Toc312678056"/>
      <w:bookmarkStart w:id="586" w:name="_Toc292559428"/>
      <w:bookmarkStart w:id="587" w:name="_Toc292559933"/>
      <w:bookmarkStart w:id="588" w:name="_Toc267251470"/>
      <w:bookmarkStart w:id="589" w:name="_Toc267251476"/>
      <w:bookmarkStart w:id="590" w:name="_Toc267251474"/>
      <w:bookmarkStart w:id="591" w:name="_Toc267251473"/>
      <w:bookmarkStart w:id="592" w:name="_Toc267251472"/>
      <w:bookmarkStart w:id="593" w:name="_Toc267251471"/>
      <w:bookmarkStart w:id="594" w:name="_Toc267251475"/>
      <w:r>
        <w:rPr>
          <w:rFonts w:ascii="宋体" w:hAnsi="宋体"/>
          <w:color w:val="auto"/>
          <w:szCs w:val="21"/>
        </w:rPr>
        <w:t>13.2 竣工验收</w:t>
      </w:r>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Pr>
        <w:spacing w:line="400" w:lineRule="exact"/>
        <w:ind w:firstLine="420" w:firstLineChars="200"/>
        <w:jc w:val="left"/>
        <w:rPr>
          <w:rFonts w:ascii="宋体" w:hAnsi="宋体"/>
          <w:color w:val="auto"/>
          <w:szCs w:val="21"/>
        </w:rPr>
      </w:pPr>
      <w:bookmarkStart w:id="595" w:name="_Toc280868704"/>
      <w:bookmarkStart w:id="596" w:name="_Toc280868705"/>
      <w:bookmarkStart w:id="597" w:name="_Toc280868706"/>
      <w:bookmarkStart w:id="598" w:name="_Toc280868707"/>
      <w:bookmarkStart w:id="599" w:name="_Toc280868708"/>
      <w:bookmarkStart w:id="600" w:name="_Toc280868709"/>
      <w:r>
        <w:rPr>
          <w:rFonts w:ascii="宋体" w:hAnsi="宋体"/>
          <w:color w:val="auto"/>
          <w:szCs w:val="21"/>
        </w:rPr>
        <w:t>13.2.2竣工验收程序</w:t>
      </w:r>
    </w:p>
    <w:bookmarkEnd w:id="595"/>
    <w:p>
      <w:pPr>
        <w:spacing w:line="400" w:lineRule="exact"/>
        <w:ind w:firstLine="420" w:firstLineChars="200"/>
        <w:jc w:val="left"/>
        <w:rPr>
          <w:rFonts w:ascii="宋体" w:hAnsi="宋体"/>
          <w:color w:val="auto"/>
          <w:szCs w:val="21"/>
        </w:rPr>
      </w:pPr>
      <w:r>
        <w:rPr>
          <w:rFonts w:ascii="宋体" w:hAnsi="宋体"/>
          <w:color w:val="auto"/>
          <w:szCs w:val="21"/>
        </w:rPr>
        <w:t>关于竣工验收程序的约定：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hint="eastAsia" w:ascii="宋体" w:hAnsi="宋体"/>
          <w:color w:val="auto"/>
          <w:szCs w:val="21"/>
        </w:rPr>
      </w:pPr>
      <w:r>
        <w:rPr>
          <w:rFonts w:ascii="宋体" w:hAnsi="宋体"/>
          <w:color w:val="auto"/>
          <w:szCs w:val="21"/>
        </w:rPr>
        <w:t>发包人不按照本项约定组织竣工验收、颁发工程接收证书的违约金的计算方法：</w:t>
      </w:r>
      <w:r>
        <w:rPr>
          <w:rFonts w:ascii="宋体" w:hAnsi="宋体"/>
          <w:color w:val="auto"/>
          <w:szCs w:val="21"/>
          <w:u w:val="single"/>
        </w:rPr>
        <w:t xml:space="preserve">            </w:t>
      </w:r>
      <w:r>
        <w:rPr>
          <w:rFonts w:ascii="宋体" w:hAnsi="宋体"/>
          <w:color w:val="auto"/>
          <w:szCs w:val="21"/>
        </w:rPr>
        <w:t>。</w:t>
      </w:r>
    </w:p>
    <w:bookmarkEnd w:id="596"/>
    <w:p>
      <w:pPr>
        <w:spacing w:line="400" w:lineRule="exact"/>
        <w:ind w:firstLine="420" w:firstLineChars="200"/>
        <w:jc w:val="left"/>
        <w:rPr>
          <w:rFonts w:ascii="宋体" w:hAnsi="宋体"/>
          <w:color w:val="auto"/>
          <w:szCs w:val="21"/>
        </w:rPr>
      </w:pPr>
      <w:r>
        <w:rPr>
          <w:rFonts w:ascii="宋体" w:hAnsi="宋体"/>
          <w:color w:val="auto"/>
          <w:szCs w:val="21"/>
        </w:rPr>
        <w:t>13.2.5移交、接收全部与部分工程</w:t>
      </w:r>
    </w:p>
    <w:bookmarkEnd w:id="597"/>
    <w:p>
      <w:pPr>
        <w:spacing w:line="400" w:lineRule="exact"/>
        <w:ind w:firstLine="420" w:firstLineChars="200"/>
        <w:jc w:val="left"/>
        <w:rPr>
          <w:rFonts w:hint="eastAsia" w:ascii="宋体" w:hAnsi="宋体"/>
          <w:color w:val="auto"/>
          <w:szCs w:val="21"/>
        </w:rPr>
      </w:pPr>
      <w:r>
        <w:rPr>
          <w:rFonts w:hint="eastAsia" w:ascii="宋体" w:hAnsi="宋体"/>
          <w:color w:val="auto"/>
          <w:szCs w:val="21"/>
        </w:rPr>
        <w:t>承包人向发包人移交工程的期限：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发包人未按本合同约定接收全部或部分工程的，违约金的计算方法为：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98"/>
    <w:p>
      <w:pPr>
        <w:spacing w:line="400" w:lineRule="exact"/>
        <w:ind w:firstLine="420" w:firstLineChars="200"/>
        <w:jc w:val="left"/>
        <w:rPr>
          <w:rFonts w:ascii="宋体" w:hAnsi="宋体"/>
          <w:color w:val="auto"/>
          <w:szCs w:val="21"/>
        </w:rPr>
      </w:pPr>
      <w:r>
        <w:rPr>
          <w:rFonts w:ascii="宋体" w:hAnsi="宋体"/>
          <w:color w:val="auto"/>
          <w:szCs w:val="21"/>
        </w:rPr>
        <w:t>承包人未按时移交工程的，违约金的计算方法为：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13.3 工程试车</w:t>
      </w:r>
    </w:p>
    <w:bookmarkEnd w:id="599"/>
    <w:p>
      <w:pPr>
        <w:spacing w:line="400" w:lineRule="exact"/>
        <w:ind w:firstLine="420" w:firstLineChars="200"/>
        <w:jc w:val="left"/>
        <w:rPr>
          <w:rFonts w:ascii="宋体" w:hAnsi="宋体"/>
          <w:color w:val="auto"/>
          <w:szCs w:val="21"/>
        </w:rPr>
      </w:pPr>
      <w:r>
        <w:rPr>
          <w:rFonts w:ascii="宋体" w:hAnsi="宋体"/>
          <w:color w:val="auto"/>
          <w:szCs w:val="21"/>
        </w:rPr>
        <w:t>13.3.1 试车程序</w:t>
      </w:r>
    </w:p>
    <w:p>
      <w:pPr>
        <w:spacing w:line="400" w:lineRule="exact"/>
        <w:ind w:firstLine="420" w:firstLineChars="200"/>
        <w:jc w:val="left"/>
        <w:rPr>
          <w:rFonts w:ascii="宋体" w:hAnsi="宋体"/>
          <w:color w:val="auto"/>
          <w:szCs w:val="21"/>
        </w:rPr>
      </w:pPr>
      <w:r>
        <w:rPr>
          <w:rFonts w:ascii="宋体" w:hAnsi="宋体"/>
          <w:color w:val="auto"/>
          <w:szCs w:val="21"/>
        </w:rPr>
        <w:t>工程试车内容：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（1）单机无负荷试车费用由</w:t>
      </w:r>
      <w:r>
        <w:rPr>
          <w:rFonts w:ascii="宋体" w:hAnsi="宋体"/>
          <w:color w:val="auto"/>
          <w:szCs w:val="21"/>
          <w:u w:val="single"/>
        </w:rPr>
        <w:t xml:space="preserve">                     </w:t>
      </w:r>
      <w:r>
        <w:rPr>
          <w:rFonts w:ascii="宋体" w:hAnsi="宋体"/>
          <w:color w:val="auto"/>
          <w:szCs w:val="21"/>
        </w:rPr>
        <w:t>承担；</w:t>
      </w:r>
    </w:p>
    <w:p>
      <w:pPr>
        <w:spacing w:line="400" w:lineRule="exact"/>
        <w:ind w:firstLine="420" w:firstLineChars="200"/>
        <w:jc w:val="left"/>
        <w:rPr>
          <w:rFonts w:hint="eastAsia" w:ascii="宋体" w:hAnsi="宋体"/>
          <w:color w:val="auto"/>
          <w:szCs w:val="21"/>
        </w:rPr>
      </w:pPr>
      <w:r>
        <w:rPr>
          <w:rFonts w:ascii="宋体" w:hAnsi="宋体"/>
          <w:color w:val="auto"/>
          <w:szCs w:val="21"/>
        </w:rPr>
        <w:t>（2）无负荷联动试车费用由</w:t>
      </w:r>
      <w:r>
        <w:rPr>
          <w:rFonts w:ascii="宋体" w:hAnsi="宋体"/>
          <w:color w:val="auto"/>
          <w:szCs w:val="21"/>
          <w:u w:val="single"/>
        </w:rPr>
        <w:t xml:space="preserve">                     </w:t>
      </w:r>
      <w:r>
        <w:rPr>
          <w:rFonts w:ascii="宋体" w:hAnsi="宋体"/>
          <w:color w:val="auto"/>
          <w:szCs w:val="21"/>
        </w:rPr>
        <w:t>承担。</w:t>
      </w:r>
    </w:p>
    <w:p>
      <w:pPr>
        <w:spacing w:line="400" w:lineRule="exact"/>
        <w:ind w:firstLine="420" w:firstLineChars="200"/>
        <w:jc w:val="left"/>
        <w:rPr>
          <w:rFonts w:ascii="宋体" w:hAnsi="宋体"/>
          <w:color w:val="auto"/>
          <w:szCs w:val="21"/>
        </w:rPr>
      </w:pPr>
      <w:r>
        <w:rPr>
          <w:rFonts w:ascii="宋体" w:hAnsi="宋体"/>
          <w:color w:val="auto"/>
          <w:szCs w:val="21"/>
        </w:rPr>
        <w:t>13.3.3 投料试车</w:t>
      </w:r>
    </w:p>
    <w:p>
      <w:pPr>
        <w:spacing w:line="400" w:lineRule="exact"/>
        <w:ind w:firstLine="420" w:firstLineChars="200"/>
        <w:jc w:val="left"/>
        <w:rPr>
          <w:rFonts w:ascii="宋体" w:hAnsi="宋体"/>
          <w:color w:val="auto"/>
          <w:szCs w:val="21"/>
        </w:rPr>
      </w:pPr>
      <w:r>
        <w:rPr>
          <w:rFonts w:hint="eastAsia" w:ascii="宋体" w:hAnsi="宋体"/>
          <w:color w:val="auto"/>
          <w:szCs w:val="21"/>
        </w:rPr>
        <w:t>关于投料试车相关事项的约定：</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13.6 竣工退场</w:t>
      </w:r>
    </w:p>
    <w:p>
      <w:pPr>
        <w:spacing w:line="400" w:lineRule="exact"/>
        <w:ind w:firstLine="420" w:firstLineChars="200"/>
        <w:jc w:val="left"/>
        <w:rPr>
          <w:rFonts w:ascii="宋体" w:hAnsi="宋体"/>
          <w:color w:val="auto"/>
          <w:szCs w:val="21"/>
        </w:rPr>
      </w:pPr>
      <w:r>
        <w:rPr>
          <w:rFonts w:ascii="宋体" w:hAnsi="宋体"/>
          <w:color w:val="auto"/>
          <w:szCs w:val="21"/>
        </w:rPr>
        <w:t>13.6.1 竣工退场</w:t>
      </w:r>
    </w:p>
    <w:p>
      <w:pPr>
        <w:spacing w:line="400" w:lineRule="exact"/>
        <w:ind w:firstLine="420" w:firstLineChars="200"/>
        <w:jc w:val="left"/>
        <w:rPr>
          <w:rFonts w:ascii="宋体" w:hAnsi="宋体"/>
          <w:color w:val="auto"/>
          <w:szCs w:val="21"/>
        </w:rPr>
      </w:pPr>
      <w:r>
        <w:rPr>
          <w:rFonts w:ascii="宋体" w:hAnsi="宋体"/>
          <w:color w:val="auto"/>
          <w:szCs w:val="21"/>
        </w:rPr>
        <w:t>承包人完成竣工退场的期限：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5"/>
        <w:spacing w:before="120" w:after="120" w:line="400" w:lineRule="exact"/>
        <w:rPr>
          <w:rFonts w:ascii="宋体" w:hAnsi="宋体" w:eastAsia="宋体"/>
          <w:b w:val="0"/>
          <w:color w:val="auto"/>
          <w:sz w:val="21"/>
          <w:szCs w:val="21"/>
        </w:rPr>
      </w:pPr>
      <w:bookmarkStart w:id="601" w:name="_Toc351203646"/>
      <w:r>
        <w:rPr>
          <w:rFonts w:ascii="宋体" w:hAnsi="宋体" w:eastAsia="宋体"/>
          <w:b w:val="0"/>
          <w:color w:val="auto"/>
          <w:sz w:val="21"/>
          <w:szCs w:val="21"/>
        </w:rPr>
        <w:t>14. 竣工结算</w:t>
      </w:r>
      <w:bookmarkEnd w:id="601"/>
    </w:p>
    <w:p>
      <w:pPr>
        <w:spacing w:after="120" w:line="400" w:lineRule="exact"/>
        <w:ind w:firstLine="420" w:firstLineChars="200"/>
        <w:rPr>
          <w:rFonts w:ascii="宋体" w:hAnsi="宋体"/>
          <w:color w:val="auto"/>
          <w:szCs w:val="21"/>
        </w:rPr>
      </w:pPr>
      <w:r>
        <w:rPr>
          <w:rFonts w:ascii="宋体" w:hAnsi="宋体"/>
          <w:color w:val="auto"/>
          <w:szCs w:val="21"/>
        </w:rPr>
        <w:t>14.1 竣工付款申请</w:t>
      </w:r>
    </w:p>
    <w:p>
      <w:pPr>
        <w:spacing w:line="400" w:lineRule="exact"/>
        <w:ind w:firstLine="420" w:firstLineChars="200"/>
        <w:jc w:val="left"/>
        <w:rPr>
          <w:rFonts w:ascii="宋体" w:hAnsi="宋体"/>
          <w:color w:val="auto"/>
          <w:szCs w:val="21"/>
        </w:rPr>
      </w:pPr>
      <w:r>
        <w:rPr>
          <w:rFonts w:ascii="宋体" w:hAnsi="宋体"/>
          <w:color w:val="auto"/>
          <w:szCs w:val="21"/>
        </w:rPr>
        <w:t>承包人提交竣工付款申请单的期限：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竣工付款申请单应包括的内容：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14.2 竣工结算审核</w:t>
      </w:r>
    </w:p>
    <w:p>
      <w:pPr>
        <w:spacing w:line="400" w:lineRule="exact"/>
        <w:ind w:firstLine="420" w:firstLineChars="200"/>
        <w:jc w:val="left"/>
        <w:rPr>
          <w:rFonts w:ascii="宋体" w:hAnsi="宋体"/>
          <w:color w:val="auto"/>
          <w:szCs w:val="21"/>
        </w:rPr>
      </w:pPr>
      <w:r>
        <w:rPr>
          <w:rFonts w:ascii="宋体" w:hAnsi="宋体"/>
          <w:color w:val="auto"/>
          <w:szCs w:val="21"/>
        </w:rPr>
        <w:t>发包人</w:t>
      </w:r>
      <w:r>
        <w:rPr>
          <w:rFonts w:hint="eastAsia" w:ascii="宋体" w:hAnsi="宋体"/>
          <w:color w:val="auto"/>
          <w:szCs w:val="21"/>
        </w:rPr>
        <w:t>审批</w:t>
      </w:r>
      <w:r>
        <w:rPr>
          <w:rFonts w:ascii="宋体" w:hAnsi="宋体"/>
          <w:color w:val="auto"/>
          <w:szCs w:val="21"/>
        </w:rPr>
        <w:t>竣工付款申请单的期限：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hint="eastAsia" w:ascii="宋体" w:hAnsi="宋体"/>
          <w:color w:val="auto"/>
          <w:szCs w:val="21"/>
        </w:rPr>
      </w:pPr>
      <w:r>
        <w:rPr>
          <w:rFonts w:ascii="宋体" w:hAnsi="宋体"/>
          <w:color w:val="auto"/>
          <w:szCs w:val="21"/>
        </w:rPr>
        <w:t>发包人完成竣工付款的期限：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hint="eastAsia" w:ascii="宋体" w:hAnsi="宋体"/>
          <w:color w:val="auto"/>
          <w:szCs w:val="21"/>
        </w:rPr>
        <w:t>关于竣工付款证书异议部分复核的方式和程序：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14.4 最终结清</w:t>
      </w:r>
    </w:p>
    <w:p>
      <w:pPr>
        <w:spacing w:line="400" w:lineRule="exact"/>
        <w:ind w:firstLine="420" w:firstLineChars="200"/>
        <w:jc w:val="left"/>
        <w:rPr>
          <w:rFonts w:ascii="宋体" w:hAnsi="宋体"/>
          <w:color w:val="auto"/>
          <w:szCs w:val="21"/>
        </w:rPr>
      </w:pPr>
      <w:r>
        <w:rPr>
          <w:rFonts w:ascii="宋体" w:hAnsi="宋体"/>
          <w:color w:val="auto"/>
          <w:szCs w:val="21"/>
        </w:rPr>
        <w:t>14.4.1 最终结清申请单</w:t>
      </w:r>
    </w:p>
    <w:p>
      <w:pPr>
        <w:spacing w:line="400" w:lineRule="exact"/>
        <w:ind w:firstLine="420" w:firstLineChars="200"/>
        <w:jc w:val="left"/>
        <w:rPr>
          <w:rFonts w:ascii="宋体" w:hAnsi="宋体"/>
          <w:color w:val="auto"/>
          <w:szCs w:val="21"/>
        </w:rPr>
      </w:pPr>
      <w:r>
        <w:rPr>
          <w:rFonts w:ascii="宋体" w:hAnsi="宋体"/>
          <w:color w:val="auto"/>
          <w:szCs w:val="21"/>
        </w:rPr>
        <w:t>承包人提交最终结清申请单的份数：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承包人提交最终结算申请单的期限：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14.4.2 最终结清证书和支付</w:t>
      </w:r>
    </w:p>
    <w:p>
      <w:pPr>
        <w:spacing w:line="400" w:lineRule="exact"/>
        <w:ind w:firstLine="420" w:firstLineChars="200"/>
        <w:jc w:val="left"/>
        <w:rPr>
          <w:rFonts w:ascii="宋体" w:hAnsi="宋体"/>
          <w:color w:val="auto"/>
          <w:szCs w:val="21"/>
        </w:rPr>
      </w:pPr>
      <w:r>
        <w:rPr>
          <w:rFonts w:ascii="宋体" w:hAnsi="宋体"/>
          <w:color w:val="auto"/>
          <w:szCs w:val="21"/>
        </w:rPr>
        <w:t>（1）发包人完成最终结清申请单的</w:t>
      </w:r>
      <w:r>
        <w:rPr>
          <w:rFonts w:hint="eastAsia" w:ascii="宋体" w:hAnsi="宋体"/>
          <w:color w:val="auto"/>
          <w:szCs w:val="21"/>
        </w:rPr>
        <w:t>审批</w:t>
      </w:r>
      <w:r>
        <w:rPr>
          <w:rFonts w:ascii="宋体" w:hAnsi="宋体"/>
          <w:color w:val="auto"/>
          <w:szCs w:val="21"/>
        </w:rPr>
        <w:t>并颁发最终结清证书的期限：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（2）发包人完成支付的期限：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88"/>
    <w:bookmarkEnd w:id="589"/>
    <w:bookmarkEnd w:id="590"/>
    <w:bookmarkEnd w:id="591"/>
    <w:bookmarkEnd w:id="592"/>
    <w:bookmarkEnd w:id="593"/>
    <w:bookmarkEnd w:id="594"/>
    <w:bookmarkEnd w:id="600"/>
    <w:p>
      <w:pPr>
        <w:pStyle w:val="5"/>
        <w:spacing w:before="120" w:after="120" w:line="400" w:lineRule="exact"/>
        <w:rPr>
          <w:rFonts w:ascii="宋体" w:hAnsi="宋体" w:eastAsia="宋体"/>
          <w:b w:val="0"/>
          <w:color w:val="auto"/>
          <w:sz w:val="21"/>
          <w:szCs w:val="21"/>
        </w:rPr>
      </w:pPr>
      <w:bookmarkStart w:id="602" w:name="_Toc351203647"/>
      <w:bookmarkStart w:id="603" w:name="_Toc267251483"/>
      <w:bookmarkStart w:id="604" w:name="_Toc267251484"/>
      <w:bookmarkStart w:id="605" w:name="_Toc267251482"/>
      <w:bookmarkStart w:id="606" w:name="_Toc267251485"/>
      <w:bookmarkStart w:id="607" w:name="_Toc267251488"/>
      <w:bookmarkStart w:id="608" w:name="_Toc267251489"/>
      <w:bookmarkStart w:id="609" w:name="_Toc267251486"/>
      <w:bookmarkStart w:id="610" w:name="_Toc267251490"/>
      <w:bookmarkStart w:id="611" w:name="_Toc267251495"/>
      <w:bookmarkStart w:id="612" w:name="_Toc267251491"/>
      <w:bookmarkStart w:id="613" w:name="_Toc267251494"/>
      <w:bookmarkStart w:id="614" w:name="_Toc267251499"/>
      <w:bookmarkStart w:id="615" w:name="_Toc267251501"/>
      <w:bookmarkStart w:id="616" w:name="_Toc267251497"/>
      <w:bookmarkStart w:id="617" w:name="_Toc267251493"/>
      <w:bookmarkStart w:id="618" w:name="_Toc267251503"/>
      <w:bookmarkStart w:id="619" w:name="_Toc267251498"/>
      <w:bookmarkStart w:id="620" w:name="_Toc267251502"/>
      <w:bookmarkStart w:id="621" w:name="_Toc267251496"/>
      <w:bookmarkStart w:id="622" w:name="_Toc267251492"/>
      <w:bookmarkStart w:id="623" w:name="_Toc267251504"/>
      <w:bookmarkStart w:id="624" w:name="_Toc267251506"/>
      <w:bookmarkStart w:id="625" w:name="_Toc267251507"/>
      <w:bookmarkStart w:id="626" w:name="_Toc267251508"/>
      <w:bookmarkStart w:id="627" w:name="_Toc267251514"/>
      <w:bookmarkStart w:id="628" w:name="_Toc267251513"/>
      <w:bookmarkStart w:id="629" w:name="_Toc267251509"/>
      <w:bookmarkStart w:id="630" w:name="_Toc267251515"/>
      <w:bookmarkStart w:id="631" w:name="_Toc267251511"/>
      <w:bookmarkStart w:id="632" w:name="_Toc267251510"/>
      <w:r>
        <w:rPr>
          <w:rFonts w:ascii="宋体" w:hAnsi="宋体" w:eastAsia="宋体"/>
          <w:b w:val="0"/>
          <w:color w:val="auto"/>
          <w:sz w:val="21"/>
          <w:szCs w:val="21"/>
        </w:rPr>
        <w:t>15. 缺陷责任期与保修</w:t>
      </w:r>
      <w:bookmarkEnd w:id="602"/>
    </w:p>
    <w:p>
      <w:pPr>
        <w:spacing w:after="120" w:line="400" w:lineRule="exact"/>
        <w:ind w:firstLine="420" w:firstLineChars="200"/>
        <w:rPr>
          <w:rFonts w:ascii="宋体" w:hAnsi="宋体"/>
          <w:color w:val="auto"/>
          <w:szCs w:val="21"/>
        </w:rPr>
      </w:pPr>
      <w:r>
        <w:rPr>
          <w:rFonts w:ascii="宋体" w:hAnsi="宋体"/>
          <w:color w:val="auto"/>
          <w:szCs w:val="21"/>
        </w:rPr>
        <w:t>15.2缺陷责任期</w:t>
      </w:r>
      <w:bookmarkEnd w:id="603"/>
    </w:p>
    <w:p>
      <w:pPr>
        <w:spacing w:line="400" w:lineRule="exact"/>
        <w:ind w:firstLine="420" w:firstLineChars="200"/>
        <w:jc w:val="left"/>
        <w:rPr>
          <w:rFonts w:ascii="宋体" w:hAnsi="宋体"/>
          <w:color w:val="auto"/>
          <w:szCs w:val="21"/>
        </w:rPr>
      </w:pPr>
      <w:r>
        <w:rPr>
          <w:rFonts w:ascii="宋体" w:hAnsi="宋体"/>
          <w:color w:val="auto"/>
          <w:szCs w:val="21"/>
        </w:rPr>
        <w:t>缺陷责任期的具体期限：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15.3 质量保证金</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关于是否扣留质量保证金的约定：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 xml:space="preserve">15.3.1 </w:t>
      </w:r>
      <w:r>
        <w:rPr>
          <w:rFonts w:hint="eastAsia" w:ascii="宋体" w:hAnsi="宋体"/>
          <w:color w:val="auto"/>
          <w:szCs w:val="21"/>
        </w:rPr>
        <w:t>承包人提供</w:t>
      </w:r>
      <w:r>
        <w:rPr>
          <w:rFonts w:ascii="宋体" w:hAnsi="宋体"/>
          <w:color w:val="auto"/>
          <w:szCs w:val="21"/>
        </w:rPr>
        <w:t>质量保证金的</w:t>
      </w:r>
      <w:r>
        <w:rPr>
          <w:rFonts w:hint="eastAsia" w:ascii="宋体" w:hAnsi="宋体"/>
          <w:color w:val="auto"/>
          <w:szCs w:val="21"/>
        </w:rPr>
        <w:t>方</w:t>
      </w:r>
      <w:r>
        <w:rPr>
          <w:rFonts w:ascii="宋体" w:hAnsi="宋体"/>
          <w:color w:val="auto"/>
          <w:szCs w:val="21"/>
        </w:rPr>
        <w:t>式</w:t>
      </w:r>
    </w:p>
    <w:p>
      <w:pPr>
        <w:spacing w:line="400" w:lineRule="exact"/>
        <w:ind w:firstLine="420" w:firstLineChars="200"/>
        <w:jc w:val="left"/>
        <w:rPr>
          <w:rFonts w:ascii="宋体" w:hAnsi="宋体"/>
          <w:color w:val="auto"/>
          <w:szCs w:val="21"/>
        </w:rPr>
      </w:pPr>
      <w:r>
        <w:rPr>
          <w:rFonts w:ascii="宋体" w:hAnsi="宋体"/>
          <w:color w:val="auto"/>
          <w:szCs w:val="21"/>
        </w:rPr>
        <w:t>质量保证金采用以下第</w:t>
      </w:r>
      <w:r>
        <w:rPr>
          <w:rFonts w:ascii="宋体" w:hAnsi="宋体"/>
          <w:color w:val="auto"/>
          <w:szCs w:val="21"/>
          <w:u w:val="single"/>
        </w:rPr>
        <w:t>（2）</w:t>
      </w:r>
      <w:r>
        <w:rPr>
          <w:rFonts w:ascii="宋体" w:hAnsi="宋体"/>
          <w:color w:val="auto"/>
          <w:szCs w:val="21"/>
        </w:rPr>
        <w:t>种方式：</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（1）质量保证金保函，保证金额为：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（2）</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hint="eastAsia" w:ascii="宋体" w:hAnsi="宋体"/>
          <w:bCs/>
          <w:color w:val="auto"/>
          <w:szCs w:val="21"/>
        </w:rPr>
        <w:t>（1%-3%）</w:t>
      </w:r>
      <w:r>
        <w:rPr>
          <w:rFonts w:ascii="宋体" w:hAnsi="宋体"/>
          <w:color w:val="auto"/>
          <w:szCs w:val="21"/>
        </w:rPr>
        <w:t>的工程款；</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（3）其他</w:t>
      </w:r>
      <w:r>
        <w:rPr>
          <w:rFonts w:hint="eastAsia" w:ascii="宋体" w:hAnsi="宋体"/>
          <w:color w:val="auto"/>
          <w:szCs w:val="21"/>
        </w:rPr>
        <w:t>方</w:t>
      </w:r>
      <w:r>
        <w:rPr>
          <w:rFonts w:ascii="宋体" w:hAnsi="宋体"/>
          <w:color w:val="auto"/>
          <w:szCs w:val="21"/>
        </w:rPr>
        <w:t>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 xml:space="preserve">15.3.2 质量保证金的扣留 </w:t>
      </w:r>
    </w:p>
    <w:p>
      <w:pPr>
        <w:spacing w:line="400" w:lineRule="exact"/>
        <w:ind w:firstLine="420" w:firstLineChars="200"/>
        <w:jc w:val="left"/>
        <w:rPr>
          <w:rFonts w:ascii="宋体" w:hAnsi="宋体"/>
          <w:color w:val="auto"/>
          <w:szCs w:val="21"/>
        </w:rPr>
      </w:pPr>
      <w:r>
        <w:rPr>
          <w:rFonts w:ascii="宋体" w:hAnsi="宋体"/>
          <w:color w:val="auto"/>
          <w:szCs w:val="21"/>
        </w:rPr>
        <w:t>质量保证金的扣留采取以下第</w:t>
      </w:r>
      <w:r>
        <w:rPr>
          <w:rFonts w:ascii="宋体" w:hAnsi="宋体"/>
          <w:color w:val="auto"/>
          <w:szCs w:val="21"/>
          <w:u w:val="single"/>
        </w:rPr>
        <w:t>（2）</w:t>
      </w:r>
      <w:r>
        <w:rPr>
          <w:rFonts w:ascii="宋体" w:hAnsi="宋体"/>
          <w:color w:val="auto"/>
          <w:szCs w:val="21"/>
        </w:rPr>
        <w:t>种方式：</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（1）在支付工程进度款时逐次扣留，在此情形下，质量保证金的计算基数不包括预付款的支付、扣回以及价格调整的金额；</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（2）工程竣工结算时一次性扣留质量保证金；</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（3）其他扣留方式: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关于质量保证金的补充约定：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bookmarkEnd w:id="604"/>
    <w:bookmarkEnd w:id="605"/>
    <w:p>
      <w:pPr>
        <w:spacing w:after="120" w:line="400" w:lineRule="exact"/>
        <w:ind w:firstLine="420" w:firstLineChars="200"/>
        <w:rPr>
          <w:rFonts w:ascii="宋体" w:hAnsi="宋体"/>
          <w:color w:val="auto"/>
          <w:szCs w:val="21"/>
        </w:rPr>
      </w:pPr>
      <w:r>
        <w:rPr>
          <w:rFonts w:ascii="宋体" w:hAnsi="宋体"/>
          <w:color w:val="auto"/>
          <w:szCs w:val="21"/>
        </w:rPr>
        <w:t>15.4保修</w:t>
      </w:r>
    </w:p>
    <w:bookmarkEnd w:id="606"/>
    <w:p>
      <w:pPr>
        <w:spacing w:line="400" w:lineRule="exact"/>
        <w:ind w:firstLine="409" w:firstLineChars="195"/>
        <w:jc w:val="left"/>
        <w:rPr>
          <w:rFonts w:ascii="宋体" w:hAnsi="宋体"/>
          <w:color w:val="auto"/>
          <w:szCs w:val="21"/>
        </w:rPr>
      </w:pPr>
      <w:r>
        <w:rPr>
          <w:rFonts w:ascii="宋体" w:hAnsi="宋体"/>
          <w:color w:val="auto"/>
          <w:szCs w:val="21"/>
        </w:rPr>
        <w:t>15.4.1 保修责任</w:t>
      </w:r>
    </w:p>
    <w:p>
      <w:pPr>
        <w:spacing w:line="400" w:lineRule="exact"/>
        <w:jc w:val="left"/>
        <w:rPr>
          <w:rFonts w:ascii="宋体" w:hAnsi="宋体"/>
          <w:color w:val="auto"/>
          <w:szCs w:val="21"/>
        </w:rPr>
      </w:pPr>
      <w:r>
        <w:rPr>
          <w:rFonts w:ascii="宋体" w:hAnsi="宋体"/>
          <w:color w:val="auto"/>
          <w:szCs w:val="21"/>
        </w:rPr>
        <w:t>工程保修期为：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09" w:firstLineChars="195"/>
        <w:jc w:val="left"/>
        <w:rPr>
          <w:rFonts w:ascii="宋体" w:hAnsi="宋体"/>
          <w:color w:val="auto"/>
          <w:szCs w:val="21"/>
        </w:rPr>
      </w:pPr>
      <w:r>
        <w:rPr>
          <w:rFonts w:ascii="宋体" w:hAnsi="宋体"/>
          <w:color w:val="auto"/>
          <w:szCs w:val="21"/>
        </w:rPr>
        <w:t>15.4.3 修复通知</w:t>
      </w:r>
    </w:p>
    <w:p>
      <w:pPr>
        <w:spacing w:line="400" w:lineRule="exact"/>
        <w:jc w:val="left"/>
        <w:rPr>
          <w:rFonts w:ascii="宋体" w:hAnsi="宋体"/>
          <w:color w:val="auto"/>
          <w:szCs w:val="21"/>
        </w:rPr>
      </w:pPr>
      <w:r>
        <w:rPr>
          <w:rFonts w:ascii="宋体" w:hAnsi="宋体"/>
          <w:color w:val="auto"/>
          <w:szCs w:val="21"/>
        </w:rPr>
        <w:t>承包人收到保修通知并到达工程现场的合理时间：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607"/>
    <w:bookmarkEnd w:id="608"/>
    <w:bookmarkEnd w:id="609"/>
    <w:bookmarkEnd w:id="610"/>
    <w:p>
      <w:pPr>
        <w:pStyle w:val="5"/>
        <w:spacing w:before="120" w:after="120" w:line="400" w:lineRule="exact"/>
        <w:rPr>
          <w:rFonts w:ascii="宋体" w:hAnsi="宋体" w:eastAsia="宋体"/>
          <w:b w:val="0"/>
          <w:color w:val="auto"/>
          <w:sz w:val="21"/>
          <w:szCs w:val="21"/>
        </w:rPr>
      </w:pPr>
      <w:bookmarkStart w:id="633" w:name="_Toc351203648"/>
      <w:bookmarkStart w:id="634" w:name="_Toc280868717"/>
      <w:bookmarkStart w:id="635" w:name="_Toc280868718"/>
      <w:r>
        <w:rPr>
          <w:rFonts w:ascii="宋体" w:hAnsi="宋体" w:eastAsia="宋体"/>
          <w:b w:val="0"/>
          <w:color w:val="auto"/>
          <w:sz w:val="21"/>
          <w:szCs w:val="21"/>
        </w:rPr>
        <w:t>16. 违约</w:t>
      </w:r>
      <w:bookmarkEnd w:id="633"/>
    </w:p>
    <w:p>
      <w:pPr>
        <w:spacing w:after="120" w:line="400" w:lineRule="exact"/>
        <w:ind w:firstLine="420" w:firstLineChars="200"/>
        <w:rPr>
          <w:rFonts w:ascii="宋体" w:hAnsi="宋体"/>
          <w:color w:val="auto"/>
          <w:szCs w:val="21"/>
        </w:rPr>
      </w:pPr>
      <w:r>
        <w:rPr>
          <w:rFonts w:ascii="宋体" w:hAnsi="宋体"/>
          <w:color w:val="auto"/>
          <w:szCs w:val="21"/>
        </w:rPr>
        <w:t>16.1 发包人违约</w:t>
      </w:r>
    </w:p>
    <w:p>
      <w:pPr>
        <w:spacing w:line="400" w:lineRule="exact"/>
        <w:ind w:firstLine="420" w:firstLineChars="200"/>
        <w:jc w:val="left"/>
        <w:rPr>
          <w:rFonts w:ascii="宋体" w:hAnsi="宋体"/>
          <w:color w:val="auto"/>
          <w:szCs w:val="21"/>
        </w:rPr>
      </w:pPr>
      <w:r>
        <w:rPr>
          <w:rFonts w:ascii="宋体" w:hAnsi="宋体"/>
          <w:color w:val="auto"/>
          <w:szCs w:val="21"/>
        </w:rPr>
        <w:t>16.1.1发包人违约的情形</w:t>
      </w:r>
    </w:p>
    <w:p>
      <w:pPr>
        <w:spacing w:line="400" w:lineRule="exact"/>
        <w:ind w:left="1050" w:hanging="1050" w:hangingChars="500"/>
        <w:jc w:val="left"/>
        <w:rPr>
          <w:rFonts w:hint="eastAsia" w:ascii="宋体" w:hAnsi="宋体"/>
          <w:color w:val="auto"/>
          <w:szCs w:val="21"/>
        </w:rPr>
      </w:pPr>
      <w:r>
        <w:rPr>
          <w:rFonts w:ascii="宋体" w:hAnsi="宋体"/>
          <w:color w:val="auto"/>
          <w:szCs w:val="21"/>
        </w:rPr>
        <w:t>发包人违约的其他情形：</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left="1050" w:hanging="1050" w:hangingChars="500"/>
        <w:jc w:val="left"/>
        <w:rPr>
          <w:rFonts w:ascii="宋体" w:hAnsi="宋体"/>
          <w:color w:val="auto"/>
          <w:szCs w:val="21"/>
        </w:rPr>
      </w:pPr>
      <w:r>
        <w:rPr>
          <w:rFonts w:ascii="宋体" w:hAnsi="宋体"/>
          <w:color w:val="auto"/>
          <w:szCs w:val="21"/>
        </w:rPr>
        <w:t xml:space="preserve">    16.1.2 发包人违约的责任</w:t>
      </w:r>
    </w:p>
    <w:p>
      <w:pPr>
        <w:spacing w:line="400" w:lineRule="exact"/>
        <w:ind w:firstLine="420" w:firstLineChars="200"/>
        <w:jc w:val="left"/>
        <w:rPr>
          <w:rFonts w:ascii="宋体" w:hAnsi="宋体"/>
          <w:color w:val="auto"/>
          <w:szCs w:val="21"/>
        </w:rPr>
      </w:pPr>
      <w:r>
        <w:rPr>
          <w:rFonts w:ascii="宋体" w:hAnsi="宋体"/>
          <w:color w:val="auto"/>
          <w:szCs w:val="21"/>
        </w:rPr>
        <w:t>发包人违约责任的承担方式和计算方法：</w:t>
      </w:r>
    </w:p>
    <w:p>
      <w:pPr>
        <w:spacing w:line="400" w:lineRule="exact"/>
        <w:ind w:firstLine="420" w:firstLineChars="200"/>
        <w:jc w:val="left"/>
        <w:rPr>
          <w:rFonts w:ascii="宋体" w:hAnsi="宋体"/>
          <w:color w:val="auto"/>
          <w:szCs w:val="21"/>
          <w:u w:val="single"/>
        </w:rPr>
      </w:pPr>
      <w:r>
        <w:rPr>
          <w:rFonts w:ascii="宋体" w:hAnsi="宋体"/>
          <w:color w:val="auto"/>
          <w:szCs w:val="21"/>
        </w:rPr>
        <w:t>（1）因发包人原因未能在计划开工日期前7天内下达开工通知的违约责任：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（2）因发包人原因未能按合同约定支付合同价款的违约责任：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（3）发包人违反第10.1款</w:t>
      </w:r>
      <w:r>
        <w:rPr>
          <w:rFonts w:hint="eastAsia" w:ascii="宋体" w:hAnsi="宋体"/>
          <w:color w:val="auto"/>
          <w:szCs w:val="21"/>
        </w:rPr>
        <w:t>〔</w:t>
      </w:r>
      <w:r>
        <w:rPr>
          <w:rFonts w:ascii="宋体" w:hAnsi="宋体"/>
          <w:color w:val="auto"/>
          <w:szCs w:val="21"/>
        </w:rPr>
        <w:t>变更的范围</w:t>
      </w:r>
      <w:r>
        <w:rPr>
          <w:rFonts w:hint="eastAsia" w:ascii="宋体" w:hAnsi="宋体"/>
          <w:color w:val="auto"/>
          <w:szCs w:val="21"/>
        </w:rPr>
        <w:t>〕</w:t>
      </w:r>
      <w:r>
        <w:rPr>
          <w:rFonts w:ascii="宋体" w:hAnsi="宋体"/>
          <w:color w:val="auto"/>
          <w:szCs w:val="21"/>
        </w:rPr>
        <w:t xml:space="preserve">第（2）项约定，自行实施被取消的工作或转由他人实施的违约责任：      </w:t>
      </w:r>
      <w:r>
        <w:rPr>
          <w:rFonts w:hint="eastAsia" w:ascii="宋体" w:hAnsi="宋体"/>
          <w:color w:val="auto"/>
          <w:szCs w:val="21"/>
        </w:rPr>
        <w:t xml:space="preserve">                                </w:t>
      </w:r>
      <w:r>
        <w:rPr>
          <w:rFonts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（4）发包人提供的材料、工程设备的规格、数量或质量不符合合同约定，或因发包人原因导致交货日期延误或交货地点变更等情况的违约责任：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（5）因发包人违反合同约定造成暂停施工的违约责任：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（6）发包人无正当理由没有在约定期限内发出复工指示，导致承包人无法复工的违约责任：</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其他：</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16.1.3 因发包人违约解除合同</w:t>
      </w:r>
    </w:p>
    <w:p>
      <w:pPr>
        <w:autoSpaceDE w:val="0"/>
        <w:autoSpaceDN w:val="0"/>
        <w:adjustRightInd w:val="0"/>
        <w:spacing w:line="400" w:lineRule="exact"/>
        <w:ind w:firstLine="420" w:firstLineChars="200"/>
        <w:jc w:val="left"/>
        <w:rPr>
          <w:rFonts w:hint="eastAsia" w:ascii="宋体" w:hAnsi="宋体"/>
          <w:color w:val="auto"/>
          <w:szCs w:val="21"/>
        </w:rPr>
      </w:pPr>
      <w:r>
        <w:rPr>
          <w:rFonts w:ascii="宋体" w:hAnsi="宋体"/>
          <w:color w:val="auto"/>
          <w:szCs w:val="21"/>
        </w:rPr>
        <w:t>承包人按16.1.1项</w:t>
      </w:r>
      <w:r>
        <w:rPr>
          <w:rFonts w:hint="eastAsia" w:ascii="宋体" w:hAnsi="宋体"/>
          <w:color w:val="auto"/>
          <w:szCs w:val="21"/>
        </w:rPr>
        <w:t>〔</w:t>
      </w:r>
      <w:r>
        <w:rPr>
          <w:rFonts w:ascii="宋体" w:hAnsi="宋体"/>
          <w:color w:val="auto"/>
          <w:szCs w:val="21"/>
        </w:rPr>
        <w:t>发包人违约的情形</w:t>
      </w:r>
      <w:r>
        <w:rPr>
          <w:rFonts w:hint="eastAsia" w:ascii="宋体" w:hAnsi="宋体"/>
          <w:color w:val="auto"/>
          <w:szCs w:val="21"/>
        </w:rPr>
        <w:t>〕</w:t>
      </w:r>
      <w:r>
        <w:rPr>
          <w:rFonts w:ascii="宋体" w:hAnsi="宋体"/>
          <w:color w:val="auto"/>
          <w:szCs w:val="21"/>
        </w:rPr>
        <w:t>约定暂停施工满</w:t>
      </w:r>
      <w:r>
        <w:rPr>
          <w:rFonts w:ascii="宋体" w:hAnsi="宋体"/>
          <w:color w:val="auto"/>
          <w:szCs w:val="21"/>
          <w:u w:val="single"/>
        </w:rPr>
        <w:t xml:space="preserve">    </w:t>
      </w:r>
      <w:r>
        <w:rPr>
          <w:rFonts w:ascii="宋体" w:hAnsi="宋体"/>
          <w:color w:val="auto"/>
          <w:szCs w:val="21"/>
        </w:rPr>
        <w:t>天后发包人仍不纠正其违约行为并致使合同目的不能实现的，承包人有权解除合同。</w:t>
      </w:r>
    </w:p>
    <w:p>
      <w:pPr>
        <w:spacing w:after="120" w:line="400" w:lineRule="exact"/>
        <w:ind w:firstLine="420" w:firstLineChars="200"/>
        <w:rPr>
          <w:rFonts w:ascii="宋体" w:hAnsi="宋体"/>
          <w:color w:val="auto"/>
          <w:szCs w:val="21"/>
        </w:rPr>
      </w:pPr>
      <w:r>
        <w:rPr>
          <w:rFonts w:ascii="宋体" w:hAnsi="宋体"/>
          <w:color w:val="auto"/>
          <w:szCs w:val="21"/>
        </w:rPr>
        <w:t>16.2 承包人违约</w:t>
      </w:r>
    </w:p>
    <w:p>
      <w:pPr>
        <w:spacing w:line="400" w:lineRule="exact"/>
        <w:ind w:firstLine="420" w:firstLineChars="200"/>
        <w:jc w:val="left"/>
        <w:rPr>
          <w:rFonts w:ascii="宋体" w:hAnsi="宋体"/>
          <w:color w:val="auto"/>
          <w:szCs w:val="21"/>
        </w:rPr>
      </w:pPr>
      <w:r>
        <w:rPr>
          <w:rFonts w:ascii="宋体" w:hAnsi="宋体"/>
          <w:color w:val="auto"/>
          <w:szCs w:val="21"/>
        </w:rPr>
        <w:t>16.2.1 承包人违约的情形</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承包人违约的其他情形：</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16.2.2承包人违约的责任</w:t>
      </w:r>
    </w:p>
    <w:p>
      <w:pPr>
        <w:autoSpaceDE w:val="0"/>
        <w:autoSpaceDN w:val="0"/>
        <w:adjustRightInd w:val="0"/>
        <w:spacing w:line="400" w:lineRule="exact"/>
        <w:ind w:firstLine="420" w:firstLineChars="200"/>
        <w:jc w:val="left"/>
        <w:rPr>
          <w:rFonts w:ascii="宋体" w:hAnsi="宋体"/>
          <w:color w:val="auto"/>
          <w:szCs w:val="21"/>
          <w:u w:val="single"/>
        </w:rPr>
      </w:pPr>
      <w:r>
        <w:rPr>
          <w:rFonts w:ascii="宋体" w:hAnsi="宋体"/>
          <w:color w:val="auto"/>
          <w:szCs w:val="21"/>
        </w:rPr>
        <w:t>承包人违约责任的承担方式和计算方法：</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16.2.3 因承包人违约解除合同</w:t>
      </w:r>
    </w:p>
    <w:p>
      <w:pPr>
        <w:autoSpaceDE w:val="0"/>
        <w:autoSpaceDN w:val="0"/>
        <w:adjustRightInd w:val="0"/>
        <w:spacing w:line="400" w:lineRule="exact"/>
        <w:ind w:firstLine="420" w:firstLineChars="200"/>
        <w:jc w:val="left"/>
        <w:rPr>
          <w:rFonts w:hint="eastAsia" w:ascii="宋体" w:hAnsi="宋体"/>
          <w:color w:val="auto"/>
          <w:szCs w:val="21"/>
        </w:rPr>
      </w:pPr>
      <w:r>
        <w:rPr>
          <w:rFonts w:ascii="宋体" w:hAnsi="宋体"/>
          <w:color w:val="auto"/>
          <w:szCs w:val="21"/>
        </w:rPr>
        <w:t>关于承包人违约解除合同的特别约定：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发包人</w:t>
      </w:r>
      <w:r>
        <w:rPr>
          <w:rFonts w:hint="eastAsia" w:ascii="宋体" w:hAnsi="宋体"/>
          <w:color w:val="auto"/>
          <w:szCs w:val="21"/>
        </w:rPr>
        <w:t>继续</w:t>
      </w:r>
      <w:r>
        <w:rPr>
          <w:rFonts w:ascii="宋体" w:hAnsi="宋体"/>
          <w:color w:val="auto"/>
          <w:szCs w:val="21"/>
        </w:rPr>
        <w:t>使用承包人在施工现场的材料、设备、临时工程、承包人文件和由承包人或以其名义编制的其他文件</w:t>
      </w:r>
      <w:r>
        <w:rPr>
          <w:rFonts w:hint="eastAsia" w:ascii="宋体" w:hAnsi="宋体"/>
          <w:color w:val="auto"/>
          <w:szCs w:val="21"/>
        </w:rPr>
        <w:t>的费用承担方式</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pStyle w:val="5"/>
        <w:spacing w:before="120" w:after="120" w:line="400" w:lineRule="exact"/>
        <w:rPr>
          <w:rFonts w:ascii="宋体" w:hAnsi="宋体" w:eastAsia="宋体"/>
          <w:b w:val="0"/>
          <w:color w:val="auto"/>
          <w:sz w:val="21"/>
          <w:szCs w:val="21"/>
        </w:rPr>
      </w:pPr>
      <w:bookmarkStart w:id="636" w:name="_Toc351203649"/>
      <w:r>
        <w:rPr>
          <w:rFonts w:ascii="宋体" w:hAnsi="宋体" w:eastAsia="宋体"/>
          <w:b w:val="0"/>
          <w:color w:val="auto"/>
          <w:sz w:val="21"/>
          <w:szCs w:val="21"/>
        </w:rPr>
        <w:t>17. 不可抗力</w:t>
      </w:r>
      <w:bookmarkEnd w:id="636"/>
      <w:r>
        <w:rPr>
          <w:rFonts w:ascii="宋体" w:hAnsi="宋体" w:eastAsia="宋体"/>
          <w:b w:val="0"/>
          <w:color w:val="auto"/>
          <w:sz w:val="21"/>
          <w:szCs w:val="21"/>
        </w:rPr>
        <w:t xml:space="preserve"> </w:t>
      </w:r>
      <w:bookmarkEnd w:id="634"/>
    </w:p>
    <w:p>
      <w:pPr>
        <w:spacing w:after="120" w:line="400" w:lineRule="exact"/>
        <w:ind w:firstLine="420" w:firstLineChars="200"/>
        <w:rPr>
          <w:rFonts w:ascii="宋体" w:hAnsi="宋体"/>
          <w:color w:val="auto"/>
          <w:szCs w:val="21"/>
        </w:rPr>
      </w:pPr>
      <w:r>
        <w:rPr>
          <w:rFonts w:ascii="宋体" w:hAnsi="宋体"/>
          <w:color w:val="auto"/>
          <w:szCs w:val="21"/>
        </w:rPr>
        <w:t>17.1 不可抗力的确认</w:t>
      </w:r>
    </w:p>
    <w:p>
      <w:pPr>
        <w:spacing w:line="400" w:lineRule="exact"/>
        <w:ind w:firstLine="420" w:firstLineChars="200"/>
        <w:jc w:val="left"/>
        <w:rPr>
          <w:rFonts w:ascii="宋体" w:hAnsi="宋体"/>
          <w:color w:val="auto"/>
          <w:szCs w:val="21"/>
          <w:u w:val="single"/>
        </w:rPr>
      </w:pPr>
      <w:r>
        <w:rPr>
          <w:rFonts w:ascii="宋体" w:hAnsi="宋体"/>
          <w:color w:val="auto"/>
          <w:szCs w:val="21"/>
        </w:rPr>
        <w:t xml:space="preserve">除通用合同条款约定的不可抗力事件之外，视为不可抗力的其他情形：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17.4 因不可抗力解除合同</w:t>
      </w:r>
    </w:p>
    <w:p>
      <w:pPr>
        <w:spacing w:line="400" w:lineRule="exact"/>
        <w:ind w:firstLine="420" w:firstLineChars="200"/>
        <w:jc w:val="left"/>
        <w:rPr>
          <w:rFonts w:hint="eastAsia" w:ascii="宋体" w:hAnsi="宋体"/>
          <w:color w:val="auto"/>
          <w:szCs w:val="21"/>
        </w:rPr>
      </w:pPr>
      <w:r>
        <w:rPr>
          <w:rFonts w:ascii="宋体" w:hAnsi="宋体"/>
          <w:color w:val="auto"/>
          <w:szCs w:val="21"/>
        </w:rPr>
        <w:t>合同解除后，发包人应在商定或确定发包人应支付款项后</w:t>
      </w:r>
      <w:r>
        <w:rPr>
          <w:rFonts w:ascii="宋体" w:hAnsi="宋体"/>
          <w:color w:val="auto"/>
          <w:szCs w:val="21"/>
          <w:u w:val="single"/>
        </w:rPr>
        <w:t xml:space="preserve">    </w:t>
      </w:r>
      <w:r>
        <w:rPr>
          <w:rFonts w:ascii="宋体" w:hAnsi="宋体"/>
          <w:color w:val="auto"/>
          <w:szCs w:val="21"/>
        </w:rPr>
        <w:t>天内完成款项的支付。</w:t>
      </w:r>
    </w:p>
    <w:p>
      <w:pPr>
        <w:pStyle w:val="5"/>
        <w:spacing w:before="120" w:after="120" w:line="400" w:lineRule="exact"/>
        <w:rPr>
          <w:rFonts w:ascii="宋体" w:hAnsi="宋体" w:eastAsia="宋体"/>
          <w:b w:val="0"/>
          <w:color w:val="auto"/>
          <w:sz w:val="21"/>
          <w:szCs w:val="21"/>
        </w:rPr>
      </w:pPr>
      <w:bookmarkStart w:id="637" w:name="_Toc351203650"/>
      <w:r>
        <w:rPr>
          <w:rFonts w:ascii="宋体" w:hAnsi="宋体" w:eastAsia="宋体"/>
          <w:b w:val="0"/>
          <w:color w:val="auto"/>
          <w:sz w:val="21"/>
          <w:szCs w:val="21"/>
        </w:rPr>
        <w:t>18. 保险</w:t>
      </w:r>
      <w:bookmarkEnd w:id="637"/>
    </w:p>
    <w:bookmarkEnd w:id="635"/>
    <w:p>
      <w:pPr>
        <w:spacing w:after="120" w:line="400" w:lineRule="exact"/>
        <w:ind w:firstLine="420" w:firstLineChars="200"/>
        <w:rPr>
          <w:rFonts w:ascii="宋体" w:hAnsi="宋体"/>
          <w:color w:val="auto"/>
          <w:szCs w:val="21"/>
        </w:rPr>
      </w:pPr>
      <w:r>
        <w:rPr>
          <w:rFonts w:ascii="宋体" w:hAnsi="宋体"/>
          <w:color w:val="auto"/>
          <w:szCs w:val="21"/>
        </w:rPr>
        <w:t>18.1 工程保险</w:t>
      </w:r>
    </w:p>
    <w:p>
      <w:pPr>
        <w:spacing w:line="400" w:lineRule="exact"/>
        <w:ind w:firstLine="420" w:firstLineChars="200"/>
        <w:jc w:val="left"/>
        <w:rPr>
          <w:rFonts w:ascii="宋体" w:hAnsi="宋体"/>
          <w:color w:val="auto"/>
          <w:szCs w:val="21"/>
        </w:rPr>
      </w:pPr>
      <w:r>
        <w:rPr>
          <w:rFonts w:ascii="宋体" w:hAnsi="宋体"/>
          <w:color w:val="auto"/>
          <w:szCs w:val="21"/>
        </w:rPr>
        <w:t>关于工程保险的特别约定：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18.3 其他保险</w:t>
      </w:r>
    </w:p>
    <w:p>
      <w:pPr>
        <w:spacing w:line="400" w:lineRule="exact"/>
        <w:ind w:firstLine="420" w:firstLineChars="200"/>
        <w:jc w:val="left"/>
        <w:rPr>
          <w:rFonts w:ascii="宋体" w:hAnsi="宋体"/>
          <w:color w:val="auto"/>
          <w:szCs w:val="21"/>
        </w:rPr>
      </w:pPr>
      <w:r>
        <w:rPr>
          <w:rFonts w:ascii="宋体" w:hAnsi="宋体"/>
          <w:color w:val="auto"/>
          <w:szCs w:val="21"/>
        </w:rPr>
        <w:t>关于其他保险的约定：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承包人是否应为其施工设备等办理财产保险：</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18.7 通知义务</w:t>
      </w:r>
    </w:p>
    <w:p>
      <w:pPr>
        <w:spacing w:line="400" w:lineRule="exact"/>
        <w:ind w:firstLine="420" w:firstLineChars="200"/>
        <w:jc w:val="left"/>
        <w:rPr>
          <w:rFonts w:ascii="宋体" w:hAnsi="宋体"/>
          <w:color w:val="auto"/>
          <w:szCs w:val="21"/>
        </w:rPr>
      </w:pPr>
      <w:r>
        <w:rPr>
          <w:rFonts w:ascii="宋体" w:hAnsi="宋体"/>
          <w:color w:val="auto"/>
          <w:szCs w:val="21"/>
        </w:rPr>
        <w:t>关于变更保险合同时的通知义务的约定：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611"/>
    <w:bookmarkEnd w:id="612"/>
    <w:bookmarkEnd w:id="613"/>
    <w:bookmarkEnd w:id="614"/>
    <w:bookmarkEnd w:id="615"/>
    <w:bookmarkEnd w:id="616"/>
    <w:bookmarkEnd w:id="617"/>
    <w:bookmarkEnd w:id="618"/>
    <w:bookmarkEnd w:id="619"/>
    <w:bookmarkEnd w:id="620"/>
    <w:bookmarkEnd w:id="621"/>
    <w:bookmarkEnd w:id="622"/>
    <w:p>
      <w:pPr>
        <w:pStyle w:val="5"/>
        <w:pageBreakBefore w:val="0"/>
        <w:widowControl/>
        <w:kinsoku/>
        <w:wordWrap/>
        <w:overflowPunct/>
        <w:topLinePunct w:val="0"/>
        <w:bidi w:val="0"/>
        <w:snapToGrid/>
        <w:spacing w:before="120" w:after="120" w:line="240" w:lineRule="auto"/>
        <w:textAlignment w:val="baseline"/>
        <w:rPr>
          <w:rFonts w:ascii="宋体" w:hAnsi="宋体" w:eastAsia="宋体"/>
          <w:b w:val="0"/>
          <w:color w:val="auto"/>
          <w:sz w:val="21"/>
          <w:szCs w:val="21"/>
        </w:rPr>
      </w:pPr>
      <w:bookmarkStart w:id="638" w:name="_Toc351203651"/>
      <w:r>
        <w:rPr>
          <w:rFonts w:ascii="宋体" w:hAnsi="宋体" w:eastAsia="宋体"/>
          <w:b w:val="0"/>
          <w:color w:val="auto"/>
          <w:sz w:val="21"/>
          <w:szCs w:val="21"/>
        </w:rPr>
        <w:t>20. 争议解决</w:t>
      </w:r>
      <w:bookmarkEnd w:id="638"/>
    </w:p>
    <w:bookmarkEnd w:id="623"/>
    <w:bookmarkEnd w:id="624"/>
    <w:p>
      <w:pPr>
        <w:pageBreakBefore w:val="0"/>
        <w:widowControl/>
        <w:kinsoku/>
        <w:wordWrap/>
        <w:overflowPunct/>
        <w:topLinePunct w:val="0"/>
        <w:bidi w:val="0"/>
        <w:snapToGrid/>
        <w:spacing w:after="120" w:line="240" w:lineRule="auto"/>
        <w:ind w:firstLine="420" w:firstLineChars="200"/>
        <w:textAlignment w:val="baseline"/>
        <w:rPr>
          <w:rFonts w:ascii="宋体" w:hAnsi="宋体"/>
          <w:color w:val="auto"/>
          <w:szCs w:val="21"/>
        </w:rPr>
      </w:pPr>
      <w:r>
        <w:rPr>
          <w:rFonts w:ascii="宋体" w:hAnsi="宋体"/>
          <w:color w:val="auto"/>
          <w:szCs w:val="21"/>
        </w:rPr>
        <w:t>20.3 争</w:t>
      </w:r>
      <w:bookmarkEnd w:id="625"/>
      <w:r>
        <w:rPr>
          <w:rFonts w:ascii="宋体" w:hAnsi="宋体"/>
          <w:color w:val="auto"/>
          <w:szCs w:val="21"/>
        </w:rPr>
        <w:t>议评审</w:t>
      </w:r>
    </w:p>
    <w:p>
      <w:pPr>
        <w:pageBreakBefore w:val="0"/>
        <w:widowControl/>
        <w:kinsoku/>
        <w:wordWrap/>
        <w:overflowPunct/>
        <w:topLinePunct w:val="0"/>
        <w:bidi w:val="0"/>
        <w:snapToGrid/>
        <w:spacing w:line="240" w:lineRule="auto"/>
        <w:ind w:firstLine="420" w:firstLineChars="200"/>
        <w:jc w:val="left"/>
        <w:textAlignment w:val="baseline"/>
        <w:rPr>
          <w:rFonts w:ascii="宋体" w:hAnsi="宋体"/>
          <w:color w:val="auto"/>
          <w:szCs w:val="21"/>
        </w:rPr>
      </w:pPr>
      <w:r>
        <w:rPr>
          <w:rFonts w:ascii="宋体" w:hAnsi="宋体"/>
          <w:color w:val="auto"/>
          <w:szCs w:val="21"/>
        </w:rPr>
        <w:t>合同当事人是否同意将工程争议提交争议评审小组决</w:t>
      </w:r>
      <w:r>
        <w:rPr>
          <w:rFonts w:hint="eastAsia" w:ascii="宋体" w:hAnsi="宋体"/>
          <w:color w:val="auto"/>
          <w:szCs w:val="21"/>
        </w:rPr>
        <w:t>定：</w:t>
      </w:r>
      <w:r>
        <w:rPr>
          <w:rFonts w:hint="eastAsia" w:ascii="宋体" w:hAnsi="宋体"/>
          <w:color w:val="auto"/>
          <w:szCs w:val="21"/>
          <w:u w:val="single"/>
        </w:rPr>
        <w:t xml:space="preserve">                         </w:t>
      </w:r>
      <w:r>
        <w:rPr>
          <w:rFonts w:hint="eastAsia" w:ascii="宋体" w:hAnsi="宋体"/>
          <w:color w:val="auto"/>
          <w:szCs w:val="21"/>
        </w:rPr>
        <w:t xml:space="preserve">。  </w:t>
      </w:r>
    </w:p>
    <w:p>
      <w:pPr>
        <w:pageBreakBefore w:val="0"/>
        <w:widowControl/>
        <w:kinsoku/>
        <w:wordWrap/>
        <w:overflowPunct/>
        <w:topLinePunct w:val="0"/>
        <w:bidi w:val="0"/>
        <w:snapToGrid/>
        <w:spacing w:line="240" w:lineRule="auto"/>
        <w:ind w:firstLine="420" w:firstLineChars="200"/>
        <w:jc w:val="left"/>
        <w:textAlignment w:val="baseline"/>
        <w:rPr>
          <w:rFonts w:ascii="宋体" w:hAnsi="宋体"/>
          <w:color w:val="auto"/>
          <w:szCs w:val="21"/>
        </w:rPr>
      </w:pPr>
      <w:r>
        <w:rPr>
          <w:rFonts w:ascii="宋体" w:hAnsi="宋体"/>
          <w:color w:val="auto"/>
          <w:szCs w:val="21"/>
        </w:rPr>
        <w:t>20.3.1 争议评审小组的确定</w:t>
      </w:r>
    </w:p>
    <w:p>
      <w:pPr>
        <w:pageBreakBefore w:val="0"/>
        <w:widowControl/>
        <w:kinsoku/>
        <w:wordWrap/>
        <w:overflowPunct/>
        <w:topLinePunct w:val="0"/>
        <w:bidi w:val="0"/>
        <w:snapToGrid/>
        <w:spacing w:line="240" w:lineRule="auto"/>
        <w:ind w:firstLine="420" w:firstLineChars="200"/>
        <w:jc w:val="left"/>
        <w:textAlignment w:val="baseline"/>
        <w:rPr>
          <w:rFonts w:ascii="宋体" w:hAnsi="宋体"/>
          <w:color w:val="auto"/>
          <w:szCs w:val="21"/>
          <w:u w:val="single"/>
        </w:rPr>
      </w:pPr>
      <w:r>
        <w:rPr>
          <w:rFonts w:ascii="宋体" w:hAnsi="宋体"/>
          <w:color w:val="auto"/>
          <w:szCs w:val="21"/>
        </w:rPr>
        <w:t>争议评审小组成员的确定：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ageBreakBefore w:val="0"/>
        <w:widowControl/>
        <w:kinsoku/>
        <w:wordWrap/>
        <w:overflowPunct/>
        <w:topLinePunct w:val="0"/>
        <w:bidi w:val="0"/>
        <w:snapToGrid/>
        <w:spacing w:line="240" w:lineRule="auto"/>
        <w:ind w:firstLine="420" w:firstLineChars="200"/>
        <w:jc w:val="left"/>
        <w:textAlignment w:val="baseline"/>
        <w:rPr>
          <w:rFonts w:ascii="宋体" w:hAnsi="宋体"/>
          <w:color w:val="auto"/>
          <w:szCs w:val="21"/>
        </w:rPr>
      </w:pPr>
      <w:r>
        <w:rPr>
          <w:rFonts w:ascii="宋体" w:hAnsi="宋体"/>
          <w:color w:val="auto"/>
          <w:szCs w:val="21"/>
        </w:rPr>
        <w:t>选定争议评审员的期限：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ageBreakBefore w:val="0"/>
        <w:widowControl/>
        <w:kinsoku/>
        <w:wordWrap/>
        <w:overflowPunct/>
        <w:topLinePunct w:val="0"/>
        <w:bidi w:val="0"/>
        <w:snapToGrid/>
        <w:spacing w:line="240" w:lineRule="auto"/>
        <w:ind w:firstLine="420" w:firstLineChars="200"/>
        <w:jc w:val="left"/>
        <w:textAlignment w:val="baseline"/>
        <w:rPr>
          <w:rFonts w:ascii="宋体" w:hAnsi="宋体"/>
          <w:color w:val="auto"/>
          <w:szCs w:val="21"/>
        </w:rPr>
      </w:pPr>
      <w:r>
        <w:rPr>
          <w:rFonts w:ascii="宋体" w:hAnsi="宋体"/>
          <w:color w:val="auto"/>
          <w:szCs w:val="21"/>
        </w:rPr>
        <w:t>争议评审小组成员的报酬承担方式：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ageBreakBefore w:val="0"/>
        <w:widowControl/>
        <w:kinsoku/>
        <w:wordWrap/>
        <w:overflowPunct/>
        <w:topLinePunct w:val="0"/>
        <w:bidi w:val="0"/>
        <w:snapToGrid/>
        <w:spacing w:line="240" w:lineRule="auto"/>
        <w:ind w:firstLine="420" w:firstLineChars="200"/>
        <w:jc w:val="left"/>
        <w:textAlignment w:val="baseline"/>
        <w:rPr>
          <w:rFonts w:ascii="宋体" w:hAnsi="宋体"/>
          <w:color w:val="auto"/>
          <w:szCs w:val="21"/>
        </w:rPr>
      </w:pPr>
      <w:r>
        <w:rPr>
          <w:rFonts w:ascii="宋体" w:hAnsi="宋体"/>
          <w:color w:val="auto"/>
          <w:szCs w:val="21"/>
        </w:rPr>
        <w:t>其他事项的约定：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ageBreakBefore w:val="0"/>
        <w:widowControl/>
        <w:kinsoku/>
        <w:wordWrap/>
        <w:overflowPunct/>
        <w:topLinePunct w:val="0"/>
        <w:autoSpaceDE w:val="0"/>
        <w:autoSpaceDN w:val="0"/>
        <w:bidi w:val="0"/>
        <w:adjustRightInd w:val="0"/>
        <w:snapToGrid/>
        <w:spacing w:line="240" w:lineRule="auto"/>
        <w:ind w:firstLine="420" w:firstLineChars="200"/>
        <w:jc w:val="left"/>
        <w:textAlignment w:val="baseline"/>
        <w:rPr>
          <w:rFonts w:ascii="宋体" w:hAnsi="宋体"/>
          <w:color w:val="auto"/>
          <w:szCs w:val="21"/>
        </w:rPr>
      </w:pPr>
      <w:r>
        <w:rPr>
          <w:rFonts w:ascii="宋体" w:hAnsi="宋体"/>
          <w:color w:val="auto"/>
          <w:szCs w:val="21"/>
        </w:rPr>
        <w:t>20.3.2 争议评审小组的决定</w:t>
      </w:r>
    </w:p>
    <w:p>
      <w:pPr>
        <w:pageBreakBefore w:val="0"/>
        <w:widowControl/>
        <w:kinsoku/>
        <w:wordWrap/>
        <w:overflowPunct/>
        <w:topLinePunct w:val="0"/>
        <w:bidi w:val="0"/>
        <w:snapToGrid/>
        <w:spacing w:line="240" w:lineRule="auto"/>
        <w:ind w:firstLine="420" w:firstLineChars="200"/>
        <w:jc w:val="left"/>
        <w:textAlignment w:val="baseline"/>
        <w:rPr>
          <w:rFonts w:ascii="宋体" w:hAnsi="宋体"/>
          <w:color w:val="auto"/>
          <w:szCs w:val="21"/>
        </w:rPr>
      </w:pPr>
      <w:r>
        <w:rPr>
          <w:rFonts w:ascii="宋体" w:hAnsi="宋体"/>
          <w:color w:val="auto"/>
          <w:szCs w:val="21"/>
        </w:rPr>
        <w:t>合同当事人关于本项的约定：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ageBreakBefore w:val="0"/>
        <w:widowControl/>
        <w:kinsoku/>
        <w:wordWrap/>
        <w:overflowPunct/>
        <w:topLinePunct w:val="0"/>
        <w:bidi w:val="0"/>
        <w:snapToGrid/>
        <w:spacing w:after="120" w:line="240" w:lineRule="auto"/>
        <w:ind w:firstLine="420" w:firstLineChars="200"/>
        <w:textAlignment w:val="baseline"/>
        <w:rPr>
          <w:rFonts w:hint="eastAsia" w:ascii="宋体" w:hAnsi="宋体"/>
          <w:color w:val="auto"/>
          <w:szCs w:val="21"/>
        </w:rPr>
      </w:pPr>
      <w:r>
        <w:rPr>
          <w:rFonts w:ascii="宋体" w:hAnsi="宋体"/>
          <w:color w:val="auto"/>
          <w:szCs w:val="21"/>
        </w:rPr>
        <w:t>20.4仲裁或诉讼</w:t>
      </w:r>
      <w:bookmarkEnd w:id="626"/>
    </w:p>
    <w:p>
      <w:pPr>
        <w:keepNext w:val="0"/>
        <w:keepLines w:val="0"/>
        <w:pageBreakBefore w:val="0"/>
        <w:widowControl/>
        <w:kinsoku/>
        <w:wordWrap/>
        <w:overflowPunct/>
        <w:topLinePunct w:val="0"/>
        <w:autoSpaceDE/>
        <w:autoSpaceDN/>
        <w:bidi w:val="0"/>
        <w:adjustRightInd/>
        <w:snapToGrid/>
        <w:spacing w:after="120" w:line="240" w:lineRule="auto"/>
        <w:ind w:firstLine="420" w:firstLineChars="200"/>
        <w:textAlignment w:val="baseline"/>
        <w:rPr>
          <w:rFonts w:ascii="宋体" w:hAnsi="宋体"/>
          <w:color w:val="auto"/>
          <w:szCs w:val="21"/>
        </w:rPr>
      </w:pPr>
      <w:r>
        <w:rPr>
          <w:rFonts w:ascii="宋体" w:hAnsi="宋体"/>
          <w:color w:val="auto"/>
          <w:szCs w:val="21"/>
        </w:rPr>
        <w:t>因合同及合同有关事项发生的争议，按下列第</w:t>
      </w:r>
      <w:r>
        <w:rPr>
          <w:rFonts w:ascii="宋体" w:hAnsi="宋体"/>
          <w:color w:val="auto"/>
          <w:szCs w:val="21"/>
          <w:u w:val="single"/>
        </w:rPr>
        <w:t xml:space="preserve">     </w:t>
      </w:r>
      <w:r>
        <w:rPr>
          <w:rFonts w:ascii="宋体" w:hAnsi="宋体"/>
          <w:color w:val="auto"/>
          <w:szCs w:val="21"/>
        </w:rPr>
        <w:t>种方式</w:t>
      </w:r>
      <w:r>
        <w:rPr>
          <w:rFonts w:hint="eastAsia" w:ascii="宋体" w:hAnsi="宋体"/>
          <w:color w:val="auto"/>
          <w:szCs w:val="21"/>
        </w:rPr>
        <w:t>解</w:t>
      </w:r>
      <w:r>
        <w:rPr>
          <w:rFonts w:ascii="宋体" w:hAnsi="宋体"/>
          <w:color w:val="auto"/>
          <w:szCs w:val="21"/>
        </w:rPr>
        <w:t>决：</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baseline"/>
        <w:rPr>
          <w:rFonts w:ascii="宋体" w:hAnsi="宋体"/>
          <w:color w:val="auto"/>
          <w:szCs w:val="21"/>
        </w:rPr>
      </w:pPr>
      <w:r>
        <w:rPr>
          <w:rFonts w:ascii="宋体" w:hAnsi="宋体"/>
          <w:color w:val="auto"/>
          <w:szCs w:val="21"/>
        </w:rPr>
        <w:t>（1）向</w:t>
      </w:r>
      <w:r>
        <w:rPr>
          <w:rFonts w:ascii="宋体" w:hAnsi="宋体"/>
          <w:color w:val="auto"/>
          <w:szCs w:val="21"/>
          <w:u w:val="single"/>
        </w:rPr>
        <w:t xml:space="preserve">                     </w:t>
      </w:r>
      <w:r>
        <w:rPr>
          <w:rFonts w:ascii="宋体" w:hAnsi="宋体"/>
          <w:color w:val="auto"/>
          <w:szCs w:val="21"/>
        </w:rPr>
        <w:t>仲裁委员会申请仲裁；</w:t>
      </w:r>
    </w:p>
    <w:p>
      <w:pPr>
        <w:spacing w:line="400" w:lineRule="exact"/>
        <w:ind w:firstLine="420" w:firstLineChars="200"/>
        <w:jc w:val="left"/>
        <w:rPr>
          <w:rFonts w:hint="eastAsia" w:ascii="宋体" w:hAnsi="宋体"/>
          <w:color w:val="auto"/>
          <w:szCs w:val="21"/>
        </w:rPr>
      </w:pPr>
      <w:r>
        <w:rPr>
          <w:rFonts w:ascii="宋体" w:hAnsi="宋体"/>
          <w:color w:val="auto"/>
          <w:szCs w:val="21"/>
        </w:rPr>
        <w:t>（2）向</w:t>
      </w:r>
      <w:r>
        <w:rPr>
          <w:rFonts w:ascii="宋体" w:hAnsi="宋体"/>
          <w:color w:val="auto"/>
          <w:szCs w:val="21"/>
          <w:u w:val="single"/>
        </w:rPr>
        <w:t xml:space="preserve">                     </w:t>
      </w:r>
      <w:r>
        <w:rPr>
          <w:rFonts w:ascii="宋体" w:hAnsi="宋体"/>
          <w:color w:val="auto"/>
          <w:szCs w:val="21"/>
        </w:rPr>
        <w:t>人民法院起诉。</w:t>
      </w:r>
      <w:bookmarkEnd w:id="627"/>
      <w:bookmarkEnd w:id="628"/>
      <w:bookmarkEnd w:id="629"/>
      <w:bookmarkEnd w:id="630"/>
      <w:bookmarkEnd w:id="631"/>
      <w:bookmarkEnd w:id="632"/>
    </w:p>
    <w:p>
      <w:pPr>
        <w:pStyle w:val="4"/>
        <w:spacing w:line="400" w:lineRule="exact"/>
        <w:jc w:val="center"/>
        <w:rPr>
          <w:sz w:val="48"/>
          <w:szCs w:val="48"/>
        </w:rPr>
      </w:pPr>
      <w:r>
        <w:rPr>
          <w:szCs w:val="21"/>
        </w:rPr>
        <w:br w:type="page"/>
      </w:r>
      <w:bookmarkStart w:id="639" w:name="_Toc45007878"/>
      <w:r>
        <w:rPr>
          <w:rFonts w:hint="eastAsia"/>
          <w:sz w:val="48"/>
          <w:szCs w:val="48"/>
        </w:rPr>
        <w:t xml:space="preserve">第四章   </w:t>
      </w:r>
      <w:bookmarkEnd w:id="102"/>
      <w:r>
        <w:rPr>
          <w:rFonts w:hint="eastAsia"/>
          <w:sz w:val="48"/>
          <w:szCs w:val="48"/>
        </w:rPr>
        <w:t>响应文件格式</w:t>
      </w:r>
      <w:bookmarkEnd w:id="639"/>
    </w:p>
    <w:p>
      <w:pPr>
        <w:jc w:val="center"/>
        <w:rPr>
          <w:rFonts w:hint="eastAsia" w:ascii="宋体" w:hAnsi="宋体"/>
          <w:color w:val="auto"/>
          <w:sz w:val="32"/>
          <w:szCs w:val="32"/>
        </w:rPr>
      </w:pPr>
    </w:p>
    <w:p>
      <w:pPr>
        <w:rPr>
          <w:rFonts w:hint="eastAsia" w:ascii="宋体" w:hAnsi="宋体"/>
          <w:color w:val="auto"/>
          <w:sz w:val="28"/>
          <w:szCs w:val="28"/>
        </w:rPr>
      </w:pPr>
      <w:r>
        <w:rPr>
          <w:rFonts w:hint="eastAsia" w:ascii="宋体" w:hAnsi="宋体"/>
          <w:color w:val="auto"/>
          <w:sz w:val="28"/>
          <w:szCs w:val="28"/>
        </w:rPr>
        <w:t>封面格式</w:t>
      </w:r>
    </w:p>
    <w:p>
      <w:pPr>
        <w:rPr>
          <w:rFonts w:hint="eastAsia" w:ascii="宋体" w:hAnsi="宋体"/>
          <w:color w:val="auto"/>
          <w:sz w:val="32"/>
          <w:szCs w:val="32"/>
          <w:u w:val="single"/>
        </w:rPr>
      </w:pPr>
    </w:p>
    <w:p>
      <w:pPr>
        <w:jc w:val="center"/>
        <w:rPr>
          <w:rFonts w:hint="eastAsia" w:ascii="宋体" w:hAnsi="宋体"/>
          <w:color w:val="auto"/>
          <w:sz w:val="84"/>
          <w:szCs w:val="84"/>
        </w:rPr>
      </w:pPr>
    </w:p>
    <w:p>
      <w:pPr>
        <w:jc w:val="center"/>
        <w:rPr>
          <w:rFonts w:hint="eastAsia" w:ascii="宋体" w:hAnsi="宋体"/>
          <w:color w:val="auto"/>
          <w:sz w:val="84"/>
          <w:szCs w:val="84"/>
        </w:rPr>
      </w:pPr>
      <w:r>
        <w:rPr>
          <w:rFonts w:hint="eastAsia" w:ascii="宋体" w:hAnsi="宋体"/>
          <w:color w:val="auto"/>
          <w:sz w:val="84"/>
          <w:szCs w:val="84"/>
        </w:rPr>
        <w:t>响 应 文 件</w:t>
      </w:r>
    </w:p>
    <w:p>
      <w:pPr>
        <w:ind w:firstLine="992" w:firstLineChars="310"/>
        <w:rPr>
          <w:rFonts w:hint="eastAsia" w:ascii="宋体" w:hAnsi="宋体"/>
          <w:color w:val="auto"/>
          <w:sz w:val="32"/>
          <w:szCs w:val="32"/>
        </w:rPr>
      </w:pPr>
    </w:p>
    <w:p>
      <w:pPr>
        <w:jc w:val="center"/>
        <w:rPr>
          <w:rFonts w:hint="eastAsia" w:ascii="宋体" w:hAnsi="宋体"/>
          <w:color w:val="auto"/>
          <w:sz w:val="32"/>
          <w:szCs w:val="32"/>
        </w:rPr>
      </w:pPr>
      <w:r>
        <w:rPr>
          <w:rFonts w:hint="eastAsia" w:ascii="宋体" w:hAnsi="宋体"/>
          <w:color w:val="auto"/>
          <w:sz w:val="32"/>
          <w:szCs w:val="32"/>
        </w:rPr>
        <w:t>（ * 本 ）</w:t>
      </w:r>
    </w:p>
    <w:p>
      <w:pPr>
        <w:jc w:val="center"/>
        <w:rPr>
          <w:rFonts w:hint="eastAsia" w:ascii="宋体" w:hAnsi="宋体"/>
          <w:color w:val="auto"/>
          <w:sz w:val="32"/>
          <w:szCs w:val="32"/>
        </w:rPr>
      </w:pPr>
    </w:p>
    <w:p>
      <w:pPr>
        <w:jc w:val="center"/>
        <w:rPr>
          <w:rFonts w:hint="eastAsia" w:ascii="宋体" w:hAnsi="宋体"/>
          <w:color w:val="auto"/>
          <w:sz w:val="32"/>
          <w:szCs w:val="32"/>
        </w:rPr>
      </w:pPr>
    </w:p>
    <w:p>
      <w:pPr>
        <w:jc w:val="center"/>
        <w:rPr>
          <w:rFonts w:hint="eastAsia" w:ascii="宋体" w:hAnsi="宋体"/>
          <w:color w:val="auto"/>
          <w:sz w:val="32"/>
          <w:szCs w:val="32"/>
        </w:rPr>
      </w:pPr>
    </w:p>
    <w:p>
      <w:pPr>
        <w:spacing w:line="600" w:lineRule="atLeast"/>
        <w:ind w:left="2756" w:leftChars="741" w:hanging="1200" w:hangingChars="500"/>
        <w:rPr>
          <w:rFonts w:hint="eastAsia" w:ascii="宋体" w:hAnsi="宋体"/>
          <w:color w:val="auto"/>
          <w:sz w:val="18"/>
          <w:szCs w:val="18"/>
          <w:u w:val="single" w:color="auto"/>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600" w:lineRule="atLeast"/>
        <w:ind w:firstLine="1560" w:firstLineChars="650"/>
        <w:rPr>
          <w:rFonts w:hint="eastAsia" w:ascii="宋体" w:hAnsi="宋体"/>
          <w:color w:val="auto"/>
          <w:sz w:val="24"/>
          <w:szCs w:val="24"/>
        </w:rPr>
      </w:pPr>
      <w:r>
        <w:rPr>
          <w:rFonts w:hint="eastAsia" w:ascii="宋体" w:hAnsi="宋体"/>
          <w:color w:val="auto"/>
          <w:sz w:val="24"/>
          <w:szCs w:val="24"/>
        </w:rPr>
        <w:t>项目编号：</w:t>
      </w:r>
      <w:r>
        <w:rPr>
          <w:rFonts w:hint="eastAsia" w:ascii="宋体" w:hAnsi="宋体"/>
          <w:color w:val="auto"/>
          <w:sz w:val="24"/>
          <w:szCs w:val="24"/>
          <w:u w:val="single" w:color="auto"/>
        </w:rPr>
        <w:t xml:space="preserve">                                      </w:t>
      </w:r>
    </w:p>
    <w:p>
      <w:pPr>
        <w:ind w:firstLine="1888" w:firstLineChars="590"/>
        <w:rPr>
          <w:rFonts w:hint="eastAsia" w:ascii="宋体" w:hAnsi="宋体"/>
          <w:color w:val="auto"/>
          <w:sz w:val="32"/>
          <w:szCs w:val="32"/>
        </w:rPr>
      </w:pPr>
      <w:r>
        <w:rPr>
          <w:rFonts w:hint="eastAsia" w:ascii="宋体" w:hAnsi="宋体"/>
          <w:color w:val="auto"/>
          <w:sz w:val="32"/>
          <w:szCs w:val="32"/>
        </w:rPr>
        <w:t xml:space="preserve"> </w:t>
      </w:r>
    </w:p>
    <w:p>
      <w:pPr>
        <w:rPr>
          <w:rFonts w:hint="eastAsia" w:ascii="宋体" w:hAnsi="宋体"/>
          <w:color w:val="auto"/>
          <w:sz w:val="32"/>
          <w:szCs w:val="32"/>
        </w:rPr>
      </w:pPr>
    </w:p>
    <w:p>
      <w:pPr>
        <w:ind w:firstLine="960" w:firstLineChars="300"/>
        <w:rPr>
          <w:rFonts w:hint="eastAsia" w:ascii="宋体" w:hAnsi="宋体"/>
          <w:color w:val="auto"/>
          <w:sz w:val="32"/>
          <w:szCs w:val="32"/>
          <w:u w:val="single"/>
        </w:rPr>
      </w:pPr>
    </w:p>
    <w:p>
      <w:pPr>
        <w:spacing w:line="480" w:lineRule="auto"/>
        <w:ind w:firstLine="1440" w:firstLineChars="600"/>
        <w:rPr>
          <w:rFonts w:hint="eastAsia" w:ascii="宋体" w:hAnsi="宋体"/>
          <w:color w:val="auto"/>
          <w:sz w:val="24"/>
          <w:szCs w:val="24"/>
        </w:rPr>
      </w:pPr>
      <w:r>
        <w:rPr>
          <w:rFonts w:hint="eastAsia" w:ascii="宋体" w:hAnsi="宋体"/>
          <w:color w:val="auto"/>
          <w:sz w:val="24"/>
          <w:szCs w:val="24"/>
        </w:rPr>
        <w:t xml:space="preserve">供应商：   </w:t>
      </w:r>
      <w:r>
        <w:rPr>
          <w:rFonts w:hint="eastAsia" w:ascii="宋体" w:hAnsi="宋体"/>
          <w:color w:val="auto"/>
          <w:sz w:val="24"/>
          <w:szCs w:val="24"/>
          <w:u w:val="single"/>
        </w:rPr>
        <w:t xml:space="preserve">   （盖单位公章）           </w:t>
      </w:r>
    </w:p>
    <w:p>
      <w:pPr>
        <w:spacing w:line="480" w:lineRule="auto"/>
        <w:ind w:firstLine="1440" w:firstLineChars="600"/>
        <w:rPr>
          <w:rFonts w:hint="eastAsia" w:ascii="宋体" w:hAnsi="宋体"/>
          <w:color w:val="auto"/>
          <w:sz w:val="24"/>
          <w:szCs w:val="24"/>
          <w:u w:val="single"/>
        </w:rPr>
      </w:pPr>
      <w:r>
        <w:rPr>
          <w:rFonts w:hint="eastAsia" w:ascii="宋体" w:hAnsi="宋体"/>
          <w:color w:val="auto"/>
          <w:sz w:val="24"/>
          <w:szCs w:val="24"/>
        </w:rPr>
        <w:t>法定代表人或其委托代理人：</w:t>
      </w:r>
      <w:r>
        <w:rPr>
          <w:rFonts w:hint="eastAsia" w:ascii="宋体" w:hAnsi="宋体"/>
          <w:color w:val="auto"/>
          <w:sz w:val="24"/>
          <w:szCs w:val="24"/>
          <w:u w:val="single"/>
        </w:rPr>
        <w:t xml:space="preserve">   （签字）        </w:t>
      </w:r>
    </w:p>
    <w:p>
      <w:pPr>
        <w:spacing w:line="480" w:lineRule="auto"/>
        <w:ind w:firstLine="1440" w:firstLineChars="600"/>
        <w:rPr>
          <w:rFonts w:ascii="宋体" w:hAnsi="宋体"/>
          <w:color w:val="auto"/>
          <w:sz w:val="24"/>
          <w:szCs w:val="24"/>
          <w:u w:val="single"/>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240" w:lineRule="auto"/>
        <w:jc w:val="center"/>
        <w:rPr>
          <w:rFonts w:hint="eastAsia" w:ascii="宋体" w:hAnsi="宋体"/>
          <w:color w:val="auto"/>
          <w:sz w:val="52"/>
          <w:szCs w:val="52"/>
          <w:u w:val="none" w:color="auto"/>
        </w:rPr>
      </w:pPr>
      <w:r>
        <w:rPr>
          <w:rFonts w:ascii="宋体" w:hAnsi="宋体"/>
          <w:color w:val="auto"/>
          <w:sz w:val="28"/>
          <w:szCs w:val="28"/>
          <w:u w:val="single"/>
        </w:rPr>
        <w:br w:type="page"/>
      </w:r>
      <w:r>
        <w:rPr>
          <w:rFonts w:hint="eastAsia" w:ascii="宋体" w:hAnsi="宋体"/>
          <w:color w:val="auto"/>
          <w:sz w:val="52"/>
          <w:szCs w:val="52"/>
          <w:u w:val="none" w:color="auto"/>
        </w:rPr>
        <w:t>目  录</w:t>
      </w:r>
    </w:p>
    <w:p>
      <w:pPr>
        <w:rPr>
          <w:rFonts w:hint="eastAsia" w:ascii="宋体" w:hAnsi="宋体"/>
          <w:color w:val="auto"/>
        </w:rPr>
      </w:pPr>
      <w:r>
        <w:rPr>
          <w:rFonts w:hint="eastAsia" w:ascii="宋体" w:hAnsi="宋体"/>
          <w:color w:val="auto"/>
        </w:rPr>
        <w:t xml:space="preserve">                                         （自拟）</w:t>
      </w:r>
    </w:p>
    <w:p>
      <w:pPr>
        <w:spacing w:line="480" w:lineRule="auto"/>
        <w:jc w:val="left"/>
        <w:outlineLvl w:val="3"/>
        <w:rPr>
          <w:rFonts w:hint="eastAsia" w:ascii="宋体" w:hAnsi="宋体"/>
          <w:b/>
          <w:color w:val="auto"/>
          <w:sz w:val="32"/>
          <w:szCs w:val="32"/>
        </w:rPr>
      </w:pPr>
      <w:r>
        <w:rPr>
          <w:rFonts w:ascii="宋体" w:hAnsi="宋体"/>
          <w:color w:val="auto"/>
          <w:sz w:val="28"/>
          <w:szCs w:val="28"/>
          <w:u w:val="single"/>
        </w:rPr>
        <w:br w:type="page"/>
      </w:r>
      <w:r>
        <w:rPr>
          <w:rFonts w:hint="eastAsia" w:ascii="宋体" w:hAnsi="宋体"/>
          <w:b/>
          <w:bCs/>
          <w:color w:val="auto"/>
          <w:sz w:val="28"/>
          <w:szCs w:val="28"/>
          <w:u w:val="none" w:color="auto"/>
        </w:rPr>
        <w:t xml:space="preserve">商务文件：                 </w:t>
      </w:r>
      <w:r>
        <w:rPr>
          <w:rFonts w:hint="eastAsia" w:ascii="宋体" w:hAnsi="宋体"/>
          <w:color w:val="auto"/>
          <w:sz w:val="28"/>
          <w:szCs w:val="28"/>
          <w:u w:val="none" w:color="auto"/>
        </w:rPr>
        <w:t xml:space="preserve">1、 </w:t>
      </w:r>
      <w:r>
        <w:rPr>
          <w:rFonts w:hint="eastAsia" w:ascii="宋体" w:hAnsi="宋体"/>
          <w:b/>
          <w:color w:val="auto"/>
          <w:sz w:val="32"/>
          <w:szCs w:val="32"/>
        </w:rPr>
        <w:t>磋商函</w:t>
      </w:r>
    </w:p>
    <w:p>
      <w:pPr>
        <w:spacing w:line="480" w:lineRule="auto"/>
        <w:jc w:val="center"/>
        <w:rPr>
          <w:rFonts w:hint="eastAsia" w:ascii="宋体" w:hAnsi="宋体"/>
          <w:b/>
          <w:color w:val="auto"/>
          <w:sz w:val="24"/>
          <w:szCs w:val="24"/>
        </w:rPr>
      </w:pPr>
      <w:r>
        <w:rPr>
          <w:rFonts w:ascii="宋体" w:hAnsi="宋体"/>
          <w:b/>
          <w:color w:val="auto"/>
          <w:sz w:val="24"/>
          <w:szCs w:val="24"/>
        </w:rPr>
        <w:t>（必须按表中内容要求填写）</w:t>
      </w:r>
    </w:p>
    <w:p>
      <w:pPr>
        <w:spacing w:line="480" w:lineRule="auto"/>
        <w:rPr>
          <w:rFonts w:hint="eastAsia" w:ascii="宋体" w:hAnsi="宋体"/>
          <w:color w:val="auto"/>
          <w:szCs w:val="21"/>
        </w:rPr>
      </w:pPr>
      <w:r>
        <w:rPr>
          <w:rFonts w:hint="eastAsia" w:ascii="宋体" w:hAnsi="宋体"/>
          <w:color w:val="auto"/>
          <w:szCs w:val="21"/>
          <w:u w:val="none" w:color="auto"/>
        </w:rPr>
        <w:t>致：</w:t>
      </w:r>
      <w:r>
        <w:rPr>
          <w:rFonts w:hint="eastAsia" w:ascii="宋体" w:hAnsi="宋体"/>
          <w:color w:val="auto"/>
          <w:szCs w:val="21"/>
          <w:u w:val="single" w:color="auto"/>
        </w:rPr>
        <w:t>（采购人全称）</w:t>
      </w:r>
      <w:r>
        <w:rPr>
          <w:rFonts w:ascii="宋体" w:hAnsi="宋体"/>
          <w:color w:val="auto"/>
          <w:szCs w:val="21"/>
        </w:rPr>
        <w:t>：</w:t>
      </w:r>
    </w:p>
    <w:p>
      <w:pPr>
        <w:tabs>
          <w:tab w:val="left" w:pos="7560"/>
        </w:tabs>
        <w:spacing w:line="480" w:lineRule="auto"/>
        <w:ind w:firstLine="420" w:firstLineChars="200"/>
        <w:rPr>
          <w:rFonts w:hint="eastAsia" w:ascii="宋体" w:hAnsi="宋体"/>
          <w:color w:val="auto"/>
          <w:szCs w:val="21"/>
        </w:rPr>
      </w:pPr>
      <w:r>
        <w:rPr>
          <w:rFonts w:ascii="宋体" w:hAnsi="宋体"/>
          <w:color w:val="auto"/>
          <w:szCs w:val="21"/>
        </w:rPr>
        <w:t>1、根据已收到的</w:t>
      </w:r>
      <w:r>
        <w:rPr>
          <w:rFonts w:ascii="宋体" w:hAnsi="宋体"/>
          <w:color w:val="auto"/>
          <w:szCs w:val="21"/>
          <w:u w:val="single" w:color="auto"/>
        </w:rPr>
        <w:t xml:space="preserve">        </w:t>
      </w:r>
      <w:r>
        <w:rPr>
          <w:rFonts w:hint="eastAsia" w:ascii="宋体" w:hAnsi="宋体"/>
          <w:color w:val="auto"/>
          <w:szCs w:val="21"/>
          <w:u w:val="single" w:color="auto"/>
        </w:rPr>
        <w:t>（项目名称）</w:t>
      </w:r>
      <w:r>
        <w:rPr>
          <w:rFonts w:ascii="宋体" w:hAnsi="宋体"/>
          <w:color w:val="auto"/>
          <w:szCs w:val="21"/>
          <w:u w:val="single" w:color="auto"/>
        </w:rPr>
        <w:t xml:space="preserve">             </w:t>
      </w:r>
      <w:r>
        <w:rPr>
          <w:rFonts w:ascii="宋体" w:hAnsi="宋体"/>
          <w:color w:val="auto"/>
          <w:szCs w:val="21"/>
        </w:rPr>
        <w:t>工程的</w:t>
      </w:r>
      <w:r>
        <w:rPr>
          <w:rFonts w:hint="eastAsia" w:ascii="宋体" w:hAnsi="宋体"/>
          <w:color w:val="auto"/>
          <w:szCs w:val="21"/>
        </w:rPr>
        <w:t>竞争性磋商</w:t>
      </w:r>
      <w:r>
        <w:rPr>
          <w:rFonts w:ascii="宋体" w:hAnsi="宋体"/>
          <w:color w:val="auto"/>
          <w:szCs w:val="21"/>
        </w:rPr>
        <w:t>文件，我方经考察现场和研究贵方的</w:t>
      </w:r>
      <w:r>
        <w:rPr>
          <w:rFonts w:hint="eastAsia" w:ascii="宋体" w:hAnsi="宋体"/>
          <w:color w:val="auto"/>
          <w:szCs w:val="21"/>
        </w:rPr>
        <w:t>竞争性磋商</w:t>
      </w:r>
      <w:r>
        <w:rPr>
          <w:rFonts w:ascii="宋体" w:hAnsi="宋体"/>
          <w:color w:val="auto"/>
          <w:szCs w:val="21"/>
        </w:rPr>
        <w:t>文件后，</w:t>
      </w:r>
      <w:r>
        <w:rPr>
          <w:rFonts w:hint="eastAsia" w:ascii="宋体" w:hAnsi="宋体"/>
          <w:color w:val="auto"/>
          <w:szCs w:val="21"/>
        </w:rPr>
        <w:t>我方愿以人民币(大写)</w:t>
      </w:r>
      <w:r>
        <w:rPr>
          <w:rFonts w:hint="eastAsia" w:ascii="宋体" w:hAnsi="宋体"/>
          <w:color w:val="auto"/>
          <w:szCs w:val="21"/>
          <w:u w:val="single"/>
        </w:rPr>
        <w:t xml:space="preserve">                    </w:t>
      </w:r>
      <w:r>
        <w:rPr>
          <w:rFonts w:hint="eastAsia" w:ascii="宋体" w:hAnsi="宋体"/>
          <w:color w:val="auto"/>
          <w:szCs w:val="21"/>
          <w:u w:val="single" w:color="auto"/>
        </w:rPr>
        <w:t xml:space="preserve"> </w:t>
      </w:r>
      <w:r>
        <w:rPr>
          <w:rFonts w:hint="eastAsia" w:ascii="宋体" w:hAnsi="宋体"/>
          <w:color w:val="auto"/>
          <w:szCs w:val="21"/>
        </w:rPr>
        <w:t>(</w:t>
      </w:r>
      <w:r>
        <w:rPr>
          <w:rFonts w:hint="eastAsia" w:ascii="宋体" w:hAnsi="宋体"/>
          <w:color w:val="auto"/>
          <w:szCs w:val="21"/>
          <w:u w:val="none" w:color="auto"/>
        </w:rPr>
        <w:t>￥</w:t>
      </w:r>
      <w:r>
        <w:rPr>
          <w:rFonts w:hint="eastAsia" w:ascii="宋体" w:hAnsi="宋体"/>
          <w:color w:val="auto"/>
          <w:szCs w:val="21"/>
          <w:u w:val="single"/>
        </w:rPr>
        <w:t xml:space="preserve">         </w:t>
      </w:r>
      <w:r>
        <w:rPr>
          <w:rFonts w:hint="eastAsia" w:ascii="宋体" w:hAnsi="宋体"/>
          <w:color w:val="auto"/>
          <w:szCs w:val="21"/>
        </w:rPr>
        <w:t>元)的磋商报价并按上述合同条款、工程建设标准的条件要求承包上述工程的施工、竣工，并承担任何质量缺陷保修责任。我方保证工程质量达到国家质量标准</w:t>
      </w:r>
      <w:r>
        <w:rPr>
          <w:rFonts w:hint="eastAsia" w:ascii="宋体" w:hAnsi="宋体"/>
          <w:color w:val="auto"/>
          <w:szCs w:val="21"/>
          <w:u w:val="single"/>
        </w:rPr>
        <w:t xml:space="preserve">       </w:t>
      </w:r>
      <w:r>
        <w:rPr>
          <w:rFonts w:hint="eastAsia" w:ascii="宋体" w:hAnsi="宋体"/>
          <w:color w:val="auto"/>
          <w:szCs w:val="21"/>
        </w:rPr>
        <w:t>等级。</w:t>
      </w:r>
    </w:p>
    <w:p>
      <w:pPr>
        <w:spacing w:line="480" w:lineRule="auto"/>
        <w:ind w:firstLine="420" w:firstLineChars="200"/>
        <w:rPr>
          <w:rFonts w:hint="eastAsia" w:ascii="宋体" w:hAnsi="宋体"/>
          <w:color w:val="auto"/>
          <w:szCs w:val="21"/>
        </w:rPr>
      </w:pPr>
      <w:r>
        <w:rPr>
          <w:rFonts w:hint="eastAsia" w:ascii="宋体" w:hAnsi="宋体"/>
          <w:color w:val="auto"/>
          <w:szCs w:val="21"/>
        </w:rPr>
        <w:t>2、我方已详细审核全部竞争性磋商文件，包括修改文件（如有时）及有关附件。</w:t>
      </w:r>
    </w:p>
    <w:p>
      <w:pPr>
        <w:spacing w:line="480" w:lineRule="auto"/>
        <w:ind w:firstLine="420" w:firstLineChars="200"/>
        <w:rPr>
          <w:rFonts w:hint="eastAsia" w:ascii="宋体" w:hAnsi="宋体"/>
          <w:color w:val="auto"/>
          <w:szCs w:val="21"/>
        </w:rPr>
      </w:pPr>
      <w:r>
        <w:rPr>
          <w:rFonts w:hint="eastAsia" w:ascii="宋体" w:hAnsi="宋体"/>
          <w:color w:val="auto"/>
          <w:szCs w:val="21"/>
        </w:rPr>
        <w:t>3、一旦我方成交，我方保证按合同协议书中规定的工期</w:t>
      </w:r>
      <w:r>
        <w:rPr>
          <w:rFonts w:hint="eastAsia" w:ascii="宋体" w:hAnsi="宋体"/>
          <w:color w:val="auto"/>
          <w:szCs w:val="21"/>
          <w:u w:val="single"/>
        </w:rPr>
        <w:t xml:space="preserve"> {工期}  </w:t>
      </w:r>
      <w:r>
        <w:rPr>
          <w:rFonts w:hint="eastAsia" w:ascii="宋体" w:hAnsi="宋体"/>
          <w:color w:val="auto"/>
          <w:szCs w:val="21"/>
        </w:rPr>
        <w:t>日历天内完成并移交全部工程。</w:t>
      </w:r>
    </w:p>
    <w:p>
      <w:pPr>
        <w:spacing w:line="480" w:lineRule="auto"/>
        <w:ind w:firstLine="420" w:firstLineChars="200"/>
        <w:rPr>
          <w:rFonts w:hint="eastAsia" w:ascii="宋体" w:hAnsi="宋体"/>
          <w:color w:val="auto"/>
          <w:szCs w:val="21"/>
        </w:rPr>
      </w:pPr>
      <w:r>
        <w:rPr>
          <w:rFonts w:hint="eastAsia" w:ascii="宋体" w:hAnsi="宋体"/>
          <w:color w:val="auto"/>
          <w:szCs w:val="21"/>
        </w:rPr>
        <w:t>4、如果我方成交，我方将按照竞争性磋商文件规定提交履约担保。</w:t>
      </w:r>
    </w:p>
    <w:p>
      <w:pPr>
        <w:spacing w:line="480" w:lineRule="auto"/>
        <w:ind w:firstLine="420" w:firstLineChars="200"/>
        <w:rPr>
          <w:rFonts w:hint="eastAsia" w:ascii="宋体" w:hAnsi="宋体"/>
          <w:color w:val="auto"/>
          <w:szCs w:val="21"/>
        </w:rPr>
      </w:pPr>
      <w:r>
        <w:rPr>
          <w:rFonts w:hint="eastAsia" w:ascii="宋体" w:hAnsi="宋体"/>
          <w:color w:val="auto"/>
          <w:szCs w:val="21"/>
        </w:rPr>
        <w:t>5、我方同意所提交的</w:t>
      </w:r>
      <w:r>
        <w:rPr>
          <w:rFonts w:hint="eastAsia" w:ascii="宋体" w:hAnsi="宋体" w:cs="Courier New"/>
          <w:color w:val="auto"/>
          <w:spacing w:val="2"/>
          <w:u w:val="none" w:color="auto"/>
        </w:rPr>
        <w:t>响应</w:t>
      </w:r>
      <w:r>
        <w:rPr>
          <w:rFonts w:hint="eastAsia" w:ascii="宋体" w:hAnsi="宋体"/>
          <w:color w:val="auto"/>
          <w:szCs w:val="21"/>
        </w:rPr>
        <w:t>文件在竞争性磋商文件的磋商须知规定的磋商有效期内有效，在此期间内如果成交，我方将受此约束。</w:t>
      </w:r>
    </w:p>
    <w:p>
      <w:pPr>
        <w:spacing w:line="480" w:lineRule="auto"/>
        <w:ind w:firstLine="420" w:firstLineChars="200"/>
        <w:rPr>
          <w:rFonts w:hint="eastAsia" w:ascii="宋体" w:hAnsi="宋体"/>
          <w:color w:val="auto"/>
          <w:szCs w:val="21"/>
        </w:rPr>
      </w:pPr>
      <w:r>
        <w:rPr>
          <w:rFonts w:hint="eastAsia" w:ascii="宋体" w:hAnsi="宋体"/>
          <w:color w:val="auto"/>
          <w:szCs w:val="21"/>
        </w:rPr>
        <w:t>6、除非另外达成协议并生效，你方的成交通知书和本</w:t>
      </w:r>
      <w:r>
        <w:rPr>
          <w:rFonts w:hint="eastAsia" w:ascii="宋体" w:hAnsi="宋体" w:cs="Courier New"/>
          <w:color w:val="auto"/>
          <w:spacing w:val="2"/>
          <w:u w:val="none" w:color="auto"/>
        </w:rPr>
        <w:t>响应</w:t>
      </w:r>
      <w:r>
        <w:rPr>
          <w:rFonts w:hint="eastAsia" w:ascii="宋体" w:hAnsi="宋体"/>
          <w:color w:val="auto"/>
          <w:szCs w:val="21"/>
        </w:rPr>
        <w:t>文件将成为约束双方的合同文件的组成部分。</w:t>
      </w:r>
    </w:p>
    <w:p>
      <w:pPr>
        <w:spacing w:line="480" w:lineRule="auto"/>
        <w:rPr>
          <w:rFonts w:hint="eastAsia" w:ascii="宋体" w:hAnsi="宋体"/>
          <w:color w:val="auto"/>
          <w:szCs w:val="21"/>
        </w:rPr>
      </w:pPr>
    </w:p>
    <w:p>
      <w:pPr>
        <w:spacing w:line="480" w:lineRule="auto"/>
        <w:rPr>
          <w:rFonts w:hint="eastAsia" w:ascii="宋体" w:hAnsi="宋体"/>
          <w:color w:val="auto"/>
          <w:szCs w:val="21"/>
        </w:rPr>
      </w:pPr>
      <w:r>
        <w:rPr>
          <w:rFonts w:ascii="宋体" w:hAnsi="宋体"/>
          <w:color w:val="auto"/>
          <w:szCs w:val="21"/>
        </w:rPr>
        <w:t>供应商</w:t>
      </w:r>
      <w:r>
        <w:rPr>
          <w:rFonts w:hint="eastAsia" w:ascii="宋体" w:hAnsi="宋体"/>
          <w:color w:val="auto"/>
          <w:szCs w:val="21"/>
        </w:rPr>
        <w:t>(公章)</w:t>
      </w:r>
      <w:r>
        <w:rPr>
          <w:rFonts w:ascii="宋体" w:hAnsi="宋体"/>
          <w:color w:val="auto"/>
          <w:szCs w:val="21"/>
        </w:rPr>
        <w:t>：</w:t>
      </w:r>
      <w:r>
        <w:rPr>
          <w:rFonts w:hint="eastAsia" w:ascii="宋体" w:hAnsi="宋体"/>
          <w:color w:val="auto"/>
          <w:szCs w:val="21"/>
          <w:u w:val="single" w:color="auto"/>
        </w:rPr>
        <w:t xml:space="preserve">                                      </w:t>
      </w:r>
    </w:p>
    <w:p>
      <w:pPr>
        <w:spacing w:line="480" w:lineRule="auto"/>
        <w:rPr>
          <w:rFonts w:hint="eastAsia" w:ascii="宋体" w:hAnsi="宋体"/>
          <w:color w:val="auto"/>
          <w:szCs w:val="21"/>
        </w:rPr>
      </w:pPr>
      <w:r>
        <w:rPr>
          <w:rFonts w:ascii="宋体" w:hAnsi="宋体"/>
          <w:color w:val="auto"/>
          <w:szCs w:val="21"/>
        </w:rPr>
        <w:t>法定代表人或委托代理人</w:t>
      </w:r>
      <w:r>
        <w:rPr>
          <w:rFonts w:hint="eastAsia" w:ascii="宋体" w:hAnsi="宋体"/>
          <w:color w:val="auto"/>
          <w:szCs w:val="21"/>
        </w:rPr>
        <w:t>(签字或盖章)</w:t>
      </w:r>
      <w:r>
        <w:rPr>
          <w:rFonts w:ascii="宋体" w:hAnsi="宋体"/>
          <w:color w:val="auto"/>
          <w:szCs w:val="21"/>
        </w:rPr>
        <w:t>：</w:t>
      </w:r>
      <w:r>
        <w:rPr>
          <w:rFonts w:hint="eastAsia" w:ascii="宋体" w:hAnsi="宋体"/>
          <w:color w:val="auto"/>
          <w:szCs w:val="21"/>
          <w:u w:val="single" w:color="auto"/>
        </w:rPr>
        <w:t xml:space="preserve">                </w:t>
      </w:r>
    </w:p>
    <w:p>
      <w:pPr>
        <w:spacing w:line="480" w:lineRule="auto"/>
        <w:rPr>
          <w:rFonts w:hint="eastAsia" w:ascii="宋体" w:hAnsi="宋体"/>
          <w:color w:val="auto"/>
          <w:szCs w:val="21"/>
          <w:u w:val="single" w:color="auto"/>
        </w:rPr>
      </w:pPr>
      <w:r>
        <w:rPr>
          <w:rFonts w:ascii="宋体" w:hAnsi="宋体"/>
          <w:color w:val="auto"/>
          <w:szCs w:val="21"/>
        </w:rPr>
        <w:t>单位地址：</w:t>
      </w:r>
      <w:r>
        <w:rPr>
          <w:rFonts w:hint="eastAsia" w:ascii="宋体" w:hAnsi="宋体"/>
          <w:color w:val="auto"/>
          <w:szCs w:val="21"/>
          <w:u w:val="single" w:color="auto"/>
        </w:rPr>
        <w:t xml:space="preserve">                                          </w:t>
      </w:r>
    </w:p>
    <w:p>
      <w:pPr>
        <w:spacing w:line="480" w:lineRule="auto"/>
        <w:rPr>
          <w:rFonts w:hint="eastAsia" w:ascii="宋体" w:hAnsi="宋体"/>
          <w:color w:val="auto"/>
          <w:szCs w:val="21"/>
          <w:u w:val="single" w:color="auto"/>
        </w:rPr>
      </w:pPr>
      <w:r>
        <w:rPr>
          <w:rFonts w:ascii="宋体" w:hAnsi="宋体"/>
          <w:color w:val="auto"/>
          <w:szCs w:val="21"/>
        </w:rPr>
        <w:t>邮政编码：</w:t>
      </w:r>
      <w:r>
        <w:rPr>
          <w:rFonts w:hint="eastAsia" w:ascii="宋体" w:hAnsi="宋体"/>
          <w:color w:val="auto"/>
          <w:szCs w:val="21"/>
          <w:u w:val="single" w:color="auto"/>
        </w:rPr>
        <w:t xml:space="preserve">                                          </w:t>
      </w:r>
    </w:p>
    <w:p>
      <w:pPr>
        <w:spacing w:line="480" w:lineRule="auto"/>
        <w:rPr>
          <w:rFonts w:hint="eastAsia" w:ascii="宋体" w:hAnsi="宋体"/>
          <w:color w:val="auto"/>
          <w:szCs w:val="21"/>
          <w:u w:val="single" w:color="auto"/>
        </w:rPr>
      </w:pPr>
      <w:r>
        <w:rPr>
          <w:rFonts w:hint="eastAsia" w:ascii="宋体" w:hAnsi="宋体"/>
          <w:color w:val="auto"/>
          <w:szCs w:val="21"/>
        </w:rPr>
        <w:t xml:space="preserve">电    </w:t>
      </w:r>
      <w:r>
        <w:rPr>
          <w:rFonts w:ascii="宋体" w:hAnsi="宋体"/>
          <w:color w:val="auto"/>
          <w:szCs w:val="21"/>
        </w:rPr>
        <w:t>话：</w:t>
      </w:r>
      <w:r>
        <w:rPr>
          <w:rFonts w:hint="eastAsia" w:ascii="宋体" w:hAnsi="宋体"/>
          <w:color w:val="auto"/>
          <w:szCs w:val="21"/>
          <w:u w:val="single" w:color="auto"/>
        </w:rPr>
        <w:t xml:space="preserve">                                          </w:t>
      </w:r>
    </w:p>
    <w:p>
      <w:pPr>
        <w:spacing w:line="480" w:lineRule="auto"/>
        <w:rPr>
          <w:rFonts w:ascii="宋体" w:hAnsi="宋体"/>
          <w:color w:val="auto"/>
          <w:szCs w:val="21"/>
        </w:rPr>
      </w:pPr>
      <w:r>
        <w:rPr>
          <w:rFonts w:ascii="宋体" w:hAnsi="宋体"/>
          <w:color w:val="auto"/>
          <w:szCs w:val="21"/>
        </w:rPr>
        <w:t>日</w:t>
      </w:r>
      <w:r>
        <w:rPr>
          <w:rFonts w:hint="eastAsia" w:ascii="宋体" w:hAnsi="宋体"/>
          <w:color w:val="auto"/>
          <w:szCs w:val="21"/>
        </w:rPr>
        <w:t xml:space="preserve">    </w:t>
      </w:r>
      <w:r>
        <w:rPr>
          <w:rFonts w:ascii="宋体" w:hAnsi="宋体"/>
          <w:color w:val="auto"/>
          <w:szCs w:val="21"/>
        </w:rPr>
        <w:t>期：</w:t>
      </w:r>
      <w:r>
        <w:rPr>
          <w:rFonts w:hint="eastAsia" w:ascii="宋体" w:hAnsi="宋体"/>
          <w:color w:val="auto"/>
          <w:szCs w:val="21"/>
          <w:u w:val="single" w:color="auto"/>
        </w:rPr>
        <w:t xml:space="preserve">        </w:t>
      </w:r>
      <w:r>
        <w:rPr>
          <w:rFonts w:ascii="宋体" w:hAnsi="宋体"/>
          <w:color w:val="auto"/>
          <w:szCs w:val="21"/>
        </w:rPr>
        <w:t>年</w:t>
      </w:r>
      <w:r>
        <w:rPr>
          <w:rFonts w:ascii="宋体" w:hAnsi="宋体"/>
          <w:color w:val="auto"/>
          <w:szCs w:val="21"/>
          <w:u w:val="single" w:color="auto"/>
        </w:rPr>
        <w:t xml:space="preserve">   </w:t>
      </w:r>
      <w:r>
        <w:rPr>
          <w:rFonts w:hint="eastAsia" w:ascii="宋体" w:hAnsi="宋体"/>
          <w:color w:val="auto"/>
          <w:szCs w:val="21"/>
          <w:u w:val="single" w:color="auto"/>
        </w:rPr>
        <w:t xml:space="preserve"> </w:t>
      </w:r>
      <w:r>
        <w:rPr>
          <w:rFonts w:ascii="宋体" w:hAnsi="宋体"/>
          <w:color w:val="auto"/>
          <w:szCs w:val="21"/>
          <w:u w:val="single" w:color="auto"/>
        </w:rPr>
        <w:t xml:space="preserve"> </w:t>
      </w:r>
      <w:r>
        <w:rPr>
          <w:rFonts w:ascii="宋体" w:hAnsi="宋体"/>
          <w:color w:val="auto"/>
          <w:szCs w:val="21"/>
        </w:rPr>
        <w:t>月</w:t>
      </w:r>
      <w:r>
        <w:rPr>
          <w:rFonts w:ascii="宋体" w:hAnsi="宋体"/>
          <w:color w:val="auto"/>
          <w:szCs w:val="21"/>
          <w:u w:val="single" w:color="auto"/>
        </w:rPr>
        <w:t xml:space="preserve">    </w:t>
      </w:r>
      <w:r>
        <w:rPr>
          <w:rFonts w:ascii="宋体" w:hAnsi="宋体"/>
          <w:color w:val="auto"/>
          <w:szCs w:val="21"/>
        </w:rPr>
        <w:t>日</w:t>
      </w:r>
    </w:p>
    <w:p>
      <w:pPr>
        <w:spacing w:line="300" w:lineRule="exact"/>
        <w:jc w:val="center"/>
        <w:rPr>
          <w:rFonts w:hint="eastAsia" w:ascii="宋体" w:hAnsi="宋体"/>
          <w:color w:val="auto"/>
          <w:szCs w:val="21"/>
        </w:rPr>
      </w:pPr>
      <w:r>
        <w:rPr>
          <w:rFonts w:ascii="宋体" w:hAnsi="宋体"/>
          <w:color w:val="auto"/>
          <w:szCs w:val="21"/>
        </w:rPr>
        <w:br w:type="page"/>
      </w:r>
    </w:p>
    <w:p>
      <w:pPr>
        <w:spacing w:line="480" w:lineRule="auto"/>
        <w:jc w:val="center"/>
        <w:rPr>
          <w:rFonts w:hint="eastAsia" w:ascii="宋体" w:hAnsi="宋体"/>
          <w:b/>
          <w:color w:val="auto"/>
          <w:sz w:val="32"/>
          <w:szCs w:val="32"/>
        </w:rPr>
      </w:pPr>
      <w:r>
        <w:rPr>
          <w:rFonts w:hint="eastAsia" w:ascii="宋体" w:hAnsi="宋体"/>
          <w:b/>
          <w:color w:val="auto"/>
          <w:sz w:val="32"/>
          <w:szCs w:val="32"/>
        </w:rPr>
        <w:t>2、磋商报价表</w:t>
      </w:r>
    </w:p>
    <w:p>
      <w:pPr>
        <w:spacing w:line="360" w:lineRule="exact"/>
        <w:ind w:right="-288" w:rightChars="-137"/>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u w:val="none" w:color="auto"/>
        </w:rPr>
        <w:t xml:space="preserve">                  </w:t>
      </w:r>
      <w:r>
        <w:rPr>
          <w:rFonts w:hint="eastAsia" w:ascii="宋体" w:hAnsi="宋体"/>
          <w:color w:val="auto"/>
          <w:szCs w:val="21"/>
        </w:rPr>
        <w:t>货币单位：人民币元</w:t>
      </w:r>
    </w:p>
    <w:tbl>
      <w:tblPr>
        <w:tblStyle w:val="39"/>
        <w:tblpPr w:leftFromText="180" w:rightFromText="180" w:vertAnchor="text" w:horzAnchor="page" w:tblpX="1300" w:tblpY="6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114"/>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260" w:lineRule="exact"/>
              <w:rPr>
                <w:rFonts w:ascii="宋体" w:hAnsi="宋体"/>
                <w:bCs/>
                <w:color w:val="auto"/>
                <w:szCs w:val="24"/>
              </w:rPr>
            </w:pPr>
            <w:r>
              <w:rPr>
                <w:rFonts w:hint="eastAsia" w:ascii="宋体" w:hAnsi="宋体"/>
                <w:bCs/>
                <w:color w:val="auto"/>
              </w:rPr>
              <w:t>序号</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260" w:lineRule="exact"/>
              <w:ind w:firstLine="525" w:firstLineChars="250"/>
              <w:jc w:val="center"/>
              <w:rPr>
                <w:rFonts w:ascii="宋体" w:hAnsi="宋体"/>
                <w:bCs/>
                <w:color w:val="auto"/>
                <w:szCs w:val="24"/>
              </w:rPr>
            </w:pPr>
            <w:r>
              <w:rPr>
                <w:rFonts w:hint="eastAsia" w:ascii="宋体" w:hAnsi="宋体"/>
                <w:bCs/>
                <w:color w:val="auto"/>
              </w:rPr>
              <w:t>工程名称</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260" w:lineRule="exact"/>
              <w:jc w:val="center"/>
              <w:rPr>
                <w:rFonts w:ascii="宋体" w:hAnsi="宋体"/>
                <w:bCs/>
                <w:color w:val="auto"/>
                <w:szCs w:val="24"/>
              </w:rPr>
            </w:pPr>
            <w:r>
              <w:rPr>
                <w:rFonts w:hint="eastAsia" w:ascii="宋体" w:hAnsi="宋体"/>
                <w:bCs/>
                <w:color w:val="auto"/>
              </w:rPr>
              <w:t xml:space="preserve">磋商报价（元）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rPr>
                <w:rFonts w:ascii="宋体" w:hAnsi="宋体"/>
                <w:color w:val="auto"/>
                <w:kern w:val="2"/>
                <w:szCs w:val="24"/>
              </w:rPr>
            </w:pPr>
            <w:r>
              <w:rPr>
                <w:rFonts w:ascii="宋体" w:hAnsi="宋体"/>
                <w:color w:val="auto"/>
              </w:rPr>
              <w:t>1</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pStyle w:val="17"/>
              <w:spacing w:after="50" w:line="320" w:lineRule="exact"/>
              <w:ind w:firstLine="420" w:firstLineChars="200"/>
              <w:rPr>
                <w:rFonts w:cs="Times New Roman"/>
                <w:spacing w:val="0"/>
                <w:kern w:val="0"/>
                <w:szCs w:val="21"/>
                <w:u w:val="none" w:color="000000"/>
              </w:rPr>
            </w:pPr>
          </w:p>
        </w:tc>
        <w:tc>
          <w:tcPr>
            <w:tcW w:w="4087"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969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Cs/>
                <w:color w:val="auto"/>
              </w:rPr>
            </w:pPr>
            <w:r>
              <w:rPr>
                <w:rFonts w:hint="eastAsia" w:ascii="宋体" w:hAnsi="宋体"/>
                <w:bCs/>
                <w:color w:val="auto"/>
              </w:rPr>
              <w:t>磋商总报价（人民币大写）：</w:t>
            </w:r>
            <w:r>
              <w:rPr>
                <w:rFonts w:hint="eastAsia" w:ascii="宋体" w:hAnsi="宋体"/>
                <w:bCs/>
                <w:color w:val="auto"/>
                <w:u w:val="single"/>
              </w:rPr>
              <w:t xml:space="preserve">                                </w:t>
            </w:r>
            <w:r>
              <w:rPr>
                <w:rFonts w:hint="eastAsia" w:ascii="宋体" w:hAnsi="宋体"/>
                <w:bCs/>
                <w:color w:val="auto"/>
              </w:rPr>
              <w:t>（ ￥</w:t>
            </w:r>
            <w:r>
              <w:rPr>
                <w:rFonts w:hint="eastAsia" w:ascii="宋体" w:hAnsi="宋体"/>
                <w:bCs/>
                <w:color w:val="auto"/>
                <w:u w:val="single"/>
              </w:rPr>
              <w:t xml:space="preserve">             </w:t>
            </w:r>
            <w:r>
              <w:rPr>
                <w:rFonts w:hint="eastAsia" w:ascii="宋体" w:hAnsi="宋体"/>
                <w:bCs/>
                <w:color w:val="auto"/>
              </w:rPr>
              <w:t>元）</w:t>
            </w:r>
          </w:p>
          <w:p>
            <w:pPr>
              <w:jc w:val="left"/>
              <w:rPr>
                <w:rFonts w:hint="eastAsia" w:ascii="宋体" w:hAnsi="宋体"/>
                <w:bCs/>
                <w:color w:val="auto"/>
              </w:rPr>
            </w:pPr>
          </w:p>
          <w:p>
            <w:pPr>
              <w:jc w:val="left"/>
              <w:rPr>
                <w:rFonts w:hint="eastAsia" w:ascii="宋体" w:hAnsi="宋体"/>
                <w:color w:val="auto"/>
                <w:szCs w:val="21"/>
              </w:rPr>
            </w:pPr>
            <w:r>
              <w:rPr>
                <w:rFonts w:hint="eastAsia" w:ascii="宋体" w:hAnsi="宋体"/>
                <w:color w:val="auto"/>
                <w:szCs w:val="21"/>
              </w:rPr>
              <w:t>工期：</w:t>
            </w:r>
            <w:r>
              <w:rPr>
                <w:rFonts w:hint="eastAsia" w:ascii="宋体" w:hAnsi="宋体"/>
                <w:color w:val="auto"/>
                <w:szCs w:val="21"/>
                <w:u w:val="single"/>
              </w:rPr>
              <w:t xml:space="preserve">             </w:t>
            </w:r>
            <w:r>
              <w:rPr>
                <w:rFonts w:hint="eastAsia" w:ascii="宋体" w:hAnsi="宋体"/>
                <w:color w:val="auto"/>
                <w:szCs w:val="21"/>
                <w:u w:val="none" w:color="auto"/>
              </w:rPr>
              <w:t>（日历天）</w:t>
            </w:r>
            <w:r>
              <w:rPr>
                <w:rFonts w:hint="eastAsia" w:ascii="宋体" w:hAnsi="宋体"/>
                <w:color w:val="auto"/>
                <w:szCs w:val="21"/>
              </w:rPr>
              <w:t xml:space="preserve">     </w:t>
            </w:r>
          </w:p>
          <w:p>
            <w:pPr>
              <w:jc w:val="left"/>
              <w:rPr>
                <w:rFonts w:hint="eastAsia" w:ascii="宋体" w:hAnsi="宋体"/>
                <w:color w:val="auto"/>
                <w:szCs w:val="21"/>
              </w:rPr>
            </w:pPr>
            <w:r>
              <w:rPr>
                <w:rFonts w:hint="eastAsia" w:ascii="宋体" w:hAnsi="宋体"/>
                <w:color w:val="auto"/>
                <w:szCs w:val="21"/>
              </w:rPr>
              <w:t xml:space="preserve">  </w:t>
            </w:r>
          </w:p>
          <w:p>
            <w:pPr>
              <w:jc w:val="left"/>
              <w:rPr>
                <w:rFonts w:hint="eastAsia" w:ascii="宋体" w:hAnsi="宋体"/>
                <w:bCs/>
                <w:color w:val="auto"/>
                <w:u w:val="single"/>
              </w:rPr>
            </w:pPr>
            <w:r>
              <w:rPr>
                <w:rFonts w:hint="eastAsia" w:ascii="宋体" w:hAnsi="宋体"/>
                <w:color w:val="auto"/>
                <w:szCs w:val="21"/>
              </w:rPr>
              <w:t>质量等级：</w:t>
            </w:r>
            <w:r>
              <w:rPr>
                <w:rFonts w:hint="eastAsia" w:ascii="宋体" w:hAnsi="宋体"/>
                <w:color w:val="auto"/>
                <w:szCs w:val="21"/>
                <w:u w:val="single"/>
              </w:rPr>
              <w:t xml:space="preserve">              .</w:t>
            </w:r>
            <w:r>
              <w:rPr>
                <w:rFonts w:hint="eastAsia" w:ascii="宋体" w:hAnsi="宋体"/>
                <w:bCs/>
                <w:color w:val="auto"/>
                <w:u w:val="single"/>
              </w:rPr>
              <w:t xml:space="preserve">   </w:t>
            </w:r>
          </w:p>
          <w:p>
            <w:pPr>
              <w:jc w:val="left"/>
              <w:rPr>
                <w:rFonts w:ascii="宋体" w:hAnsi="宋体"/>
                <w:color w:val="auto"/>
                <w:szCs w:val="21"/>
              </w:rPr>
            </w:pPr>
            <w:r>
              <w:rPr>
                <w:rFonts w:hint="eastAsia" w:ascii="宋体" w:hAnsi="宋体"/>
                <w:bCs/>
                <w:color w:val="auto"/>
                <w:u w:val="single"/>
              </w:rPr>
              <w:t xml:space="preserve">                 </w:t>
            </w:r>
            <w:r>
              <w:rPr>
                <w:rFonts w:hint="eastAsia" w:ascii="宋体" w:hAnsi="宋体"/>
                <w:color w:val="auto"/>
                <w:szCs w:val="21"/>
                <w:u w:val="single"/>
              </w:rPr>
              <w:t xml:space="preserve"> </w:t>
            </w:r>
            <w:r>
              <w:rPr>
                <w:rFonts w:hint="eastAsia" w:ascii="宋体" w:hAnsi="宋体"/>
                <w:bCs/>
                <w:color w:val="auto"/>
                <w:u w:val="single"/>
              </w:rPr>
              <w:t xml:space="preserve">                    </w:t>
            </w:r>
            <w:r>
              <w:rPr>
                <w:rFonts w:hint="eastAsia" w:ascii="宋体" w:hAnsi="宋体"/>
                <w:color w:val="auto"/>
                <w:szCs w:val="21"/>
                <w:u w:val="single"/>
              </w:rPr>
              <w:t xml:space="preserve"> </w:t>
            </w:r>
          </w:p>
        </w:tc>
      </w:tr>
    </w:tbl>
    <w:p>
      <w:pPr>
        <w:overflowPunct w:val="0"/>
        <w:autoSpaceDE w:val="0"/>
        <w:autoSpaceDN w:val="0"/>
        <w:adjustRightInd w:val="0"/>
        <w:spacing w:line="298" w:lineRule="exact"/>
        <w:ind w:left="300" w:leftChars="143" w:right="320" w:firstLine="4620" w:firstLineChars="2200"/>
        <w:jc w:val="left"/>
        <w:rPr>
          <w:rFonts w:ascii="宋体" w:hAnsi="宋体" w:cs="宋体"/>
          <w:color w:val="auto"/>
          <w:sz w:val="24"/>
        </w:rPr>
      </w:pPr>
      <w:r>
        <w:rPr>
          <w:rFonts w:hint="eastAsia" w:ascii="宋体" w:hAnsi="宋体"/>
          <w:color w:val="auto"/>
          <w:szCs w:val="21"/>
        </w:rPr>
        <w:t xml:space="preserve"> </w:t>
      </w:r>
    </w:p>
    <w:p>
      <w:pPr>
        <w:widowControl w:val="0"/>
        <w:autoSpaceDE w:val="0"/>
        <w:autoSpaceDN w:val="0"/>
        <w:adjustRightInd w:val="0"/>
        <w:spacing w:line="260" w:lineRule="exact"/>
        <w:rPr>
          <w:rFonts w:hint="eastAsia" w:ascii="宋体" w:hAnsi="宋体"/>
          <w:color w:val="auto"/>
          <w:szCs w:val="21"/>
        </w:rPr>
      </w:pPr>
      <w:r>
        <w:rPr>
          <w:rFonts w:hint="eastAsia" w:ascii="宋体" w:hAnsi="宋体"/>
          <w:bCs/>
          <w:color w:val="auto"/>
        </w:rPr>
        <w:t xml:space="preserve">                                                               注：保留小数点后两位小数</w:t>
      </w: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r>
        <w:rPr>
          <w:rFonts w:hint="eastAsia" w:ascii="宋体" w:hAnsi="宋体"/>
          <w:color w:val="auto"/>
          <w:szCs w:val="21"/>
        </w:rPr>
        <w:t>供应商(公章）：</w:t>
      </w:r>
      <w:r>
        <w:rPr>
          <w:rFonts w:hint="eastAsia" w:ascii="宋体" w:hAnsi="宋体"/>
          <w:color w:val="auto"/>
          <w:szCs w:val="21"/>
          <w:u w:val="single"/>
        </w:rPr>
        <w:t xml:space="preserve">                                   </w:t>
      </w:r>
    </w:p>
    <w:p>
      <w:pPr>
        <w:spacing w:line="360" w:lineRule="exact"/>
        <w:rPr>
          <w:rFonts w:hint="eastAsia" w:ascii="宋体" w:hAnsi="宋体"/>
          <w:color w:val="auto"/>
          <w:szCs w:val="21"/>
        </w:rPr>
      </w:pPr>
    </w:p>
    <w:p>
      <w:pPr>
        <w:spacing w:line="360" w:lineRule="exact"/>
        <w:rPr>
          <w:rFonts w:hint="eastAsia" w:ascii="宋体" w:hAnsi="宋体"/>
          <w:color w:val="auto"/>
          <w:szCs w:val="21"/>
        </w:rPr>
      </w:pPr>
      <w:r>
        <w:rPr>
          <w:rFonts w:ascii="宋体" w:hAnsi="宋体"/>
          <w:color w:val="auto"/>
          <w:szCs w:val="21"/>
        </w:rPr>
        <w:t>法定代表人或委托代理人</w:t>
      </w:r>
      <w:r>
        <w:rPr>
          <w:rFonts w:hint="eastAsia" w:ascii="宋体" w:hAnsi="宋体"/>
          <w:color w:val="auto"/>
          <w:szCs w:val="21"/>
        </w:rPr>
        <w:t>(签字或盖章)</w:t>
      </w:r>
      <w:r>
        <w:rPr>
          <w:rFonts w:ascii="宋体" w:hAnsi="宋体"/>
          <w:color w:val="auto"/>
          <w:szCs w:val="21"/>
        </w:rPr>
        <w:t>：</w:t>
      </w:r>
      <w:r>
        <w:rPr>
          <w:rFonts w:hint="eastAsia" w:ascii="宋体" w:hAnsi="宋体"/>
          <w:color w:val="auto"/>
          <w:szCs w:val="21"/>
          <w:u w:val="single" w:color="auto"/>
        </w:rPr>
        <w:t xml:space="preserve"> </w:t>
      </w:r>
      <w:r>
        <w:rPr>
          <w:rFonts w:hint="eastAsia" w:ascii="宋体" w:hAnsi="宋体"/>
          <w:color w:val="auto"/>
          <w:szCs w:val="21"/>
          <w:u w:val="single"/>
        </w:rPr>
        <w:t xml:space="preserve">                         </w:t>
      </w:r>
    </w:p>
    <w:p>
      <w:pPr>
        <w:spacing w:line="360" w:lineRule="exact"/>
        <w:rPr>
          <w:rFonts w:hint="eastAsia" w:ascii="宋体" w:hAnsi="宋体"/>
          <w:color w:val="auto"/>
          <w:szCs w:val="21"/>
        </w:rPr>
      </w:pPr>
    </w:p>
    <w:p>
      <w:pPr>
        <w:spacing w:line="360" w:lineRule="exact"/>
        <w:ind w:right="-288" w:rightChars="-137"/>
        <w:rPr>
          <w:rFonts w:hint="eastAsia" w:ascii="宋体" w:hAnsi="宋体"/>
          <w:color w:val="auto"/>
          <w:szCs w:val="21"/>
        </w:rPr>
      </w:pPr>
      <w:r>
        <w:rPr>
          <w:rFonts w:hint="eastAsia" w:ascii="宋体" w:hAnsi="宋体"/>
          <w:color w:val="auto"/>
          <w:szCs w:val="21"/>
        </w:rPr>
        <w:t>编制时间：</w:t>
      </w:r>
      <w:r>
        <w:rPr>
          <w:rFonts w:hint="eastAsia" w:ascii="宋体" w:hAnsi="宋体"/>
          <w:color w:val="auto"/>
          <w:szCs w:val="21"/>
          <w:u w:val="single"/>
        </w:rPr>
        <w:t xml:space="preserve">                          </w:t>
      </w:r>
    </w:p>
    <w:p>
      <w:pPr>
        <w:overflowPunct w:val="0"/>
        <w:autoSpaceDE w:val="0"/>
        <w:autoSpaceDN w:val="0"/>
        <w:adjustRightInd w:val="0"/>
        <w:spacing w:line="298" w:lineRule="exact"/>
        <w:ind w:left="300" w:right="320"/>
        <w:jc w:val="left"/>
        <w:rPr>
          <w:rFonts w:hint="eastAsia" w:ascii="宋体" w:hAnsi="宋体"/>
          <w:b/>
          <w:bCs/>
          <w:color w:val="auto"/>
          <w:sz w:val="36"/>
          <w:szCs w:val="36"/>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szCs w:val="21"/>
        </w:rPr>
      </w:pPr>
    </w:p>
    <w:p>
      <w:pPr>
        <w:spacing w:line="360" w:lineRule="exact"/>
        <w:rPr>
          <w:rFonts w:hint="eastAsia" w:ascii="宋体" w:hAnsi="宋体"/>
          <w:color w:val="auto"/>
          <w:kern w:val="2"/>
          <w:sz w:val="24"/>
          <w:szCs w:val="24"/>
        </w:rPr>
      </w:pPr>
      <w:r>
        <w:rPr>
          <w:rFonts w:hint="eastAsia" w:ascii="宋体" w:hAnsi="宋体"/>
          <w:color w:val="auto"/>
          <w:szCs w:val="21"/>
        </w:rPr>
        <w:t xml:space="preserve">                                                  </w:t>
      </w:r>
      <w:r>
        <w:rPr>
          <w:rFonts w:hint="eastAsia" w:ascii="宋体" w:hAnsi="宋体"/>
          <w:color w:val="auto"/>
          <w:sz w:val="24"/>
        </w:rPr>
        <w:t xml:space="preserve">                                     </w:t>
      </w:r>
    </w:p>
    <w:p>
      <w:pPr>
        <w:spacing w:line="480" w:lineRule="auto"/>
        <w:jc w:val="center"/>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3、磋商工程量清单报价表(加盖单位公章)</w:t>
      </w:r>
    </w:p>
    <w:p>
      <w:pPr>
        <w:spacing w:line="480" w:lineRule="auto"/>
        <w:jc w:val="center"/>
        <w:rPr>
          <w:rFonts w:hint="eastAsia" w:ascii="宋体" w:hAnsi="宋体"/>
          <w:b/>
          <w:color w:val="auto"/>
          <w:sz w:val="32"/>
          <w:szCs w:val="32"/>
        </w:rPr>
      </w:pPr>
    </w:p>
    <w:p>
      <w:pPr>
        <w:spacing w:line="480" w:lineRule="auto"/>
        <w:rPr>
          <w:rFonts w:hint="eastAsia" w:ascii="宋体" w:hAnsi="宋体"/>
          <w:color w:val="auto"/>
        </w:rPr>
      </w:pPr>
    </w:p>
    <w:p>
      <w:pPr>
        <w:spacing w:line="480" w:lineRule="auto"/>
        <w:jc w:val="center"/>
        <w:rPr>
          <w:rFonts w:hint="eastAsia" w:ascii="宋体" w:hAnsi="宋体"/>
          <w:b/>
          <w:color w:val="auto"/>
          <w:sz w:val="32"/>
          <w:szCs w:val="32"/>
        </w:rPr>
      </w:pPr>
    </w:p>
    <w:p>
      <w:pPr>
        <w:spacing w:line="480" w:lineRule="auto"/>
        <w:jc w:val="center"/>
        <w:outlineLvl w:val="3"/>
        <w:rPr>
          <w:rFonts w:hint="eastAsia"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4、供应商资格审查证明材料(加盖单位公章)</w:t>
      </w:r>
    </w:p>
    <w:p>
      <w:pPr>
        <w:spacing w:line="480" w:lineRule="auto"/>
        <w:ind w:firstLine="610"/>
        <w:rPr>
          <w:rFonts w:hint="eastAsia" w:ascii="宋体" w:hAnsi="宋体"/>
          <w:b/>
          <w:bCs/>
          <w:color w:val="auto"/>
          <w:sz w:val="21"/>
          <w:szCs w:val="21"/>
        </w:rPr>
      </w:pPr>
      <w:r>
        <w:rPr>
          <w:rFonts w:hint="eastAsia" w:ascii="宋体" w:hAnsi="宋体"/>
          <w:b/>
          <w:bCs/>
          <w:color w:val="auto"/>
          <w:sz w:val="24"/>
          <w:szCs w:val="24"/>
        </w:rPr>
        <w:t>（1）法定代表人身份证明原件及身份证复印件（法定代表人签署磋商响应文件时提供）或者磋商响应文件签署授权委托书（原件），附：法定代表人身份证明及身份证、委托代理的委托代理人身份证等材料的复印件（委托代理人签署磋商响应文件时提供）（必须提供）</w:t>
      </w:r>
      <w:r>
        <w:rPr>
          <w:rFonts w:hint="eastAsia" w:ascii="宋体" w:hAnsi="宋体"/>
          <w:b/>
          <w:bCs/>
          <w:color w:val="auto"/>
          <w:sz w:val="21"/>
          <w:szCs w:val="21"/>
        </w:rPr>
        <w:t>；</w:t>
      </w:r>
    </w:p>
    <w:p>
      <w:pPr>
        <w:tabs>
          <w:tab w:val="left" w:pos="810"/>
          <w:tab w:val="center" w:pos="4535"/>
        </w:tabs>
        <w:spacing w:line="460" w:lineRule="exact"/>
        <w:jc w:val="center"/>
        <w:rPr>
          <w:rFonts w:hint="eastAsia" w:ascii="宋体" w:hAnsi="宋体"/>
          <w:color w:val="auto"/>
          <w:szCs w:val="21"/>
        </w:rPr>
      </w:pPr>
    </w:p>
    <w:p>
      <w:pPr>
        <w:spacing w:line="240" w:lineRule="exact"/>
        <w:jc w:val="center"/>
        <w:rPr>
          <w:rFonts w:hint="eastAsia" w:ascii="宋体" w:hAnsi="宋体"/>
          <w:b/>
          <w:color w:val="auto"/>
          <w:sz w:val="18"/>
          <w:szCs w:val="18"/>
        </w:rPr>
      </w:pPr>
    </w:p>
    <w:p>
      <w:pPr>
        <w:spacing w:line="480" w:lineRule="auto"/>
        <w:jc w:val="center"/>
        <w:rPr>
          <w:rFonts w:hint="eastAsia" w:ascii="宋体" w:hAnsi="宋体"/>
          <w:b/>
          <w:color w:val="auto"/>
          <w:sz w:val="32"/>
          <w:szCs w:val="32"/>
        </w:rPr>
      </w:pPr>
      <w:r>
        <w:rPr>
          <w:rFonts w:hint="eastAsia" w:ascii="宋体" w:hAnsi="宋体"/>
          <w:b/>
          <w:color w:val="auto"/>
          <w:sz w:val="32"/>
          <w:szCs w:val="32"/>
        </w:rPr>
        <w:t>授权委托书(格式)</w:t>
      </w:r>
    </w:p>
    <w:p>
      <w:pPr>
        <w:spacing w:line="480" w:lineRule="auto"/>
        <w:ind w:firstLine="610"/>
        <w:rPr>
          <w:rFonts w:hint="eastAsia" w:ascii="宋体" w:hAnsi="宋体"/>
          <w:color w:val="auto"/>
          <w:szCs w:val="21"/>
        </w:rPr>
      </w:pPr>
      <w:r>
        <w:rPr>
          <w:rFonts w:hint="eastAsia" w:ascii="宋体" w:hAnsi="宋体"/>
          <w:color w:val="auto"/>
          <w:szCs w:val="21"/>
        </w:rPr>
        <w:t>本授权委托书声明：我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（供应商名称）            </w:t>
      </w:r>
      <w:r>
        <w:rPr>
          <w:rFonts w:hint="eastAsia" w:ascii="宋体" w:hAnsi="宋体"/>
          <w:color w:val="auto"/>
          <w:szCs w:val="21"/>
        </w:rPr>
        <w:t>的法定代表人，现授权委托</w:t>
      </w:r>
      <w:r>
        <w:rPr>
          <w:rFonts w:hint="eastAsia" w:ascii="宋体" w:hAnsi="宋体"/>
          <w:color w:val="auto"/>
          <w:szCs w:val="21"/>
          <w:u w:val="single"/>
        </w:rPr>
        <w:t xml:space="preserve">      （单位名称）     </w:t>
      </w:r>
      <w:r>
        <w:rPr>
          <w:rFonts w:hint="eastAsia" w:ascii="宋体" w:hAnsi="宋体"/>
          <w:color w:val="auto"/>
          <w:szCs w:val="21"/>
        </w:rPr>
        <w:t>的</w:t>
      </w:r>
      <w:r>
        <w:rPr>
          <w:rFonts w:hint="eastAsia" w:ascii="宋体" w:hAnsi="宋体"/>
          <w:color w:val="auto"/>
          <w:szCs w:val="21"/>
          <w:u w:val="single"/>
        </w:rPr>
        <w:t xml:space="preserve">    （姓名）    </w:t>
      </w:r>
      <w:r>
        <w:rPr>
          <w:rFonts w:hint="eastAsia" w:ascii="宋体" w:hAnsi="宋体"/>
          <w:color w:val="auto"/>
          <w:szCs w:val="21"/>
        </w:rPr>
        <w:t>为我公司签署本工程的磋商文件的法定代表人授权委托代理人，我承认代理人全权代表我所签署的本工程的磋商文件的内容。</w:t>
      </w:r>
    </w:p>
    <w:p>
      <w:pPr>
        <w:spacing w:line="480" w:lineRule="auto"/>
        <w:ind w:firstLine="610"/>
        <w:rPr>
          <w:rFonts w:hint="eastAsia" w:ascii="宋体" w:hAnsi="宋体"/>
          <w:color w:val="auto"/>
          <w:szCs w:val="21"/>
        </w:rPr>
      </w:pPr>
    </w:p>
    <w:p>
      <w:pPr>
        <w:spacing w:line="480" w:lineRule="auto"/>
        <w:rPr>
          <w:rFonts w:hint="eastAsia" w:ascii="宋体" w:hAnsi="宋体"/>
          <w:color w:val="auto"/>
          <w:szCs w:val="21"/>
        </w:rPr>
      </w:pPr>
      <w:r>
        <w:rPr>
          <w:rFonts w:hint="eastAsia" w:ascii="宋体" w:hAnsi="宋体"/>
          <w:color w:val="auto"/>
          <w:szCs w:val="21"/>
        </w:rPr>
        <w:t>代理人无转委托权，特此委托。</w:t>
      </w:r>
    </w:p>
    <w:p>
      <w:pPr>
        <w:spacing w:line="480" w:lineRule="auto"/>
        <w:rPr>
          <w:rFonts w:hint="eastAsia" w:ascii="宋体" w:hAnsi="宋体"/>
          <w:color w:val="auto"/>
          <w:szCs w:val="21"/>
        </w:rPr>
      </w:pPr>
    </w:p>
    <w:p>
      <w:pPr>
        <w:spacing w:line="480" w:lineRule="auto"/>
        <w:rPr>
          <w:rFonts w:hint="eastAsia" w:ascii="宋体" w:hAnsi="宋体"/>
          <w:color w:val="auto"/>
          <w:szCs w:val="21"/>
          <w:u w:val="single"/>
        </w:rPr>
      </w:pPr>
      <w:r>
        <w:rPr>
          <w:rFonts w:hint="eastAsia" w:ascii="宋体" w:hAnsi="宋体"/>
          <w:color w:val="auto"/>
          <w:szCs w:val="21"/>
        </w:rPr>
        <w:t>代理人(签字)：</w:t>
      </w:r>
      <w:r>
        <w:rPr>
          <w:rFonts w:hint="eastAsia" w:ascii="宋体" w:hAnsi="宋体"/>
          <w:color w:val="auto"/>
          <w:szCs w:val="21"/>
          <w:u w:val="single"/>
        </w:rPr>
        <w:t xml:space="preserve">           </w:t>
      </w:r>
      <w:r>
        <w:rPr>
          <w:rFonts w:hint="eastAsia" w:ascii="宋体" w:hAnsi="宋体"/>
          <w:color w:val="auto"/>
          <w:szCs w:val="21"/>
          <w:u w:val="none" w:color="auto"/>
        </w:rPr>
        <w:t xml:space="preserve">    </w:t>
      </w:r>
      <w:r>
        <w:rPr>
          <w:rFonts w:hint="eastAsia" w:ascii="宋体" w:hAnsi="宋体"/>
          <w:color w:val="auto"/>
          <w:szCs w:val="21"/>
        </w:rPr>
        <w:t>性别 ：</w:t>
      </w:r>
      <w:r>
        <w:rPr>
          <w:rFonts w:hint="eastAsia" w:ascii="宋体" w:hAnsi="宋体"/>
          <w:color w:val="auto"/>
          <w:szCs w:val="21"/>
          <w:u w:val="single"/>
        </w:rPr>
        <w:t xml:space="preserve">      </w:t>
      </w:r>
      <w:r>
        <w:rPr>
          <w:rFonts w:hint="eastAsia" w:ascii="宋体" w:hAnsi="宋体"/>
          <w:color w:val="auto"/>
          <w:szCs w:val="21"/>
          <w:u w:val="single" w:color="auto"/>
        </w:rPr>
        <w:t xml:space="preserve"> </w:t>
      </w:r>
      <w:r>
        <w:rPr>
          <w:rFonts w:hint="eastAsia" w:ascii="宋体" w:hAnsi="宋体"/>
          <w:color w:val="auto"/>
          <w:szCs w:val="21"/>
          <w:u w:val="none" w:color="auto"/>
        </w:rPr>
        <w:t xml:space="preserve">      </w:t>
      </w:r>
      <w:r>
        <w:rPr>
          <w:rFonts w:hint="eastAsia" w:ascii="宋体" w:hAnsi="宋体"/>
          <w:color w:val="auto"/>
          <w:szCs w:val="21"/>
        </w:rPr>
        <w:t>年龄：_______       职务：</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pPr>
        <w:spacing w:line="480" w:lineRule="auto"/>
        <w:rPr>
          <w:rFonts w:hint="eastAsia" w:ascii="宋体" w:hAnsi="宋体"/>
          <w:color w:val="auto"/>
          <w:szCs w:val="21"/>
          <w:u w:val="single"/>
        </w:rPr>
      </w:pPr>
      <w:r>
        <w:rPr>
          <w:rFonts w:hint="eastAsia" w:ascii="宋体" w:hAnsi="宋体"/>
          <w:color w:val="auto"/>
          <w:szCs w:val="21"/>
        </w:rPr>
        <w:t>代理人身份证号码：</w:t>
      </w:r>
      <w:r>
        <w:rPr>
          <w:rFonts w:hint="eastAsia" w:ascii="宋体" w:hAnsi="宋体"/>
          <w:color w:val="auto"/>
          <w:szCs w:val="21"/>
          <w:u w:val="single"/>
        </w:rPr>
        <w:t xml:space="preserve">                          </w:t>
      </w:r>
      <w:r>
        <w:rPr>
          <w:rFonts w:hint="eastAsia" w:ascii="宋体" w:hAnsi="宋体"/>
          <w:color w:val="auto"/>
          <w:szCs w:val="21"/>
          <w:u w:val="single" w:color="auto"/>
        </w:rPr>
        <w:t xml:space="preserve">       </w:t>
      </w:r>
    </w:p>
    <w:p>
      <w:pPr>
        <w:spacing w:line="480" w:lineRule="auto"/>
        <w:rPr>
          <w:rFonts w:hint="eastAsia" w:ascii="宋体" w:hAnsi="宋体"/>
          <w:color w:val="auto"/>
          <w:szCs w:val="21"/>
        </w:rPr>
      </w:pPr>
      <w:r>
        <w:rPr>
          <w:rFonts w:hint="eastAsia" w:ascii="宋体" w:hAnsi="宋体"/>
          <w:color w:val="auto"/>
          <w:szCs w:val="21"/>
        </w:rPr>
        <w:t>供应商(加盖公章)：</w:t>
      </w:r>
      <w:r>
        <w:rPr>
          <w:rFonts w:hint="eastAsia" w:ascii="宋体" w:hAnsi="宋体"/>
          <w:color w:val="auto"/>
          <w:szCs w:val="21"/>
          <w:u w:val="single"/>
        </w:rPr>
        <w:t xml:space="preserve">                                 </w:t>
      </w:r>
    </w:p>
    <w:p>
      <w:pPr>
        <w:spacing w:line="480" w:lineRule="auto"/>
        <w:rPr>
          <w:rFonts w:hint="eastAsia" w:ascii="宋体" w:hAnsi="宋体"/>
          <w:color w:val="auto"/>
          <w:szCs w:val="21"/>
        </w:rPr>
      </w:pPr>
      <w:r>
        <w:rPr>
          <w:rFonts w:hint="eastAsia" w:ascii="宋体" w:hAnsi="宋体"/>
          <w:color w:val="auto"/>
          <w:szCs w:val="21"/>
        </w:rPr>
        <w:t>法定代表人(签字或盖章)：</w:t>
      </w:r>
      <w:r>
        <w:rPr>
          <w:rFonts w:hint="eastAsia" w:ascii="宋体" w:hAnsi="宋体"/>
          <w:color w:val="auto"/>
          <w:szCs w:val="21"/>
          <w:u w:val="single"/>
        </w:rPr>
        <w:t xml:space="preserve">                           </w:t>
      </w:r>
    </w:p>
    <w:p>
      <w:pPr>
        <w:spacing w:line="420" w:lineRule="exact"/>
        <w:rPr>
          <w:rFonts w:ascii="宋体" w:hAnsi="宋体"/>
          <w:color w:val="auto"/>
          <w:sz w:val="24"/>
        </w:rPr>
      </w:pPr>
      <w:r>
        <w:rPr>
          <w:rFonts w:hint="eastAsia" w:ascii="宋体" w:hAnsi="宋体"/>
          <w:color w:val="auto"/>
          <w:szCs w:val="21"/>
        </w:rPr>
        <w:t>授权委托日期：</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20" w:lineRule="exact"/>
        <w:rPr>
          <w:rFonts w:hint="eastAsia" w:ascii="宋体" w:hAnsi="宋体"/>
          <w:color w:val="auto"/>
          <w:sz w:val="24"/>
        </w:rPr>
      </w:pPr>
    </w:p>
    <w:p>
      <w:pPr>
        <w:spacing w:line="420" w:lineRule="exact"/>
        <w:rPr>
          <w:rFonts w:hint="eastAsia" w:ascii="宋体" w:hAnsi="宋体"/>
          <w:color w:val="auto"/>
          <w:sz w:val="24"/>
        </w:rPr>
      </w:pPr>
    </w:p>
    <w:p>
      <w:pPr>
        <w:spacing w:line="420" w:lineRule="exact"/>
        <w:rPr>
          <w:rFonts w:hint="eastAsia" w:ascii="宋体" w:hAnsi="宋体"/>
          <w:color w:val="auto"/>
          <w:sz w:val="24"/>
        </w:rPr>
      </w:pPr>
    </w:p>
    <w:p>
      <w:pPr>
        <w:rPr>
          <w:rFonts w:ascii="宋体" w:hAnsi="宋体"/>
          <w:b/>
          <w:color w:val="auto"/>
          <w:sz w:val="32"/>
          <w:szCs w:val="32"/>
        </w:rPr>
      </w:pPr>
      <w:r>
        <w:rPr>
          <w:rFonts w:ascii="宋体" w:hAnsi="宋体"/>
          <w:b/>
          <w:color w:val="auto"/>
          <w:sz w:val="32"/>
          <w:szCs w:val="32"/>
        </w:rPr>
        <w:br w:type="page"/>
      </w:r>
    </w:p>
    <w:p>
      <w:pPr>
        <w:numPr>
          <w:ilvl w:val="0"/>
          <w:numId w:val="3"/>
        </w:numPr>
        <w:spacing w:line="420" w:lineRule="exact"/>
        <w:ind w:left="0" w:leftChars="0" w:firstLine="420" w:firstLineChars="0"/>
        <w:jc w:val="center"/>
        <w:rPr>
          <w:rFonts w:hint="eastAsia" w:ascii="宋体" w:hAnsi="宋体"/>
          <w:b/>
          <w:color w:val="auto"/>
          <w:sz w:val="24"/>
          <w:szCs w:val="24"/>
        </w:rPr>
      </w:pPr>
      <w:r>
        <w:rPr>
          <w:rFonts w:hint="eastAsia" w:ascii="宋体" w:hAnsi="宋体"/>
          <w:b/>
          <w:color w:val="auto"/>
          <w:sz w:val="24"/>
          <w:szCs w:val="24"/>
        </w:rPr>
        <w:t>磋商单位基本情况表（附有效的企业营业执照</w:t>
      </w:r>
      <w:r>
        <w:rPr>
          <w:rFonts w:hint="eastAsia" w:ascii="宋体" w:hAnsi="宋体"/>
          <w:b/>
          <w:color w:val="auto"/>
          <w:sz w:val="24"/>
          <w:szCs w:val="24"/>
          <w:lang w:eastAsia="zh-CN"/>
        </w:rPr>
        <w:t>副本</w:t>
      </w:r>
      <w:r>
        <w:rPr>
          <w:rFonts w:hint="eastAsia" w:ascii="宋体" w:hAnsi="宋体"/>
          <w:b/>
          <w:color w:val="auto"/>
          <w:sz w:val="24"/>
          <w:szCs w:val="24"/>
        </w:rPr>
        <w:t>、企业资质证书副本和安全生产许可证）（必须提供）；</w:t>
      </w:r>
    </w:p>
    <w:p>
      <w:pPr>
        <w:numPr>
          <w:ilvl w:val="0"/>
          <w:numId w:val="0"/>
        </w:numPr>
        <w:spacing w:line="420" w:lineRule="exact"/>
        <w:ind w:left="420" w:leftChars="0"/>
        <w:jc w:val="both"/>
        <w:rPr>
          <w:rFonts w:hint="eastAsia" w:ascii="宋体" w:hAnsi="宋体"/>
          <w:b/>
          <w:color w:val="auto"/>
          <w:sz w:val="32"/>
          <w:szCs w:val="32"/>
        </w:rPr>
      </w:pPr>
    </w:p>
    <w:tbl>
      <w:tblPr>
        <w:tblStyle w:val="39"/>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68"/>
        <w:gridCol w:w="1158"/>
        <w:gridCol w:w="1276"/>
        <w:gridCol w:w="283"/>
        <w:gridCol w:w="1084"/>
        <w:gridCol w:w="192"/>
        <w:gridCol w:w="528"/>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55" w:type="dxa"/>
            <w:vAlign w:val="center"/>
          </w:tcPr>
          <w:p>
            <w:pPr>
              <w:jc w:val="center"/>
              <w:rPr>
                <w:sz w:val="24"/>
              </w:rPr>
            </w:pPr>
            <w:r>
              <w:rPr>
                <w:sz w:val="24"/>
              </w:rPr>
              <w:t>投标人名称</w:t>
            </w:r>
          </w:p>
        </w:tc>
        <w:tc>
          <w:tcPr>
            <w:tcW w:w="7412"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55" w:type="dxa"/>
            <w:vAlign w:val="center"/>
          </w:tcPr>
          <w:p>
            <w:pPr>
              <w:jc w:val="center"/>
              <w:rPr>
                <w:sz w:val="24"/>
              </w:rPr>
            </w:pPr>
            <w:r>
              <w:rPr>
                <w:sz w:val="24"/>
              </w:rPr>
              <w:t>注册地址</w:t>
            </w:r>
          </w:p>
        </w:tc>
        <w:tc>
          <w:tcPr>
            <w:tcW w:w="3685" w:type="dxa"/>
            <w:gridSpan w:val="4"/>
            <w:vAlign w:val="center"/>
          </w:tcPr>
          <w:p>
            <w:pPr>
              <w:jc w:val="center"/>
              <w:rPr>
                <w:sz w:val="24"/>
              </w:rPr>
            </w:pPr>
          </w:p>
        </w:tc>
        <w:tc>
          <w:tcPr>
            <w:tcW w:w="1276" w:type="dxa"/>
            <w:gridSpan w:val="2"/>
            <w:vAlign w:val="center"/>
          </w:tcPr>
          <w:p>
            <w:pPr>
              <w:jc w:val="center"/>
              <w:rPr>
                <w:sz w:val="24"/>
              </w:rPr>
            </w:pPr>
            <w:r>
              <w:rPr>
                <w:sz w:val="24"/>
              </w:rPr>
              <w:t>邮政编码</w:t>
            </w:r>
          </w:p>
        </w:tc>
        <w:tc>
          <w:tcPr>
            <w:tcW w:w="245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Merge w:val="restart"/>
            <w:vAlign w:val="center"/>
          </w:tcPr>
          <w:p>
            <w:pPr>
              <w:jc w:val="center"/>
              <w:rPr>
                <w:sz w:val="24"/>
              </w:rPr>
            </w:pPr>
            <w:r>
              <w:rPr>
                <w:sz w:val="24"/>
              </w:rPr>
              <w:t>联系方式</w:t>
            </w:r>
          </w:p>
        </w:tc>
        <w:tc>
          <w:tcPr>
            <w:tcW w:w="968" w:type="dxa"/>
            <w:vAlign w:val="center"/>
          </w:tcPr>
          <w:p>
            <w:pPr>
              <w:jc w:val="center"/>
              <w:rPr>
                <w:sz w:val="24"/>
              </w:rPr>
            </w:pPr>
            <w:r>
              <w:rPr>
                <w:sz w:val="24"/>
              </w:rPr>
              <w:t>联系人</w:t>
            </w:r>
          </w:p>
        </w:tc>
        <w:tc>
          <w:tcPr>
            <w:tcW w:w="2717" w:type="dxa"/>
            <w:gridSpan w:val="3"/>
            <w:vAlign w:val="center"/>
          </w:tcPr>
          <w:p>
            <w:pPr>
              <w:jc w:val="center"/>
              <w:rPr>
                <w:sz w:val="24"/>
              </w:rPr>
            </w:pPr>
          </w:p>
        </w:tc>
        <w:tc>
          <w:tcPr>
            <w:tcW w:w="1276" w:type="dxa"/>
            <w:gridSpan w:val="2"/>
            <w:vAlign w:val="center"/>
          </w:tcPr>
          <w:p>
            <w:pPr>
              <w:jc w:val="center"/>
              <w:rPr>
                <w:sz w:val="24"/>
              </w:rPr>
            </w:pPr>
            <w:r>
              <w:rPr>
                <w:sz w:val="24"/>
              </w:rPr>
              <w:t>电  话</w:t>
            </w:r>
          </w:p>
        </w:tc>
        <w:tc>
          <w:tcPr>
            <w:tcW w:w="245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Merge w:val="continue"/>
            <w:vAlign w:val="center"/>
          </w:tcPr>
          <w:p>
            <w:pPr>
              <w:jc w:val="center"/>
              <w:rPr>
                <w:sz w:val="24"/>
              </w:rPr>
            </w:pPr>
          </w:p>
        </w:tc>
        <w:tc>
          <w:tcPr>
            <w:tcW w:w="968" w:type="dxa"/>
            <w:vAlign w:val="center"/>
          </w:tcPr>
          <w:p>
            <w:pPr>
              <w:jc w:val="center"/>
              <w:rPr>
                <w:sz w:val="24"/>
              </w:rPr>
            </w:pPr>
            <w:r>
              <w:rPr>
                <w:sz w:val="24"/>
              </w:rPr>
              <w:t>传  真</w:t>
            </w:r>
          </w:p>
        </w:tc>
        <w:tc>
          <w:tcPr>
            <w:tcW w:w="2717" w:type="dxa"/>
            <w:gridSpan w:val="3"/>
            <w:vAlign w:val="center"/>
          </w:tcPr>
          <w:p>
            <w:pPr>
              <w:jc w:val="center"/>
              <w:rPr>
                <w:sz w:val="24"/>
              </w:rPr>
            </w:pPr>
          </w:p>
        </w:tc>
        <w:tc>
          <w:tcPr>
            <w:tcW w:w="1276" w:type="dxa"/>
            <w:gridSpan w:val="2"/>
            <w:vAlign w:val="center"/>
          </w:tcPr>
          <w:p>
            <w:pPr>
              <w:jc w:val="center"/>
              <w:rPr>
                <w:sz w:val="24"/>
              </w:rPr>
            </w:pPr>
            <w:r>
              <w:rPr>
                <w:sz w:val="24"/>
              </w:rPr>
              <w:t>网  址</w:t>
            </w:r>
          </w:p>
        </w:tc>
        <w:tc>
          <w:tcPr>
            <w:tcW w:w="245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统一社会信用代码</w:t>
            </w:r>
          </w:p>
        </w:tc>
        <w:tc>
          <w:tcPr>
            <w:tcW w:w="7412"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法定代表人</w:t>
            </w:r>
          </w:p>
        </w:tc>
        <w:tc>
          <w:tcPr>
            <w:tcW w:w="968" w:type="dxa"/>
            <w:vAlign w:val="center"/>
          </w:tcPr>
          <w:p>
            <w:pPr>
              <w:jc w:val="center"/>
              <w:rPr>
                <w:sz w:val="24"/>
              </w:rPr>
            </w:pPr>
            <w:r>
              <w:rPr>
                <w:sz w:val="24"/>
              </w:rPr>
              <w:t>姓名</w:t>
            </w:r>
          </w:p>
        </w:tc>
        <w:tc>
          <w:tcPr>
            <w:tcW w:w="1158" w:type="dxa"/>
            <w:vAlign w:val="center"/>
          </w:tcPr>
          <w:p>
            <w:pPr>
              <w:jc w:val="center"/>
              <w:rPr>
                <w:sz w:val="24"/>
              </w:rPr>
            </w:pPr>
          </w:p>
        </w:tc>
        <w:tc>
          <w:tcPr>
            <w:tcW w:w="1276" w:type="dxa"/>
            <w:vAlign w:val="center"/>
          </w:tcPr>
          <w:p>
            <w:pPr>
              <w:jc w:val="center"/>
              <w:rPr>
                <w:sz w:val="24"/>
              </w:rPr>
            </w:pPr>
            <w:r>
              <w:rPr>
                <w:sz w:val="24"/>
              </w:rPr>
              <w:t>技术职称</w:t>
            </w:r>
          </w:p>
        </w:tc>
        <w:tc>
          <w:tcPr>
            <w:tcW w:w="1367" w:type="dxa"/>
            <w:gridSpan w:val="2"/>
            <w:vAlign w:val="center"/>
          </w:tcPr>
          <w:p>
            <w:pPr>
              <w:jc w:val="center"/>
              <w:rPr>
                <w:sz w:val="24"/>
              </w:rPr>
            </w:pPr>
            <w:r>
              <w:rPr>
                <w:rFonts w:hint="eastAsia"/>
                <w:sz w:val="24"/>
              </w:rPr>
              <w:t>工程师</w:t>
            </w:r>
          </w:p>
        </w:tc>
        <w:tc>
          <w:tcPr>
            <w:tcW w:w="720" w:type="dxa"/>
            <w:gridSpan w:val="2"/>
            <w:vAlign w:val="center"/>
          </w:tcPr>
          <w:p>
            <w:pPr>
              <w:jc w:val="center"/>
              <w:rPr>
                <w:sz w:val="24"/>
              </w:rPr>
            </w:pPr>
            <w:r>
              <w:rPr>
                <w:sz w:val="24"/>
              </w:rPr>
              <w:t>电话</w:t>
            </w:r>
          </w:p>
        </w:tc>
        <w:tc>
          <w:tcPr>
            <w:tcW w:w="1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sz w:val="24"/>
              </w:rPr>
            </w:pPr>
            <w:r>
              <w:rPr>
                <w:sz w:val="24"/>
              </w:rPr>
              <w:t>技术负责人</w:t>
            </w:r>
          </w:p>
        </w:tc>
        <w:tc>
          <w:tcPr>
            <w:tcW w:w="968" w:type="dxa"/>
            <w:vAlign w:val="center"/>
          </w:tcPr>
          <w:p>
            <w:pPr>
              <w:jc w:val="center"/>
              <w:rPr>
                <w:sz w:val="24"/>
              </w:rPr>
            </w:pPr>
            <w:r>
              <w:rPr>
                <w:sz w:val="24"/>
              </w:rPr>
              <w:t>姓名</w:t>
            </w:r>
          </w:p>
        </w:tc>
        <w:tc>
          <w:tcPr>
            <w:tcW w:w="1158" w:type="dxa"/>
            <w:vAlign w:val="center"/>
          </w:tcPr>
          <w:p>
            <w:pPr>
              <w:jc w:val="center"/>
              <w:rPr>
                <w:sz w:val="24"/>
              </w:rPr>
            </w:pPr>
          </w:p>
        </w:tc>
        <w:tc>
          <w:tcPr>
            <w:tcW w:w="1276" w:type="dxa"/>
            <w:vAlign w:val="center"/>
          </w:tcPr>
          <w:p>
            <w:pPr>
              <w:jc w:val="center"/>
              <w:rPr>
                <w:sz w:val="24"/>
              </w:rPr>
            </w:pPr>
            <w:r>
              <w:rPr>
                <w:sz w:val="24"/>
              </w:rPr>
              <w:t>技术职称</w:t>
            </w:r>
          </w:p>
        </w:tc>
        <w:tc>
          <w:tcPr>
            <w:tcW w:w="1367" w:type="dxa"/>
            <w:gridSpan w:val="2"/>
            <w:vAlign w:val="center"/>
          </w:tcPr>
          <w:p>
            <w:pPr>
              <w:jc w:val="center"/>
              <w:rPr>
                <w:sz w:val="24"/>
              </w:rPr>
            </w:pPr>
            <w:r>
              <w:rPr>
                <w:rFonts w:hint="eastAsia"/>
                <w:sz w:val="24"/>
              </w:rPr>
              <w:t>工程师</w:t>
            </w:r>
          </w:p>
        </w:tc>
        <w:tc>
          <w:tcPr>
            <w:tcW w:w="720" w:type="dxa"/>
            <w:gridSpan w:val="2"/>
            <w:vAlign w:val="center"/>
          </w:tcPr>
          <w:p>
            <w:pPr>
              <w:jc w:val="center"/>
              <w:rPr>
                <w:sz w:val="24"/>
              </w:rPr>
            </w:pPr>
            <w:r>
              <w:rPr>
                <w:sz w:val="24"/>
              </w:rPr>
              <w:t>电话</w:t>
            </w:r>
          </w:p>
        </w:tc>
        <w:tc>
          <w:tcPr>
            <w:tcW w:w="19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sz w:val="24"/>
              </w:rPr>
            </w:pPr>
            <w:r>
              <w:rPr>
                <w:sz w:val="24"/>
              </w:rPr>
              <w:t>成立时间</w:t>
            </w:r>
          </w:p>
        </w:tc>
        <w:tc>
          <w:tcPr>
            <w:tcW w:w="2126" w:type="dxa"/>
            <w:gridSpan w:val="2"/>
            <w:vAlign w:val="center"/>
          </w:tcPr>
          <w:p>
            <w:pPr>
              <w:jc w:val="center"/>
              <w:rPr>
                <w:sz w:val="24"/>
              </w:rPr>
            </w:pPr>
          </w:p>
        </w:tc>
        <w:tc>
          <w:tcPr>
            <w:tcW w:w="5286" w:type="dxa"/>
            <w:gridSpan w:val="6"/>
            <w:vAlign w:val="center"/>
          </w:tcPr>
          <w:p>
            <w:pPr>
              <w:jc w:val="center"/>
              <w:rPr>
                <w:sz w:val="24"/>
              </w:rPr>
            </w:pPr>
            <w:r>
              <w:rPr>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sz w:val="24"/>
              </w:rPr>
            </w:pPr>
            <w:r>
              <w:rPr>
                <w:sz w:val="24"/>
              </w:rPr>
              <w:t>资质等级</w:t>
            </w:r>
          </w:p>
        </w:tc>
        <w:tc>
          <w:tcPr>
            <w:tcW w:w="2126" w:type="dxa"/>
            <w:gridSpan w:val="2"/>
            <w:vAlign w:val="center"/>
          </w:tcPr>
          <w:p>
            <w:pPr>
              <w:jc w:val="center"/>
              <w:rPr>
                <w:sz w:val="24"/>
              </w:rPr>
            </w:pPr>
          </w:p>
        </w:tc>
        <w:tc>
          <w:tcPr>
            <w:tcW w:w="1276" w:type="dxa"/>
            <w:vMerge w:val="restart"/>
            <w:vAlign w:val="center"/>
          </w:tcPr>
          <w:p>
            <w:pPr>
              <w:jc w:val="center"/>
              <w:rPr>
                <w:sz w:val="24"/>
              </w:rPr>
            </w:pPr>
            <w:r>
              <w:rPr>
                <w:sz w:val="24"/>
              </w:rPr>
              <w:t>其中</w:t>
            </w:r>
          </w:p>
        </w:tc>
        <w:tc>
          <w:tcPr>
            <w:tcW w:w="1367" w:type="dxa"/>
            <w:gridSpan w:val="2"/>
            <w:vAlign w:val="center"/>
          </w:tcPr>
          <w:p>
            <w:pPr>
              <w:jc w:val="center"/>
              <w:rPr>
                <w:sz w:val="24"/>
              </w:rPr>
            </w:pPr>
            <w:r>
              <w:rPr>
                <w:sz w:val="24"/>
              </w:rPr>
              <w:t>项目经理</w:t>
            </w:r>
          </w:p>
        </w:tc>
        <w:tc>
          <w:tcPr>
            <w:tcW w:w="2643" w:type="dxa"/>
            <w:gridSpan w:val="3"/>
            <w:vAlign w:val="center"/>
          </w:tcPr>
          <w:p>
            <w:pPr>
              <w:adjustRightInd w:val="0"/>
              <w:snapToGrid w:val="0"/>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sz w:val="24"/>
              </w:rPr>
            </w:pPr>
            <w:r>
              <w:rPr>
                <w:rFonts w:hint="eastAsia"/>
                <w:sz w:val="24"/>
              </w:rPr>
              <w:t>安全生产许可证</w:t>
            </w:r>
            <w:r>
              <w:rPr>
                <w:sz w:val="24"/>
              </w:rPr>
              <w:t>号</w:t>
            </w:r>
          </w:p>
        </w:tc>
        <w:tc>
          <w:tcPr>
            <w:tcW w:w="2126" w:type="dxa"/>
            <w:gridSpan w:val="2"/>
            <w:vAlign w:val="center"/>
          </w:tcPr>
          <w:p>
            <w:pPr>
              <w:jc w:val="center"/>
              <w:rPr>
                <w:sz w:val="24"/>
              </w:rPr>
            </w:pPr>
          </w:p>
        </w:tc>
        <w:tc>
          <w:tcPr>
            <w:tcW w:w="1276" w:type="dxa"/>
            <w:vMerge w:val="continue"/>
            <w:vAlign w:val="center"/>
          </w:tcPr>
          <w:p>
            <w:pPr>
              <w:jc w:val="center"/>
              <w:rPr>
                <w:sz w:val="24"/>
              </w:rPr>
            </w:pPr>
          </w:p>
        </w:tc>
        <w:tc>
          <w:tcPr>
            <w:tcW w:w="1367" w:type="dxa"/>
            <w:gridSpan w:val="2"/>
            <w:vAlign w:val="center"/>
          </w:tcPr>
          <w:p>
            <w:pPr>
              <w:jc w:val="center"/>
              <w:rPr>
                <w:sz w:val="24"/>
              </w:rPr>
            </w:pPr>
            <w:r>
              <w:rPr>
                <w:sz w:val="24"/>
              </w:rPr>
              <w:t>高级职称人员</w:t>
            </w:r>
          </w:p>
        </w:tc>
        <w:tc>
          <w:tcPr>
            <w:tcW w:w="2643" w:type="dxa"/>
            <w:gridSpan w:val="3"/>
            <w:vAlign w:val="center"/>
          </w:tcPr>
          <w:p>
            <w:pPr>
              <w:adjustRightInd w:val="0"/>
              <w:snapToGrid w:val="0"/>
              <w:spacing w:line="32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sz w:val="24"/>
              </w:rPr>
            </w:pPr>
            <w:r>
              <w:rPr>
                <w:sz w:val="24"/>
              </w:rPr>
              <w:t>注册资金</w:t>
            </w:r>
          </w:p>
        </w:tc>
        <w:tc>
          <w:tcPr>
            <w:tcW w:w="2126" w:type="dxa"/>
            <w:gridSpan w:val="2"/>
            <w:vAlign w:val="center"/>
          </w:tcPr>
          <w:p>
            <w:pPr>
              <w:jc w:val="center"/>
              <w:rPr>
                <w:sz w:val="24"/>
              </w:rPr>
            </w:pPr>
          </w:p>
        </w:tc>
        <w:tc>
          <w:tcPr>
            <w:tcW w:w="1276" w:type="dxa"/>
            <w:vMerge w:val="continue"/>
            <w:vAlign w:val="center"/>
          </w:tcPr>
          <w:p>
            <w:pPr>
              <w:jc w:val="center"/>
              <w:rPr>
                <w:sz w:val="24"/>
              </w:rPr>
            </w:pPr>
          </w:p>
        </w:tc>
        <w:tc>
          <w:tcPr>
            <w:tcW w:w="1367" w:type="dxa"/>
            <w:gridSpan w:val="2"/>
            <w:vAlign w:val="center"/>
          </w:tcPr>
          <w:p>
            <w:pPr>
              <w:jc w:val="center"/>
              <w:rPr>
                <w:sz w:val="24"/>
              </w:rPr>
            </w:pPr>
            <w:r>
              <w:rPr>
                <w:sz w:val="24"/>
              </w:rPr>
              <w:t>中级职称人员</w:t>
            </w:r>
          </w:p>
        </w:tc>
        <w:tc>
          <w:tcPr>
            <w:tcW w:w="2643" w:type="dxa"/>
            <w:gridSpan w:val="3"/>
            <w:vAlign w:val="center"/>
          </w:tcPr>
          <w:p>
            <w:pPr>
              <w:adjustRightInd w:val="0"/>
              <w:snapToGrid w:val="0"/>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sz w:val="24"/>
              </w:rPr>
            </w:pPr>
            <w:r>
              <w:rPr>
                <w:sz w:val="24"/>
              </w:rPr>
              <w:t>开户银行</w:t>
            </w:r>
          </w:p>
        </w:tc>
        <w:tc>
          <w:tcPr>
            <w:tcW w:w="2126" w:type="dxa"/>
            <w:gridSpan w:val="2"/>
            <w:vAlign w:val="center"/>
          </w:tcPr>
          <w:p>
            <w:pPr>
              <w:jc w:val="center"/>
              <w:rPr>
                <w:sz w:val="24"/>
              </w:rPr>
            </w:pPr>
          </w:p>
        </w:tc>
        <w:tc>
          <w:tcPr>
            <w:tcW w:w="1276" w:type="dxa"/>
            <w:vMerge w:val="continue"/>
            <w:vAlign w:val="center"/>
          </w:tcPr>
          <w:p>
            <w:pPr>
              <w:jc w:val="center"/>
              <w:rPr>
                <w:sz w:val="24"/>
              </w:rPr>
            </w:pPr>
          </w:p>
        </w:tc>
        <w:tc>
          <w:tcPr>
            <w:tcW w:w="1367" w:type="dxa"/>
            <w:gridSpan w:val="2"/>
            <w:vAlign w:val="center"/>
          </w:tcPr>
          <w:p>
            <w:pPr>
              <w:jc w:val="center"/>
              <w:rPr>
                <w:sz w:val="24"/>
              </w:rPr>
            </w:pPr>
            <w:r>
              <w:rPr>
                <w:sz w:val="24"/>
              </w:rPr>
              <w:t>初级职称人员</w:t>
            </w:r>
          </w:p>
        </w:tc>
        <w:tc>
          <w:tcPr>
            <w:tcW w:w="2643" w:type="dxa"/>
            <w:gridSpan w:val="3"/>
            <w:vAlign w:val="center"/>
          </w:tcPr>
          <w:p>
            <w:pPr>
              <w:adjustRightInd w:val="0"/>
              <w:snapToGrid w:val="0"/>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sz w:val="24"/>
              </w:rPr>
            </w:pPr>
            <w:r>
              <w:rPr>
                <w:sz w:val="24"/>
              </w:rPr>
              <w:t>账号</w:t>
            </w:r>
          </w:p>
        </w:tc>
        <w:tc>
          <w:tcPr>
            <w:tcW w:w="2126" w:type="dxa"/>
            <w:gridSpan w:val="2"/>
            <w:vAlign w:val="center"/>
          </w:tcPr>
          <w:p>
            <w:pPr>
              <w:jc w:val="center"/>
              <w:rPr>
                <w:sz w:val="24"/>
              </w:rPr>
            </w:pPr>
          </w:p>
        </w:tc>
        <w:tc>
          <w:tcPr>
            <w:tcW w:w="1276" w:type="dxa"/>
            <w:vMerge w:val="continue"/>
            <w:vAlign w:val="center"/>
          </w:tcPr>
          <w:p>
            <w:pPr>
              <w:jc w:val="center"/>
              <w:rPr>
                <w:sz w:val="24"/>
              </w:rPr>
            </w:pPr>
          </w:p>
        </w:tc>
        <w:tc>
          <w:tcPr>
            <w:tcW w:w="1367" w:type="dxa"/>
            <w:gridSpan w:val="2"/>
            <w:vAlign w:val="center"/>
          </w:tcPr>
          <w:p>
            <w:pPr>
              <w:jc w:val="center"/>
              <w:rPr>
                <w:sz w:val="24"/>
              </w:rPr>
            </w:pPr>
            <w:r>
              <w:rPr>
                <w:sz w:val="24"/>
              </w:rPr>
              <w:t>技  工</w:t>
            </w:r>
          </w:p>
        </w:tc>
        <w:tc>
          <w:tcPr>
            <w:tcW w:w="2643" w:type="dxa"/>
            <w:gridSpan w:val="3"/>
            <w:vAlign w:val="center"/>
          </w:tcPr>
          <w:p>
            <w:pPr>
              <w:adjustRightInd w:val="0"/>
              <w:snapToGrid w:val="0"/>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555" w:type="dxa"/>
            <w:vAlign w:val="center"/>
          </w:tcPr>
          <w:p>
            <w:pPr>
              <w:jc w:val="center"/>
              <w:rPr>
                <w:sz w:val="24"/>
              </w:rPr>
            </w:pPr>
            <w:r>
              <w:rPr>
                <w:sz w:val="24"/>
              </w:rPr>
              <w:t>经营范围</w:t>
            </w:r>
          </w:p>
        </w:tc>
        <w:tc>
          <w:tcPr>
            <w:tcW w:w="7412" w:type="dxa"/>
            <w:gridSpan w:val="8"/>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jc w:val="center"/>
              <w:rPr>
                <w:sz w:val="24"/>
              </w:rPr>
            </w:pPr>
            <w:r>
              <w:rPr>
                <w:sz w:val="24"/>
              </w:rPr>
              <w:t>备注</w:t>
            </w:r>
          </w:p>
        </w:tc>
        <w:tc>
          <w:tcPr>
            <w:tcW w:w="7412" w:type="dxa"/>
            <w:gridSpan w:val="8"/>
            <w:vAlign w:val="center"/>
          </w:tcPr>
          <w:p>
            <w:pPr>
              <w:jc w:val="center"/>
              <w:rPr>
                <w:sz w:val="24"/>
              </w:rPr>
            </w:pPr>
          </w:p>
        </w:tc>
      </w:tr>
    </w:tbl>
    <w:p>
      <w:pPr>
        <w:rPr>
          <w:rFonts w:ascii="宋体" w:hAnsi="宋体"/>
          <w:b/>
          <w:color w:val="auto"/>
          <w:sz w:val="32"/>
          <w:szCs w:val="32"/>
        </w:rPr>
      </w:pPr>
      <w:r>
        <w:rPr>
          <w:rFonts w:ascii="宋体" w:hAnsi="宋体"/>
          <w:b/>
          <w:color w:val="auto"/>
          <w:sz w:val="32"/>
          <w:szCs w:val="32"/>
        </w:rPr>
        <w:br w:type="page"/>
      </w:r>
    </w:p>
    <w:p>
      <w:pPr>
        <w:numPr>
          <w:ilvl w:val="0"/>
          <w:numId w:val="0"/>
        </w:numPr>
        <w:spacing w:line="420" w:lineRule="exact"/>
        <w:ind w:left="420" w:leftChars="0" w:firstLine="964" w:firstLineChars="400"/>
        <w:jc w:val="both"/>
        <w:rPr>
          <w:rFonts w:hint="eastAsia" w:ascii="宋体" w:hAnsi="宋体"/>
          <w:b/>
          <w:color w:val="auto"/>
          <w:sz w:val="32"/>
          <w:szCs w:val="32"/>
        </w:rPr>
      </w:pPr>
      <w:r>
        <w:rPr>
          <w:rFonts w:hint="eastAsia" w:ascii="宋体" w:hAnsi="宋体"/>
          <w:b/>
          <w:color w:val="auto"/>
          <w:sz w:val="24"/>
          <w:szCs w:val="24"/>
          <w:lang w:eastAsia="zh-CN"/>
        </w:rPr>
        <w:t>（</w:t>
      </w:r>
      <w:r>
        <w:rPr>
          <w:rFonts w:hint="eastAsia" w:ascii="宋体" w:hAnsi="宋体"/>
          <w:b/>
          <w:color w:val="auto"/>
          <w:sz w:val="24"/>
          <w:szCs w:val="24"/>
          <w:lang w:val="en-US" w:eastAsia="zh-CN"/>
        </w:rPr>
        <w:t>3</w:t>
      </w:r>
      <w:r>
        <w:rPr>
          <w:rFonts w:hint="eastAsia" w:ascii="宋体" w:hAnsi="宋体"/>
          <w:b/>
          <w:color w:val="auto"/>
          <w:sz w:val="24"/>
          <w:szCs w:val="24"/>
          <w:lang w:eastAsia="zh-CN"/>
        </w:rPr>
        <w:t>）</w:t>
      </w:r>
      <w:r>
        <w:rPr>
          <w:rFonts w:hint="eastAsia" w:ascii="宋体" w:hAnsi="宋体"/>
          <w:b/>
          <w:color w:val="auto"/>
          <w:sz w:val="24"/>
          <w:szCs w:val="24"/>
        </w:rPr>
        <w:t>建设工程项目管理承诺书（必须提供）</w:t>
      </w:r>
      <w:r>
        <w:rPr>
          <w:rFonts w:hint="eastAsia" w:ascii="宋体" w:hAnsi="宋体"/>
          <w:b/>
          <w:color w:val="auto"/>
          <w:sz w:val="32"/>
          <w:szCs w:val="32"/>
        </w:rPr>
        <w:t>；</w:t>
      </w:r>
    </w:p>
    <w:p>
      <w:pPr>
        <w:numPr>
          <w:ilvl w:val="0"/>
          <w:numId w:val="0"/>
        </w:numPr>
        <w:spacing w:line="420" w:lineRule="exact"/>
        <w:ind w:left="420" w:leftChars="0"/>
        <w:jc w:val="both"/>
        <w:rPr>
          <w:rFonts w:hint="eastAsia" w:ascii="宋体" w:hAnsi="宋体"/>
          <w:b/>
          <w:color w:val="auto"/>
          <w:sz w:val="32"/>
          <w:szCs w:val="32"/>
        </w:rPr>
      </w:pPr>
    </w:p>
    <w:p>
      <w:pPr>
        <w:spacing w:line="360" w:lineRule="auto"/>
        <w:jc w:val="left"/>
        <w:rPr>
          <w:sz w:val="24"/>
        </w:rPr>
      </w:pPr>
      <w:r>
        <w:rPr>
          <w:sz w:val="24"/>
        </w:rPr>
        <w:t>致</w:t>
      </w:r>
      <w:r>
        <w:rPr>
          <w:rFonts w:hint="eastAsia"/>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（采购人全称）</w:t>
      </w:r>
      <w:r>
        <w:rPr>
          <w:sz w:val="24"/>
        </w:rPr>
        <w:t>：</w:t>
      </w:r>
    </w:p>
    <w:p>
      <w:pPr>
        <w:spacing w:line="360" w:lineRule="auto"/>
        <w:ind w:left="-10" w:firstLine="520" w:firstLineChars="217"/>
        <w:jc w:val="left"/>
        <w:rPr>
          <w:sz w:val="24"/>
        </w:rPr>
      </w:pPr>
      <w:r>
        <w:rPr>
          <w:sz w:val="24"/>
        </w:rPr>
        <w:t>作为参与</w:t>
      </w:r>
      <w:r>
        <w:rPr>
          <w:sz w:val="24"/>
          <w:u w:val="single"/>
        </w:rPr>
        <w:t xml:space="preserve">   </w:t>
      </w:r>
      <w:r>
        <w:rPr>
          <w:rFonts w:hint="eastAsia"/>
          <w:sz w:val="24"/>
          <w:u w:val="single"/>
          <w:lang w:val="en-US" w:eastAsia="zh-CN"/>
        </w:rPr>
        <w:t xml:space="preserve">                         </w:t>
      </w:r>
      <w:r>
        <w:rPr>
          <w:sz w:val="24"/>
          <w:u w:val="single"/>
        </w:rPr>
        <w:t xml:space="preserve"> </w:t>
      </w:r>
      <w:r>
        <w:rPr>
          <w:sz w:val="24"/>
        </w:rPr>
        <w:t>（工程名称）项目的投标方，根据国家、自治区相关文件规定，我方在此向招标人承诺：</w:t>
      </w:r>
    </w:p>
    <w:p>
      <w:pPr>
        <w:spacing w:line="360" w:lineRule="auto"/>
        <w:ind w:left="-10" w:firstLine="520" w:firstLineChars="217"/>
        <w:jc w:val="left"/>
        <w:rPr>
          <w:sz w:val="24"/>
        </w:rPr>
      </w:pPr>
      <w:r>
        <w:rPr>
          <w:sz w:val="24"/>
        </w:rPr>
        <w:t>1、一旦中标，我方保证按照政府相关部门的规定，在发出中标通知书之日起7个工作日内足额将农民工工资保障金转入农民工工资保障金专用账户。一旦我方所承包的该项目中出现拖欠农民工工资情况，由劳动保障、</w:t>
      </w:r>
      <w:r>
        <w:rPr>
          <w:rFonts w:hint="eastAsia"/>
          <w:sz w:val="24"/>
        </w:rPr>
        <w:t>住房城乡</w:t>
      </w:r>
      <w:r>
        <w:rPr>
          <w:sz w:val="24"/>
        </w:rPr>
        <w:t>建设行政主管部门</w:t>
      </w:r>
      <w:r>
        <w:rPr>
          <w:rFonts w:hint="eastAsia"/>
          <w:sz w:val="24"/>
        </w:rPr>
        <w:t>按照《</w:t>
      </w:r>
      <w:r>
        <w:rPr>
          <w:sz w:val="24"/>
        </w:rPr>
        <w:t>关于进一步完善建筑行业农民工工资保证金制度的通知</w:t>
      </w:r>
      <w:r>
        <w:rPr>
          <w:rFonts w:hint="eastAsia"/>
          <w:sz w:val="24"/>
        </w:rPr>
        <w:t>》（</w:t>
      </w:r>
      <w:r>
        <w:rPr>
          <w:sz w:val="24"/>
        </w:rPr>
        <w:t>桂劳社发〔200</w:t>
      </w:r>
      <w:r>
        <w:rPr>
          <w:rFonts w:hint="eastAsia"/>
          <w:sz w:val="24"/>
        </w:rPr>
        <w:t>9</w:t>
      </w:r>
      <w:r>
        <w:rPr>
          <w:sz w:val="24"/>
        </w:rPr>
        <w:t>〕50号</w:t>
      </w:r>
      <w:r>
        <w:rPr>
          <w:rFonts w:hint="eastAsia"/>
          <w:sz w:val="24"/>
        </w:rPr>
        <w:t>）</w:t>
      </w:r>
      <w:r>
        <w:rPr>
          <w:sz w:val="24"/>
        </w:rPr>
        <w:t>从我方农民工工资保障金中先予划支。</w:t>
      </w:r>
    </w:p>
    <w:p>
      <w:pPr>
        <w:spacing w:line="360" w:lineRule="auto"/>
        <w:ind w:left="-10" w:firstLine="520" w:firstLineChars="217"/>
        <w:jc w:val="left"/>
        <w:rPr>
          <w:sz w:val="24"/>
        </w:rPr>
      </w:pPr>
      <w:r>
        <w:rPr>
          <w:sz w:val="24"/>
        </w:rPr>
        <w:t>2、一旦中标，我方保证在施工过程中，严格执行</w:t>
      </w:r>
      <w:r>
        <w:rPr>
          <w:rFonts w:hint="eastAsia"/>
          <w:sz w:val="24"/>
        </w:rPr>
        <w:t>《广西壮族自治区建设工程安全文明施工费使用管理细则》（桂建质【2015】16号）</w:t>
      </w:r>
      <w:r>
        <w:rPr>
          <w:sz w:val="24"/>
        </w:rPr>
        <w:t>的有关规定，确保建设工程各项安全防护、文明施工措施落实到位。如我方在该项目的承包中出现未按</w:t>
      </w:r>
      <w:r>
        <w:rPr>
          <w:rFonts w:hint="eastAsia"/>
          <w:sz w:val="24"/>
        </w:rPr>
        <w:t>桂建质【2015】16号</w:t>
      </w:r>
      <w:r>
        <w:rPr>
          <w:sz w:val="24"/>
        </w:rPr>
        <w:t>文附件一规定执行的情形，我方愿意按照相关规定接受建设单位及有关主管部门的处罚。</w:t>
      </w:r>
    </w:p>
    <w:p>
      <w:pPr>
        <w:spacing w:line="360" w:lineRule="auto"/>
        <w:ind w:left="-2" w:leftChars="-1" w:firstLine="513" w:firstLineChars="214"/>
        <w:jc w:val="left"/>
        <w:rPr>
          <w:sz w:val="24"/>
        </w:rPr>
      </w:pPr>
      <w:r>
        <w:rPr>
          <w:sz w:val="24"/>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360" w:lineRule="auto"/>
        <w:ind w:left="-10" w:firstLine="520" w:firstLineChars="217"/>
        <w:jc w:val="left"/>
        <w:rPr>
          <w:sz w:val="24"/>
        </w:rPr>
      </w:pPr>
      <w:r>
        <w:rPr>
          <w:rFonts w:hint="eastAsia"/>
          <w:sz w:val="24"/>
        </w:rPr>
        <w:t>4、一旦中标，我方保证在施工过程中，严格执行《关于禁止使用不符合规范要求的竹脚手架的通知》（</w:t>
      </w:r>
      <w:r>
        <w:rPr>
          <w:sz w:val="24"/>
        </w:rPr>
        <w:t>桂建</w:t>
      </w:r>
      <w:r>
        <w:rPr>
          <w:rFonts w:hint="eastAsia"/>
          <w:sz w:val="24"/>
        </w:rPr>
        <w:t>管字</w:t>
      </w:r>
      <w:r>
        <w:rPr>
          <w:sz w:val="24"/>
        </w:rPr>
        <w:t>〔200</w:t>
      </w:r>
      <w:r>
        <w:rPr>
          <w:rFonts w:hint="eastAsia"/>
          <w:sz w:val="24"/>
        </w:rPr>
        <w:t>3</w:t>
      </w:r>
      <w:r>
        <w:rPr>
          <w:sz w:val="24"/>
        </w:rPr>
        <w:t>〕</w:t>
      </w:r>
      <w:r>
        <w:rPr>
          <w:rFonts w:hint="eastAsia"/>
          <w:sz w:val="24"/>
        </w:rPr>
        <w:t>40</w:t>
      </w:r>
      <w:r>
        <w:rPr>
          <w:sz w:val="24"/>
        </w:rPr>
        <w:t>号</w:t>
      </w:r>
      <w:r>
        <w:rPr>
          <w:rFonts w:hint="eastAsia"/>
          <w:sz w:val="24"/>
        </w:rPr>
        <w:t>）的有关规定，不使用竹脚手架。如我方在该</w:t>
      </w:r>
      <w:r>
        <w:rPr>
          <w:sz w:val="24"/>
        </w:rPr>
        <w:t>项目的承包中出现未按规定执行的情形，我方愿意按照相关规定接受建设单位及有关主管部门的处罚。</w:t>
      </w:r>
    </w:p>
    <w:p>
      <w:pPr>
        <w:spacing w:line="360" w:lineRule="auto"/>
        <w:jc w:val="left"/>
        <w:rPr>
          <w:sz w:val="24"/>
        </w:rPr>
      </w:pPr>
    </w:p>
    <w:p>
      <w:pPr>
        <w:spacing w:line="360" w:lineRule="auto"/>
        <w:jc w:val="left"/>
        <w:rPr>
          <w:sz w:val="24"/>
          <w:u w:val="single"/>
        </w:rPr>
      </w:pPr>
      <w:r>
        <w:rPr>
          <w:sz w:val="24"/>
        </w:rPr>
        <w:t>投标人：</w:t>
      </w:r>
      <w:r>
        <w:rPr>
          <w:sz w:val="24"/>
          <w:u w:val="single"/>
        </w:rPr>
        <w:t xml:space="preserve"> </w:t>
      </w:r>
      <w:r>
        <w:rPr>
          <w:rFonts w:hint="eastAsia"/>
          <w:sz w:val="24"/>
          <w:u w:val="single"/>
          <w:lang w:val="en-US" w:eastAsia="zh-CN"/>
        </w:rPr>
        <w:t xml:space="preserve">                      </w:t>
      </w:r>
      <w:r>
        <w:rPr>
          <w:sz w:val="24"/>
          <w:u w:val="single"/>
        </w:rPr>
        <w:t xml:space="preserve"> （盖</w:t>
      </w:r>
      <w:r>
        <w:rPr>
          <w:rFonts w:hint="eastAsia"/>
          <w:sz w:val="24"/>
          <w:u w:val="single"/>
        </w:rPr>
        <w:t>单位</w:t>
      </w:r>
      <w:r>
        <w:rPr>
          <w:sz w:val="24"/>
          <w:u w:val="single"/>
        </w:rPr>
        <w:t>章）</w:t>
      </w:r>
    </w:p>
    <w:p>
      <w:pPr>
        <w:spacing w:line="360" w:lineRule="auto"/>
        <w:ind w:firstLine="1440" w:firstLineChars="600"/>
        <w:jc w:val="left"/>
        <w:rPr>
          <w:sz w:val="24"/>
        </w:rPr>
      </w:pPr>
    </w:p>
    <w:p>
      <w:pPr>
        <w:spacing w:line="360" w:lineRule="auto"/>
        <w:jc w:val="left"/>
        <w:rPr>
          <w:sz w:val="24"/>
          <w:u w:val="single"/>
        </w:rPr>
      </w:pPr>
      <w:r>
        <w:rPr>
          <w:sz w:val="24"/>
        </w:rPr>
        <w:t>法定代表人或授权代理人：</w:t>
      </w:r>
      <w:r>
        <w:rPr>
          <w:sz w:val="24"/>
          <w:u w:val="single"/>
        </w:rPr>
        <w:t xml:space="preserve">            </w:t>
      </w:r>
      <w:r>
        <w:rPr>
          <w:rFonts w:hint="eastAsia"/>
          <w:sz w:val="24"/>
          <w:u w:val="single"/>
        </w:rPr>
        <w:t xml:space="preserve">    </w:t>
      </w:r>
      <w:r>
        <w:rPr>
          <w:sz w:val="24"/>
          <w:u w:val="single"/>
        </w:rPr>
        <w:t>（签字或盖章）</w:t>
      </w:r>
    </w:p>
    <w:p>
      <w:pPr>
        <w:spacing w:line="360" w:lineRule="auto"/>
        <w:ind w:firstLine="1440" w:firstLineChars="600"/>
        <w:jc w:val="left"/>
        <w:rPr>
          <w:sz w:val="24"/>
        </w:rPr>
      </w:pPr>
    </w:p>
    <w:p>
      <w:pPr>
        <w:numPr>
          <w:ilvl w:val="0"/>
          <w:numId w:val="0"/>
        </w:numPr>
        <w:spacing w:line="420" w:lineRule="exact"/>
        <w:jc w:val="both"/>
        <w:textAlignment w:val="baseline"/>
        <w:rPr>
          <w:rFonts w:hint="eastAsia" w:ascii="宋体" w:hAnsi="宋体"/>
          <w:b/>
          <w:color w:val="auto"/>
          <w:sz w:val="32"/>
          <w:szCs w:val="32"/>
        </w:rPr>
      </w:pPr>
      <w:r>
        <w:rPr>
          <w:sz w:val="24"/>
        </w:rPr>
        <w:t>日期：</w:t>
      </w:r>
      <w:r>
        <w:rPr>
          <w:sz w:val="24"/>
          <w:u w:val="single"/>
        </w:rPr>
        <w:t xml:space="preserve">  </w:t>
      </w:r>
      <w:r>
        <w:rPr>
          <w:rFonts w:hint="eastAsia"/>
          <w:sz w:val="24"/>
          <w:u w:val="single"/>
          <w:lang w:val="en-US" w:eastAsia="zh-CN"/>
        </w:rPr>
        <w:t xml:space="preserve">        </w:t>
      </w:r>
      <w:r>
        <w:rPr>
          <w:sz w:val="24"/>
          <w:u w:val="single"/>
        </w:rPr>
        <w:t xml:space="preserve">  </w:t>
      </w:r>
      <w:r>
        <w:rPr>
          <w:sz w:val="24"/>
        </w:rPr>
        <w:t>年</w:t>
      </w:r>
      <w:r>
        <w:rPr>
          <w:sz w:val="24"/>
          <w:u w:val="single"/>
        </w:rPr>
        <w:t xml:space="preserve">  </w:t>
      </w:r>
      <w:r>
        <w:rPr>
          <w:rFonts w:hint="eastAsia"/>
          <w:sz w:val="24"/>
          <w:u w:val="single"/>
          <w:lang w:val="en-US" w:eastAsia="zh-CN"/>
        </w:rPr>
        <w:t xml:space="preserve">     </w:t>
      </w:r>
      <w:r>
        <w:rPr>
          <w:sz w:val="24"/>
          <w:u w:val="single"/>
        </w:rPr>
        <w:t xml:space="preserve">   </w:t>
      </w:r>
      <w:r>
        <w:rPr>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sz w:val="24"/>
        </w:rPr>
        <w:t>日</w:t>
      </w:r>
      <w:r>
        <w:rPr>
          <w:szCs w:val="21"/>
        </w:rPr>
        <w:br w:type="page"/>
      </w:r>
    </w:p>
    <w:p>
      <w:pPr>
        <w:numPr>
          <w:ilvl w:val="0"/>
          <w:numId w:val="0"/>
        </w:numPr>
        <w:spacing w:line="420" w:lineRule="exact"/>
        <w:ind w:left="2348" w:leftChars="200" w:hanging="1928" w:hangingChars="800"/>
        <w:jc w:val="both"/>
        <w:rPr>
          <w:rFonts w:hint="eastAsia" w:ascii="宋体" w:hAnsi="宋体"/>
          <w:b/>
          <w:color w:val="auto"/>
          <w:sz w:val="32"/>
          <w:szCs w:val="32"/>
        </w:rPr>
      </w:pPr>
      <w:r>
        <w:rPr>
          <w:rFonts w:hint="eastAsia" w:ascii="宋体" w:hAnsi="宋体"/>
          <w:b/>
          <w:color w:val="auto"/>
          <w:sz w:val="24"/>
          <w:szCs w:val="24"/>
        </w:rPr>
        <w:t>（4）项目经理简历表；[附项目经理注册建造师注册证书和安全生产考核合格证书（B 类）]（必须提供）；</w:t>
      </w:r>
    </w:p>
    <w:p>
      <w:pPr>
        <w:shd w:val="clear" w:color="auto" w:fill="FFFFFF"/>
        <w:spacing w:before="150" w:line="360" w:lineRule="auto"/>
        <w:jc w:val="center"/>
        <w:rPr>
          <w:rFonts w:hint="eastAsia" w:hAnsi="_6977_4f53_GB2312"/>
          <w:b/>
          <w:color w:val="auto"/>
          <w:sz w:val="32"/>
          <w:szCs w:val="32"/>
        </w:rPr>
      </w:pPr>
    </w:p>
    <w:p>
      <w:pPr>
        <w:shd w:val="clear" w:color="auto" w:fill="FFFFFF"/>
        <w:spacing w:before="150" w:line="360" w:lineRule="auto"/>
        <w:jc w:val="center"/>
        <w:rPr>
          <w:rFonts w:hint="eastAsia" w:hAnsi="_6977_4f53_GB2312"/>
          <w:b/>
          <w:sz w:val="32"/>
          <w:szCs w:val="32"/>
        </w:rPr>
      </w:pPr>
      <w:r>
        <w:rPr>
          <w:rFonts w:hint="eastAsia" w:hAnsi="_6977_4f53_GB2312"/>
          <w:b/>
          <w:sz w:val="32"/>
          <w:szCs w:val="32"/>
        </w:rPr>
        <w:t>项目经理简历表</w:t>
      </w:r>
    </w:p>
    <w:p>
      <w:pPr>
        <w:pStyle w:val="65"/>
        <w:rPr>
          <w:rFonts w:hint="default"/>
          <w:color w:val="000000"/>
          <w:u w:val="single"/>
          <w:lang w:val="en-US" w:eastAsia="zh-CN"/>
        </w:rPr>
      </w:pPr>
      <w:r>
        <w:rPr>
          <w:rFonts w:hint="eastAsia"/>
          <w:color w:val="000000"/>
          <w:u w:val="single"/>
          <w:lang w:eastAsia="zh-CN"/>
        </w:rPr>
        <w:t>工程名称</w:t>
      </w:r>
      <w:r>
        <w:rPr>
          <w:rFonts w:hint="eastAsia"/>
          <w:color w:val="000000"/>
          <w:u w:val="single"/>
          <w:lang w:val="en-US" w:eastAsia="zh-CN"/>
        </w:rPr>
        <w:t xml:space="preserve"> ：                                                            </w:t>
      </w:r>
    </w:p>
    <w:tbl>
      <w:tblPr>
        <w:tblStyle w:val="3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740"/>
        <w:gridCol w:w="808"/>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000000"/>
                <w:sz w:val="24"/>
              </w:rPr>
            </w:pPr>
            <w:r>
              <w:rPr>
                <w:color w:val="000000"/>
                <w:sz w:val="24"/>
              </w:rPr>
              <w:t>姓名</w:t>
            </w:r>
          </w:p>
        </w:tc>
        <w:tc>
          <w:tcPr>
            <w:tcW w:w="2340" w:type="dxa"/>
            <w:gridSpan w:val="3"/>
            <w:vAlign w:val="center"/>
          </w:tcPr>
          <w:p>
            <w:pPr>
              <w:jc w:val="center"/>
              <w:rPr>
                <w:color w:val="000000"/>
                <w:sz w:val="24"/>
              </w:rPr>
            </w:pPr>
          </w:p>
        </w:tc>
        <w:tc>
          <w:tcPr>
            <w:tcW w:w="1959" w:type="dxa"/>
            <w:gridSpan w:val="2"/>
            <w:vAlign w:val="center"/>
          </w:tcPr>
          <w:p>
            <w:pPr>
              <w:jc w:val="center"/>
              <w:rPr>
                <w:color w:val="000000"/>
                <w:sz w:val="24"/>
              </w:rPr>
            </w:pPr>
            <w:r>
              <w:rPr>
                <w:color w:val="000000"/>
                <w:sz w:val="24"/>
              </w:rPr>
              <w:t>性别</w:t>
            </w:r>
          </w:p>
        </w:tc>
        <w:tc>
          <w:tcPr>
            <w:tcW w:w="1519" w:type="dxa"/>
            <w:gridSpan w:val="2"/>
            <w:vAlign w:val="center"/>
          </w:tcPr>
          <w:p>
            <w:pPr>
              <w:jc w:val="center"/>
              <w:rPr>
                <w:color w:val="000000"/>
                <w:sz w:val="24"/>
              </w:rPr>
            </w:pPr>
          </w:p>
        </w:tc>
        <w:tc>
          <w:tcPr>
            <w:tcW w:w="1108" w:type="dxa"/>
            <w:gridSpan w:val="2"/>
            <w:vAlign w:val="center"/>
          </w:tcPr>
          <w:p>
            <w:pPr>
              <w:jc w:val="center"/>
              <w:rPr>
                <w:color w:val="000000"/>
                <w:sz w:val="24"/>
              </w:rPr>
            </w:pPr>
            <w:r>
              <w:rPr>
                <w:color w:val="000000"/>
                <w:sz w:val="24"/>
              </w:rPr>
              <w:t>年龄</w:t>
            </w:r>
          </w:p>
        </w:tc>
        <w:tc>
          <w:tcPr>
            <w:tcW w:w="1276"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000000"/>
                <w:sz w:val="24"/>
              </w:rPr>
            </w:pPr>
            <w:r>
              <w:rPr>
                <w:color w:val="000000"/>
                <w:sz w:val="24"/>
              </w:rPr>
              <w:t>职务</w:t>
            </w:r>
          </w:p>
        </w:tc>
        <w:tc>
          <w:tcPr>
            <w:tcW w:w="2340" w:type="dxa"/>
            <w:gridSpan w:val="3"/>
            <w:vAlign w:val="center"/>
          </w:tcPr>
          <w:p>
            <w:pPr>
              <w:jc w:val="center"/>
              <w:rPr>
                <w:color w:val="000000"/>
                <w:sz w:val="24"/>
              </w:rPr>
            </w:pPr>
          </w:p>
        </w:tc>
        <w:tc>
          <w:tcPr>
            <w:tcW w:w="1959" w:type="dxa"/>
            <w:gridSpan w:val="2"/>
            <w:vAlign w:val="center"/>
          </w:tcPr>
          <w:p>
            <w:pPr>
              <w:jc w:val="center"/>
              <w:rPr>
                <w:color w:val="000000"/>
                <w:sz w:val="24"/>
              </w:rPr>
            </w:pPr>
            <w:r>
              <w:rPr>
                <w:color w:val="000000"/>
                <w:sz w:val="24"/>
              </w:rPr>
              <w:t>职称</w:t>
            </w:r>
          </w:p>
        </w:tc>
        <w:tc>
          <w:tcPr>
            <w:tcW w:w="1519" w:type="dxa"/>
            <w:gridSpan w:val="2"/>
            <w:vAlign w:val="center"/>
          </w:tcPr>
          <w:p>
            <w:pPr>
              <w:jc w:val="center"/>
              <w:rPr>
                <w:color w:val="000000"/>
                <w:sz w:val="24"/>
              </w:rPr>
            </w:pPr>
          </w:p>
        </w:tc>
        <w:tc>
          <w:tcPr>
            <w:tcW w:w="1108" w:type="dxa"/>
            <w:gridSpan w:val="2"/>
            <w:vAlign w:val="center"/>
          </w:tcPr>
          <w:p>
            <w:pPr>
              <w:jc w:val="center"/>
              <w:rPr>
                <w:color w:val="000000"/>
                <w:sz w:val="24"/>
              </w:rPr>
            </w:pPr>
            <w:r>
              <w:rPr>
                <w:color w:val="000000"/>
                <w:sz w:val="24"/>
              </w:rPr>
              <w:t>学历</w:t>
            </w:r>
          </w:p>
        </w:tc>
        <w:tc>
          <w:tcPr>
            <w:tcW w:w="1276"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000000"/>
                <w:sz w:val="24"/>
              </w:rPr>
            </w:pPr>
            <w:r>
              <w:rPr>
                <w:color w:val="000000"/>
                <w:sz w:val="24"/>
              </w:rPr>
              <w:t>参加工作时间</w:t>
            </w:r>
          </w:p>
        </w:tc>
        <w:tc>
          <w:tcPr>
            <w:tcW w:w="1959" w:type="dxa"/>
            <w:gridSpan w:val="2"/>
            <w:vAlign w:val="center"/>
          </w:tcPr>
          <w:p>
            <w:pPr>
              <w:jc w:val="center"/>
              <w:rPr>
                <w:color w:val="000000"/>
                <w:sz w:val="24"/>
              </w:rPr>
            </w:pPr>
          </w:p>
        </w:tc>
        <w:tc>
          <w:tcPr>
            <w:tcW w:w="2627" w:type="dxa"/>
            <w:gridSpan w:val="4"/>
            <w:vAlign w:val="center"/>
          </w:tcPr>
          <w:p>
            <w:pPr>
              <w:jc w:val="center"/>
              <w:rPr>
                <w:color w:val="000000"/>
                <w:sz w:val="24"/>
              </w:rPr>
            </w:pPr>
            <w:r>
              <w:rPr>
                <w:color w:val="000000"/>
                <w:sz w:val="24"/>
              </w:rPr>
              <w:t>担任项目经理年限</w:t>
            </w:r>
          </w:p>
        </w:tc>
        <w:tc>
          <w:tcPr>
            <w:tcW w:w="1276"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000000"/>
                <w:sz w:val="24"/>
              </w:rPr>
            </w:pPr>
            <w:r>
              <w:rPr>
                <w:rFonts w:hint="eastAsia"/>
                <w:color w:val="000000"/>
                <w:sz w:val="24"/>
              </w:rPr>
              <w:t>建造师注册</w:t>
            </w:r>
            <w:r>
              <w:rPr>
                <w:color w:val="000000"/>
                <w:sz w:val="24"/>
              </w:rPr>
              <w:t>编号</w:t>
            </w:r>
          </w:p>
        </w:tc>
        <w:tc>
          <w:tcPr>
            <w:tcW w:w="5862" w:type="dxa"/>
            <w:gridSpan w:val="7"/>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000000"/>
                <w:sz w:val="24"/>
              </w:rPr>
            </w:pPr>
            <w:r>
              <w:rPr>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000000"/>
                <w:sz w:val="24"/>
              </w:rPr>
            </w:pPr>
            <w:r>
              <w:rPr>
                <w:color w:val="000000"/>
                <w:sz w:val="24"/>
              </w:rPr>
              <w:t>建设单位</w:t>
            </w:r>
          </w:p>
        </w:tc>
        <w:tc>
          <w:tcPr>
            <w:tcW w:w="1548" w:type="dxa"/>
            <w:vAlign w:val="center"/>
          </w:tcPr>
          <w:p>
            <w:pPr>
              <w:jc w:val="center"/>
              <w:rPr>
                <w:color w:val="000000"/>
                <w:sz w:val="24"/>
              </w:rPr>
            </w:pPr>
            <w:r>
              <w:rPr>
                <w:color w:val="000000"/>
                <w:sz w:val="24"/>
              </w:rPr>
              <w:t>项目名称</w:t>
            </w:r>
          </w:p>
        </w:tc>
        <w:tc>
          <w:tcPr>
            <w:tcW w:w="1547" w:type="dxa"/>
            <w:gridSpan w:val="2"/>
            <w:vAlign w:val="center"/>
          </w:tcPr>
          <w:p>
            <w:pPr>
              <w:jc w:val="center"/>
              <w:rPr>
                <w:color w:val="000000"/>
                <w:sz w:val="24"/>
              </w:rPr>
            </w:pPr>
            <w:r>
              <w:rPr>
                <w:color w:val="000000"/>
                <w:sz w:val="24"/>
              </w:rPr>
              <w:t>建设规模</w:t>
            </w:r>
          </w:p>
        </w:tc>
        <w:tc>
          <w:tcPr>
            <w:tcW w:w="1548" w:type="dxa"/>
            <w:gridSpan w:val="2"/>
            <w:vAlign w:val="center"/>
          </w:tcPr>
          <w:p>
            <w:pPr>
              <w:jc w:val="center"/>
              <w:rPr>
                <w:color w:val="000000"/>
                <w:sz w:val="24"/>
              </w:rPr>
            </w:pPr>
            <w:r>
              <w:rPr>
                <w:color w:val="000000"/>
                <w:sz w:val="24"/>
              </w:rPr>
              <w:t>开、竣工日期</w:t>
            </w:r>
          </w:p>
        </w:tc>
        <w:tc>
          <w:tcPr>
            <w:tcW w:w="1547" w:type="dxa"/>
            <w:gridSpan w:val="2"/>
            <w:vAlign w:val="center"/>
          </w:tcPr>
          <w:p>
            <w:pPr>
              <w:jc w:val="center"/>
              <w:rPr>
                <w:color w:val="000000"/>
                <w:sz w:val="24"/>
              </w:rPr>
            </w:pPr>
            <w:r>
              <w:rPr>
                <w:color w:val="000000"/>
                <w:sz w:val="24"/>
              </w:rPr>
              <w:t>在建或已完</w:t>
            </w:r>
          </w:p>
        </w:tc>
        <w:tc>
          <w:tcPr>
            <w:tcW w:w="1548" w:type="dxa"/>
            <w:gridSpan w:val="2"/>
            <w:vAlign w:val="center"/>
          </w:tcPr>
          <w:p>
            <w:pPr>
              <w:jc w:val="center"/>
              <w:rPr>
                <w:color w:val="000000"/>
                <w:sz w:val="24"/>
              </w:rPr>
            </w:pPr>
            <w:r>
              <w:rPr>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sz w:val="24"/>
              </w:rPr>
            </w:pPr>
          </w:p>
        </w:tc>
        <w:tc>
          <w:tcPr>
            <w:tcW w:w="1548" w:type="dxa"/>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sz w:val="24"/>
              </w:rPr>
            </w:pPr>
          </w:p>
        </w:tc>
        <w:tc>
          <w:tcPr>
            <w:tcW w:w="1548" w:type="dxa"/>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sz w:val="24"/>
              </w:rPr>
            </w:pPr>
          </w:p>
        </w:tc>
        <w:tc>
          <w:tcPr>
            <w:tcW w:w="1548" w:type="dxa"/>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000000"/>
                <w:sz w:val="24"/>
              </w:rPr>
            </w:pPr>
          </w:p>
        </w:tc>
        <w:tc>
          <w:tcPr>
            <w:tcW w:w="1548" w:type="dxa"/>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r>
    </w:tbl>
    <w:p>
      <w:pPr>
        <w:rPr>
          <w:rFonts w:ascii="宋体" w:hAnsi="宋体"/>
          <w:b/>
          <w:color w:val="auto"/>
          <w:sz w:val="32"/>
          <w:szCs w:val="32"/>
        </w:rPr>
      </w:pPr>
      <w:r>
        <w:rPr>
          <w:rFonts w:ascii="宋体" w:hAnsi="宋体"/>
          <w:b/>
          <w:color w:val="auto"/>
          <w:sz w:val="32"/>
          <w:szCs w:val="32"/>
        </w:rPr>
        <w:br w:type="page"/>
      </w:r>
    </w:p>
    <w:p>
      <w:pPr>
        <w:numPr>
          <w:ilvl w:val="0"/>
          <w:numId w:val="1"/>
        </w:numPr>
        <w:spacing w:line="420" w:lineRule="exact"/>
        <w:ind w:left="420" w:leftChars="0" w:hanging="8" w:firstLineChars="0"/>
        <w:jc w:val="left"/>
        <w:rPr>
          <w:rFonts w:hint="eastAsia" w:ascii="宋体" w:hAnsi="宋体"/>
          <w:b/>
          <w:color w:val="auto"/>
          <w:sz w:val="24"/>
          <w:szCs w:val="24"/>
        </w:rPr>
      </w:pPr>
      <w:r>
        <w:rPr>
          <w:rFonts w:hint="eastAsia" w:ascii="宋体" w:hAnsi="宋体"/>
          <w:b/>
          <w:color w:val="auto"/>
          <w:sz w:val="24"/>
          <w:szCs w:val="24"/>
        </w:rPr>
        <w:t>专职安全员简历表；[附专职安全员安全生产考核合格证书（C 类）]</w:t>
      </w:r>
    </w:p>
    <w:p>
      <w:pPr>
        <w:numPr>
          <w:ilvl w:val="0"/>
          <w:numId w:val="0"/>
        </w:numPr>
        <w:spacing w:line="420" w:lineRule="exact"/>
        <w:ind w:left="412" w:leftChars="0" w:firstLine="3132" w:firstLineChars="1300"/>
        <w:jc w:val="left"/>
        <w:rPr>
          <w:rFonts w:hint="eastAsia" w:ascii="宋体" w:hAnsi="宋体"/>
          <w:b/>
          <w:color w:val="auto"/>
          <w:sz w:val="24"/>
          <w:szCs w:val="24"/>
        </w:rPr>
      </w:pPr>
      <w:r>
        <w:rPr>
          <w:rFonts w:hint="eastAsia" w:ascii="宋体" w:hAnsi="宋体"/>
          <w:b/>
          <w:color w:val="auto"/>
          <w:sz w:val="24"/>
          <w:szCs w:val="24"/>
        </w:rPr>
        <w:t>（必须提供）；</w:t>
      </w:r>
    </w:p>
    <w:p>
      <w:pPr>
        <w:shd w:val="clear" w:color="auto" w:fill="FFFFFF"/>
        <w:spacing w:before="150" w:line="360" w:lineRule="auto"/>
        <w:jc w:val="center"/>
        <w:rPr>
          <w:rFonts w:hint="eastAsia" w:hAnsi="_6977_4f53_GB2312"/>
          <w:b/>
          <w:color w:val="auto"/>
          <w:sz w:val="32"/>
          <w:szCs w:val="32"/>
        </w:rPr>
      </w:pPr>
      <w:r>
        <w:rPr>
          <w:rFonts w:hint="eastAsia" w:hAnsi="_6977_4f53_GB2312"/>
          <w:b/>
          <w:color w:val="auto"/>
          <w:sz w:val="32"/>
          <w:szCs w:val="32"/>
        </w:rPr>
        <w:t>专职安全员简历表</w:t>
      </w:r>
    </w:p>
    <w:p>
      <w:pPr>
        <w:shd w:val="clear" w:color="auto" w:fill="FFFFFF"/>
        <w:spacing w:before="150" w:line="360" w:lineRule="auto"/>
        <w:jc w:val="both"/>
        <w:rPr>
          <w:color w:val="000000"/>
          <w:u w:val="single"/>
        </w:rPr>
      </w:pPr>
      <w:r>
        <w:rPr>
          <w:rFonts w:hint="eastAsia"/>
          <w:color w:val="000000"/>
          <w:u w:val="single"/>
          <w:lang w:eastAsia="zh-CN"/>
        </w:rPr>
        <w:t>工程名称</w:t>
      </w:r>
      <w:r>
        <w:rPr>
          <w:rFonts w:hint="eastAsia"/>
          <w:color w:val="000000"/>
          <w:u w:val="single"/>
          <w:lang w:val="en-US" w:eastAsia="zh-CN"/>
        </w:rPr>
        <w:t xml:space="preserve"> ：                                                                 </w:t>
      </w:r>
    </w:p>
    <w:tbl>
      <w:tblPr>
        <w:tblStyle w:val="3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740"/>
        <w:gridCol w:w="808"/>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000000"/>
                <w:sz w:val="24"/>
              </w:rPr>
            </w:pPr>
            <w:r>
              <w:rPr>
                <w:color w:val="000000"/>
                <w:sz w:val="24"/>
              </w:rPr>
              <w:t>姓名</w:t>
            </w:r>
          </w:p>
        </w:tc>
        <w:tc>
          <w:tcPr>
            <w:tcW w:w="2340" w:type="dxa"/>
            <w:gridSpan w:val="3"/>
            <w:vAlign w:val="center"/>
          </w:tcPr>
          <w:p>
            <w:pPr>
              <w:jc w:val="center"/>
              <w:rPr>
                <w:color w:val="000000"/>
                <w:sz w:val="24"/>
              </w:rPr>
            </w:pPr>
          </w:p>
        </w:tc>
        <w:tc>
          <w:tcPr>
            <w:tcW w:w="1959" w:type="dxa"/>
            <w:gridSpan w:val="2"/>
            <w:vAlign w:val="center"/>
          </w:tcPr>
          <w:p>
            <w:pPr>
              <w:jc w:val="center"/>
              <w:rPr>
                <w:color w:val="000000"/>
                <w:sz w:val="24"/>
              </w:rPr>
            </w:pPr>
            <w:r>
              <w:rPr>
                <w:color w:val="000000"/>
                <w:sz w:val="24"/>
              </w:rPr>
              <w:t>性别</w:t>
            </w:r>
          </w:p>
        </w:tc>
        <w:tc>
          <w:tcPr>
            <w:tcW w:w="1519" w:type="dxa"/>
            <w:gridSpan w:val="2"/>
            <w:vAlign w:val="center"/>
          </w:tcPr>
          <w:p>
            <w:pPr>
              <w:jc w:val="center"/>
              <w:rPr>
                <w:color w:val="000000"/>
                <w:sz w:val="24"/>
              </w:rPr>
            </w:pPr>
          </w:p>
        </w:tc>
        <w:tc>
          <w:tcPr>
            <w:tcW w:w="1108" w:type="dxa"/>
            <w:gridSpan w:val="2"/>
            <w:vAlign w:val="center"/>
          </w:tcPr>
          <w:p>
            <w:pPr>
              <w:jc w:val="center"/>
              <w:rPr>
                <w:color w:val="000000"/>
                <w:sz w:val="24"/>
              </w:rPr>
            </w:pPr>
            <w:r>
              <w:rPr>
                <w:color w:val="000000"/>
                <w:sz w:val="24"/>
              </w:rPr>
              <w:t>年龄</w:t>
            </w:r>
          </w:p>
        </w:tc>
        <w:tc>
          <w:tcPr>
            <w:tcW w:w="1276"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000000"/>
                <w:sz w:val="24"/>
              </w:rPr>
            </w:pPr>
            <w:r>
              <w:rPr>
                <w:color w:val="000000"/>
                <w:sz w:val="24"/>
              </w:rPr>
              <w:t>职务</w:t>
            </w:r>
          </w:p>
        </w:tc>
        <w:tc>
          <w:tcPr>
            <w:tcW w:w="2340" w:type="dxa"/>
            <w:gridSpan w:val="3"/>
            <w:vAlign w:val="center"/>
          </w:tcPr>
          <w:p>
            <w:pPr>
              <w:jc w:val="center"/>
              <w:rPr>
                <w:color w:val="000000"/>
                <w:sz w:val="24"/>
              </w:rPr>
            </w:pPr>
          </w:p>
        </w:tc>
        <w:tc>
          <w:tcPr>
            <w:tcW w:w="1959" w:type="dxa"/>
            <w:gridSpan w:val="2"/>
            <w:vAlign w:val="center"/>
          </w:tcPr>
          <w:p>
            <w:pPr>
              <w:jc w:val="center"/>
              <w:rPr>
                <w:color w:val="000000"/>
                <w:sz w:val="24"/>
              </w:rPr>
            </w:pPr>
            <w:r>
              <w:rPr>
                <w:color w:val="000000"/>
                <w:sz w:val="24"/>
              </w:rPr>
              <w:t>职称</w:t>
            </w:r>
          </w:p>
        </w:tc>
        <w:tc>
          <w:tcPr>
            <w:tcW w:w="1519" w:type="dxa"/>
            <w:gridSpan w:val="2"/>
            <w:vAlign w:val="center"/>
          </w:tcPr>
          <w:p>
            <w:pPr>
              <w:jc w:val="center"/>
              <w:rPr>
                <w:color w:val="000000"/>
                <w:sz w:val="24"/>
              </w:rPr>
            </w:pPr>
          </w:p>
        </w:tc>
        <w:tc>
          <w:tcPr>
            <w:tcW w:w="1108" w:type="dxa"/>
            <w:gridSpan w:val="2"/>
            <w:vAlign w:val="center"/>
          </w:tcPr>
          <w:p>
            <w:pPr>
              <w:jc w:val="center"/>
              <w:rPr>
                <w:color w:val="000000"/>
                <w:sz w:val="24"/>
              </w:rPr>
            </w:pPr>
            <w:r>
              <w:rPr>
                <w:color w:val="000000"/>
                <w:sz w:val="24"/>
              </w:rPr>
              <w:t>学历</w:t>
            </w:r>
          </w:p>
        </w:tc>
        <w:tc>
          <w:tcPr>
            <w:tcW w:w="1276"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000000"/>
                <w:sz w:val="24"/>
              </w:rPr>
            </w:pPr>
            <w:r>
              <w:rPr>
                <w:color w:val="000000"/>
                <w:sz w:val="24"/>
              </w:rPr>
              <w:t>参加工作时间</w:t>
            </w:r>
          </w:p>
        </w:tc>
        <w:tc>
          <w:tcPr>
            <w:tcW w:w="1959" w:type="dxa"/>
            <w:gridSpan w:val="2"/>
            <w:vAlign w:val="center"/>
          </w:tcPr>
          <w:p>
            <w:pPr>
              <w:jc w:val="center"/>
              <w:rPr>
                <w:color w:val="000000"/>
                <w:sz w:val="24"/>
              </w:rPr>
            </w:pPr>
          </w:p>
        </w:tc>
        <w:tc>
          <w:tcPr>
            <w:tcW w:w="2627" w:type="dxa"/>
            <w:gridSpan w:val="4"/>
            <w:vAlign w:val="center"/>
          </w:tcPr>
          <w:p>
            <w:pPr>
              <w:jc w:val="center"/>
              <w:rPr>
                <w:color w:val="000000"/>
                <w:sz w:val="24"/>
              </w:rPr>
            </w:pPr>
            <w:r>
              <w:rPr>
                <w:color w:val="000000"/>
                <w:sz w:val="24"/>
              </w:rPr>
              <w:t>担任</w:t>
            </w:r>
            <w:r>
              <w:rPr>
                <w:rFonts w:hint="eastAsia"/>
                <w:color w:val="000000"/>
                <w:sz w:val="24"/>
              </w:rPr>
              <w:t>专职安全员</w:t>
            </w:r>
            <w:r>
              <w:rPr>
                <w:color w:val="000000"/>
                <w:sz w:val="24"/>
              </w:rPr>
              <w:t>年限</w:t>
            </w:r>
          </w:p>
        </w:tc>
        <w:tc>
          <w:tcPr>
            <w:tcW w:w="1276"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000000"/>
                <w:sz w:val="24"/>
              </w:rPr>
            </w:pPr>
            <w:r>
              <w:rPr>
                <w:rFonts w:hint="eastAsia"/>
                <w:color w:val="000000"/>
                <w:sz w:val="24"/>
              </w:rPr>
              <w:t>证书编号</w:t>
            </w:r>
          </w:p>
        </w:tc>
        <w:tc>
          <w:tcPr>
            <w:tcW w:w="5862" w:type="dxa"/>
            <w:gridSpan w:val="7"/>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000000"/>
                <w:sz w:val="24"/>
              </w:rPr>
            </w:pPr>
            <w:r>
              <w:rPr>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000000"/>
                <w:sz w:val="24"/>
              </w:rPr>
            </w:pPr>
            <w:r>
              <w:rPr>
                <w:color w:val="000000"/>
                <w:sz w:val="24"/>
              </w:rPr>
              <w:t>建设单位</w:t>
            </w:r>
          </w:p>
        </w:tc>
        <w:tc>
          <w:tcPr>
            <w:tcW w:w="1548" w:type="dxa"/>
            <w:vAlign w:val="center"/>
          </w:tcPr>
          <w:p>
            <w:pPr>
              <w:jc w:val="center"/>
              <w:rPr>
                <w:color w:val="000000"/>
                <w:sz w:val="24"/>
              </w:rPr>
            </w:pPr>
            <w:r>
              <w:rPr>
                <w:color w:val="000000"/>
                <w:sz w:val="24"/>
              </w:rPr>
              <w:t>项目名称</w:t>
            </w:r>
          </w:p>
        </w:tc>
        <w:tc>
          <w:tcPr>
            <w:tcW w:w="1547" w:type="dxa"/>
            <w:gridSpan w:val="2"/>
            <w:vAlign w:val="center"/>
          </w:tcPr>
          <w:p>
            <w:pPr>
              <w:jc w:val="center"/>
              <w:rPr>
                <w:color w:val="000000"/>
                <w:sz w:val="24"/>
              </w:rPr>
            </w:pPr>
            <w:r>
              <w:rPr>
                <w:color w:val="000000"/>
                <w:sz w:val="24"/>
              </w:rPr>
              <w:t>建设规模</w:t>
            </w:r>
          </w:p>
        </w:tc>
        <w:tc>
          <w:tcPr>
            <w:tcW w:w="1548" w:type="dxa"/>
            <w:gridSpan w:val="2"/>
            <w:vAlign w:val="center"/>
          </w:tcPr>
          <w:p>
            <w:pPr>
              <w:jc w:val="center"/>
              <w:rPr>
                <w:color w:val="000000"/>
                <w:sz w:val="24"/>
              </w:rPr>
            </w:pPr>
            <w:r>
              <w:rPr>
                <w:color w:val="000000"/>
                <w:sz w:val="24"/>
              </w:rPr>
              <w:t>开、竣工日期</w:t>
            </w:r>
          </w:p>
        </w:tc>
        <w:tc>
          <w:tcPr>
            <w:tcW w:w="1547" w:type="dxa"/>
            <w:gridSpan w:val="2"/>
            <w:vAlign w:val="center"/>
          </w:tcPr>
          <w:p>
            <w:pPr>
              <w:jc w:val="center"/>
              <w:rPr>
                <w:color w:val="000000"/>
                <w:sz w:val="24"/>
              </w:rPr>
            </w:pPr>
            <w:r>
              <w:rPr>
                <w:color w:val="000000"/>
                <w:sz w:val="24"/>
              </w:rPr>
              <w:t>在建或已完</w:t>
            </w:r>
          </w:p>
        </w:tc>
        <w:tc>
          <w:tcPr>
            <w:tcW w:w="1548" w:type="dxa"/>
            <w:gridSpan w:val="2"/>
            <w:vAlign w:val="center"/>
          </w:tcPr>
          <w:p>
            <w:pPr>
              <w:jc w:val="center"/>
              <w:rPr>
                <w:color w:val="000000"/>
                <w:sz w:val="24"/>
              </w:rPr>
            </w:pPr>
            <w:r>
              <w:rPr>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sz w:val="24"/>
              </w:rPr>
            </w:pPr>
          </w:p>
        </w:tc>
        <w:tc>
          <w:tcPr>
            <w:tcW w:w="1548" w:type="dxa"/>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sz w:val="24"/>
              </w:rPr>
            </w:pPr>
          </w:p>
        </w:tc>
        <w:tc>
          <w:tcPr>
            <w:tcW w:w="1548" w:type="dxa"/>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sz w:val="24"/>
              </w:rPr>
            </w:pPr>
          </w:p>
        </w:tc>
        <w:tc>
          <w:tcPr>
            <w:tcW w:w="1548" w:type="dxa"/>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000000"/>
                <w:sz w:val="24"/>
              </w:rPr>
            </w:pPr>
          </w:p>
        </w:tc>
        <w:tc>
          <w:tcPr>
            <w:tcW w:w="1548" w:type="dxa"/>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c>
          <w:tcPr>
            <w:tcW w:w="1547" w:type="dxa"/>
            <w:gridSpan w:val="2"/>
            <w:vAlign w:val="center"/>
          </w:tcPr>
          <w:p>
            <w:pPr>
              <w:jc w:val="center"/>
              <w:rPr>
                <w:color w:val="000000"/>
                <w:sz w:val="24"/>
              </w:rPr>
            </w:pPr>
          </w:p>
        </w:tc>
        <w:tc>
          <w:tcPr>
            <w:tcW w:w="1548" w:type="dxa"/>
            <w:gridSpan w:val="2"/>
            <w:vAlign w:val="center"/>
          </w:tcPr>
          <w:p>
            <w:pPr>
              <w:jc w:val="center"/>
              <w:rPr>
                <w:color w:val="000000"/>
                <w:sz w:val="24"/>
              </w:rPr>
            </w:pPr>
          </w:p>
        </w:tc>
      </w:tr>
    </w:tbl>
    <w:p>
      <w:pPr>
        <w:widowControl w:val="0"/>
        <w:numPr>
          <w:ilvl w:val="0"/>
          <w:numId w:val="0"/>
        </w:numPr>
        <w:adjustRightInd w:val="0"/>
        <w:snapToGrid w:val="0"/>
        <w:spacing w:line="410" w:lineRule="exact"/>
        <w:ind w:left="412" w:leftChars="0"/>
        <w:rPr>
          <w:rFonts w:hint="eastAsia" w:ascii="宋体" w:hAnsi="宋体"/>
          <w:b/>
          <w:color w:val="auto"/>
          <w:sz w:val="24"/>
          <w:szCs w:val="24"/>
        </w:rPr>
      </w:pPr>
      <w:r>
        <w:rPr>
          <w:rFonts w:hint="eastAsia" w:ascii="宋体" w:hAnsi="宋体"/>
          <w:b/>
          <w:color w:val="auto"/>
          <w:sz w:val="32"/>
          <w:szCs w:val="32"/>
        </w:rPr>
        <w:br w:type="page"/>
      </w:r>
      <w:r>
        <w:rPr>
          <w:rFonts w:hint="eastAsia" w:ascii="宋体" w:hAnsi="宋体"/>
          <w:b/>
          <w:color w:val="auto"/>
          <w:sz w:val="24"/>
          <w:szCs w:val="24"/>
          <w:lang w:eastAsia="zh-CN"/>
        </w:rPr>
        <w:t>（</w:t>
      </w:r>
      <w:r>
        <w:rPr>
          <w:rFonts w:hint="eastAsia" w:ascii="宋体" w:hAnsi="宋体"/>
          <w:b/>
          <w:color w:val="auto"/>
          <w:sz w:val="24"/>
          <w:szCs w:val="24"/>
          <w:lang w:val="en-US" w:eastAsia="zh-CN"/>
        </w:rPr>
        <w:t>6</w:t>
      </w:r>
      <w:r>
        <w:rPr>
          <w:rFonts w:hint="eastAsia" w:ascii="宋体" w:hAnsi="宋体"/>
          <w:b/>
          <w:color w:val="auto"/>
          <w:sz w:val="24"/>
          <w:szCs w:val="24"/>
          <w:lang w:eastAsia="zh-CN"/>
        </w:rPr>
        <w:t>）</w:t>
      </w:r>
      <w:r>
        <w:rPr>
          <w:rFonts w:hint="eastAsia" w:ascii="宋体" w:hAnsi="宋体"/>
          <w:b/>
          <w:color w:val="auto"/>
          <w:sz w:val="24"/>
          <w:szCs w:val="24"/>
        </w:rPr>
        <w:t>响应文件递交截止之日前半年内供应商连续三个月的依法缴纳社保费的缴费凭证复印件（原件备查）；无缴费记录的，应提供由供应商所在地行政主管部门出具的《依法缴纳或依法免缴社保费证明》复印件；（必须提供）；</w:t>
      </w: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numPr>
          <w:ilvl w:val="0"/>
          <w:numId w:val="0"/>
        </w:numPr>
        <w:adjustRightInd w:val="0"/>
        <w:snapToGrid w:val="0"/>
        <w:spacing w:line="410" w:lineRule="exact"/>
        <w:ind w:left="412" w:leftChars="0"/>
        <w:rPr>
          <w:rFonts w:hint="eastAsia" w:ascii="宋体" w:hAnsi="宋体"/>
          <w:b/>
          <w:color w:val="auto"/>
          <w:sz w:val="24"/>
          <w:szCs w:val="24"/>
        </w:rPr>
      </w:pPr>
      <w:r>
        <w:rPr>
          <w:rFonts w:hint="eastAsia" w:ascii="宋体" w:hAnsi="宋体"/>
          <w:b/>
          <w:color w:val="auto"/>
          <w:sz w:val="24"/>
          <w:szCs w:val="24"/>
          <w:lang w:eastAsia="zh-CN"/>
        </w:rPr>
        <w:t>（</w:t>
      </w:r>
      <w:r>
        <w:rPr>
          <w:rFonts w:hint="eastAsia" w:ascii="宋体" w:hAnsi="宋体"/>
          <w:b/>
          <w:color w:val="auto"/>
          <w:sz w:val="24"/>
          <w:szCs w:val="24"/>
          <w:lang w:val="en-US" w:eastAsia="zh-CN"/>
        </w:rPr>
        <w:t>7</w:t>
      </w:r>
      <w:r>
        <w:rPr>
          <w:rFonts w:hint="eastAsia" w:ascii="宋体" w:hAnsi="宋体"/>
          <w:b/>
          <w:color w:val="auto"/>
          <w:sz w:val="24"/>
          <w:szCs w:val="24"/>
          <w:lang w:eastAsia="zh-CN"/>
        </w:rPr>
        <w:t>）</w:t>
      </w:r>
      <w:r>
        <w:rPr>
          <w:rFonts w:hint="eastAsia" w:ascii="宋体" w:hAnsi="宋体"/>
          <w:b/>
          <w:color w:val="auto"/>
          <w:sz w:val="24"/>
          <w:szCs w:val="24"/>
        </w:rPr>
        <w:t>响应文件递交截止之日前半年内供应商连续三个月的依法缴纳税费或依法免缴税费的证明材料复印件（原件备查）；无纳税记录的，应提供由供应商所在地税务部门出具的《依法纳税或依法免税证明》复印件；（必须提供）；</w:t>
      </w: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numPr>
          <w:ilvl w:val="0"/>
          <w:numId w:val="0"/>
        </w:numPr>
        <w:adjustRightInd w:val="0"/>
        <w:snapToGrid w:val="0"/>
        <w:spacing w:line="410" w:lineRule="exact"/>
        <w:jc w:val="both"/>
        <w:textAlignment w:val="baseline"/>
        <w:rPr>
          <w:rFonts w:hint="eastAsia" w:ascii="宋体" w:hAnsi="宋体"/>
          <w:b/>
          <w:color w:val="auto"/>
          <w:sz w:val="24"/>
          <w:szCs w:val="24"/>
        </w:rPr>
      </w:pPr>
    </w:p>
    <w:p>
      <w:pPr>
        <w:widowControl w:val="0"/>
        <w:adjustRightInd w:val="0"/>
        <w:snapToGrid w:val="0"/>
        <w:spacing w:line="410" w:lineRule="exact"/>
        <w:ind w:firstLine="482" w:firstLineChars="200"/>
        <w:rPr>
          <w:rFonts w:hint="eastAsia" w:ascii="宋体" w:hAnsi="宋体"/>
          <w:b/>
          <w:color w:val="auto"/>
          <w:sz w:val="24"/>
          <w:szCs w:val="24"/>
        </w:rPr>
      </w:pPr>
      <w:r>
        <w:rPr>
          <w:rFonts w:hint="eastAsia" w:ascii="宋体" w:hAnsi="宋体"/>
          <w:b/>
          <w:color w:val="auto"/>
          <w:sz w:val="24"/>
          <w:szCs w:val="24"/>
        </w:rPr>
        <w:t>（8）投标人提供2019年的财务状况报告复印件[可以是财务报表（资产负债表和利润表）、银行出具的资信证明、第三方审计报告等证明材料，2020年新成立的企业按实际产生月份提供财务证明]；(必须提供，加盖公章)；（必须提供）</w:t>
      </w:r>
    </w:p>
    <w:p>
      <w:pPr>
        <w:widowControl w:val="0"/>
        <w:adjustRightInd w:val="0"/>
        <w:snapToGrid w:val="0"/>
        <w:spacing w:line="410" w:lineRule="exact"/>
        <w:ind w:firstLine="643" w:firstLineChars="200"/>
        <w:rPr>
          <w:rFonts w:hint="eastAsia" w:ascii="宋体" w:hAnsi="宋体"/>
          <w:b/>
          <w:color w:val="auto"/>
          <w:sz w:val="32"/>
          <w:szCs w:val="32"/>
        </w:rPr>
      </w:pPr>
      <w:r>
        <w:rPr>
          <w:rFonts w:hint="eastAsia" w:ascii="宋体" w:hAnsi="宋体"/>
          <w:b/>
          <w:color w:val="auto"/>
          <w:sz w:val="32"/>
          <w:szCs w:val="32"/>
        </w:rPr>
        <w:br w:type="page"/>
      </w:r>
    </w:p>
    <w:p>
      <w:pPr>
        <w:numPr>
          <w:ilvl w:val="0"/>
          <w:numId w:val="4"/>
        </w:numPr>
        <w:spacing w:line="357" w:lineRule="atLeast"/>
        <w:jc w:val="both"/>
        <w:textAlignment w:val="baseline"/>
        <w:rPr>
          <w:rFonts w:hint="eastAsia" w:ascii="宋体" w:hAnsi="宋体"/>
          <w:b/>
          <w:color w:val="auto"/>
          <w:sz w:val="24"/>
          <w:szCs w:val="24"/>
        </w:rPr>
      </w:pPr>
      <w:r>
        <w:rPr>
          <w:rFonts w:hint="eastAsia" w:ascii="宋体" w:hAnsi="宋体"/>
          <w:b/>
          <w:color w:val="auto"/>
          <w:sz w:val="24"/>
          <w:szCs w:val="24"/>
        </w:rPr>
        <w:t>参加政府采购活动前3年内在经营活动中没有重大违法记录的书面声明</w:t>
      </w:r>
    </w:p>
    <w:p>
      <w:pPr>
        <w:numPr>
          <w:ilvl w:val="0"/>
          <w:numId w:val="0"/>
        </w:numPr>
        <w:spacing w:line="357" w:lineRule="atLeast"/>
        <w:ind w:firstLine="3614" w:firstLineChars="1500"/>
        <w:jc w:val="both"/>
        <w:textAlignment w:val="baseline"/>
        <w:rPr>
          <w:rFonts w:hint="eastAsia" w:ascii="宋体" w:hAnsi="宋体"/>
          <w:b/>
          <w:color w:val="auto"/>
          <w:sz w:val="24"/>
          <w:szCs w:val="24"/>
        </w:rPr>
      </w:pPr>
      <w:r>
        <w:rPr>
          <w:rFonts w:hint="eastAsia" w:ascii="宋体" w:hAnsi="宋体"/>
          <w:b/>
          <w:color w:val="auto"/>
          <w:sz w:val="24"/>
          <w:szCs w:val="24"/>
        </w:rPr>
        <w:t>(必须提供)；</w:t>
      </w:r>
    </w:p>
    <w:p>
      <w:pPr>
        <w:numPr>
          <w:ilvl w:val="0"/>
          <w:numId w:val="0"/>
        </w:numPr>
        <w:spacing w:line="357" w:lineRule="atLeast"/>
        <w:jc w:val="center"/>
        <w:textAlignment w:val="baseline"/>
        <w:rPr>
          <w:rFonts w:hint="eastAsia" w:ascii="宋体" w:hAnsi="宋体"/>
          <w:b/>
          <w:color w:val="auto"/>
          <w:sz w:val="21"/>
          <w:szCs w:val="21"/>
        </w:rPr>
      </w:pPr>
    </w:p>
    <w:p>
      <w:pPr>
        <w:numPr>
          <w:ilvl w:val="0"/>
          <w:numId w:val="0"/>
        </w:numPr>
        <w:spacing w:line="357" w:lineRule="atLeast"/>
        <w:jc w:val="center"/>
        <w:textAlignment w:val="baseline"/>
        <w:rPr>
          <w:rFonts w:hint="eastAsia" w:ascii="宋体" w:hAnsi="宋体"/>
          <w:b/>
          <w:color w:val="auto"/>
          <w:sz w:val="21"/>
          <w:szCs w:val="21"/>
        </w:rPr>
      </w:pPr>
    </w:p>
    <w:p>
      <w:pPr>
        <w:numPr>
          <w:ilvl w:val="0"/>
          <w:numId w:val="0"/>
        </w:numPr>
        <w:spacing w:line="357" w:lineRule="atLeast"/>
        <w:jc w:val="center"/>
        <w:textAlignment w:val="baseline"/>
        <w:rPr>
          <w:rFonts w:hint="eastAsia" w:ascii="宋体" w:hAnsi="宋体"/>
          <w:b/>
          <w:color w:val="auto"/>
          <w:sz w:val="21"/>
          <w:szCs w:val="21"/>
        </w:rPr>
      </w:pPr>
    </w:p>
    <w:p>
      <w:pPr>
        <w:numPr>
          <w:ilvl w:val="0"/>
          <w:numId w:val="0"/>
        </w:numPr>
        <w:spacing w:line="357" w:lineRule="atLeast"/>
        <w:jc w:val="center"/>
        <w:textAlignment w:val="baseline"/>
        <w:rPr>
          <w:rFonts w:hint="eastAsia" w:ascii="宋体" w:hAnsi="宋体"/>
          <w:b/>
          <w:color w:val="auto"/>
          <w:sz w:val="21"/>
          <w:szCs w:val="21"/>
        </w:rPr>
      </w:pPr>
      <w:r>
        <w:rPr>
          <w:rFonts w:hint="eastAsia" w:ascii="宋体" w:hAnsi="宋体"/>
          <w:b/>
          <w:color w:val="auto"/>
          <w:sz w:val="21"/>
          <w:szCs w:val="21"/>
        </w:rPr>
        <w:t>参加政府采购活动前3年内在经营活动中没有重大违法记录的书面声明</w:t>
      </w:r>
    </w:p>
    <w:p>
      <w:pPr>
        <w:snapToGrid w:val="0"/>
        <w:spacing w:before="50" w:after="120" w:afterLines="50"/>
        <w:jc w:val="center"/>
        <w:rPr>
          <w:rFonts w:hint="eastAsia" w:ascii="宋体" w:hAnsi="宋体"/>
          <w:color w:val="auto"/>
          <w:sz w:val="21"/>
          <w:szCs w:val="21"/>
        </w:rPr>
      </w:pPr>
    </w:p>
    <w:p>
      <w:pPr>
        <w:snapToGrid w:val="0"/>
        <w:spacing w:before="50" w:after="120" w:afterLines="50" w:line="360" w:lineRule="auto"/>
        <w:jc w:val="left"/>
        <w:rPr>
          <w:rFonts w:hint="eastAsia" w:ascii="宋体" w:hAnsi="宋体"/>
          <w:color w:val="auto"/>
          <w:sz w:val="24"/>
        </w:rPr>
      </w:pPr>
      <w:r>
        <w:rPr>
          <w:rFonts w:hint="eastAsia" w:ascii="宋体" w:hAnsi="宋体"/>
          <w:color w:val="auto"/>
          <w:sz w:val="24"/>
        </w:rPr>
        <w:t xml:space="preserve">    </w:t>
      </w:r>
    </w:p>
    <w:p>
      <w:pPr>
        <w:snapToGrid w:val="0"/>
        <w:spacing w:before="50" w:after="120" w:afterLines="50" w:line="360" w:lineRule="auto"/>
        <w:jc w:val="left"/>
        <w:rPr>
          <w:rFonts w:hint="eastAsia" w:ascii="宋体" w:hAnsi="宋体"/>
          <w:color w:val="auto"/>
          <w:sz w:val="24"/>
        </w:rPr>
      </w:pPr>
      <w:r>
        <w:rPr>
          <w:rFonts w:hint="eastAsia" w:ascii="宋体" w:hAnsi="宋体"/>
          <w:color w:val="auto"/>
          <w:sz w:val="24"/>
          <w:lang w:eastAsia="zh-CN"/>
        </w:rPr>
        <w:t>广西建坤工程咨询有限公司</w:t>
      </w:r>
      <w:r>
        <w:rPr>
          <w:rFonts w:hint="eastAsia" w:ascii="宋体" w:hAnsi="宋体"/>
          <w:color w:val="auto"/>
          <w:sz w:val="24"/>
        </w:rPr>
        <w:t>：</w:t>
      </w:r>
    </w:p>
    <w:p>
      <w:pPr>
        <w:snapToGrid w:val="0"/>
        <w:spacing w:before="50" w:after="120" w:afterLines="50" w:line="480" w:lineRule="auto"/>
        <w:jc w:val="left"/>
        <w:rPr>
          <w:rFonts w:ascii="宋体" w:hAnsi="宋体"/>
          <w:color w:val="auto"/>
          <w:sz w:val="24"/>
        </w:rPr>
      </w:pPr>
      <w:r>
        <w:rPr>
          <w:rStyle w:val="93"/>
          <w:rFonts w:ascii="宋体" w:hAnsi="宋体"/>
          <w:color w:val="auto"/>
        </w:rPr>
        <w:t xml:space="preserve">    </w:t>
      </w:r>
      <w:r>
        <w:rPr>
          <w:rFonts w:hint="eastAsia" w:ascii="宋体" w:hAnsi="宋体"/>
          <w:color w:val="auto"/>
          <w:sz w:val="24"/>
        </w:rPr>
        <w:t>我公司参加贵公司组织</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rPr>
        <w:t>）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20" w:afterLines="50" w:line="480" w:lineRule="auto"/>
        <w:jc w:val="left"/>
        <w:rPr>
          <w:rFonts w:hint="eastAsia" w:ascii="宋体" w:hAnsi="宋体"/>
          <w:color w:val="auto"/>
          <w:sz w:val="24"/>
        </w:rPr>
      </w:pPr>
      <w:r>
        <w:rPr>
          <w:rFonts w:hint="eastAsia" w:ascii="宋体" w:hAnsi="宋体"/>
          <w:color w:val="auto"/>
          <w:sz w:val="24"/>
        </w:rPr>
        <w:t xml:space="preserve">    特此承诺。</w:t>
      </w:r>
    </w:p>
    <w:p>
      <w:pPr>
        <w:snapToGrid w:val="0"/>
        <w:spacing w:before="50" w:after="120" w:afterLines="50" w:line="360" w:lineRule="auto"/>
        <w:jc w:val="left"/>
        <w:rPr>
          <w:rFonts w:hint="eastAsia" w:ascii="宋体" w:hAnsi="宋体"/>
          <w:color w:val="auto"/>
          <w:sz w:val="24"/>
        </w:rPr>
      </w:pPr>
    </w:p>
    <w:p>
      <w:pPr>
        <w:snapToGrid w:val="0"/>
        <w:spacing w:before="50" w:after="120" w:afterLines="50" w:line="360" w:lineRule="auto"/>
        <w:jc w:val="left"/>
        <w:rPr>
          <w:rFonts w:hint="eastAsia" w:ascii="宋体" w:hAnsi="宋体"/>
          <w:color w:val="auto"/>
          <w:sz w:val="24"/>
        </w:rPr>
      </w:pPr>
    </w:p>
    <w:p>
      <w:pPr>
        <w:pStyle w:val="22"/>
        <w:snapToGrid w:val="0"/>
        <w:spacing w:line="480" w:lineRule="auto"/>
        <w:ind w:right="-120" w:firstLine="4200" w:firstLineChars="1750"/>
        <w:jc w:val="right"/>
        <w:rPr>
          <w:rFonts w:hint="eastAsia" w:hAnsi="宋体"/>
          <w:sz w:val="24"/>
        </w:rPr>
      </w:pPr>
      <w:r>
        <w:rPr>
          <w:rFonts w:hint="eastAsia" w:hAnsi="宋体"/>
          <w:sz w:val="24"/>
        </w:rPr>
        <w:t xml:space="preserve">       供应商：</w:t>
      </w:r>
      <w:r>
        <w:rPr>
          <w:rFonts w:hint="eastAsia" w:hAnsi="宋体"/>
          <w:sz w:val="24"/>
          <w:u w:val="single"/>
        </w:rPr>
        <w:t xml:space="preserve">             （加盖公章）</w:t>
      </w:r>
      <w:r>
        <w:rPr>
          <w:rFonts w:hint="eastAsia" w:hAnsi="宋体"/>
          <w:sz w:val="24"/>
        </w:rPr>
        <w:t>；</w:t>
      </w:r>
      <w:r>
        <w:rPr>
          <w:rFonts w:hint="eastAsia" w:hAnsi="宋体"/>
          <w:sz w:val="24"/>
          <w:u w:val="single"/>
        </w:rPr>
        <w:t xml:space="preserve">         </w:t>
      </w:r>
    </w:p>
    <w:p>
      <w:pPr>
        <w:pStyle w:val="22"/>
        <w:wordWrap w:val="0"/>
        <w:snapToGrid w:val="0"/>
        <w:spacing w:line="480" w:lineRule="auto"/>
        <w:ind w:right="-120"/>
        <w:jc w:val="center"/>
        <w:rPr>
          <w:rFonts w:hint="eastAsia" w:hAnsi="宋体"/>
          <w:sz w:val="24"/>
          <w:u w:val="single"/>
        </w:rPr>
      </w:pPr>
      <w:r>
        <w:rPr>
          <w:rFonts w:hint="eastAsia" w:hAnsi="宋体"/>
          <w:sz w:val="24"/>
          <w:lang w:val="en-US" w:eastAsia="zh-CN"/>
        </w:rPr>
        <w:t xml:space="preserve">                                        </w:t>
      </w:r>
      <w:r>
        <w:rPr>
          <w:rFonts w:hint="eastAsia" w:hAnsi="宋体"/>
          <w:sz w:val="24"/>
        </w:rPr>
        <w:t>法定代表人：</w:t>
      </w:r>
      <w:r>
        <w:rPr>
          <w:rFonts w:hint="eastAsia" w:hAnsi="宋体"/>
          <w:sz w:val="24"/>
          <w:u w:val="single"/>
        </w:rPr>
        <w:t xml:space="preserve">           （签字）</w:t>
      </w:r>
      <w:r>
        <w:rPr>
          <w:rFonts w:hint="eastAsia" w:hAnsi="宋体"/>
          <w:sz w:val="24"/>
        </w:rPr>
        <w:t>；</w:t>
      </w:r>
    </w:p>
    <w:p>
      <w:pPr>
        <w:pStyle w:val="22"/>
        <w:spacing w:line="360" w:lineRule="auto"/>
        <w:jc w:val="center"/>
        <w:rPr>
          <w:rFonts w:hint="eastAsia" w:hAnsi="宋体" w:cs="宋体"/>
          <w:b/>
          <w:bCs/>
          <w:kern w:val="44"/>
          <w:sz w:val="32"/>
          <w:szCs w:val="44"/>
        </w:rPr>
      </w:pPr>
      <w:r>
        <w:rPr>
          <w:rFonts w:hint="eastAsia" w:hAnsi="宋体"/>
          <w:sz w:val="24"/>
        </w:rPr>
        <w:t xml:space="preserve">                                    </w:t>
      </w:r>
      <w:r>
        <w:rPr>
          <w:rFonts w:hint="eastAsia" w:hAnsi="宋体"/>
          <w:sz w:val="24"/>
          <w:lang w:val="en-US" w:eastAsia="zh-CN"/>
        </w:rPr>
        <w:t xml:space="preserve">  </w:t>
      </w:r>
      <w:r>
        <w:rPr>
          <w:rFonts w:hint="eastAsia" w:hAnsi="宋体"/>
          <w:sz w:val="24"/>
        </w:rPr>
        <w:t>日  期：</w:t>
      </w:r>
      <w:r>
        <w:rPr>
          <w:rFonts w:hint="eastAsia" w:hAnsi="宋体"/>
          <w:sz w:val="24"/>
          <w:u w:val="single"/>
        </w:rPr>
        <w:t xml:space="preserve">                   </w:t>
      </w:r>
      <w:r>
        <w:rPr>
          <w:rFonts w:hint="eastAsia" w:hAnsi="宋体"/>
          <w:sz w:val="24"/>
        </w:rPr>
        <w:t>；</w:t>
      </w:r>
    </w:p>
    <w:p>
      <w:pPr>
        <w:spacing w:line="420" w:lineRule="exact"/>
        <w:jc w:val="center"/>
        <w:rPr>
          <w:rFonts w:hint="eastAsia" w:ascii="宋体" w:hAnsi="宋体"/>
          <w:b/>
          <w:color w:val="auto"/>
          <w:sz w:val="32"/>
          <w:szCs w:val="32"/>
        </w:rPr>
      </w:pPr>
    </w:p>
    <w:p>
      <w:pPr>
        <w:spacing w:line="420" w:lineRule="exact"/>
        <w:jc w:val="center"/>
        <w:rPr>
          <w:rFonts w:hint="eastAsia" w:ascii="宋体" w:hAnsi="宋体"/>
          <w:b/>
          <w:color w:val="auto"/>
          <w:sz w:val="32"/>
          <w:szCs w:val="32"/>
        </w:rPr>
      </w:pPr>
    </w:p>
    <w:p>
      <w:pPr>
        <w:spacing w:line="420" w:lineRule="exact"/>
        <w:jc w:val="center"/>
        <w:rPr>
          <w:rFonts w:hint="eastAsia" w:ascii="宋体" w:hAnsi="宋体"/>
          <w:b/>
          <w:color w:val="auto"/>
          <w:sz w:val="32"/>
          <w:szCs w:val="32"/>
        </w:rPr>
      </w:pPr>
    </w:p>
    <w:p>
      <w:pPr>
        <w:spacing w:line="420" w:lineRule="exact"/>
        <w:jc w:val="center"/>
        <w:rPr>
          <w:rFonts w:hint="eastAsia" w:ascii="宋体" w:hAnsi="宋体"/>
          <w:b/>
          <w:color w:val="auto"/>
          <w:sz w:val="32"/>
          <w:szCs w:val="32"/>
        </w:rPr>
      </w:pPr>
    </w:p>
    <w:p>
      <w:pPr>
        <w:spacing w:line="420" w:lineRule="exact"/>
        <w:jc w:val="center"/>
        <w:rPr>
          <w:rFonts w:hint="eastAsia" w:ascii="宋体" w:hAnsi="宋体"/>
          <w:b/>
          <w:color w:val="auto"/>
          <w:sz w:val="24"/>
          <w:szCs w:val="24"/>
        </w:rPr>
      </w:pPr>
      <w:r>
        <w:rPr>
          <w:rFonts w:hint="eastAsia" w:ascii="宋体" w:hAnsi="宋体"/>
          <w:b/>
          <w:color w:val="auto"/>
          <w:sz w:val="24"/>
          <w:szCs w:val="24"/>
        </w:rPr>
        <w:t>（10）资格审查需要的其他材料：项目管理机构配备情况表、拟投入施工机械设备情况表、企业近年信誉</w:t>
      </w:r>
      <w:r>
        <w:rPr>
          <w:rFonts w:hint="eastAsia" w:ascii="宋体" w:hAnsi="宋体"/>
          <w:b/>
          <w:color w:val="auto"/>
          <w:sz w:val="24"/>
          <w:szCs w:val="24"/>
          <w:lang w:eastAsia="zh-CN"/>
        </w:rPr>
        <w:t>业绩</w:t>
      </w:r>
      <w:r>
        <w:rPr>
          <w:rFonts w:hint="eastAsia" w:ascii="宋体" w:hAnsi="宋体"/>
          <w:b/>
          <w:color w:val="auto"/>
          <w:sz w:val="24"/>
          <w:szCs w:val="24"/>
        </w:rPr>
        <w:t>一览表（如有）、近年发生的诉讼和仲裁情况（如有）等。</w:t>
      </w:r>
    </w:p>
    <w:p>
      <w:pPr>
        <w:spacing w:line="420" w:lineRule="exact"/>
        <w:jc w:val="center"/>
        <w:rPr>
          <w:rFonts w:hint="eastAsia" w:ascii="宋体" w:hAnsi="宋体"/>
          <w:b/>
          <w:color w:val="auto"/>
          <w:sz w:val="32"/>
          <w:szCs w:val="32"/>
        </w:rPr>
      </w:pPr>
    </w:p>
    <w:p>
      <w:pPr>
        <w:spacing w:line="420" w:lineRule="exact"/>
        <w:jc w:val="center"/>
        <w:rPr>
          <w:rFonts w:hint="eastAsia" w:ascii="宋体" w:hAnsi="宋体"/>
          <w:b/>
          <w:color w:val="auto"/>
          <w:sz w:val="32"/>
          <w:szCs w:val="32"/>
        </w:rPr>
      </w:pPr>
    </w:p>
    <w:p>
      <w:pPr>
        <w:spacing w:line="420" w:lineRule="exact"/>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spacing w:line="480" w:lineRule="auto"/>
        <w:jc w:val="center"/>
        <w:rPr>
          <w:rFonts w:hint="eastAsia" w:ascii="宋体" w:hAnsi="宋体"/>
          <w:b/>
          <w:color w:val="auto"/>
          <w:sz w:val="32"/>
          <w:szCs w:val="32"/>
        </w:rPr>
      </w:pPr>
      <w:bookmarkStart w:id="640" w:name="_Toc113257816"/>
      <w:r>
        <w:rPr>
          <w:rFonts w:hint="eastAsia" w:ascii="宋体" w:hAnsi="宋体"/>
          <w:b/>
          <w:color w:val="auto"/>
          <w:sz w:val="32"/>
          <w:szCs w:val="32"/>
        </w:rPr>
        <w:t>5、安全文明施工承诺书</w:t>
      </w:r>
    </w:p>
    <w:p>
      <w:pPr>
        <w:spacing w:line="480" w:lineRule="auto"/>
        <w:jc w:val="center"/>
        <w:rPr>
          <w:rFonts w:hint="eastAsia" w:ascii="宋体" w:hAnsi="宋体"/>
          <w:b/>
          <w:color w:val="auto"/>
          <w:sz w:val="32"/>
          <w:szCs w:val="32"/>
        </w:rPr>
      </w:pPr>
    </w:p>
    <w:p>
      <w:pPr>
        <w:spacing w:line="480" w:lineRule="auto"/>
        <w:jc w:val="left"/>
        <w:rPr>
          <w:rFonts w:ascii="宋体" w:hAnsi="宋体"/>
          <w:color w:val="auto"/>
          <w:sz w:val="24"/>
          <w:szCs w:val="24"/>
        </w:rPr>
      </w:pPr>
      <w:r>
        <w:rPr>
          <w:rFonts w:ascii="宋体" w:hAnsi="宋体"/>
          <w:color w:val="auto"/>
          <w:sz w:val="24"/>
          <w:szCs w:val="24"/>
        </w:rPr>
        <w:t>致</w:t>
      </w:r>
      <w:r>
        <w:rPr>
          <w:rFonts w:hint="eastAsia" w:ascii="宋体" w:hAnsi="宋体" w:cs="宋体"/>
          <w:b/>
          <w:bCs/>
          <w:color w:val="auto"/>
          <w:sz w:val="24"/>
          <w:szCs w:val="24"/>
          <w:u w:val="single"/>
        </w:rPr>
        <w:t xml:space="preserve">  </w:t>
      </w:r>
      <w:r>
        <w:rPr>
          <w:rFonts w:hint="eastAsia" w:ascii="宋体" w:hAnsi="宋体"/>
          <w:color w:val="auto"/>
          <w:sz w:val="24"/>
          <w:u w:val="single" w:color="auto"/>
        </w:rPr>
        <w:t xml:space="preserve">(采购人全称) </w:t>
      </w:r>
      <w:r>
        <w:rPr>
          <w:rFonts w:hint="eastAsia" w:ascii="宋体" w:hAnsi="宋体" w:cs="宋体"/>
          <w:b/>
          <w:bCs/>
          <w:color w:val="auto"/>
          <w:sz w:val="24"/>
          <w:szCs w:val="24"/>
          <w:u w:val="single"/>
        </w:rPr>
        <w:t xml:space="preserve"> </w:t>
      </w:r>
      <w:r>
        <w:rPr>
          <w:rFonts w:ascii="宋体" w:hAnsi="宋体"/>
          <w:color w:val="auto"/>
          <w:sz w:val="24"/>
          <w:szCs w:val="24"/>
        </w:rPr>
        <w:t>：</w:t>
      </w:r>
    </w:p>
    <w:p>
      <w:pPr>
        <w:spacing w:before="12" w:beforeLines="5" w:after="12" w:afterLines="5" w:line="400" w:lineRule="exact"/>
        <w:ind w:firstLine="480" w:firstLineChars="200"/>
        <w:jc w:val="left"/>
        <w:rPr>
          <w:rFonts w:ascii="宋体" w:hAnsi="宋体"/>
          <w:color w:val="auto"/>
          <w:sz w:val="24"/>
          <w:szCs w:val="24"/>
        </w:rPr>
      </w:pPr>
      <w:r>
        <w:rPr>
          <w:rFonts w:ascii="宋体" w:hAnsi="宋体"/>
          <w:color w:val="auto"/>
          <w:sz w:val="24"/>
          <w:szCs w:val="24"/>
        </w:rPr>
        <w:t>作为参与</w:t>
      </w:r>
      <w:r>
        <w:rPr>
          <w:rFonts w:hint="eastAsia" w:ascii="宋体" w:hAnsi="宋体"/>
          <w:b/>
          <w:color w:val="auto"/>
          <w:sz w:val="24"/>
          <w:szCs w:val="24"/>
          <w:u w:val="single"/>
        </w:rPr>
        <w:t xml:space="preserve">  </w:t>
      </w:r>
      <w:r>
        <w:rPr>
          <w:rFonts w:hint="eastAsia" w:ascii="宋体" w:hAnsi="宋体"/>
          <w:bCs/>
          <w:color w:val="auto"/>
          <w:sz w:val="24"/>
          <w:szCs w:val="24"/>
          <w:u w:val="single"/>
        </w:rPr>
        <w:t xml:space="preserve">  项目名称</w:t>
      </w:r>
      <w:r>
        <w:rPr>
          <w:rFonts w:hint="eastAsia" w:ascii="宋体" w:hAnsi="宋体"/>
          <w:b/>
          <w:color w:val="auto"/>
          <w:sz w:val="24"/>
          <w:szCs w:val="24"/>
          <w:u w:val="single"/>
        </w:rPr>
        <w:t xml:space="preserve">   </w:t>
      </w:r>
      <w:r>
        <w:rPr>
          <w:rFonts w:ascii="宋体" w:hAnsi="宋体"/>
          <w:color w:val="auto"/>
          <w:sz w:val="24"/>
          <w:szCs w:val="24"/>
        </w:rPr>
        <w:t>项目的投标方，根据国家、自治区相关文件规定，我方在此向</w:t>
      </w:r>
      <w:r>
        <w:rPr>
          <w:rFonts w:hint="eastAsia" w:ascii="宋体" w:hAnsi="宋体"/>
          <w:color w:val="auto"/>
          <w:sz w:val="24"/>
          <w:szCs w:val="24"/>
        </w:rPr>
        <w:t>采购</w:t>
      </w:r>
      <w:r>
        <w:rPr>
          <w:rFonts w:ascii="宋体" w:hAnsi="宋体"/>
          <w:color w:val="auto"/>
          <w:sz w:val="24"/>
          <w:szCs w:val="24"/>
        </w:rPr>
        <w:t>人承诺：</w:t>
      </w:r>
    </w:p>
    <w:p>
      <w:pPr>
        <w:rPr>
          <w:rFonts w:ascii="宋体" w:hAnsi="宋体"/>
          <w:color w:val="auto"/>
          <w:sz w:val="24"/>
          <w:szCs w:val="24"/>
        </w:rPr>
      </w:pPr>
    </w:p>
    <w:p>
      <w:pPr>
        <w:spacing w:line="480" w:lineRule="auto"/>
        <w:ind w:firstLine="960" w:firstLineChars="400"/>
        <w:rPr>
          <w:rFonts w:ascii="宋体" w:hAnsi="宋体"/>
          <w:color w:val="auto"/>
          <w:sz w:val="24"/>
          <w:szCs w:val="24"/>
        </w:rPr>
      </w:pPr>
      <w:r>
        <w:rPr>
          <w:rFonts w:ascii="宋体" w:hAnsi="宋体"/>
          <w:color w:val="auto"/>
          <w:sz w:val="24"/>
          <w:szCs w:val="24"/>
        </w:rPr>
        <w:t>一旦</w:t>
      </w:r>
      <w:r>
        <w:rPr>
          <w:rFonts w:hint="eastAsia" w:ascii="宋体" w:hAnsi="宋体"/>
          <w:color w:val="auto"/>
          <w:sz w:val="24"/>
          <w:szCs w:val="24"/>
        </w:rPr>
        <w:t>成交</w:t>
      </w:r>
      <w:r>
        <w:rPr>
          <w:rFonts w:ascii="宋体" w:hAnsi="宋体"/>
          <w:color w:val="auto"/>
          <w:sz w:val="24"/>
          <w:szCs w:val="24"/>
        </w:rPr>
        <w:t>，我方保证在施工过程中，严格执行</w:t>
      </w:r>
      <w:r>
        <w:rPr>
          <w:rFonts w:hint="eastAsia" w:ascii="宋体" w:hAnsi="宋体"/>
          <w:color w:val="auto"/>
          <w:sz w:val="24"/>
          <w:szCs w:val="24"/>
        </w:rPr>
        <w:t>《广西壮族自治区建设工程安全文明施工费使用管理细则》（</w:t>
      </w:r>
      <w:bookmarkStart w:id="641" w:name="OLE_LINK19"/>
      <w:r>
        <w:rPr>
          <w:rFonts w:hint="eastAsia" w:ascii="宋体" w:hAnsi="宋体"/>
          <w:color w:val="auto"/>
          <w:sz w:val="24"/>
          <w:szCs w:val="24"/>
        </w:rPr>
        <w:t>桂建质【2015】16号</w:t>
      </w:r>
      <w:bookmarkEnd w:id="641"/>
      <w:r>
        <w:rPr>
          <w:rFonts w:hint="eastAsia" w:ascii="宋体" w:hAnsi="宋体"/>
          <w:color w:val="auto"/>
          <w:sz w:val="24"/>
          <w:szCs w:val="24"/>
        </w:rPr>
        <w:t>）</w:t>
      </w:r>
      <w:r>
        <w:rPr>
          <w:rFonts w:ascii="宋体" w:hAnsi="宋体"/>
          <w:color w:val="auto"/>
          <w:sz w:val="24"/>
          <w:szCs w:val="24"/>
        </w:rPr>
        <w:t>的有关规定，确保建设工程各项安全防护、文明施工措施落实到位。如我方在该项目的承包中出现未按</w:t>
      </w:r>
      <w:r>
        <w:rPr>
          <w:rFonts w:hint="eastAsia" w:ascii="宋体" w:hAnsi="宋体"/>
          <w:color w:val="auto"/>
          <w:sz w:val="24"/>
          <w:szCs w:val="24"/>
        </w:rPr>
        <w:t>桂建质【2015】16号</w:t>
      </w:r>
      <w:r>
        <w:rPr>
          <w:rFonts w:ascii="宋体" w:hAnsi="宋体"/>
          <w:color w:val="auto"/>
          <w:sz w:val="24"/>
          <w:szCs w:val="24"/>
        </w:rPr>
        <w:t>文附件一规定执行的情形，我方愿意按照相关规定接受建设单位及有关主管部门的处罚。</w:t>
      </w:r>
    </w:p>
    <w:p>
      <w:pPr>
        <w:spacing w:line="480" w:lineRule="auto"/>
        <w:rPr>
          <w:rFonts w:ascii="宋体" w:hAnsi="宋体"/>
          <w:color w:val="auto"/>
          <w:sz w:val="24"/>
          <w:szCs w:val="24"/>
        </w:rPr>
      </w:pPr>
    </w:p>
    <w:p>
      <w:pPr>
        <w:spacing w:line="480" w:lineRule="auto"/>
        <w:ind w:firstLine="960" w:firstLineChars="400"/>
        <w:rPr>
          <w:rFonts w:ascii="宋体" w:hAnsi="宋体"/>
          <w:color w:val="auto"/>
          <w:sz w:val="24"/>
          <w:szCs w:val="24"/>
        </w:rPr>
      </w:pPr>
    </w:p>
    <w:p>
      <w:pPr>
        <w:spacing w:before="5" w:after="5" w:line="360" w:lineRule="exact"/>
        <w:ind w:firstLine="3840" w:firstLineChars="1600"/>
        <w:rPr>
          <w:rFonts w:ascii="宋体" w:hAnsi="宋体"/>
          <w:color w:val="auto"/>
          <w:sz w:val="24"/>
          <w:szCs w:val="24"/>
        </w:rPr>
      </w:pPr>
      <w:r>
        <w:rPr>
          <w:rFonts w:hint="eastAsia" w:ascii="宋体" w:hAnsi="宋体"/>
          <w:color w:val="auto"/>
          <w:sz w:val="24"/>
          <w:szCs w:val="24"/>
        </w:rPr>
        <w:t>供应商：</w:t>
      </w:r>
      <w:r>
        <w:rPr>
          <w:rFonts w:hint="eastAsia" w:ascii="宋体" w:hAnsi="宋体"/>
          <w:color w:val="auto"/>
          <w:sz w:val="24"/>
          <w:szCs w:val="24"/>
          <w:u w:val="single"/>
        </w:rPr>
        <w:t xml:space="preserve">                       </w:t>
      </w:r>
      <w:r>
        <w:rPr>
          <w:rFonts w:hint="eastAsia" w:ascii="宋体" w:hAnsi="宋体"/>
          <w:color w:val="auto"/>
          <w:sz w:val="24"/>
          <w:szCs w:val="24"/>
        </w:rPr>
        <w:t>（加盖盖章）</w:t>
      </w:r>
    </w:p>
    <w:p>
      <w:pPr>
        <w:spacing w:before="5" w:after="5" w:line="360" w:lineRule="exact"/>
        <w:rPr>
          <w:rFonts w:ascii="宋体" w:hAnsi="宋体"/>
          <w:color w:val="auto"/>
          <w:sz w:val="24"/>
          <w:szCs w:val="24"/>
        </w:rPr>
      </w:pPr>
    </w:p>
    <w:p>
      <w:pPr>
        <w:autoSpaceDE w:val="0"/>
        <w:autoSpaceDN w:val="0"/>
        <w:adjustRightInd w:val="0"/>
        <w:spacing w:before="5" w:after="5" w:line="360" w:lineRule="exact"/>
        <w:ind w:firstLine="2640" w:firstLineChars="1100"/>
        <w:rPr>
          <w:rFonts w:ascii="宋体" w:hAnsi="宋体"/>
          <w:color w:val="auto"/>
          <w:sz w:val="24"/>
          <w:szCs w:val="24"/>
        </w:rPr>
      </w:pPr>
      <w:r>
        <w:rPr>
          <w:rFonts w:hint="eastAsia" w:ascii="宋体" w:hAnsi="宋体"/>
          <w:color w:val="auto"/>
          <w:sz w:val="24"/>
          <w:szCs w:val="24"/>
        </w:rPr>
        <w:t>法定代表人或其授权委托人：</w:t>
      </w:r>
      <w:r>
        <w:rPr>
          <w:rFonts w:hint="eastAsia" w:ascii="宋体" w:hAnsi="宋体"/>
          <w:color w:val="auto"/>
          <w:sz w:val="24"/>
          <w:szCs w:val="24"/>
          <w:u w:val="single"/>
        </w:rPr>
        <w:t xml:space="preserve">                  </w:t>
      </w:r>
      <w:r>
        <w:rPr>
          <w:rFonts w:hint="eastAsia" w:ascii="宋体" w:hAnsi="宋体"/>
          <w:color w:val="auto"/>
          <w:sz w:val="24"/>
          <w:szCs w:val="24"/>
        </w:rPr>
        <w:t>（签字）</w:t>
      </w:r>
    </w:p>
    <w:p>
      <w:pPr>
        <w:spacing w:before="5" w:after="5" w:line="360" w:lineRule="exact"/>
        <w:ind w:firstLine="960" w:firstLineChars="400"/>
        <w:rPr>
          <w:rFonts w:ascii="宋体" w:hAnsi="宋体"/>
          <w:color w:val="auto"/>
          <w:sz w:val="24"/>
          <w:szCs w:val="24"/>
        </w:rPr>
      </w:pPr>
    </w:p>
    <w:p>
      <w:pPr>
        <w:spacing w:before="5" w:after="5" w:line="360" w:lineRule="exact"/>
        <w:ind w:firstLine="3840" w:firstLineChars="1600"/>
        <w:rPr>
          <w:rFonts w:ascii="宋体" w:hAnsi="宋体"/>
          <w:color w:val="auto"/>
          <w:sz w:val="24"/>
          <w:szCs w:val="24"/>
        </w:rPr>
      </w:pPr>
      <w:r>
        <w:rPr>
          <w:rFonts w:hint="eastAsia" w:ascii="宋体" w:hAnsi="宋体"/>
          <w:color w:val="auto"/>
          <w:sz w:val="24"/>
          <w:szCs w:val="24"/>
        </w:rPr>
        <w:t>日  期：     年      月     日</w:t>
      </w:r>
    </w:p>
    <w:p>
      <w:pPr>
        <w:spacing w:line="480" w:lineRule="auto"/>
        <w:ind w:firstLine="1080" w:firstLineChars="450"/>
        <w:rPr>
          <w:rFonts w:hint="eastAsia" w:ascii="宋体" w:hAnsi="宋体"/>
          <w:color w:val="auto"/>
          <w:sz w:val="24"/>
          <w:szCs w:val="24"/>
        </w:rPr>
      </w:pPr>
    </w:p>
    <w:p>
      <w:pPr>
        <w:spacing w:line="480" w:lineRule="auto"/>
        <w:ind w:firstLine="1080" w:firstLineChars="450"/>
        <w:rPr>
          <w:rFonts w:hint="eastAsia" w:ascii="宋体" w:hAnsi="宋体"/>
          <w:color w:val="auto"/>
          <w:sz w:val="24"/>
          <w:szCs w:val="24"/>
        </w:rPr>
      </w:pPr>
    </w:p>
    <w:p>
      <w:pPr>
        <w:spacing w:line="480" w:lineRule="auto"/>
        <w:ind w:firstLine="1080" w:firstLineChars="450"/>
        <w:rPr>
          <w:rFonts w:hint="eastAsia" w:ascii="宋体" w:hAnsi="宋体"/>
          <w:color w:val="auto"/>
          <w:sz w:val="24"/>
          <w:szCs w:val="24"/>
        </w:rPr>
      </w:pPr>
    </w:p>
    <w:p>
      <w:pPr>
        <w:spacing w:line="480" w:lineRule="auto"/>
        <w:ind w:firstLine="1080" w:firstLineChars="450"/>
        <w:rPr>
          <w:rFonts w:hint="eastAsia" w:ascii="宋体" w:hAnsi="宋体"/>
          <w:color w:val="auto"/>
          <w:sz w:val="24"/>
          <w:szCs w:val="24"/>
        </w:rPr>
      </w:pPr>
    </w:p>
    <w:p>
      <w:pPr>
        <w:spacing w:line="480" w:lineRule="auto"/>
        <w:ind w:firstLine="1080" w:firstLineChars="450"/>
        <w:rPr>
          <w:rFonts w:hint="eastAsia" w:ascii="宋体" w:hAnsi="宋体"/>
          <w:color w:val="auto"/>
          <w:sz w:val="24"/>
          <w:szCs w:val="24"/>
        </w:rPr>
      </w:pPr>
    </w:p>
    <w:p>
      <w:pPr>
        <w:spacing w:line="480" w:lineRule="auto"/>
        <w:ind w:firstLine="1080" w:firstLineChars="450"/>
        <w:rPr>
          <w:rFonts w:hint="eastAsia" w:ascii="宋体" w:hAnsi="宋体"/>
          <w:color w:val="auto"/>
          <w:sz w:val="24"/>
          <w:szCs w:val="24"/>
        </w:rPr>
      </w:pPr>
    </w:p>
    <w:p>
      <w:pPr>
        <w:spacing w:line="480" w:lineRule="auto"/>
        <w:ind w:firstLine="1080" w:firstLineChars="450"/>
        <w:rPr>
          <w:rFonts w:hint="eastAsia" w:ascii="宋体" w:hAnsi="宋体"/>
          <w:color w:val="auto"/>
          <w:sz w:val="24"/>
          <w:szCs w:val="24"/>
        </w:rPr>
      </w:pPr>
    </w:p>
    <w:p>
      <w:pPr>
        <w:widowControl w:val="0"/>
        <w:adjustRightInd w:val="0"/>
        <w:snapToGrid w:val="0"/>
        <w:spacing w:line="410" w:lineRule="exact"/>
        <w:ind w:firstLine="626" w:firstLineChars="195"/>
        <w:rPr>
          <w:rFonts w:hint="eastAsia" w:ascii="宋体" w:hAnsi="宋体"/>
          <w:color w:val="auto"/>
        </w:rPr>
      </w:pPr>
      <w:r>
        <w:rPr>
          <w:rFonts w:hint="eastAsia" w:ascii="宋体" w:hAnsi="宋体"/>
          <w:b/>
          <w:color w:val="auto"/>
          <w:sz w:val="32"/>
          <w:szCs w:val="32"/>
        </w:rPr>
        <w:t>6、其他有效证明文件的复印件（如磋商供应商属于小型或微型企业的，以提供工商注册地的工业和信息化部门出具的相关证明材料为准，原件备查）。</w:t>
      </w:r>
    </w:p>
    <w:p>
      <w:pPr>
        <w:spacing w:line="480" w:lineRule="auto"/>
        <w:jc w:val="center"/>
        <w:rPr>
          <w:rFonts w:hint="eastAsia" w:ascii="宋体" w:hAnsi="宋体"/>
          <w:b/>
          <w:color w:val="auto"/>
          <w:sz w:val="32"/>
          <w:szCs w:val="32"/>
        </w:rPr>
      </w:pPr>
    </w:p>
    <w:p>
      <w:pPr>
        <w:spacing w:line="480" w:lineRule="auto"/>
        <w:jc w:val="center"/>
        <w:rPr>
          <w:rFonts w:hint="eastAsia" w:ascii="宋体" w:hAnsi="宋体"/>
          <w:color w:val="auto"/>
          <w:sz w:val="24"/>
        </w:rPr>
      </w:pPr>
      <w:r>
        <w:rPr>
          <w:rFonts w:hint="eastAsia" w:ascii="宋体" w:hAnsi="宋体"/>
          <w:b/>
          <w:color w:val="auto"/>
          <w:sz w:val="32"/>
          <w:szCs w:val="32"/>
        </w:rPr>
        <w:br w:type="page"/>
      </w:r>
      <w:r>
        <w:rPr>
          <w:rFonts w:hint="eastAsia" w:ascii="宋体" w:hAnsi="宋体"/>
          <w:b/>
          <w:color w:val="auto"/>
          <w:sz w:val="32"/>
          <w:szCs w:val="32"/>
          <w:lang w:val="en-US" w:eastAsia="zh-CN"/>
        </w:rPr>
        <w:t>7</w:t>
      </w:r>
      <w:r>
        <w:rPr>
          <w:rFonts w:hint="eastAsia" w:ascii="宋体" w:hAnsi="宋体"/>
          <w:b/>
          <w:color w:val="auto"/>
          <w:sz w:val="32"/>
          <w:szCs w:val="32"/>
        </w:rPr>
        <w:t>、农民工工资保障金的交纳与使用承诺书</w:t>
      </w:r>
    </w:p>
    <w:p>
      <w:pPr>
        <w:spacing w:line="500" w:lineRule="exact"/>
        <w:ind w:firstLine="145" w:firstLineChars="40"/>
        <w:jc w:val="center"/>
        <w:rPr>
          <w:rFonts w:hint="eastAsia" w:ascii="宋体" w:hAnsi="宋体"/>
          <w:b/>
          <w:bCs/>
          <w:color w:val="auto"/>
          <w:sz w:val="36"/>
          <w:szCs w:val="36"/>
        </w:rPr>
      </w:pPr>
      <w:r>
        <w:rPr>
          <w:rFonts w:hint="eastAsia" w:ascii="宋体" w:hAnsi="宋体"/>
          <w:b/>
          <w:bCs/>
          <w:color w:val="auto"/>
          <w:sz w:val="36"/>
          <w:szCs w:val="36"/>
        </w:rPr>
        <w:t>承   诺   书</w:t>
      </w:r>
    </w:p>
    <w:p>
      <w:pPr>
        <w:spacing w:line="500" w:lineRule="exact"/>
        <w:ind w:firstLine="480" w:firstLineChars="200"/>
        <w:jc w:val="left"/>
        <w:rPr>
          <w:rFonts w:hint="eastAsia" w:ascii="宋体" w:hAnsi="宋体"/>
          <w:color w:val="auto"/>
          <w:sz w:val="24"/>
        </w:rPr>
      </w:pPr>
    </w:p>
    <w:p>
      <w:pPr>
        <w:spacing w:line="500" w:lineRule="exact"/>
        <w:jc w:val="left"/>
        <w:rPr>
          <w:rFonts w:hint="eastAsia" w:ascii="宋体" w:hAnsi="宋体"/>
          <w:color w:val="auto"/>
          <w:sz w:val="24"/>
          <w:u w:val="single" w:color="auto"/>
        </w:rPr>
      </w:pPr>
      <w:r>
        <w:rPr>
          <w:rFonts w:hint="eastAsia" w:ascii="宋体" w:hAnsi="宋体"/>
          <w:color w:val="auto"/>
          <w:sz w:val="24"/>
          <w:u w:val="single" w:color="auto"/>
        </w:rPr>
        <w:t xml:space="preserve">  (采购人全称)   ：</w:t>
      </w:r>
    </w:p>
    <w:p>
      <w:pPr>
        <w:spacing w:line="500" w:lineRule="exact"/>
        <w:ind w:firstLine="480" w:firstLineChars="200"/>
        <w:jc w:val="left"/>
        <w:rPr>
          <w:rFonts w:hint="eastAsia" w:ascii="宋体" w:hAnsi="宋体"/>
          <w:color w:val="auto"/>
          <w:sz w:val="24"/>
        </w:rPr>
      </w:pPr>
    </w:p>
    <w:p>
      <w:pPr>
        <w:spacing w:line="360" w:lineRule="exact"/>
        <w:ind w:firstLine="420" w:firstLineChars="200"/>
        <w:jc w:val="left"/>
        <w:rPr>
          <w:rFonts w:hint="eastAsia" w:ascii="宋体" w:hAnsi="宋体"/>
          <w:color w:val="auto"/>
          <w:szCs w:val="21"/>
        </w:rPr>
      </w:pPr>
      <w:r>
        <w:rPr>
          <w:rFonts w:hint="eastAsia" w:ascii="宋体" w:hAnsi="宋体"/>
          <w:color w:val="auto"/>
          <w:szCs w:val="21"/>
        </w:rPr>
        <w:t>我单位在参与</w:t>
      </w:r>
      <w:r>
        <w:rPr>
          <w:rFonts w:hint="eastAsia" w:ascii="宋体" w:hAnsi="宋体"/>
          <w:color w:val="auto"/>
          <w:szCs w:val="21"/>
          <w:u w:val="single"/>
        </w:rPr>
        <w:t xml:space="preserve">                                    </w:t>
      </w:r>
      <w:r>
        <w:rPr>
          <w:rFonts w:hint="eastAsia" w:ascii="宋体" w:hAnsi="宋体"/>
          <w:color w:val="auto"/>
          <w:szCs w:val="21"/>
        </w:rPr>
        <w:t>工程施工磋商时，对农民工工资的问题作出以下承诺：</w:t>
      </w:r>
    </w:p>
    <w:p>
      <w:pPr>
        <w:spacing w:line="460" w:lineRule="exact"/>
        <w:ind w:firstLine="420" w:firstLineChars="200"/>
        <w:jc w:val="left"/>
        <w:rPr>
          <w:rFonts w:hint="eastAsia" w:ascii="宋体" w:hAnsi="宋体"/>
          <w:color w:val="auto"/>
          <w:szCs w:val="21"/>
        </w:rPr>
      </w:pPr>
      <w:r>
        <w:rPr>
          <w:rFonts w:hint="eastAsia" w:ascii="宋体" w:hAnsi="宋体"/>
          <w:color w:val="auto"/>
          <w:szCs w:val="21"/>
        </w:rPr>
        <w:t>1、我单位若成交后，将能够按规定及时、足额</w:t>
      </w:r>
      <w:r>
        <w:rPr>
          <w:rFonts w:hint="eastAsia" w:ascii="宋体" w:hAnsi="宋体"/>
          <w:bCs/>
          <w:color w:val="auto"/>
          <w:szCs w:val="21"/>
        </w:rPr>
        <w:t>将农民工工资保障金转入建设行政主管部门指定资金专户，作为本项目农民工工资保障金。</w:t>
      </w:r>
    </w:p>
    <w:p>
      <w:pPr>
        <w:spacing w:line="460" w:lineRule="exact"/>
        <w:ind w:firstLine="420" w:firstLineChars="200"/>
        <w:jc w:val="left"/>
        <w:rPr>
          <w:rFonts w:hint="eastAsia" w:ascii="宋体" w:hAnsi="宋体"/>
          <w:color w:val="auto"/>
          <w:szCs w:val="21"/>
        </w:rPr>
      </w:pPr>
      <w:r>
        <w:rPr>
          <w:rFonts w:hint="eastAsia" w:ascii="宋体" w:hAnsi="宋体"/>
          <w:color w:val="auto"/>
          <w:szCs w:val="21"/>
        </w:rPr>
        <w:t>2、我单位若成交后，在施工本工程中，决不拖欠农民工工资。本承包工程项目中一旦出现拖欠职工工资和农民工工资情况的，可由建设行政主管部门从工资保障金中先予划支。</w:t>
      </w:r>
    </w:p>
    <w:p>
      <w:pPr>
        <w:spacing w:line="360" w:lineRule="exact"/>
        <w:ind w:firstLine="420" w:firstLineChars="200"/>
        <w:jc w:val="left"/>
        <w:rPr>
          <w:rFonts w:hint="eastAsia" w:ascii="宋体" w:hAnsi="宋体"/>
          <w:color w:val="auto"/>
          <w:szCs w:val="21"/>
        </w:rPr>
      </w:pPr>
    </w:p>
    <w:p>
      <w:pPr>
        <w:spacing w:line="360" w:lineRule="exact"/>
        <w:ind w:firstLine="420" w:firstLineChars="200"/>
        <w:jc w:val="left"/>
        <w:rPr>
          <w:rFonts w:hint="eastAsia" w:ascii="宋体" w:hAnsi="宋体"/>
          <w:color w:val="auto"/>
          <w:szCs w:val="21"/>
        </w:rPr>
      </w:pPr>
    </w:p>
    <w:p>
      <w:pPr>
        <w:spacing w:line="360" w:lineRule="exact"/>
        <w:ind w:firstLine="420" w:firstLineChars="200"/>
        <w:jc w:val="left"/>
        <w:rPr>
          <w:rFonts w:hint="eastAsia" w:ascii="宋体" w:hAnsi="宋体"/>
          <w:color w:val="auto"/>
          <w:szCs w:val="21"/>
        </w:rPr>
      </w:pPr>
    </w:p>
    <w:p>
      <w:pPr>
        <w:spacing w:line="360" w:lineRule="exact"/>
        <w:ind w:firstLine="420" w:firstLineChars="200"/>
        <w:jc w:val="left"/>
        <w:rPr>
          <w:rFonts w:hint="eastAsia" w:ascii="宋体" w:hAnsi="宋体"/>
          <w:color w:val="auto"/>
          <w:szCs w:val="21"/>
        </w:rPr>
      </w:pPr>
    </w:p>
    <w:p>
      <w:pPr>
        <w:spacing w:line="580" w:lineRule="exact"/>
        <w:ind w:firstLine="420" w:firstLineChars="200"/>
        <w:jc w:val="left"/>
        <w:rPr>
          <w:rFonts w:hint="eastAsia" w:ascii="宋体" w:hAnsi="宋体"/>
          <w:color w:val="auto"/>
          <w:szCs w:val="21"/>
          <w:u w:val="single"/>
        </w:rPr>
      </w:pPr>
      <w:r>
        <w:rPr>
          <w:rFonts w:hint="eastAsia" w:ascii="宋体" w:hAnsi="宋体"/>
          <w:color w:val="auto"/>
          <w:szCs w:val="21"/>
        </w:rPr>
        <w:t>承诺单位（公章）：</w:t>
      </w:r>
      <w:r>
        <w:rPr>
          <w:rFonts w:hint="eastAsia" w:ascii="宋体" w:hAnsi="宋体"/>
          <w:color w:val="auto"/>
          <w:szCs w:val="21"/>
          <w:u w:val="single"/>
        </w:rPr>
        <w:t xml:space="preserve">                             </w:t>
      </w:r>
    </w:p>
    <w:p>
      <w:pPr>
        <w:spacing w:line="580" w:lineRule="exact"/>
        <w:ind w:firstLine="420" w:firstLineChars="200"/>
        <w:jc w:val="left"/>
        <w:rPr>
          <w:rFonts w:hint="eastAsia" w:ascii="宋体" w:hAnsi="宋体"/>
          <w:color w:val="auto"/>
          <w:szCs w:val="21"/>
          <w:u w:val="single"/>
        </w:rPr>
      </w:pPr>
      <w:r>
        <w:rPr>
          <w:rFonts w:ascii="宋体" w:hAnsi="宋体"/>
          <w:color w:val="auto"/>
          <w:szCs w:val="21"/>
        </w:rPr>
        <w:t>法定代表人或委托代理人</w:t>
      </w:r>
      <w:r>
        <w:rPr>
          <w:rFonts w:hint="eastAsia" w:ascii="宋体" w:hAnsi="宋体"/>
          <w:color w:val="auto"/>
          <w:szCs w:val="21"/>
        </w:rPr>
        <w:t>(签字或盖章)</w:t>
      </w:r>
      <w:r>
        <w:rPr>
          <w:rFonts w:ascii="宋体" w:hAnsi="宋体"/>
          <w:color w:val="auto"/>
          <w:szCs w:val="21"/>
        </w:rPr>
        <w:t>：</w:t>
      </w:r>
      <w:r>
        <w:rPr>
          <w:rFonts w:hint="eastAsia" w:ascii="宋体" w:hAnsi="宋体"/>
          <w:color w:val="auto"/>
          <w:szCs w:val="21"/>
          <w:u w:val="single" w:color="auto"/>
        </w:rPr>
        <w:t xml:space="preserve"> </w:t>
      </w:r>
      <w:r>
        <w:rPr>
          <w:rFonts w:hint="eastAsia" w:ascii="宋体" w:hAnsi="宋体"/>
          <w:color w:val="auto"/>
          <w:szCs w:val="21"/>
          <w:u w:val="single"/>
        </w:rPr>
        <w:t xml:space="preserve">                          </w:t>
      </w:r>
    </w:p>
    <w:p>
      <w:pPr>
        <w:spacing w:line="580" w:lineRule="exact"/>
        <w:ind w:firstLine="420" w:firstLineChars="200"/>
        <w:jc w:val="left"/>
        <w:rPr>
          <w:rFonts w:hint="eastAsia" w:ascii="宋体" w:hAnsi="宋体"/>
          <w:color w:val="auto"/>
          <w:szCs w:val="21"/>
          <w:u w:val="single"/>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80" w:lineRule="auto"/>
        <w:jc w:val="center"/>
        <w:rPr>
          <w:rFonts w:hint="eastAsia"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lang w:val="en-US" w:eastAsia="zh-CN"/>
        </w:rPr>
        <w:t>8</w:t>
      </w:r>
      <w:r>
        <w:rPr>
          <w:rFonts w:hint="eastAsia" w:ascii="宋体" w:hAnsi="宋体"/>
          <w:b/>
          <w:color w:val="auto"/>
          <w:sz w:val="32"/>
          <w:szCs w:val="32"/>
        </w:rPr>
        <w:t>、磋商供应商认为需要提供的其他有关资料。</w:t>
      </w:r>
    </w:p>
    <w:p>
      <w:pPr>
        <w:spacing w:line="360" w:lineRule="exact"/>
        <w:ind w:firstLine="420" w:firstLineChars="200"/>
        <w:jc w:val="left"/>
        <w:rPr>
          <w:rFonts w:hint="eastAsia" w:ascii="宋体" w:hAnsi="宋体"/>
          <w:color w:val="auto"/>
          <w:szCs w:val="21"/>
        </w:rPr>
      </w:pPr>
    </w:p>
    <w:p>
      <w:pPr>
        <w:spacing w:line="360" w:lineRule="exact"/>
        <w:ind w:firstLine="420" w:firstLineChars="200"/>
        <w:jc w:val="left"/>
        <w:rPr>
          <w:rFonts w:hint="eastAsia" w:ascii="宋体" w:hAnsi="宋体"/>
          <w:color w:val="auto"/>
          <w:szCs w:val="21"/>
        </w:rPr>
      </w:pPr>
    </w:p>
    <w:p>
      <w:pPr>
        <w:spacing w:line="360" w:lineRule="exact"/>
        <w:ind w:firstLine="420" w:firstLineChars="200"/>
        <w:jc w:val="left"/>
        <w:rPr>
          <w:rFonts w:hint="eastAsia" w:ascii="宋体" w:hAnsi="宋体"/>
          <w:color w:val="auto"/>
          <w:szCs w:val="21"/>
        </w:rPr>
      </w:pPr>
    </w:p>
    <w:p>
      <w:pPr>
        <w:spacing w:line="360" w:lineRule="exact"/>
        <w:ind w:firstLine="420" w:firstLineChars="200"/>
        <w:jc w:val="left"/>
        <w:rPr>
          <w:rFonts w:hint="eastAsia" w:ascii="宋体" w:hAnsi="宋体"/>
          <w:color w:val="auto"/>
          <w:szCs w:val="21"/>
        </w:rPr>
      </w:pPr>
    </w:p>
    <w:p>
      <w:pPr>
        <w:spacing w:line="500" w:lineRule="exact"/>
        <w:rPr>
          <w:rFonts w:ascii="宋体" w:hAnsi="宋体"/>
          <w:b/>
          <w:color w:val="auto"/>
          <w:sz w:val="32"/>
          <w:szCs w:val="32"/>
        </w:rPr>
      </w:pPr>
    </w:p>
    <w:bookmarkEnd w:id="640"/>
    <w:p>
      <w:pPr>
        <w:spacing w:line="500" w:lineRule="exact"/>
        <w:ind w:firstLine="129" w:firstLineChars="40"/>
        <w:jc w:val="center"/>
        <w:rPr>
          <w:rFonts w:hint="eastAsia" w:ascii="宋体" w:hAnsi="宋体"/>
          <w:b/>
          <w:color w:val="auto"/>
          <w:sz w:val="32"/>
          <w:szCs w:val="32"/>
        </w:rPr>
      </w:pPr>
    </w:p>
    <w:p>
      <w:pPr>
        <w:spacing w:line="500" w:lineRule="exact"/>
        <w:ind w:firstLine="129" w:firstLineChars="40"/>
        <w:jc w:val="center"/>
        <w:rPr>
          <w:rFonts w:hint="eastAsia" w:ascii="宋体" w:hAnsi="宋体"/>
          <w:b/>
          <w:color w:val="auto"/>
          <w:sz w:val="32"/>
          <w:szCs w:val="32"/>
        </w:rPr>
      </w:pPr>
    </w:p>
    <w:p>
      <w:pPr>
        <w:spacing w:line="500" w:lineRule="exact"/>
        <w:ind w:firstLine="129" w:firstLineChars="40"/>
        <w:jc w:val="center"/>
        <w:rPr>
          <w:rFonts w:hint="eastAsia" w:ascii="宋体" w:hAnsi="宋体"/>
          <w:b/>
          <w:color w:val="auto"/>
          <w:sz w:val="32"/>
          <w:szCs w:val="32"/>
        </w:rPr>
      </w:pPr>
    </w:p>
    <w:p>
      <w:pPr>
        <w:spacing w:line="500" w:lineRule="exact"/>
        <w:ind w:firstLine="129" w:firstLineChars="40"/>
        <w:jc w:val="center"/>
        <w:rPr>
          <w:rFonts w:hint="eastAsia" w:ascii="宋体" w:hAnsi="宋体"/>
          <w:b/>
          <w:color w:val="auto"/>
          <w:sz w:val="32"/>
          <w:szCs w:val="32"/>
        </w:rPr>
      </w:pPr>
      <w:r>
        <w:rPr>
          <w:rFonts w:hint="eastAsia" w:ascii="宋体" w:hAnsi="宋体"/>
          <w:b/>
          <w:color w:val="auto"/>
          <w:sz w:val="32"/>
          <w:szCs w:val="32"/>
        </w:rPr>
        <w:br w:type="page"/>
      </w:r>
    </w:p>
    <w:p>
      <w:pPr>
        <w:spacing w:line="500" w:lineRule="exact"/>
        <w:ind w:firstLine="129" w:firstLineChars="40"/>
        <w:jc w:val="center"/>
        <w:rPr>
          <w:rFonts w:hint="eastAsia" w:ascii="宋体" w:hAnsi="宋体"/>
          <w:b/>
          <w:color w:val="auto"/>
          <w:sz w:val="32"/>
          <w:szCs w:val="32"/>
        </w:rPr>
      </w:pPr>
    </w:p>
    <w:p>
      <w:pPr>
        <w:spacing w:line="480" w:lineRule="auto"/>
        <w:jc w:val="left"/>
        <w:rPr>
          <w:rFonts w:hint="eastAsia" w:ascii="宋体" w:hAnsi="宋体"/>
          <w:b/>
          <w:color w:val="auto"/>
          <w:sz w:val="32"/>
          <w:szCs w:val="32"/>
        </w:rPr>
      </w:pPr>
      <w:r>
        <w:rPr>
          <w:rFonts w:hint="eastAsia" w:ascii="宋体" w:hAnsi="宋体"/>
          <w:b/>
          <w:color w:val="auto"/>
          <w:sz w:val="32"/>
          <w:szCs w:val="32"/>
        </w:rPr>
        <w:t>技术文件</w:t>
      </w:r>
    </w:p>
    <w:p>
      <w:pPr>
        <w:spacing w:line="480" w:lineRule="auto"/>
        <w:jc w:val="left"/>
        <w:rPr>
          <w:rFonts w:hint="eastAsia" w:ascii="宋体" w:hAnsi="宋体"/>
          <w:b/>
          <w:color w:val="auto"/>
          <w:sz w:val="32"/>
          <w:szCs w:val="32"/>
        </w:rPr>
      </w:pPr>
      <w:r>
        <w:rPr>
          <w:rFonts w:hint="eastAsia" w:ascii="宋体" w:hAnsi="宋体"/>
          <w:b/>
          <w:color w:val="auto"/>
          <w:sz w:val="32"/>
          <w:szCs w:val="32"/>
        </w:rPr>
        <w:t>1）施工方案</w:t>
      </w:r>
    </w:p>
    <w:p>
      <w:pPr>
        <w:spacing w:line="480" w:lineRule="auto"/>
        <w:jc w:val="left"/>
        <w:rPr>
          <w:rFonts w:hint="eastAsia" w:ascii="宋体" w:hAnsi="宋体"/>
          <w:b/>
          <w:color w:val="auto"/>
          <w:sz w:val="32"/>
          <w:szCs w:val="32"/>
        </w:rPr>
      </w:pPr>
      <w:r>
        <w:rPr>
          <w:rFonts w:hint="eastAsia" w:ascii="宋体" w:hAnsi="宋体"/>
          <w:b/>
          <w:color w:val="auto"/>
          <w:sz w:val="32"/>
          <w:szCs w:val="32"/>
        </w:rPr>
        <w:t>2）拟投入本项目人员一览表</w:t>
      </w:r>
    </w:p>
    <w:p>
      <w:pPr>
        <w:spacing w:line="480" w:lineRule="auto"/>
        <w:jc w:val="left"/>
        <w:rPr>
          <w:rFonts w:hint="eastAsia" w:ascii="宋体" w:hAnsi="宋体"/>
          <w:b/>
          <w:color w:val="auto"/>
          <w:sz w:val="32"/>
          <w:szCs w:val="32"/>
        </w:rPr>
      </w:pPr>
      <w:r>
        <w:rPr>
          <w:rFonts w:hint="eastAsia" w:ascii="宋体" w:hAnsi="宋体"/>
          <w:b/>
          <w:color w:val="auto"/>
          <w:sz w:val="32"/>
          <w:szCs w:val="32"/>
        </w:rPr>
        <w:t>企业信誉业绩</w:t>
      </w:r>
    </w:p>
    <w:p>
      <w:pPr>
        <w:spacing w:line="480" w:lineRule="auto"/>
        <w:jc w:val="left"/>
        <w:rPr>
          <w:rFonts w:hint="eastAsia" w:ascii="宋体" w:hAnsi="宋体"/>
          <w:b/>
          <w:color w:val="auto"/>
          <w:sz w:val="32"/>
          <w:szCs w:val="32"/>
        </w:rPr>
      </w:pPr>
      <w:r>
        <w:rPr>
          <w:rFonts w:hint="eastAsia" w:ascii="宋体" w:hAnsi="宋体"/>
          <w:b/>
          <w:color w:val="auto"/>
          <w:sz w:val="32"/>
          <w:szCs w:val="32"/>
        </w:rPr>
        <w:t>1)业绩一览表</w:t>
      </w:r>
    </w:p>
    <w:p>
      <w:pPr>
        <w:spacing w:line="480" w:lineRule="auto"/>
        <w:jc w:val="left"/>
        <w:rPr>
          <w:rFonts w:hint="eastAsia" w:ascii="宋体" w:hAnsi="宋体"/>
          <w:b/>
          <w:color w:val="auto"/>
          <w:sz w:val="32"/>
          <w:szCs w:val="32"/>
        </w:rPr>
      </w:pPr>
      <w:r>
        <w:rPr>
          <w:rFonts w:hint="eastAsia" w:ascii="宋体" w:hAnsi="宋体"/>
          <w:b/>
          <w:color w:val="auto"/>
          <w:sz w:val="32"/>
          <w:szCs w:val="32"/>
        </w:rPr>
        <w:t>2）其他</w:t>
      </w:r>
    </w:p>
    <w:p>
      <w:pPr>
        <w:spacing w:line="500" w:lineRule="exact"/>
        <w:ind w:firstLine="129" w:firstLineChars="40"/>
        <w:jc w:val="center"/>
        <w:rPr>
          <w:rFonts w:hint="eastAsia" w:ascii="宋体" w:hAnsi="宋体"/>
          <w:b/>
          <w:color w:val="auto"/>
          <w:sz w:val="32"/>
          <w:szCs w:val="32"/>
        </w:rPr>
      </w:pPr>
      <w:r>
        <w:rPr>
          <w:rFonts w:hint="eastAsia" w:ascii="宋体" w:hAnsi="宋体"/>
          <w:b/>
          <w:color w:val="auto"/>
          <w:sz w:val="32"/>
          <w:szCs w:val="32"/>
        </w:rPr>
        <w:br w:type="page"/>
      </w:r>
    </w:p>
    <w:p>
      <w:pPr>
        <w:spacing w:line="500" w:lineRule="exact"/>
        <w:rPr>
          <w:rFonts w:hint="eastAsia" w:ascii="宋体" w:hAnsi="宋体"/>
          <w:b/>
          <w:color w:val="auto"/>
          <w:sz w:val="32"/>
          <w:szCs w:val="32"/>
        </w:rPr>
      </w:pPr>
      <w:r>
        <w:rPr>
          <w:rFonts w:hint="eastAsia" w:ascii="宋体" w:hAnsi="宋体"/>
          <w:b/>
          <w:color w:val="auto"/>
          <w:sz w:val="32"/>
          <w:szCs w:val="32"/>
        </w:rPr>
        <w:t>附：</w:t>
      </w:r>
    </w:p>
    <w:p>
      <w:pPr>
        <w:pStyle w:val="65"/>
        <w:jc w:val="center"/>
        <w:rPr>
          <w:rFonts w:hint="eastAsia" w:ascii="宋体" w:hAnsi="宋体"/>
          <w:b/>
          <w:sz w:val="24"/>
        </w:rPr>
      </w:pPr>
      <w:bookmarkStart w:id="642" w:name="_Toc173579005"/>
      <w:bookmarkStart w:id="643" w:name="_Toc251052184"/>
      <w:bookmarkStart w:id="644" w:name="_Toc153274947"/>
      <w:bookmarkStart w:id="645" w:name="_Toc172364025"/>
      <w:r>
        <w:rPr>
          <w:rFonts w:ascii="宋体" w:hAnsi="宋体"/>
          <w:b/>
          <w:bCs/>
          <w:sz w:val="24"/>
        </w:rPr>
        <w:t>1</w:t>
      </w:r>
      <w:r>
        <w:rPr>
          <w:rFonts w:ascii="宋体" w:hAnsi="宋体"/>
          <w:b/>
          <w:sz w:val="24"/>
        </w:rPr>
        <w:t>、</w:t>
      </w:r>
      <w:bookmarkEnd w:id="642"/>
      <w:bookmarkEnd w:id="643"/>
      <w:bookmarkEnd w:id="644"/>
      <w:bookmarkEnd w:id="645"/>
      <w:r>
        <w:rPr>
          <w:rFonts w:hint="eastAsia" w:ascii="宋体" w:hAnsi="宋体"/>
          <w:b/>
          <w:sz w:val="24"/>
        </w:rPr>
        <w:t>拟投入本项目人员一览表</w:t>
      </w:r>
    </w:p>
    <w:p>
      <w:pPr>
        <w:pStyle w:val="65"/>
        <w:rPr>
          <w:rFonts w:ascii="宋体" w:hAnsi="宋体"/>
          <w:u w:val="single"/>
        </w:rPr>
      </w:pPr>
    </w:p>
    <w:p>
      <w:pPr>
        <w:pStyle w:val="65"/>
        <w:rPr>
          <w:rFonts w:ascii="宋体" w:hAnsi="宋体"/>
        </w:rPr>
      </w:pPr>
      <w:r>
        <w:rPr>
          <w:rFonts w:ascii="宋体" w:hAnsi="宋体"/>
          <w:u w:val="none"/>
        </w:rPr>
        <w:t xml:space="preserve"> </w:t>
      </w:r>
      <w:r>
        <w:rPr>
          <w:rFonts w:hint="eastAsia" w:ascii="宋体" w:hAnsi="宋体"/>
          <w:u w:val="none"/>
          <w:lang w:val="en-US" w:eastAsia="zh-CN"/>
        </w:rPr>
        <w:t xml:space="preserve"> </w:t>
      </w:r>
      <w:r>
        <w:rPr>
          <w:rFonts w:ascii="宋体" w:hAnsi="宋体"/>
          <w:u w:val="none"/>
        </w:rPr>
        <w:t xml:space="preserve">         </w:t>
      </w:r>
      <w:r>
        <w:rPr>
          <w:rFonts w:ascii="宋体" w:hAnsi="宋体"/>
          <w:u w:val="single"/>
        </w:rPr>
        <w:t xml:space="preserve">  </w:t>
      </w:r>
      <w:bookmarkStart w:id="646" w:name="_Toc251052185"/>
      <w:r>
        <w:rPr>
          <w:rFonts w:hint="eastAsia" w:ascii="宋体" w:hAnsi="宋体"/>
          <w:u w:val="single"/>
        </w:rPr>
        <w:t>（</w:t>
      </w:r>
      <w:r>
        <w:rPr>
          <w:rFonts w:ascii="宋体" w:hAnsi="宋体"/>
          <w:u w:val="single"/>
        </w:rPr>
        <w:t>项目名称</w:t>
      </w:r>
      <w:r>
        <w:rPr>
          <w:rFonts w:hint="eastAsia" w:ascii="宋体" w:hAnsi="宋体"/>
          <w:u w:val="single"/>
        </w:rPr>
        <w:t>）</w:t>
      </w:r>
      <w:r>
        <w:rPr>
          <w:rFonts w:ascii="宋体" w:hAnsi="宋体"/>
          <w:u w:val="single"/>
        </w:rPr>
        <w:t xml:space="preserve">        </w:t>
      </w:r>
      <w:r>
        <w:rPr>
          <w:rFonts w:ascii="宋体" w:hAnsi="宋体"/>
        </w:rPr>
        <w:t xml:space="preserve"> 工程 </w:t>
      </w:r>
      <w:bookmarkEnd w:id="646"/>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95"/>
        <w:gridCol w:w="1912"/>
        <w:gridCol w:w="191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1365" w:type="dxa"/>
            <w:noWrap w:val="0"/>
            <w:vAlign w:val="center"/>
          </w:tcPr>
          <w:p>
            <w:pPr>
              <w:ind w:left="223" w:hanging="222" w:hangingChars="106"/>
              <w:jc w:val="center"/>
              <w:rPr>
                <w:rFonts w:hint="eastAsia" w:ascii="宋体" w:hAnsi="宋体"/>
                <w:color w:val="auto"/>
              </w:rPr>
            </w:pPr>
            <w:r>
              <w:rPr>
                <w:rFonts w:hint="eastAsia" w:ascii="宋体" w:hAnsi="宋体"/>
                <w:color w:val="auto"/>
              </w:rPr>
              <w:t>职务</w:t>
            </w:r>
          </w:p>
        </w:tc>
        <w:tc>
          <w:tcPr>
            <w:tcW w:w="795" w:type="dxa"/>
            <w:noWrap w:val="0"/>
            <w:vAlign w:val="center"/>
          </w:tcPr>
          <w:p>
            <w:pPr>
              <w:ind w:left="223" w:hanging="222" w:hangingChars="106"/>
              <w:jc w:val="center"/>
              <w:rPr>
                <w:rFonts w:ascii="宋体" w:hAnsi="宋体"/>
                <w:color w:val="auto"/>
              </w:rPr>
            </w:pPr>
            <w:bookmarkStart w:id="647" w:name="_Toc251052187"/>
            <w:r>
              <w:rPr>
                <w:rFonts w:ascii="宋体" w:hAnsi="宋体"/>
                <w:color w:val="auto"/>
              </w:rPr>
              <w:t>姓名</w:t>
            </w:r>
            <w:bookmarkEnd w:id="647"/>
          </w:p>
        </w:tc>
        <w:tc>
          <w:tcPr>
            <w:tcW w:w="1912" w:type="dxa"/>
            <w:noWrap w:val="0"/>
            <w:vAlign w:val="center"/>
          </w:tcPr>
          <w:p>
            <w:pPr>
              <w:ind w:left="223" w:hanging="222" w:hangingChars="106"/>
              <w:jc w:val="center"/>
              <w:rPr>
                <w:rFonts w:hint="eastAsia" w:ascii="宋体" w:hAnsi="宋体"/>
                <w:color w:val="auto"/>
              </w:rPr>
            </w:pPr>
            <w:r>
              <w:rPr>
                <w:rFonts w:hint="eastAsia" w:ascii="宋体" w:hAnsi="宋体"/>
                <w:color w:val="auto"/>
              </w:rPr>
              <w:t>证书名称</w:t>
            </w:r>
          </w:p>
        </w:tc>
        <w:tc>
          <w:tcPr>
            <w:tcW w:w="1913" w:type="dxa"/>
            <w:noWrap w:val="0"/>
            <w:vAlign w:val="center"/>
          </w:tcPr>
          <w:p>
            <w:pPr>
              <w:ind w:left="223" w:hanging="222" w:hangingChars="106"/>
              <w:jc w:val="center"/>
              <w:rPr>
                <w:rFonts w:hint="eastAsia" w:ascii="宋体" w:hAnsi="宋体"/>
                <w:color w:val="auto"/>
              </w:rPr>
            </w:pPr>
            <w:bookmarkStart w:id="648" w:name="_Toc251052190"/>
            <w:r>
              <w:rPr>
                <w:rFonts w:hint="eastAsia" w:ascii="宋体" w:hAnsi="宋体"/>
                <w:color w:val="auto"/>
              </w:rPr>
              <w:t>岗位证书号</w:t>
            </w:r>
          </w:p>
          <w:bookmarkEnd w:id="648"/>
        </w:tc>
        <w:tc>
          <w:tcPr>
            <w:tcW w:w="2126" w:type="dxa"/>
            <w:noWrap w:val="0"/>
            <w:vAlign w:val="center"/>
          </w:tcPr>
          <w:p>
            <w:pPr>
              <w:ind w:left="223" w:hanging="222" w:hangingChars="106"/>
              <w:jc w:val="center"/>
              <w:rPr>
                <w:rFonts w:hint="eastAsia" w:ascii="宋体" w:hAnsi="宋体" w:eastAsia="宋体"/>
                <w:color w:val="auto"/>
                <w:lang w:eastAsia="zh-CN"/>
              </w:rPr>
            </w:pPr>
            <w:r>
              <w:rPr>
                <w:rFonts w:hint="eastAsia" w:ascii="宋体" w:hAnsi="宋体"/>
                <w:color w:val="auto"/>
                <w:lang w:eastAsia="zh-CN"/>
              </w:rPr>
              <w:t>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hint="eastAsia" w:ascii="宋体" w:hAnsi="宋体"/>
                <w:color w:val="auto"/>
                <w:szCs w:val="21"/>
              </w:rPr>
            </w:pPr>
            <w:r>
              <w:rPr>
                <w:rFonts w:hint="eastAsia" w:ascii="宋体" w:hAnsi="宋体"/>
                <w:color w:val="auto"/>
                <w:szCs w:val="21"/>
              </w:rPr>
              <w:t>项目经理</w:t>
            </w: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hint="eastAsia" w:ascii="宋体" w:hAnsi="宋体"/>
                <w:color w:val="auto"/>
                <w:szCs w:val="21"/>
              </w:rPr>
            </w:pPr>
            <w:r>
              <w:rPr>
                <w:rFonts w:hint="eastAsia" w:ascii="宋体" w:hAnsi="宋体"/>
                <w:color w:val="auto"/>
                <w:szCs w:val="21"/>
              </w:rPr>
              <w:t>技术负责人</w:t>
            </w: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ascii="宋体" w:hAnsi="宋体"/>
                <w:color w:val="auto"/>
                <w:szCs w:val="21"/>
              </w:rPr>
            </w:pPr>
            <w:r>
              <w:rPr>
                <w:rFonts w:ascii="宋体" w:hAnsi="宋体"/>
                <w:color w:val="auto"/>
                <w:szCs w:val="21"/>
              </w:rPr>
              <w:t>施工员</w:t>
            </w: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ascii="宋体" w:hAnsi="宋体"/>
                <w:color w:val="auto"/>
                <w:szCs w:val="21"/>
              </w:rPr>
            </w:pPr>
            <w:r>
              <w:rPr>
                <w:rFonts w:ascii="宋体" w:hAnsi="宋体"/>
                <w:color w:val="auto"/>
                <w:szCs w:val="21"/>
              </w:rPr>
              <w:t>质量员</w:t>
            </w: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ascii="宋体" w:hAnsi="宋体"/>
                <w:color w:val="auto"/>
                <w:szCs w:val="21"/>
              </w:rPr>
            </w:pPr>
            <w:r>
              <w:rPr>
                <w:rFonts w:ascii="宋体" w:hAnsi="宋体"/>
                <w:color w:val="auto"/>
                <w:szCs w:val="21"/>
              </w:rPr>
              <w:t>安全员</w:t>
            </w: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ascii="宋体" w:hAnsi="宋体"/>
                <w:color w:val="auto"/>
                <w:szCs w:val="21"/>
              </w:rPr>
            </w:pPr>
            <w:r>
              <w:rPr>
                <w:rFonts w:hint="eastAsia" w:ascii="宋体" w:hAnsi="宋体"/>
                <w:color w:val="auto"/>
                <w:szCs w:val="21"/>
              </w:rPr>
              <w:t>资料</w:t>
            </w:r>
            <w:r>
              <w:rPr>
                <w:rFonts w:ascii="宋体" w:hAnsi="宋体"/>
                <w:color w:val="auto"/>
                <w:szCs w:val="21"/>
              </w:rPr>
              <w:t>员</w:t>
            </w: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hint="eastAsia" w:ascii="宋体" w:hAnsi="宋体"/>
                <w:color w:val="auto"/>
                <w:szCs w:val="21"/>
              </w:rPr>
            </w:pP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ascii="宋体" w:hAnsi="宋体"/>
                <w:color w:val="auto"/>
                <w:szCs w:val="21"/>
              </w:rPr>
            </w:pP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noWrap w:val="0"/>
            <w:vAlign w:val="center"/>
          </w:tcPr>
          <w:p>
            <w:pPr>
              <w:ind w:left="223" w:hanging="222" w:hangingChars="106"/>
              <w:jc w:val="center"/>
              <w:rPr>
                <w:rFonts w:ascii="宋体" w:hAnsi="宋体"/>
                <w:color w:val="auto"/>
              </w:rPr>
            </w:pPr>
            <w:r>
              <w:rPr>
                <w:rFonts w:ascii="宋体" w:hAnsi="宋体"/>
                <w:color w:val="auto"/>
              </w:rPr>
              <w:t>……</w:t>
            </w:r>
          </w:p>
        </w:tc>
        <w:tc>
          <w:tcPr>
            <w:tcW w:w="795" w:type="dxa"/>
            <w:noWrap w:val="0"/>
            <w:vAlign w:val="center"/>
          </w:tcPr>
          <w:p>
            <w:pPr>
              <w:ind w:left="223" w:hanging="222" w:hangingChars="106"/>
              <w:jc w:val="center"/>
              <w:rPr>
                <w:rFonts w:ascii="宋体" w:hAnsi="宋体"/>
                <w:color w:val="auto"/>
              </w:rPr>
            </w:pPr>
          </w:p>
        </w:tc>
        <w:tc>
          <w:tcPr>
            <w:tcW w:w="1912" w:type="dxa"/>
            <w:noWrap w:val="0"/>
            <w:vAlign w:val="center"/>
          </w:tcPr>
          <w:p>
            <w:pPr>
              <w:ind w:left="223" w:hanging="222" w:hangingChars="106"/>
              <w:jc w:val="center"/>
              <w:rPr>
                <w:rFonts w:ascii="宋体" w:hAnsi="宋体"/>
                <w:color w:val="auto"/>
              </w:rPr>
            </w:pPr>
          </w:p>
        </w:tc>
        <w:tc>
          <w:tcPr>
            <w:tcW w:w="1913" w:type="dxa"/>
            <w:noWrap w:val="0"/>
            <w:vAlign w:val="center"/>
          </w:tcPr>
          <w:p>
            <w:pPr>
              <w:ind w:left="223" w:hanging="222" w:hangingChars="106"/>
              <w:jc w:val="center"/>
              <w:rPr>
                <w:rFonts w:ascii="宋体" w:hAnsi="宋体"/>
                <w:color w:val="auto"/>
              </w:rPr>
            </w:pPr>
          </w:p>
        </w:tc>
        <w:tc>
          <w:tcPr>
            <w:tcW w:w="2126" w:type="dxa"/>
            <w:noWrap w:val="0"/>
            <w:vAlign w:val="center"/>
          </w:tcPr>
          <w:p>
            <w:pPr>
              <w:ind w:left="223" w:hanging="222" w:hangingChars="106"/>
              <w:jc w:val="center"/>
              <w:rPr>
                <w:rFonts w:ascii="宋体" w:hAnsi="宋体"/>
                <w:color w:val="auto"/>
              </w:rPr>
            </w:pPr>
          </w:p>
        </w:tc>
      </w:tr>
    </w:tbl>
    <w:p>
      <w:pPr>
        <w:tabs>
          <w:tab w:val="left" w:pos="0"/>
        </w:tabs>
        <w:spacing w:line="360" w:lineRule="auto"/>
        <w:ind w:right="-210"/>
        <w:rPr>
          <w:rFonts w:ascii="宋体" w:hAnsi="宋体"/>
          <w:color w:val="auto"/>
        </w:rPr>
      </w:pPr>
    </w:p>
    <w:p>
      <w:pPr>
        <w:spacing w:line="360" w:lineRule="auto"/>
        <w:ind w:firstLine="1050" w:firstLineChars="500"/>
        <w:rPr>
          <w:rFonts w:ascii="宋体" w:hAnsi="宋体"/>
          <w:color w:val="auto"/>
          <w:szCs w:val="21"/>
        </w:rPr>
      </w:pPr>
      <w:r>
        <w:rPr>
          <w:rFonts w:ascii="宋体" w:hAnsi="宋体"/>
          <w:color w:val="auto"/>
          <w:szCs w:val="21"/>
        </w:rPr>
        <w:t>【</w:t>
      </w:r>
      <w:r>
        <w:rPr>
          <w:rFonts w:ascii="宋体" w:hAnsi="宋体"/>
          <w:color w:val="auto"/>
        </w:rPr>
        <w:t>备注：</w:t>
      </w:r>
      <w:r>
        <w:rPr>
          <w:rFonts w:hint="eastAsia" w:ascii="宋体" w:hAnsi="宋体"/>
          <w:color w:val="auto"/>
        </w:rPr>
        <w:t>附以上各岗位人员资格证件等复印文件，</w:t>
      </w:r>
      <w:r>
        <w:rPr>
          <w:rFonts w:ascii="宋体" w:hAnsi="宋体"/>
          <w:color w:val="auto"/>
        </w:rPr>
        <w:t>复印件页面均须加盖</w:t>
      </w:r>
      <w:r>
        <w:rPr>
          <w:rFonts w:hint="eastAsia" w:ascii="宋体" w:hAnsi="宋体"/>
          <w:color w:val="auto"/>
        </w:rPr>
        <w:t>供应商</w:t>
      </w:r>
      <w:r>
        <w:rPr>
          <w:rFonts w:ascii="宋体" w:hAnsi="宋体"/>
          <w:color w:val="auto"/>
        </w:rPr>
        <w:t>单位公章</w:t>
      </w:r>
      <w:r>
        <w:rPr>
          <w:rFonts w:hint="eastAsia" w:ascii="宋体" w:hAnsi="宋体"/>
          <w:color w:val="auto"/>
        </w:rPr>
        <w:t>。】</w:t>
      </w:r>
    </w:p>
    <w:p>
      <w:pPr>
        <w:tabs>
          <w:tab w:val="left" w:pos="826"/>
        </w:tabs>
        <w:snapToGrid w:val="0"/>
        <w:ind w:firstLine="723" w:firstLineChars="200"/>
        <w:rPr>
          <w:rFonts w:ascii="宋体" w:hAnsi="宋体"/>
          <w:b/>
          <w:color w:val="auto"/>
          <w:sz w:val="24"/>
        </w:rPr>
      </w:pPr>
      <w:r>
        <w:rPr>
          <w:rFonts w:hint="eastAsia" w:ascii="宋体" w:hAnsi="宋体"/>
          <w:b/>
          <w:bCs/>
          <w:color w:val="auto"/>
          <w:sz w:val="36"/>
        </w:rPr>
        <w:br w:type="page"/>
      </w:r>
      <w:r>
        <w:rPr>
          <w:rFonts w:hint="eastAsia" w:ascii="宋体" w:hAnsi="宋体"/>
          <w:b/>
          <w:color w:val="auto"/>
          <w:sz w:val="24"/>
        </w:rPr>
        <w:t>（2）近</w:t>
      </w:r>
      <w:r>
        <w:rPr>
          <w:rFonts w:hint="eastAsia" w:ascii="宋体" w:hAnsi="宋体"/>
          <w:b/>
          <w:color w:val="auto"/>
          <w:sz w:val="24"/>
          <w:lang w:eastAsia="zh-CN"/>
        </w:rPr>
        <w:t>一</w:t>
      </w:r>
      <w:r>
        <w:rPr>
          <w:rFonts w:hint="eastAsia" w:ascii="宋体" w:hAnsi="宋体"/>
          <w:b/>
          <w:color w:val="auto"/>
          <w:sz w:val="24"/>
        </w:rPr>
        <w:t>年</w:t>
      </w:r>
      <w:r>
        <w:rPr>
          <w:rFonts w:ascii="宋体" w:hAnsi="宋体"/>
          <w:b/>
          <w:color w:val="auto"/>
          <w:sz w:val="24"/>
        </w:rPr>
        <w:t>已完成类似工程一览表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pPr>
              <w:jc w:val="center"/>
              <w:rPr>
                <w:rFonts w:ascii="宋体" w:hAnsi="宋体"/>
                <w:color w:val="auto"/>
              </w:rPr>
            </w:pPr>
            <w:r>
              <w:rPr>
                <w:rFonts w:ascii="宋体" w:hAnsi="宋体"/>
                <w:color w:val="auto"/>
              </w:rPr>
              <w:t>序号</w:t>
            </w:r>
          </w:p>
        </w:tc>
        <w:tc>
          <w:tcPr>
            <w:tcW w:w="1701" w:type="dxa"/>
            <w:noWrap w:val="0"/>
            <w:vAlign w:val="center"/>
          </w:tcPr>
          <w:p>
            <w:pPr>
              <w:jc w:val="center"/>
              <w:rPr>
                <w:rFonts w:hint="eastAsia" w:ascii="宋体" w:hAnsi="宋体"/>
                <w:color w:val="auto"/>
              </w:rPr>
            </w:pPr>
            <w:r>
              <w:rPr>
                <w:rFonts w:hint="eastAsia" w:ascii="宋体" w:hAnsi="宋体"/>
                <w:color w:val="auto"/>
              </w:rPr>
              <w:t>建设单位名称</w:t>
            </w:r>
          </w:p>
        </w:tc>
        <w:tc>
          <w:tcPr>
            <w:tcW w:w="1417" w:type="dxa"/>
            <w:noWrap w:val="0"/>
            <w:vAlign w:val="center"/>
          </w:tcPr>
          <w:p>
            <w:pPr>
              <w:jc w:val="center"/>
              <w:rPr>
                <w:rFonts w:ascii="宋体" w:hAnsi="宋体"/>
                <w:color w:val="auto"/>
              </w:rPr>
            </w:pPr>
            <w:r>
              <w:rPr>
                <w:rFonts w:ascii="宋体" w:hAnsi="宋体"/>
                <w:color w:val="auto"/>
              </w:rPr>
              <w:t>工程名称</w:t>
            </w:r>
          </w:p>
          <w:p>
            <w:pPr>
              <w:jc w:val="center"/>
              <w:rPr>
                <w:rFonts w:ascii="宋体" w:hAnsi="宋体"/>
                <w:color w:val="auto"/>
              </w:rPr>
            </w:pPr>
            <w:r>
              <w:rPr>
                <w:rFonts w:ascii="宋体" w:hAnsi="宋体"/>
                <w:color w:val="auto"/>
              </w:rPr>
              <w:t>及建设地点</w:t>
            </w:r>
          </w:p>
        </w:tc>
        <w:tc>
          <w:tcPr>
            <w:tcW w:w="992" w:type="dxa"/>
            <w:noWrap w:val="0"/>
            <w:vAlign w:val="center"/>
          </w:tcPr>
          <w:p>
            <w:pPr>
              <w:jc w:val="center"/>
              <w:rPr>
                <w:rFonts w:ascii="宋体" w:hAnsi="宋体"/>
                <w:color w:val="auto"/>
              </w:rPr>
            </w:pPr>
            <w:r>
              <w:rPr>
                <w:rFonts w:ascii="宋体" w:hAnsi="宋体"/>
                <w:color w:val="auto"/>
              </w:rPr>
              <w:t>建设</w:t>
            </w:r>
          </w:p>
          <w:p>
            <w:pPr>
              <w:jc w:val="center"/>
              <w:rPr>
                <w:rFonts w:ascii="宋体" w:hAnsi="宋体"/>
                <w:color w:val="auto"/>
              </w:rPr>
            </w:pPr>
            <w:r>
              <w:rPr>
                <w:rFonts w:ascii="宋体" w:hAnsi="宋体"/>
                <w:color w:val="auto"/>
              </w:rPr>
              <w:t>规模</w:t>
            </w:r>
          </w:p>
        </w:tc>
        <w:tc>
          <w:tcPr>
            <w:tcW w:w="1134" w:type="dxa"/>
            <w:noWrap w:val="0"/>
            <w:vAlign w:val="center"/>
          </w:tcPr>
          <w:p>
            <w:pPr>
              <w:jc w:val="center"/>
              <w:rPr>
                <w:rFonts w:ascii="宋体" w:hAnsi="宋体"/>
                <w:color w:val="auto"/>
              </w:rPr>
            </w:pPr>
            <w:r>
              <w:rPr>
                <w:rFonts w:ascii="宋体" w:hAnsi="宋体"/>
                <w:color w:val="auto"/>
              </w:rPr>
              <w:t>合同金额</w:t>
            </w:r>
          </w:p>
          <w:p>
            <w:pPr>
              <w:jc w:val="center"/>
              <w:rPr>
                <w:rFonts w:ascii="宋体" w:hAnsi="宋体"/>
                <w:color w:val="auto"/>
              </w:rPr>
            </w:pPr>
            <w:r>
              <w:rPr>
                <w:rFonts w:ascii="宋体" w:hAnsi="宋体"/>
                <w:color w:val="auto"/>
              </w:rPr>
              <w:t>（万元）</w:t>
            </w:r>
          </w:p>
        </w:tc>
        <w:tc>
          <w:tcPr>
            <w:tcW w:w="1276" w:type="dxa"/>
            <w:noWrap w:val="0"/>
            <w:vAlign w:val="center"/>
          </w:tcPr>
          <w:p>
            <w:pPr>
              <w:jc w:val="center"/>
              <w:rPr>
                <w:rFonts w:ascii="宋体" w:hAnsi="宋体"/>
                <w:color w:val="auto"/>
              </w:rPr>
            </w:pPr>
            <w:r>
              <w:rPr>
                <w:rFonts w:ascii="宋体" w:hAnsi="宋体"/>
                <w:color w:val="auto"/>
              </w:rPr>
              <w:t>竣工达到</w:t>
            </w:r>
          </w:p>
          <w:p>
            <w:pPr>
              <w:jc w:val="center"/>
              <w:rPr>
                <w:rFonts w:ascii="宋体" w:hAnsi="宋体"/>
                <w:color w:val="auto"/>
              </w:rPr>
            </w:pPr>
            <w:r>
              <w:rPr>
                <w:rFonts w:ascii="宋体" w:hAnsi="宋体"/>
                <w:color w:val="auto"/>
              </w:rPr>
              <w:t>质量标准</w:t>
            </w:r>
          </w:p>
        </w:tc>
        <w:tc>
          <w:tcPr>
            <w:tcW w:w="1134" w:type="dxa"/>
            <w:noWrap w:val="0"/>
            <w:vAlign w:val="center"/>
          </w:tcPr>
          <w:p>
            <w:pPr>
              <w:jc w:val="center"/>
              <w:rPr>
                <w:rFonts w:ascii="宋体" w:hAnsi="宋体"/>
                <w:color w:val="auto"/>
              </w:rPr>
            </w:pPr>
            <w:r>
              <w:rPr>
                <w:rFonts w:ascii="宋体" w:hAnsi="宋体"/>
                <w:color w:val="auto"/>
              </w:rPr>
              <w:t>开竣工</w:t>
            </w:r>
          </w:p>
          <w:p>
            <w:pPr>
              <w:jc w:val="center"/>
              <w:rPr>
                <w:rFonts w:ascii="宋体" w:hAnsi="宋体"/>
                <w:color w:val="auto"/>
              </w:rPr>
            </w:pPr>
            <w:r>
              <w:rPr>
                <w:rFonts w:ascii="宋体" w:hAnsi="宋体"/>
                <w:color w:val="auto"/>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rFonts w:ascii="宋体" w:hAnsi="宋体"/>
                <w:color w:val="auto"/>
              </w:rPr>
            </w:pPr>
          </w:p>
        </w:tc>
        <w:tc>
          <w:tcPr>
            <w:tcW w:w="1701" w:type="dxa"/>
            <w:noWrap w:val="0"/>
            <w:vAlign w:val="center"/>
          </w:tcPr>
          <w:p>
            <w:pPr>
              <w:jc w:val="center"/>
              <w:rPr>
                <w:rFonts w:ascii="宋体" w:hAnsi="宋体"/>
                <w:color w:val="auto"/>
              </w:rPr>
            </w:pPr>
          </w:p>
        </w:tc>
        <w:tc>
          <w:tcPr>
            <w:tcW w:w="1417" w:type="dxa"/>
            <w:noWrap w:val="0"/>
            <w:vAlign w:val="center"/>
          </w:tcPr>
          <w:p>
            <w:pPr>
              <w:jc w:val="center"/>
              <w:rPr>
                <w:rFonts w:ascii="宋体" w:hAnsi="宋体"/>
                <w:color w:val="auto"/>
              </w:rPr>
            </w:pPr>
          </w:p>
        </w:tc>
        <w:tc>
          <w:tcPr>
            <w:tcW w:w="992"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c>
          <w:tcPr>
            <w:tcW w:w="1276" w:type="dxa"/>
            <w:noWrap w:val="0"/>
            <w:vAlign w:val="center"/>
          </w:tcPr>
          <w:p>
            <w:pPr>
              <w:jc w:val="center"/>
              <w:rPr>
                <w:rFonts w:ascii="宋体" w:hAnsi="宋体"/>
                <w:color w:val="auto"/>
              </w:rPr>
            </w:pPr>
          </w:p>
        </w:tc>
        <w:tc>
          <w:tcPr>
            <w:tcW w:w="1134" w:type="dxa"/>
            <w:noWrap w:val="0"/>
            <w:vAlign w:val="center"/>
          </w:tcPr>
          <w:p>
            <w:pPr>
              <w:jc w:val="center"/>
              <w:rPr>
                <w:rFonts w:ascii="宋体" w:hAnsi="宋体"/>
                <w:color w:val="auto"/>
              </w:rPr>
            </w:pPr>
          </w:p>
        </w:tc>
      </w:tr>
    </w:tbl>
    <w:p>
      <w:pPr>
        <w:rPr>
          <w:rFonts w:ascii="宋体" w:hAnsi="宋体"/>
          <w:color w:val="auto"/>
        </w:rPr>
      </w:pPr>
    </w:p>
    <w:p>
      <w:pPr>
        <w:rPr>
          <w:rFonts w:ascii="宋体" w:hAnsi="宋体"/>
          <w:color w:val="auto"/>
        </w:rPr>
      </w:pPr>
      <w:r>
        <w:rPr>
          <w:rFonts w:ascii="宋体" w:hAnsi="宋体"/>
          <w:color w:val="auto"/>
        </w:rPr>
        <w:t>备注：</w:t>
      </w:r>
    </w:p>
    <w:p>
      <w:pPr>
        <w:ind w:firstLine="420" w:firstLineChars="200"/>
        <w:rPr>
          <w:rFonts w:ascii="宋体" w:hAnsi="宋体"/>
          <w:color w:val="auto"/>
        </w:rPr>
      </w:pPr>
      <w:bookmarkStart w:id="649" w:name="OLE_LINK26"/>
      <w:r>
        <w:rPr>
          <w:rFonts w:ascii="宋体" w:hAnsi="宋体"/>
          <w:color w:val="auto"/>
        </w:rPr>
        <w:t>1、</w:t>
      </w:r>
      <w:r>
        <w:rPr>
          <w:rFonts w:hint="eastAsia" w:ascii="宋体" w:hAnsi="宋体"/>
          <w:color w:val="auto"/>
        </w:rPr>
        <w:t>附以上类似工程的</w:t>
      </w:r>
      <w:r>
        <w:rPr>
          <w:rFonts w:ascii="宋体" w:hAnsi="宋体"/>
          <w:color w:val="auto"/>
        </w:rPr>
        <w:t>中标通知书</w:t>
      </w:r>
      <w:r>
        <w:rPr>
          <w:rFonts w:hint="eastAsia" w:ascii="宋体" w:hAnsi="宋体"/>
          <w:color w:val="auto"/>
        </w:rPr>
        <w:t>（如有）或</w:t>
      </w:r>
      <w:r>
        <w:rPr>
          <w:rFonts w:ascii="宋体" w:hAnsi="宋体"/>
          <w:color w:val="auto"/>
        </w:rPr>
        <w:t>工程合同协议书</w:t>
      </w:r>
      <w:r>
        <w:rPr>
          <w:rFonts w:hint="eastAsia" w:ascii="宋体" w:hAnsi="宋体"/>
          <w:color w:val="auto"/>
        </w:rPr>
        <w:t>等</w:t>
      </w:r>
      <w:bookmarkStart w:id="650" w:name="OLE_LINK22"/>
      <w:r>
        <w:rPr>
          <w:rFonts w:hint="eastAsia" w:ascii="宋体" w:hAnsi="宋体"/>
          <w:color w:val="auto"/>
        </w:rPr>
        <w:t>，</w:t>
      </w:r>
      <w:r>
        <w:rPr>
          <w:rFonts w:ascii="宋体" w:hAnsi="宋体"/>
          <w:color w:val="auto"/>
        </w:rPr>
        <w:t>以</w:t>
      </w:r>
      <w:r>
        <w:rPr>
          <w:rFonts w:hint="eastAsia" w:ascii="宋体" w:hAnsi="宋体"/>
          <w:color w:val="auto"/>
        </w:rPr>
        <w:t>上</w:t>
      </w:r>
      <w:r>
        <w:rPr>
          <w:rFonts w:ascii="宋体" w:hAnsi="宋体"/>
          <w:color w:val="auto"/>
        </w:rPr>
        <w:t>复印件须加盖</w:t>
      </w:r>
      <w:r>
        <w:rPr>
          <w:rFonts w:hint="eastAsia" w:ascii="宋体" w:hAnsi="宋体"/>
          <w:color w:val="auto"/>
        </w:rPr>
        <w:t>供应商</w:t>
      </w:r>
      <w:r>
        <w:rPr>
          <w:rFonts w:ascii="宋体" w:hAnsi="宋体"/>
          <w:color w:val="auto"/>
        </w:rPr>
        <w:t>单位公章</w:t>
      </w:r>
      <w:bookmarkEnd w:id="650"/>
      <w:r>
        <w:rPr>
          <w:rFonts w:hint="eastAsia" w:ascii="宋体" w:hAnsi="宋体"/>
          <w:color w:val="auto"/>
        </w:rPr>
        <w:t>。</w:t>
      </w:r>
    </w:p>
    <w:bookmarkEnd w:id="649"/>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_6977_4f53_GB2312">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3"/>
      </w:rPr>
      <w:instrText xml:space="preserve"> PAGE </w:instrText>
    </w:r>
    <w:r>
      <w:fldChar w:fldCharType="separate"/>
    </w:r>
    <w:r>
      <w:rPr>
        <w:rStyle w:val="43"/>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50"/>
      <w:ind w:firstLine="0" w:firstLineChars="0"/>
      <w:rPr>
        <w:rFonts w:hint="eastAsia"/>
        <w:sz w:val="18"/>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0751D"/>
    <w:multiLevelType w:val="singleLevel"/>
    <w:tmpl w:val="A1F0751D"/>
    <w:lvl w:ilvl="0" w:tentative="0">
      <w:start w:val="1"/>
      <w:numFmt w:val="decimal"/>
      <w:suff w:val="nothing"/>
      <w:lvlText w:val="（%1）"/>
      <w:lvlJc w:val="left"/>
    </w:lvl>
  </w:abstractNum>
  <w:abstractNum w:abstractNumId="1">
    <w:nsid w:val="C7DE9686"/>
    <w:multiLevelType w:val="singleLevel"/>
    <w:tmpl w:val="C7DE9686"/>
    <w:lvl w:ilvl="0" w:tentative="0">
      <w:start w:val="9"/>
      <w:numFmt w:val="decimal"/>
      <w:suff w:val="nothing"/>
      <w:lvlText w:val="（%1）"/>
      <w:lvlJc w:val="left"/>
    </w:lvl>
  </w:abstractNum>
  <w:abstractNum w:abstractNumId="2">
    <w:nsid w:val="44EA7C1B"/>
    <w:multiLevelType w:val="multilevel"/>
    <w:tmpl w:val="44EA7C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77FED4C"/>
    <w:multiLevelType w:val="singleLevel"/>
    <w:tmpl w:val="477FED4C"/>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A0"/>
    <w:rsid w:val="000009FC"/>
    <w:rsid w:val="0000173D"/>
    <w:rsid w:val="000017AF"/>
    <w:rsid w:val="00002490"/>
    <w:rsid w:val="0000306B"/>
    <w:rsid w:val="00003222"/>
    <w:rsid w:val="000041D9"/>
    <w:rsid w:val="000042C0"/>
    <w:rsid w:val="000061D5"/>
    <w:rsid w:val="000073BC"/>
    <w:rsid w:val="0000754A"/>
    <w:rsid w:val="00007893"/>
    <w:rsid w:val="00007A6A"/>
    <w:rsid w:val="00010327"/>
    <w:rsid w:val="000108D7"/>
    <w:rsid w:val="000108E8"/>
    <w:rsid w:val="00010C2B"/>
    <w:rsid w:val="00012A38"/>
    <w:rsid w:val="000136D2"/>
    <w:rsid w:val="000137D0"/>
    <w:rsid w:val="00014922"/>
    <w:rsid w:val="00016D8C"/>
    <w:rsid w:val="00017CAB"/>
    <w:rsid w:val="00017D49"/>
    <w:rsid w:val="00017E9D"/>
    <w:rsid w:val="00021746"/>
    <w:rsid w:val="00021CD4"/>
    <w:rsid w:val="00021D76"/>
    <w:rsid w:val="000230AE"/>
    <w:rsid w:val="0002422A"/>
    <w:rsid w:val="00024AF6"/>
    <w:rsid w:val="00025270"/>
    <w:rsid w:val="00025DF0"/>
    <w:rsid w:val="000265C2"/>
    <w:rsid w:val="00027455"/>
    <w:rsid w:val="00027F6C"/>
    <w:rsid w:val="000307BF"/>
    <w:rsid w:val="000319C3"/>
    <w:rsid w:val="0003205B"/>
    <w:rsid w:val="00032205"/>
    <w:rsid w:val="00032291"/>
    <w:rsid w:val="00034C55"/>
    <w:rsid w:val="000351BB"/>
    <w:rsid w:val="0003574F"/>
    <w:rsid w:val="00035ECD"/>
    <w:rsid w:val="00036E5D"/>
    <w:rsid w:val="000373EE"/>
    <w:rsid w:val="00037E0F"/>
    <w:rsid w:val="00040511"/>
    <w:rsid w:val="0004131E"/>
    <w:rsid w:val="00041AC0"/>
    <w:rsid w:val="000434C1"/>
    <w:rsid w:val="000434CF"/>
    <w:rsid w:val="000437F8"/>
    <w:rsid w:val="00043E5B"/>
    <w:rsid w:val="00044A7D"/>
    <w:rsid w:val="00044D98"/>
    <w:rsid w:val="00045F71"/>
    <w:rsid w:val="0004601A"/>
    <w:rsid w:val="00050111"/>
    <w:rsid w:val="00051564"/>
    <w:rsid w:val="000527B5"/>
    <w:rsid w:val="00054275"/>
    <w:rsid w:val="00054881"/>
    <w:rsid w:val="0005520D"/>
    <w:rsid w:val="0005589D"/>
    <w:rsid w:val="00056F64"/>
    <w:rsid w:val="00060508"/>
    <w:rsid w:val="00060839"/>
    <w:rsid w:val="00062779"/>
    <w:rsid w:val="000628DD"/>
    <w:rsid w:val="00062EE3"/>
    <w:rsid w:val="000665FE"/>
    <w:rsid w:val="00066DE3"/>
    <w:rsid w:val="000671F6"/>
    <w:rsid w:val="0006731C"/>
    <w:rsid w:val="00071206"/>
    <w:rsid w:val="0007168B"/>
    <w:rsid w:val="00071C43"/>
    <w:rsid w:val="00073A55"/>
    <w:rsid w:val="00074D00"/>
    <w:rsid w:val="0007588E"/>
    <w:rsid w:val="000759D0"/>
    <w:rsid w:val="00075A30"/>
    <w:rsid w:val="00076698"/>
    <w:rsid w:val="0007671D"/>
    <w:rsid w:val="00076F20"/>
    <w:rsid w:val="000770A2"/>
    <w:rsid w:val="00081907"/>
    <w:rsid w:val="00081915"/>
    <w:rsid w:val="00083194"/>
    <w:rsid w:val="00083373"/>
    <w:rsid w:val="00084EDB"/>
    <w:rsid w:val="00085DF2"/>
    <w:rsid w:val="0008633C"/>
    <w:rsid w:val="000866B7"/>
    <w:rsid w:val="00087414"/>
    <w:rsid w:val="00087B18"/>
    <w:rsid w:val="000900EE"/>
    <w:rsid w:val="00091927"/>
    <w:rsid w:val="00092065"/>
    <w:rsid w:val="00092AA4"/>
    <w:rsid w:val="00093681"/>
    <w:rsid w:val="00093871"/>
    <w:rsid w:val="000940A2"/>
    <w:rsid w:val="00094344"/>
    <w:rsid w:val="000A05A8"/>
    <w:rsid w:val="000A0797"/>
    <w:rsid w:val="000A1482"/>
    <w:rsid w:val="000A2949"/>
    <w:rsid w:val="000A4410"/>
    <w:rsid w:val="000A5DDD"/>
    <w:rsid w:val="000A60C3"/>
    <w:rsid w:val="000A7CA6"/>
    <w:rsid w:val="000A7F06"/>
    <w:rsid w:val="000B1F2B"/>
    <w:rsid w:val="000B4C86"/>
    <w:rsid w:val="000B686A"/>
    <w:rsid w:val="000B6874"/>
    <w:rsid w:val="000C03A3"/>
    <w:rsid w:val="000C090C"/>
    <w:rsid w:val="000C0C9D"/>
    <w:rsid w:val="000C1829"/>
    <w:rsid w:val="000C1C9C"/>
    <w:rsid w:val="000C1E11"/>
    <w:rsid w:val="000C2D63"/>
    <w:rsid w:val="000C325A"/>
    <w:rsid w:val="000C4ACD"/>
    <w:rsid w:val="000C55B4"/>
    <w:rsid w:val="000C5846"/>
    <w:rsid w:val="000C5B7A"/>
    <w:rsid w:val="000C5E5A"/>
    <w:rsid w:val="000C6734"/>
    <w:rsid w:val="000C6F31"/>
    <w:rsid w:val="000C736C"/>
    <w:rsid w:val="000C7492"/>
    <w:rsid w:val="000C7A67"/>
    <w:rsid w:val="000D08EE"/>
    <w:rsid w:val="000D2681"/>
    <w:rsid w:val="000D3395"/>
    <w:rsid w:val="000D5061"/>
    <w:rsid w:val="000D513A"/>
    <w:rsid w:val="000D5BB9"/>
    <w:rsid w:val="000D6A1D"/>
    <w:rsid w:val="000D7713"/>
    <w:rsid w:val="000E0582"/>
    <w:rsid w:val="000E11BF"/>
    <w:rsid w:val="000E3ADF"/>
    <w:rsid w:val="000E439E"/>
    <w:rsid w:val="000E4AB3"/>
    <w:rsid w:val="000E5352"/>
    <w:rsid w:val="000E5F0C"/>
    <w:rsid w:val="000E7134"/>
    <w:rsid w:val="000E74F0"/>
    <w:rsid w:val="000F0CC0"/>
    <w:rsid w:val="000F12AF"/>
    <w:rsid w:val="000F1854"/>
    <w:rsid w:val="000F1A9C"/>
    <w:rsid w:val="000F318D"/>
    <w:rsid w:val="000F45AC"/>
    <w:rsid w:val="000F4953"/>
    <w:rsid w:val="000F4A35"/>
    <w:rsid w:val="000F4A60"/>
    <w:rsid w:val="000F4F05"/>
    <w:rsid w:val="000F615A"/>
    <w:rsid w:val="000F7F3C"/>
    <w:rsid w:val="0010016F"/>
    <w:rsid w:val="00100757"/>
    <w:rsid w:val="001007B5"/>
    <w:rsid w:val="00100821"/>
    <w:rsid w:val="00101B0C"/>
    <w:rsid w:val="00103257"/>
    <w:rsid w:val="00103646"/>
    <w:rsid w:val="00104572"/>
    <w:rsid w:val="0010460D"/>
    <w:rsid w:val="00104D37"/>
    <w:rsid w:val="00105EC2"/>
    <w:rsid w:val="00106574"/>
    <w:rsid w:val="0010710C"/>
    <w:rsid w:val="001072F9"/>
    <w:rsid w:val="001075DD"/>
    <w:rsid w:val="00107940"/>
    <w:rsid w:val="00107C4B"/>
    <w:rsid w:val="00107D0D"/>
    <w:rsid w:val="00110117"/>
    <w:rsid w:val="00110DDF"/>
    <w:rsid w:val="00111B7E"/>
    <w:rsid w:val="00111CAB"/>
    <w:rsid w:val="001129AD"/>
    <w:rsid w:val="00112D8C"/>
    <w:rsid w:val="00113374"/>
    <w:rsid w:val="001153B4"/>
    <w:rsid w:val="00116154"/>
    <w:rsid w:val="001162BC"/>
    <w:rsid w:val="001172E1"/>
    <w:rsid w:val="0012012D"/>
    <w:rsid w:val="00121486"/>
    <w:rsid w:val="00121F38"/>
    <w:rsid w:val="00122530"/>
    <w:rsid w:val="00124A2F"/>
    <w:rsid w:val="001251E7"/>
    <w:rsid w:val="00125B0C"/>
    <w:rsid w:val="00125CA7"/>
    <w:rsid w:val="00126F10"/>
    <w:rsid w:val="001273D6"/>
    <w:rsid w:val="00130790"/>
    <w:rsid w:val="001309CA"/>
    <w:rsid w:val="00130D27"/>
    <w:rsid w:val="001318EF"/>
    <w:rsid w:val="0013234E"/>
    <w:rsid w:val="0013297F"/>
    <w:rsid w:val="00132A4E"/>
    <w:rsid w:val="00132D63"/>
    <w:rsid w:val="00133ACF"/>
    <w:rsid w:val="001346D0"/>
    <w:rsid w:val="00134878"/>
    <w:rsid w:val="001353C4"/>
    <w:rsid w:val="00136537"/>
    <w:rsid w:val="00136CA6"/>
    <w:rsid w:val="00136E7C"/>
    <w:rsid w:val="0013714B"/>
    <w:rsid w:val="001377FC"/>
    <w:rsid w:val="00137991"/>
    <w:rsid w:val="00137AAB"/>
    <w:rsid w:val="00137C7D"/>
    <w:rsid w:val="00137E73"/>
    <w:rsid w:val="001403D6"/>
    <w:rsid w:val="00140E46"/>
    <w:rsid w:val="0014131C"/>
    <w:rsid w:val="00141C2C"/>
    <w:rsid w:val="001437BE"/>
    <w:rsid w:val="001445E6"/>
    <w:rsid w:val="001451EC"/>
    <w:rsid w:val="00145CB7"/>
    <w:rsid w:val="0014624E"/>
    <w:rsid w:val="00146331"/>
    <w:rsid w:val="00147190"/>
    <w:rsid w:val="001478DB"/>
    <w:rsid w:val="00150EFC"/>
    <w:rsid w:val="0015123C"/>
    <w:rsid w:val="00151571"/>
    <w:rsid w:val="001525ED"/>
    <w:rsid w:val="001528BF"/>
    <w:rsid w:val="00152B67"/>
    <w:rsid w:val="001530AD"/>
    <w:rsid w:val="00153534"/>
    <w:rsid w:val="00154A8E"/>
    <w:rsid w:val="0015520A"/>
    <w:rsid w:val="00155A8F"/>
    <w:rsid w:val="00156160"/>
    <w:rsid w:val="00156742"/>
    <w:rsid w:val="0015772F"/>
    <w:rsid w:val="0016001F"/>
    <w:rsid w:val="001603C7"/>
    <w:rsid w:val="00162FEE"/>
    <w:rsid w:val="00163A86"/>
    <w:rsid w:val="001645C9"/>
    <w:rsid w:val="001652EF"/>
    <w:rsid w:val="00165F25"/>
    <w:rsid w:val="00166F76"/>
    <w:rsid w:val="001676FC"/>
    <w:rsid w:val="001677BD"/>
    <w:rsid w:val="00167F82"/>
    <w:rsid w:val="00170AA4"/>
    <w:rsid w:val="001713EE"/>
    <w:rsid w:val="0017162E"/>
    <w:rsid w:val="00171CB3"/>
    <w:rsid w:val="00172258"/>
    <w:rsid w:val="001744C4"/>
    <w:rsid w:val="001748BC"/>
    <w:rsid w:val="00174AE4"/>
    <w:rsid w:val="00175C2C"/>
    <w:rsid w:val="001763E1"/>
    <w:rsid w:val="0017711D"/>
    <w:rsid w:val="0017789D"/>
    <w:rsid w:val="00177D25"/>
    <w:rsid w:val="00180038"/>
    <w:rsid w:val="001802ED"/>
    <w:rsid w:val="00180DD5"/>
    <w:rsid w:val="00182010"/>
    <w:rsid w:val="00182056"/>
    <w:rsid w:val="001827AD"/>
    <w:rsid w:val="00184469"/>
    <w:rsid w:val="001847DA"/>
    <w:rsid w:val="00184E1C"/>
    <w:rsid w:val="00186BA6"/>
    <w:rsid w:val="00187109"/>
    <w:rsid w:val="00187E28"/>
    <w:rsid w:val="00187E5F"/>
    <w:rsid w:val="001900A5"/>
    <w:rsid w:val="001906D7"/>
    <w:rsid w:val="00190956"/>
    <w:rsid w:val="00190D98"/>
    <w:rsid w:val="0019110D"/>
    <w:rsid w:val="001911F4"/>
    <w:rsid w:val="001931DD"/>
    <w:rsid w:val="00193A0C"/>
    <w:rsid w:val="00194418"/>
    <w:rsid w:val="00194831"/>
    <w:rsid w:val="00194E38"/>
    <w:rsid w:val="00196619"/>
    <w:rsid w:val="00196EBB"/>
    <w:rsid w:val="00197F07"/>
    <w:rsid w:val="00197F1C"/>
    <w:rsid w:val="00197F6B"/>
    <w:rsid w:val="001A02EB"/>
    <w:rsid w:val="001A1C21"/>
    <w:rsid w:val="001A2280"/>
    <w:rsid w:val="001A2640"/>
    <w:rsid w:val="001A3346"/>
    <w:rsid w:val="001A3C98"/>
    <w:rsid w:val="001A448F"/>
    <w:rsid w:val="001A4E36"/>
    <w:rsid w:val="001A5C3B"/>
    <w:rsid w:val="001A6A72"/>
    <w:rsid w:val="001A6B58"/>
    <w:rsid w:val="001B0824"/>
    <w:rsid w:val="001B0CA0"/>
    <w:rsid w:val="001B298D"/>
    <w:rsid w:val="001B4757"/>
    <w:rsid w:val="001B525A"/>
    <w:rsid w:val="001B54E1"/>
    <w:rsid w:val="001B5B0C"/>
    <w:rsid w:val="001B667F"/>
    <w:rsid w:val="001B7217"/>
    <w:rsid w:val="001B7223"/>
    <w:rsid w:val="001B743E"/>
    <w:rsid w:val="001B7F54"/>
    <w:rsid w:val="001C089E"/>
    <w:rsid w:val="001C1698"/>
    <w:rsid w:val="001C3AC6"/>
    <w:rsid w:val="001C3F4F"/>
    <w:rsid w:val="001C3F7E"/>
    <w:rsid w:val="001C410D"/>
    <w:rsid w:val="001C460B"/>
    <w:rsid w:val="001C4A56"/>
    <w:rsid w:val="001C54C2"/>
    <w:rsid w:val="001C5950"/>
    <w:rsid w:val="001C5F91"/>
    <w:rsid w:val="001C79AD"/>
    <w:rsid w:val="001C7EE5"/>
    <w:rsid w:val="001D04DF"/>
    <w:rsid w:val="001D053C"/>
    <w:rsid w:val="001D0DEE"/>
    <w:rsid w:val="001D1B8B"/>
    <w:rsid w:val="001D327A"/>
    <w:rsid w:val="001D3C0C"/>
    <w:rsid w:val="001D4E88"/>
    <w:rsid w:val="001D69E9"/>
    <w:rsid w:val="001E03DB"/>
    <w:rsid w:val="001E04C9"/>
    <w:rsid w:val="001E0604"/>
    <w:rsid w:val="001E1112"/>
    <w:rsid w:val="001E20D1"/>
    <w:rsid w:val="001E2239"/>
    <w:rsid w:val="001E2F48"/>
    <w:rsid w:val="001E3268"/>
    <w:rsid w:val="001E42A1"/>
    <w:rsid w:val="001E4CE9"/>
    <w:rsid w:val="001E52E8"/>
    <w:rsid w:val="001E5311"/>
    <w:rsid w:val="001E66A2"/>
    <w:rsid w:val="001E7715"/>
    <w:rsid w:val="001F001D"/>
    <w:rsid w:val="001F042F"/>
    <w:rsid w:val="001F1E09"/>
    <w:rsid w:val="001F1E7E"/>
    <w:rsid w:val="001F2029"/>
    <w:rsid w:val="001F32F3"/>
    <w:rsid w:val="001F3D25"/>
    <w:rsid w:val="001F43D6"/>
    <w:rsid w:val="001F4C21"/>
    <w:rsid w:val="001F6782"/>
    <w:rsid w:val="002000FA"/>
    <w:rsid w:val="00200D94"/>
    <w:rsid w:val="00200DD4"/>
    <w:rsid w:val="0020177D"/>
    <w:rsid w:val="002024AA"/>
    <w:rsid w:val="002028AD"/>
    <w:rsid w:val="00202F34"/>
    <w:rsid w:val="002034C6"/>
    <w:rsid w:val="002036C5"/>
    <w:rsid w:val="00203C98"/>
    <w:rsid w:val="002041D8"/>
    <w:rsid w:val="002048C9"/>
    <w:rsid w:val="00204EF0"/>
    <w:rsid w:val="002067A4"/>
    <w:rsid w:val="00207E09"/>
    <w:rsid w:val="002100C9"/>
    <w:rsid w:val="00210C3D"/>
    <w:rsid w:val="00211493"/>
    <w:rsid w:val="00211582"/>
    <w:rsid w:val="002124C4"/>
    <w:rsid w:val="00212EAC"/>
    <w:rsid w:val="0021333B"/>
    <w:rsid w:val="00213972"/>
    <w:rsid w:val="00213B2D"/>
    <w:rsid w:val="00213DC1"/>
    <w:rsid w:val="00214607"/>
    <w:rsid w:val="002147FB"/>
    <w:rsid w:val="002176E9"/>
    <w:rsid w:val="00217893"/>
    <w:rsid w:val="00217B48"/>
    <w:rsid w:val="00220B39"/>
    <w:rsid w:val="0022217B"/>
    <w:rsid w:val="002226A4"/>
    <w:rsid w:val="00223BEE"/>
    <w:rsid w:val="00223E2C"/>
    <w:rsid w:val="00223F39"/>
    <w:rsid w:val="002241EC"/>
    <w:rsid w:val="002244B7"/>
    <w:rsid w:val="00225AA2"/>
    <w:rsid w:val="002260A2"/>
    <w:rsid w:val="00226BB8"/>
    <w:rsid w:val="00226ECC"/>
    <w:rsid w:val="0023014E"/>
    <w:rsid w:val="00230D64"/>
    <w:rsid w:val="0023118A"/>
    <w:rsid w:val="002315EB"/>
    <w:rsid w:val="0023173B"/>
    <w:rsid w:val="00231D02"/>
    <w:rsid w:val="00231E33"/>
    <w:rsid w:val="00232A96"/>
    <w:rsid w:val="002340CE"/>
    <w:rsid w:val="00235728"/>
    <w:rsid w:val="00235BF2"/>
    <w:rsid w:val="00235CB2"/>
    <w:rsid w:val="00235F73"/>
    <w:rsid w:val="00235FD4"/>
    <w:rsid w:val="00236652"/>
    <w:rsid w:val="00236A7E"/>
    <w:rsid w:val="002374EC"/>
    <w:rsid w:val="002407F8"/>
    <w:rsid w:val="0024125F"/>
    <w:rsid w:val="0024169A"/>
    <w:rsid w:val="002424C5"/>
    <w:rsid w:val="00242634"/>
    <w:rsid w:val="002431BB"/>
    <w:rsid w:val="00244D4D"/>
    <w:rsid w:val="00247102"/>
    <w:rsid w:val="00247529"/>
    <w:rsid w:val="00247CB3"/>
    <w:rsid w:val="002500C8"/>
    <w:rsid w:val="00250CB4"/>
    <w:rsid w:val="002513DC"/>
    <w:rsid w:val="00251E74"/>
    <w:rsid w:val="002521B3"/>
    <w:rsid w:val="0025237E"/>
    <w:rsid w:val="002528BA"/>
    <w:rsid w:val="00252FA2"/>
    <w:rsid w:val="00254DF6"/>
    <w:rsid w:val="00255DFC"/>
    <w:rsid w:val="0025622B"/>
    <w:rsid w:val="00256D95"/>
    <w:rsid w:val="0026095D"/>
    <w:rsid w:val="00261860"/>
    <w:rsid w:val="0026191F"/>
    <w:rsid w:val="00261B44"/>
    <w:rsid w:val="002630E5"/>
    <w:rsid w:val="00263946"/>
    <w:rsid w:val="002643AB"/>
    <w:rsid w:val="00265128"/>
    <w:rsid w:val="002651E0"/>
    <w:rsid w:val="00265773"/>
    <w:rsid w:val="00270E7F"/>
    <w:rsid w:val="00272720"/>
    <w:rsid w:val="00273191"/>
    <w:rsid w:val="0027468B"/>
    <w:rsid w:val="00276F58"/>
    <w:rsid w:val="00280D3A"/>
    <w:rsid w:val="002812DD"/>
    <w:rsid w:val="0028166C"/>
    <w:rsid w:val="00281E1D"/>
    <w:rsid w:val="00282651"/>
    <w:rsid w:val="0028265D"/>
    <w:rsid w:val="00282A15"/>
    <w:rsid w:val="002834B2"/>
    <w:rsid w:val="0028495C"/>
    <w:rsid w:val="00284C0E"/>
    <w:rsid w:val="00285ED2"/>
    <w:rsid w:val="002862A5"/>
    <w:rsid w:val="00286442"/>
    <w:rsid w:val="00286946"/>
    <w:rsid w:val="00286F82"/>
    <w:rsid w:val="00287221"/>
    <w:rsid w:val="00287837"/>
    <w:rsid w:val="002900A4"/>
    <w:rsid w:val="0029097A"/>
    <w:rsid w:val="00290CBA"/>
    <w:rsid w:val="00291088"/>
    <w:rsid w:val="002917F8"/>
    <w:rsid w:val="00291F02"/>
    <w:rsid w:val="00292CFE"/>
    <w:rsid w:val="00292F0A"/>
    <w:rsid w:val="00294777"/>
    <w:rsid w:val="0029567E"/>
    <w:rsid w:val="002963B8"/>
    <w:rsid w:val="002969A8"/>
    <w:rsid w:val="00296BFA"/>
    <w:rsid w:val="00297871"/>
    <w:rsid w:val="002A061E"/>
    <w:rsid w:val="002A0B9E"/>
    <w:rsid w:val="002A161B"/>
    <w:rsid w:val="002A19F5"/>
    <w:rsid w:val="002A1C15"/>
    <w:rsid w:val="002A33D9"/>
    <w:rsid w:val="002A33E8"/>
    <w:rsid w:val="002A33FC"/>
    <w:rsid w:val="002A3E46"/>
    <w:rsid w:val="002A5087"/>
    <w:rsid w:val="002A66AD"/>
    <w:rsid w:val="002A6C5F"/>
    <w:rsid w:val="002A6E0C"/>
    <w:rsid w:val="002B053A"/>
    <w:rsid w:val="002B1F9B"/>
    <w:rsid w:val="002B2A1F"/>
    <w:rsid w:val="002B3018"/>
    <w:rsid w:val="002B4137"/>
    <w:rsid w:val="002B4A19"/>
    <w:rsid w:val="002B4F9F"/>
    <w:rsid w:val="002B55B2"/>
    <w:rsid w:val="002B5ACB"/>
    <w:rsid w:val="002C0713"/>
    <w:rsid w:val="002C0E7D"/>
    <w:rsid w:val="002C1677"/>
    <w:rsid w:val="002C1A8F"/>
    <w:rsid w:val="002C2396"/>
    <w:rsid w:val="002C2436"/>
    <w:rsid w:val="002C2979"/>
    <w:rsid w:val="002C303D"/>
    <w:rsid w:val="002C32B2"/>
    <w:rsid w:val="002C36DE"/>
    <w:rsid w:val="002C39E4"/>
    <w:rsid w:val="002C4C97"/>
    <w:rsid w:val="002C5552"/>
    <w:rsid w:val="002C63DD"/>
    <w:rsid w:val="002D0EBC"/>
    <w:rsid w:val="002D10F3"/>
    <w:rsid w:val="002D1BC0"/>
    <w:rsid w:val="002D2457"/>
    <w:rsid w:val="002D2F33"/>
    <w:rsid w:val="002D30F4"/>
    <w:rsid w:val="002D323D"/>
    <w:rsid w:val="002D41E4"/>
    <w:rsid w:val="002D4264"/>
    <w:rsid w:val="002D48FA"/>
    <w:rsid w:val="002D4A0E"/>
    <w:rsid w:val="002D700D"/>
    <w:rsid w:val="002D763E"/>
    <w:rsid w:val="002D7F05"/>
    <w:rsid w:val="002E0B1D"/>
    <w:rsid w:val="002E0C4C"/>
    <w:rsid w:val="002E1A5E"/>
    <w:rsid w:val="002E1D86"/>
    <w:rsid w:val="002E34E0"/>
    <w:rsid w:val="002E4080"/>
    <w:rsid w:val="002E6679"/>
    <w:rsid w:val="002E66EC"/>
    <w:rsid w:val="002E7663"/>
    <w:rsid w:val="002E7C56"/>
    <w:rsid w:val="002F058A"/>
    <w:rsid w:val="002F0C26"/>
    <w:rsid w:val="002F1072"/>
    <w:rsid w:val="002F3276"/>
    <w:rsid w:val="002F3819"/>
    <w:rsid w:val="002F3F10"/>
    <w:rsid w:val="002F421D"/>
    <w:rsid w:val="002F454B"/>
    <w:rsid w:val="002F6721"/>
    <w:rsid w:val="002F7A07"/>
    <w:rsid w:val="002F7ED4"/>
    <w:rsid w:val="002F7F98"/>
    <w:rsid w:val="00300A17"/>
    <w:rsid w:val="00300D7A"/>
    <w:rsid w:val="003011CC"/>
    <w:rsid w:val="00302D98"/>
    <w:rsid w:val="00303074"/>
    <w:rsid w:val="003035E4"/>
    <w:rsid w:val="003038FD"/>
    <w:rsid w:val="00303F82"/>
    <w:rsid w:val="0030493D"/>
    <w:rsid w:val="00305E1A"/>
    <w:rsid w:val="003104EA"/>
    <w:rsid w:val="00310BDE"/>
    <w:rsid w:val="0031184D"/>
    <w:rsid w:val="00312654"/>
    <w:rsid w:val="0031282F"/>
    <w:rsid w:val="0031306D"/>
    <w:rsid w:val="003157FC"/>
    <w:rsid w:val="003159CE"/>
    <w:rsid w:val="00316ACC"/>
    <w:rsid w:val="00316F8E"/>
    <w:rsid w:val="00320401"/>
    <w:rsid w:val="0032132E"/>
    <w:rsid w:val="003215B3"/>
    <w:rsid w:val="0032359F"/>
    <w:rsid w:val="00323A91"/>
    <w:rsid w:val="00323ED6"/>
    <w:rsid w:val="00324431"/>
    <w:rsid w:val="003246BE"/>
    <w:rsid w:val="003246C0"/>
    <w:rsid w:val="00324FE7"/>
    <w:rsid w:val="003259D7"/>
    <w:rsid w:val="00325A51"/>
    <w:rsid w:val="00326274"/>
    <w:rsid w:val="00327463"/>
    <w:rsid w:val="00327868"/>
    <w:rsid w:val="00327DBF"/>
    <w:rsid w:val="00331325"/>
    <w:rsid w:val="00332533"/>
    <w:rsid w:val="0033322F"/>
    <w:rsid w:val="0033391D"/>
    <w:rsid w:val="003342A4"/>
    <w:rsid w:val="00334C6E"/>
    <w:rsid w:val="003352E1"/>
    <w:rsid w:val="0033611A"/>
    <w:rsid w:val="00337A0A"/>
    <w:rsid w:val="00340021"/>
    <w:rsid w:val="0034185C"/>
    <w:rsid w:val="00341A52"/>
    <w:rsid w:val="003430AB"/>
    <w:rsid w:val="00343CA1"/>
    <w:rsid w:val="00345142"/>
    <w:rsid w:val="00345A6F"/>
    <w:rsid w:val="00345ED5"/>
    <w:rsid w:val="003468B0"/>
    <w:rsid w:val="0034699B"/>
    <w:rsid w:val="003472F2"/>
    <w:rsid w:val="00347958"/>
    <w:rsid w:val="00347A17"/>
    <w:rsid w:val="00347F70"/>
    <w:rsid w:val="003500C8"/>
    <w:rsid w:val="0035129A"/>
    <w:rsid w:val="00351547"/>
    <w:rsid w:val="00351D27"/>
    <w:rsid w:val="0035269B"/>
    <w:rsid w:val="0035297B"/>
    <w:rsid w:val="003532B6"/>
    <w:rsid w:val="0035338E"/>
    <w:rsid w:val="00353B79"/>
    <w:rsid w:val="00353F2D"/>
    <w:rsid w:val="00354677"/>
    <w:rsid w:val="00354F68"/>
    <w:rsid w:val="00361059"/>
    <w:rsid w:val="003627A0"/>
    <w:rsid w:val="00363245"/>
    <w:rsid w:val="003641CA"/>
    <w:rsid w:val="00364712"/>
    <w:rsid w:val="003649AC"/>
    <w:rsid w:val="00364EB4"/>
    <w:rsid w:val="00364F4D"/>
    <w:rsid w:val="00367A8E"/>
    <w:rsid w:val="00371065"/>
    <w:rsid w:val="003731C9"/>
    <w:rsid w:val="003731CA"/>
    <w:rsid w:val="00373613"/>
    <w:rsid w:val="003741A4"/>
    <w:rsid w:val="0037462C"/>
    <w:rsid w:val="00374FDF"/>
    <w:rsid w:val="00375D48"/>
    <w:rsid w:val="00375FD6"/>
    <w:rsid w:val="003811FE"/>
    <w:rsid w:val="00382849"/>
    <w:rsid w:val="00382E8A"/>
    <w:rsid w:val="0038363C"/>
    <w:rsid w:val="003837F8"/>
    <w:rsid w:val="0038381C"/>
    <w:rsid w:val="00383C64"/>
    <w:rsid w:val="00383E67"/>
    <w:rsid w:val="00383EA8"/>
    <w:rsid w:val="0038456C"/>
    <w:rsid w:val="00384C9B"/>
    <w:rsid w:val="00385ACC"/>
    <w:rsid w:val="00385BF5"/>
    <w:rsid w:val="00386502"/>
    <w:rsid w:val="00386AF4"/>
    <w:rsid w:val="00390B78"/>
    <w:rsid w:val="00391034"/>
    <w:rsid w:val="0039104F"/>
    <w:rsid w:val="003913AA"/>
    <w:rsid w:val="00391A59"/>
    <w:rsid w:val="00392137"/>
    <w:rsid w:val="003928E0"/>
    <w:rsid w:val="00393907"/>
    <w:rsid w:val="00395B34"/>
    <w:rsid w:val="00395D62"/>
    <w:rsid w:val="00397A53"/>
    <w:rsid w:val="003A1665"/>
    <w:rsid w:val="003A1B4D"/>
    <w:rsid w:val="003A2050"/>
    <w:rsid w:val="003A22A5"/>
    <w:rsid w:val="003A25BC"/>
    <w:rsid w:val="003A290D"/>
    <w:rsid w:val="003A3A3D"/>
    <w:rsid w:val="003A4195"/>
    <w:rsid w:val="003A6DF4"/>
    <w:rsid w:val="003A748F"/>
    <w:rsid w:val="003A7C54"/>
    <w:rsid w:val="003A7F1D"/>
    <w:rsid w:val="003B1D58"/>
    <w:rsid w:val="003B28EA"/>
    <w:rsid w:val="003B29FA"/>
    <w:rsid w:val="003B5A52"/>
    <w:rsid w:val="003B70AA"/>
    <w:rsid w:val="003B7CD8"/>
    <w:rsid w:val="003C0607"/>
    <w:rsid w:val="003C1257"/>
    <w:rsid w:val="003C33E9"/>
    <w:rsid w:val="003C3C49"/>
    <w:rsid w:val="003C5121"/>
    <w:rsid w:val="003C630B"/>
    <w:rsid w:val="003C731E"/>
    <w:rsid w:val="003C79AB"/>
    <w:rsid w:val="003D1A2C"/>
    <w:rsid w:val="003D2D65"/>
    <w:rsid w:val="003D3106"/>
    <w:rsid w:val="003D3A3A"/>
    <w:rsid w:val="003D40B8"/>
    <w:rsid w:val="003D4F47"/>
    <w:rsid w:val="003D4F7F"/>
    <w:rsid w:val="003D595C"/>
    <w:rsid w:val="003D5CCE"/>
    <w:rsid w:val="003D67F7"/>
    <w:rsid w:val="003E00F7"/>
    <w:rsid w:val="003E2520"/>
    <w:rsid w:val="003E2F07"/>
    <w:rsid w:val="003E3502"/>
    <w:rsid w:val="003E3D73"/>
    <w:rsid w:val="003E45EB"/>
    <w:rsid w:val="003E51EA"/>
    <w:rsid w:val="003E5220"/>
    <w:rsid w:val="003E6DC6"/>
    <w:rsid w:val="003E74B3"/>
    <w:rsid w:val="003E7610"/>
    <w:rsid w:val="003E7F0F"/>
    <w:rsid w:val="003F000D"/>
    <w:rsid w:val="003F1715"/>
    <w:rsid w:val="003F2910"/>
    <w:rsid w:val="003F2A3C"/>
    <w:rsid w:val="003F3768"/>
    <w:rsid w:val="003F3B5C"/>
    <w:rsid w:val="003F3D2E"/>
    <w:rsid w:val="003F410E"/>
    <w:rsid w:val="003F4197"/>
    <w:rsid w:val="003F4CFB"/>
    <w:rsid w:val="003F5735"/>
    <w:rsid w:val="003F68DC"/>
    <w:rsid w:val="003F7F18"/>
    <w:rsid w:val="004001B1"/>
    <w:rsid w:val="00400974"/>
    <w:rsid w:val="00403590"/>
    <w:rsid w:val="00403820"/>
    <w:rsid w:val="004042AB"/>
    <w:rsid w:val="00405D6A"/>
    <w:rsid w:val="00406437"/>
    <w:rsid w:val="00406505"/>
    <w:rsid w:val="00406D24"/>
    <w:rsid w:val="004072A0"/>
    <w:rsid w:val="00407C13"/>
    <w:rsid w:val="00414D7D"/>
    <w:rsid w:val="00415659"/>
    <w:rsid w:val="0042079F"/>
    <w:rsid w:val="00421E3D"/>
    <w:rsid w:val="004228DC"/>
    <w:rsid w:val="004230F0"/>
    <w:rsid w:val="004231A9"/>
    <w:rsid w:val="004238CB"/>
    <w:rsid w:val="0042617C"/>
    <w:rsid w:val="0042660B"/>
    <w:rsid w:val="004272D2"/>
    <w:rsid w:val="0042788C"/>
    <w:rsid w:val="00430067"/>
    <w:rsid w:val="00430263"/>
    <w:rsid w:val="0043118C"/>
    <w:rsid w:val="00431BEB"/>
    <w:rsid w:val="00432CC2"/>
    <w:rsid w:val="00432CE5"/>
    <w:rsid w:val="00434196"/>
    <w:rsid w:val="00434793"/>
    <w:rsid w:val="00434871"/>
    <w:rsid w:val="00434DE7"/>
    <w:rsid w:val="00434EAB"/>
    <w:rsid w:val="00436255"/>
    <w:rsid w:val="00436BC7"/>
    <w:rsid w:val="00436C54"/>
    <w:rsid w:val="00437FB0"/>
    <w:rsid w:val="0044037C"/>
    <w:rsid w:val="00441CEE"/>
    <w:rsid w:val="00442045"/>
    <w:rsid w:val="00442D63"/>
    <w:rsid w:val="00442F87"/>
    <w:rsid w:val="00443A45"/>
    <w:rsid w:val="00447901"/>
    <w:rsid w:val="00447A3B"/>
    <w:rsid w:val="00447A60"/>
    <w:rsid w:val="00450EA5"/>
    <w:rsid w:val="00450EEB"/>
    <w:rsid w:val="00451DC8"/>
    <w:rsid w:val="004524B9"/>
    <w:rsid w:val="00452B64"/>
    <w:rsid w:val="00455280"/>
    <w:rsid w:val="004558CF"/>
    <w:rsid w:val="00456EBF"/>
    <w:rsid w:val="004577A7"/>
    <w:rsid w:val="00457B76"/>
    <w:rsid w:val="00457FD4"/>
    <w:rsid w:val="00460347"/>
    <w:rsid w:val="00461622"/>
    <w:rsid w:val="00461AC9"/>
    <w:rsid w:val="00462969"/>
    <w:rsid w:val="00463384"/>
    <w:rsid w:val="0046359D"/>
    <w:rsid w:val="00463C98"/>
    <w:rsid w:val="0046672F"/>
    <w:rsid w:val="00466AF2"/>
    <w:rsid w:val="0046749F"/>
    <w:rsid w:val="00467A8B"/>
    <w:rsid w:val="0047029B"/>
    <w:rsid w:val="00470B06"/>
    <w:rsid w:val="0047190D"/>
    <w:rsid w:val="00471F6F"/>
    <w:rsid w:val="00473F46"/>
    <w:rsid w:val="00474122"/>
    <w:rsid w:val="00474C76"/>
    <w:rsid w:val="00476694"/>
    <w:rsid w:val="004775E5"/>
    <w:rsid w:val="00477B7E"/>
    <w:rsid w:val="00477BE3"/>
    <w:rsid w:val="00480959"/>
    <w:rsid w:val="00480EA5"/>
    <w:rsid w:val="00481085"/>
    <w:rsid w:val="00481579"/>
    <w:rsid w:val="00481940"/>
    <w:rsid w:val="00481D14"/>
    <w:rsid w:val="0048200B"/>
    <w:rsid w:val="00483D37"/>
    <w:rsid w:val="00485769"/>
    <w:rsid w:val="00485A43"/>
    <w:rsid w:val="00487B99"/>
    <w:rsid w:val="00492669"/>
    <w:rsid w:val="00492C26"/>
    <w:rsid w:val="00493472"/>
    <w:rsid w:val="004937C8"/>
    <w:rsid w:val="004943AB"/>
    <w:rsid w:val="00494F05"/>
    <w:rsid w:val="00495B80"/>
    <w:rsid w:val="00496845"/>
    <w:rsid w:val="00497A14"/>
    <w:rsid w:val="00497F0A"/>
    <w:rsid w:val="004A1C54"/>
    <w:rsid w:val="004A2FF2"/>
    <w:rsid w:val="004A3E44"/>
    <w:rsid w:val="004A41E6"/>
    <w:rsid w:val="004A44C2"/>
    <w:rsid w:val="004A66C3"/>
    <w:rsid w:val="004A6F79"/>
    <w:rsid w:val="004A715C"/>
    <w:rsid w:val="004A71B3"/>
    <w:rsid w:val="004B01DB"/>
    <w:rsid w:val="004B0C62"/>
    <w:rsid w:val="004B4B1B"/>
    <w:rsid w:val="004B4B30"/>
    <w:rsid w:val="004B6837"/>
    <w:rsid w:val="004B6A47"/>
    <w:rsid w:val="004C0053"/>
    <w:rsid w:val="004C0F02"/>
    <w:rsid w:val="004C2EF5"/>
    <w:rsid w:val="004C2F26"/>
    <w:rsid w:val="004C3CBE"/>
    <w:rsid w:val="004C4467"/>
    <w:rsid w:val="004C4692"/>
    <w:rsid w:val="004C48C7"/>
    <w:rsid w:val="004C7872"/>
    <w:rsid w:val="004D03B4"/>
    <w:rsid w:val="004D0A78"/>
    <w:rsid w:val="004D109E"/>
    <w:rsid w:val="004D26A4"/>
    <w:rsid w:val="004D2C89"/>
    <w:rsid w:val="004D370D"/>
    <w:rsid w:val="004D3E9E"/>
    <w:rsid w:val="004D413E"/>
    <w:rsid w:val="004D51C6"/>
    <w:rsid w:val="004D68B7"/>
    <w:rsid w:val="004D78A0"/>
    <w:rsid w:val="004D7F63"/>
    <w:rsid w:val="004E02BA"/>
    <w:rsid w:val="004E0B84"/>
    <w:rsid w:val="004E0B96"/>
    <w:rsid w:val="004E3179"/>
    <w:rsid w:val="004E38AE"/>
    <w:rsid w:val="004E3D53"/>
    <w:rsid w:val="004E4407"/>
    <w:rsid w:val="004E5A2F"/>
    <w:rsid w:val="004E6551"/>
    <w:rsid w:val="004E75CE"/>
    <w:rsid w:val="004E79F5"/>
    <w:rsid w:val="004F180A"/>
    <w:rsid w:val="004F2427"/>
    <w:rsid w:val="004F24A5"/>
    <w:rsid w:val="004F265A"/>
    <w:rsid w:val="004F28A2"/>
    <w:rsid w:val="004F2E7A"/>
    <w:rsid w:val="004F4068"/>
    <w:rsid w:val="004F54EE"/>
    <w:rsid w:val="004F7C06"/>
    <w:rsid w:val="004F7F10"/>
    <w:rsid w:val="00500505"/>
    <w:rsid w:val="005006C8"/>
    <w:rsid w:val="00500775"/>
    <w:rsid w:val="005033B3"/>
    <w:rsid w:val="00505445"/>
    <w:rsid w:val="00506A10"/>
    <w:rsid w:val="00506E79"/>
    <w:rsid w:val="0050728B"/>
    <w:rsid w:val="0050790A"/>
    <w:rsid w:val="00507A66"/>
    <w:rsid w:val="00507BC0"/>
    <w:rsid w:val="00507CB4"/>
    <w:rsid w:val="00510248"/>
    <w:rsid w:val="00510C72"/>
    <w:rsid w:val="00510F0A"/>
    <w:rsid w:val="00511F96"/>
    <w:rsid w:val="00513A7D"/>
    <w:rsid w:val="00514273"/>
    <w:rsid w:val="0051440C"/>
    <w:rsid w:val="005157F4"/>
    <w:rsid w:val="0051726B"/>
    <w:rsid w:val="005179FC"/>
    <w:rsid w:val="0052064D"/>
    <w:rsid w:val="00520B9C"/>
    <w:rsid w:val="00520CDB"/>
    <w:rsid w:val="005212EB"/>
    <w:rsid w:val="005214C9"/>
    <w:rsid w:val="00522866"/>
    <w:rsid w:val="00523B18"/>
    <w:rsid w:val="005250C3"/>
    <w:rsid w:val="0052551A"/>
    <w:rsid w:val="0052701C"/>
    <w:rsid w:val="00527D0C"/>
    <w:rsid w:val="00530174"/>
    <w:rsid w:val="00530558"/>
    <w:rsid w:val="005305CB"/>
    <w:rsid w:val="00531EF2"/>
    <w:rsid w:val="00533131"/>
    <w:rsid w:val="00533170"/>
    <w:rsid w:val="00533E61"/>
    <w:rsid w:val="00535284"/>
    <w:rsid w:val="005369D2"/>
    <w:rsid w:val="005379D1"/>
    <w:rsid w:val="00537A72"/>
    <w:rsid w:val="00542C20"/>
    <w:rsid w:val="00542F5D"/>
    <w:rsid w:val="0054309C"/>
    <w:rsid w:val="005447D2"/>
    <w:rsid w:val="00545DB7"/>
    <w:rsid w:val="00547830"/>
    <w:rsid w:val="00551434"/>
    <w:rsid w:val="00552031"/>
    <w:rsid w:val="00553268"/>
    <w:rsid w:val="0055361D"/>
    <w:rsid w:val="00553726"/>
    <w:rsid w:val="00553958"/>
    <w:rsid w:val="00556D55"/>
    <w:rsid w:val="005606D9"/>
    <w:rsid w:val="00560EAA"/>
    <w:rsid w:val="00561B20"/>
    <w:rsid w:val="00562B9B"/>
    <w:rsid w:val="00565DCB"/>
    <w:rsid w:val="0056763E"/>
    <w:rsid w:val="00570208"/>
    <w:rsid w:val="0057030C"/>
    <w:rsid w:val="0057068D"/>
    <w:rsid w:val="00571909"/>
    <w:rsid w:val="0057275A"/>
    <w:rsid w:val="005731CB"/>
    <w:rsid w:val="00573A4D"/>
    <w:rsid w:val="00573E98"/>
    <w:rsid w:val="00574630"/>
    <w:rsid w:val="0057738D"/>
    <w:rsid w:val="00577605"/>
    <w:rsid w:val="00580B58"/>
    <w:rsid w:val="00581BFF"/>
    <w:rsid w:val="005820BA"/>
    <w:rsid w:val="0058293D"/>
    <w:rsid w:val="005837CF"/>
    <w:rsid w:val="005840B3"/>
    <w:rsid w:val="00584C72"/>
    <w:rsid w:val="0058624F"/>
    <w:rsid w:val="005875CF"/>
    <w:rsid w:val="005878E8"/>
    <w:rsid w:val="00590002"/>
    <w:rsid w:val="00590AC9"/>
    <w:rsid w:val="00591E5F"/>
    <w:rsid w:val="005921ED"/>
    <w:rsid w:val="00592FE4"/>
    <w:rsid w:val="0059330B"/>
    <w:rsid w:val="00593B30"/>
    <w:rsid w:val="00594071"/>
    <w:rsid w:val="005943C9"/>
    <w:rsid w:val="00594799"/>
    <w:rsid w:val="0059575E"/>
    <w:rsid w:val="00595C57"/>
    <w:rsid w:val="005964E4"/>
    <w:rsid w:val="00597F84"/>
    <w:rsid w:val="005A0077"/>
    <w:rsid w:val="005A01A0"/>
    <w:rsid w:val="005A0536"/>
    <w:rsid w:val="005A065B"/>
    <w:rsid w:val="005A0978"/>
    <w:rsid w:val="005A1E7E"/>
    <w:rsid w:val="005A24B0"/>
    <w:rsid w:val="005A479E"/>
    <w:rsid w:val="005A6A47"/>
    <w:rsid w:val="005B045B"/>
    <w:rsid w:val="005B20FA"/>
    <w:rsid w:val="005B2ED0"/>
    <w:rsid w:val="005B3177"/>
    <w:rsid w:val="005B3255"/>
    <w:rsid w:val="005B3BCB"/>
    <w:rsid w:val="005B3E89"/>
    <w:rsid w:val="005B4A60"/>
    <w:rsid w:val="005B4CE8"/>
    <w:rsid w:val="005B5959"/>
    <w:rsid w:val="005B6B85"/>
    <w:rsid w:val="005B72BC"/>
    <w:rsid w:val="005B7A51"/>
    <w:rsid w:val="005C070C"/>
    <w:rsid w:val="005C0AF6"/>
    <w:rsid w:val="005C15D9"/>
    <w:rsid w:val="005C3A4B"/>
    <w:rsid w:val="005C4C39"/>
    <w:rsid w:val="005C53F1"/>
    <w:rsid w:val="005C612F"/>
    <w:rsid w:val="005C76D6"/>
    <w:rsid w:val="005D15BB"/>
    <w:rsid w:val="005D234E"/>
    <w:rsid w:val="005D25FA"/>
    <w:rsid w:val="005D38A3"/>
    <w:rsid w:val="005D45F5"/>
    <w:rsid w:val="005D566A"/>
    <w:rsid w:val="005D6627"/>
    <w:rsid w:val="005D6A90"/>
    <w:rsid w:val="005D77DC"/>
    <w:rsid w:val="005E1821"/>
    <w:rsid w:val="005E2EDA"/>
    <w:rsid w:val="005E314E"/>
    <w:rsid w:val="005E3274"/>
    <w:rsid w:val="005E4095"/>
    <w:rsid w:val="005E7A4A"/>
    <w:rsid w:val="005F1AF0"/>
    <w:rsid w:val="005F1FD1"/>
    <w:rsid w:val="005F270C"/>
    <w:rsid w:val="005F295F"/>
    <w:rsid w:val="005F33CA"/>
    <w:rsid w:val="005F3AE8"/>
    <w:rsid w:val="005F45F2"/>
    <w:rsid w:val="005F5BAA"/>
    <w:rsid w:val="00601C72"/>
    <w:rsid w:val="00603100"/>
    <w:rsid w:val="00604559"/>
    <w:rsid w:val="00604AF3"/>
    <w:rsid w:val="00605527"/>
    <w:rsid w:val="00605DAB"/>
    <w:rsid w:val="00606020"/>
    <w:rsid w:val="00610684"/>
    <w:rsid w:val="00611028"/>
    <w:rsid w:val="00611B8B"/>
    <w:rsid w:val="00611E45"/>
    <w:rsid w:val="0061231B"/>
    <w:rsid w:val="00612A87"/>
    <w:rsid w:val="00612C0D"/>
    <w:rsid w:val="006136AA"/>
    <w:rsid w:val="006143C8"/>
    <w:rsid w:val="006163FB"/>
    <w:rsid w:val="0061665A"/>
    <w:rsid w:val="006168D1"/>
    <w:rsid w:val="00617450"/>
    <w:rsid w:val="0061764D"/>
    <w:rsid w:val="006204B5"/>
    <w:rsid w:val="006218F4"/>
    <w:rsid w:val="00621934"/>
    <w:rsid w:val="00621A46"/>
    <w:rsid w:val="006223FB"/>
    <w:rsid w:val="006230E8"/>
    <w:rsid w:val="00623154"/>
    <w:rsid w:val="00623BD5"/>
    <w:rsid w:val="00624ADE"/>
    <w:rsid w:val="00624CD3"/>
    <w:rsid w:val="00625746"/>
    <w:rsid w:val="00625E1B"/>
    <w:rsid w:val="00626A33"/>
    <w:rsid w:val="00627A91"/>
    <w:rsid w:val="006314B5"/>
    <w:rsid w:val="006335D4"/>
    <w:rsid w:val="00635146"/>
    <w:rsid w:val="00636507"/>
    <w:rsid w:val="00640169"/>
    <w:rsid w:val="006412A4"/>
    <w:rsid w:val="00642476"/>
    <w:rsid w:val="00644548"/>
    <w:rsid w:val="00644B33"/>
    <w:rsid w:val="00644D3D"/>
    <w:rsid w:val="0064577A"/>
    <w:rsid w:val="00645D44"/>
    <w:rsid w:val="00646C55"/>
    <w:rsid w:val="00647409"/>
    <w:rsid w:val="00647438"/>
    <w:rsid w:val="00647FBA"/>
    <w:rsid w:val="0065214A"/>
    <w:rsid w:val="00652251"/>
    <w:rsid w:val="00653A0B"/>
    <w:rsid w:val="00653F1C"/>
    <w:rsid w:val="006549F0"/>
    <w:rsid w:val="00655119"/>
    <w:rsid w:val="006561FD"/>
    <w:rsid w:val="00656923"/>
    <w:rsid w:val="00656DFF"/>
    <w:rsid w:val="00657A69"/>
    <w:rsid w:val="0066157E"/>
    <w:rsid w:val="006627BE"/>
    <w:rsid w:val="0066387F"/>
    <w:rsid w:val="00663F1E"/>
    <w:rsid w:val="00665313"/>
    <w:rsid w:val="00665497"/>
    <w:rsid w:val="00665BCE"/>
    <w:rsid w:val="00665CA8"/>
    <w:rsid w:val="0066638A"/>
    <w:rsid w:val="00666AA6"/>
    <w:rsid w:val="00672C47"/>
    <w:rsid w:val="0067300B"/>
    <w:rsid w:val="0067324B"/>
    <w:rsid w:val="00674188"/>
    <w:rsid w:val="00675381"/>
    <w:rsid w:val="00675E97"/>
    <w:rsid w:val="006760C7"/>
    <w:rsid w:val="006762CF"/>
    <w:rsid w:val="0067703A"/>
    <w:rsid w:val="00677371"/>
    <w:rsid w:val="0068055B"/>
    <w:rsid w:val="00681217"/>
    <w:rsid w:val="00686716"/>
    <w:rsid w:val="006910A3"/>
    <w:rsid w:val="00691610"/>
    <w:rsid w:val="00692279"/>
    <w:rsid w:val="00692B55"/>
    <w:rsid w:val="0069343B"/>
    <w:rsid w:val="006936AD"/>
    <w:rsid w:val="00693DC1"/>
    <w:rsid w:val="006941E2"/>
    <w:rsid w:val="00694F2C"/>
    <w:rsid w:val="006954E7"/>
    <w:rsid w:val="006958E6"/>
    <w:rsid w:val="0069605B"/>
    <w:rsid w:val="0069664D"/>
    <w:rsid w:val="00696859"/>
    <w:rsid w:val="00696B3C"/>
    <w:rsid w:val="00697C01"/>
    <w:rsid w:val="006A022D"/>
    <w:rsid w:val="006A1AAC"/>
    <w:rsid w:val="006A768C"/>
    <w:rsid w:val="006A7F53"/>
    <w:rsid w:val="006B0025"/>
    <w:rsid w:val="006B0E09"/>
    <w:rsid w:val="006B1762"/>
    <w:rsid w:val="006B1E76"/>
    <w:rsid w:val="006B2097"/>
    <w:rsid w:val="006B2113"/>
    <w:rsid w:val="006B24DE"/>
    <w:rsid w:val="006B2832"/>
    <w:rsid w:val="006B2D02"/>
    <w:rsid w:val="006B5864"/>
    <w:rsid w:val="006B6C53"/>
    <w:rsid w:val="006B71F5"/>
    <w:rsid w:val="006B758F"/>
    <w:rsid w:val="006C0025"/>
    <w:rsid w:val="006C0877"/>
    <w:rsid w:val="006C1AA9"/>
    <w:rsid w:val="006C230A"/>
    <w:rsid w:val="006C24E4"/>
    <w:rsid w:val="006C401B"/>
    <w:rsid w:val="006C4750"/>
    <w:rsid w:val="006C490A"/>
    <w:rsid w:val="006C73C2"/>
    <w:rsid w:val="006C7485"/>
    <w:rsid w:val="006C75D5"/>
    <w:rsid w:val="006C781D"/>
    <w:rsid w:val="006C7986"/>
    <w:rsid w:val="006D01E9"/>
    <w:rsid w:val="006D0B8B"/>
    <w:rsid w:val="006D1DB2"/>
    <w:rsid w:val="006D20CB"/>
    <w:rsid w:val="006D38A9"/>
    <w:rsid w:val="006D38C6"/>
    <w:rsid w:val="006D3964"/>
    <w:rsid w:val="006D42C2"/>
    <w:rsid w:val="006D55FE"/>
    <w:rsid w:val="006D5F0E"/>
    <w:rsid w:val="006D74D8"/>
    <w:rsid w:val="006D77C6"/>
    <w:rsid w:val="006D7A44"/>
    <w:rsid w:val="006E0233"/>
    <w:rsid w:val="006E0A96"/>
    <w:rsid w:val="006E202C"/>
    <w:rsid w:val="006E3669"/>
    <w:rsid w:val="006E3B4F"/>
    <w:rsid w:val="006E3FD7"/>
    <w:rsid w:val="006E48DE"/>
    <w:rsid w:val="006E4E93"/>
    <w:rsid w:val="006E62A4"/>
    <w:rsid w:val="006E67B5"/>
    <w:rsid w:val="006E7292"/>
    <w:rsid w:val="006F0722"/>
    <w:rsid w:val="006F16AF"/>
    <w:rsid w:val="006F1C9A"/>
    <w:rsid w:val="006F4745"/>
    <w:rsid w:val="006F4B71"/>
    <w:rsid w:val="006F5790"/>
    <w:rsid w:val="006F6014"/>
    <w:rsid w:val="006F62A4"/>
    <w:rsid w:val="006F635B"/>
    <w:rsid w:val="00700614"/>
    <w:rsid w:val="00701880"/>
    <w:rsid w:val="00702A22"/>
    <w:rsid w:val="00702D3B"/>
    <w:rsid w:val="00704AA7"/>
    <w:rsid w:val="007052A4"/>
    <w:rsid w:val="0070573B"/>
    <w:rsid w:val="00706A5F"/>
    <w:rsid w:val="00707659"/>
    <w:rsid w:val="00710122"/>
    <w:rsid w:val="0071100D"/>
    <w:rsid w:val="00712BAC"/>
    <w:rsid w:val="007143B1"/>
    <w:rsid w:val="007144FF"/>
    <w:rsid w:val="00714A7D"/>
    <w:rsid w:val="00715B04"/>
    <w:rsid w:val="007164F0"/>
    <w:rsid w:val="00716E8B"/>
    <w:rsid w:val="00720185"/>
    <w:rsid w:val="0072039B"/>
    <w:rsid w:val="00720DE7"/>
    <w:rsid w:val="00720E20"/>
    <w:rsid w:val="00721AA3"/>
    <w:rsid w:val="007222D2"/>
    <w:rsid w:val="007226D6"/>
    <w:rsid w:val="00723A7A"/>
    <w:rsid w:val="00723B34"/>
    <w:rsid w:val="007245A9"/>
    <w:rsid w:val="00727C34"/>
    <w:rsid w:val="00731DA7"/>
    <w:rsid w:val="00731E13"/>
    <w:rsid w:val="007321C8"/>
    <w:rsid w:val="00732BF7"/>
    <w:rsid w:val="00734E16"/>
    <w:rsid w:val="007351C7"/>
    <w:rsid w:val="007357B0"/>
    <w:rsid w:val="00736EB3"/>
    <w:rsid w:val="007371A3"/>
    <w:rsid w:val="00737A97"/>
    <w:rsid w:val="0074013B"/>
    <w:rsid w:val="007416B5"/>
    <w:rsid w:val="00741897"/>
    <w:rsid w:val="00742CE0"/>
    <w:rsid w:val="00742D3B"/>
    <w:rsid w:val="00743532"/>
    <w:rsid w:val="00743A69"/>
    <w:rsid w:val="00745CFB"/>
    <w:rsid w:val="00746B64"/>
    <w:rsid w:val="00746F76"/>
    <w:rsid w:val="00747473"/>
    <w:rsid w:val="00750742"/>
    <w:rsid w:val="00750E76"/>
    <w:rsid w:val="007532C1"/>
    <w:rsid w:val="00753472"/>
    <w:rsid w:val="0075455C"/>
    <w:rsid w:val="007579A2"/>
    <w:rsid w:val="007601E2"/>
    <w:rsid w:val="00760E4A"/>
    <w:rsid w:val="00763590"/>
    <w:rsid w:val="00764FAB"/>
    <w:rsid w:val="00765506"/>
    <w:rsid w:val="00765D69"/>
    <w:rsid w:val="00766CAA"/>
    <w:rsid w:val="00766E72"/>
    <w:rsid w:val="00767971"/>
    <w:rsid w:val="007706A4"/>
    <w:rsid w:val="007710CC"/>
    <w:rsid w:val="0077121A"/>
    <w:rsid w:val="00773599"/>
    <w:rsid w:val="00773D19"/>
    <w:rsid w:val="00773E57"/>
    <w:rsid w:val="0077628A"/>
    <w:rsid w:val="007764C9"/>
    <w:rsid w:val="0078120F"/>
    <w:rsid w:val="007818D0"/>
    <w:rsid w:val="00782A47"/>
    <w:rsid w:val="00784601"/>
    <w:rsid w:val="007848D3"/>
    <w:rsid w:val="00784BC9"/>
    <w:rsid w:val="00785081"/>
    <w:rsid w:val="00785701"/>
    <w:rsid w:val="00786B9E"/>
    <w:rsid w:val="00787CD3"/>
    <w:rsid w:val="007907DC"/>
    <w:rsid w:val="00790B72"/>
    <w:rsid w:val="007916DE"/>
    <w:rsid w:val="007924FB"/>
    <w:rsid w:val="00792DD7"/>
    <w:rsid w:val="00796A47"/>
    <w:rsid w:val="00797851"/>
    <w:rsid w:val="007A03E6"/>
    <w:rsid w:val="007A073A"/>
    <w:rsid w:val="007A1059"/>
    <w:rsid w:val="007A209E"/>
    <w:rsid w:val="007A237C"/>
    <w:rsid w:val="007A27D1"/>
    <w:rsid w:val="007A2CE0"/>
    <w:rsid w:val="007A5382"/>
    <w:rsid w:val="007A599D"/>
    <w:rsid w:val="007A5C7C"/>
    <w:rsid w:val="007A656F"/>
    <w:rsid w:val="007A78E1"/>
    <w:rsid w:val="007B08C3"/>
    <w:rsid w:val="007B09E5"/>
    <w:rsid w:val="007B43BF"/>
    <w:rsid w:val="007B6185"/>
    <w:rsid w:val="007C0D8C"/>
    <w:rsid w:val="007C12D3"/>
    <w:rsid w:val="007C1F81"/>
    <w:rsid w:val="007C26DF"/>
    <w:rsid w:val="007C2B86"/>
    <w:rsid w:val="007C2EDD"/>
    <w:rsid w:val="007C37E3"/>
    <w:rsid w:val="007C443A"/>
    <w:rsid w:val="007C64C4"/>
    <w:rsid w:val="007C7048"/>
    <w:rsid w:val="007C73CF"/>
    <w:rsid w:val="007C7DE0"/>
    <w:rsid w:val="007D1956"/>
    <w:rsid w:val="007D28DD"/>
    <w:rsid w:val="007D297D"/>
    <w:rsid w:val="007D3233"/>
    <w:rsid w:val="007D3BDC"/>
    <w:rsid w:val="007D54F9"/>
    <w:rsid w:val="007D5B7A"/>
    <w:rsid w:val="007D7E82"/>
    <w:rsid w:val="007E037F"/>
    <w:rsid w:val="007E0725"/>
    <w:rsid w:val="007E072A"/>
    <w:rsid w:val="007E23AF"/>
    <w:rsid w:val="007E291A"/>
    <w:rsid w:val="007E2BA1"/>
    <w:rsid w:val="007E2C9E"/>
    <w:rsid w:val="007E2FF8"/>
    <w:rsid w:val="007E34FE"/>
    <w:rsid w:val="007E38CE"/>
    <w:rsid w:val="007E3DA4"/>
    <w:rsid w:val="007E41D5"/>
    <w:rsid w:val="007E6B5E"/>
    <w:rsid w:val="007E748E"/>
    <w:rsid w:val="007F03CE"/>
    <w:rsid w:val="007F0DBF"/>
    <w:rsid w:val="007F0FE9"/>
    <w:rsid w:val="007F104B"/>
    <w:rsid w:val="007F1EB7"/>
    <w:rsid w:val="007F3772"/>
    <w:rsid w:val="007F3A88"/>
    <w:rsid w:val="007F4035"/>
    <w:rsid w:val="007F43BB"/>
    <w:rsid w:val="007F4B03"/>
    <w:rsid w:val="007F6537"/>
    <w:rsid w:val="007F7848"/>
    <w:rsid w:val="00800FA4"/>
    <w:rsid w:val="00801AFB"/>
    <w:rsid w:val="008032D4"/>
    <w:rsid w:val="0080393A"/>
    <w:rsid w:val="0080460B"/>
    <w:rsid w:val="00804FCE"/>
    <w:rsid w:val="00806E2D"/>
    <w:rsid w:val="00807A02"/>
    <w:rsid w:val="00807D15"/>
    <w:rsid w:val="008103DC"/>
    <w:rsid w:val="008109EE"/>
    <w:rsid w:val="008109FA"/>
    <w:rsid w:val="008113E3"/>
    <w:rsid w:val="00812105"/>
    <w:rsid w:val="0081295C"/>
    <w:rsid w:val="00813B03"/>
    <w:rsid w:val="0081419B"/>
    <w:rsid w:val="00820257"/>
    <w:rsid w:val="008207B9"/>
    <w:rsid w:val="008209BD"/>
    <w:rsid w:val="00820AD8"/>
    <w:rsid w:val="00821EF8"/>
    <w:rsid w:val="008234EC"/>
    <w:rsid w:val="00823AF3"/>
    <w:rsid w:val="00823B55"/>
    <w:rsid w:val="00824D6D"/>
    <w:rsid w:val="00824E14"/>
    <w:rsid w:val="008256A1"/>
    <w:rsid w:val="0082675E"/>
    <w:rsid w:val="00827386"/>
    <w:rsid w:val="008303EF"/>
    <w:rsid w:val="00830707"/>
    <w:rsid w:val="00830826"/>
    <w:rsid w:val="0083090D"/>
    <w:rsid w:val="00830BC8"/>
    <w:rsid w:val="00830F77"/>
    <w:rsid w:val="008319C9"/>
    <w:rsid w:val="00832076"/>
    <w:rsid w:val="008335D7"/>
    <w:rsid w:val="00834ADE"/>
    <w:rsid w:val="00836EEE"/>
    <w:rsid w:val="008373A6"/>
    <w:rsid w:val="0083742D"/>
    <w:rsid w:val="00837FA9"/>
    <w:rsid w:val="008409F5"/>
    <w:rsid w:val="00841345"/>
    <w:rsid w:val="00841E90"/>
    <w:rsid w:val="00841ECF"/>
    <w:rsid w:val="00841F0B"/>
    <w:rsid w:val="00842E61"/>
    <w:rsid w:val="0084488D"/>
    <w:rsid w:val="00844CBF"/>
    <w:rsid w:val="00845189"/>
    <w:rsid w:val="0084635B"/>
    <w:rsid w:val="0084698A"/>
    <w:rsid w:val="0084746F"/>
    <w:rsid w:val="008523C3"/>
    <w:rsid w:val="00854042"/>
    <w:rsid w:val="0085419D"/>
    <w:rsid w:val="00854F71"/>
    <w:rsid w:val="008552B4"/>
    <w:rsid w:val="00855983"/>
    <w:rsid w:val="0085698F"/>
    <w:rsid w:val="00857BD3"/>
    <w:rsid w:val="00857CB1"/>
    <w:rsid w:val="00857CE5"/>
    <w:rsid w:val="00861519"/>
    <w:rsid w:val="0086189B"/>
    <w:rsid w:val="00862F1D"/>
    <w:rsid w:val="00863DC6"/>
    <w:rsid w:val="00863F8B"/>
    <w:rsid w:val="00864442"/>
    <w:rsid w:val="0086657B"/>
    <w:rsid w:val="00867939"/>
    <w:rsid w:val="00867950"/>
    <w:rsid w:val="00867F55"/>
    <w:rsid w:val="00870F1C"/>
    <w:rsid w:val="008715BB"/>
    <w:rsid w:val="00871CE3"/>
    <w:rsid w:val="0087311A"/>
    <w:rsid w:val="00873340"/>
    <w:rsid w:val="00874169"/>
    <w:rsid w:val="00874710"/>
    <w:rsid w:val="00875A18"/>
    <w:rsid w:val="008763AC"/>
    <w:rsid w:val="008765D0"/>
    <w:rsid w:val="00876AF8"/>
    <w:rsid w:val="008772CA"/>
    <w:rsid w:val="00877E7B"/>
    <w:rsid w:val="0088068C"/>
    <w:rsid w:val="008818E2"/>
    <w:rsid w:val="008819CA"/>
    <w:rsid w:val="00881E0B"/>
    <w:rsid w:val="00881F51"/>
    <w:rsid w:val="00882248"/>
    <w:rsid w:val="00883285"/>
    <w:rsid w:val="00883918"/>
    <w:rsid w:val="008843F9"/>
    <w:rsid w:val="0088565B"/>
    <w:rsid w:val="00886132"/>
    <w:rsid w:val="00886EAE"/>
    <w:rsid w:val="008878E8"/>
    <w:rsid w:val="0089132B"/>
    <w:rsid w:val="00891B6B"/>
    <w:rsid w:val="00891F07"/>
    <w:rsid w:val="00892766"/>
    <w:rsid w:val="008935C9"/>
    <w:rsid w:val="00894E02"/>
    <w:rsid w:val="008953AF"/>
    <w:rsid w:val="008953E8"/>
    <w:rsid w:val="00895D9F"/>
    <w:rsid w:val="00896D2F"/>
    <w:rsid w:val="00896F7E"/>
    <w:rsid w:val="00897560"/>
    <w:rsid w:val="00897898"/>
    <w:rsid w:val="008A0411"/>
    <w:rsid w:val="008A1130"/>
    <w:rsid w:val="008A25DF"/>
    <w:rsid w:val="008A3E74"/>
    <w:rsid w:val="008A4371"/>
    <w:rsid w:val="008A5BCD"/>
    <w:rsid w:val="008A7537"/>
    <w:rsid w:val="008A7C3F"/>
    <w:rsid w:val="008A7E55"/>
    <w:rsid w:val="008B0158"/>
    <w:rsid w:val="008B03D5"/>
    <w:rsid w:val="008B131F"/>
    <w:rsid w:val="008B2161"/>
    <w:rsid w:val="008B3038"/>
    <w:rsid w:val="008B41DC"/>
    <w:rsid w:val="008B4BC7"/>
    <w:rsid w:val="008B5DCA"/>
    <w:rsid w:val="008B66CB"/>
    <w:rsid w:val="008B78D3"/>
    <w:rsid w:val="008C1821"/>
    <w:rsid w:val="008C3C06"/>
    <w:rsid w:val="008C4521"/>
    <w:rsid w:val="008C469A"/>
    <w:rsid w:val="008C52E3"/>
    <w:rsid w:val="008C545F"/>
    <w:rsid w:val="008C71FD"/>
    <w:rsid w:val="008C7A2A"/>
    <w:rsid w:val="008C7BCF"/>
    <w:rsid w:val="008D05E1"/>
    <w:rsid w:val="008D0C4F"/>
    <w:rsid w:val="008D24BE"/>
    <w:rsid w:val="008D2D92"/>
    <w:rsid w:val="008D2EA2"/>
    <w:rsid w:val="008D30B6"/>
    <w:rsid w:val="008D5B44"/>
    <w:rsid w:val="008D605F"/>
    <w:rsid w:val="008D60E8"/>
    <w:rsid w:val="008D6301"/>
    <w:rsid w:val="008D6CCF"/>
    <w:rsid w:val="008D74F0"/>
    <w:rsid w:val="008E052B"/>
    <w:rsid w:val="008E0D34"/>
    <w:rsid w:val="008E1029"/>
    <w:rsid w:val="008E1A14"/>
    <w:rsid w:val="008E1E66"/>
    <w:rsid w:val="008E23F0"/>
    <w:rsid w:val="008E23FC"/>
    <w:rsid w:val="008E2C87"/>
    <w:rsid w:val="008E34E1"/>
    <w:rsid w:val="008E386F"/>
    <w:rsid w:val="008E47B0"/>
    <w:rsid w:val="008E4F67"/>
    <w:rsid w:val="008E5052"/>
    <w:rsid w:val="008E5B8F"/>
    <w:rsid w:val="008E5E77"/>
    <w:rsid w:val="008E6929"/>
    <w:rsid w:val="008E6C40"/>
    <w:rsid w:val="008E7306"/>
    <w:rsid w:val="008E7CAA"/>
    <w:rsid w:val="008F0266"/>
    <w:rsid w:val="008F0870"/>
    <w:rsid w:val="008F2D50"/>
    <w:rsid w:val="008F3A92"/>
    <w:rsid w:val="008F3BD2"/>
    <w:rsid w:val="008F4675"/>
    <w:rsid w:val="008F5296"/>
    <w:rsid w:val="008F567B"/>
    <w:rsid w:val="008F7674"/>
    <w:rsid w:val="008F7802"/>
    <w:rsid w:val="008F7847"/>
    <w:rsid w:val="00900435"/>
    <w:rsid w:val="009008A7"/>
    <w:rsid w:val="00900C1D"/>
    <w:rsid w:val="00901B8B"/>
    <w:rsid w:val="00901C59"/>
    <w:rsid w:val="009028B8"/>
    <w:rsid w:val="00902BC3"/>
    <w:rsid w:val="00902D0C"/>
    <w:rsid w:val="0090307C"/>
    <w:rsid w:val="00904D5F"/>
    <w:rsid w:val="0090566A"/>
    <w:rsid w:val="009065FA"/>
    <w:rsid w:val="0090681E"/>
    <w:rsid w:val="00907018"/>
    <w:rsid w:val="009070EC"/>
    <w:rsid w:val="009074F5"/>
    <w:rsid w:val="009102A4"/>
    <w:rsid w:val="00910392"/>
    <w:rsid w:val="0091136B"/>
    <w:rsid w:val="00911479"/>
    <w:rsid w:val="0091392D"/>
    <w:rsid w:val="00913A83"/>
    <w:rsid w:val="00913FA9"/>
    <w:rsid w:val="00915A97"/>
    <w:rsid w:val="00915BF4"/>
    <w:rsid w:val="00915EF8"/>
    <w:rsid w:val="0092040B"/>
    <w:rsid w:val="00920A3D"/>
    <w:rsid w:val="00920FA9"/>
    <w:rsid w:val="00921221"/>
    <w:rsid w:val="00921EA6"/>
    <w:rsid w:val="0092248D"/>
    <w:rsid w:val="00923490"/>
    <w:rsid w:val="00923A34"/>
    <w:rsid w:val="00924426"/>
    <w:rsid w:val="009250FB"/>
    <w:rsid w:val="00925CB0"/>
    <w:rsid w:val="00926701"/>
    <w:rsid w:val="009272AD"/>
    <w:rsid w:val="0092780B"/>
    <w:rsid w:val="009308D5"/>
    <w:rsid w:val="009333AC"/>
    <w:rsid w:val="009347A4"/>
    <w:rsid w:val="009352EB"/>
    <w:rsid w:val="00936551"/>
    <w:rsid w:val="009367C9"/>
    <w:rsid w:val="00936944"/>
    <w:rsid w:val="00936CEC"/>
    <w:rsid w:val="00936F3E"/>
    <w:rsid w:val="009374D5"/>
    <w:rsid w:val="00937CCE"/>
    <w:rsid w:val="009406EA"/>
    <w:rsid w:val="00941B15"/>
    <w:rsid w:val="00941B16"/>
    <w:rsid w:val="0094243B"/>
    <w:rsid w:val="00942FD8"/>
    <w:rsid w:val="00943A93"/>
    <w:rsid w:val="0094439B"/>
    <w:rsid w:val="009447A7"/>
    <w:rsid w:val="009458C9"/>
    <w:rsid w:val="009459CD"/>
    <w:rsid w:val="00945A05"/>
    <w:rsid w:val="00945CB7"/>
    <w:rsid w:val="0094749C"/>
    <w:rsid w:val="00952342"/>
    <w:rsid w:val="00952AB4"/>
    <w:rsid w:val="009532AF"/>
    <w:rsid w:val="0095384D"/>
    <w:rsid w:val="00955013"/>
    <w:rsid w:val="0095505D"/>
    <w:rsid w:val="009555E6"/>
    <w:rsid w:val="0095695D"/>
    <w:rsid w:val="00956CBF"/>
    <w:rsid w:val="009579ED"/>
    <w:rsid w:val="00961B27"/>
    <w:rsid w:val="00963AF0"/>
    <w:rsid w:val="00965C90"/>
    <w:rsid w:val="009665A9"/>
    <w:rsid w:val="00967399"/>
    <w:rsid w:val="009702E2"/>
    <w:rsid w:val="00972586"/>
    <w:rsid w:val="0097261E"/>
    <w:rsid w:val="00975309"/>
    <w:rsid w:val="009764F8"/>
    <w:rsid w:val="00977661"/>
    <w:rsid w:val="00977E0D"/>
    <w:rsid w:val="00977F4B"/>
    <w:rsid w:val="009804D0"/>
    <w:rsid w:val="00980DF0"/>
    <w:rsid w:val="009815EB"/>
    <w:rsid w:val="00981F3E"/>
    <w:rsid w:val="0098272F"/>
    <w:rsid w:val="00982D76"/>
    <w:rsid w:val="0098441F"/>
    <w:rsid w:val="0099059E"/>
    <w:rsid w:val="00991001"/>
    <w:rsid w:val="00992287"/>
    <w:rsid w:val="009928D2"/>
    <w:rsid w:val="0099363C"/>
    <w:rsid w:val="00993D46"/>
    <w:rsid w:val="00995372"/>
    <w:rsid w:val="0099743D"/>
    <w:rsid w:val="00997F7B"/>
    <w:rsid w:val="009A03AB"/>
    <w:rsid w:val="009A183F"/>
    <w:rsid w:val="009A1C36"/>
    <w:rsid w:val="009A1EF1"/>
    <w:rsid w:val="009A2BAD"/>
    <w:rsid w:val="009A2E0C"/>
    <w:rsid w:val="009A390D"/>
    <w:rsid w:val="009A4B15"/>
    <w:rsid w:val="009A5D82"/>
    <w:rsid w:val="009A70FC"/>
    <w:rsid w:val="009B0057"/>
    <w:rsid w:val="009B0635"/>
    <w:rsid w:val="009B0D23"/>
    <w:rsid w:val="009B13BC"/>
    <w:rsid w:val="009B1DA5"/>
    <w:rsid w:val="009B1EAF"/>
    <w:rsid w:val="009B3033"/>
    <w:rsid w:val="009B35E1"/>
    <w:rsid w:val="009B3616"/>
    <w:rsid w:val="009B40B8"/>
    <w:rsid w:val="009B429A"/>
    <w:rsid w:val="009B46DE"/>
    <w:rsid w:val="009B4FDF"/>
    <w:rsid w:val="009B54E2"/>
    <w:rsid w:val="009B5B61"/>
    <w:rsid w:val="009B5DDF"/>
    <w:rsid w:val="009B6F1D"/>
    <w:rsid w:val="009B720D"/>
    <w:rsid w:val="009B74F6"/>
    <w:rsid w:val="009B7B4C"/>
    <w:rsid w:val="009C0593"/>
    <w:rsid w:val="009C0AF6"/>
    <w:rsid w:val="009C0D53"/>
    <w:rsid w:val="009C16C0"/>
    <w:rsid w:val="009C1D0F"/>
    <w:rsid w:val="009C2C3A"/>
    <w:rsid w:val="009C3AA3"/>
    <w:rsid w:val="009C3D76"/>
    <w:rsid w:val="009C4432"/>
    <w:rsid w:val="009C5898"/>
    <w:rsid w:val="009C5BFC"/>
    <w:rsid w:val="009C5DFE"/>
    <w:rsid w:val="009C666B"/>
    <w:rsid w:val="009C757E"/>
    <w:rsid w:val="009D0372"/>
    <w:rsid w:val="009D05A0"/>
    <w:rsid w:val="009D0920"/>
    <w:rsid w:val="009D1857"/>
    <w:rsid w:val="009D23C2"/>
    <w:rsid w:val="009D3DEF"/>
    <w:rsid w:val="009D4705"/>
    <w:rsid w:val="009D4B02"/>
    <w:rsid w:val="009D54B0"/>
    <w:rsid w:val="009D66B7"/>
    <w:rsid w:val="009D7D8F"/>
    <w:rsid w:val="009E083F"/>
    <w:rsid w:val="009E0C93"/>
    <w:rsid w:val="009E11EB"/>
    <w:rsid w:val="009E19B9"/>
    <w:rsid w:val="009E1BF7"/>
    <w:rsid w:val="009E1FEC"/>
    <w:rsid w:val="009E403B"/>
    <w:rsid w:val="009E4503"/>
    <w:rsid w:val="009E4C2E"/>
    <w:rsid w:val="009E4DEE"/>
    <w:rsid w:val="009E4F8C"/>
    <w:rsid w:val="009E538B"/>
    <w:rsid w:val="009E6A27"/>
    <w:rsid w:val="009F12B0"/>
    <w:rsid w:val="009F1324"/>
    <w:rsid w:val="009F13CD"/>
    <w:rsid w:val="009F176B"/>
    <w:rsid w:val="009F5EE7"/>
    <w:rsid w:val="009F6516"/>
    <w:rsid w:val="00A010A1"/>
    <w:rsid w:val="00A024E4"/>
    <w:rsid w:val="00A04A1D"/>
    <w:rsid w:val="00A05C74"/>
    <w:rsid w:val="00A06B5B"/>
    <w:rsid w:val="00A06D49"/>
    <w:rsid w:val="00A07CC8"/>
    <w:rsid w:val="00A07EE2"/>
    <w:rsid w:val="00A10D00"/>
    <w:rsid w:val="00A1248B"/>
    <w:rsid w:val="00A14EB0"/>
    <w:rsid w:val="00A15CDB"/>
    <w:rsid w:val="00A16A90"/>
    <w:rsid w:val="00A20C69"/>
    <w:rsid w:val="00A21472"/>
    <w:rsid w:val="00A21AAB"/>
    <w:rsid w:val="00A22926"/>
    <w:rsid w:val="00A23DD1"/>
    <w:rsid w:val="00A2407B"/>
    <w:rsid w:val="00A24944"/>
    <w:rsid w:val="00A25E72"/>
    <w:rsid w:val="00A2642A"/>
    <w:rsid w:val="00A26433"/>
    <w:rsid w:val="00A27FD9"/>
    <w:rsid w:val="00A30F73"/>
    <w:rsid w:val="00A31C7D"/>
    <w:rsid w:val="00A32519"/>
    <w:rsid w:val="00A32CF3"/>
    <w:rsid w:val="00A3307A"/>
    <w:rsid w:val="00A33F3C"/>
    <w:rsid w:val="00A351DF"/>
    <w:rsid w:val="00A353AC"/>
    <w:rsid w:val="00A36146"/>
    <w:rsid w:val="00A36949"/>
    <w:rsid w:val="00A410DD"/>
    <w:rsid w:val="00A414EF"/>
    <w:rsid w:val="00A4173E"/>
    <w:rsid w:val="00A431E7"/>
    <w:rsid w:val="00A436BA"/>
    <w:rsid w:val="00A43A3E"/>
    <w:rsid w:val="00A448D8"/>
    <w:rsid w:val="00A46730"/>
    <w:rsid w:val="00A46A12"/>
    <w:rsid w:val="00A5039A"/>
    <w:rsid w:val="00A503B9"/>
    <w:rsid w:val="00A506DD"/>
    <w:rsid w:val="00A51670"/>
    <w:rsid w:val="00A518C7"/>
    <w:rsid w:val="00A51B86"/>
    <w:rsid w:val="00A532CB"/>
    <w:rsid w:val="00A5494D"/>
    <w:rsid w:val="00A57A5A"/>
    <w:rsid w:val="00A57EC3"/>
    <w:rsid w:val="00A60BAB"/>
    <w:rsid w:val="00A6198D"/>
    <w:rsid w:val="00A63528"/>
    <w:rsid w:val="00A64757"/>
    <w:rsid w:val="00A67A47"/>
    <w:rsid w:val="00A70134"/>
    <w:rsid w:val="00A70478"/>
    <w:rsid w:val="00A715E3"/>
    <w:rsid w:val="00A71E66"/>
    <w:rsid w:val="00A71E88"/>
    <w:rsid w:val="00A72161"/>
    <w:rsid w:val="00A72818"/>
    <w:rsid w:val="00A72ABD"/>
    <w:rsid w:val="00A72CBE"/>
    <w:rsid w:val="00A73547"/>
    <w:rsid w:val="00A73F4B"/>
    <w:rsid w:val="00A7468F"/>
    <w:rsid w:val="00A74BF6"/>
    <w:rsid w:val="00A74EAB"/>
    <w:rsid w:val="00A7582C"/>
    <w:rsid w:val="00A777D5"/>
    <w:rsid w:val="00A802EB"/>
    <w:rsid w:val="00A8259A"/>
    <w:rsid w:val="00A82BB1"/>
    <w:rsid w:val="00A82BF9"/>
    <w:rsid w:val="00A8387D"/>
    <w:rsid w:val="00A83DB6"/>
    <w:rsid w:val="00A83DF0"/>
    <w:rsid w:val="00A859A8"/>
    <w:rsid w:val="00A85A2E"/>
    <w:rsid w:val="00A85E72"/>
    <w:rsid w:val="00A8670F"/>
    <w:rsid w:val="00A873CE"/>
    <w:rsid w:val="00A9059E"/>
    <w:rsid w:val="00A9093A"/>
    <w:rsid w:val="00A90BF0"/>
    <w:rsid w:val="00A91B4E"/>
    <w:rsid w:val="00A921BB"/>
    <w:rsid w:val="00A926CB"/>
    <w:rsid w:val="00A92C67"/>
    <w:rsid w:val="00A93B21"/>
    <w:rsid w:val="00A9629C"/>
    <w:rsid w:val="00A969A1"/>
    <w:rsid w:val="00A96C5F"/>
    <w:rsid w:val="00A9747C"/>
    <w:rsid w:val="00AA23E0"/>
    <w:rsid w:val="00AA2598"/>
    <w:rsid w:val="00AA2D8B"/>
    <w:rsid w:val="00AA2F82"/>
    <w:rsid w:val="00AA30C1"/>
    <w:rsid w:val="00AA35A7"/>
    <w:rsid w:val="00AA38D3"/>
    <w:rsid w:val="00AA59A9"/>
    <w:rsid w:val="00AA5AB0"/>
    <w:rsid w:val="00AA6878"/>
    <w:rsid w:val="00AB076A"/>
    <w:rsid w:val="00AB0B3B"/>
    <w:rsid w:val="00AB0F54"/>
    <w:rsid w:val="00AB17C1"/>
    <w:rsid w:val="00AB1BC2"/>
    <w:rsid w:val="00AB23A3"/>
    <w:rsid w:val="00AB2B17"/>
    <w:rsid w:val="00AC08FA"/>
    <w:rsid w:val="00AC1113"/>
    <w:rsid w:val="00AC142A"/>
    <w:rsid w:val="00AC29CC"/>
    <w:rsid w:val="00AC42C4"/>
    <w:rsid w:val="00AC5835"/>
    <w:rsid w:val="00AC65CA"/>
    <w:rsid w:val="00AC723E"/>
    <w:rsid w:val="00AD1360"/>
    <w:rsid w:val="00AD2A4A"/>
    <w:rsid w:val="00AD2BBA"/>
    <w:rsid w:val="00AD3D76"/>
    <w:rsid w:val="00AD4051"/>
    <w:rsid w:val="00AD4DD8"/>
    <w:rsid w:val="00AD5AF2"/>
    <w:rsid w:val="00AD668D"/>
    <w:rsid w:val="00AE2927"/>
    <w:rsid w:val="00AE413C"/>
    <w:rsid w:val="00AF01B2"/>
    <w:rsid w:val="00AF17B2"/>
    <w:rsid w:val="00AF30AD"/>
    <w:rsid w:val="00AF37C3"/>
    <w:rsid w:val="00AF4A61"/>
    <w:rsid w:val="00AF60B6"/>
    <w:rsid w:val="00AF6DAC"/>
    <w:rsid w:val="00AF768B"/>
    <w:rsid w:val="00AF7DA9"/>
    <w:rsid w:val="00B0062D"/>
    <w:rsid w:val="00B00C52"/>
    <w:rsid w:val="00B00F06"/>
    <w:rsid w:val="00B01B0D"/>
    <w:rsid w:val="00B01EAD"/>
    <w:rsid w:val="00B025A6"/>
    <w:rsid w:val="00B0461E"/>
    <w:rsid w:val="00B048C8"/>
    <w:rsid w:val="00B05814"/>
    <w:rsid w:val="00B06303"/>
    <w:rsid w:val="00B073E3"/>
    <w:rsid w:val="00B105EC"/>
    <w:rsid w:val="00B10713"/>
    <w:rsid w:val="00B10D8A"/>
    <w:rsid w:val="00B11665"/>
    <w:rsid w:val="00B128A2"/>
    <w:rsid w:val="00B12E81"/>
    <w:rsid w:val="00B13CE4"/>
    <w:rsid w:val="00B143F7"/>
    <w:rsid w:val="00B14FAA"/>
    <w:rsid w:val="00B15AB1"/>
    <w:rsid w:val="00B16E80"/>
    <w:rsid w:val="00B17100"/>
    <w:rsid w:val="00B1765D"/>
    <w:rsid w:val="00B17E13"/>
    <w:rsid w:val="00B17F72"/>
    <w:rsid w:val="00B21CBA"/>
    <w:rsid w:val="00B2284F"/>
    <w:rsid w:val="00B2286C"/>
    <w:rsid w:val="00B228A4"/>
    <w:rsid w:val="00B24133"/>
    <w:rsid w:val="00B2485A"/>
    <w:rsid w:val="00B24A53"/>
    <w:rsid w:val="00B24D49"/>
    <w:rsid w:val="00B25509"/>
    <w:rsid w:val="00B2575C"/>
    <w:rsid w:val="00B2609C"/>
    <w:rsid w:val="00B27E43"/>
    <w:rsid w:val="00B32762"/>
    <w:rsid w:val="00B34266"/>
    <w:rsid w:val="00B34441"/>
    <w:rsid w:val="00B354EA"/>
    <w:rsid w:val="00B36280"/>
    <w:rsid w:val="00B3749C"/>
    <w:rsid w:val="00B4096A"/>
    <w:rsid w:val="00B41509"/>
    <w:rsid w:val="00B41BC5"/>
    <w:rsid w:val="00B42DAE"/>
    <w:rsid w:val="00B46115"/>
    <w:rsid w:val="00B47EF4"/>
    <w:rsid w:val="00B51635"/>
    <w:rsid w:val="00B51700"/>
    <w:rsid w:val="00B525B2"/>
    <w:rsid w:val="00B53820"/>
    <w:rsid w:val="00B53EFC"/>
    <w:rsid w:val="00B55C0B"/>
    <w:rsid w:val="00B56929"/>
    <w:rsid w:val="00B57144"/>
    <w:rsid w:val="00B57C5E"/>
    <w:rsid w:val="00B6077E"/>
    <w:rsid w:val="00B607A7"/>
    <w:rsid w:val="00B616E6"/>
    <w:rsid w:val="00B625B7"/>
    <w:rsid w:val="00B62D82"/>
    <w:rsid w:val="00B63454"/>
    <w:rsid w:val="00B63D0C"/>
    <w:rsid w:val="00B64D01"/>
    <w:rsid w:val="00B66005"/>
    <w:rsid w:val="00B6694C"/>
    <w:rsid w:val="00B66C9B"/>
    <w:rsid w:val="00B67773"/>
    <w:rsid w:val="00B677F2"/>
    <w:rsid w:val="00B70229"/>
    <w:rsid w:val="00B71A23"/>
    <w:rsid w:val="00B71BF7"/>
    <w:rsid w:val="00B7381B"/>
    <w:rsid w:val="00B73893"/>
    <w:rsid w:val="00B73BEE"/>
    <w:rsid w:val="00B73F61"/>
    <w:rsid w:val="00B74B0E"/>
    <w:rsid w:val="00B74EB9"/>
    <w:rsid w:val="00B75DD7"/>
    <w:rsid w:val="00B77341"/>
    <w:rsid w:val="00B80988"/>
    <w:rsid w:val="00B81F32"/>
    <w:rsid w:val="00B8213B"/>
    <w:rsid w:val="00B82BDA"/>
    <w:rsid w:val="00B8307F"/>
    <w:rsid w:val="00B83B04"/>
    <w:rsid w:val="00B848C3"/>
    <w:rsid w:val="00B8509A"/>
    <w:rsid w:val="00B87D44"/>
    <w:rsid w:val="00B90091"/>
    <w:rsid w:val="00B912D8"/>
    <w:rsid w:val="00B9155C"/>
    <w:rsid w:val="00B91C1D"/>
    <w:rsid w:val="00B92432"/>
    <w:rsid w:val="00B92942"/>
    <w:rsid w:val="00B92A75"/>
    <w:rsid w:val="00B92E3F"/>
    <w:rsid w:val="00B92E9F"/>
    <w:rsid w:val="00B95A57"/>
    <w:rsid w:val="00B96B4F"/>
    <w:rsid w:val="00B96F15"/>
    <w:rsid w:val="00B97A5C"/>
    <w:rsid w:val="00BA0570"/>
    <w:rsid w:val="00BA0DC6"/>
    <w:rsid w:val="00BA1159"/>
    <w:rsid w:val="00BA23A7"/>
    <w:rsid w:val="00BA321A"/>
    <w:rsid w:val="00BA55F5"/>
    <w:rsid w:val="00BA58AD"/>
    <w:rsid w:val="00BA6221"/>
    <w:rsid w:val="00BA7863"/>
    <w:rsid w:val="00BA79F8"/>
    <w:rsid w:val="00BB0D56"/>
    <w:rsid w:val="00BB129B"/>
    <w:rsid w:val="00BB1BE0"/>
    <w:rsid w:val="00BB3303"/>
    <w:rsid w:val="00BB3477"/>
    <w:rsid w:val="00BB36D8"/>
    <w:rsid w:val="00BB38DF"/>
    <w:rsid w:val="00BB48EB"/>
    <w:rsid w:val="00BB4F61"/>
    <w:rsid w:val="00BB5239"/>
    <w:rsid w:val="00BB5352"/>
    <w:rsid w:val="00BB62A6"/>
    <w:rsid w:val="00BB71CC"/>
    <w:rsid w:val="00BC1080"/>
    <w:rsid w:val="00BC10A0"/>
    <w:rsid w:val="00BC1A07"/>
    <w:rsid w:val="00BC1ACC"/>
    <w:rsid w:val="00BC1F15"/>
    <w:rsid w:val="00BC2B6C"/>
    <w:rsid w:val="00BC3A98"/>
    <w:rsid w:val="00BC5448"/>
    <w:rsid w:val="00BC5626"/>
    <w:rsid w:val="00BC7467"/>
    <w:rsid w:val="00BC7614"/>
    <w:rsid w:val="00BD09D2"/>
    <w:rsid w:val="00BD1A9C"/>
    <w:rsid w:val="00BD1CB4"/>
    <w:rsid w:val="00BD3D5A"/>
    <w:rsid w:val="00BD561A"/>
    <w:rsid w:val="00BD60F6"/>
    <w:rsid w:val="00BD641B"/>
    <w:rsid w:val="00BD6715"/>
    <w:rsid w:val="00BD76F0"/>
    <w:rsid w:val="00BD791D"/>
    <w:rsid w:val="00BE1251"/>
    <w:rsid w:val="00BE3423"/>
    <w:rsid w:val="00BE36A3"/>
    <w:rsid w:val="00BE4076"/>
    <w:rsid w:val="00BE54B4"/>
    <w:rsid w:val="00BE69DA"/>
    <w:rsid w:val="00BE69FF"/>
    <w:rsid w:val="00BE6FD4"/>
    <w:rsid w:val="00BF006C"/>
    <w:rsid w:val="00BF0268"/>
    <w:rsid w:val="00BF0B26"/>
    <w:rsid w:val="00BF0D75"/>
    <w:rsid w:val="00BF11EB"/>
    <w:rsid w:val="00BF13BF"/>
    <w:rsid w:val="00BF1512"/>
    <w:rsid w:val="00BF1C8C"/>
    <w:rsid w:val="00BF2A12"/>
    <w:rsid w:val="00BF467B"/>
    <w:rsid w:val="00BF4E67"/>
    <w:rsid w:val="00BF5574"/>
    <w:rsid w:val="00BF561C"/>
    <w:rsid w:val="00BF5720"/>
    <w:rsid w:val="00BF5B4F"/>
    <w:rsid w:val="00BF642C"/>
    <w:rsid w:val="00BF68E9"/>
    <w:rsid w:val="00BF6DA9"/>
    <w:rsid w:val="00BF7878"/>
    <w:rsid w:val="00BF7F89"/>
    <w:rsid w:val="00C00F3D"/>
    <w:rsid w:val="00C0142E"/>
    <w:rsid w:val="00C036F6"/>
    <w:rsid w:val="00C040DB"/>
    <w:rsid w:val="00C04A58"/>
    <w:rsid w:val="00C050FE"/>
    <w:rsid w:val="00C0552C"/>
    <w:rsid w:val="00C055F8"/>
    <w:rsid w:val="00C058F0"/>
    <w:rsid w:val="00C05F66"/>
    <w:rsid w:val="00C072E8"/>
    <w:rsid w:val="00C078D2"/>
    <w:rsid w:val="00C07A73"/>
    <w:rsid w:val="00C10063"/>
    <w:rsid w:val="00C1139F"/>
    <w:rsid w:val="00C114D5"/>
    <w:rsid w:val="00C1194E"/>
    <w:rsid w:val="00C1241F"/>
    <w:rsid w:val="00C133E9"/>
    <w:rsid w:val="00C1426B"/>
    <w:rsid w:val="00C1434F"/>
    <w:rsid w:val="00C16311"/>
    <w:rsid w:val="00C1737A"/>
    <w:rsid w:val="00C207CD"/>
    <w:rsid w:val="00C20D3D"/>
    <w:rsid w:val="00C21AAF"/>
    <w:rsid w:val="00C23435"/>
    <w:rsid w:val="00C241A9"/>
    <w:rsid w:val="00C241C5"/>
    <w:rsid w:val="00C25D2F"/>
    <w:rsid w:val="00C25E16"/>
    <w:rsid w:val="00C27BA7"/>
    <w:rsid w:val="00C30FAD"/>
    <w:rsid w:val="00C32125"/>
    <w:rsid w:val="00C32BB8"/>
    <w:rsid w:val="00C3529F"/>
    <w:rsid w:val="00C35360"/>
    <w:rsid w:val="00C35851"/>
    <w:rsid w:val="00C359F8"/>
    <w:rsid w:val="00C37207"/>
    <w:rsid w:val="00C373AB"/>
    <w:rsid w:val="00C416D1"/>
    <w:rsid w:val="00C42643"/>
    <w:rsid w:val="00C43870"/>
    <w:rsid w:val="00C43AB2"/>
    <w:rsid w:val="00C43C57"/>
    <w:rsid w:val="00C44DBC"/>
    <w:rsid w:val="00C45152"/>
    <w:rsid w:val="00C451E9"/>
    <w:rsid w:val="00C454B8"/>
    <w:rsid w:val="00C4727E"/>
    <w:rsid w:val="00C47F5B"/>
    <w:rsid w:val="00C509D6"/>
    <w:rsid w:val="00C50C2A"/>
    <w:rsid w:val="00C519E3"/>
    <w:rsid w:val="00C51E82"/>
    <w:rsid w:val="00C526FF"/>
    <w:rsid w:val="00C541AC"/>
    <w:rsid w:val="00C54636"/>
    <w:rsid w:val="00C56095"/>
    <w:rsid w:val="00C57AC8"/>
    <w:rsid w:val="00C6032D"/>
    <w:rsid w:val="00C61C0F"/>
    <w:rsid w:val="00C623F9"/>
    <w:rsid w:val="00C62812"/>
    <w:rsid w:val="00C62E6E"/>
    <w:rsid w:val="00C63220"/>
    <w:rsid w:val="00C659DB"/>
    <w:rsid w:val="00C66728"/>
    <w:rsid w:val="00C672CB"/>
    <w:rsid w:val="00C67EC0"/>
    <w:rsid w:val="00C67F40"/>
    <w:rsid w:val="00C70422"/>
    <w:rsid w:val="00C70A20"/>
    <w:rsid w:val="00C71515"/>
    <w:rsid w:val="00C7191B"/>
    <w:rsid w:val="00C71F9F"/>
    <w:rsid w:val="00C721F0"/>
    <w:rsid w:val="00C72E70"/>
    <w:rsid w:val="00C73122"/>
    <w:rsid w:val="00C733CB"/>
    <w:rsid w:val="00C74CF2"/>
    <w:rsid w:val="00C74EEF"/>
    <w:rsid w:val="00C7539A"/>
    <w:rsid w:val="00C754BA"/>
    <w:rsid w:val="00C75A0A"/>
    <w:rsid w:val="00C75EAE"/>
    <w:rsid w:val="00C80BCD"/>
    <w:rsid w:val="00C819CD"/>
    <w:rsid w:val="00C820CC"/>
    <w:rsid w:val="00C82536"/>
    <w:rsid w:val="00C82A2E"/>
    <w:rsid w:val="00C85051"/>
    <w:rsid w:val="00C850D1"/>
    <w:rsid w:val="00C85836"/>
    <w:rsid w:val="00C87446"/>
    <w:rsid w:val="00C90934"/>
    <w:rsid w:val="00C90DEF"/>
    <w:rsid w:val="00C9220B"/>
    <w:rsid w:val="00C92392"/>
    <w:rsid w:val="00C9299D"/>
    <w:rsid w:val="00C93BEB"/>
    <w:rsid w:val="00C95279"/>
    <w:rsid w:val="00C95577"/>
    <w:rsid w:val="00C96A16"/>
    <w:rsid w:val="00C96BF9"/>
    <w:rsid w:val="00C96E0A"/>
    <w:rsid w:val="00C97B50"/>
    <w:rsid w:val="00C97CE9"/>
    <w:rsid w:val="00C97D7E"/>
    <w:rsid w:val="00CA0D61"/>
    <w:rsid w:val="00CA2CE2"/>
    <w:rsid w:val="00CA31F8"/>
    <w:rsid w:val="00CA4A42"/>
    <w:rsid w:val="00CB238A"/>
    <w:rsid w:val="00CB62FD"/>
    <w:rsid w:val="00CB7095"/>
    <w:rsid w:val="00CB7259"/>
    <w:rsid w:val="00CB7460"/>
    <w:rsid w:val="00CB793F"/>
    <w:rsid w:val="00CC1184"/>
    <w:rsid w:val="00CC1852"/>
    <w:rsid w:val="00CC21B5"/>
    <w:rsid w:val="00CC21C1"/>
    <w:rsid w:val="00CC24E4"/>
    <w:rsid w:val="00CC2650"/>
    <w:rsid w:val="00CC29D0"/>
    <w:rsid w:val="00CC3667"/>
    <w:rsid w:val="00CC39DF"/>
    <w:rsid w:val="00CC4BAD"/>
    <w:rsid w:val="00CC5471"/>
    <w:rsid w:val="00CC664C"/>
    <w:rsid w:val="00CC7726"/>
    <w:rsid w:val="00CD0088"/>
    <w:rsid w:val="00CD06EC"/>
    <w:rsid w:val="00CD2472"/>
    <w:rsid w:val="00CD2BEA"/>
    <w:rsid w:val="00CD2F77"/>
    <w:rsid w:val="00CD44E6"/>
    <w:rsid w:val="00CD509A"/>
    <w:rsid w:val="00CD5BE1"/>
    <w:rsid w:val="00CD668D"/>
    <w:rsid w:val="00CD6ECF"/>
    <w:rsid w:val="00CE11DC"/>
    <w:rsid w:val="00CE24A3"/>
    <w:rsid w:val="00CE277E"/>
    <w:rsid w:val="00CE2FE3"/>
    <w:rsid w:val="00CE3316"/>
    <w:rsid w:val="00CE3DF0"/>
    <w:rsid w:val="00CE5619"/>
    <w:rsid w:val="00CE5D96"/>
    <w:rsid w:val="00CE6443"/>
    <w:rsid w:val="00CE64D3"/>
    <w:rsid w:val="00CE7A80"/>
    <w:rsid w:val="00CE7C6D"/>
    <w:rsid w:val="00CF0E9D"/>
    <w:rsid w:val="00CF18BB"/>
    <w:rsid w:val="00CF1E07"/>
    <w:rsid w:val="00CF1E12"/>
    <w:rsid w:val="00CF1E7E"/>
    <w:rsid w:val="00CF216D"/>
    <w:rsid w:val="00CF2197"/>
    <w:rsid w:val="00CF220E"/>
    <w:rsid w:val="00CF22E7"/>
    <w:rsid w:val="00CF268C"/>
    <w:rsid w:val="00CF2FBE"/>
    <w:rsid w:val="00CF300F"/>
    <w:rsid w:val="00CF312B"/>
    <w:rsid w:val="00CF3C75"/>
    <w:rsid w:val="00CF4306"/>
    <w:rsid w:val="00CF437B"/>
    <w:rsid w:val="00CF5374"/>
    <w:rsid w:val="00CF5A76"/>
    <w:rsid w:val="00D0141A"/>
    <w:rsid w:val="00D02B65"/>
    <w:rsid w:val="00D06CE9"/>
    <w:rsid w:val="00D07792"/>
    <w:rsid w:val="00D07E49"/>
    <w:rsid w:val="00D102A5"/>
    <w:rsid w:val="00D103A6"/>
    <w:rsid w:val="00D10AFE"/>
    <w:rsid w:val="00D10EC5"/>
    <w:rsid w:val="00D11AA6"/>
    <w:rsid w:val="00D11F05"/>
    <w:rsid w:val="00D12145"/>
    <w:rsid w:val="00D13746"/>
    <w:rsid w:val="00D142BE"/>
    <w:rsid w:val="00D14943"/>
    <w:rsid w:val="00D173A4"/>
    <w:rsid w:val="00D20776"/>
    <w:rsid w:val="00D20A61"/>
    <w:rsid w:val="00D21289"/>
    <w:rsid w:val="00D2258C"/>
    <w:rsid w:val="00D22889"/>
    <w:rsid w:val="00D229DB"/>
    <w:rsid w:val="00D25563"/>
    <w:rsid w:val="00D27D3E"/>
    <w:rsid w:val="00D30970"/>
    <w:rsid w:val="00D30AEB"/>
    <w:rsid w:val="00D317DC"/>
    <w:rsid w:val="00D3181E"/>
    <w:rsid w:val="00D31941"/>
    <w:rsid w:val="00D31FEF"/>
    <w:rsid w:val="00D327CF"/>
    <w:rsid w:val="00D32FD9"/>
    <w:rsid w:val="00D333F2"/>
    <w:rsid w:val="00D33B23"/>
    <w:rsid w:val="00D33F4A"/>
    <w:rsid w:val="00D34195"/>
    <w:rsid w:val="00D34486"/>
    <w:rsid w:val="00D34C80"/>
    <w:rsid w:val="00D34F2F"/>
    <w:rsid w:val="00D35996"/>
    <w:rsid w:val="00D3679E"/>
    <w:rsid w:val="00D40399"/>
    <w:rsid w:val="00D40E91"/>
    <w:rsid w:val="00D416E9"/>
    <w:rsid w:val="00D41FB3"/>
    <w:rsid w:val="00D42C19"/>
    <w:rsid w:val="00D432EC"/>
    <w:rsid w:val="00D43798"/>
    <w:rsid w:val="00D43F85"/>
    <w:rsid w:val="00D443FF"/>
    <w:rsid w:val="00D4467F"/>
    <w:rsid w:val="00D4523D"/>
    <w:rsid w:val="00D45414"/>
    <w:rsid w:val="00D46492"/>
    <w:rsid w:val="00D473D9"/>
    <w:rsid w:val="00D50168"/>
    <w:rsid w:val="00D50A38"/>
    <w:rsid w:val="00D512A1"/>
    <w:rsid w:val="00D51EC9"/>
    <w:rsid w:val="00D52B29"/>
    <w:rsid w:val="00D52E9C"/>
    <w:rsid w:val="00D53B14"/>
    <w:rsid w:val="00D55611"/>
    <w:rsid w:val="00D56EEB"/>
    <w:rsid w:val="00D571CA"/>
    <w:rsid w:val="00D5787B"/>
    <w:rsid w:val="00D60B47"/>
    <w:rsid w:val="00D612D8"/>
    <w:rsid w:val="00D61969"/>
    <w:rsid w:val="00D63091"/>
    <w:rsid w:val="00D636A7"/>
    <w:rsid w:val="00D63B20"/>
    <w:rsid w:val="00D6421D"/>
    <w:rsid w:val="00D66DEB"/>
    <w:rsid w:val="00D67EC7"/>
    <w:rsid w:val="00D70942"/>
    <w:rsid w:val="00D70DD2"/>
    <w:rsid w:val="00D7147D"/>
    <w:rsid w:val="00D7193B"/>
    <w:rsid w:val="00D71BB7"/>
    <w:rsid w:val="00D71DA2"/>
    <w:rsid w:val="00D72095"/>
    <w:rsid w:val="00D721AD"/>
    <w:rsid w:val="00D7234A"/>
    <w:rsid w:val="00D725E4"/>
    <w:rsid w:val="00D7384A"/>
    <w:rsid w:val="00D750A6"/>
    <w:rsid w:val="00D7629F"/>
    <w:rsid w:val="00D773E2"/>
    <w:rsid w:val="00D77C87"/>
    <w:rsid w:val="00D80745"/>
    <w:rsid w:val="00D80A85"/>
    <w:rsid w:val="00D811D1"/>
    <w:rsid w:val="00D824EC"/>
    <w:rsid w:val="00D82BED"/>
    <w:rsid w:val="00D82E5F"/>
    <w:rsid w:val="00D83412"/>
    <w:rsid w:val="00D835F6"/>
    <w:rsid w:val="00D858A5"/>
    <w:rsid w:val="00D85C7B"/>
    <w:rsid w:val="00D85E44"/>
    <w:rsid w:val="00D86B2E"/>
    <w:rsid w:val="00D86DE0"/>
    <w:rsid w:val="00D86FCF"/>
    <w:rsid w:val="00D87033"/>
    <w:rsid w:val="00D8709B"/>
    <w:rsid w:val="00D87BEF"/>
    <w:rsid w:val="00D87E4F"/>
    <w:rsid w:val="00D906B6"/>
    <w:rsid w:val="00D910CE"/>
    <w:rsid w:val="00D91F5D"/>
    <w:rsid w:val="00D94270"/>
    <w:rsid w:val="00D942C6"/>
    <w:rsid w:val="00D953D7"/>
    <w:rsid w:val="00D953EB"/>
    <w:rsid w:val="00D97F10"/>
    <w:rsid w:val="00DA00FC"/>
    <w:rsid w:val="00DA0317"/>
    <w:rsid w:val="00DA144F"/>
    <w:rsid w:val="00DA2118"/>
    <w:rsid w:val="00DA3C5F"/>
    <w:rsid w:val="00DA451B"/>
    <w:rsid w:val="00DA4A22"/>
    <w:rsid w:val="00DA4C0D"/>
    <w:rsid w:val="00DA51D6"/>
    <w:rsid w:val="00DA52D8"/>
    <w:rsid w:val="00DA56FF"/>
    <w:rsid w:val="00DB107A"/>
    <w:rsid w:val="00DB132D"/>
    <w:rsid w:val="00DB1A11"/>
    <w:rsid w:val="00DB22BB"/>
    <w:rsid w:val="00DB331F"/>
    <w:rsid w:val="00DB3336"/>
    <w:rsid w:val="00DB49C6"/>
    <w:rsid w:val="00DB75CA"/>
    <w:rsid w:val="00DB77E8"/>
    <w:rsid w:val="00DC0709"/>
    <w:rsid w:val="00DC070C"/>
    <w:rsid w:val="00DC2D71"/>
    <w:rsid w:val="00DC367C"/>
    <w:rsid w:val="00DC44C7"/>
    <w:rsid w:val="00DC5AFF"/>
    <w:rsid w:val="00DC5F46"/>
    <w:rsid w:val="00DC70D0"/>
    <w:rsid w:val="00DC7548"/>
    <w:rsid w:val="00DD0075"/>
    <w:rsid w:val="00DD14D0"/>
    <w:rsid w:val="00DD19E4"/>
    <w:rsid w:val="00DD1FC3"/>
    <w:rsid w:val="00DD20CC"/>
    <w:rsid w:val="00DD2B34"/>
    <w:rsid w:val="00DD2EF6"/>
    <w:rsid w:val="00DD31E9"/>
    <w:rsid w:val="00DD385F"/>
    <w:rsid w:val="00DD3BEE"/>
    <w:rsid w:val="00DD4017"/>
    <w:rsid w:val="00DD4B00"/>
    <w:rsid w:val="00DD557D"/>
    <w:rsid w:val="00DD641D"/>
    <w:rsid w:val="00DD6CEF"/>
    <w:rsid w:val="00DD717B"/>
    <w:rsid w:val="00DD7ABD"/>
    <w:rsid w:val="00DE2F0A"/>
    <w:rsid w:val="00DE3D8A"/>
    <w:rsid w:val="00DE3E6F"/>
    <w:rsid w:val="00DE4313"/>
    <w:rsid w:val="00DE54F3"/>
    <w:rsid w:val="00DE5B74"/>
    <w:rsid w:val="00DE6442"/>
    <w:rsid w:val="00DE7488"/>
    <w:rsid w:val="00DE74BF"/>
    <w:rsid w:val="00DF0482"/>
    <w:rsid w:val="00DF08B5"/>
    <w:rsid w:val="00DF117F"/>
    <w:rsid w:val="00DF14E1"/>
    <w:rsid w:val="00DF1CDB"/>
    <w:rsid w:val="00DF24EC"/>
    <w:rsid w:val="00DF253B"/>
    <w:rsid w:val="00DF4CE1"/>
    <w:rsid w:val="00DF5262"/>
    <w:rsid w:val="00DF53FB"/>
    <w:rsid w:val="00E00119"/>
    <w:rsid w:val="00E00339"/>
    <w:rsid w:val="00E012D8"/>
    <w:rsid w:val="00E013F6"/>
    <w:rsid w:val="00E01722"/>
    <w:rsid w:val="00E046E9"/>
    <w:rsid w:val="00E0490A"/>
    <w:rsid w:val="00E0579B"/>
    <w:rsid w:val="00E05C35"/>
    <w:rsid w:val="00E05E35"/>
    <w:rsid w:val="00E076DD"/>
    <w:rsid w:val="00E07FBA"/>
    <w:rsid w:val="00E10596"/>
    <w:rsid w:val="00E11E12"/>
    <w:rsid w:val="00E12109"/>
    <w:rsid w:val="00E1274E"/>
    <w:rsid w:val="00E12C79"/>
    <w:rsid w:val="00E12DE5"/>
    <w:rsid w:val="00E1316A"/>
    <w:rsid w:val="00E13503"/>
    <w:rsid w:val="00E1375E"/>
    <w:rsid w:val="00E14234"/>
    <w:rsid w:val="00E154E3"/>
    <w:rsid w:val="00E159DB"/>
    <w:rsid w:val="00E15ABB"/>
    <w:rsid w:val="00E16637"/>
    <w:rsid w:val="00E1749C"/>
    <w:rsid w:val="00E20E4E"/>
    <w:rsid w:val="00E21A6C"/>
    <w:rsid w:val="00E21BA8"/>
    <w:rsid w:val="00E22A8A"/>
    <w:rsid w:val="00E236A1"/>
    <w:rsid w:val="00E24D55"/>
    <w:rsid w:val="00E25E9F"/>
    <w:rsid w:val="00E26828"/>
    <w:rsid w:val="00E275C2"/>
    <w:rsid w:val="00E2774C"/>
    <w:rsid w:val="00E303E5"/>
    <w:rsid w:val="00E31FE9"/>
    <w:rsid w:val="00E33145"/>
    <w:rsid w:val="00E33635"/>
    <w:rsid w:val="00E339A6"/>
    <w:rsid w:val="00E33EBF"/>
    <w:rsid w:val="00E341AB"/>
    <w:rsid w:val="00E34423"/>
    <w:rsid w:val="00E34C7D"/>
    <w:rsid w:val="00E350F3"/>
    <w:rsid w:val="00E35B0A"/>
    <w:rsid w:val="00E36AE2"/>
    <w:rsid w:val="00E36B29"/>
    <w:rsid w:val="00E36F02"/>
    <w:rsid w:val="00E37C9C"/>
    <w:rsid w:val="00E40258"/>
    <w:rsid w:val="00E41792"/>
    <w:rsid w:val="00E4248C"/>
    <w:rsid w:val="00E4250C"/>
    <w:rsid w:val="00E42743"/>
    <w:rsid w:val="00E42CEE"/>
    <w:rsid w:val="00E4307F"/>
    <w:rsid w:val="00E4396A"/>
    <w:rsid w:val="00E44713"/>
    <w:rsid w:val="00E44CB6"/>
    <w:rsid w:val="00E45D4A"/>
    <w:rsid w:val="00E45FFE"/>
    <w:rsid w:val="00E473EE"/>
    <w:rsid w:val="00E4745A"/>
    <w:rsid w:val="00E5017A"/>
    <w:rsid w:val="00E501B2"/>
    <w:rsid w:val="00E5256F"/>
    <w:rsid w:val="00E52700"/>
    <w:rsid w:val="00E54AD4"/>
    <w:rsid w:val="00E55A3A"/>
    <w:rsid w:val="00E607BA"/>
    <w:rsid w:val="00E60FCD"/>
    <w:rsid w:val="00E61A47"/>
    <w:rsid w:val="00E61E5D"/>
    <w:rsid w:val="00E627EC"/>
    <w:rsid w:val="00E62EB1"/>
    <w:rsid w:val="00E64B23"/>
    <w:rsid w:val="00E6578C"/>
    <w:rsid w:val="00E6746C"/>
    <w:rsid w:val="00E67FB9"/>
    <w:rsid w:val="00E70CA2"/>
    <w:rsid w:val="00E71752"/>
    <w:rsid w:val="00E718A1"/>
    <w:rsid w:val="00E719E8"/>
    <w:rsid w:val="00E72C0E"/>
    <w:rsid w:val="00E738FF"/>
    <w:rsid w:val="00E75163"/>
    <w:rsid w:val="00E75C14"/>
    <w:rsid w:val="00E75C24"/>
    <w:rsid w:val="00E75EF7"/>
    <w:rsid w:val="00E8023E"/>
    <w:rsid w:val="00E80E40"/>
    <w:rsid w:val="00E80E65"/>
    <w:rsid w:val="00E82A1D"/>
    <w:rsid w:val="00E83E99"/>
    <w:rsid w:val="00E84B29"/>
    <w:rsid w:val="00E87123"/>
    <w:rsid w:val="00E904B4"/>
    <w:rsid w:val="00E904E6"/>
    <w:rsid w:val="00E91C89"/>
    <w:rsid w:val="00E9238C"/>
    <w:rsid w:val="00E92400"/>
    <w:rsid w:val="00E925C9"/>
    <w:rsid w:val="00E94742"/>
    <w:rsid w:val="00E951A8"/>
    <w:rsid w:val="00E95B31"/>
    <w:rsid w:val="00E95D9C"/>
    <w:rsid w:val="00EA0002"/>
    <w:rsid w:val="00EA095A"/>
    <w:rsid w:val="00EA1CB8"/>
    <w:rsid w:val="00EA2186"/>
    <w:rsid w:val="00EA21F6"/>
    <w:rsid w:val="00EA2394"/>
    <w:rsid w:val="00EA3227"/>
    <w:rsid w:val="00EA427B"/>
    <w:rsid w:val="00EA4D6F"/>
    <w:rsid w:val="00EA4F8F"/>
    <w:rsid w:val="00EA63A0"/>
    <w:rsid w:val="00EA6B7A"/>
    <w:rsid w:val="00EA6EDB"/>
    <w:rsid w:val="00EA7D77"/>
    <w:rsid w:val="00EB1CC8"/>
    <w:rsid w:val="00EB1DF8"/>
    <w:rsid w:val="00EB2470"/>
    <w:rsid w:val="00EB2C3D"/>
    <w:rsid w:val="00EB3D25"/>
    <w:rsid w:val="00EB5093"/>
    <w:rsid w:val="00EB6B65"/>
    <w:rsid w:val="00EB6CA6"/>
    <w:rsid w:val="00EB7454"/>
    <w:rsid w:val="00EC05FC"/>
    <w:rsid w:val="00EC38D1"/>
    <w:rsid w:val="00EC3F8F"/>
    <w:rsid w:val="00EC41C7"/>
    <w:rsid w:val="00EC5333"/>
    <w:rsid w:val="00ED2351"/>
    <w:rsid w:val="00ED25E4"/>
    <w:rsid w:val="00ED2756"/>
    <w:rsid w:val="00ED360C"/>
    <w:rsid w:val="00ED56DE"/>
    <w:rsid w:val="00ED5A93"/>
    <w:rsid w:val="00ED6028"/>
    <w:rsid w:val="00ED6352"/>
    <w:rsid w:val="00ED6EE8"/>
    <w:rsid w:val="00ED74EA"/>
    <w:rsid w:val="00EE0A56"/>
    <w:rsid w:val="00EE1824"/>
    <w:rsid w:val="00EE1EC1"/>
    <w:rsid w:val="00EE1F8D"/>
    <w:rsid w:val="00EE2380"/>
    <w:rsid w:val="00EE5488"/>
    <w:rsid w:val="00EE5FB7"/>
    <w:rsid w:val="00EE5FC1"/>
    <w:rsid w:val="00EE6298"/>
    <w:rsid w:val="00EE7025"/>
    <w:rsid w:val="00EF0068"/>
    <w:rsid w:val="00EF1567"/>
    <w:rsid w:val="00EF3594"/>
    <w:rsid w:val="00EF4E6A"/>
    <w:rsid w:val="00EF4ED4"/>
    <w:rsid w:val="00EF53AE"/>
    <w:rsid w:val="00F0003C"/>
    <w:rsid w:val="00F003D8"/>
    <w:rsid w:val="00F006E4"/>
    <w:rsid w:val="00F016C3"/>
    <w:rsid w:val="00F01717"/>
    <w:rsid w:val="00F02318"/>
    <w:rsid w:val="00F03888"/>
    <w:rsid w:val="00F03B8E"/>
    <w:rsid w:val="00F04B56"/>
    <w:rsid w:val="00F057BE"/>
    <w:rsid w:val="00F05A25"/>
    <w:rsid w:val="00F06D82"/>
    <w:rsid w:val="00F0744D"/>
    <w:rsid w:val="00F07B8C"/>
    <w:rsid w:val="00F1118C"/>
    <w:rsid w:val="00F12E63"/>
    <w:rsid w:val="00F12F56"/>
    <w:rsid w:val="00F12FDF"/>
    <w:rsid w:val="00F156D7"/>
    <w:rsid w:val="00F174CC"/>
    <w:rsid w:val="00F20E78"/>
    <w:rsid w:val="00F21254"/>
    <w:rsid w:val="00F2156B"/>
    <w:rsid w:val="00F217FF"/>
    <w:rsid w:val="00F21DE6"/>
    <w:rsid w:val="00F22277"/>
    <w:rsid w:val="00F22424"/>
    <w:rsid w:val="00F22434"/>
    <w:rsid w:val="00F22A52"/>
    <w:rsid w:val="00F22D64"/>
    <w:rsid w:val="00F22FC8"/>
    <w:rsid w:val="00F234CD"/>
    <w:rsid w:val="00F23B3E"/>
    <w:rsid w:val="00F24656"/>
    <w:rsid w:val="00F256AD"/>
    <w:rsid w:val="00F261D8"/>
    <w:rsid w:val="00F2679E"/>
    <w:rsid w:val="00F26F0A"/>
    <w:rsid w:val="00F304DC"/>
    <w:rsid w:val="00F30685"/>
    <w:rsid w:val="00F30DF0"/>
    <w:rsid w:val="00F3134E"/>
    <w:rsid w:val="00F326DD"/>
    <w:rsid w:val="00F3273E"/>
    <w:rsid w:val="00F328F0"/>
    <w:rsid w:val="00F32EE4"/>
    <w:rsid w:val="00F3398D"/>
    <w:rsid w:val="00F33F7C"/>
    <w:rsid w:val="00F33FAD"/>
    <w:rsid w:val="00F34576"/>
    <w:rsid w:val="00F36B64"/>
    <w:rsid w:val="00F36DAE"/>
    <w:rsid w:val="00F36F24"/>
    <w:rsid w:val="00F37F4B"/>
    <w:rsid w:val="00F405AB"/>
    <w:rsid w:val="00F40C78"/>
    <w:rsid w:val="00F4334C"/>
    <w:rsid w:val="00F43517"/>
    <w:rsid w:val="00F4360D"/>
    <w:rsid w:val="00F436C3"/>
    <w:rsid w:val="00F43804"/>
    <w:rsid w:val="00F44A2B"/>
    <w:rsid w:val="00F45255"/>
    <w:rsid w:val="00F457F5"/>
    <w:rsid w:val="00F458A1"/>
    <w:rsid w:val="00F45BFC"/>
    <w:rsid w:val="00F46401"/>
    <w:rsid w:val="00F46646"/>
    <w:rsid w:val="00F47D59"/>
    <w:rsid w:val="00F50327"/>
    <w:rsid w:val="00F52A45"/>
    <w:rsid w:val="00F538F7"/>
    <w:rsid w:val="00F55438"/>
    <w:rsid w:val="00F5554F"/>
    <w:rsid w:val="00F56067"/>
    <w:rsid w:val="00F5663E"/>
    <w:rsid w:val="00F566F1"/>
    <w:rsid w:val="00F5676C"/>
    <w:rsid w:val="00F5693A"/>
    <w:rsid w:val="00F57C21"/>
    <w:rsid w:val="00F60C73"/>
    <w:rsid w:val="00F621D9"/>
    <w:rsid w:val="00F6284F"/>
    <w:rsid w:val="00F62F1C"/>
    <w:rsid w:val="00F64B69"/>
    <w:rsid w:val="00F64F45"/>
    <w:rsid w:val="00F65622"/>
    <w:rsid w:val="00F66AC9"/>
    <w:rsid w:val="00F7110E"/>
    <w:rsid w:val="00F71F63"/>
    <w:rsid w:val="00F72FC3"/>
    <w:rsid w:val="00F74A3F"/>
    <w:rsid w:val="00F765CD"/>
    <w:rsid w:val="00F7778E"/>
    <w:rsid w:val="00F80647"/>
    <w:rsid w:val="00F82B7C"/>
    <w:rsid w:val="00F83AFB"/>
    <w:rsid w:val="00F83E67"/>
    <w:rsid w:val="00F84019"/>
    <w:rsid w:val="00F846D0"/>
    <w:rsid w:val="00F8600F"/>
    <w:rsid w:val="00F87796"/>
    <w:rsid w:val="00F9012A"/>
    <w:rsid w:val="00F90AAE"/>
    <w:rsid w:val="00F90C95"/>
    <w:rsid w:val="00F91F27"/>
    <w:rsid w:val="00F945DF"/>
    <w:rsid w:val="00F957CA"/>
    <w:rsid w:val="00F95CA0"/>
    <w:rsid w:val="00F972F3"/>
    <w:rsid w:val="00F9732E"/>
    <w:rsid w:val="00FA1125"/>
    <w:rsid w:val="00FA2EA0"/>
    <w:rsid w:val="00FA3813"/>
    <w:rsid w:val="00FA3EB5"/>
    <w:rsid w:val="00FA4D15"/>
    <w:rsid w:val="00FA728D"/>
    <w:rsid w:val="00FA74A8"/>
    <w:rsid w:val="00FA78C2"/>
    <w:rsid w:val="00FB0129"/>
    <w:rsid w:val="00FB096C"/>
    <w:rsid w:val="00FB0ED0"/>
    <w:rsid w:val="00FB3081"/>
    <w:rsid w:val="00FB3311"/>
    <w:rsid w:val="00FB3BC3"/>
    <w:rsid w:val="00FB3F2E"/>
    <w:rsid w:val="00FB6974"/>
    <w:rsid w:val="00FB7CD7"/>
    <w:rsid w:val="00FC034B"/>
    <w:rsid w:val="00FC156F"/>
    <w:rsid w:val="00FC18DC"/>
    <w:rsid w:val="00FC2459"/>
    <w:rsid w:val="00FC2CEC"/>
    <w:rsid w:val="00FC3233"/>
    <w:rsid w:val="00FC3DA5"/>
    <w:rsid w:val="00FC465E"/>
    <w:rsid w:val="00FC4C82"/>
    <w:rsid w:val="00FC514D"/>
    <w:rsid w:val="00FC6683"/>
    <w:rsid w:val="00FC6980"/>
    <w:rsid w:val="00FC7457"/>
    <w:rsid w:val="00FC7730"/>
    <w:rsid w:val="00FD14C4"/>
    <w:rsid w:val="00FD17BA"/>
    <w:rsid w:val="00FD2764"/>
    <w:rsid w:val="00FD2EC0"/>
    <w:rsid w:val="00FD34CB"/>
    <w:rsid w:val="00FD370D"/>
    <w:rsid w:val="00FD3E09"/>
    <w:rsid w:val="00FD3E8B"/>
    <w:rsid w:val="00FD6384"/>
    <w:rsid w:val="00FD7351"/>
    <w:rsid w:val="00FD799C"/>
    <w:rsid w:val="00FD7FA4"/>
    <w:rsid w:val="00FE0255"/>
    <w:rsid w:val="00FE06BC"/>
    <w:rsid w:val="00FE1E29"/>
    <w:rsid w:val="00FE2E60"/>
    <w:rsid w:val="00FE31EE"/>
    <w:rsid w:val="00FE53C1"/>
    <w:rsid w:val="00FE5FE1"/>
    <w:rsid w:val="00FE683F"/>
    <w:rsid w:val="00FE7080"/>
    <w:rsid w:val="00FF0EEA"/>
    <w:rsid w:val="00FF210D"/>
    <w:rsid w:val="00FF2683"/>
    <w:rsid w:val="00FF3224"/>
    <w:rsid w:val="00FF403B"/>
    <w:rsid w:val="00FF5A01"/>
    <w:rsid w:val="00FF5BE4"/>
    <w:rsid w:val="00FF5F1B"/>
    <w:rsid w:val="00FF64E1"/>
    <w:rsid w:val="00FF69AD"/>
    <w:rsid w:val="00FF6AAE"/>
    <w:rsid w:val="00FF71D2"/>
    <w:rsid w:val="00FF72A1"/>
    <w:rsid w:val="00FF7356"/>
    <w:rsid w:val="00FF74F6"/>
    <w:rsid w:val="01020DCA"/>
    <w:rsid w:val="01022F8C"/>
    <w:rsid w:val="019B525E"/>
    <w:rsid w:val="01FF24FB"/>
    <w:rsid w:val="02615BA3"/>
    <w:rsid w:val="046F3053"/>
    <w:rsid w:val="04B30EA5"/>
    <w:rsid w:val="052E53E9"/>
    <w:rsid w:val="05E93B62"/>
    <w:rsid w:val="060A1125"/>
    <w:rsid w:val="066574C0"/>
    <w:rsid w:val="068D1282"/>
    <w:rsid w:val="06CA479B"/>
    <w:rsid w:val="07323B57"/>
    <w:rsid w:val="07534BAC"/>
    <w:rsid w:val="07710D73"/>
    <w:rsid w:val="07750EC4"/>
    <w:rsid w:val="07DB3FDD"/>
    <w:rsid w:val="07F4245B"/>
    <w:rsid w:val="08041306"/>
    <w:rsid w:val="084033A4"/>
    <w:rsid w:val="08733A60"/>
    <w:rsid w:val="08823AE3"/>
    <w:rsid w:val="08974A9C"/>
    <w:rsid w:val="092F4849"/>
    <w:rsid w:val="09410D12"/>
    <w:rsid w:val="094E73C9"/>
    <w:rsid w:val="09BD25A3"/>
    <w:rsid w:val="0ACC1653"/>
    <w:rsid w:val="0AFA597E"/>
    <w:rsid w:val="0B397F35"/>
    <w:rsid w:val="0B7B566B"/>
    <w:rsid w:val="0B7C3A6D"/>
    <w:rsid w:val="0B993113"/>
    <w:rsid w:val="0B9A08D1"/>
    <w:rsid w:val="0BA3620A"/>
    <w:rsid w:val="0BC931C2"/>
    <w:rsid w:val="0C02291F"/>
    <w:rsid w:val="0C17427D"/>
    <w:rsid w:val="0C5B233D"/>
    <w:rsid w:val="0CBF3391"/>
    <w:rsid w:val="0D0640A9"/>
    <w:rsid w:val="0D125CF3"/>
    <w:rsid w:val="0D4072B4"/>
    <w:rsid w:val="0D457CC7"/>
    <w:rsid w:val="0D761AB9"/>
    <w:rsid w:val="0DCC24E5"/>
    <w:rsid w:val="0E110A52"/>
    <w:rsid w:val="0E1958F0"/>
    <w:rsid w:val="0E1D4AFF"/>
    <w:rsid w:val="0E387C65"/>
    <w:rsid w:val="0E5D0A58"/>
    <w:rsid w:val="0E5E7E27"/>
    <w:rsid w:val="0E615D6F"/>
    <w:rsid w:val="0EBA5F25"/>
    <w:rsid w:val="0ECA4E36"/>
    <w:rsid w:val="0FD57456"/>
    <w:rsid w:val="101C4E16"/>
    <w:rsid w:val="103764EC"/>
    <w:rsid w:val="10524AD4"/>
    <w:rsid w:val="107448B0"/>
    <w:rsid w:val="10DB0622"/>
    <w:rsid w:val="10EA68C6"/>
    <w:rsid w:val="11A06992"/>
    <w:rsid w:val="11B1548C"/>
    <w:rsid w:val="11E76164"/>
    <w:rsid w:val="129109C4"/>
    <w:rsid w:val="12E53DFA"/>
    <w:rsid w:val="12F4561A"/>
    <w:rsid w:val="1315234B"/>
    <w:rsid w:val="13176B30"/>
    <w:rsid w:val="140418DB"/>
    <w:rsid w:val="14630807"/>
    <w:rsid w:val="14921AC0"/>
    <w:rsid w:val="151D5A1C"/>
    <w:rsid w:val="15890467"/>
    <w:rsid w:val="158D11FD"/>
    <w:rsid w:val="15910261"/>
    <w:rsid w:val="15C83A81"/>
    <w:rsid w:val="15D95068"/>
    <w:rsid w:val="16083C6E"/>
    <w:rsid w:val="162609EE"/>
    <w:rsid w:val="169F6FBC"/>
    <w:rsid w:val="1723580D"/>
    <w:rsid w:val="17B158A7"/>
    <w:rsid w:val="17BC0226"/>
    <w:rsid w:val="1854224A"/>
    <w:rsid w:val="18EF44AC"/>
    <w:rsid w:val="195507F4"/>
    <w:rsid w:val="19577BB3"/>
    <w:rsid w:val="19C3297F"/>
    <w:rsid w:val="19C8144E"/>
    <w:rsid w:val="19F777EF"/>
    <w:rsid w:val="1A2E238C"/>
    <w:rsid w:val="1A3E431B"/>
    <w:rsid w:val="1A3F0340"/>
    <w:rsid w:val="1A531602"/>
    <w:rsid w:val="1A5E1F99"/>
    <w:rsid w:val="1A6E2F2D"/>
    <w:rsid w:val="1AF1165B"/>
    <w:rsid w:val="1B446C7B"/>
    <w:rsid w:val="1B680291"/>
    <w:rsid w:val="1BC0461C"/>
    <w:rsid w:val="1C2E3359"/>
    <w:rsid w:val="1C4F19CF"/>
    <w:rsid w:val="1C6D53FD"/>
    <w:rsid w:val="1C7311F0"/>
    <w:rsid w:val="1C755532"/>
    <w:rsid w:val="1C977390"/>
    <w:rsid w:val="1D191689"/>
    <w:rsid w:val="1D5E3665"/>
    <w:rsid w:val="1DD3584B"/>
    <w:rsid w:val="1DE92094"/>
    <w:rsid w:val="1E165AA7"/>
    <w:rsid w:val="1E3C4244"/>
    <w:rsid w:val="1EB57C89"/>
    <w:rsid w:val="1EBC160A"/>
    <w:rsid w:val="1EC92286"/>
    <w:rsid w:val="1ED43756"/>
    <w:rsid w:val="1EE7260C"/>
    <w:rsid w:val="1F2560B0"/>
    <w:rsid w:val="1F5F0693"/>
    <w:rsid w:val="1F6A4684"/>
    <w:rsid w:val="1F7378B9"/>
    <w:rsid w:val="1F9B5760"/>
    <w:rsid w:val="1FEF316A"/>
    <w:rsid w:val="205445A5"/>
    <w:rsid w:val="206072D5"/>
    <w:rsid w:val="20743F99"/>
    <w:rsid w:val="20B80B23"/>
    <w:rsid w:val="20B943B9"/>
    <w:rsid w:val="20CA4B85"/>
    <w:rsid w:val="20DA0C65"/>
    <w:rsid w:val="20F44E9E"/>
    <w:rsid w:val="21182338"/>
    <w:rsid w:val="21586E54"/>
    <w:rsid w:val="216A0785"/>
    <w:rsid w:val="218F1423"/>
    <w:rsid w:val="2198515A"/>
    <w:rsid w:val="21CC57AE"/>
    <w:rsid w:val="21D047DC"/>
    <w:rsid w:val="22372F7A"/>
    <w:rsid w:val="22654F81"/>
    <w:rsid w:val="22B03F50"/>
    <w:rsid w:val="22B158B0"/>
    <w:rsid w:val="22E00637"/>
    <w:rsid w:val="23012253"/>
    <w:rsid w:val="23B17C72"/>
    <w:rsid w:val="23EA5179"/>
    <w:rsid w:val="24061967"/>
    <w:rsid w:val="240B114A"/>
    <w:rsid w:val="24825539"/>
    <w:rsid w:val="24C5391E"/>
    <w:rsid w:val="25173832"/>
    <w:rsid w:val="256A7CCB"/>
    <w:rsid w:val="257028AD"/>
    <w:rsid w:val="258F7FF8"/>
    <w:rsid w:val="25DC294B"/>
    <w:rsid w:val="261A7460"/>
    <w:rsid w:val="268D0CFB"/>
    <w:rsid w:val="26DA578A"/>
    <w:rsid w:val="270B7F58"/>
    <w:rsid w:val="27515335"/>
    <w:rsid w:val="27B356B9"/>
    <w:rsid w:val="27EC76B3"/>
    <w:rsid w:val="28603660"/>
    <w:rsid w:val="28916EF8"/>
    <w:rsid w:val="28D9124D"/>
    <w:rsid w:val="2947228C"/>
    <w:rsid w:val="29995DCC"/>
    <w:rsid w:val="29B673FE"/>
    <w:rsid w:val="29BE4512"/>
    <w:rsid w:val="29BF2889"/>
    <w:rsid w:val="29D53888"/>
    <w:rsid w:val="29E12A1E"/>
    <w:rsid w:val="2A4160C9"/>
    <w:rsid w:val="2A662DCE"/>
    <w:rsid w:val="2A9E70D2"/>
    <w:rsid w:val="2AA90E62"/>
    <w:rsid w:val="2AAA75B1"/>
    <w:rsid w:val="2AEA20AA"/>
    <w:rsid w:val="2B326CA4"/>
    <w:rsid w:val="2B41106D"/>
    <w:rsid w:val="2B845257"/>
    <w:rsid w:val="2BBB05FC"/>
    <w:rsid w:val="2BBF40A1"/>
    <w:rsid w:val="2BCB4752"/>
    <w:rsid w:val="2C316FC0"/>
    <w:rsid w:val="2C61588C"/>
    <w:rsid w:val="2CA057D6"/>
    <w:rsid w:val="2CB3108F"/>
    <w:rsid w:val="2CB34D3D"/>
    <w:rsid w:val="2CB41ED8"/>
    <w:rsid w:val="2CC83146"/>
    <w:rsid w:val="2D085D77"/>
    <w:rsid w:val="2DFC1D8B"/>
    <w:rsid w:val="2E01525D"/>
    <w:rsid w:val="2E122AD3"/>
    <w:rsid w:val="2E2E7E23"/>
    <w:rsid w:val="2E4A2307"/>
    <w:rsid w:val="2E574B40"/>
    <w:rsid w:val="2E5D7611"/>
    <w:rsid w:val="2EAC6498"/>
    <w:rsid w:val="2EC4568C"/>
    <w:rsid w:val="2EED36B9"/>
    <w:rsid w:val="2F9C3FBA"/>
    <w:rsid w:val="302C69D9"/>
    <w:rsid w:val="303B42C5"/>
    <w:rsid w:val="307604F9"/>
    <w:rsid w:val="30D648D5"/>
    <w:rsid w:val="310A6AFB"/>
    <w:rsid w:val="31791225"/>
    <w:rsid w:val="318B2044"/>
    <w:rsid w:val="31B55229"/>
    <w:rsid w:val="31E95D83"/>
    <w:rsid w:val="323543D9"/>
    <w:rsid w:val="3258500C"/>
    <w:rsid w:val="32804DCB"/>
    <w:rsid w:val="328476D6"/>
    <w:rsid w:val="32AD2DB0"/>
    <w:rsid w:val="33372CC3"/>
    <w:rsid w:val="3338486C"/>
    <w:rsid w:val="33396AFB"/>
    <w:rsid w:val="334F553B"/>
    <w:rsid w:val="33521E32"/>
    <w:rsid w:val="336424BF"/>
    <w:rsid w:val="337546C4"/>
    <w:rsid w:val="33D33795"/>
    <w:rsid w:val="34B13E51"/>
    <w:rsid w:val="34EA053A"/>
    <w:rsid w:val="34F20035"/>
    <w:rsid w:val="353B0511"/>
    <w:rsid w:val="357077C1"/>
    <w:rsid w:val="35CE1193"/>
    <w:rsid w:val="35CE7CB9"/>
    <w:rsid w:val="35E15839"/>
    <w:rsid w:val="36483980"/>
    <w:rsid w:val="369E296D"/>
    <w:rsid w:val="36C67AFA"/>
    <w:rsid w:val="36DF1632"/>
    <w:rsid w:val="3735448E"/>
    <w:rsid w:val="3829500F"/>
    <w:rsid w:val="38D308F3"/>
    <w:rsid w:val="39600B8A"/>
    <w:rsid w:val="39753A3A"/>
    <w:rsid w:val="39775D77"/>
    <w:rsid w:val="39B14D8A"/>
    <w:rsid w:val="39E37A43"/>
    <w:rsid w:val="3A166917"/>
    <w:rsid w:val="3A6F5A13"/>
    <w:rsid w:val="3AA33646"/>
    <w:rsid w:val="3ABE3D18"/>
    <w:rsid w:val="3B270A3C"/>
    <w:rsid w:val="3B4536BF"/>
    <w:rsid w:val="3B466D8A"/>
    <w:rsid w:val="3BC87676"/>
    <w:rsid w:val="3C0B750F"/>
    <w:rsid w:val="3CD867A2"/>
    <w:rsid w:val="3CFE5B39"/>
    <w:rsid w:val="3D6005C7"/>
    <w:rsid w:val="3E174D3B"/>
    <w:rsid w:val="3E1A4BF7"/>
    <w:rsid w:val="3E2A086B"/>
    <w:rsid w:val="3E6203AA"/>
    <w:rsid w:val="3F207336"/>
    <w:rsid w:val="3F543ED2"/>
    <w:rsid w:val="3F8B62D0"/>
    <w:rsid w:val="3F9B699E"/>
    <w:rsid w:val="3FBC22CC"/>
    <w:rsid w:val="3FCB0EBE"/>
    <w:rsid w:val="3FD31C58"/>
    <w:rsid w:val="40106010"/>
    <w:rsid w:val="40640390"/>
    <w:rsid w:val="4091280B"/>
    <w:rsid w:val="40F72827"/>
    <w:rsid w:val="41CF7EF9"/>
    <w:rsid w:val="41D77F26"/>
    <w:rsid w:val="41F0782C"/>
    <w:rsid w:val="41F4672C"/>
    <w:rsid w:val="42354427"/>
    <w:rsid w:val="425B1AA3"/>
    <w:rsid w:val="4273059F"/>
    <w:rsid w:val="42AC6029"/>
    <w:rsid w:val="42B55351"/>
    <w:rsid w:val="43255195"/>
    <w:rsid w:val="4328598E"/>
    <w:rsid w:val="43872BDD"/>
    <w:rsid w:val="441913F8"/>
    <w:rsid w:val="443115A9"/>
    <w:rsid w:val="444A627A"/>
    <w:rsid w:val="446B2EC2"/>
    <w:rsid w:val="448B0576"/>
    <w:rsid w:val="44EF202B"/>
    <w:rsid w:val="46196586"/>
    <w:rsid w:val="462A5F47"/>
    <w:rsid w:val="46673C85"/>
    <w:rsid w:val="468E0377"/>
    <w:rsid w:val="46CD3289"/>
    <w:rsid w:val="46E07E3C"/>
    <w:rsid w:val="471767E9"/>
    <w:rsid w:val="476B70EE"/>
    <w:rsid w:val="478B4B7E"/>
    <w:rsid w:val="47E94D0F"/>
    <w:rsid w:val="48171F9C"/>
    <w:rsid w:val="48227E8F"/>
    <w:rsid w:val="482E4AA3"/>
    <w:rsid w:val="48BB540A"/>
    <w:rsid w:val="490665BE"/>
    <w:rsid w:val="494A11F4"/>
    <w:rsid w:val="494F21FB"/>
    <w:rsid w:val="495C65C4"/>
    <w:rsid w:val="497B2A72"/>
    <w:rsid w:val="49CD2039"/>
    <w:rsid w:val="49D567D3"/>
    <w:rsid w:val="4A2E1257"/>
    <w:rsid w:val="4A34781F"/>
    <w:rsid w:val="4A444BDA"/>
    <w:rsid w:val="4A835BB7"/>
    <w:rsid w:val="4B000866"/>
    <w:rsid w:val="4B25169A"/>
    <w:rsid w:val="4B487E6B"/>
    <w:rsid w:val="4B874C11"/>
    <w:rsid w:val="4B8E7699"/>
    <w:rsid w:val="4BB173DB"/>
    <w:rsid w:val="4BB17880"/>
    <w:rsid w:val="4BBB46C5"/>
    <w:rsid w:val="4BCC23A5"/>
    <w:rsid w:val="4BEA5F05"/>
    <w:rsid w:val="4C272466"/>
    <w:rsid w:val="4C2A7D0D"/>
    <w:rsid w:val="4C367C95"/>
    <w:rsid w:val="4C7E49DB"/>
    <w:rsid w:val="4C8909ED"/>
    <w:rsid w:val="4CA6245E"/>
    <w:rsid w:val="4CC70CE3"/>
    <w:rsid w:val="4CC72CA3"/>
    <w:rsid w:val="4CD6568B"/>
    <w:rsid w:val="4D4C4385"/>
    <w:rsid w:val="4D572EAB"/>
    <w:rsid w:val="4D5B1C1F"/>
    <w:rsid w:val="4DB15755"/>
    <w:rsid w:val="4DE07C03"/>
    <w:rsid w:val="4E0F7ED8"/>
    <w:rsid w:val="4E5928DE"/>
    <w:rsid w:val="4EC423E6"/>
    <w:rsid w:val="4ED82A6B"/>
    <w:rsid w:val="4FCC1F11"/>
    <w:rsid w:val="4FCF639C"/>
    <w:rsid w:val="4FED120E"/>
    <w:rsid w:val="500E6F12"/>
    <w:rsid w:val="501E2B2C"/>
    <w:rsid w:val="50BF71BA"/>
    <w:rsid w:val="50C91ACE"/>
    <w:rsid w:val="50CB01A8"/>
    <w:rsid w:val="513E3BD3"/>
    <w:rsid w:val="51644E1E"/>
    <w:rsid w:val="519C5BCD"/>
    <w:rsid w:val="51B82B9C"/>
    <w:rsid w:val="51E32AF8"/>
    <w:rsid w:val="529B21F5"/>
    <w:rsid w:val="53557634"/>
    <w:rsid w:val="53645E63"/>
    <w:rsid w:val="53AB783A"/>
    <w:rsid w:val="53BF34CC"/>
    <w:rsid w:val="53EF51D2"/>
    <w:rsid w:val="53F54CA6"/>
    <w:rsid w:val="540366E2"/>
    <w:rsid w:val="54192A44"/>
    <w:rsid w:val="54355117"/>
    <w:rsid w:val="544A4D16"/>
    <w:rsid w:val="544A5545"/>
    <w:rsid w:val="549E3ADE"/>
    <w:rsid w:val="54B45AD9"/>
    <w:rsid w:val="54C50DFC"/>
    <w:rsid w:val="552712D6"/>
    <w:rsid w:val="553131F4"/>
    <w:rsid w:val="55927877"/>
    <w:rsid w:val="55B27867"/>
    <w:rsid w:val="55E77A0C"/>
    <w:rsid w:val="56620E08"/>
    <w:rsid w:val="56653E27"/>
    <w:rsid w:val="56C448DA"/>
    <w:rsid w:val="56C87730"/>
    <w:rsid w:val="56E11867"/>
    <w:rsid w:val="56ED6F50"/>
    <w:rsid w:val="57062159"/>
    <w:rsid w:val="57D23E18"/>
    <w:rsid w:val="58402D8B"/>
    <w:rsid w:val="586A49ED"/>
    <w:rsid w:val="587873FB"/>
    <w:rsid w:val="58E7583D"/>
    <w:rsid w:val="58FE768D"/>
    <w:rsid w:val="592E6445"/>
    <w:rsid w:val="59434726"/>
    <w:rsid w:val="59D24DBF"/>
    <w:rsid w:val="59DB1D06"/>
    <w:rsid w:val="5A1820D7"/>
    <w:rsid w:val="5AAF3C10"/>
    <w:rsid w:val="5AC068C2"/>
    <w:rsid w:val="5B1825A4"/>
    <w:rsid w:val="5B5E114D"/>
    <w:rsid w:val="5B703CDE"/>
    <w:rsid w:val="5B8F1560"/>
    <w:rsid w:val="5BBE20C8"/>
    <w:rsid w:val="5BBF3DE3"/>
    <w:rsid w:val="5C3B6971"/>
    <w:rsid w:val="5C550598"/>
    <w:rsid w:val="5CAE3C9A"/>
    <w:rsid w:val="5CDA0C36"/>
    <w:rsid w:val="5D557E4D"/>
    <w:rsid w:val="5DB470B4"/>
    <w:rsid w:val="5E282F68"/>
    <w:rsid w:val="5E972DCB"/>
    <w:rsid w:val="5EA133E7"/>
    <w:rsid w:val="5EB66267"/>
    <w:rsid w:val="5F047BF3"/>
    <w:rsid w:val="5F3D00C4"/>
    <w:rsid w:val="5F4276A8"/>
    <w:rsid w:val="5F7310A4"/>
    <w:rsid w:val="5F7F33AA"/>
    <w:rsid w:val="5F925CB0"/>
    <w:rsid w:val="5FA628BE"/>
    <w:rsid w:val="5FB373AA"/>
    <w:rsid w:val="5FE421BA"/>
    <w:rsid w:val="609E6F14"/>
    <w:rsid w:val="60C458A0"/>
    <w:rsid w:val="60CA5390"/>
    <w:rsid w:val="615049E0"/>
    <w:rsid w:val="61B12164"/>
    <w:rsid w:val="61EE226D"/>
    <w:rsid w:val="62406AB7"/>
    <w:rsid w:val="624D703F"/>
    <w:rsid w:val="62601902"/>
    <w:rsid w:val="627B5F8F"/>
    <w:rsid w:val="62DF368A"/>
    <w:rsid w:val="62E019A5"/>
    <w:rsid w:val="635B3666"/>
    <w:rsid w:val="6376725F"/>
    <w:rsid w:val="63E063D0"/>
    <w:rsid w:val="63FF2FF3"/>
    <w:rsid w:val="64066A27"/>
    <w:rsid w:val="64162C60"/>
    <w:rsid w:val="64465900"/>
    <w:rsid w:val="64526656"/>
    <w:rsid w:val="64584FAA"/>
    <w:rsid w:val="64603129"/>
    <w:rsid w:val="646A64C1"/>
    <w:rsid w:val="64B55757"/>
    <w:rsid w:val="64D657DE"/>
    <w:rsid w:val="651565A2"/>
    <w:rsid w:val="65232D38"/>
    <w:rsid w:val="65B05CCB"/>
    <w:rsid w:val="65CB1688"/>
    <w:rsid w:val="66524616"/>
    <w:rsid w:val="66AF6FEC"/>
    <w:rsid w:val="66FF30FF"/>
    <w:rsid w:val="67345101"/>
    <w:rsid w:val="674379D3"/>
    <w:rsid w:val="67A32010"/>
    <w:rsid w:val="680F719A"/>
    <w:rsid w:val="681264EA"/>
    <w:rsid w:val="68B12230"/>
    <w:rsid w:val="68BC4EB6"/>
    <w:rsid w:val="68CF663F"/>
    <w:rsid w:val="69F865F3"/>
    <w:rsid w:val="6B370FC3"/>
    <w:rsid w:val="6BE26851"/>
    <w:rsid w:val="6C1F53C4"/>
    <w:rsid w:val="6CD96D21"/>
    <w:rsid w:val="6D49135E"/>
    <w:rsid w:val="6D8F4403"/>
    <w:rsid w:val="6D9178F6"/>
    <w:rsid w:val="6D9D618F"/>
    <w:rsid w:val="6DE62F8B"/>
    <w:rsid w:val="6E145314"/>
    <w:rsid w:val="6E603AF2"/>
    <w:rsid w:val="6EB05232"/>
    <w:rsid w:val="6F557B5E"/>
    <w:rsid w:val="6FB658C8"/>
    <w:rsid w:val="6FD47FD6"/>
    <w:rsid w:val="7014477A"/>
    <w:rsid w:val="70187D41"/>
    <w:rsid w:val="7052523D"/>
    <w:rsid w:val="707B1304"/>
    <w:rsid w:val="71472A20"/>
    <w:rsid w:val="714B59B9"/>
    <w:rsid w:val="71CB246D"/>
    <w:rsid w:val="71D6731C"/>
    <w:rsid w:val="71DC50D1"/>
    <w:rsid w:val="71EA2E53"/>
    <w:rsid w:val="71F05460"/>
    <w:rsid w:val="720A3C56"/>
    <w:rsid w:val="72492343"/>
    <w:rsid w:val="7255227E"/>
    <w:rsid w:val="72897579"/>
    <w:rsid w:val="72C12D2A"/>
    <w:rsid w:val="72FF5BC0"/>
    <w:rsid w:val="73096A33"/>
    <w:rsid w:val="73C406C7"/>
    <w:rsid w:val="73F41EF7"/>
    <w:rsid w:val="74400A94"/>
    <w:rsid w:val="74513C59"/>
    <w:rsid w:val="745A74A8"/>
    <w:rsid w:val="746E2766"/>
    <w:rsid w:val="74842010"/>
    <w:rsid w:val="74CA48F9"/>
    <w:rsid w:val="74EA4E81"/>
    <w:rsid w:val="74FC6776"/>
    <w:rsid w:val="75160B55"/>
    <w:rsid w:val="75500918"/>
    <w:rsid w:val="75681251"/>
    <w:rsid w:val="756E1244"/>
    <w:rsid w:val="756F2C70"/>
    <w:rsid w:val="75B32F6B"/>
    <w:rsid w:val="768B005B"/>
    <w:rsid w:val="76B52020"/>
    <w:rsid w:val="76C506C5"/>
    <w:rsid w:val="77374023"/>
    <w:rsid w:val="774230D1"/>
    <w:rsid w:val="77B259A6"/>
    <w:rsid w:val="77BB3B0A"/>
    <w:rsid w:val="7811604B"/>
    <w:rsid w:val="78176515"/>
    <w:rsid w:val="78391F43"/>
    <w:rsid w:val="785D1E81"/>
    <w:rsid w:val="78690A53"/>
    <w:rsid w:val="790E3349"/>
    <w:rsid w:val="79303726"/>
    <w:rsid w:val="79BE1C31"/>
    <w:rsid w:val="7A1107D6"/>
    <w:rsid w:val="7A3C5C64"/>
    <w:rsid w:val="7A7016DE"/>
    <w:rsid w:val="7A931979"/>
    <w:rsid w:val="7AFA7CBB"/>
    <w:rsid w:val="7AFF5422"/>
    <w:rsid w:val="7B3D2732"/>
    <w:rsid w:val="7B4F336E"/>
    <w:rsid w:val="7B5E576D"/>
    <w:rsid w:val="7B5F550B"/>
    <w:rsid w:val="7B875C4D"/>
    <w:rsid w:val="7BE100C5"/>
    <w:rsid w:val="7C094A4F"/>
    <w:rsid w:val="7C2A3B56"/>
    <w:rsid w:val="7C6926A4"/>
    <w:rsid w:val="7CC94BAB"/>
    <w:rsid w:val="7CCE484F"/>
    <w:rsid w:val="7CD10A64"/>
    <w:rsid w:val="7CF22F20"/>
    <w:rsid w:val="7D19076A"/>
    <w:rsid w:val="7D1F2FF5"/>
    <w:rsid w:val="7DEC3403"/>
    <w:rsid w:val="7DF27454"/>
    <w:rsid w:val="7F0A4E27"/>
    <w:rsid w:val="7F0D3D77"/>
    <w:rsid w:val="7FE0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Calibri" w:hAnsi="Calibri" w:eastAsia="宋体" w:cs="Times New Roman"/>
      <w:color w:val="000000"/>
      <w:sz w:val="21"/>
      <w:u w:val="none" w:color="000000"/>
      <w:lang w:val="en-US" w:eastAsia="zh-CN" w:bidi="ar-SA"/>
    </w:rPr>
  </w:style>
  <w:style w:type="paragraph" w:styleId="2">
    <w:name w:val="heading 1"/>
    <w:basedOn w:val="1"/>
    <w:next w:val="1"/>
    <w:link w:val="90"/>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tLeast"/>
      <w:outlineLvl w:val="1"/>
    </w:pPr>
    <w:rPr>
      <w:rFonts w:ascii="Arial" w:hAnsi="Arial" w:eastAsia="黑体"/>
      <w:b/>
      <w:bCs/>
      <w:sz w:val="32"/>
      <w:szCs w:val="32"/>
    </w:rPr>
  </w:style>
  <w:style w:type="paragraph" w:styleId="4">
    <w:name w:val="heading 3"/>
    <w:basedOn w:val="1"/>
    <w:next w:val="1"/>
    <w:link w:val="89"/>
    <w:qFormat/>
    <w:uiPriority w:val="0"/>
    <w:pPr>
      <w:keepNext/>
      <w:keepLines/>
      <w:widowControl w:val="0"/>
      <w:spacing w:before="260" w:after="260" w:line="24" w:lineRule="auto"/>
      <w:textAlignment w:val="auto"/>
      <w:outlineLvl w:val="2"/>
    </w:pPr>
    <w:rPr>
      <w:rFonts w:ascii="宋体" w:hAnsi="宋体"/>
      <w:b/>
      <w:bCs/>
      <w:color w:val="auto"/>
      <w:sz w:val="24"/>
      <w:szCs w:val="32"/>
      <w:u w:val="none" w:color="auto"/>
    </w:rPr>
  </w:style>
  <w:style w:type="paragraph" w:styleId="5">
    <w:name w:val="heading 4"/>
    <w:basedOn w:val="1"/>
    <w:next w:val="1"/>
    <w:link w:val="105"/>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link w:val="95"/>
    <w:qFormat/>
    <w:uiPriority w:val="0"/>
    <w:pPr>
      <w:keepNext/>
      <w:keepLines/>
      <w:widowControl w:val="0"/>
      <w:spacing w:before="280" w:after="290" w:line="372" w:lineRule="auto"/>
      <w:textAlignment w:val="auto"/>
      <w:outlineLvl w:val="4"/>
    </w:pPr>
    <w:rPr>
      <w:b/>
      <w:bCs/>
      <w:color w:val="auto"/>
      <w:kern w:val="2"/>
      <w:sz w:val="28"/>
      <w:szCs w:val="28"/>
      <w:u w:val="none" w:color="auto"/>
    </w:rPr>
  </w:style>
  <w:style w:type="paragraph" w:styleId="7">
    <w:name w:val="heading 6"/>
    <w:basedOn w:val="1"/>
    <w:next w:val="1"/>
    <w:link w:val="107"/>
    <w:qFormat/>
    <w:uiPriority w:val="0"/>
    <w:pPr>
      <w:keepNext/>
      <w:keepLines/>
      <w:spacing w:before="240" w:after="64" w:line="320" w:lineRule="atLeast"/>
      <w:outlineLvl w:val="5"/>
    </w:pPr>
    <w:rPr>
      <w:rFonts w:ascii="Arial" w:hAnsi="Arial" w:eastAsia="黑体"/>
      <w:b/>
      <w:bCs/>
      <w:sz w:val="24"/>
      <w:szCs w:val="24"/>
    </w:rPr>
  </w:style>
  <w:style w:type="paragraph" w:styleId="8">
    <w:name w:val="heading 7"/>
    <w:basedOn w:val="1"/>
    <w:next w:val="1"/>
    <w:link w:val="99"/>
    <w:qFormat/>
    <w:uiPriority w:val="0"/>
    <w:pPr>
      <w:keepNext/>
      <w:keepLines/>
      <w:widowControl w:val="0"/>
      <w:spacing w:before="240" w:after="64" w:line="317" w:lineRule="auto"/>
      <w:textAlignment w:val="auto"/>
      <w:outlineLvl w:val="6"/>
    </w:pPr>
    <w:rPr>
      <w:b/>
      <w:bCs/>
      <w:color w:val="auto"/>
      <w:kern w:val="2"/>
      <w:sz w:val="24"/>
      <w:szCs w:val="24"/>
      <w:u w:val="none" w:color="auto"/>
    </w:rPr>
  </w:style>
  <w:style w:type="paragraph" w:styleId="9">
    <w:name w:val="heading 8"/>
    <w:basedOn w:val="1"/>
    <w:next w:val="1"/>
    <w:link w:val="84"/>
    <w:qFormat/>
    <w:uiPriority w:val="0"/>
    <w:pPr>
      <w:keepNext/>
      <w:keepLines/>
      <w:widowControl w:val="0"/>
      <w:spacing w:before="240" w:after="64" w:line="317" w:lineRule="auto"/>
      <w:textAlignment w:val="auto"/>
      <w:outlineLvl w:val="7"/>
    </w:pPr>
    <w:rPr>
      <w:rFonts w:ascii="Cambria" w:hAnsi="Cambria"/>
      <w:color w:val="auto"/>
      <w:kern w:val="2"/>
      <w:sz w:val="24"/>
      <w:szCs w:val="24"/>
      <w:u w:val="none" w:color="auto"/>
    </w:rPr>
  </w:style>
  <w:style w:type="paragraph" w:styleId="10">
    <w:name w:val="heading 9"/>
    <w:basedOn w:val="1"/>
    <w:next w:val="1"/>
    <w:link w:val="100"/>
    <w:qFormat/>
    <w:uiPriority w:val="0"/>
    <w:pPr>
      <w:keepNext/>
      <w:keepLines/>
      <w:widowControl w:val="0"/>
      <w:spacing w:before="240" w:after="64" w:line="317" w:lineRule="auto"/>
      <w:textAlignment w:val="auto"/>
      <w:outlineLvl w:val="8"/>
    </w:pPr>
    <w:rPr>
      <w:rFonts w:ascii="Cambria" w:hAnsi="Cambria"/>
      <w:color w:val="auto"/>
      <w:kern w:val="2"/>
      <w:szCs w:val="21"/>
      <w:u w:val="none" w:color="auto"/>
    </w:rPr>
  </w:style>
  <w:style w:type="character" w:default="1" w:styleId="41">
    <w:name w:val="Default Paragraph Font"/>
    <w:semiHidden/>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qFormat/>
    <w:uiPriority w:val="0"/>
    <w:pPr>
      <w:ind w:firstLine="420"/>
    </w:pPr>
  </w:style>
  <w:style w:type="paragraph" w:styleId="13">
    <w:name w:val="caption"/>
    <w:basedOn w:val="1"/>
    <w:next w:val="1"/>
    <w:qFormat/>
    <w:uiPriority w:val="0"/>
    <w:pPr>
      <w:widowControl w:val="0"/>
      <w:spacing w:before="152" w:after="160" w:line="240" w:lineRule="auto"/>
      <w:textAlignment w:val="auto"/>
    </w:pPr>
    <w:rPr>
      <w:rFonts w:ascii="Arial" w:hAnsi="Arial" w:eastAsia="黑体" w:cs="Arial"/>
      <w:color w:val="auto"/>
      <w:kern w:val="2"/>
      <w:sz w:val="20"/>
      <w:u w:val="none" w:color="auto"/>
    </w:rPr>
  </w:style>
  <w:style w:type="paragraph" w:styleId="14">
    <w:name w:val="Document Map"/>
    <w:basedOn w:val="1"/>
    <w:link w:val="96"/>
    <w:qFormat/>
    <w:uiPriority w:val="0"/>
    <w:pPr>
      <w:widowControl w:val="0"/>
      <w:shd w:val="clear" w:color="auto" w:fill="000080"/>
      <w:spacing w:line="240" w:lineRule="auto"/>
      <w:textAlignment w:val="auto"/>
    </w:pPr>
    <w:rPr>
      <w:rFonts w:ascii="宋体" w:hAnsi="Courier New"/>
      <w:color w:val="auto"/>
      <w:kern w:val="2"/>
      <w:szCs w:val="24"/>
      <w:u w:val="none" w:color="auto"/>
    </w:rPr>
  </w:style>
  <w:style w:type="paragraph" w:styleId="15">
    <w:name w:val="annotation text"/>
    <w:basedOn w:val="1"/>
    <w:link w:val="76"/>
    <w:semiHidden/>
    <w:qFormat/>
    <w:uiPriority w:val="0"/>
    <w:pPr>
      <w:jc w:val="left"/>
    </w:pPr>
  </w:style>
  <w:style w:type="paragraph" w:styleId="16">
    <w:name w:val="Body Text"/>
    <w:basedOn w:val="1"/>
    <w:link w:val="117"/>
    <w:qFormat/>
    <w:uiPriority w:val="0"/>
    <w:pPr>
      <w:spacing w:after="120"/>
    </w:pPr>
  </w:style>
  <w:style w:type="paragraph" w:styleId="17">
    <w:name w:val="Body Text Indent"/>
    <w:basedOn w:val="1"/>
    <w:qFormat/>
    <w:uiPriority w:val="0"/>
    <w:pPr>
      <w:widowControl w:val="0"/>
      <w:spacing w:line="440" w:lineRule="exact"/>
      <w:ind w:firstLine="419" w:firstLineChars="196"/>
      <w:textAlignment w:val="auto"/>
    </w:pPr>
    <w:rPr>
      <w:rFonts w:ascii="宋体" w:hAnsi="宋体" w:cs="Courier New"/>
      <w:color w:val="auto"/>
      <w:spacing w:val="2"/>
      <w:kern w:val="2"/>
      <w:szCs w:val="24"/>
      <w:u w:val="none" w:color="auto"/>
    </w:rPr>
  </w:style>
  <w:style w:type="paragraph" w:styleId="18">
    <w:name w:val="Block Text"/>
    <w:basedOn w:val="1"/>
    <w:qFormat/>
    <w:uiPriority w:val="0"/>
    <w:pPr>
      <w:spacing w:after="120"/>
      <w:ind w:left="1440" w:right="1440"/>
    </w:pPr>
  </w:style>
  <w:style w:type="paragraph" w:styleId="19">
    <w:name w:val="index 4"/>
    <w:basedOn w:val="1"/>
    <w:next w:val="1"/>
    <w:qFormat/>
    <w:uiPriority w:val="0"/>
    <w:pPr>
      <w:widowControl w:val="0"/>
      <w:spacing w:line="240" w:lineRule="auto"/>
      <w:ind w:left="600" w:leftChars="600"/>
      <w:textAlignment w:val="auto"/>
    </w:pPr>
    <w:rPr>
      <w:color w:val="auto"/>
      <w:kern w:val="2"/>
      <w:szCs w:val="24"/>
      <w:u w:val="none" w:color="auto"/>
    </w:rPr>
  </w:style>
  <w:style w:type="paragraph" w:styleId="20">
    <w:name w:val="toc 5"/>
    <w:basedOn w:val="1"/>
    <w:next w:val="1"/>
    <w:semiHidden/>
    <w:qFormat/>
    <w:uiPriority w:val="0"/>
    <w:pPr>
      <w:ind w:left="840"/>
      <w:jc w:val="left"/>
    </w:pPr>
    <w:rPr>
      <w:sz w:val="18"/>
      <w:szCs w:val="18"/>
    </w:rPr>
  </w:style>
  <w:style w:type="paragraph" w:styleId="21">
    <w:name w:val="toc 3"/>
    <w:basedOn w:val="1"/>
    <w:next w:val="1"/>
    <w:qFormat/>
    <w:uiPriority w:val="39"/>
    <w:pPr>
      <w:ind w:left="420"/>
      <w:jc w:val="left"/>
    </w:pPr>
    <w:rPr>
      <w:i/>
      <w:iCs/>
      <w:sz w:val="20"/>
    </w:rPr>
  </w:style>
  <w:style w:type="paragraph" w:styleId="22">
    <w:name w:val="Plain Text"/>
    <w:basedOn w:val="1"/>
    <w:link w:val="92"/>
    <w:qFormat/>
    <w:uiPriority w:val="0"/>
    <w:pPr>
      <w:widowControl w:val="0"/>
      <w:spacing w:line="240" w:lineRule="auto"/>
      <w:textAlignment w:val="auto"/>
    </w:pPr>
    <w:rPr>
      <w:rFonts w:ascii="宋体" w:hAnsi="Courier New"/>
      <w:color w:val="auto"/>
      <w:kern w:val="2"/>
      <w:u w:val="none" w:color="auto"/>
    </w:rPr>
  </w:style>
  <w:style w:type="paragraph" w:styleId="23">
    <w:name w:val="toc 8"/>
    <w:basedOn w:val="1"/>
    <w:next w:val="1"/>
    <w:semiHidden/>
    <w:qFormat/>
    <w:uiPriority w:val="0"/>
    <w:pPr>
      <w:ind w:left="1470"/>
      <w:jc w:val="left"/>
    </w:pPr>
    <w:rPr>
      <w:sz w:val="18"/>
      <w:szCs w:val="18"/>
    </w:rPr>
  </w:style>
  <w:style w:type="paragraph" w:styleId="24">
    <w:name w:val="Date"/>
    <w:basedOn w:val="1"/>
    <w:next w:val="1"/>
    <w:link w:val="103"/>
    <w:qFormat/>
    <w:uiPriority w:val="0"/>
    <w:pPr>
      <w:ind w:left="100" w:leftChars="2500"/>
    </w:pPr>
  </w:style>
  <w:style w:type="paragraph" w:styleId="25">
    <w:name w:val="Body Text Indent 2"/>
    <w:basedOn w:val="1"/>
    <w:qFormat/>
    <w:uiPriority w:val="0"/>
    <w:pPr>
      <w:widowControl w:val="0"/>
      <w:spacing w:line="420" w:lineRule="exact"/>
      <w:ind w:firstLine="409" w:firstLineChars="195"/>
      <w:textAlignment w:val="auto"/>
    </w:pPr>
    <w:rPr>
      <w:color w:val="auto"/>
      <w:kern w:val="2"/>
      <w:szCs w:val="24"/>
      <w:u w:val="none" w:color="auto"/>
    </w:rPr>
  </w:style>
  <w:style w:type="paragraph" w:styleId="26">
    <w:name w:val="Balloon Text"/>
    <w:basedOn w:val="1"/>
    <w:link w:val="78"/>
    <w:semiHidden/>
    <w:qFormat/>
    <w:uiPriority w:val="0"/>
    <w:rPr>
      <w:sz w:val="18"/>
      <w:szCs w:val="18"/>
    </w:rPr>
  </w:style>
  <w:style w:type="paragraph" w:styleId="27">
    <w:name w:val="footer"/>
    <w:basedOn w:val="1"/>
    <w:link w:val="109"/>
    <w:qFormat/>
    <w:uiPriority w:val="0"/>
    <w:pPr>
      <w:tabs>
        <w:tab w:val="center" w:pos="4153"/>
        <w:tab w:val="right" w:pos="8306"/>
      </w:tabs>
      <w:snapToGrid w:val="0"/>
      <w:spacing w:line="240" w:lineRule="atLeast"/>
      <w:jc w:val="left"/>
    </w:pPr>
    <w:rPr>
      <w:sz w:val="18"/>
      <w:szCs w:val="18"/>
    </w:rPr>
  </w:style>
  <w:style w:type="paragraph" w:styleId="28">
    <w:name w:val="header"/>
    <w:basedOn w:val="1"/>
    <w:link w:val="1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9">
    <w:name w:val="toc 1"/>
    <w:basedOn w:val="1"/>
    <w:next w:val="1"/>
    <w:qFormat/>
    <w:uiPriority w:val="39"/>
    <w:pPr>
      <w:tabs>
        <w:tab w:val="right" w:leader="dot" w:pos="9061"/>
      </w:tabs>
      <w:spacing w:before="120" w:after="120" w:line="500" w:lineRule="exact"/>
      <w:ind w:left="359" w:leftChars="171" w:firstLine="120" w:firstLineChars="50"/>
      <w:jc w:val="left"/>
    </w:pPr>
    <w:rPr>
      <w:b/>
      <w:bCs/>
      <w:caps/>
      <w:sz w:val="20"/>
    </w:rPr>
  </w:style>
  <w:style w:type="paragraph" w:styleId="30">
    <w:name w:val="toc 4"/>
    <w:basedOn w:val="1"/>
    <w:next w:val="1"/>
    <w:semiHidden/>
    <w:qFormat/>
    <w:uiPriority w:val="0"/>
    <w:pPr>
      <w:ind w:left="630"/>
      <w:jc w:val="left"/>
    </w:pPr>
    <w:rPr>
      <w:sz w:val="18"/>
      <w:szCs w:val="18"/>
    </w:rPr>
  </w:style>
  <w:style w:type="paragraph" w:styleId="31">
    <w:name w:val="Subtitle"/>
    <w:basedOn w:val="1"/>
    <w:next w:val="1"/>
    <w:link w:val="86"/>
    <w:qFormat/>
    <w:uiPriority w:val="0"/>
    <w:pPr>
      <w:widowControl w:val="0"/>
      <w:spacing w:before="240" w:after="60" w:line="312" w:lineRule="auto"/>
      <w:jc w:val="center"/>
      <w:textAlignment w:val="auto"/>
      <w:outlineLvl w:val="1"/>
    </w:pPr>
    <w:rPr>
      <w:rFonts w:ascii="宋体" w:hAnsi="Courier New"/>
      <w:color w:val="auto"/>
      <w:kern w:val="2"/>
      <w:u w:val="none" w:color="auto"/>
    </w:rPr>
  </w:style>
  <w:style w:type="paragraph" w:styleId="32">
    <w:name w:val="toc 6"/>
    <w:basedOn w:val="1"/>
    <w:next w:val="1"/>
    <w:semiHidden/>
    <w:qFormat/>
    <w:uiPriority w:val="0"/>
    <w:pPr>
      <w:ind w:left="1050"/>
      <w:jc w:val="left"/>
    </w:pPr>
    <w:rPr>
      <w:sz w:val="18"/>
      <w:szCs w:val="18"/>
    </w:rPr>
  </w:style>
  <w:style w:type="paragraph" w:styleId="33">
    <w:name w:val="Body Text Indent 3"/>
    <w:basedOn w:val="1"/>
    <w:qFormat/>
    <w:uiPriority w:val="0"/>
    <w:pPr>
      <w:spacing w:line="360" w:lineRule="auto"/>
      <w:ind w:firstLine="359" w:firstLineChars="171"/>
    </w:pPr>
  </w:style>
  <w:style w:type="paragraph" w:styleId="34">
    <w:name w:val="toc 2"/>
    <w:basedOn w:val="1"/>
    <w:next w:val="1"/>
    <w:qFormat/>
    <w:uiPriority w:val="39"/>
    <w:pPr>
      <w:tabs>
        <w:tab w:val="right" w:leader="dot" w:pos="9180"/>
      </w:tabs>
      <w:spacing w:line="440" w:lineRule="exact"/>
      <w:ind w:left="210"/>
      <w:jc w:val="left"/>
    </w:pPr>
    <w:rPr>
      <w:rFonts w:ascii="仿宋_GB2312" w:hAnsi="仿宋_GB2312" w:eastAsia="仿宋_GB2312"/>
      <w:smallCaps/>
      <w:sz w:val="24"/>
      <w:szCs w:val="24"/>
    </w:rPr>
  </w:style>
  <w:style w:type="paragraph" w:styleId="35">
    <w:name w:val="toc 9"/>
    <w:basedOn w:val="1"/>
    <w:next w:val="1"/>
    <w:semiHidden/>
    <w:qFormat/>
    <w:uiPriority w:val="0"/>
    <w:pPr>
      <w:ind w:left="1680"/>
      <w:jc w:val="left"/>
    </w:pPr>
    <w:rPr>
      <w:sz w:val="18"/>
      <w:szCs w:val="18"/>
    </w:rPr>
  </w:style>
  <w:style w:type="paragraph" w:styleId="36">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37">
    <w:name w:val="Title"/>
    <w:basedOn w:val="1"/>
    <w:next w:val="1"/>
    <w:link w:val="111"/>
    <w:qFormat/>
    <w:uiPriority w:val="0"/>
    <w:pPr>
      <w:widowControl w:val="0"/>
      <w:spacing w:before="240" w:after="60" w:line="240" w:lineRule="auto"/>
      <w:jc w:val="center"/>
      <w:textAlignment w:val="auto"/>
      <w:outlineLvl w:val="0"/>
    </w:pPr>
    <w:rPr>
      <w:rFonts w:ascii="Cambria" w:hAnsi="Cambria"/>
      <w:b/>
      <w:bCs/>
      <w:color w:val="auto"/>
      <w:kern w:val="2"/>
      <w:sz w:val="32"/>
      <w:szCs w:val="32"/>
      <w:u w:val="none" w:color="auto"/>
    </w:rPr>
  </w:style>
  <w:style w:type="paragraph" w:styleId="38">
    <w:name w:val="annotation subject"/>
    <w:basedOn w:val="15"/>
    <w:next w:val="15"/>
    <w:link w:val="110"/>
    <w:qFormat/>
    <w:uiPriority w:val="0"/>
    <w:pPr>
      <w:widowControl w:val="0"/>
      <w:spacing w:line="240" w:lineRule="auto"/>
      <w:textAlignment w:val="auto"/>
    </w:pPr>
    <w:rPr>
      <w:rFonts w:ascii="宋体"/>
      <w:b/>
      <w:bCs/>
      <w:color w:val="auto"/>
      <w:sz w:val="28"/>
      <w:u w:val="none" w:color="auto"/>
    </w:rPr>
  </w:style>
  <w:style w:type="table" w:styleId="40">
    <w:name w:val="Table Grid"/>
    <w:basedOn w:val="39"/>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Calibri" w:hAnsi="Calibri" w:eastAsia="宋体" w:cs="Times New Roman"/>
      <w:b/>
      <w:bCs/>
    </w:rPr>
  </w:style>
  <w:style w:type="character" w:styleId="43">
    <w:name w:val="page number"/>
    <w:basedOn w:val="41"/>
    <w:qFormat/>
    <w:uiPriority w:val="0"/>
    <w:rPr>
      <w:rFonts w:ascii="Calibri" w:hAnsi="Calibri" w:eastAsia="宋体" w:cs="Times New Roman"/>
    </w:rPr>
  </w:style>
  <w:style w:type="character" w:styleId="44">
    <w:name w:val="FollowedHyperlink"/>
    <w:qFormat/>
    <w:uiPriority w:val="0"/>
    <w:rPr>
      <w:rFonts w:ascii="Calibri" w:hAnsi="Calibri" w:eastAsia="宋体" w:cs="Times New Roman"/>
      <w:color w:val="800080"/>
      <w:u w:val="none"/>
    </w:rPr>
  </w:style>
  <w:style w:type="character" w:styleId="45">
    <w:name w:val="Hyperlink"/>
    <w:qFormat/>
    <w:uiPriority w:val="99"/>
    <w:rPr>
      <w:rFonts w:ascii="Calibri" w:hAnsi="Calibri" w:eastAsia="宋体" w:cs="Times New Roman"/>
      <w:color w:val="0000FF"/>
      <w:u w:val="none"/>
    </w:rPr>
  </w:style>
  <w:style w:type="paragraph" w:customStyle="1" w:styleId="46">
    <w:name w:val="节标题"/>
    <w:basedOn w:val="1"/>
    <w:next w:val="47"/>
    <w:qFormat/>
    <w:uiPriority w:val="0"/>
    <w:pPr>
      <w:spacing w:line="289" w:lineRule="atLeast"/>
      <w:jc w:val="center"/>
    </w:pPr>
    <w:rPr>
      <w:sz w:val="28"/>
    </w:rPr>
  </w:style>
  <w:style w:type="paragraph" w:customStyle="1" w:styleId="47">
    <w:name w:val="小节标题"/>
    <w:basedOn w:val="1"/>
    <w:next w:val="1"/>
    <w:qFormat/>
    <w:uiPriority w:val="0"/>
    <w:pPr>
      <w:spacing w:before="175" w:after="102" w:line="351" w:lineRule="atLeast"/>
    </w:pPr>
    <w:rPr>
      <w:rFonts w:eastAsia="黑体"/>
    </w:rPr>
  </w:style>
  <w:style w:type="paragraph" w:styleId="48">
    <w:name w:val="Quote"/>
    <w:basedOn w:val="1"/>
    <w:next w:val="1"/>
    <w:link w:val="104"/>
    <w:qFormat/>
    <w:uiPriority w:val="0"/>
    <w:pPr>
      <w:widowControl w:val="0"/>
      <w:spacing w:line="240" w:lineRule="auto"/>
      <w:textAlignment w:val="auto"/>
    </w:pPr>
    <w:rPr>
      <w:i/>
      <w:iCs/>
      <w:kern w:val="2"/>
      <w:szCs w:val="22"/>
      <w:u w:val="none" w:color="auto"/>
    </w:rPr>
  </w:style>
  <w:style w:type="paragraph" w:customStyle="1" w:styleId="49">
    <w:name w:val="目录1"/>
    <w:basedOn w:val="1"/>
    <w:next w:val="1"/>
    <w:qFormat/>
    <w:uiPriority w:val="0"/>
    <w:pPr>
      <w:tabs>
        <w:tab w:val="left" w:leader="dot" w:pos="8503"/>
      </w:tabs>
      <w:spacing w:after="136" w:line="289" w:lineRule="atLeast"/>
      <w:jc w:val="left"/>
    </w:pPr>
    <w:rPr>
      <w:rFonts w:ascii="Arial" w:eastAsia="黑体"/>
      <w:sz w:val="28"/>
    </w:rPr>
  </w:style>
  <w:style w:type="paragraph" w:customStyle="1" w:styleId="50">
    <w:name w:val="目录标题"/>
    <w:basedOn w:val="1"/>
    <w:next w:val="1"/>
    <w:qFormat/>
    <w:uiPriority w:val="0"/>
    <w:pPr>
      <w:spacing w:before="566" w:after="544" w:line="566" w:lineRule="atLeast"/>
      <w:ind w:firstLine="419"/>
      <w:jc w:val="center"/>
    </w:pPr>
    <w:rPr>
      <w:rFonts w:ascii="Arial" w:eastAsia="黑体"/>
      <w:spacing w:val="566"/>
      <w:sz w:val="54"/>
    </w:rPr>
  </w:style>
  <w:style w:type="paragraph" w:customStyle="1" w:styleId="51">
    <w:name w:val="_Style 45"/>
    <w:basedOn w:val="1"/>
    <w:qFormat/>
    <w:uiPriority w:val="0"/>
    <w:pPr>
      <w:widowControl w:val="0"/>
      <w:spacing w:line="240" w:lineRule="auto"/>
      <w:textAlignment w:val="auto"/>
    </w:pPr>
    <w:rPr>
      <w:color w:val="auto"/>
      <w:kern w:val="2"/>
      <w:u w:val="none" w:color="auto"/>
    </w:rPr>
  </w:style>
  <w:style w:type="paragraph" w:customStyle="1" w:styleId="52">
    <w:name w:val="Char Char Char Char Char"/>
    <w:basedOn w:val="1"/>
    <w:qFormat/>
    <w:uiPriority w:val="0"/>
    <w:pPr>
      <w:widowControl w:val="0"/>
      <w:spacing w:line="240" w:lineRule="auto"/>
      <w:textAlignment w:val="auto"/>
    </w:pPr>
    <w:rPr>
      <w:rFonts w:ascii="Tahoma" w:hAnsi="Tahoma"/>
      <w:color w:val="auto"/>
      <w:kern w:val="2"/>
      <w:sz w:val="24"/>
      <w:u w:val="none" w:color="auto"/>
    </w:rPr>
  </w:style>
  <w:style w:type="paragraph" w:customStyle="1" w:styleId="53">
    <w:name w:val="标题5"/>
    <w:basedOn w:val="4"/>
    <w:link w:val="108"/>
    <w:qFormat/>
    <w:uiPriority w:val="0"/>
    <w:pPr>
      <w:spacing w:line="413" w:lineRule="auto"/>
    </w:pPr>
    <w:rPr>
      <w:rFonts w:ascii="Arial" w:hAnsi="Arial"/>
    </w:rPr>
  </w:style>
  <w:style w:type="paragraph" w:customStyle="1" w:styleId="54">
    <w:name w:val="章标题"/>
    <w:basedOn w:val="1"/>
    <w:next w:val="46"/>
    <w:qFormat/>
    <w:uiPriority w:val="0"/>
    <w:pPr>
      <w:spacing w:before="158" w:after="153" w:line="323" w:lineRule="atLeast"/>
      <w:jc w:val="center"/>
    </w:pPr>
    <w:rPr>
      <w:rFonts w:ascii="Arial" w:eastAsia="黑体"/>
      <w:sz w:val="31"/>
    </w:rPr>
  </w:style>
  <w:style w:type="paragraph" w:customStyle="1" w:styleId="55">
    <w:name w:val=" Char Char Char Char Char"/>
    <w:basedOn w:val="1"/>
    <w:qFormat/>
    <w:uiPriority w:val="0"/>
    <w:pPr>
      <w:widowControl w:val="0"/>
      <w:spacing w:line="240" w:lineRule="auto"/>
      <w:textAlignment w:val="auto"/>
    </w:pPr>
    <w:rPr>
      <w:rFonts w:ascii="Tahoma" w:hAnsi="Tahoma"/>
      <w:color w:val="auto"/>
      <w:kern w:val="2"/>
      <w:sz w:val="24"/>
      <w:u w:val="none" w:color="auto"/>
    </w:rPr>
  </w:style>
  <w:style w:type="paragraph" w:customStyle="1" w:styleId="56">
    <w:name w:val="目录3"/>
    <w:basedOn w:val="1"/>
    <w:next w:val="1"/>
    <w:qFormat/>
    <w:uiPriority w:val="0"/>
    <w:pPr>
      <w:tabs>
        <w:tab w:val="left" w:leader="dot" w:pos="8503"/>
      </w:tabs>
      <w:spacing w:line="317" w:lineRule="atLeast"/>
      <w:ind w:firstLine="419"/>
    </w:pPr>
  </w:style>
  <w:style w:type="paragraph" w:customStyle="1" w:styleId="57">
    <w:name w:val="Char"/>
    <w:basedOn w:val="1"/>
    <w:qFormat/>
    <w:uiPriority w:val="0"/>
    <w:pPr>
      <w:spacing w:after="160" w:line="240" w:lineRule="exact"/>
      <w:jc w:val="left"/>
      <w:textAlignment w:val="auto"/>
    </w:pPr>
    <w:rPr>
      <w:rFonts w:ascii="Verdana" w:hAnsi="Verdana"/>
      <w:color w:val="auto"/>
      <w:u w:val="none" w:color="auto"/>
      <w:lang w:eastAsia="en-US"/>
    </w:rPr>
  </w:style>
  <w:style w:type="paragraph" w:customStyle="1" w:styleId="58">
    <w:name w:val="标题4"/>
    <w:basedOn w:val="3"/>
    <w:next w:val="19"/>
    <w:link w:val="113"/>
    <w:qFormat/>
    <w:uiPriority w:val="0"/>
    <w:pPr>
      <w:widowControl w:val="0"/>
      <w:spacing w:line="413" w:lineRule="auto"/>
      <w:textAlignment w:val="auto"/>
    </w:pPr>
    <w:rPr>
      <w:rFonts w:eastAsia="宋体"/>
      <w:color w:val="auto"/>
      <w:sz w:val="24"/>
      <w:u w:val="none" w:color="auto"/>
    </w:rPr>
  </w:style>
  <w:style w:type="paragraph" w:customStyle="1" w:styleId="59">
    <w:name w:val="_Style 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文章附标题"/>
    <w:basedOn w:val="1"/>
    <w:next w:val="54"/>
    <w:qFormat/>
    <w:uiPriority w:val="0"/>
    <w:pPr>
      <w:spacing w:before="187" w:after="175" w:line="374" w:lineRule="atLeast"/>
      <w:jc w:val="center"/>
    </w:pPr>
    <w:rPr>
      <w:sz w:val="36"/>
    </w:rPr>
  </w:style>
  <w:style w:type="paragraph" w:customStyle="1" w:styleId="61">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rPr>
  </w:style>
  <w:style w:type="paragraph" w:customStyle="1" w:styleId="62">
    <w:name w:val=" Char Char Char"/>
    <w:basedOn w:val="1"/>
    <w:qFormat/>
    <w:uiPriority w:val="0"/>
    <w:pPr>
      <w:widowControl w:val="0"/>
      <w:spacing w:line="240" w:lineRule="auto"/>
      <w:textAlignment w:val="auto"/>
    </w:pPr>
    <w:rPr>
      <w:rFonts w:ascii="Tahoma" w:hAnsi="Tahoma"/>
      <w:color w:val="auto"/>
      <w:kern w:val="2"/>
      <w:sz w:val="24"/>
      <w:u w:val="none" w:color="auto"/>
    </w:rPr>
  </w:style>
  <w:style w:type="paragraph" w:customStyle="1" w:styleId="63">
    <w:name w:val="文章总标题"/>
    <w:basedOn w:val="1"/>
    <w:next w:val="60"/>
    <w:qFormat/>
    <w:uiPriority w:val="0"/>
    <w:pPr>
      <w:spacing w:before="566" w:after="544" w:line="566" w:lineRule="atLeast"/>
      <w:jc w:val="center"/>
    </w:pPr>
    <w:rPr>
      <w:rFonts w:ascii="Arial" w:eastAsia="黑体"/>
      <w:sz w:val="54"/>
    </w:rPr>
  </w:style>
  <w:style w:type="paragraph" w:styleId="64">
    <w:name w:val="Intense Quote"/>
    <w:basedOn w:val="1"/>
    <w:next w:val="1"/>
    <w:link w:val="85"/>
    <w:qFormat/>
    <w:uiPriority w:val="0"/>
    <w:pPr>
      <w:widowControl w:val="0"/>
      <w:pBdr>
        <w:bottom w:val="single" w:color="4F81BD" w:sz="4" w:space="4"/>
      </w:pBdr>
      <w:spacing w:before="200" w:after="280" w:line="240" w:lineRule="auto"/>
      <w:ind w:left="936" w:right="936"/>
      <w:textAlignment w:val="auto"/>
    </w:pPr>
    <w:rPr>
      <w:b/>
      <w:bCs/>
      <w:i/>
      <w:iCs/>
      <w:color w:val="4F81BD"/>
      <w:kern w:val="2"/>
      <w:szCs w:val="22"/>
      <w:u w:val="none" w:color="auto"/>
    </w:rPr>
  </w:style>
  <w:style w:type="paragraph" w:styleId="65">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font6"/>
    <w:basedOn w:val="1"/>
    <w:qFormat/>
    <w:uiPriority w:val="0"/>
    <w:pPr>
      <w:spacing w:before="100" w:beforeAutospacing="1" w:after="100" w:afterAutospacing="1" w:line="240" w:lineRule="auto"/>
      <w:jc w:val="left"/>
      <w:textAlignment w:val="auto"/>
    </w:pPr>
    <w:rPr>
      <w:rFonts w:hint="eastAsia" w:ascii="宋体" w:hAnsi="宋体"/>
      <w:color w:val="auto"/>
      <w:sz w:val="18"/>
      <w:szCs w:val="18"/>
      <w:u w:val="none" w:color="auto"/>
    </w:rPr>
  </w:style>
  <w:style w:type="paragraph" w:customStyle="1" w:styleId="67">
    <w:name w:val="目录4"/>
    <w:basedOn w:val="1"/>
    <w:next w:val="1"/>
    <w:qFormat/>
    <w:uiPriority w:val="0"/>
    <w:pPr>
      <w:tabs>
        <w:tab w:val="left" w:leader="dot" w:pos="8503"/>
      </w:tabs>
      <w:spacing w:line="317" w:lineRule="atLeast"/>
      <w:ind w:firstLine="629"/>
    </w:pPr>
  </w:style>
  <w:style w:type="paragraph" w:customStyle="1" w:styleId="68">
    <w:name w:val="目录2"/>
    <w:basedOn w:val="1"/>
    <w:next w:val="1"/>
    <w:qFormat/>
    <w:uiPriority w:val="0"/>
    <w:pPr>
      <w:tabs>
        <w:tab w:val="left" w:leader="dot" w:pos="8503"/>
      </w:tabs>
      <w:spacing w:line="317" w:lineRule="atLeast"/>
      <w:ind w:firstLine="209"/>
    </w:pPr>
  </w:style>
  <w:style w:type="paragraph" w:customStyle="1" w:styleId="69">
    <w:name w:val="Default Paragraph Font Para Char Char Char Char Char Char"/>
    <w:basedOn w:val="1"/>
    <w:qFormat/>
    <w:uiPriority w:val="0"/>
    <w:pPr>
      <w:spacing w:after="160" w:line="240" w:lineRule="exact"/>
      <w:jc w:val="left"/>
      <w:textAlignment w:val="auto"/>
    </w:pPr>
    <w:rPr>
      <w:rFonts w:ascii="Verdana" w:hAnsi="Verdana"/>
      <w:color w:val="auto"/>
      <w:sz w:val="20"/>
      <w:u w:val="none" w:color="auto"/>
      <w:lang w:eastAsia="en-US"/>
    </w:rPr>
  </w:style>
  <w:style w:type="paragraph" w:customStyle="1" w:styleId="70">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71">
    <w:name w:val=" Char Char Char Char Char Char Char Char Char Char Char Char Char Char Char Char"/>
    <w:basedOn w:val="1"/>
    <w:qFormat/>
    <w:uiPriority w:val="0"/>
    <w:pPr>
      <w:widowControl w:val="0"/>
      <w:tabs>
        <w:tab w:val="left" w:pos="360"/>
      </w:tabs>
      <w:spacing w:line="360" w:lineRule="auto"/>
      <w:ind w:left="482" w:firstLine="200" w:firstLineChars="200"/>
      <w:textAlignment w:val="auto"/>
    </w:pPr>
    <w:rPr>
      <w:rFonts w:ascii="宋体"/>
      <w:color w:val="auto"/>
      <w:kern w:val="2"/>
      <w:sz w:val="24"/>
      <w:szCs w:val="24"/>
      <w:u w:val="none" w:color="auto"/>
    </w:rPr>
  </w:style>
  <w:style w:type="paragraph" w:customStyle="1" w:styleId="72">
    <w:name w:val="2"/>
    <w:basedOn w:val="1"/>
    <w:next w:val="22"/>
    <w:qFormat/>
    <w:uiPriority w:val="0"/>
    <w:pPr>
      <w:widowControl w:val="0"/>
      <w:spacing w:line="240" w:lineRule="auto"/>
      <w:textAlignment w:val="auto"/>
    </w:pPr>
    <w:rPr>
      <w:rFonts w:ascii="宋体" w:hAnsi="Courier New"/>
      <w:color w:val="auto"/>
      <w:kern w:val="2"/>
      <w:u w:val="none" w:color="auto"/>
    </w:rPr>
  </w:style>
  <w:style w:type="paragraph" w:customStyle="1" w:styleId="73">
    <w:name w:val=" Char"/>
    <w:basedOn w:val="1"/>
    <w:qFormat/>
    <w:uiPriority w:val="0"/>
    <w:pPr>
      <w:spacing w:after="160" w:line="240" w:lineRule="exact"/>
      <w:jc w:val="left"/>
      <w:textAlignment w:val="auto"/>
    </w:pPr>
    <w:rPr>
      <w:rFonts w:ascii="Verdana" w:hAnsi="Verdana"/>
      <w:color w:val="auto"/>
      <w:u w:val="none" w:color="auto"/>
      <w:lang w:eastAsia="en-US"/>
    </w:rPr>
  </w:style>
  <w:style w:type="character" w:customStyle="1" w:styleId="74">
    <w:name w:val="sp6"/>
    <w:basedOn w:val="41"/>
    <w:qFormat/>
    <w:uiPriority w:val="0"/>
    <w:rPr>
      <w:rFonts w:ascii="Calibri" w:hAnsi="Calibri" w:eastAsia="宋体" w:cs="Times New Roman"/>
    </w:rPr>
  </w:style>
  <w:style w:type="character" w:customStyle="1" w:styleId="75">
    <w:name w:val="标题 2 Char"/>
    <w:link w:val="3"/>
    <w:qFormat/>
    <w:uiPriority w:val="0"/>
    <w:rPr>
      <w:rFonts w:ascii="Arial" w:hAnsi="Arial" w:eastAsia="黑体" w:cs="Times New Roman"/>
      <w:b/>
      <w:bCs/>
      <w:color w:val="000000"/>
      <w:sz w:val="32"/>
      <w:szCs w:val="32"/>
      <w:u w:val="none" w:color="000000"/>
      <w:lang w:val="en-US" w:eastAsia="zh-CN" w:bidi="ar-SA"/>
    </w:rPr>
  </w:style>
  <w:style w:type="character" w:customStyle="1" w:styleId="76">
    <w:name w:val="批注文字 Char"/>
    <w:link w:val="15"/>
    <w:qFormat/>
    <w:uiPriority w:val="0"/>
    <w:rPr>
      <w:rFonts w:ascii="Calibri" w:hAnsi="Calibri" w:eastAsia="宋体" w:cs="Times New Roman"/>
      <w:color w:val="000000"/>
      <w:sz w:val="21"/>
      <w:u w:val="none" w:color="000000"/>
      <w:lang w:val="en-US" w:eastAsia="zh-CN" w:bidi="ar-SA"/>
    </w:rPr>
  </w:style>
  <w:style w:type="character" w:customStyle="1" w:styleId="77">
    <w:name w:val="超级链接"/>
    <w:qFormat/>
    <w:uiPriority w:val="0"/>
    <w:rPr>
      <w:rFonts w:ascii="Times New Roman" w:hAnsi="Calibri" w:eastAsia="宋体" w:cs="Times New Roman"/>
      <w:color w:val="0000FF"/>
      <w:sz w:val="21"/>
      <w:u w:val="single" w:color="0000FF"/>
      <w:vertAlign w:val="baseline"/>
      <w:lang w:val="en-US" w:eastAsia="zh-CN"/>
    </w:rPr>
  </w:style>
  <w:style w:type="character" w:customStyle="1" w:styleId="78">
    <w:name w:val="批注框文本 Char"/>
    <w:link w:val="26"/>
    <w:qFormat/>
    <w:uiPriority w:val="0"/>
    <w:rPr>
      <w:rFonts w:ascii="Calibri" w:hAnsi="Calibri" w:eastAsia="宋体" w:cs="Times New Roman"/>
      <w:color w:val="000000"/>
      <w:sz w:val="18"/>
      <w:szCs w:val="18"/>
      <w:u w:val="none" w:color="000000"/>
      <w:lang w:val="en-US" w:eastAsia="zh-CN" w:bidi="ar-SA"/>
    </w:rPr>
  </w:style>
  <w:style w:type="character" w:customStyle="1" w:styleId="79">
    <w:name w:val="普通文字 Char Char3"/>
    <w:qFormat/>
    <w:uiPriority w:val="0"/>
    <w:rPr>
      <w:rFonts w:ascii="宋体" w:hAnsi="Courier New" w:eastAsia="宋体" w:cs="Times New Roman"/>
      <w:kern w:val="2"/>
      <w:sz w:val="21"/>
      <w:lang w:val="en-US" w:eastAsia="zh-CN" w:bidi="ar-SA"/>
    </w:rPr>
  </w:style>
  <w:style w:type="character" w:customStyle="1" w:styleId="80">
    <w:name w:val="sp22"/>
    <w:basedOn w:val="41"/>
    <w:qFormat/>
    <w:uiPriority w:val="0"/>
    <w:rPr>
      <w:rFonts w:ascii="Calibri" w:hAnsi="Calibri" w:eastAsia="宋体" w:cs="Times New Roman"/>
    </w:rPr>
  </w:style>
  <w:style w:type="character" w:customStyle="1" w:styleId="81">
    <w:name w:val="sp7"/>
    <w:basedOn w:val="41"/>
    <w:qFormat/>
    <w:uiPriority w:val="0"/>
    <w:rPr>
      <w:rFonts w:ascii="Calibri" w:hAnsi="Calibri" w:eastAsia="宋体" w:cs="Times New Roman"/>
    </w:rPr>
  </w:style>
  <w:style w:type="character" w:customStyle="1" w:styleId="82">
    <w:name w:val="sp3"/>
    <w:basedOn w:val="41"/>
    <w:qFormat/>
    <w:uiPriority w:val="0"/>
    <w:rPr>
      <w:rFonts w:ascii="Calibri" w:hAnsi="Calibri" w:eastAsia="宋体" w:cs="Times New Roman"/>
    </w:rPr>
  </w:style>
  <w:style w:type="character" w:customStyle="1" w:styleId="83">
    <w:name w:val="sp4"/>
    <w:basedOn w:val="41"/>
    <w:qFormat/>
    <w:uiPriority w:val="0"/>
    <w:rPr>
      <w:rFonts w:ascii="Calibri" w:hAnsi="Calibri" w:eastAsia="宋体" w:cs="Times New Roman"/>
    </w:rPr>
  </w:style>
  <w:style w:type="character" w:customStyle="1" w:styleId="84">
    <w:name w:val="标题 8 Char"/>
    <w:link w:val="9"/>
    <w:qFormat/>
    <w:uiPriority w:val="0"/>
    <w:rPr>
      <w:rFonts w:ascii="Cambria" w:hAnsi="Cambria" w:eastAsia="宋体" w:cs="Times New Roman"/>
      <w:kern w:val="2"/>
      <w:sz w:val="24"/>
      <w:szCs w:val="24"/>
      <w:lang w:val="en-US" w:eastAsia="zh-CN" w:bidi="ar-SA"/>
    </w:rPr>
  </w:style>
  <w:style w:type="character" w:customStyle="1" w:styleId="85">
    <w:name w:val="明显引用 Char"/>
    <w:link w:val="64"/>
    <w:qFormat/>
    <w:uiPriority w:val="0"/>
    <w:rPr>
      <w:rFonts w:ascii="Calibri" w:hAnsi="Calibri" w:eastAsia="宋体" w:cs="Times New Roman"/>
      <w:b/>
      <w:bCs/>
      <w:i/>
      <w:iCs/>
      <w:color w:val="4F81BD"/>
      <w:kern w:val="2"/>
      <w:sz w:val="21"/>
      <w:szCs w:val="22"/>
      <w:lang w:bidi="ar-SA"/>
    </w:rPr>
  </w:style>
  <w:style w:type="character" w:customStyle="1" w:styleId="86">
    <w:name w:val="副标题 Char"/>
    <w:link w:val="31"/>
    <w:qFormat/>
    <w:uiPriority w:val="0"/>
    <w:rPr>
      <w:rFonts w:ascii="宋体" w:hAnsi="Courier New" w:eastAsia="宋体" w:cs="Times New Roman"/>
      <w:kern w:val="2"/>
      <w:sz w:val="21"/>
      <w:lang w:val="en-US" w:eastAsia="zh-CN" w:bidi="ar-SA"/>
    </w:rPr>
  </w:style>
  <w:style w:type="character" w:customStyle="1" w:styleId="87">
    <w:name w:val="sp1"/>
    <w:basedOn w:val="41"/>
    <w:qFormat/>
    <w:uiPriority w:val="0"/>
    <w:rPr>
      <w:rFonts w:ascii="Calibri" w:hAnsi="Calibri" w:eastAsia="宋体" w:cs="Times New Roman"/>
    </w:rPr>
  </w:style>
  <w:style w:type="character" w:customStyle="1" w:styleId="88">
    <w:name w:val="批注文字 Char2"/>
    <w:qFormat/>
    <w:uiPriority w:val="0"/>
    <w:rPr>
      <w:rFonts w:ascii="Calibri" w:hAnsi="Calibri" w:eastAsia="宋体" w:cs="Times New Roman"/>
      <w:kern w:val="2"/>
      <w:sz w:val="21"/>
      <w:szCs w:val="24"/>
      <w:lang w:val="en-US" w:eastAsia="zh-CN" w:bidi="ar-SA"/>
    </w:rPr>
  </w:style>
  <w:style w:type="character" w:customStyle="1" w:styleId="89">
    <w:name w:val="标题 3 Char"/>
    <w:link w:val="4"/>
    <w:qFormat/>
    <w:uiPriority w:val="0"/>
    <w:rPr>
      <w:rFonts w:ascii="宋体" w:hAnsi="宋体" w:eastAsia="宋体" w:cs="Times New Roman"/>
      <w:b/>
      <w:bCs/>
      <w:sz w:val="24"/>
      <w:szCs w:val="32"/>
      <w:lang w:val="en-US" w:eastAsia="zh-CN" w:bidi="ar-SA"/>
    </w:rPr>
  </w:style>
  <w:style w:type="character" w:customStyle="1" w:styleId="90">
    <w:name w:val="标题 1 Char"/>
    <w:link w:val="2"/>
    <w:qFormat/>
    <w:uiPriority w:val="0"/>
    <w:rPr>
      <w:rFonts w:ascii="Calibri" w:hAnsi="Calibri" w:eastAsia="宋体" w:cs="Times New Roman"/>
      <w:b/>
      <w:bCs/>
      <w:color w:val="000000"/>
      <w:kern w:val="44"/>
      <w:sz w:val="44"/>
      <w:szCs w:val="44"/>
      <w:u w:val="none" w:color="000000"/>
      <w:lang w:val="en-US" w:eastAsia="zh-CN" w:bidi="ar-SA"/>
    </w:rPr>
  </w:style>
  <w:style w:type="character" w:customStyle="1" w:styleId="91">
    <w:name w:val="Char Char Char Char Char Char Char"/>
    <w:qFormat/>
    <w:uiPriority w:val="0"/>
    <w:rPr>
      <w:rFonts w:ascii="宋体" w:hAnsi="Courier New" w:eastAsia="宋体" w:cs="Times New Roman"/>
      <w:kern w:val="2"/>
      <w:sz w:val="21"/>
      <w:lang w:val="en-US" w:eastAsia="zh-CN" w:bidi="ar-SA"/>
    </w:rPr>
  </w:style>
  <w:style w:type="character" w:customStyle="1" w:styleId="92">
    <w:name w:val="纯文本 Char"/>
    <w:link w:val="22"/>
    <w:qFormat/>
    <w:uiPriority w:val="0"/>
    <w:rPr>
      <w:rFonts w:ascii="宋体" w:hAnsi="Courier New" w:eastAsia="宋体" w:cs="Times New Roman"/>
      <w:kern w:val="2"/>
      <w:sz w:val="21"/>
      <w:lang w:val="en-US" w:eastAsia="zh-CN" w:bidi="ar-SA"/>
    </w:rPr>
  </w:style>
  <w:style w:type="character" w:customStyle="1" w:styleId="93">
    <w:name w:val="textcontents"/>
    <w:qFormat/>
    <w:uiPriority w:val="0"/>
    <w:rPr>
      <w:rFonts w:ascii="Calibri" w:hAnsi="Calibri" w:eastAsia="宋体" w:cs="Times New Roman"/>
    </w:rPr>
  </w:style>
  <w:style w:type="character" w:customStyle="1" w:styleId="94">
    <w:name w:val="sp5"/>
    <w:basedOn w:val="41"/>
    <w:qFormat/>
    <w:uiPriority w:val="0"/>
    <w:rPr>
      <w:rFonts w:ascii="Calibri" w:hAnsi="Calibri" w:eastAsia="宋体" w:cs="Times New Roman"/>
    </w:rPr>
  </w:style>
  <w:style w:type="character" w:customStyle="1" w:styleId="95">
    <w:name w:val="标题 5 Char"/>
    <w:link w:val="6"/>
    <w:qFormat/>
    <w:uiPriority w:val="0"/>
    <w:rPr>
      <w:rFonts w:ascii="Calibri" w:hAnsi="Calibri" w:eastAsia="宋体" w:cs="Times New Roman"/>
      <w:b/>
      <w:bCs/>
      <w:kern w:val="2"/>
      <w:sz w:val="28"/>
      <w:szCs w:val="28"/>
      <w:lang w:val="en-US" w:eastAsia="zh-CN" w:bidi="ar-SA"/>
    </w:rPr>
  </w:style>
  <w:style w:type="character" w:customStyle="1" w:styleId="96">
    <w:name w:val="文档结构图 Char"/>
    <w:link w:val="14"/>
    <w:qFormat/>
    <w:uiPriority w:val="0"/>
    <w:rPr>
      <w:rFonts w:ascii="宋体" w:hAnsi="Courier New" w:eastAsia="宋体" w:cs="Times New Roman"/>
      <w:kern w:val="2"/>
      <w:sz w:val="21"/>
      <w:szCs w:val="24"/>
      <w:lang w:val="en-US" w:eastAsia="zh-CN" w:bidi="ar-SA"/>
    </w:rPr>
  </w:style>
  <w:style w:type="character" w:customStyle="1" w:styleId="97">
    <w:name w:val="apple-converted-space"/>
    <w:basedOn w:val="41"/>
    <w:qFormat/>
    <w:uiPriority w:val="0"/>
    <w:rPr>
      <w:rFonts w:ascii="Calibri" w:hAnsi="Calibri" w:eastAsia="宋体" w:cs="Times New Roman"/>
    </w:rPr>
  </w:style>
  <w:style w:type="character" w:customStyle="1" w:styleId="98">
    <w:name w:val="right"/>
    <w:basedOn w:val="41"/>
    <w:qFormat/>
    <w:uiPriority w:val="0"/>
    <w:rPr>
      <w:rFonts w:ascii="Calibri" w:hAnsi="Calibri" w:eastAsia="宋体" w:cs="Times New Roman"/>
    </w:rPr>
  </w:style>
  <w:style w:type="character" w:customStyle="1" w:styleId="99">
    <w:name w:val="标题 7 Char"/>
    <w:link w:val="8"/>
    <w:qFormat/>
    <w:uiPriority w:val="0"/>
    <w:rPr>
      <w:rFonts w:ascii="Calibri" w:hAnsi="Calibri" w:eastAsia="宋体" w:cs="Times New Roman"/>
      <w:b/>
      <w:bCs/>
      <w:kern w:val="2"/>
      <w:sz w:val="24"/>
      <w:szCs w:val="24"/>
      <w:lang w:val="en-US" w:eastAsia="zh-CN" w:bidi="ar-SA"/>
    </w:rPr>
  </w:style>
  <w:style w:type="character" w:customStyle="1" w:styleId="100">
    <w:name w:val="标题 9 Char"/>
    <w:link w:val="10"/>
    <w:qFormat/>
    <w:uiPriority w:val="0"/>
    <w:rPr>
      <w:rFonts w:ascii="Cambria" w:hAnsi="Cambria" w:eastAsia="宋体" w:cs="Times New Roman"/>
      <w:kern w:val="2"/>
      <w:sz w:val="21"/>
      <w:szCs w:val="21"/>
      <w:lang w:val="en-US" w:eastAsia="zh-CN" w:bidi="ar-SA"/>
    </w:rPr>
  </w:style>
  <w:style w:type="character" w:customStyle="1" w:styleId="101">
    <w:name w:val="left"/>
    <w:basedOn w:val="41"/>
    <w:qFormat/>
    <w:uiPriority w:val="0"/>
    <w:rPr>
      <w:rFonts w:ascii="Calibri" w:hAnsi="Calibri" w:eastAsia="宋体" w:cs="Times New Roman"/>
    </w:rPr>
  </w:style>
  <w:style w:type="character" w:customStyle="1" w:styleId="102">
    <w:name w:val="sp8"/>
    <w:qFormat/>
    <w:uiPriority w:val="0"/>
    <w:rPr>
      <w:rFonts w:ascii="Calibri" w:hAnsi="Calibri" w:eastAsia="宋体" w:cs="Times New Roman"/>
      <w:color w:val="F31E1E"/>
    </w:rPr>
  </w:style>
  <w:style w:type="character" w:customStyle="1" w:styleId="103">
    <w:name w:val="日期 Char"/>
    <w:link w:val="24"/>
    <w:qFormat/>
    <w:uiPriority w:val="0"/>
    <w:rPr>
      <w:rFonts w:ascii="Calibri" w:hAnsi="Calibri" w:eastAsia="宋体" w:cs="Times New Roman"/>
      <w:color w:val="000000"/>
      <w:sz w:val="21"/>
      <w:u w:val="none" w:color="000000"/>
      <w:lang w:val="en-US" w:eastAsia="zh-CN" w:bidi="ar-SA"/>
    </w:rPr>
  </w:style>
  <w:style w:type="character" w:customStyle="1" w:styleId="104">
    <w:name w:val="引用 Char"/>
    <w:link w:val="48"/>
    <w:qFormat/>
    <w:uiPriority w:val="0"/>
    <w:rPr>
      <w:rFonts w:ascii="Calibri" w:hAnsi="Calibri" w:eastAsia="宋体" w:cs="Times New Roman"/>
      <w:i/>
      <w:iCs/>
      <w:color w:val="000000"/>
      <w:kern w:val="2"/>
      <w:sz w:val="21"/>
      <w:szCs w:val="22"/>
      <w:lang w:bidi="ar-SA"/>
    </w:rPr>
  </w:style>
  <w:style w:type="character" w:customStyle="1" w:styleId="105">
    <w:name w:val="标题 4 Char"/>
    <w:link w:val="5"/>
    <w:qFormat/>
    <w:uiPriority w:val="0"/>
    <w:rPr>
      <w:rFonts w:ascii="Arial" w:hAnsi="Arial" w:eastAsia="黑体" w:cs="Times New Roman"/>
      <w:b/>
      <w:bCs/>
      <w:color w:val="000000"/>
      <w:sz w:val="28"/>
      <w:szCs w:val="28"/>
      <w:u w:val="none" w:color="000000"/>
      <w:lang w:val="en-US" w:eastAsia="zh-CN" w:bidi="ar-SA"/>
    </w:rPr>
  </w:style>
  <w:style w:type="character" w:customStyle="1" w:styleId="106">
    <w:name w:val="链接"/>
    <w:qFormat/>
    <w:uiPriority w:val="0"/>
    <w:rPr>
      <w:rFonts w:ascii="Times New Roman" w:hAnsi="Calibri" w:eastAsia="宋体" w:cs="Times New Roman"/>
      <w:color w:val="0000FF"/>
      <w:sz w:val="21"/>
      <w:u w:val="single" w:color="0000FF"/>
      <w:vertAlign w:val="baseline"/>
      <w:lang w:val="en-US" w:eastAsia="zh-CN"/>
    </w:rPr>
  </w:style>
  <w:style w:type="character" w:customStyle="1" w:styleId="107">
    <w:name w:val="标题 6 Char"/>
    <w:link w:val="7"/>
    <w:qFormat/>
    <w:uiPriority w:val="0"/>
    <w:rPr>
      <w:rFonts w:ascii="Arial" w:hAnsi="Arial" w:eastAsia="黑体" w:cs="Times New Roman"/>
      <w:b/>
      <w:bCs/>
      <w:color w:val="000000"/>
      <w:sz w:val="24"/>
      <w:szCs w:val="24"/>
      <w:u w:val="none" w:color="000000"/>
      <w:lang w:val="en-US" w:eastAsia="zh-CN" w:bidi="ar-SA"/>
    </w:rPr>
  </w:style>
  <w:style w:type="character" w:customStyle="1" w:styleId="108">
    <w:name w:val="标题5 Char Char"/>
    <w:link w:val="53"/>
    <w:qFormat/>
    <w:uiPriority w:val="0"/>
    <w:rPr>
      <w:rFonts w:ascii="Arial" w:hAnsi="Arial" w:eastAsia="宋体" w:cs="Times New Roman"/>
      <w:b/>
      <w:bCs/>
      <w:sz w:val="24"/>
      <w:szCs w:val="32"/>
      <w:lang w:bidi="ar-SA"/>
    </w:rPr>
  </w:style>
  <w:style w:type="character" w:customStyle="1" w:styleId="109">
    <w:name w:val="页脚 Char"/>
    <w:link w:val="27"/>
    <w:qFormat/>
    <w:uiPriority w:val="0"/>
    <w:rPr>
      <w:rFonts w:ascii="Calibri" w:hAnsi="Calibri" w:eastAsia="宋体" w:cs="Times New Roman"/>
      <w:color w:val="000000"/>
      <w:sz w:val="18"/>
      <w:szCs w:val="18"/>
      <w:u w:val="none" w:color="000000"/>
      <w:lang w:val="en-US" w:eastAsia="zh-CN" w:bidi="ar-SA"/>
    </w:rPr>
  </w:style>
  <w:style w:type="character" w:customStyle="1" w:styleId="110">
    <w:name w:val="批注主题 Char"/>
    <w:link w:val="38"/>
    <w:qFormat/>
    <w:uiPriority w:val="0"/>
    <w:rPr>
      <w:rFonts w:ascii="宋体" w:hAnsi="Calibri" w:eastAsia="宋体" w:cs="Times New Roman"/>
      <w:b/>
      <w:bCs/>
      <w:sz w:val="28"/>
      <w:lang w:bidi="ar-SA"/>
    </w:rPr>
  </w:style>
  <w:style w:type="character" w:customStyle="1" w:styleId="111">
    <w:name w:val="标题 Char"/>
    <w:link w:val="37"/>
    <w:qFormat/>
    <w:uiPriority w:val="0"/>
    <w:rPr>
      <w:rFonts w:ascii="Cambria" w:hAnsi="Cambria" w:eastAsia="宋体" w:cs="Times New Roman"/>
      <w:b/>
      <w:bCs/>
      <w:kern w:val="2"/>
      <w:sz w:val="32"/>
      <w:szCs w:val="32"/>
      <w:lang w:bidi="ar-SA"/>
    </w:rPr>
  </w:style>
  <w:style w:type="character" w:customStyle="1" w:styleId="112">
    <w:name w:val="普通文字 Char Char2"/>
    <w:qFormat/>
    <w:uiPriority w:val="0"/>
    <w:rPr>
      <w:rFonts w:ascii="宋体" w:hAnsi="Courier New" w:eastAsia="宋体" w:cs="Times New Roman"/>
      <w:kern w:val="2"/>
      <w:sz w:val="21"/>
      <w:lang w:val="en-US" w:eastAsia="zh-CN" w:bidi="ar-SA"/>
    </w:rPr>
  </w:style>
  <w:style w:type="character" w:customStyle="1" w:styleId="113">
    <w:name w:val="标题4 Char Char"/>
    <w:link w:val="58"/>
    <w:qFormat/>
    <w:uiPriority w:val="0"/>
    <w:rPr>
      <w:rFonts w:ascii="Arial" w:hAnsi="Arial" w:eastAsia="宋体" w:cs="Times New Roman"/>
      <w:b/>
      <w:bCs/>
      <w:sz w:val="24"/>
      <w:szCs w:val="32"/>
      <w:lang w:bidi="ar-SA"/>
    </w:rPr>
  </w:style>
  <w:style w:type="character" w:customStyle="1" w:styleId="114">
    <w:name w:val="query"/>
    <w:qFormat/>
    <w:uiPriority w:val="0"/>
    <w:rPr>
      <w:rFonts w:ascii="Calibri" w:hAnsi="Calibri" w:eastAsia="宋体" w:cs="Times New Roman"/>
      <w:color w:val="303030"/>
      <w:sz w:val="24"/>
      <w:szCs w:val="24"/>
    </w:rPr>
  </w:style>
  <w:style w:type="character" w:customStyle="1" w:styleId="115">
    <w:name w:val="Char Char"/>
    <w:qFormat/>
    <w:uiPriority w:val="0"/>
    <w:rPr>
      <w:rFonts w:ascii="宋体" w:hAnsi="Courier New" w:eastAsia="宋体" w:cs="Times New Roman"/>
      <w:kern w:val="2"/>
      <w:sz w:val="21"/>
      <w:lang w:val="en-US" w:eastAsia="zh-CN" w:bidi="ar-SA"/>
    </w:rPr>
  </w:style>
  <w:style w:type="character" w:customStyle="1" w:styleId="116">
    <w:name w:val="页眉 Char"/>
    <w:link w:val="28"/>
    <w:qFormat/>
    <w:uiPriority w:val="0"/>
    <w:rPr>
      <w:rFonts w:ascii="Calibri" w:hAnsi="Calibri" w:eastAsia="宋体" w:cs="Times New Roman"/>
      <w:color w:val="000000"/>
      <w:sz w:val="18"/>
      <w:szCs w:val="18"/>
      <w:u w:val="none" w:color="000000"/>
      <w:lang w:val="en-US" w:eastAsia="zh-CN" w:bidi="ar-SA"/>
    </w:rPr>
  </w:style>
  <w:style w:type="character" w:customStyle="1" w:styleId="117">
    <w:name w:val="正文文本 Char"/>
    <w:link w:val="16"/>
    <w:qFormat/>
    <w:uiPriority w:val="0"/>
    <w:rPr>
      <w:rFonts w:ascii="Calibri" w:hAnsi="Calibri" w:eastAsia="宋体" w:cs="Times New Roman"/>
      <w:color w:val="000000"/>
      <w:sz w:val="21"/>
      <w:u w:val="none" w:color="000000"/>
      <w:lang w:val="en-US" w:eastAsia="zh-CN" w:bidi="ar-SA"/>
    </w:rPr>
  </w:style>
  <w:style w:type="character" w:customStyle="1" w:styleId="118">
    <w:name w:val="highlight"/>
    <w:qFormat/>
    <w:uiPriority w:val="0"/>
    <w:rPr>
      <w:rFonts w:ascii="Calibri" w:hAnsi="Calibri" w:eastAsia="宋体" w:cs="Times New Roman"/>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2020-10-21T00:46:00Z</dcterms:created>
  <dc:creator>S.</dc:creator>
  <cp:lastModifiedBy>S.</cp:lastModifiedBy>
  <cp:lastPrinted>2020-11-13T07:55:00Z</cp:lastPrinted>
  <dcterms:modified xsi:type="dcterms:W3CDTF">2020-11-20T09:49:31Z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