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jc w:val="center"/>
        <w:rPr>
          <w:rFonts w:hAnsi="宋体" w:cs="宋体"/>
          <w:b/>
          <w:bCs/>
          <w:sz w:val="21"/>
          <w:szCs w:val="21"/>
        </w:rPr>
      </w:pPr>
    </w:p>
    <w:p>
      <w:pPr>
        <w:pStyle w:val="14"/>
        <w:jc w:val="center"/>
        <w:rPr>
          <w:rFonts w:hAnsi="宋体" w:cs="宋体"/>
          <w:b/>
          <w:bCs/>
          <w:sz w:val="21"/>
          <w:szCs w:val="21"/>
        </w:rPr>
      </w:pPr>
    </w:p>
    <w:p>
      <w:pPr>
        <w:pStyle w:val="14"/>
        <w:jc w:val="center"/>
        <w:rPr>
          <w:rFonts w:hAnsi="宋体" w:cs="宋体"/>
          <w:b/>
          <w:bCs/>
          <w:sz w:val="84"/>
          <w:szCs w:val="84"/>
        </w:rPr>
      </w:pPr>
      <w:r>
        <w:rPr>
          <w:rFonts w:hint="eastAsia" w:hAnsi="宋体" w:cs="宋体"/>
          <w:b/>
          <w:bCs/>
          <w:sz w:val="84"/>
          <w:szCs w:val="84"/>
        </w:rPr>
        <w:t>公开招标文件</w:t>
      </w:r>
    </w:p>
    <w:p>
      <w:pPr>
        <w:jc w:val="center"/>
        <w:rPr>
          <w:rFonts w:ascii="宋体" w:hAnsi="宋体" w:cs="宋体"/>
          <w:b/>
          <w:sz w:val="21"/>
          <w:szCs w:val="21"/>
        </w:rPr>
      </w:pPr>
    </w:p>
    <w:p>
      <w:pPr>
        <w:jc w:val="center"/>
        <w:rPr>
          <w:rFonts w:ascii="宋体" w:hAnsi="宋体" w:cs="宋体"/>
          <w:b/>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ind w:firstLine="1606" w:firstLineChars="500"/>
        <w:rPr>
          <w:rFonts w:hint="eastAsia" w:ascii="宋体" w:hAnsi="宋体" w:cs="宋体"/>
          <w:b/>
          <w:sz w:val="32"/>
          <w:szCs w:val="32"/>
        </w:rPr>
      </w:pPr>
    </w:p>
    <w:p>
      <w:pPr>
        <w:ind w:firstLine="1606" w:firstLineChars="500"/>
        <w:rPr>
          <w:rFonts w:hint="eastAsia" w:ascii="宋体" w:hAnsi="宋体" w:cs="宋体"/>
          <w:b/>
          <w:sz w:val="32"/>
          <w:szCs w:val="32"/>
        </w:rPr>
      </w:pPr>
    </w:p>
    <w:p>
      <w:pPr>
        <w:ind w:firstLine="1606" w:firstLineChars="500"/>
        <w:rPr>
          <w:rFonts w:ascii="宋体" w:hAnsi="宋体" w:cs="宋体"/>
          <w:b/>
          <w:sz w:val="32"/>
          <w:szCs w:val="32"/>
        </w:rPr>
      </w:pPr>
      <w:r>
        <w:rPr>
          <w:rFonts w:hint="eastAsia" w:ascii="宋体" w:hAnsi="宋体" w:cs="宋体"/>
          <w:b/>
          <w:sz w:val="32"/>
          <w:szCs w:val="32"/>
        </w:rPr>
        <w:t>项目名称：</w:t>
      </w:r>
      <w:r>
        <w:rPr>
          <w:rFonts w:hint="eastAsia" w:ascii="宋体" w:hAnsi="宋体" w:cs="宋体"/>
          <w:b/>
          <w:sz w:val="32"/>
          <w:szCs w:val="32"/>
        </w:rPr>
        <w:fldChar w:fldCharType="begin"/>
      </w:r>
      <w:r>
        <w:rPr>
          <w:rFonts w:hint="eastAsia" w:ascii="宋体" w:hAnsi="宋体" w:cs="宋体"/>
          <w:b/>
          <w:sz w:val="32"/>
          <w:szCs w:val="32"/>
        </w:rPr>
        <w:instrText xml:space="preserve"> HYPERLINK "https://www.zcygov.cn/proj-procurement/project-result-detail/5d870e6134183a2d" \t "https://www.zcygov.cn/proj-procurement/self-project/_blank" </w:instrText>
      </w:r>
      <w:r>
        <w:rPr>
          <w:rFonts w:hint="eastAsia" w:ascii="宋体" w:hAnsi="宋体" w:cs="宋体"/>
          <w:b/>
          <w:sz w:val="32"/>
          <w:szCs w:val="32"/>
        </w:rPr>
        <w:fldChar w:fldCharType="separate"/>
      </w:r>
      <w:r>
        <w:rPr>
          <w:rFonts w:hint="eastAsia" w:ascii="宋体" w:hAnsi="宋体" w:cs="宋体"/>
          <w:b/>
          <w:sz w:val="32"/>
          <w:szCs w:val="32"/>
        </w:rPr>
        <w:t>平果市国土空间规划报告编制、</w:t>
      </w:r>
    </w:p>
    <w:p>
      <w:pPr>
        <w:ind w:firstLine="1606" w:firstLineChars="500"/>
        <w:rPr>
          <w:rFonts w:ascii="宋体" w:hAnsi="宋体" w:cs="宋体"/>
          <w:b/>
          <w:sz w:val="32"/>
          <w:szCs w:val="32"/>
        </w:rPr>
      </w:pPr>
      <w:r>
        <w:rPr>
          <w:rFonts w:hint="eastAsia" w:ascii="宋体" w:hAnsi="宋体" w:cs="宋体"/>
          <w:b/>
          <w:sz w:val="32"/>
          <w:szCs w:val="32"/>
        </w:rPr>
        <w:t>两个体系研究专题及数据库建设项目</w:t>
      </w:r>
      <w:r>
        <w:rPr>
          <w:rFonts w:hint="eastAsia" w:ascii="宋体" w:hAnsi="宋体" w:cs="宋体"/>
          <w:b/>
          <w:sz w:val="32"/>
          <w:szCs w:val="32"/>
        </w:rPr>
        <w:fldChar w:fldCharType="end"/>
      </w:r>
    </w:p>
    <w:p>
      <w:pPr>
        <w:ind w:firstLine="1606" w:firstLineChars="500"/>
        <w:rPr>
          <w:rFonts w:ascii="宋体" w:hAnsi="宋体" w:cs="宋体"/>
          <w:b/>
          <w:sz w:val="32"/>
          <w:szCs w:val="32"/>
        </w:rPr>
      </w:pPr>
      <w:r>
        <w:rPr>
          <w:rFonts w:hint="eastAsia" w:ascii="宋体" w:hAnsi="宋体" w:cs="宋体"/>
          <w:b/>
          <w:sz w:val="32"/>
          <w:szCs w:val="32"/>
        </w:rPr>
        <w:t>项目编号：BSZC2020-G3-230620-GXGN</w:t>
      </w:r>
    </w:p>
    <w:p>
      <w:pPr>
        <w:ind w:firstLine="632" w:firstLineChars="300"/>
        <w:rPr>
          <w:rFonts w:ascii="宋体" w:hAnsi="宋体" w:cs="宋体"/>
          <w:b/>
          <w:sz w:val="21"/>
          <w:szCs w:val="21"/>
          <w:u w:val="single"/>
        </w:rPr>
      </w:pPr>
      <w:r>
        <w:rPr>
          <w:rFonts w:hint="eastAsia" w:ascii="宋体" w:hAnsi="宋体" w:cs="宋体"/>
          <w:b/>
          <w:sz w:val="21"/>
          <w:szCs w:val="21"/>
        </w:rPr>
        <w:t xml:space="preserve"> </w:t>
      </w:r>
    </w:p>
    <w:p>
      <w:pPr>
        <w:tabs>
          <w:tab w:val="left" w:pos="3544"/>
        </w:tabs>
        <w:ind w:firstLine="632" w:firstLineChars="300"/>
        <w:rPr>
          <w:rFonts w:ascii="宋体" w:hAnsi="宋体" w:cs="宋体"/>
          <w:b/>
          <w:sz w:val="21"/>
          <w:szCs w:val="21"/>
          <w:u w:val="single"/>
        </w:rPr>
      </w:pPr>
      <w:r>
        <w:rPr>
          <w:rFonts w:hint="eastAsia" w:ascii="宋体" w:hAnsi="宋体" w:cs="宋体"/>
          <w:b/>
          <w:sz w:val="21"/>
          <w:szCs w:val="21"/>
        </w:rPr>
        <w:t xml:space="preserve">       </w:t>
      </w:r>
    </w:p>
    <w:p>
      <w:pPr>
        <w:jc w:val="center"/>
        <w:rPr>
          <w:rFonts w:ascii="宋体" w:hAnsi="宋体" w:cs="宋体"/>
          <w:b/>
          <w:sz w:val="21"/>
          <w:szCs w:val="21"/>
          <w:u w:val="single"/>
        </w:rPr>
      </w:pPr>
      <w:r>
        <w:rPr>
          <w:rFonts w:hint="eastAsia" w:ascii="宋体" w:hAnsi="宋体" w:cs="宋体"/>
          <w:b/>
          <w:sz w:val="21"/>
          <w:szCs w:val="21"/>
        </w:rPr>
        <w:t xml:space="preserve">         </w:t>
      </w:r>
    </w:p>
    <w:p>
      <w:pPr>
        <w:ind w:firstLine="1606" w:firstLineChars="500"/>
        <w:rPr>
          <w:rFonts w:hint="eastAsia" w:ascii="宋体" w:hAnsi="宋体" w:cs="宋体"/>
          <w:b/>
          <w:sz w:val="32"/>
          <w:szCs w:val="32"/>
        </w:rPr>
      </w:pPr>
    </w:p>
    <w:p>
      <w:pPr>
        <w:ind w:firstLine="1606" w:firstLineChars="500"/>
        <w:rPr>
          <w:rFonts w:ascii="宋体" w:hAnsi="宋体" w:cs="宋体"/>
          <w:b/>
          <w:sz w:val="32"/>
          <w:szCs w:val="32"/>
        </w:rPr>
      </w:pPr>
      <w:r>
        <w:rPr>
          <w:rFonts w:hint="eastAsia" w:ascii="宋体" w:hAnsi="宋体" w:cs="宋体"/>
          <w:b/>
          <w:sz w:val="32"/>
          <w:szCs w:val="32"/>
        </w:rPr>
        <w:t>采购人：平果市自然资源局（盖章）</w:t>
      </w:r>
    </w:p>
    <w:p>
      <w:pPr>
        <w:ind w:left="1735" w:leftChars="826"/>
        <w:rPr>
          <w:rFonts w:ascii="宋体" w:hAnsi="宋体" w:cs="宋体"/>
          <w:b/>
          <w:sz w:val="32"/>
          <w:szCs w:val="32"/>
        </w:rPr>
      </w:pPr>
    </w:p>
    <w:p>
      <w:pPr>
        <w:ind w:left="1735" w:leftChars="826"/>
        <w:rPr>
          <w:rFonts w:ascii="宋体" w:hAnsi="宋体" w:cs="宋体"/>
          <w:b/>
          <w:sz w:val="32"/>
          <w:szCs w:val="32"/>
        </w:rPr>
      </w:pPr>
    </w:p>
    <w:p>
      <w:pPr>
        <w:ind w:firstLine="964" w:firstLineChars="300"/>
        <w:rPr>
          <w:rFonts w:ascii="宋体" w:hAnsi="宋体" w:cs="宋体"/>
          <w:b/>
          <w:sz w:val="32"/>
          <w:szCs w:val="32"/>
        </w:rPr>
      </w:pPr>
      <w:r>
        <w:rPr>
          <w:rFonts w:hint="eastAsia" w:ascii="宋体" w:hAnsi="宋体" w:cs="宋体"/>
          <w:b/>
          <w:sz w:val="32"/>
          <w:szCs w:val="32"/>
        </w:rPr>
        <w:t>采购代理机构：</w:t>
      </w:r>
      <w:r>
        <w:rPr>
          <w:rFonts w:hint="eastAsia" w:ascii="宋体" w:hAnsi="宋体" w:cs="宋体"/>
          <w:b/>
          <w:color w:val="000000"/>
          <w:sz w:val="32"/>
          <w:szCs w:val="32"/>
        </w:rPr>
        <w:t>广西冠宁工程咨询有限公司（盖章）</w:t>
      </w:r>
    </w:p>
    <w:p>
      <w:pPr>
        <w:pStyle w:val="14"/>
        <w:jc w:val="center"/>
        <w:rPr>
          <w:rFonts w:hAnsi="宋体" w:cs="宋体"/>
          <w:b/>
          <w:sz w:val="32"/>
          <w:szCs w:val="32"/>
        </w:rPr>
      </w:pPr>
    </w:p>
    <w:p>
      <w:pPr>
        <w:pStyle w:val="14"/>
        <w:rPr>
          <w:rFonts w:hAnsi="宋体" w:cs="宋体"/>
          <w:b/>
          <w:sz w:val="32"/>
          <w:szCs w:val="32"/>
        </w:rPr>
      </w:pPr>
    </w:p>
    <w:p>
      <w:pPr>
        <w:pStyle w:val="14"/>
        <w:jc w:val="center"/>
        <w:rPr>
          <w:rFonts w:hAnsi="宋体" w:cs="宋体"/>
          <w:b/>
          <w:sz w:val="32"/>
          <w:szCs w:val="32"/>
        </w:rPr>
      </w:pPr>
      <w:r>
        <w:rPr>
          <w:rFonts w:hint="eastAsia" w:hAnsi="宋体" w:cs="宋体"/>
          <w:b/>
          <w:sz w:val="32"/>
          <w:szCs w:val="32"/>
        </w:rPr>
        <w:t>2020年12月</w:t>
      </w:r>
    </w:p>
    <w:p>
      <w:pPr>
        <w:pStyle w:val="14"/>
        <w:rPr>
          <w:rFonts w:hAnsi="宋体" w:cs="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20" w:footer="720" w:gutter="0"/>
          <w:pgNumType w:start="0"/>
          <w:cols w:space="720" w:num="1"/>
          <w:titlePg/>
          <w:docGrid w:type="lines" w:linePitch="331" w:charSpace="0"/>
        </w:sectPr>
      </w:pPr>
    </w:p>
    <w:p>
      <w:pPr>
        <w:pStyle w:val="14"/>
        <w:rPr>
          <w:rFonts w:hAnsi="宋体" w:cs="宋体"/>
          <w:sz w:val="21"/>
          <w:szCs w:val="21"/>
        </w:rPr>
      </w:pPr>
    </w:p>
    <w:p>
      <w:pPr>
        <w:pStyle w:val="14"/>
        <w:jc w:val="center"/>
        <w:rPr>
          <w:rFonts w:hAnsi="宋体" w:cs="宋体"/>
          <w:b/>
          <w:sz w:val="32"/>
          <w:szCs w:val="32"/>
        </w:rPr>
      </w:pPr>
      <w:r>
        <w:rPr>
          <w:rFonts w:hint="eastAsia" w:hAnsi="宋体" w:cs="宋体"/>
          <w:b/>
          <w:sz w:val="32"/>
          <w:szCs w:val="32"/>
        </w:rPr>
        <w:t>目     录</w:t>
      </w:r>
    </w:p>
    <w:p>
      <w:pPr>
        <w:pStyle w:val="20"/>
        <w:rPr>
          <w:rFonts w:ascii="宋体" w:hAnsi="宋体" w:cs="宋体"/>
          <w:bCs w:val="0"/>
          <w:caps w:val="0"/>
          <w:sz w:val="32"/>
          <w:szCs w:val="32"/>
        </w:rPr>
      </w:pPr>
    </w:p>
    <w:p>
      <w:pPr>
        <w:jc w:val="center"/>
        <w:rPr>
          <w:sz w:val="32"/>
          <w:szCs w:val="32"/>
        </w:rPr>
      </w:pPr>
      <w:bookmarkStart w:id="0" w:name="_Toc139966433"/>
      <w:bookmarkStart w:id="1" w:name="_Toc213206171"/>
      <w:bookmarkStart w:id="2" w:name="_Toc139967217"/>
      <w:bookmarkStart w:id="3" w:name="_Toc139967210"/>
      <w:bookmarkStart w:id="4" w:name="_Toc139966426"/>
    </w:p>
    <w:p>
      <w:pPr>
        <w:pStyle w:val="101"/>
        <w:tabs>
          <w:tab w:val="right" w:leader="dot" w:pos="9638"/>
        </w:tabs>
        <w:spacing w:line="360" w:lineRule="auto"/>
        <w:rPr>
          <w:b/>
          <w:bCs/>
          <w:sz w:val="32"/>
          <w:szCs w:val="32"/>
        </w:rPr>
      </w:pPr>
      <w:r>
        <w:rPr>
          <w:sz w:val="32"/>
          <w:szCs w:val="32"/>
        </w:rPr>
        <w:fldChar w:fldCharType="begin"/>
      </w:r>
      <w:r>
        <w:rPr>
          <w:sz w:val="32"/>
          <w:szCs w:val="32"/>
        </w:rPr>
        <w:instrText xml:space="preserve">TOC \o "1-1" \h \u </w:instrText>
      </w:r>
      <w:r>
        <w:rPr>
          <w:sz w:val="32"/>
          <w:szCs w:val="32"/>
        </w:rPr>
        <w:fldChar w:fldCharType="separate"/>
      </w:r>
      <w:r>
        <w:rPr>
          <w:sz w:val="32"/>
          <w:szCs w:val="32"/>
        </w:rPr>
        <w:fldChar w:fldCharType="begin"/>
      </w:r>
      <w:r>
        <w:rPr>
          <w:sz w:val="32"/>
          <w:szCs w:val="32"/>
        </w:rPr>
        <w:instrText xml:space="preserve"> HYPERLINK \l "_Toc30571" </w:instrText>
      </w:r>
      <w:r>
        <w:rPr>
          <w:sz w:val="32"/>
          <w:szCs w:val="32"/>
        </w:rPr>
        <w:fldChar w:fldCharType="separate"/>
      </w:r>
      <w:r>
        <w:rPr>
          <w:rFonts w:hint="eastAsia" w:ascii="宋体" w:hAnsi="宋体" w:cs="宋体"/>
          <w:b/>
          <w:bCs/>
          <w:sz w:val="32"/>
          <w:szCs w:val="32"/>
        </w:rPr>
        <w:t>第一章  公告</w:t>
      </w:r>
      <w:r>
        <w:rPr>
          <w:b/>
          <w:bCs/>
          <w:sz w:val="32"/>
          <w:szCs w:val="32"/>
        </w:rPr>
        <w:tab/>
      </w:r>
      <w:r>
        <w:rPr>
          <w:b/>
          <w:bCs/>
          <w:sz w:val="32"/>
          <w:szCs w:val="32"/>
        </w:rPr>
        <w:fldChar w:fldCharType="begin"/>
      </w:r>
      <w:r>
        <w:rPr>
          <w:b/>
          <w:bCs/>
          <w:sz w:val="32"/>
          <w:szCs w:val="32"/>
        </w:rPr>
        <w:instrText xml:space="preserve"> PAGEREF _Toc30571 </w:instrText>
      </w:r>
      <w:r>
        <w:rPr>
          <w:b/>
          <w:bCs/>
          <w:sz w:val="32"/>
          <w:szCs w:val="32"/>
        </w:rPr>
        <w:fldChar w:fldCharType="separate"/>
      </w:r>
      <w:r>
        <w:rPr>
          <w:b/>
          <w:bCs/>
          <w:sz w:val="32"/>
          <w:szCs w:val="32"/>
        </w:rPr>
        <w:t>1</w:t>
      </w:r>
      <w:r>
        <w:rPr>
          <w:b/>
          <w:bCs/>
          <w:sz w:val="32"/>
          <w:szCs w:val="32"/>
        </w:rPr>
        <w:fldChar w:fldCharType="end"/>
      </w:r>
      <w:r>
        <w:rPr>
          <w:b/>
          <w:bCs/>
          <w:sz w:val="32"/>
          <w:szCs w:val="32"/>
        </w:rPr>
        <w:fldChar w:fldCharType="end"/>
      </w:r>
    </w:p>
    <w:p>
      <w:pPr>
        <w:pStyle w:val="101"/>
        <w:tabs>
          <w:tab w:val="right" w:leader="dot" w:pos="9638"/>
        </w:tabs>
        <w:spacing w:line="360" w:lineRule="auto"/>
        <w:rPr>
          <w:b/>
          <w:bCs/>
          <w:sz w:val="32"/>
          <w:szCs w:val="32"/>
        </w:rPr>
      </w:pPr>
      <w:r>
        <w:rPr>
          <w:sz w:val="32"/>
          <w:szCs w:val="32"/>
        </w:rPr>
        <w:fldChar w:fldCharType="begin"/>
      </w:r>
      <w:r>
        <w:rPr>
          <w:sz w:val="32"/>
          <w:szCs w:val="32"/>
        </w:rPr>
        <w:instrText xml:space="preserve"> HYPERLINK \l "_Toc30781" </w:instrText>
      </w:r>
      <w:r>
        <w:rPr>
          <w:sz w:val="32"/>
          <w:szCs w:val="32"/>
        </w:rPr>
        <w:fldChar w:fldCharType="separate"/>
      </w:r>
      <w:r>
        <w:rPr>
          <w:rFonts w:hint="eastAsia" w:ascii="宋体" w:hAnsi="宋体" w:cs="宋体"/>
          <w:b/>
          <w:bCs/>
          <w:sz w:val="32"/>
          <w:szCs w:val="32"/>
        </w:rPr>
        <w:t>第二章  投标人须知</w:t>
      </w:r>
      <w:r>
        <w:rPr>
          <w:b/>
          <w:bCs/>
          <w:sz w:val="32"/>
          <w:szCs w:val="32"/>
        </w:rPr>
        <w:tab/>
      </w:r>
      <w:r>
        <w:rPr>
          <w:rFonts w:hint="eastAsia"/>
          <w:b/>
          <w:bCs/>
          <w:sz w:val="32"/>
          <w:szCs w:val="32"/>
          <w:lang w:val="en-US" w:eastAsia="zh-CN"/>
        </w:rPr>
        <w:t>4</w:t>
      </w:r>
      <w:r>
        <w:rPr>
          <w:b/>
          <w:bCs/>
          <w:sz w:val="32"/>
          <w:szCs w:val="32"/>
        </w:rPr>
        <w:fldChar w:fldCharType="end"/>
      </w:r>
    </w:p>
    <w:p>
      <w:pPr>
        <w:pStyle w:val="101"/>
        <w:tabs>
          <w:tab w:val="right" w:leader="dot" w:pos="9638"/>
        </w:tabs>
        <w:spacing w:line="360" w:lineRule="auto"/>
        <w:rPr>
          <w:rFonts w:hint="eastAsia" w:eastAsia="宋体"/>
          <w:b/>
          <w:bCs/>
          <w:sz w:val="32"/>
          <w:szCs w:val="32"/>
          <w:lang w:val="en-US" w:eastAsia="zh-CN"/>
        </w:rPr>
      </w:pPr>
      <w:r>
        <w:rPr>
          <w:sz w:val="32"/>
          <w:szCs w:val="32"/>
        </w:rPr>
        <w:fldChar w:fldCharType="begin"/>
      </w:r>
      <w:r>
        <w:rPr>
          <w:sz w:val="32"/>
          <w:szCs w:val="32"/>
        </w:rPr>
        <w:instrText xml:space="preserve"> HYPERLINK \l "_Toc26081" </w:instrText>
      </w:r>
      <w:r>
        <w:rPr>
          <w:sz w:val="32"/>
          <w:szCs w:val="32"/>
        </w:rPr>
        <w:fldChar w:fldCharType="separate"/>
      </w:r>
      <w:r>
        <w:rPr>
          <w:rFonts w:hint="eastAsia" w:ascii="宋体" w:hAnsi="宋体" w:cs="宋体"/>
          <w:b/>
          <w:bCs/>
          <w:sz w:val="32"/>
          <w:szCs w:val="32"/>
        </w:rPr>
        <w:t>第三章  服务需求一览表</w:t>
      </w:r>
      <w:r>
        <w:rPr>
          <w:b/>
          <w:bCs/>
          <w:sz w:val="32"/>
          <w:szCs w:val="32"/>
        </w:rPr>
        <w:tab/>
      </w:r>
      <w:r>
        <w:rPr>
          <w:rFonts w:hint="eastAsia"/>
          <w:b/>
          <w:bCs/>
          <w:sz w:val="32"/>
          <w:szCs w:val="32"/>
          <w:lang w:val="en-US" w:eastAsia="zh-CN"/>
        </w:rPr>
        <w:t>2</w:t>
      </w:r>
      <w:r>
        <w:rPr>
          <w:b/>
          <w:bCs/>
          <w:sz w:val="32"/>
          <w:szCs w:val="32"/>
        </w:rPr>
        <w:fldChar w:fldCharType="end"/>
      </w:r>
      <w:r>
        <w:rPr>
          <w:rFonts w:hint="eastAsia"/>
          <w:b/>
          <w:bCs/>
          <w:sz w:val="32"/>
          <w:szCs w:val="32"/>
          <w:lang w:val="en-US" w:eastAsia="zh-CN"/>
        </w:rPr>
        <w:t>0</w:t>
      </w:r>
    </w:p>
    <w:p>
      <w:pPr>
        <w:pStyle w:val="101"/>
        <w:tabs>
          <w:tab w:val="right" w:leader="dot" w:pos="9638"/>
        </w:tabs>
        <w:spacing w:line="360" w:lineRule="auto"/>
        <w:rPr>
          <w:rFonts w:hint="eastAsia" w:eastAsia="宋体"/>
          <w:b/>
          <w:bCs/>
          <w:sz w:val="32"/>
          <w:szCs w:val="32"/>
          <w:lang w:val="en-US" w:eastAsia="zh-CN"/>
        </w:rPr>
      </w:pPr>
      <w:r>
        <w:rPr>
          <w:sz w:val="32"/>
          <w:szCs w:val="32"/>
        </w:rPr>
        <w:fldChar w:fldCharType="begin"/>
      </w:r>
      <w:r>
        <w:rPr>
          <w:sz w:val="32"/>
          <w:szCs w:val="32"/>
        </w:rPr>
        <w:instrText xml:space="preserve"> HYPERLINK \l "_Toc13544" </w:instrText>
      </w:r>
      <w:r>
        <w:rPr>
          <w:sz w:val="32"/>
          <w:szCs w:val="32"/>
        </w:rPr>
        <w:fldChar w:fldCharType="separate"/>
      </w:r>
      <w:r>
        <w:rPr>
          <w:rFonts w:hint="eastAsia" w:ascii="宋体" w:hAnsi="宋体" w:cs="宋体"/>
          <w:b/>
          <w:bCs/>
          <w:sz w:val="32"/>
          <w:szCs w:val="32"/>
        </w:rPr>
        <w:t>第四章  投标文件格式</w:t>
      </w:r>
      <w:r>
        <w:rPr>
          <w:b/>
          <w:bCs/>
          <w:sz w:val="32"/>
          <w:szCs w:val="32"/>
        </w:rPr>
        <w:tab/>
      </w:r>
      <w:r>
        <w:rPr>
          <w:rFonts w:hint="eastAsia"/>
          <w:b/>
          <w:bCs/>
          <w:sz w:val="32"/>
          <w:szCs w:val="32"/>
          <w:lang w:val="en-US" w:eastAsia="zh-CN"/>
        </w:rPr>
        <w:t>3</w:t>
      </w:r>
      <w:r>
        <w:rPr>
          <w:b/>
          <w:bCs/>
          <w:sz w:val="32"/>
          <w:szCs w:val="32"/>
        </w:rPr>
        <w:fldChar w:fldCharType="end"/>
      </w:r>
      <w:r>
        <w:rPr>
          <w:rFonts w:hint="eastAsia"/>
          <w:b/>
          <w:bCs/>
          <w:sz w:val="32"/>
          <w:szCs w:val="32"/>
          <w:lang w:val="en-US" w:eastAsia="zh-CN"/>
        </w:rPr>
        <w:t>0</w:t>
      </w:r>
    </w:p>
    <w:p>
      <w:pPr>
        <w:pStyle w:val="101"/>
        <w:tabs>
          <w:tab w:val="right" w:leader="dot" w:pos="9638"/>
        </w:tabs>
        <w:spacing w:line="360" w:lineRule="auto"/>
        <w:rPr>
          <w:rFonts w:hint="eastAsia" w:eastAsia="宋体"/>
          <w:b/>
          <w:bCs/>
          <w:sz w:val="32"/>
          <w:szCs w:val="32"/>
          <w:lang w:val="en-US" w:eastAsia="zh-CN"/>
        </w:rPr>
      </w:pPr>
      <w:r>
        <w:rPr>
          <w:sz w:val="32"/>
          <w:szCs w:val="32"/>
        </w:rPr>
        <w:fldChar w:fldCharType="begin"/>
      </w:r>
      <w:r>
        <w:rPr>
          <w:sz w:val="32"/>
          <w:szCs w:val="32"/>
        </w:rPr>
        <w:instrText xml:space="preserve"> HYPERLINK \l "_Toc19469" </w:instrText>
      </w:r>
      <w:r>
        <w:rPr>
          <w:sz w:val="32"/>
          <w:szCs w:val="32"/>
        </w:rPr>
        <w:fldChar w:fldCharType="separate"/>
      </w:r>
      <w:r>
        <w:rPr>
          <w:rFonts w:hint="eastAsia" w:ascii="宋体" w:hAnsi="宋体" w:cs="宋体"/>
          <w:b/>
          <w:bCs/>
          <w:sz w:val="32"/>
          <w:szCs w:val="32"/>
        </w:rPr>
        <w:t>第五章  合同条款及格式</w:t>
      </w:r>
      <w:r>
        <w:rPr>
          <w:b/>
          <w:bCs/>
          <w:sz w:val="32"/>
          <w:szCs w:val="32"/>
        </w:rPr>
        <w:tab/>
      </w:r>
      <w:r>
        <w:rPr>
          <w:rFonts w:hint="eastAsia"/>
          <w:b/>
          <w:bCs/>
          <w:sz w:val="32"/>
          <w:szCs w:val="32"/>
          <w:lang w:val="en-US" w:eastAsia="zh-CN"/>
        </w:rPr>
        <w:t>5</w:t>
      </w:r>
      <w:r>
        <w:rPr>
          <w:b/>
          <w:bCs/>
          <w:sz w:val="32"/>
          <w:szCs w:val="32"/>
        </w:rPr>
        <w:fldChar w:fldCharType="end"/>
      </w:r>
      <w:r>
        <w:rPr>
          <w:rFonts w:hint="eastAsia"/>
          <w:b/>
          <w:bCs/>
          <w:sz w:val="32"/>
          <w:szCs w:val="32"/>
          <w:lang w:val="en-US" w:eastAsia="zh-CN"/>
        </w:rPr>
        <w:t>0</w:t>
      </w:r>
    </w:p>
    <w:p>
      <w:pPr>
        <w:pStyle w:val="101"/>
        <w:tabs>
          <w:tab w:val="right" w:leader="dot" w:pos="9638"/>
        </w:tabs>
        <w:spacing w:line="360" w:lineRule="auto"/>
        <w:rPr>
          <w:rFonts w:hint="eastAsia" w:eastAsia="宋体"/>
          <w:b/>
          <w:bCs/>
          <w:sz w:val="32"/>
          <w:szCs w:val="32"/>
          <w:lang w:val="en-US" w:eastAsia="zh-CN"/>
        </w:rPr>
      </w:pPr>
      <w:r>
        <w:rPr>
          <w:sz w:val="32"/>
          <w:szCs w:val="32"/>
        </w:rPr>
        <w:fldChar w:fldCharType="begin"/>
      </w:r>
      <w:r>
        <w:rPr>
          <w:sz w:val="32"/>
          <w:szCs w:val="32"/>
        </w:rPr>
        <w:instrText xml:space="preserve"> HYPERLINK \l "_Toc31929" </w:instrText>
      </w:r>
      <w:r>
        <w:rPr>
          <w:sz w:val="32"/>
          <w:szCs w:val="32"/>
        </w:rPr>
        <w:fldChar w:fldCharType="separate"/>
      </w:r>
      <w:r>
        <w:rPr>
          <w:rFonts w:hint="eastAsia" w:ascii="宋体" w:hAnsi="宋体" w:cs="宋体"/>
          <w:b/>
          <w:bCs/>
          <w:sz w:val="32"/>
          <w:szCs w:val="32"/>
        </w:rPr>
        <w:t>第六章  质疑材料格式</w:t>
      </w:r>
      <w:r>
        <w:rPr>
          <w:b/>
          <w:bCs/>
          <w:sz w:val="32"/>
          <w:szCs w:val="32"/>
        </w:rPr>
        <w:tab/>
      </w:r>
      <w:r>
        <w:rPr>
          <w:rFonts w:hint="eastAsia"/>
          <w:b/>
          <w:bCs/>
          <w:sz w:val="32"/>
          <w:szCs w:val="32"/>
          <w:lang w:val="en-US" w:eastAsia="zh-CN"/>
        </w:rPr>
        <w:t>5</w:t>
      </w:r>
      <w:r>
        <w:rPr>
          <w:b/>
          <w:bCs/>
          <w:sz w:val="32"/>
          <w:szCs w:val="32"/>
        </w:rPr>
        <w:fldChar w:fldCharType="end"/>
      </w:r>
      <w:r>
        <w:rPr>
          <w:rFonts w:hint="eastAsia"/>
          <w:b/>
          <w:bCs/>
          <w:sz w:val="32"/>
          <w:szCs w:val="32"/>
          <w:lang w:val="en-US" w:eastAsia="zh-CN"/>
        </w:rPr>
        <w:t>3</w:t>
      </w:r>
    </w:p>
    <w:p>
      <w:pPr>
        <w:pStyle w:val="101"/>
        <w:tabs>
          <w:tab w:val="right" w:leader="dot" w:pos="9638"/>
        </w:tabs>
        <w:spacing w:line="360" w:lineRule="auto"/>
        <w:rPr>
          <w:rFonts w:hint="eastAsia" w:eastAsia="宋体"/>
          <w:sz w:val="32"/>
          <w:szCs w:val="32"/>
          <w:lang w:val="en-US" w:eastAsia="zh-CN"/>
        </w:rPr>
      </w:pPr>
      <w:r>
        <w:rPr>
          <w:sz w:val="32"/>
          <w:szCs w:val="32"/>
        </w:rPr>
        <w:fldChar w:fldCharType="begin"/>
      </w:r>
      <w:r>
        <w:rPr>
          <w:sz w:val="32"/>
          <w:szCs w:val="32"/>
        </w:rPr>
        <w:instrText xml:space="preserve"> HYPERLINK \l "_Toc30637" </w:instrText>
      </w:r>
      <w:r>
        <w:rPr>
          <w:sz w:val="32"/>
          <w:szCs w:val="32"/>
        </w:rPr>
        <w:fldChar w:fldCharType="separate"/>
      </w:r>
      <w:r>
        <w:rPr>
          <w:rFonts w:hint="eastAsia" w:ascii="宋体" w:hAnsi="宋体" w:cs="宋体"/>
          <w:b/>
          <w:bCs/>
          <w:sz w:val="32"/>
          <w:szCs w:val="32"/>
        </w:rPr>
        <w:t>第七章  评标方法</w:t>
      </w:r>
      <w:r>
        <w:rPr>
          <w:b/>
          <w:bCs/>
          <w:sz w:val="32"/>
          <w:szCs w:val="32"/>
        </w:rPr>
        <w:tab/>
      </w:r>
      <w:r>
        <w:rPr>
          <w:rFonts w:hint="eastAsia"/>
          <w:b/>
          <w:bCs/>
          <w:sz w:val="32"/>
          <w:szCs w:val="32"/>
          <w:lang w:val="en-US" w:eastAsia="zh-CN"/>
        </w:rPr>
        <w:t>5</w:t>
      </w:r>
      <w:r>
        <w:rPr>
          <w:b/>
          <w:bCs/>
          <w:sz w:val="32"/>
          <w:szCs w:val="32"/>
        </w:rPr>
        <w:fldChar w:fldCharType="end"/>
      </w:r>
      <w:r>
        <w:rPr>
          <w:rFonts w:hint="eastAsia"/>
          <w:b/>
          <w:bCs/>
          <w:sz w:val="32"/>
          <w:szCs w:val="32"/>
          <w:lang w:val="en-US" w:eastAsia="zh-CN"/>
        </w:rPr>
        <w:t>5</w:t>
      </w:r>
    </w:p>
    <w:p>
      <w:pPr>
        <w:pStyle w:val="101"/>
        <w:tabs>
          <w:tab w:val="right" w:leader="dot" w:pos="9638"/>
        </w:tabs>
        <w:rPr>
          <w:sz w:val="32"/>
          <w:szCs w:val="32"/>
        </w:rPr>
      </w:pPr>
    </w:p>
    <w:p>
      <w:pPr>
        <w:rPr>
          <w:sz w:val="21"/>
          <w:szCs w:val="21"/>
        </w:rPr>
      </w:pPr>
      <w:r>
        <w:rPr>
          <w:sz w:val="32"/>
          <w:szCs w:val="32"/>
        </w:rPr>
        <w:fldChar w:fldCharType="end"/>
      </w:r>
    </w:p>
    <w:p>
      <w:pPr>
        <w:pStyle w:val="20"/>
        <w:tabs>
          <w:tab w:val="right" w:leader="dot" w:pos="9060"/>
        </w:tabs>
        <w:rPr>
          <w:rFonts w:ascii="宋体" w:hAnsi="宋体" w:cs="宋体"/>
          <w:b w:val="0"/>
          <w:bCs w:val="0"/>
          <w:caps w:val="0"/>
          <w:sz w:val="21"/>
          <w:szCs w:val="21"/>
        </w:rPr>
      </w:pPr>
      <w:r>
        <w:rPr>
          <w:rFonts w:hint="eastAsia" w:ascii="宋体" w:hAnsi="宋体" w:cs="宋体"/>
          <w:b w:val="0"/>
          <w:bCs w:val="0"/>
          <w:caps w:val="0"/>
          <w:sz w:val="21"/>
          <w:szCs w:val="21"/>
        </w:rPr>
        <w:fldChar w:fldCharType="begin"/>
      </w:r>
      <w:r>
        <w:rPr>
          <w:rFonts w:hint="eastAsia" w:ascii="宋体" w:hAnsi="宋体" w:cs="宋体"/>
          <w:b w:val="0"/>
          <w:bCs w:val="0"/>
          <w:caps w:val="0"/>
          <w:sz w:val="21"/>
          <w:szCs w:val="21"/>
        </w:rPr>
        <w:instrText xml:space="preserve"> TOC \o "1-3" \h \z \u </w:instrText>
      </w:r>
      <w:r>
        <w:rPr>
          <w:rFonts w:hint="eastAsia" w:ascii="宋体" w:hAnsi="宋体" w:cs="宋体"/>
          <w:b w:val="0"/>
          <w:bCs w:val="0"/>
          <w:caps w:val="0"/>
          <w:sz w:val="21"/>
          <w:szCs w:val="21"/>
        </w:rPr>
        <w:fldChar w:fldCharType="separate"/>
      </w:r>
    </w:p>
    <w:p>
      <w:pPr>
        <w:jc w:val="center"/>
        <w:rPr>
          <w:sz w:val="21"/>
          <w:szCs w:val="21"/>
        </w:rPr>
      </w:pPr>
    </w:p>
    <w:p>
      <w:pPr>
        <w:pStyle w:val="20"/>
        <w:tabs>
          <w:tab w:val="right" w:leader="dot" w:pos="9628"/>
        </w:tabs>
        <w:rPr>
          <w:rFonts w:ascii="宋体" w:hAnsi="宋体" w:cs="宋体"/>
          <w:b w:val="0"/>
          <w:bCs w:val="0"/>
          <w:caps w:val="0"/>
          <w:sz w:val="21"/>
          <w:szCs w:val="21"/>
        </w:rPr>
      </w:pPr>
      <w:r>
        <w:rPr>
          <w:rFonts w:hint="eastAsia" w:ascii="宋体" w:hAnsi="宋体" w:cs="宋体"/>
          <w:b w:val="0"/>
          <w:bCs w:val="0"/>
          <w:caps w:val="0"/>
          <w:sz w:val="21"/>
          <w:szCs w:val="21"/>
        </w:rPr>
        <w:fldChar w:fldCharType="end"/>
      </w:r>
      <w:bookmarkStart w:id="5" w:name="_Toc213325920"/>
    </w:p>
    <w:p>
      <w:pPr>
        <w:pStyle w:val="14"/>
        <w:jc w:val="center"/>
        <w:rPr>
          <w:rFonts w:hAnsi="宋体" w:cs="宋体"/>
          <w:b/>
          <w:bCs/>
          <w:caps/>
          <w:sz w:val="21"/>
          <w:szCs w:val="21"/>
        </w:rPr>
      </w:pPr>
    </w:p>
    <w:p>
      <w:pPr>
        <w:pStyle w:val="14"/>
        <w:jc w:val="center"/>
        <w:rPr>
          <w:rFonts w:hAnsi="宋体" w:cs="宋体"/>
          <w:b/>
          <w:bCs/>
          <w:caps/>
          <w:sz w:val="21"/>
          <w:szCs w:val="21"/>
        </w:rPr>
      </w:pPr>
    </w:p>
    <w:p>
      <w:pPr>
        <w:pStyle w:val="14"/>
        <w:jc w:val="center"/>
        <w:rPr>
          <w:rFonts w:hAnsi="宋体" w:cs="宋体"/>
          <w:b/>
          <w:sz w:val="21"/>
          <w:szCs w:val="21"/>
        </w:rPr>
        <w:sectPr>
          <w:footerReference r:id="rId9" w:type="default"/>
          <w:pgSz w:w="11906" w:h="16838"/>
          <w:pgMar w:top="1418" w:right="1134" w:bottom="1418" w:left="1134" w:header="720" w:footer="720" w:gutter="0"/>
          <w:pgNumType w:start="1"/>
          <w:cols w:space="720" w:num="1"/>
          <w:docGrid w:type="lines" w:linePitch="331" w:charSpace="0"/>
        </w:sectPr>
      </w:pPr>
      <w:bookmarkStart w:id="6" w:name="_Toc27317"/>
      <w:bookmarkStart w:id="7" w:name="_Toc2261185"/>
      <w:bookmarkStart w:id="8" w:name="_Toc8260"/>
    </w:p>
    <w:p>
      <w:pPr>
        <w:pStyle w:val="14"/>
        <w:spacing w:line="440" w:lineRule="exact"/>
        <w:jc w:val="center"/>
        <w:outlineLvl w:val="0"/>
        <w:rPr>
          <w:rFonts w:hint="eastAsia" w:hAnsi="宋体" w:cs="宋体"/>
          <w:b/>
          <w:sz w:val="32"/>
          <w:szCs w:val="32"/>
        </w:rPr>
      </w:pPr>
      <w:bookmarkStart w:id="9" w:name="_Toc30571"/>
      <w:bookmarkStart w:id="10" w:name="_Toc803"/>
      <w:r>
        <w:rPr>
          <w:rFonts w:hint="eastAsia" w:hAnsi="宋体" w:cs="宋体"/>
          <w:b/>
          <w:sz w:val="32"/>
          <w:szCs w:val="32"/>
        </w:rPr>
        <w:t xml:space="preserve">第一章  </w:t>
      </w:r>
      <w:r>
        <w:rPr>
          <w:rFonts w:hint="eastAsia" w:hAnsi="宋体" w:cs="宋体"/>
          <w:b/>
          <w:sz w:val="32"/>
          <w:szCs w:val="32"/>
          <w:lang w:val="en-US" w:eastAsia="zh-CN"/>
        </w:rPr>
        <w:t>招标</w:t>
      </w:r>
      <w:r>
        <w:rPr>
          <w:rFonts w:hint="eastAsia" w:hAnsi="宋体" w:cs="宋体"/>
          <w:b/>
          <w:sz w:val="32"/>
          <w:szCs w:val="32"/>
        </w:rPr>
        <w:t>公告</w:t>
      </w:r>
      <w:bookmarkEnd w:id="0"/>
      <w:bookmarkEnd w:id="1"/>
      <w:bookmarkEnd w:id="2"/>
      <w:bookmarkEnd w:id="5"/>
      <w:bookmarkEnd w:id="6"/>
      <w:bookmarkEnd w:id="7"/>
      <w:bookmarkEnd w:id="8"/>
      <w:bookmarkEnd w:id="9"/>
      <w:bookmarkEnd w:id="10"/>
    </w:p>
    <w:p>
      <w:pPr>
        <w:pStyle w:val="14"/>
        <w:spacing w:line="440" w:lineRule="exact"/>
        <w:jc w:val="center"/>
        <w:outlineLvl w:val="0"/>
        <w:rPr>
          <w:rFonts w:hint="eastAsia" w:hAnsi="宋体" w:cs="宋体"/>
          <w:b/>
          <w:sz w:val="32"/>
          <w:szCs w:val="32"/>
        </w:rPr>
      </w:pPr>
    </w:p>
    <w:p>
      <w:pPr>
        <w:jc w:val="center"/>
        <w:rPr>
          <w:rFonts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"https://www.zcygov.cn/proj-procurement/project-result-detail/5d870e6134183a2d" \t "https://www.zcygov.cn/proj-procurement/self-project/_blank" </w:instrText>
      </w:r>
      <w:r>
        <w:rPr>
          <w:rFonts w:hint="eastAsia" w:ascii="宋体" w:hAnsi="宋体" w:cs="宋体"/>
          <w:b/>
          <w:sz w:val="28"/>
          <w:szCs w:val="28"/>
        </w:rPr>
        <w:fldChar w:fldCharType="separate"/>
      </w:r>
      <w:r>
        <w:rPr>
          <w:rFonts w:hint="eastAsia" w:ascii="宋体" w:hAnsi="宋体" w:cs="宋体"/>
          <w:b/>
          <w:sz w:val="28"/>
          <w:szCs w:val="28"/>
        </w:rPr>
        <w:t>平果市国土空间规划报告编制、两个体系研究专题及数据库建设项目</w:t>
      </w:r>
      <w:r>
        <w:rPr>
          <w:rFonts w:hint="eastAsia" w:ascii="宋体" w:hAnsi="宋体" w:cs="宋体"/>
          <w:b/>
          <w:sz w:val="28"/>
          <w:szCs w:val="28"/>
        </w:rPr>
        <w:fldChar w:fldCharType="end"/>
      </w:r>
    </w:p>
    <w:p>
      <w:pPr>
        <w:jc w:val="center"/>
        <w:rPr>
          <w:rFonts w:hint="default" w:ascii="宋体" w:hAnsi="宋体" w:eastAsia="宋体" w:cs="宋体"/>
          <w:b/>
          <w:sz w:val="28"/>
          <w:szCs w:val="28"/>
          <w:lang w:val="en-US" w:eastAsia="zh-CN"/>
        </w:rPr>
      </w:pPr>
      <w:r>
        <w:rPr>
          <w:rFonts w:hint="eastAsia" w:ascii="宋体" w:hAnsi="宋体" w:cs="宋体"/>
          <w:b/>
          <w:sz w:val="28"/>
          <w:szCs w:val="28"/>
          <w:lang w:eastAsia="zh-CN"/>
        </w:rPr>
        <w:t>（</w:t>
      </w:r>
      <w:r>
        <w:rPr>
          <w:rFonts w:hint="eastAsia" w:ascii="宋体" w:hAnsi="宋体" w:cs="宋体"/>
          <w:b/>
          <w:sz w:val="28"/>
          <w:szCs w:val="28"/>
        </w:rPr>
        <w:t>BSZC2020-G3-230620-GXGN</w:t>
      </w:r>
      <w:r>
        <w:rPr>
          <w:rFonts w:hint="eastAsia" w:ascii="宋体" w:hAnsi="宋体" w:cs="宋体"/>
          <w:b/>
          <w:sz w:val="28"/>
          <w:szCs w:val="28"/>
          <w:lang w:eastAsia="zh-CN"/>
        </w:rPr>
        <w:t>）</w:t>
      </w:r>
      <w:r>
        <w:rPr>
          <w:rFonts w:hint="eastAsia" w:ascii="宋体" w:hAnsi="宋体" w:cs="宋体"/>
          <w:b/>
          <w:sz w:val="28"/>
          <w:szCs w:val="28"/>
          <w:lang w:val="en-US" w:eastAsia="zh-CN"/>
        </w:rPr>
        <w:t>招标公告</w:t>
      </w:r>
    </w:p>
    <w:p>
      <w:pPr>
        <w:spacing w:line="340" w:lineRule="exact"/>
        <w:ind w:firstLine="420" w:firstLineChars="200"/>
        <w:rPr>
          <w:rFonts w:ascii="宋体" w:hAnsi="宋体" w:cs="宋体"/>
          <w:bCs/>
          <w:sz w:val="21"/>
          <w:szCs w:val="21"/>
        </w:rPr>
      </w:pPr>
      <w:bookmarkStart w:id="11" w:name="_Toc139967215"/>
      <w:bookmarkStart w:id="12" w:name="_Toc139966431"/>
      <w:bookmarkStart w:id="13" w:name="_Toc213325921"/>
      <w:bookmarkStart w:id="14" w:name="_Toc213206172"/>
      <w:r>
        <w:rPr>
          <w:rFonts w:hint="eastAsia" w:ascii="宋体" w:hAnsi="宋体" w:cs="宋体"/>
          <w:bCs/>
          <w:sz w:val="21"/>
          <w:szCs w:val="21"/>
        </w:rPr>
        <w:t>受平果市自然资源局委托，广西冠宁工程咨询有限公司拟对</w:t>
      </w:r>
      <w:r>
        <w:rPr>
          <w:sz w:val="21"/>
          <w:szCs w:val="21"/>
        </w:rPr>
        <w:fldChar w:fldCharType="begin"/>
      </w:r>
      <w:r>
        <w:rPr>
          <w:sz w:val="21"/>
          <w:szCs w:val="21"/>
        </w:rPr>
        <w:instrText xml:space="preserve"> HYPERLINK "https://www.zcygov.cn/proj-procurement/project-result-detail/5d870e6134183a2d" \t "https://www.zcygov.cn/proj-procurement/self-project/_blank" </w:instrText>
      </w:r>
      <w:r>
        <w:rPr>
          <w:sz w:val="21"/>
          <w:szCs w:val="21"/>
        </w:rPr>
        <w:fldChar w:fldCharType="separate"/>
      </w:r>
      <w:r>
        <w:rPr>
          <w:rFonts w:hint="eastAsia" w:ascii="宋体" w:hAnsi="宋体" w:cs="宋体"/>
          <w:bCs/>
          <w:sz w:val="21"/>
          <w:szCs w:val="21"/>
        </w:rPr>
        <w:t>平果市国土空间规划报告编制、两个体系研究专题及数据库建设项目</w:t>
      </w:r>
      <w:r>
        <w:rPr>
          <w:rFonts w:hint="eastAsia" w:ascii="宋体" w:hAnsi="宋体" w:cs="宋体"/>
          <w:bCs/>
          <w:sz w:val="21"/>
          <w:szCs w:val="21"/>
        </w:rPr>
        <w:fldChar w:fldCharType="end"/>
      </w:r>
      <w:r>
        <w:rPr>
          <w:rFonts w:hint="eastAsia" w:ascii="宋体" w:hAnsi="宋体" w:cs="宋体"/>
          <w:bCs/>
          <w:sz w:val="21"/>
          <w:szCs w:val="21"/>
        </w:rPr>
        <w:t>采购进行公开招标采购，现将采购信息公告如下：</w:t>
      </w:r>
    </w:p>
    <w:p>
      <w:pPr>
        <w:spacing w:line="340" w:lineRule="exact"/>
        <w:rPr>
          <w:rFonts w:ascii="宋体" w:hAnsi="宋体" w:cs="宋体"/>
          <w:bCs/>
          <w:sz w:val="21"/>
          <w:szCs w:val="21"/>
        </w:rPr>
      </w:pPr>
      <w:r>
        <w:rPr>
          <w:rFonts w:hint="eastAsia" w:ascii="宋体" w:hAnsi="宋体" w:cs="宋体"/>
          <w:b/>
          <w:sz w:val="21"/>
          <w:szCs w:val="21"/>
        </w:rPr>
        <w:t>一、采购项目名称：</w:t>
      </w:r>
      <w:r>
        <w:rPr>
          <w:sz w:val="21"/>
          <w:szCs w:val="21"/>
        </w:rPr>
        <w:fldChar w:fldCharType="begin"/>
      </w:r>
      <w:r>
        <w:rPr>
          <w:sz w:val="21"/>
          <w:szCs w:val="21"/>
        </w:rPr>
        <w:instrText xml:space="preserve"> HYPERLINK "https://www.zcygov.cn/proj-procurement/project-result-detail/5d870e6134183a2d" \t "https://www.zcygov.cn/proj-procurement/self-project/_blank" </w:instrText>
      </w:r>
      <w:r>
        <w:rPr>
          <w:sz w:val="21"/>
          <w:szCs w:val="21"/>
        </w:rPr>
        <w:fldChar w:fldCharType="separate"/>
      </w:r>
      <w:r>
        <w:rPr>
          <w:rFonts w:hint="eastAsia" w:ascii="宋体" w:hAnsi="宋体" w:cs="宋体"/>
          <w:bCs/>
          <w:sz w:val="21"/>
          <w:szCs w:val="21"/>
        </w:rPr>
        <w:t>平果市国土空间规划报告编制、两个体系研究专题及数据库建设项目</w:t>
      </w:r>
      <w:r>
        <w:rPr>
          <w:rFonts w:hint="eastAsia" w:ascii="宋体" w:hAnsi="宋体" w:cs="宋体"/>
          <w:bCs/>
          <w:sz w:val="21"/>
          <w:szCs w:val="21"/>
        </w:rPr>
        <w:fldChar w:fldCharType="end"/>
      </w:r>
    </w:p>
    <w:p>
      <w:pPr>
        <w:spacing w:line="340" w:lineRule="exact"/>
        <w:rPr>
          <w:rFonts w:ascii="宋体" w:hAnsi="宋体" w:cs="宋体"/>
          <w:bCs/>
          <w:sz w:val="21"/>
          <w:szCs w:val="21"/>
        </w:rPr>
      </w:pPr>
      <w:r>
        <w:rPr>
          <w:rFonts w:hint="eastAsia" w:ascii="宋体" w:hAnsi="宋体" w:cs="宋体"/>
          <w:b/>
          <w:sz w:val="21"/>
          <w:szCs w:val="21"/>
        </w:rPr>
        <w:t>二、采购项目编号：</w:t>
      </w:r>
      <w:r>
        <w:rPr>
          <w:rFonts w:hint="eastAsia" w:ascii="宋体" w:hAnsi="宋体" w:cs="宋体"/>
          <w:bCs/>
          <w:sz w:val="21"/>
          <w:szCs w:val="21"/>
        </w:rPr>
        <w:t>BSZC2020-G3-230620-GXGN</w:t>
      </w:r>
    </w:p>
    <w:p>
      <w:pPr>
        <w:spacing w:line="340" w:lineRule="exact"/>
        <w:rPr>
          <w:rFonts w:ascii="宋体" w:hAnsi="宋体" w:cs="宋体"/>
          <w:b/>
          <w:sz w:val="21"/>
          <w:szCs w:val="21"/>
        </w:rPr>
      </w:pPr>
      <w:r>
        <w:rPr>
          <w:rFonts w:hint="eastAsia" w:ascii="宋体" w:hAnsi="宋体" w:cs="宋体"/>
          <w:b/>
          <w:sz w:val="21"/>
          <w:szCs w:val="21"/>
        </w:rPr>
        <w:t>三、采购项目的名称、数量、简要规格描述或项目基本概况介绍：</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0"/>
        <w:gridCol w:w="2433"/>
        <w:gridCol w:w="1008"/>
        <w:gridCol w:w="5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20" w:lineRule="exact"/>
              <w:jc w:val="center"/>
              <w:rPr>
                <w:rFonts w:ascii="宋体" w:hAnsi="宋体" w:cs="宋体"/>
                <w:b/>
                <w:sz w:val="21"/>
                <w:szCs w:val="21"/>
              </w:rPr>
            </w:pPr>
            <w:r>
              <w:rPr>
                <w:rFonts w:hint="eastAsia" w:ascii="宋体" w:hAnsi="宋体" w:cs="宋体"/>
                <w:b/>
                <w:sz w:val="21"/>
                <w:szCs w:val="21"/>
              </w:rPr>
              <w:t>项号</w:t>
            </w:r>
          </w:p>
        </w:tc>
        <w:tc>
          <w:tcPr>
            <w:tcW w:w="24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1"/>
                <w:szCs w:val="21"/>
              </w:rPr>
            </w:pPr>
            <w:r>
              <w:rPr>
                <w:rFonts w:hint="eastAsia" w:ascii="宋体" w:hAnsi="宋体" w:cs="宋体"/>
                <w:b/>
                <w:sz w:val="21"/>
                <w:szCs w:val="21"/>
              </w:rPr>
              <w:t>服务名称</w:t>
            </w:r>
          </w:p>
        </w:tc>
        <w:tc>
          <w:tcPr>
            <w:tcW w:w="10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1"/>
                <w:szCs w:val="21"/>
              </w:rPr>
            </w:pPr>
            <w:r>
              <w:rPr>
                <w:rFonts w:hint="eastAsia" w:ascii="宋体" w:hAnsi="宋体" w:cs="宋体"/>
                <w:b/>
                <w:sz w:val="21"/>
                <w:szCs w:val="21"/>
              </w:rPr>
              <w:t>数量</w:t>
            </w:r>
          </w:p>
        </w:tc>
        <w:tc>
          <w:tcPr>
            <w:tcW w:w="5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1"/>
                <w:szCs w:val="21"/>
              </w:rPr>
            </w:pPr>
            <w:r>
              <w:rPr>
                <w:rFonts w:hint="eastAsia" w:ascii="宋体" w:hAnsi="宋体" w:cs="宋体"/>
                <w:b/>
                <w:sz w:val="21"/>
                <w:szCs w:val="21"/>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1"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20" w:lineRule="exact"/>
              <w:jc w:val="center"/>
              <w:rPr>
                <w:rFonts w:ascii="宋体" w:hAnsi="宋体" w:cs="宋体"/>
                <w:sz w:val="21"/>
                <w:szCs w:val="21"/>
              </w:rPr>
            </w:pPr>
            <w:r>
              <w:rPr>
                <w:rFonts w:hint="eastAsia" w:ascii="宋体" w:hAnsi="宋体" w:cs="宋体"/>
                <w:sz w:val="21"/>
                <w:szCs w:val="21"/>
              </w:rPr>
              <w:t>1</w:t>
            </w:r>
          </w:p>
        </w:tc>
        <w:tc>
          <w:tcPr>
            <w:tcW w:w="2433"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rPr>
                <w:rFonts w:hAnsi="宋体" w:cs="宋体"/>
                <w:i/>
                <w:iCs/>
                <w:sz w:val="21"/>
                <w:szCs w:val="21"/>
              </w:rPr>
            </w:pPr>
            <w:r>
              <w:rPr>
                <w:sz w:val="21"/>
                <w:szCs w:val="21"/>
              </w:rPr>
              <w:fldChar w:fldCharType="begin"/>
            </w:r>
            <w:r>
              <w:rPr>
                <w:sz w:val="21"/>
                <w:szCs w:val="21"/>
              </w:rPr>
              <w:instrText xml:space="preserve"> HYPERLINK "https://www.zcygov.cn/proj-procurement/project-result-detail/5d870e6134183a2d" \t "https://www.zcygov.cn/proj-procurement/self-project/_blank" </w:instrText>
            </w:r>
            <w:r>
              <w:rPr>
                <w:sz w:val="21"/>
                <w:szCs w:val="21"/>
              </w:rPr>
              <w:fldChar w:fldCharType="separate"/>
            </w:r>
            <w:r>
              <w:rPr>
                <w:rFonts w:hint="eastAsia" w:hAnsi="宋体" w:cs="宋体"/>
                <w:spacing w:val="6"/>
                <w:kern w:val="48"/>
                <w:sz w:val="21"/>
                <w:szCs w:val="21"/>
              </w:rPr>
              <w:t>平果市国土空间规划报告编制、两个体系研究专题及数据库建设</w:t>
            </w:r>
            <w:r>
              <w:rPr>
                <w:rFonts w:hint="eastAsia" w:hAnsi="宋体" w:cs="宋体"/>
                <w:spacing w:val="6"/>
                <w:kern w:val="48"/>
                <w:sz w:val="21"/>
                <w:szCs w:val="21"/>
              </w:rPr>
              <w:fldChar w:fldCharType="end"/>
            </w:r>
          </w:p>
        </w:tc>
        <w:tc>
          <w:tcPr>
            <w:tcW w:w="10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1"/>
                <w:szCs w:val="21"/>
              </w:rPr>
            </w:pPr>
            <w:r>
              <w:rPr>
                <w:rFonts w:hint="eastAsia" w:ascii="宋体" w:hAnsi="宋体" w:cs="宋体"/>
                <w:sz w:val="21"/>
                <w:szCs w:val="21"/>
              </w:rPr>
              <w:t>1项</w:t>
            </w:r>
          </w:p>
        </w:tc>
        <w:tc>
          <w:tcPr>
            <w:tcW w:w="520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cs="宋体"/>
                <w:bCs/>
                <w:sz w:val="21"/>
                <w:szCs w:val="21"/>
              </w:rPr>
            </w:pPr>
            <w:r>
              <w:rPr>
                <w:rFonts w:hint="eastAsia" w:ascii="宋体" w:hAnsi="宋体" w:cs="宋体"/>
                <w:bCs/>
                <w:sz w:val="21"/>
                <w:szCs w:val="21"/>
              </w:rPr>
              <w:t>（一）总报告成果</w:t>
            </w:r>
          </w:p>
          <w:p>
            <w:pPr>
              <w:spacing w:line="320" w:lineRule="exact"/>
              <w:ind w:firstLine="420" w:firstLineChars="200"/>
              <w:rPr>
                <w:rFonts w:ascii="宋体" w:hAnsi="宋体" w:cs="宋体"/>
                <w:bCs/>
                <w:sz w:val="21"/>
                <w:szCs w:val="21"/>
              </w:rPr>
            </w:pPr>
            <w:r>
              <w:rPr>
                <w:rFonts w:hint="eastAsia" w:ascii="宋体" w:hAnsi="宋体" w:cs="宋体"/>
                <w:bCs/>
                <w:sz w:val="21"/>
                <w:szCs w:val="21"/>
              </w:rPr>
              <w:t>国土空间总体规划范围为平果市行政管辖范围内的全部国土空间，总面积为24</w:t>
            </w:r>
            <w:r>
              <w:rPr>
                <w:rFonts w:ascii="宋体" w:hAnsi="宋体" w:cs="宋体"/>
                <w:bCs/>
                <w:sz w:val="21"/>
                <w:szCs w:val="21"/>
              </w:rPr>
              <w:t>85</w:t>
            </w:r>
            <w:r>
              <w:rPr>
                <w:rFonts w:hint="eastAsia" w:ascii="宋体" w:hAnsi="宋体" w:cs="宋体"/>
                <w:bCs/>
                <w:sz w:val="21"/>
                <w:szCs w:val="21"/>
              </w:rPr>
              <w:t>平方公里，规划基期年为2020年，规划目标年为2035年。（最终以国家和自治区出台的相关规程为准）</w:t>
            </w:r>
          </w:p>
          <w:p>
            <w:pPr>
              <w:spacing w:line="320" w:lineRule="exact"/>
              <w:ind w:firstLine="420" w:firstLineChars="200"/>
              <w:rPr>
                <w:rFonts w:ascii="宋体" w:hAnsi="宋体" w:cs="宋体"/>
                <w:bCs/>
                <w:sz w:val="21"/>
                <w:szCs w:val="21"/>
              </w:rPr>
            </w:pPr>
            <w:r>
              <w:rPr>
                <w:rFonts w:hint="eastAsia" w:ascii="宋体" w:hAnsi="宋体" w:cs="宋体"/>
                <w:bCs/>
                <w:sz w:val="21"/>
                <w:szCs w:val="21"/>
              </w:rPr>
              <w:t>（二）城市发展战略及产业体系研究</w:t>
            </w:r>
          </w:p>
          <w:p>
            <w:pPr>
              <w:spacing w:line="320" w:lineRule="exact"/>
              <w:ind w:firstLine="420" w:firstLineChars="200"/>
              <w:rPr>
                <w:rFonts w:ascii="宋体" w:hAnsi="宋体" w:cs="宋体"/>
                <w:bCs/>
                <w:sz w:val="21"/>
                <w:szCs w:val="21"/>
              </w:rPr>
            </w:pPr>
            <w:r>
              <w:rPr>
                <w:rFonts w:hint="eastAsia" w:ascii="宋体" w:hAnsi="宋体" w:cs="宋体"/>
                <w:bCs/>
                <w:sz w:val="21"/>
                <w:szCs w:val="21"/>
              </w:rPr>
              <w:t>明确城市空间拓展方向，提高城市精细化管理水平，成为城市发展的核心任务。在国家西部大开发、轨道交通建设等外部背景下，重新审视平果城市发展区位，落实国家、自治区发展要求，提出未来15年城市发展战略、产业目标、产业体系和产业布局。</w:t>
            </w:r>
          </w:p>
          <w:p>
            <w:pPr>
              <w:spacing w:line="320" w:lineRule="exact"/>
              <w:ind w:firstLine="420" w:firstLineChars="200"/>
              <w:rPr>
                <w:rFonts w:ascii="宋体" w:hAnsi="宋体" w:cs="宋体"/>
                <w:bCs/>
                <w:sz w:val="21"/>
                <w:szCs w:val="21"/>
              </w:rPr>
            </w:pPr>
            <w:r>
              <w:rPr>
                <w:rFonts w:hint="eastAsia" w:ascii="宋体" w:hAnsi="宋体" w:cs="宋体"/>
                <w:bCs/>
                <w:sz w:val="21"/>
                <w:szCs w:val="21"/>
              </w:rPr>
              <w:t>（三）综合交通与市政设施支撑体系研究</w:t>
            </w:r>
          </w:p>
          <w:p>
            <w:pPr>
              <w:spacing w:line="320" w:lineRule="exact"/>
              <w:ind w:firstLine="420" w:firstLineChars="200"/>
              <w:rPr>
                <w:rFonts w:ascii="宋体" w:hAnsi="宋体" w:cs="宋体"/>
                <w:bCs/>
                <w:sz w:val="21"/>
                <w:szCs w:val="21"/>
              </w:rPr>
            </w:pPr>
            <w:r>
              <w:rPr>
                <w:rFonts w:hint="eastAsia" w:ascii="宋体" w:hAnsi="宋体" w:cs="宋体"/>
                <w:bCs/>
                <w:sz w:val="21"/>
                <w:szCs w:val="21"/>
              </w:rPr>
              <w:t>结合新时代人流、物流发展特征及需求，提出全市综合交通发展目标和战略，研究配置公路、铁路、管道、综合交通枢纽等各类基础设施布局，明确全市综合交通网络和枢纽体系布局。研究市级能源、信息、给水、排水、环保环卫、殡葬等市政基础设施发展目标与规划规模，提出市级重大市政基础设施布局要求。</w:t>
            </w:r>
          </w:p>
          <w:p>
            <w:pPr>
              <w:spacing w:line="320" w:lineRule="exact"/>
              <w:ind w:firstLine="422" w:firstLineChars="200"/>
              <w:rPr>
                <w:rFonts w:ascii="宋体" w:hAnsi="宋体" w:cs="宋体"/>
                <w:b/>
                <w:bCs/>
                <w:sz w:val="21"/>
                <w:szCs w:val="21"/>
              </w:rPr>
            </w:pPr>
            <w:r>
              <w:rPr>
                <w:rFonts w:hint="eastAsia" w:ascii="宋体" w:hAnsi="宋体" w:cs="宋体"/>
                <w:b/>
                <w:bCs/>
                <w:sz w:val="21"/>
                <w:szCs w:val="21"/>
              </w:rPr>
              <w:t>（四）编制县级数据库。</w:t>
            </w:r>
          </w:p>
        </w:tc>
      </w:tr>
    </w:tbl>
    <w:p>
      <w:pPr>
        <w:pStyle w:val="13"/>
        <w:tabs>
          <w:tab w:val="left" w:pos="3204"/>
        </w:tabs>
        <w:spacing w:line="340" w:lineRule="exact"/>
        <w:ind w:firstLine="446" w:firstLineChars="200"/>
        <w:rPr>
          <w:rFonts w:hAnsi="宋体" w:cs="宋体"/>
          <w:spacing w:val="6"/>
          <w:kern w:val="48"/>
          <w:sz w:val="21"/>
          <w:szCs w:val="21"/>
        </w:rPr>
      </w:pPr>
      <w:r>
        <w:rPr>
          <w:rFonts w:hint="eastAsia" w:hAnsi="宋体" w:cs="宋体"/>
          <w:b/>
          <w:bCs/>
          <w:spacing w:val="6"/>
          <w:kern w:val="48"/>
          <w:sz w:val="21"/>
          <w:szCs w:val="21"/>
        </w:rPr>
        <w:t>具体要求详见招标文件，以招标文件为准。</w:t>
      </w:r>
    </w:p>
    <w:p>
      <w:pPr>
        <w:pStyle w:val="13"/>
        <w:tabs>
          <w:tab w:val="left" w:pos="3204"/>
        </w:tabs>
        <w:spacing w:line="340" w:lineRule="exact"/>
        <w:ind w:left="437" w:hanging="437" w:hangingChars="196"/>
        <w:rPr>
          <w:rFonts w:hint="eastAsia" w:hAnsi="宋体" w:cs="宋体"/>
          <w:b/>
          <w:spacing w:val="6"/>
          <w:kern w:val="48"/>
          <w:sz w:val="21"/>
          <w:szCs w:val="21"/>
        </w:rPr>
      </w:pPr>
      <w:r>
        <w:rPr>
          <w:rFonts w:hint="eastAsia" w:hAnsi="宋体" w:cs="宋体"/>
          <w:b/>
          <w:spacing w:val="6"/>
          <w:kern w:val="48"/>
          <w:sz w:val="21"/>
          <w:szCs w:val="21"/>
        </w:rPr>
        <w:t>四、采购项目预算金额</w:t>
      </w:r>
      <w:r>
        <w:rPr>
          <w:rFonts w:hint="eastAsia" w:hAnsi="宋体" w:cs="宋体"/>
          <w:b/>
          <w:spacing w:val="0"/>
          <w:sz w:val="21"/>
          <w:szCs w:val="21"/>
        </w:rPr>
        <w:t>：</w:t>
      </w:r>
      <w:r>
        <w:rPr>
          <w:rFonts w:hint="eastAsia" w:hAnsi="宋体" w:cs="宋体"/>
          <w:b/>
          <w:spacing w:val="6"/>
          <w:kern w:val="48"/>
          <w:sz w:val="21"/>
          <w:szCs w:val="21"/>
          <w:lang w:eastAsia="zh-CN"/>
        </w:rPr>
        <w:t>人民币</w:t>
      </w:r>
      <w:r>
        <w:rPr>
          <w:rFonts w:hint="eastAsia" w:hAnsi="宋体" w:cs="宋体"/>
          <w:b/>
          <w:spacing w:val="6"/>
          <w:kern w:val="48"/>
          <w:sz w:val="21"/>
          <w:szCs w:val="21"/>
          <w:lang w:val="en-US" w:eastAsia="zh-CN"/>
        </w:rPr>
        <w:t>柒佰万元整（￥7000000.00元）。</w:t>
      </w:r>
    </w:p>
    <w:p>
      <w:pPr>
        <w:pStyle w:val="13"/>
        <w:tabs>
          <w:tab w:val="left" w:pos="3204"/>
        </w:tabs>
        <w:spacing w:line="340" w:lineRule="exact"/>
        <w:ind w:left="437" w:hanging="437" w:hangingChars="196"/>
        <w:rPr>
          <w:rFonts w:hAnsi="宋体" w:cs="宋体"/>
          <w:b/>
          <w:spacing w:val="6"/>
          <w:kern w:val="48"/>
          <w:sz w:val="21"/>
          <w:szCs w:val="21"/>
        </w:rPr>
      </w:pPr>
      <w:r>
        <w:rPr>
          <w:rFonts w:hint="eastAsia" w:hAnsi="宋体" w:cs="宋体"/>
          <w:b/>
          <w:spacing w:val="6"/>
          <w:kern w:val="48"/>
          <w:sz w:val="21"/>
          <w:szCs w:val="21"/>
        </w:rPr>
        <w:t>五、本项目需要落实的政府采购政策：</w:t>
      </w:r>
    </w:p>
    <w:p>
      <w:pPr>
        <w:pStyle w:val="13"/>
        <w:tabs>
          <w:tab w:val="left" w:pos="3204"/>
        </w:tabs>
        <w:spacing w:line="340" w:lineRule="exact"/>
        <w:ind w:firstLine="510" w:firstLineChars="243"/>
        <w:rPr>
          <w:rFonts w:hAnsi="宋体" w:cs="宋体"/>
          <w:bCs/>
          <w:spacing w:val="0"/>
          <w:sz w:val="21"/>
          <w:szCs w:val="21"/>
        </w:rPr>
      </w:pPr>
      <w:r>
        <w:rPr>
          <w:rFonts w:hint="eastAsia" w:hAnsi="宋体" w:cs="宋体"/>
          <w:bCs/>
          <w:spacing w:val="0"/>
          <w:sz w:val="21"/>
          <w:szCs w:val="21"/>
        </w:rPr>
        <w:t>《政府采购促进中小企业发展暂行办法》（财库[2011]181号）、《关于我区政府采购支持监狱企业发展有关问题的通知》（桂财采[2015]24号）、《三部门联合发布关于促进残疾人就业政府采购政策的通知》（财库〔2017〕141号）。</w:t>
      </w:r>
    </w:p>
    <w:p>
      <w:pPr>
        <w:pStyle w:val="13"/>
        <w:tabs>
          <w:tab w:val="left" w:pos="3204"/>
        </w:tabs>
        <w:spacing w:line="340" w:lineRule="exact"/>
        <w:ind w:left="437" w:hanging="437" w:hangingChars="196"/>
        <w:rPr>
          <w:rFonts w:hAnsi="宋体" w:cs="宋体"/>
          <w:b/>
          <w:spacing w:val="6"/>
          <w:kern w:val="48"/>
          <w:sz w:val="21"/>
          <w:szCs w:val="21"/>
        </w:rPr>
      </w:pPr>
      <w:r>
        <w:rPr>
          <w:rFonts w:hint="eastAsia" w:hAnsi="宋体" w:cs="宋体"/>
          <w:b/>
          <w:spacing w:val="6"/>
          <w:kern w:val="48"/>
          <w:sz w:val="21"/>
          <w:szCs w:val="21"/>
        </w:rPr>
        <w:t>六、投标人资格要求</w:t>
      </w:r>
    </w:p>
    <w:p>
      <w:pPr>
        <w:spacing w:line="340" w:lineRule="exact"/>
        <w:ind w:firstLine="420" w:firstLineChars="200"/>
        <w:rPr>
          <w:rFonts w:ascii="宋体" w:hAnsi="宋体" w:cs="宋体"/>
          <w:bCs/>
          <w:sz w:val="21"/>
          <w:szCs w:val="21"/>
        </w:rPr>
      </w:pPr>
      <w:r>
        <w:rPr>
          <w:rFonts w:hint="eastAsia" w:ascii="宋体" w:hAnsi="宋体" w:cs="宋体"/>
          <w:bCs/>
          <w:sz w:val="21"/>
          <w:szCs w:val="21"/>
        </w:rPr>
        <w:t>1、投标人应具备《中华人民共和国政府采购法》第二十二条规定的条件:</w:t>
      </w:r>
    </w:p>
    <w:p>
      <w:pPr>
        <w:spacing w:line="340" w:lineRule="exact"/>
        <w:ind w:firstLine="420" w:firstLineChars="200"/>
        <w:rPr>
          <w:rFonts w:ascii="宋体" w:hAnsi="宋体" w:cs="宋体"/>
          <w:bCs/>
          <w:sz w:val="21"/>
          <w:szCs w:val="21"/>
        </w:rPr>
      </w:pPr>
      <w:r>
        <w:rPr>
          <w:rFonts w:hint="eastAsia" w:ascii="宋体" w:hAnsi="宋体" w:cs="宋体"/>
          <w:bCs/>
          <w:sz w:val="21"/>
          <w:szCs w:val="21"/>
        </w:rPr>
        <w:t>(1)具有独立承担民事责任的能力；（提供法人或其他组织的营业执照或三证合一等证明文件）。</w:t>
      </w:r>
    </w:p>
    <w:p>
      <w:pPr>
        <w:spacing w:line="340" w:lineRule="exact"/>
        <w:ind w:firstLine="420" w:firstLineChars="200"/>
        <w:rPr>
          <w:rFonts w:ascii="宋体" w:hAnsi="宋体" w:cs="宋体"/>
          <w:bCs/>
          <w:sz w:val="21"/>
          <w:szCs w:val="21"/>
        </w:rPr>
      </w:pPr>
      <w:r>
        <w:rPr>
          <w:rFonts w:hint="eastAsia" w:ascii="宋体" w:hAnsi="宋体" w:cs="宋体"/>
          <w:bCs/>
          <w:sz w:val="21"/>
          <w:szCs w:val="21"/>
        </w:rPr>
        <w:t>(2)具有良好的商业信誉和健全的财务会计制度；(提供2019年度财务会计报告或报表。若投标人新注册的,则提供成立至今的月或季度财务状况报表）。</w:t>
      </w:r>
    </w:p>
    <w:p>
      <w:pPr>
        <w:spacing w:line="340" w:lineRule="exact"/>
        <w:ind w:firstLine="420" w:firstLineChars="200"/>
        <w:rPr>
          <w:rFonts w:ascii="宋体" w:hAnsi="宋体" w:cs="宋体"/>
          <w:bCs/>
          <w:sz w:val="21"/>
          <w:szCs w:val="21"/>
        </w:rPr>
      </w:pPr>
      <w:r>
        <w:rPr>
          <w:rFonts w:hint="eastAsia" w:ascii="宋体" w:hAnsi="宋体" w:cs="宋体"/>
          <w:bCs/>
          <w:sz w:val="21"/>
          <w:szCs w:val="21"/>
        </w:rPr>
        <w:t>(3)具有履行合同所必需的设备和专业技术能力;（提供承诺函）。</w:t>
      </w:r>
    </w:p>
    <w:p>
      <w:pPr>
        <w:spacing w:line="340" w:lineRule="exact"/>
        <w:ind w:firstLine="420" w:firstLineChars="200"/>
        <w:rPr>
          <w:rFonts w:ascii="宋体" w:hAnsi="宋体" w:cs="宋体"/>
          <w:bCs/>
          <w:sz w:val="21"/>
          <w:szCs w:val="21"/>
        </w:rPr>
      </w:pPr>
      <w:r>
        <w:rPr>
          <w:rFonts w:hint="eastAsia" w:ascii="宋体" w:hAnsi="宋体" w:cs="宋体"/>
          <w:bCs/>
          <w:sz w:val="21"/>
          <w:szCs w:val="21"/>
        </w:rPr>
        <w:t>(4)有依法缴纳税收和社会保障资金的良好记录；（提供2020年以来连续3个月依法缴纳税收和社会保障资金的相关材料，如依法免税或不需要缴纳社会保障资金的，应提供相应文件证明）</w:t>
      </w:r>
    </w:p>
    <w:p>
      <w:pPr>
        <w:spacing w:line="340" w:lineRule="exact"/>
        <w:ind w:firstLine="420" w:firstLineChars="200"/>
        <w:rPr>
          <w:rFonts w:ascii="宋体" w:hAnsi="宋体" w:cs="宋体"/>
          <w:bCs/>
          <w:sz w:val="21"/>
          <w:szCs w:val="21"/>
        </w:rPr>
      </w:pPr>
      <w:r>
        <w:rPr>
          <w:rFonts w:hint="eastAsia" w:ascii="宋体" w:hAnsi="宋体" w:cs="宋体"/>
          <w:bCs/>
          <w:sz w:val="21"/>
          <w:szCs w:val="21"/>
        </w:rPr>
        <w:t>(5)提供参加政府采购活动前3年内在经营活动中没有重大违法记录的书面声明;（提供声明函）。</w:t>
      </w:r>
    </w:p>
    <w:p>
      <w:pPr>
        <w:spacing w:line="340" w:lineRule="exact"/>
        <w:ind w:firstLine="420" w:firstLineChars="200"/>
        <w:rPr>
          <w:rFonts w:ascii="宋体" w:hAnsi="宋体" w:cs="宋体"/>
          <w:bCs/>
          <w:sz w:val="21"/>
          <w:szCs w:val="21"/>
        </w:rPr>
      </w:pPr>
      <w:r>
        <w:rPr>
          <w:rFonts w:hint="eastAsia" w:ascii="宋体" w:hAnsi="宋体" w:cs="宋体"/>
          <w:bCs/>
          <w:sz w:val="21"/>
          <w:szCs w:val="21"/>
        </w:rPr>
        <w:t>2、投标人必须是在中华人民共和国境内注册并合法运作的法人机构，并取得合法企业工商营业执照或事业单位法人证书。</w:t>
      </w:r>
    </w:p>
    <w:p>
      <w:pPr>
        <w:spacing w:line="340" w:lineRule="exact"/>
        <w:ind w:firstLine="420" w:firstLineChars="200"/>
        <w:rPr>
          <w:rFonts w:ascii="宋体" w:hAnsi="宋体" w:cs="宋体"/>
          <w:bCs/>
          <w:sz w:val="21"/>
          <w:szCs w:val="21"/>
        </w:rPr>
      </w:pPr>
      <w:r>
        <w:rPr>
          <w:rFonts w:ascii="宋体" w:hAnsi="宋体" w:cs="宋体"/>
          <w:bCs/>
          <w:sz w:val="21"/>
          <w:szCs w:val="21"/>
        </w:rPr>
        <w:t>3</w:t>
      </w:r>
      <w:r>
        <w:rPr>
          <w:rFonts w:hint="eastAsia" w:ascii="宋体" w:hAnsi="宋体" w:cs="宋体"/>
          <w:bCs/>
          <w:sz w:val="21"/>
          <w:szCs w:val="21"/>
        </w:rPr>
        <w:t>、在“信用中国”网站(www.creditchina. gov.cn)、中国政府采购网（www.ccgp.gov.cn）没有被列入失信被执行人、重大税收违法案件当事人名单、政府采购严重违法失信行为记录名单及其他不符合规定条件的投标人。（请提供两个网站的信用记录查询结果页面打印件）</w:t>
      </w:r>
    </w:p>
    <w:p>
      <w:pPr>
        <w:ind w:firstLine="420" w:firstLineChars="200"/>
        <w:rPr>
          <w:rFonts w:ascii="宋体" w:hAnsi="宋体" w:cs="宋体"/>
          <w:bCs/>
          <w:sz w:val="21"/>
          <w:szCs w:val="21"/>
        </w:rPr>
      </w:pPr>
      <w:r>
        <w:rPr>
          <w:rFonts w:ascii="宋体" w:hAnsi="宋体" w:cs="宋体"/>
          <w:bCs/>
          <w:sz w:val="21"/>
          <w:szCs w:val="21"/>
        </w:rPr>
        <w:t>4</w:t>
      </w:r>
      <w:r>
        <w:rPr>
          <w:rFonts w:hint="eastAsia" w:ascii="宋体" w:hAnsi="宋体" w:cs="宋体"/>
          <w:bCs/>
          <w:sz w:val="21"/>
          <w:szCs w:val="21"/>
        </w:rPr>
        <w:t>、投标人具有中华人民共和国住房和城乡建设部颁发的城乡规划乙级或土地规划乙级及以上的编制资质。（若是联合体投标，联合体各方必须满足资质要求）</w:t>
      </w:r>
    </w:p>
    <w:p>
      <w:pPr>
        <w:spacing w:line="340" w:lineRule="exact"/>
        <w:ind w:firstLine="420" w:firstLineChars="200"/>
        <w:rPr>
          <w:rFonts w:ascii="宋体" w:hAnsi="宋体" w:cs="宋体"/>
          <w:bCs/>
          <w:sz w:val="21"/>
          <w:szCs w:val="21"/>
        </w:rPr>
      </w:pPr>
      <w:r>
        <w:rPr>
          <w:rFonts w:hint="eastAsia" w:ascii="宋体" w:hAnsi="宋体" w:cs="宋体"/>
          <w:bCs/>
          <w:sz w:val="21"/>
          <w:szCs w:val="21"/>
        </w:rPr>
        <w:t>5、拟派本项目负责人必须具有注册城市（乡）规划师及城市规划高级工程师或以上（含高级）职称。</w:t>
      </w:r>
    </w:p>
    <w:p>
      <w:pPr>
        <w:spacing w:line="340" w:lineRule="exact"/>
        <w:ind w:firstLine="420" w:firstLineChars="200"/>
        <w:rPr>
          <w:rFonts w:ascii="宋体" w:hAnsi="宋体" w:cs="宋体"/>
          <w:bCs/>
          <w:sz w:val="21"/>
          <w:szCs w:val="21"/>
        </w:rPr>
      </w:pPr>
      <w:r>
        <w:rPr>
          <w:rFonts w:hint="eastAsia" w:ascii="宋体" w:hAnsi="宋体" w:cs="宋体"/>
          <w:bCs/>
          <w:sz w:val="21"/>
          <w:szCs w:val="21"/>
        </w:rPr>
        <w:t>6、本项目接受联合体投标。(以联合体方式投标的投标人，须提交共同签署的《联合投标协议书》和《投标联合体授权主体方协议书》，且应明确项目主体单位；以联合体形式投标，投标文件的封面与联合体共同协议书须盖所有单位的公章，其余位置盖章允许仅加盖联合体主体方单位公章)。</w:t>
      </w:r>
    </w:p>
    <w:p>
      <w:pPr>
        <w:pStyle w:val="13"/>
        <w:tabs>
          <w:tab w:val="left" w:pos="3204"/>
        </w:tabs>
        <w:spacing w:line="340" w:lineRule="exact"/>
        <w:ind w:left="437" w:hanging="437" w:hangingChars="196"/>
        <w:rPr>
          <w:rFonts w:hAnsi="宋体" w:cs="宋体"/>
          <w:b/>
          <w:spacing w:val="6"/>
          <w:kern w:val="48"/>
          <w:sz w:val="21"/>
          <w:szCs w:val="21"/>
        </w:rPr>
      </w:pPr>
      <w:r>
        <w:rPr>
          <w:rFonts w:hint="eastAsia" w:hAnsi="宋体" w:cs="宋体"/>
          <w:b/>
          <w:spacing w:val="6"/>
          <w:kern w:val="48"/>
          <w:sz w:val="21"/>
          <w:szCs w:val="21"/>
        </w:rPr>
        <w:t>七、招标文件的获取：</w:t>
      </w:r>
    </w:p>
    <w:p>
      <w:pPr>
        <w:spacing w:line="340" w:lineRule="exact"/>
        <w:ind w:firstLine="420" w:firstLineChars="200"/>
        <w:rPr>
          <w:rFonts w:hint="eastAsia" w:ascii="宋体" w:hAnsi="宋体" w:cs="宋体"/>
          <w:bCs/>
          <w:sz w:val="21"/>
          <w:szCs w:val="21"/>
        </w:rPr>
      </w:pPr>
      <w:r>
        <w:rPr>
          <w:rFonts w:hint="eastAsia" w:ascii="宋体" w:hAnsi="宋体" w:cs="宋体"/>
          <w:bCs/>
          <w:sz w:val="21"/>
          <w:szCs w:val="21"/>
          <w:highlight w:val="none"/>
        </w:rPr>
        <w:t>自</w:t>
      </w:r>
      <w:r>
        <w:rPr>
          <w:rFonts w:hint="eastAsia" w:ascii="宋体" w:hAnsi="宋体" w:cs="宋体"/>
          <w:bCs/>
          <w:sz w:val="21"/>
          <w:szCs w:val="21"/>
          <w:highlight w:val="none"/>
          <w:u w:val="none"/>
        </w:rPr>
        <w:t>20</w:t>
      </w:r>
      <w:r>
        <w:rPr>
          <w:rFonts w:ascii="宋体" w:hAnsi="宋体" w:cs="宋体"/>
          <w:bCs/>
          <w:sz w:val="21"/>
          <w:szCs w:val="21"/>
          <w:highlight w:val="none"/>
          <w:u w:val="none"/>
        </w:rPr>
        <w:t>20</w:t>
      </w:r>
      <w:r>
        <w:rPr>
          <w:rFonts w:hint="eastAsia" w:ascii="宋体" w:hAnsi="宋体" w:cs="宋体"/>
          <w:bCs/>
          <w:sz w:val="21"/>
          <w:szCs w:val="21"/>
          <w:highlight w:val="none"/>
        </w:rPr>
        <w:t>年</w:t>
      </w:r>
      <w:r>
        <w:rPr>
          <w:rFonts w:hint="eastAsia" w:ascii="宋体" w:hAnsi="宋体" w:cs="宋体"/>
          <w:bCs/>
          <w:sz w:val="21"/>
          <w:szCs w:val="21"/>
          <w:highlight w:val="none"/>
          <w:lang w:val="en-US" w:eastAsia="zh-CN"/>
        </w:rPr>
        <w:t>12</w:t>
      </w:r>
      <w:r>
        <w:rPr>
          <w:rFonts w:hint="eastAsia" w:ascii="宋体" w:hAnsi="宋体" w:cs="宋体"/>
          <w:bCs/>
          <w:sz w:val="21"/>
          <w:szCs w:val="21"/>
          <w:highlight w:val="none"/>
        </w:rPr>
        <w:t>月</w:t>
      </w:r>
      <w:r>
        <w:rPr>
          <w:rFonts w:hint="eastAsia" w:ascii="宋体" w:hAnsi="宋体" w:cs="宋体"/>
          <w:bCs/>
          <w:sz w:val="21"/>
          <w:szCs w:val="21"/>
          <w:highlight w:val="none"/>
          <w:lang w:val="en-US" w:eastAsia="zh-CN"/>
        </w:rPr>
        <w:t>14</w:t>
      </w:r>
      <w:r>
        <w:rPr>
          <w:rFonts w:hint="eastAsia" w:ascii="宋体" w:hAnsi="宋体" w:cs="宋体"/>
          <w:bCs/>
          <w:sz w:val="21"/>
          <w:szCs w:val="21"/>
          <w:highlight w:val="none"/>
        </w:rPr>
        <w:t>日至20</w:t>
      </w:r>
      <w:r>
        <w:rPr>
          <w:rFonts w:ascii="宋体" w:hAnsi="宋体" w:cs="宋体"/>
          <w:bCs/>
          <w:sz w:val="21"/>
          <w:szCs w:val="21"/>
          <w:highlight w:val="none"/>
        </w:rPr>
        <w:t>20</w:t>
      </w:r>
      <w:r>
        <w:rPr>
          <w:rFonts w:hint="eastAsia" w:ascii="宋体" w:hAnsi="宋体" w:cs="宋体"/>
          <w:bCs/>
          <w:sz w:val="21"/>
          <w:szCs w:val="21"/>
          <w:highlight w:val="none"/>
        </w:rPr>
        <w:t>年</w:t>
      </w:r>
      <w:r>
        <w:rPr>
          <w:rFonts w:hint="eastAsia" w:ascii="宋体" w:hAnsi="宋体" w:cs="宋体"/>
          <w:bCs/>
          <w:sz w:val="21"/>
          <w:szCs w:val="21"/>
          <w:highlight w:val="none"/>
          <w:lang w:val="en-US" w:eastAsia="zh-CN"/>
        </w:rPr>
        <w:t>12</w:t>
      </w:r>
      <w:r>
        <w:rPr>
          <w:rFonts w:hint="eastAsia" w:ascii="宋体" w:hAnsi="宋体" w:cs="宋体"/>
          <w:bCs/>
          <w:sz w:val="21"/>
          <w:szCs w:val="21"/>
          <w:highlight w:val="none"/>
        </w:rPr>
        <w:t>月</w:t>
      </w:r>
      <w:r>
        <w:rPr>
          <w:rFonts w:hint="eastAsia" w:ascii="宋体" w:hAnsi="宋体" w:cs="宋体"/>
          <w:bCs/>
          <w:sz w:val="21"/>
          <w:szCs w:val="21"/>
          <w:highlight w:val="none"/>
          <w:lang w:val="en-US" w:eastAsia="zh-CN"/>
        </w:rPr>
        <w:t>21</w:t>
      </w:r>
      <w:r>
        <w:rPr>
          <w:rFonts w:hint="eastAsia" w:ascii="宋体" w:hAnsi="宋体" w:cs="宋体"/>
          <w:bCs/>
          <w:sz w:val="21"/>
          <w:szCs w:val="21"/>
          <w:highlight w:val="none"/>
        </w:rPr>
        <w:t>日</w:t>
      </w:r>
      <w:r>
        <w:rPr>
          <w:rFonts w:hint="eastAsia" w:ascii="宋体" w:hAnsi="宋体" w:cs="宋体"/>
          <w:bCs/>
          <w:sz w:val="21"/>
          <w:szCs w:val="21"/>
        </w:rPr>
        <w:t>，潜在投标单位可以登陆百色市公共资源交易中心交易平台系统（http://www.bsggzy.org.cn/gxbszbw/）</w:t>
      </w:r>
      <w:r>
        <w:rPr>
          <w:rFonts w:hint="eastAsia" w:ascii="宋体" w:hAnsi="宋体" w:cs="宋体"/>
          <w:bCs/>
          <w:sz w:val="21"/>
          <w:szCs w:val="21"/>
          <w:lang w:val="en-US" w:eastAsia="zh-CN"/>
        </w:rPr>
        <w:t>自行下载招标文件</w:t>
      </w:r>
      <w:r>
        <w:rPr>
          <w:rFonts w:hint="eastAsia" w:ascii="宋体" w:hAnsi="宋体" w:cs="宋体"/>
          <w:bCs/>
          <w:sz w:val="21"/>
          <w:szCs w:val="21"/>
        </w:rPr>
        <w:t>。</w:t>
      </w:r>
    </w:p>
    <w:p>
      <w:pPr>
        <w:pStyle w:val="2"/>
        <w:ind w:firstLine="420" w:firstLineChars="200"/>
        <w:rPr>
          <w:sz w:val="21"/>
          <w:szCs w:val="21"/>
        </w:rPr>
      </w:pPr>
      <w:r>
        <w:rPr>
          <w:rFonts w:hint="eastAsia" w:ascii="宋体" w:hAnsi="宋体" w:eastAsia="宋体" w:cs="宋体"/>
          <w:bCs/>
          <w:kern w:val="2"/>
          <w:sz w:val="21"/>
          <w:szCs w:val="21"/>
          <w:lang w:val="en-US" w:eastAsia="zh-CN" w:bidi="ar-SA"/>
        </w:rPr>
        <w:t>未在政采云注册的供应商可在获取采购文件后登录政采云（https://www.zcygov.cn/）进行注册，如在操作过程中遇到问题或者需要技术支持，请致电政采云客服热线：400-881-7190。</w:t>
      </w:r>
    </w:p>
    <w:p>
      <w:pPr>
        <w:spacing w:line="340" w:lineRule="exact"/>
        <w:ind w:firstLine="420" w:firstLineChars="200"/>
        <w:rPr>
          <w:rFonts w:ascii="宋体" w:hAnsi="宋体" w:cs="宋体"/>
          <w:bCs/>
          <w:sz w:val="21"/>
          <w:szCs w:val="21"/>
        </w:rPr>
      </w:pPr>
      <w:r>
        <w:rPr>
          <w:rFonts w:hint="eastAsia" w:ascii="宋体" w:hAnsi="宋体" w:cs="宋体"/>
          <w:bCs/>
          <w:sz w:val="21"/>
          <w:szCs w:val="21"/>
        </w:rPr>
        <w:t>注：联合体投标的，由联合体主体代表联合体进行报名并获取招标文件材料。</w:t>
      </w:r>
    </w:p>
    <w:p>
      <w:pPr>
        <w:pStyle w:val="13"/>
        <w:tabs>
          <w:tab w:val="left" w:pos="3204"/>
        </w:tabs>
        <w:spacing w:line="340" w:lineRule="exact"/>
        <w:ind w:left="437" w:hanging="437" w:hangingChars="196"/>
        <w:rPr>
          <w:rFonts w:hAnsi="宋体" w:cs="宋体"/>
          <w:b/>
          <w:spacing w:val="6"/>
          <w:kern w:val="48"/>
          <w:sz w:val="21"/>
          <w:szCs w:val="21"/>
        </w:rPr>
      </w:pPr>
      <w:r>
        <w:rPr>
          <w:rFonts w:hint="eastAsia" w:hAnsi="宋体" w:cs="宋体"/>
          <w:b/>
          <w:spacing w:val="6"/>
          <w:kern w:val="48"/>
          <w:sz w:val="21"/>
          <w:szCs w:val="21"/>
          <w:lang w:val="en-US" w:eastAsia="zh-CN"/>
        </w:rPr>
        <w:t>八</w:t>
      </w:r>
      <w:r>
        <w:rPr>
          <w:rFonts w:hint="eastAsia" w:hAnsi="宋体" w:cs="宋体"/>
          <w:b/>
          <w:spacing w:val="6"/>
          <w:kern w:val="48"/>
          <w:sz w:val="21"/>
          <w:szCs w:val="21"/>
        </w:rPr>
        <w:t>、投标截止时间和地点：</w:t>
      </w:r>
    </w:p>
    <w:p>
      <w:pPr>
        <w:spacing w:line="340" w:lineRule="exact"/>
        <w:ind w:firstLine="420" w:firstLineChars="200"/>
        <w:rPr>
          <w:rFonts w:ascii="宋体" w:hAnsi="宋体" w:cs="宋体"/>
          <w:bCs/>
          <w:sz w:val="21"/>
          <w:szCs w:val="21"/>
        </w:rPr>
      </w:pPr>
      <w:r>
        <w:rPr>
          <w:rFonts w:hint="eastAsia" w:ascii="宋体" w:hAnsi="宋体" w:cs="宋体"/>
          <w:bCs/>
          <w:sz w:val="21"/>
          <w:szCs w:val="21"/>
        </w:rPr>
        <w:t>投标人应于</w:t>
      </w:r>
      <w:r>
        <w:rPr>
          <w:rFonts w:hint="eastAsia" w:ascii="宋体" w:hAnsi="宋体" w:cs="宋体"/>
          <w:bCs/>
          <w:sz w:val="21"/>
          <w:szCs w:val="21"/>
          <w:highlight w:val="none"/>
        </w:rPr>
        <w:t>20</w:t>
      </w:r>
      <w:r>
        <w:rPr>
          <w:rFonts w:ascii="宋体" w:hAnsi="宋体" w:cs="宋体"/>
          <w:bCs/>
          <w:sz w:val="21"/>
          <w:szCs w:val="21"/>
          <w:highlight w:val="none"/>
        </w:rPr>
        <w:t>2</w:t>
      </w:r>
      <w:r>
        <w:rPr>
          <w:rFonts w:hint="eastAsia" w:ascii="宋体" w:hAnsi="宋体" w:cs="宋体"/>
          <w:bCs/>
          <w:sz w:val="21"/>
          <w:szCs w:val="21"/>
          <w:highlight w:val="none"/>
          <w:lang w:val="en-US" w:eastAsia="zh-CN"/>
        </w:rPr>
        <w:t>1</w:t>
      </w:r>
      <w:r>
        <w:rPr>
          <w:rFonts w:hint="eastAsia" w:ascii="宋体" w:hAnsi="宋体" w:cs="宋体"/>
          <w:bCs/>
          <w:sz w:val="21"/>
          <w:szCs w:val="21"/>
          <w:highlight w:val="none"/>
        </w:rPr>
        <w:t>年</w:t>
      </w:r>
      <w:r>
        <w:rPr>
          <w:rFonts w:hint="eastAsia" w:ascii="宋体" w:hAnsi="宋体" w:cs="宋体"/>
          <w:bCs/>
          <w:sz w:val="21"/>
          <w:szCs w:val="21"/>
          <w:highlight w:val="none"/>
          <w:lang w:val="en-US" w:eastAsia="zh-CN"/>
        </w:rPr>
        <w:t>1</w:t>
      </w:r>
      <w:r>
        <w:rPr>
          <w:rFonts w:hint="eastAsia" w:ascii="宋体" w:hAnsi="宋体" w:cs="宋体"/>
          <w:bCs/>
          <w:sz w:val="21"/>
          <w:szCs w:val="21"/>
          <w:highlight w:val="none"/>
        </w:rPr>
        <w:t>月</w:t>
      </w:r>
      <w:r>
        <w:rPr>
          <w:rFonts w:hint="eastAsia" w:ascii="宋体" w:hAnsi="宋体" w:cs="宋体"/>
          <w:bCs/>
          <w:sz w:val="21"/>
          <w:szCs w:val="21"/>
          <w:highlight w:val="none"/>
          <w:lang w:val="en-US" w:eastAsia="zh-CN"/>
        </w:rPr>
        <w:t>6</w:t>
      </w:r>
      <w:r>
        <w:rPr>
          <w:rFonts w:hint="eastAsia" w:ascii="宋体" w:hAnsi="宋体" w:cs="宋体"/>
          <w:bCs/>
          <w:sz w:val="21"/>
          <w:szCs w:val="21"/>
          <w:highlight w:val="none"/>
        </w:rPr>
        <w:t>日</w:t>
      </w:r>
      <w:r>
        <w:rPr>
          <w:rFonts w:hint="eastAsia" w:ascii="宋体" w:hAnsi="宋体" w:cs="宋体"/>
          <w:bCs/>
          <w:sz w:val="21"/>
          <w:szCs w:val="21"/>
          <w:highlight w:val="none"/>
          <w:lang w:val="en-US" w:eastAsia="zh-CN"/>
        </w:rPr>
        <w:t>10</w:t>
      </w:r>
      <w:r>
        <w:rPr>
          <w:rFonts w:hint="eastAsia" w:ascii="宋体" w:hAnsi="宋体" w:cs="宋体"/>
          <w:bCs/>
          <w:sz w:val="21"/>
          <w:szCs w:val="21"/>
          <w:highlight w:val="none"/>
        </w:rPr>
        <w:t>时</w:t>
      </w:r>
      <w:r>
        <w:rPr>
          <w:rFonts w:hint="eastAsia" w:ascii="宋体" w:hAnsi="宋体" w:cs="宋体"/>
          <w:bCs/>
          <w:sz w:val="21"/>
          <w:szCs w:val="21"/>
          <w:highlight w:val="none"/>
          <w:lang w:val="en-US" w:eastAsia="zh-CN"/>
        </w:rPr>
        <w:t>30</w:t>
      </w:r>
      <w:r>
        <w:rPr>
          <w:rFonts w:hint="eastAsia" w:ascii="宋体" w:hAnsi="宋体" w:cs="宋体"/>
          <w:bCs/>
          <w:sz w:val="21"/>
          <w:szCs w:val="21"/>
          <w:highlight w:val="none"/>
        </w:rPr>
        <w:t>分</w:t>
      </w:r>
      <w:r>
        <w:rPr>
          <w:rFonts w:hint="eastAsia" w:ascii="宋体" w:hAnsi="宋体" w:cs="宋体"/>
          <w:bCs/>
          <w:sz w:val="21"/>
          <w:szCs w:val="21"/>
        </w:rPr>
        <w:t>止，将投标文件密封提交到百色市公共资源交易中心开标厅（百色市园博园主展馆新政务中心三楼），逾期送达的将予以拒收。</w:t>
      </w:r>
    </w:p>
    <w:p>
      <w:pPr>
        <w:pStyle w:val="13"/>
        <w:tabs>
          <w:tab w:val="left" w:pos="3204"/>
        </w:tabs>
        <w:spacing w:line="340" w:lineRule="exact"/>
        <w:ind w:left="437" w:hanging="437" w:hangingChars="196"/>
        <w:rPr>
          <w:rFonts w:hAnsi="宋体" w:cs="宋体"/>
          <w:b/>
          <w:spacing w:val="6"/>
          <w:kern w:val="48"/>
          <w:sz w:val="21"/>
          <w:szCs w:val="21"/>
        </w:rPr>
      </w:pPr>
      <w:r>
        <w:rPr>
          <w:rFonts w:hint="eastAsia" w:hAnsi="宋体" w:cs="宋体"/>
          <w:b/>
          <w:spacing w:val="6"/>
          <w:kern w:val="48"/>
          <w:sz w:val="21"/>
          <w:szCs w:val="21"/>
          <w:lang w:val="en-US" w:eastAsia="zh-CN"/>
        </w:rPr>
        <w:t>九</w:t>
      </w:r>
      <w:r>
        <w:rPr>
          <w:rFonts w:hint="eastAsia" w:hAnsi="宋体" w:cs="宋体"/>
          <w:b/>
          <w:spacing w:val="6"/>
          <w:kern w:val="48"/>
          <w:sz w:val="21"/>
          <w:szCs w:val="21"/>
        </w:rPr>
        <w:t>、开标时间及地点：</w:t>
      </w:r>
    </w:p>
    <w:p>
      <w:pPr>
        <w:pStyle w:val="13"/>
        <w:tabs>
          <w:tab w:val="left" w:pos="3204"/>
        </w:tabs>
        <w:spacing w:line="340" w:lineRule="exact"/>
        <w:ind w:left="435" w:leftChars="207" w:firstLine="0"/>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本次招标将于</w:t>
      </w:r>
      <w:r>
        <w:rPr>
          <w:rFonts w:hint="eastAsia" w:ascii="宋体" w:hAnsi="宋体" w:cs="宋体"/>
          <w:bCs/>
          <w:sz w:val="21"/>
          <w:szCs w:val="21"/>
          <w:highlight w:val="none"/>
        </w:rPr>
        <w:t>20</w:t>
      </w:r>
      <w:r>
        <w:rPr>
          <w:rFonts w:ascii="宋体" w:hAnsi="宋体" w:cs="宋体"/>
          <w:bCs/>
          <w:sz w:val="21"/>
          <w:szCs w:val="21"/>
          <w:highlight w:val="none"/>
        </w:rPr>
        <w:t>2</w:t>
      </w:r>
      <w:r>
        <w:rPr>
          <w:rFonts w:hint="eastAsia" w:ascii="宋体" w:hAnsi="宋体" w:cs="宋体"/>
          <w:bCs/>
          <w:sz w:val="21"/>
          <w:szCs w:val="21"/>
          <w:highlight w:val="none"/>
          <w:lang w:val="en-US" w:eastAsia="zh-CN"/>
        </w:rPr>
        <w:t>1</w:t>
      </w:r>
      <w:r>
        <w:rPr>
          <w:rFonts w:hint="eastAsia" w:ascii="宋体" w:hAnsi="宋体" w:cs="宋体"/>
          <w:bCs/>
          <w:sz w:val="21"/>
          <w:szCs w:val="21"/>
          <w:highlight w:val="none"/>
        </w:rPr>
        <w:t>年</w:t>
      </w:r>
      <w:r>
        <w:rPr>
          <w:rFonts w:hint="eastAsia" w:ascii="宋体" w:hAnsi="宋体" w:cs="宋体"/>
          <w:bCs/>
          <w:sz w:val="21"/>
          <w:szCs w:val="21"/>
          <w:highlight w:val="none"/>
          <w:lang w:val="en-US" w:eastAsia="zh-CN"/>
        </w:rPr>
        <w:t>1</w:t>
      </w:r>
      <w:r>
        <w:rPr>
          <w:rFonts w:hint="eastAsia" w:ascii="宋体" w:hAnsi="宋体" w:cs="宋体"/>
          <w:bCs/>
          <w:sz w:val="21"/>
          <w:szCs w:val="21"/>
          <w:highlight w:val="none"/>
        </w:rPr>
        <w:t>月</w:t>
      </w:r>
      <w:r>
        <w:rPr>
          <w:rFonts w:hint="eastAsia" w:ascii="宋体" w:hAnsi="宋体" w:cs="宋体"/>
          <w:bCs/>
          <w:sz w:val="21"/>
          <w:szCs w:val="21"/>
          <w:highlight w:val="none"/>
          <w:lang w:val="en-US" w:eastAsia="zh-CN"/>
        </w:rPr>
        <w:t>6</w:t>
      </w:r>
      <w:r>
        <w:rPr>
          <w:rFonts w:hint="eastAsia" w:ascii="宋体" w:hAnsi="宋体" w:cs="宋体"/>
          <w:bCs/>
          <w:sz w:val="21"/>
          <w:szCs w:val="21"/>
          <w:highlight w:val="none"/>
        </w:rPr>
        <w:t>日</w:t>
      </w:r>
      <w:r>
        <w:rPr>
          <w:rFonts w:hint="eastAsia" w:ascii="宋体" w:hAnsi="宋体" w:cs="宋体"/>
          <w:bCs/>
          <w:sz w:val="21"/>
          <w:szCs w:val="21"/>
          <w:highlight w:val="none"/>
          <w:lang w:val="en-US" w:eastAsia="zh-CN"/>
        </w:rPr>
        <w:t>10</w:t>
      </w:r>
      <w:r>
        <w:rPr>
          <w:rFonts w:hint="eastAsia" w:ascii="宋体" w:hAnsi="宋体" w:cs="宋体"/>
          <w:bCs/>
          <w:sz w:val="21"/>
          <w:szCs w:val="21"/>
          <w:highlight w:val="none"/>
        </w:rPr>
        <w:t>时</w:t>
      </w:r>
      <w:r>
        <w:rPr>
          <w:rFonts w:hint="eastAsia" w:ascii="宋体" w:hAnsi="宋体" w:cs="宋体"/>
          <w:bCs/>
          <w:sz w:val="21"/>
          <w:szCs w:val="21"/>
          <w:highlight w:val="none"/>
          <w:lang w:val="en-US" w:eastAsia="zh-CN"/>
        </w:rPr>
        <w:t>30</w:t>
      </w:r>
      <w:r>
        <w:rPr>
          <w:rFonts w:hint="eastAsia" w:ascii="宋体" w:hAnsi="宋体" w:cs="宋体"/>
          <w:bCs/>
          <w:sz w:val="21"/>
          <w:szCs w:val="21"/>
          <w:highlight w:val="none"/>
        </w:rPr>
        <w:t>分</w:t>
      </w:r>
      <w:r>
        <w:rPr>
          <w:rFonts w:hint="eastAsia" w:ascii="宋体" w:hAnsi="宋体" w:eastAsia="宋体" w:cs="宋体"/>
          <w:bCs/>
          <w:spacing w:val="0"/>
          <w:kern w:val="2"/>
          <w:sz w:val="21"/>
          <w:szCs w:val="21"/>
          <w:lang w:val="en-US" w:eastAsia="zh-CN" w:bidi="ar-SA"/>
        </w:rPr>
        <w:t>在百色市公共资源交易中心开标厅（百色市园博园主展馆新政务中心三楼）开标，投标人应派法定代表人（负责人）或其委托代理人参加开标会并签到，投标人的法定代表人（负责人）或其委托代理人未参加开标的，视同认可开标结果。投标文件逾期送达或未密封将予以拒收。</w:t>
      </w:r>
    </w:p>
    <w:p>
      <w:pPr>
        <w:pStyle w:val="13"/>
        <w:numPr>
          <w:ilvl w:val="0"/>
          <w:numId w:val="0"/>
        </w:numPr>
        <w:tabs>
          <w:tab w:val="left" w:pos="3204"/>
        </w:tabs>
        <w:spacing w:line="340" w:lineRule="exact"/>
        <w:ind w:leftChars="-196" w:firstLine="446" w:firstLineChars="200"/>
        <w:rPr>
          <w:rFonts w:hint="eastAsia" w:hAnsi="宋体" w:cs="宋体"/>
          <w:color w:val="000000"/>
          <w:spacing w:val="0"/>
          <w:sz w:val="21"/>
          <w:szCs w:val="21"/>
        </w:rPr>
      </w:pPr>
      <w:r>
        <w:rPr>
          <w:rFonts w:hint="eastAsia" w:hAnsi="宋体" w:cs="宋体"/>
          <w:b/>
          <w:spacing w:val="6"/>
          <w:kern w:val="48"/>
          <w:sz w:val="21"/>
          <w:szCs w:val="21"/>
          <w:lang w:val="en-US" w:eastAsia="zh-CN"/>
        </w:rPr>
        <w:t>十、</w:t>
      </w:r>
      <w:r>
        <w:rPr>
          <w:rFonts w:hint="eastAsia" w:hAnsi="宋体" w:cs="宋体"/>
          <w:b/>
          <w:spacing w:val="6"/>
          <w:kern w:val="48"/>
          <w:sz w:val="21"/>
          <w:szCs w:val="21"/>
        </w:rPr>
        <w:t>公告</w:t>
      </w:r>
      <w:r>
        <w:rPr>
          <w:rFonts w:hint="eastAsia" w:hAnsi="宋体" w:cs="宋体"/>
          <w:b/>
          <w:color w:val="000000"/>
          <w:spacing w:val="0"/>
          <w:sz w:val="21"/>
          <w:szCs w:val="21"/>
        </w:rPr>
        <w:t>期限</w:t>
      </w:r>
      <w:r>
        <w:rPr>
          <w:rFonts w:hint="eastAsia" w:hAnsi="宋体" w:cs="宋体"/>
          <w:color w:val="000000"/>
          <w:spacing w:val="0"/>
          <w:sz w:val="21"/>
          <w:szCs w:val="21"/>
        </w:rPr>
        <w:t>：本公告及招标文件公告期限自发布之日起5个工作日。</w:t>
      </w:r>
    </w:p>
    <w:p>
      <w:pPr>
        <w:pStyle w:val="13"/>
        <w:tabs>
          <w:tab w:val="left" w:pos="3204"/>
        </w:tabs>
        <w:spacing w:line="340" w:lineRule="exact"/>
        <w:ind w:firstLine="0"/>
        <w:rPr>
          <w:rFonts w:hint="eastAsia" w:hAnsi="宋体" w:cs="宋体"/>
          <w:b/>
          <w:bCs/>
          <w:color w:val="000000"/>
          <w:spacing w:val="0"/>
          <w:sz w:val="21"/>
          <w:szCs w:val="21"/>
          <w:lang w:val="en-US" w:eastAsia="zh-CN"/>
        </w:rPr>
      </w:pPr>
      <w:r>
        <w:rPr>
          <w:rFonts w:hint="eastAsia" w:hAnsi="宋体" w:cs="宋体"/>
          <w:b/>
          <w:bCs/>
          <w:color w:val="000000"/>
          <w:spacing w:val="0"/>
          <w:sz w:val="21"/>
          <w:szCs w:val="21"/>
          <w:lang w:val="en-US" w:eastAsia="zh-CN"/>
        </w:rPr>
        <w:t>十一、其他事宜</w:t>
      </w:r>
    </w:p>
    <w:p>
      <w:pPr>
        <w:pStyle w:val="14"/>
        <w:spacing w:line="340" w:lineRule="exact"/>
        <w:ind w:firstLine="420" w:firstLineChars="200"/>
        <w:jc w:val="left"/>
        <w:rPr>
          <w:rFonts w:hint="default" w:hAnsi="宋体" w:cs="宋体"/>
          <w:sz w:val="21"/>
          <w:szCs w:val="21"/>
        </w:rPr>
      </w:pPr>
      <w:r>
        <w:rPr>
          <w:rFonts w:hint="eastAsia" w:hAnsi="宋体" w:cs="宋体"/>
          <w:sz w:val="21"/>
          <w:szCs w:val="21"/>
        </w:rPr>
        <w:t>1.</w:t>
      </w:r>
      <w:r>
        <w:rPr>
          <w:rFonts w:hint="eastAsia" w:hAnsi="宋体" w:cs="宋体"/>
          <w:sz w:val="21"/>
          <w:szCs w:val="21"/>
          <w:lang w:val="en-US" w:eastAsia="zh-CN"/>
        </w:rPr>
        <w:t>投标</w:t>
      </w:r>
      <w:r>
        <w:rPr>
          <w:rFonts w:hint="eastAsia" w:hAnsi="宋体" w:cs="宋体"/>
          <w:sz w:val="21"/>
          <w:szCs w:val="21"/>
        </w:rPr>
        <w:t>保证金：</w:t>
      </w:r>
      <w:r>
        <w:rPr>
          <w:rFonts w:hint="eastAsia" w:hAnsi="宋体" w:cs="宋体"/>
          <w:sz w:val="21"/>
          <w:szCs w:val="21"/>
          <w:lang w:val="en-US" w:eastAsia="zh-CN"/>
        </w:rPr>
        <w:t>人民币柒万</w:t>
      </w:r>
      <w:r>
        <w:rPr>
          <w:rFonts w:hint="eastAsia" w:hAnsi="宋体" w:cs="宋体"/>
          <w:sz w:val="21"/>
          <w:szCs w:val="21"/>
        </w:rPr>
        <w:t>元整（￥</w:t>
      </w:r>
      <w:r>
        <w:rPr>
          <w:rFonts w:hint="eastAsia" w:hAnsi="宋体" w:cs="宋体"/>
          <w:sz w:val="21"/>
          <w:szCs w:val="21"/>
          <w:lang w:val="en-US" w:eastAsia="zh-CN"/>
        </w:rPr>
        <w:t>7</w:t>
      </w:r>
      <w:r>
        <w:rPr>
          <w:rFonts w:hint="eastAsia" w:hAnsi="宋体" w:cs="宋体"/>
          <w:sz w:val="21"/>
          <w:szCs w:val="21"/>
        </w:rPr>
        <w:t>00</w:t>
      </w:r>
      <w:r>
        <w:rPr>
          <w:rFonts w:hint="eastAsia" w:hAnsi="宋体" w:cs="宋体"/>
          <w:sz w:val="21"/>
          <w:szCs w:val="21"/>
          <w:lang w:val="en-US" w:eastAsia="zh-CN"/>
        </w:rPr>
        <w:t>0</w:t>
      </w:r>
      <w:r>
        <w:rPr>
          <w:rFonts w:hint="eastAsia" w:hAnsi="宋体" w:cs="宋体"/>
          <w:sz w:val="21"/>
          <w:szCs w:val="21"/>
        </w:rPr>
        <w:t>0.00）</w:t>
      </w:r>
    </w:p>
    <w:p>
      <w:pPr>
        <w:pStyle w:val="14"/>
        <w:spacing w:line="340" w:lineRule="exact"/>
        <w:ind w:firstLine="630" w:firstLineChars="300"/>
        <w:jc w:val="left"/>
        <w:rPr>
          <w:rFonts w:hint="default" w:hAnsi="宋体" w:cs="宋体"/>
          <w:sz w:val="21"/>
          <w:szCs w:val="21"/>
        </w:rPr>
      </w:pPr>
      <w:r>
        <w:rPr>
          <w:rFonts w:hint="eastAsia" w:hAnsi="宋体" w:cs="宋体"/>
          <w:sz w:val="21"/>
          <w:szCs w:val="21"/>
          <w:lang w:val="en-US" w:eastAsia="zh-CN"/>
        </w:rPr>
        <w:t>投标</w:t>
      </w:r>
      <w:r>
        <w:rPr>
          <w:rFonts w:hint="eastAsia" w:hAnsi="宋体" w:cs="宋体"/>
          <w:sz w:val="21"/>
          <w:szCs w:val="21"/>
        </w:rPr>
        <w:t>保证金的交纳方式：银行转账、支票、汇票、本票或者银行、保险机构出具的保函，禁止采用现钞方式。采用银行转账方式的，在首次</w:t>
      </w:r>
      <w:r>
        <w:rPr>
          <w:rFonts w:hint="eastAsia" w:hAnsi="宋体" w:cs="宋体"/>
          <w:sz w:val="21"/>
          <w:szCs w:val="21"/>
          <w:lang w:val="en-US" w:eastAsia="zh-CN"/>
        </w:rPr>
        <w:t>投标</w:t>
      </w:r>
      <w:r>
        <w:rPr>
          <w:rFonts w:hint="eastAsia" w:hAnsi="宋体" w:cs="宋体"/>
          <w:sz w:val="21"/>
          <w:szCs w:val="21"/>
        </w:rPr>
        <w:t>文件提交截止时间前交至百色市公共资源交易中心账户</w:t>
      </w:r>
      <w:r>
        <w:rPr>
          <w:rFonts w:hint="eastAsia" w:hAnsi="宋体" w:cs="宋体"/>
          <w:sz w:val="21"/>
          <w:szCs w:val="21"/>
          <w:lang w:eastAsia="zh-CN"/>
        </w:rPr>
        <w:t>，</w:t>
      </w:r>
      <w:r>
        <w:rPr>
          <w:rFonts w:hint="eastAsia" w:asciiTheme="minorEastAsia" w:hAnsiTheme="minorEastAsia" w:eastAsiaTheme="minorEastAsia" w:cstheme="minorEastAsia"/>
          <w:color w:val="000000"/>
          <w:sz w:val="21"/>
          <w:szCs w:val="21"/>
        </w:rPr>
        <w:t>具体详见招标文件。</w:t>
      </w:r>
      <w:r>
        <w:rPr>
          <w:rFonts w:hint="eastAsia" w:hAnsi="宋体" w:cs="宋体"/>
          <w:sz w:val="21"/>
          <w:szCs w:val="21"/>
        </w:rPr>
        <w:t>采用支票、汇票、本票或者保函等方式的，在首次</w:t>
      </w:r>
      <w:r>
        <w:rPr>
          <w:rFonts w:hint="eastAsia" w:hAnsi="宋体" w:cs="宋体"/>
          <w:sz w:val="21"/>
          <w:szCs w:val="21"/>
          <w:lang w:val="en-US" w:eastAsia="zh-CN"/>
        </w:rPr>
        <w:t>投标</w:t>
      </w:r>
      <w:r>
        <w:rPr>
          <w:rFonts w:hint="eastAsia" w:hAnsi="宋体" w:cs="宋体"/>
          <w:sz w:val="21"/>
          <w:szCs w:val="21"/>
        </w:rPr>
        <w:t>文件提交截止时间前，供应商应当提交单独密封的支票、汇票、本票或者保函原件。否则视为无效</w:t>
      </w:r>
      <w:r>
        <w:rPr>
          <w:rFonts w:hint="eastAsia" w:hAnsi="宋体" w:cs="宋体"/>
          <w:sz w:val="21"/>
          <w:szCs w:val="21"/>
          <w:lang w:val="en-US" w:eastAsia="zh-CN"/>
        </w:rPr>
        <w:t>投标</w:t>
      </w:r>
      <w:r>
        <w:rPr>
          <w:rFonts w:hint="eastAsia" w:hAnsi="宋体" w:cs="宋体"/>
          <w:sz w:val="21"/>
          <w:szCs w:val="21"/>
        </w:rPr>
        <w:t>保证金。</w:t>
      </w:r>
    </w:p>
    <w:p>
      <w:pPr>
        <w:pStyle w:val="13"/>
        <w:numPr>
          <w:ilvl w:val="0"/>
          <w:numId w:val="0"/>
        </w:numPr>
        <w:tabs>
          <w:tab w:val="left" w:pos="3204"/>
        </w:tabs>
        <w:spacing w:line="340" w:lineRule="exact"/>
        <w:ind w:firstLine="420" w:firstLineChars="200"/>
        <w:rPr>
          <w:rFonts w:hint="eastAsia" w:hAnsi="宋体" w:cs="宋体"/>
          <w:color w:val="000000"/>
          <w:spacing w:val="0"/>
          <w:sz w:val="21"/>
          <w:szCs w:val="21"/>
        </w:rPr>
      </w:pPr>
      <w:r>
        <w:rPr>
          <w:rFonts w:hint="eastAsia" w:hAnsi="宋体" w:cs="宋体"/>
          <w:color w:val="000000"/>
          <w:spacing w:val="0"/>
          <w:sz w:val="21"/>
          <w:szCs w:val="21"/>
          <w:lang w:val="en-US" w:eastAsia="zh-CN"/>
        </w:rPr>
        <w:t>2.</w:t>
      </w:r>
      <w:r>
        <w:rPr>
          <w:rFonts w:hint="eastAsia" w:hAnsi="宋体" w:cs="宋体"/>
          <w:color w:val="000000"/>
          <w:spacing w:val="0"/>
          <w:sz w:val="21"/>
          <w:szCs w:val="21"/>
        </w:rPr>
        <w:t>网上查询：中国政府采购网（www.ccgp.gov.cn）、广西政府采购网（www.zfcg.gxzf.gov.cn）、百色市公共资源交易中心（http://www.bsggzy.org.cn/gxbszbw/）。</w:t>
      </w:r>
    </w:p>
    <w:p>
      <w:pPr>
        <w:pStyle w:val="13"/>
        <w:numPr>
          <w:ilvl w:val="0"/>
          <w:numId w:val="0"/>
        </w:numPr>
        <w:tabs>
          <w:tab w:val="left" w:pos="3204"/>
        </w:tabs>
        <w:spacing w:line="340" w:lineRule="exact"/>
        <w:rPr>
          <w:rFonts w:hint="eastAsia" w:hAnsi="宋体" w:cs="宋体"/>
          <w:b/>
          <w:spacing w:val="6"/>
          <w:kern w:val="48"/>
          <w:sz w:val="21"/>
          <w:szCs w:val="21"/>
        </w:rPr>
      </w:pPr>
    </w:p>
    <w:p>
      <w:pPr>
        <w:pStyle w:val="4"/>
        <w:keepNext w:val="0"/>
        <w:keepLines w:val="0"/>
        <w:widowControl/>
        <w:suppressLineNumbers w:val="0"/>
        <w:shd w:val="clear" w:fill="FFFFFF"/>
        <w:spacing w:before="0" w:beforeAutospacing="0" w:line="300" w:lineRule="atLeast"/>
        <w:ind w:left="420" w:firstLine="0"/>
        <w:rPr>
          <w:rFonts w:hint="eastAsia" w:hAnsi="宋体" w:cs="宋体"/>
          <w:b/>
          <w:spacing w:val="6"/>
          <w:kern w:val="48"/>
          <w:sz w:val="21"/>
          <w:szCs w:val="21"/>
          <w:lang w:val="en-US" w:eastAsia="zh-CN"/>
        </w:rPr>
      </w:pPr>
    </w:p>
    <w:p>
      <w:pPr>
        <w:pStyle w:val="14"/>
        <w:spacing w:line="340" w:lineRule="exact"/>
        <w:jc w:val="left"/>
        <w:rPr>
          <w:rFonts w:hint="eastAsia" w:hAnsi="宋体" w:cs="宋体"/>
          <w:b/>
          <w:bCs/>
          <w:sz w:val="21"/>
          <w:szCs w:val="21"/>
        </w:rPr>
      </w:pPr>
      <w:r>
        <w:rPr>
          <w:rFonts w:hint="eastAsia" w:hAnsi="宋体" w:cs="宋体"/>
          <w:b/>
          <w:bCs/>
          <w:sz w:val="21"/>
          <w:szCs w:val="21"/>
          <w:lang w:val="en-US" w:eastAsia="zh-CN"/>
        </w:rPr>
        <w:t>十二、</w:t>
      </w:r>
      <w:r>
        <w:rPr>
          <w:rFonts w:hint="eastAsia" w:hAnsi="宋体" w:cs="宋体"/>
          <w:b/>
          <w:bCs/>
          <w:sz w:val="21"/>
          <w:szCs w:val="21"/>
        </w:rPr>
        <w:t>凡对本次采购提出询问，请按以下方式联系</w:t>
      </w:r>
      <w:bookmarkStart w:id="15" w:name="OLE_LINK1"/>
      <w:bookmarkStart w:id="16" w:name="OLE_LINK2"/>
      <w:r>
        <w:rPr>
          <w:rFonts w:hint="eastAsia" w:hAnsi="宋体" w:cs="宋体"/>
          <w:b/>
          <w:bCs/>
          <w:sz w:val="21"/>
          <w:szCs w:val="21"/>
          <w:lang w:eastAsia="zh-CN"/>
        </w:rPr>
        <w:t>：</w:t>
      </w:r>
    </w:p>
    <w:p>
      <w:pPr>
        <w:pStyle w:val="14"/>
        <w:spacing w:line="340" w:lineRule="exact"/>
        <w:ind w:firstLine="420" w:firstLineChars="200"/>
        <w:jc w:val="left"/>
        <w:rPr>
          <w:rFonts w:hint="eastAsia" w:hAnsi="宋体" w:cs="宋体"/>
          <w:sz w:val="21"/>
          <w:szCs w:val="21"/>
        </w:rPr>
      </w:pPr>
      <w:r>
        <w:rPr>
          <w:rFonts w:hint="eastAsia" w:hAnsi="宋体" w:cs="宋体"/>
          <w:sz w:val="21"/>
          <w:szCs w:val="21"/>
        </w:rPr>
        <w:t>1.采购人：平果市自然资源局    地址：平果市铝城大道1067号</w:t>
      </w:r>
    </w:p>
    <w:bookmarkEnd w:id="15"/>
    <w:bookmarkEnd w:id="16"/>
    <w:p>
      <w:pPr>
        <w:pStyle w:val="14"/>
        <w:spacing w:line="340" w:lineRule="exact"/>
        <w:ind w:firstLine="420" w:firstLineChars="200"/>
        <w:jc w:val="left"/>
        <w:rPr>
          <w:rFonts w:hint="eastAsia" w:hAnsi="宋体" w:cs="宋体"/>
          <w:sz w:val="21"/>
          <w:szCs w:val="21"/>
        </w:rPr>
      </w:pPr>
      <w:r>
        <w:rPr>
          <w:rFonts w:hint="eastAsia" w:hAnsi="宋体" w:cs="宋体"/>
          <w:sz w:val="21"/>
          <w:szCs w:val="21"/>
        </w:rPr>
        <w:t>项目联系人：苏珊珊 电话：0776-5836092</w:t>
      </w:r>
    </w:p>
    <w:p>
      <w:pPr>
        <w:pStyle w:val="14"/>
        <w:spacing w:line="340" w:lineRule="exact"/>
        <w:ind w:firstLine="420" w:firstLineChars="200"/>
        <w:jc w:val="left"/>
        <w:rPr>
          <w:rFonts w:hint="eastAsia" w:hAnsi="宋体" w:cs="宋体"/>
          <w:sz w:val="21"/>
          <w:szCs w:val="21"/>
        </w:rPr>
      </w:pPr>
      <w:r>
        <w:rPr>
          <w:rFonts w:hint="eastAsia" w:hAnsi="宋体" w:cs="宋体"/>
          <w:sz w:val="21"/>
          <w:szCs w:val="21"/>
          <w:lang w:val="en-US" w:eastAsia="zh-CN"/>
        </w:rPr>
        <w:t>2.</w:t>
      </w:r>
      <w:r>
        <w:rPr>
          <w:rFonts w:hint="eastAsia" w:hAnsi="宋体" w:cs="宋体"/>
          <w:sz w:val="21"/>
          <w:szCs w:val="21"/>
        </w:rPr>
        <w:t>采购代理机构：广西冠宁工程咨询有限公司</w:t>
      </w:r>
    </w:p>
    <w:p>
      <w:pPr>
        <w:pStyle w:val="14"/>
        <w:spacing w:line="340" w:lineRule="exact"/>
        <w:ind w:firstLine="420" w:firstLineChars="200"/>
        <w:jc w:val="left"/>
        <w:rPr>
          <w:rFonts w:hint="eastAsia" w:hAnsi="宋体" w:cs="宋体"/>
          <w:sz w:val="21"/>
          <w:szCs w:val="21"/>
        </w:rPr>
      </w:pPr>
      <w:r>
        <w:rPr>
          <w:rFonts w:hint="eastAsia" w:hAnsi="宋体" w:cs="宋体"/>
          <w:sz w:val="21"/>
          <w:szCs w:val="21"/>
        </w:rPr>
        <w:t>地址：广西百色市右江区莲塘路5号那毕供销合作社商务写字楼10层1008室</w:t>
      </w:r>
    </w:p>
    <w:p>
      <w:pPr>
        <w:pStyle w:val="14"/>
        <w:spacing w:line="340" w:lineRule="exact"/>
        <w:ind w:firstLine="420" w:firstLineChars="200"/>
        <w:jc w:val="left"/>
        <w:rPr>
          <w:rFonts w:hint="default" w:hAnsi="宋体" w:cs="宋体"/>
          <w:sz w:val="21"/>
          <w:szCs w:val="21"/>
          <w:lang w:val="en-US" w:eastAsia="zh-CN"/>
        </w:rPr>
      </w:pPr>
      <w:r>
        <w:rPr>
          <w:rFonts w:hint="eastAsia" w:hAnsi="宋体" w:cs="宋体"/>
          <w:sz w:val="21"/>
          <w:szCs w:val="21"/>
          <w:lang w:val="en-US" w:eastAsia="zh-CN"/>
        </w:rPr>
        <w:t>项目负责人：凌工；电话：19977190089</w:t>
      </w:r>
    </w:p>
    <w:p>
      <w:pPr>
        <w:pStyle w:val="14"/>
        <w:spacing w:line="340" w:lineRule="exact"/>
        <w:ind w:firstLine="420" w:firstLineChars="200"/>
        <w:jc w:val="left"/>
        <w:rPr>
          <w:rFonts w:hAnsi="宋体" w:cs="宋体"/>
          <w:spacing w:val="6"/>
          <w:kern w:val="48"/>
          <w:sz w:val="21"/>
          <w:szCs w:val="21"/>
        </w:rPr>
      </w:pPr>
      <w:r>
        <w:rPr>
          <w:rFonts w:hint="eastAsia" w:hAnsi="宋体" w:cs="宋体"/>
          <w:sz w:val="21"/>
          <w:szCs w:val="21"/>
        </w:rPr>
        <w:t xml:space="preserve">3.监督部门：平果市政府采购管理中心  </w:t>
      </w:r>
      <w:r>
        <w:rPr>
          <w:rFonts w:hint="eastAsia" w:hAnsi="宋体" w:cs="宋体"/>
          <w:spacing w:val="6"/>
          <w:kern w:val="48"/>
          <w:sz w:val="21"/>
          <w:szCs w:val="21"/>
        </w:rPr>
        <w:t xml:space="preserve"> 联系电话：</w:t>
      </w:r>
      <w:r>
        <w:rPr>
          <w:rFonts w:hint="eastAsia" w:hAnsi="宋体" w:cs="宋体"/>
          <w:color w:val="000000"/>
          <w:spacing w:val="0"/>
          <w:sz w:val="21"/>
          <w:szCs w:val="21"/>
        </w:rPr>
        <w:t>0776-5825152</w:t>
      </w:r>
      <w:r>
        <w:rPr>
          <w:rStyle w:val="30"/>
          <w:rFonts w:hint="eastAsia" w:hAnsi="宋体" w:cs="宋体"/>
          <w:color w:val="000000"/>
          <w:sz w:val="21"/>
          <w:szCs w:val="21"/>
        </w:rPr>
        <w:t>  </w:t>
      </w:r>
    </w:p>
    <w:p>
      <w:pPr>
        <w:pStyle w:val="13"/>
        <w:tabs>
          <w:tab w:val="left" w:pos="3204"/>
        </w:tabs>
        <w:spacing w:line="340" w:lineRule="exact"/>
        <w:ind w:left="0" w:leftChars="0" w:firstLine="0" w:firstLineChars="0"/>
        <w:rPr>
          <w:rFonts w:hint="eastAsia" w:hAnsi="宋体" w:cs="宋体"/>
          <w:color w:val="000000"/>
          <w:spacing w:val="0"/>
          <w:sz w:val="21"/>
          <w:szCs w:val="21"/>
        </w:rPr>
      </w:pPr>
      <w:r>
        <w:rPr>
          <w:rFonts w:hint="eastAsia" w:hAnsi="宋体" w:cs="宋体"/>
          <w:b/>
          <w:bCs/>
          <w:color w:val="000000"/>
          <w:spacing w:val="0"/>
          <w:sz w:val="21"/>
          <w:szCs w:val="21"/>
        </w:rPr>
        <w:t>特别说明：</w:t>
      </w:r>
      <w:r>
        <w:rPr>
          <w:rFonts w:hint="eastAsia" w:hAnsi="宋体" w:cs="宋体"/>
          <w:color w:val="000000"/>
          <w:spacing w:val="0"/>
          <w:sz w:val="21"/>
          <w:szCs w:val="21"/>
          <w:lang w:val="en-US" w:eastAsia="zh-CN"/>
        </w:rPr>
        <w:t>投</w:t>
      </w:r>
      <w:r>
        <w:rPr>
          <w:rFonts w:hint="eastAsia" w:hAnsi="宋体" w:cs="宋体"/>
          <w:color w:val="000000"/>
          <w:spacing w:val="0"/>
          <w:sz w:val="21"/>
          <w:szCs w:val="21"/>
        </w:rPr>
        <w:t>标人须按照《百色市公共资源交易中心疫情防控期间进场交易项目服务指南》要求入场，</w:t>
      </w:r>
      <w:r>
        <w:rPr>
          <w:rFonts w:hint="eastAsia" w:hAnsi="宋体" w:cs="宋体"/>
          <w:color w:val="000000"/>
          <w:spacing w:val="0"/>
          <w:sz w:val="21"/>
          <w:szCs w:val="21"/>
          <w:lang w:val="en-US" w:eastAsia="zh-CN"/>
        </w:rPr>
        <w:t>投</w:t>
      </w:r>
      <w:r>
        <w:rPr>
          <w:rFonts w:hint="eastAsia" w:hAnsi="宋体" w:cs="宋体"/>
          <w:color w:val="000000"/>
          <w:spacing w:val="0"/>
          <w:sz w:val="21"/>
          <w:szCs w:val="21"/>
        </w:rPr>
        <w:t>标人及</w:t>
      </w:r>
      <w:r>
        <w:rPr>
          <w:rFonts w:hint="eastAsia" w:hAnsi="宋体" w:cs="宋体"/>
          <w:color w:val="000000"/>
          <w:spacing w:val="0"/>
          <w:sz w:val="21"/>
          <w:szCs w:val="21"/>
          <w:lang w:val="en-US" w:eastAsia="zh-CN"/>
        </w:rPr>
        <w:t>投</w:t>
      </w:r>
      <w:r>
        <w:rPr>
          <w:rFonts w:hint="eastAsia" w:hAnsi="宋体" w:cs="宋体"/>
          <w:color w:val="000000"/>
          <w:spacing w:val="0"/>
          <w:sz w:val="21"/>
          <w:szCs w:val="21"/>
        </w:rPr>
        <w:t>标人员在递交投标文件时需手持“</w:t>
      </w:r>
      <w:r>
        <w:rPr>
          <w:rFonts w:hint="eastAsia" w:hAnsi="宋体" w:cs="宋体"/>
          <w:color w:val="000000"/>
          <w:spacing w:val="0"/>
          <w:sz w:val="21"/>
          <w:szCs w:val="21"/>
          <w:lang w:val="en-US" w:eastAsia="zh-CN"/>
        </w:rPr>
        <w:t>投</w:t>
      </w:r>
      <w:r>
        <w:rPr>
          <w:rFonts w:hint="eastAsia" w:hAnsi="宋体" w:cs="宋体"/>
          <w:color w:val="000000"/>
          <w:spacing w:val="0"/>
          <w:sz w:val="21"/>
          <w:szCs w:val="21"/>
        </w:rPr>
        <w:t>标人（供应商）承诺书”</w:t>
      </w:r>
      <w:r>
        <w:rPr>
          <w:rFonts w:hint="eastAsia" w:hAnsi="宋体" w:cs="宋体"/>
          <w:color w:val="000000"/>
          <w:spacing w:val="0"/>
          <w:sz w:val="21"/>
          <w:szCs w:val="21"/>
          <w:lang w:eastAsia="zh-CN"/>
        </w:rPr>
        <w:t>（</w:t>
      </w:r>
      <w:r>
        <w:rPr>
          <w:rFonts w:hint="eastAsia" w:hAnsi="宋体" w:cs="宋体"/>
          <w:color w:val="000000"/>
          <w:spacing w:val="0"/>
          <w:sz w:val="21"/>
          <w:szCs w:val="21"/>
          <w:lang w:val="en-US" w:eastAsia="zh-CN"/>
        </w:rPr>
        <w:t>附件1</w:t>
      </w:r>
      <w:r>
        <w:rPr>
          <w:rFonts w:hint="eastAsia" w:hAnsi="宋体" w:cs="宋体"/>
          <w:color w:val="000000"/>
          <w:spacing w:val="0"/>
          <w:sz w:val="21"/>
          <w:szCs w:val="21"/>
          <w:lang w:eastAsia="zh-CN"/>
        </w:rPr>
        <w:t>）</w:t>
      </w:r>
      <w:r>
        <w:rPr>
          <w:rFonts w:hint="eastAsia" w:hAnsi="宋体" w:cs="宋体"/>
          <w:color w:val="000000"/>
          <w:spacing w:val="0"/>
          <w:sz w:val="21"/>
          <w:szCs w:val="21"/>
        </w:rPr>
        <w:t xml:space="preserve"> 、“各交易活动参与人承诺书”（</w:t>
      </w:r>
      <w:r>
        <w:rPr>
          <w:rFonts w:hint="eastAsia" w:hAnsi="宋体" w:cs="宋体"/>
          <w:color w:val="000000"/>
          <w:spacing w:val="0"/>
          <w:sz w:val="21"/>
          <w:szCs w:val="21"/>
          <w:lang w:val="en-US" w:eastAsia="zh-CN"/>
        </w:rPr>
        <w:t>附件2</w:t>
      </w:r>
      <w:r>
        <w:rPr>
          <w:rFonts w:hint="eastAsia" w:hAnsi="宋体" w:cs="宋体"/>
          <w:color w:val="000000"/>
          <w:spacing w:val="0"/>
          <w:sz w:val="21"/>
          <w:szCs w:val="21"/>
        </w:rPr>
        <w:t>），疫情区过来的</w:t>
      </w:r>
      <w:r>
        <w:rPr>
          <w:rFonts w:hint="eastAsia" w:hAnsi="宋体" w:cs="宋体"/>
          <w:color w:val="000000"/>
          <w:spacing w:val="0"/>
          <w:sz w:val="21"/>
          <w:szCs w:val="21"/>
          <w:lang w:val="en-US" w:eastAsia="zh-CN"/>
        </w:rPr>
        <w:t>投</w:t>
      </w:r>
      <w:r>
        <w:rPr>
          <w:rFonts w:hint="eastAsia" w:hAnsi="宋体" w:cs="宋体"/>
          <w:color w:val="000000"/>
          <w:spacing w:val="0"/>
          <w:sz w:val="21"/>
          <w:szCs w:val="21"/>
        </w:rPr>
        <w:t>标人员须出具当地检疫部门的健康证明（格式自拟）。</w:t>
      </w:r>
    </w:p>
    <w:p>
      <w:pPr>
        <w:pStyle w:val="13"/>
        <w:tabs>
          <w:tab w:val="left" w:pos="3204"/>
        </w:tabs>
        <w:spacing w:line="340" w:lineRule="exact"/>
        <w:ind w:firstLine="0"/>
        <w:jc w:val="center"/>
        <w:rPr>
          <w:rFonts w:hint="eastAsia" w:hAnsi="宋体" w:cs="宋体"/>
          <w:color w:val="000000"/>
          <w:spacing w:val="0"/>
          <w:sz w:val="21"/>
          <w:szCs w:val="21"/>
          <w:lang w:val="en-US" w:eastAsia="zh-CN"/>
        </w:rPr>
      </w:pPr>
      <w:r>
        <w:rPr>
          <w:rFonts w:hint="eastAsia" w:hAnsi="宋体" w:cs="宋体"/>
          <w:color w:val="000000"/>
          <w:spacing w:val="0"/>
          <w:sz w:val="21"/>
          <w:szCs w:val="21"/>
          <w:lang w:val="en-US" w:eastAsia="zh-CN"/>
        </w:rPr>
        <w:t xml:space="preserve">                                                                </w:t>
      </w:r>
    </w:p>
    <w:p>
      <w:pPr>
        <w:pStyle w:val="13"/>
        <w:tabs>
          <w:tab w:val="left" w:pos="3204"/>
        </w:tabs>
        <w:spacing w:line="340" w:lineRule="exact"/>
        <w:ind w:firstLine="0"/>
        <w:jc w:val="center"/>
        <w:rPr>
          <w:rFonts w:hint="eastAsia" w:hAnsi="宋体" w:cs="宋体"/>
          <w:color w:val="000000"/>
          <w:spacing w:val="0"/>
          <w:sz w:val="21"/>
          <w:szCs w:val="21"/>
          <w:lang w:val="en-US" w:eastAsia="zh-CN"/>
        </w:rPr>
      </w:pPr>
    </w:p>
    <w:p>
      <w:pPr>
        <w:pStyle w:val="13"/>
        <w:tabs>
          <w:tab w:val="left" w:pos="3204"/>
        </w:tabs>
        <w:spacing w:line="340" w:lineRule="exact"/>
        <w:ind w:firstLine="0"/>
        <w:jc w:val="center"/>
        <w:rPr>
          <w:rFonts w:hint="eastAsia" w:hAnsi="宋体" w:cs="宋体"/>
          <w:color w:val="000000"/>
          <w:spacing w:val="0"/>
          <w:sz w:val="21"/>
          <w:szCs w:val="21"/>
          <w:lang w:val="en-US" w:eastAsia="zh-CN"/>
        </w:rPr>
      </w:pPr>
    </w:p>
    <w:p>
      <w:pPr>
        <w:pStyle w:val="13"/>
        <w:tabs>
          <w:tab w:val="left" w:pos="3204"/>
        </w:tabs>
        <w:spacing w:line="340" w:lineRule="exact"/>
        <w:ind w:firstLine="0"/>
        <w:jc w:val="center"/>
        <w:rPr>
          <w:rFonts w:hint="eastAsia" w:hAnsi="宋体" w:cs="宋体"/>
          <w:color w:val="000000"/>
          <w:spacing w:val="0"/>
          <w:sz w:val="21"/>
          <w:szCs w:val="21"/>
          <w:lang w:val="en-US" w:eastAsia="zh-CN"/>
        </w:rPr>
      </w:pPr>
    </w:p>
    <w:p>
      <w:pPr>
        <w:pStyle w:val="13"/>
        <w:tabs>
          <w:tab w:val="left" w:pos="3204"/>
        </w:tabs>
        <w:spacing w:line="340" w:lineRule="exact"/>
        <w:ind w:firstLine="0"/>
        <w:jc w:val="center"/>
        <w:rPr>
          <w:rFonts w:hint="eastAsia" w:hAnsi="宋体" w:cs="宋体"/>
          <w:color w:val="000000"/>
          <w:spacing w:val="0"/>
          <w:sz w:val="21"/>
          <w:szCs w:val="21"/>
        </w:rPr>
      </w:pPr>
      <w:r>
        <w:rPr>
          <w:rFonts w:hint="eastAsia" w:hAnsi="宋体" w:cs="宋体"/>
          <w:color w:val="000000"/>
          <w:spacing w:val="0"/>
          <w:sz w:val="21"/>
          <w:szCs w:val="21"/>
          <w:lang w:val="en-US" w:eastAsia="zh-CN"/>
        </w:rPr>
        <w:t xml:space="preserve">                                                        </w:t>
      </w:r>
      <w:r>
        <w:rPr>
          <w:rFonts w:hint="eastAsia" w:hAnsi="宋体" w:cs="宋体"/>
          <w:color w:val="000000"/>
          <w:spacing w:val="0"/>
          <w:sz w:val="21"/>
          <w:szCs w:val="21"/>
        </w:rPr>
        <w:t>广西冠宁工程咨询有限公司</w:t>
      </w:r>
    </w:p>
    <w:p>
      <w:pPr>
        <w:pStyle w:val="14"/>
        <w:spacing w:line="340" w:lineRule="exact"/>
        <w:ind w:right="1050"/>
        <w:jc w:val="right"/>
        <w:rPr>
          <w:rFonts w:hint="eastAsia" w:hAnsi="宋体" w:cs="宋体"/>
          <w:sz w:val="21"/>
          <w:szCs w:val="21"/>
          <w:highlight w:val="none"/>
          <w:lang w:val="en-US" w:eastAsia="zh-CN"/>
        </w:rPr>
      </w:pPr>
      <w:r>
        <w:rPr>
          <w:rFonts w:hint="eastAsia" w:hAnsi="宋体" w:cs="宋体"/>
          <w:sz w:val="21"/>
          <w:szCs w:val="21"/>
          <w:highlight w:val="none"/>
          <w:lang w:val="en-US" w:eastAsia="zh-CN"/>
        </w:rPr>
        <w:t xml:space="preserve">       </w:t>
      </w:r>
    </w:p>
    <w:p>
      <w:pPr>
        <w:pStyle w:val="14"/>
        <w:spacing w:line="340" w:lineRule="exact"/>
        <w:ind w:right="1050"/>
        <w:jc w:val="right"/>
        <w:rPr>
          <w:rFonts w:hAnsi="宋体" w:cs="宋体"/>
          <w:b/>
          <w:sz w:val="21"/>
          <w:szCs w:val="21"/>
        </w:rPr>
      </w:pPr>
      <w:r>
        <w:rPr>
          <w:rFonts w:hint="eastAsia" w:hAnsi="宋体" w:cs="宋体"/>
          <w:sz w:val="21"/>
          <w:szCs w:val="21"/>
          <w:highlight w:val="none"/>
        </w:rPr>
        <w:t>2020年</w:t>
      </w:r>
      <w:r>
        <w:rPr>
          <w:rFonts w:hint="eastAsia" w:hAnsi="宋体" w:cs="宋体"/>
          <w:sz w:val="21"/>
          <w:szCs w:val="21"/>
          <w:highlight w:val="none"/>
          <w:lang w:val="en-US" w:eastAsia="zh-CN"/>
        </w:rPr>
        <w:t>12</w:t>
      </w:r>
      <w:r>
        <w:rPr>
          <w:rFonts w:hint="eastAsia" w:hAnsi="宋体" w:cs="宋体"/>
          <w:sz w:val="21"/>
          <w:szCs w:val="21"/>
          <w:highlight w:val="none"/>
        </w:rPr>
        <w:t>月</w:t>
      </w:r>
      <w:r>
        <w:rPr>
          <w:rFonts w:hint="eastAsia" w:hAnsi="宋体" w:cs="宋体"/>
          <w:sz w:val="21"/>
          <w:szCs w:val="21"/>
          <w:highlight w:val="none"/>
          <w:lang w:val="en-US" w:eastAsia="zh-CN"/>
        </w:rPr>
        <w:t>14</w:t>
      </w:r>
      <w:r>
        <w:rPr>
          <w:rFonts w:hint="eastAsia" w:hAnsi="宋体" w:cs="宋体"/>
          <w:sz w:val="21"/>
          <w:szCs w:val="21"/>
          <w:highlight w:val="none"/>
        </w:rPr>
        <w:t>日</w:t>
      </w:r>
      <w:r>
        <w:rPr>
          <w:rFonts w:hint="eastAsia" w:hAnsi="宋体" w:cs="宋体"/>
          <w:sz w:val="21"/>
          <w:szCs w:val="21"/>
          <w:highlight w:val="none"/>
          <w:lang w:val="en-US" w:eastAsia="zh-CN"/>
        </w:rPr>
        <w:t xml:space="preserve"> </w:t>
      </w:r>
      <w:bookmarkStart w:id="17" w:name="_Toc213325923"/>
      <w:bookmarkStart w:id="18" w:name="_Toc30781"/>
      <w:bookmarkStart w:id="19" w:name="_Toc27507"/>
      <w:bookmarkStart w:id="20" w:name="_Toc213206174"/>
      <w:bookmarkStart w:id="21" w:name="_Toc31844"/>
      <w:bookmarkStart w:id="22" w:name="_Toc14257"/>
      <w:bookmarkStart w:id="23" w:name="_Toc2261189"/>
      <w:bookmarkStart w:id="24" w:name="_Toc2261187"/>
    </w:p>
    <w:p>
      <w:pPr>
        <w:pStyle w:val="14"/>
        <w:spacing w:line="400" w:lineRule="exact"/>
        <w:jc w:val="center"/>
        <w:outlineLvl w:val="0"/>
        <w:rPr>
          <w:rFonts w:hint="eastAsia" w:hAnsi="宋体" w:cs="宋体"/>
          <w:b/>
          <w:sz w:val="21"/>
          <w:szCs w:val="21"/>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int="eastAsia" w:hAnsi="宋体" w:cs="宋体"/>
          <w:b/>
          <w:sz w:val="32"/>
          <w:szCs w:val="32"/>
        </w:rPr>
      </w:pPr>
    </w:p>
    <w:p>
      <w:pPr>
        <w:pStyle w:val="14"/>
        <w:spacing w:line="400" w:lineRule="exact"/>
        <w:jc w:val="center"/>
        <w:outlineLvl w:val="0"/>
        <w:rPr>
          <w:rFonts w:hAnsi="宋体" w:cs="宋体"/>
          <w:b/>
          <w:sz w:val="21"/>
          <w:szCs w:val="21"/>
        </w:rPr>
      </w:pPr>
      <w:r>
        <w:rPr>
          <w:rFonts w:hint="eastAsia" w:hAnsi="宋体" w:cs="宋体"/>
          <w:b/>
          <w:sz w:val="32"/>
          <w:szCs w:val="32"/>
        </w:rPr>
        <w:t>第二章  投标人须知</w:t>
      </w:r>
      <w:bookmarkEnd w:id="17"/>
      <w:bookmarkEnd w:id="18"/>
      <w:bookmarkEnd w:id="19"/>
      <w:bookmarkEnd w:id="20"/>
      <w:bookmarkEnd w:id="21"/>
      <w:bookmarkEnd w:id="22"/>
      <w:bookmarkEnd w:id="23"/>
    </w:p>
    <w:p>
      <w:pPr>
        <w:pStyle w:val="14"/>
        <w:spacing w:line="720" w:lineRule="auto"/>
        <w:jc w:val="center"/>
        <w:rPr>
          <w:rFonts w:hAnsi="宋体" w:cs="宋体"/>
          <w:b/>
          <w:sz w:val="21"/>
          <w:szCs w:val="21"/>
        </w:rPr>
      </w:pPr>
      <w:r>
        <w:rPr>
          <w:rFonts w:hint="eastAsia" w:hAnsi="宋体" w:cs="宋体"/>
          <w:b/>
          <w:sz w:val="21"/>
          <w:szCs w:val="21"/>
        </w:rPr>
        <w:t>投标人须知前附表</w:t>
      </w:r>
    </w:p>
    <w:tbl>
      <w:tblPr>
        <w:tblStyle w:val="27"/>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084"/>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b/>
                <w:sz w:val="21"/>
                <w:szCs w:val="21"/>
              </w:rPr>
            </w:pPr>
            <w:r>
              <w:rPr>
                <w:rFonts w:hint="eastAsia" w:hAnsi="宋体" w:cs="宋体"/>
                <w:b/>
                <w:sz w:val="21"/>
                <w:szCs w:val="21"/>
              </w:rPr>
              <w:t>条款号</w:t>
            </w:r>
          </w:p>
        </w:tc>
        <w:tc>
          <w:tcPr>
            <w:tcW w:w="2084" w:type="dxa"/>
            <w:vAlign w:val="center"/>
          </w:tcPr>
          <w:p>
            <w:pPr>
              <w:pStyle w:val="14"/>
              <w:spacing w:line="380" w:lineRule="exact"/>
              <w:jc w:val="center"/>
              <w:rPr>
                <w:rFonts w:hAnsi="宋体" w:cs="宋体"/>
                <w:b/>
                <w:sz w:val="21"/>
                <w:szCs w:val="21"/>
              </w:rPr>
            </w:pPr>
            <w:r>
              <w:rPr>
                <w:rFonts w:hint="eastAsia" w:hAnsi="宋体" w:cs="宋体"/>
                <w:b/>
                <w:sz w:val="21"/>
                <w:szCs w:val="21"/>
              </w:rPr>
              <w:t>条款名称</w:t>
            </w:r>
          </w:p>
        </w:tc>
        <w:tc>
          <w:tcPr>
            <w:tcW w:w="6605" w:type="dxa"/>
          </w:tcPr>
          <w:p>
            <w:pPr>
              <w:pStyle w:val="14"/>
              <w:spacing w:line="380" w:lineRule="exact"/>
              <w:jc w:val="center"/>
              <w:rPr>
                <w:rFonts w:hAnsi="宋体" w:cs="宋体"/>
                <w:b/>
                <w:sz w:val="21"/>
                <w:szCs w:val="21"/>
              </w:rPr>
            </w:pPr>
            <w:r>
              <w:rPr>
                <w:rFonts w:hint="eastAsia" w:hAnsi="宋体" w:cs="宋体"/>
                <w:b/>
                <w:sz w:val="21"/>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1.1</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采购人</w:t>
            </w:r>
          </w:p>
        </w:tc>
        <w:tc>
          <w:tcPr>
            <w:tcW w:w="6605" w:type="dxa"/>
            <w:vAlign w:val="center"/>
          </w:tcPr>
          <w:p>
            <w:pPr>
              <w:pStyle w:val="14"/>
              <w:spacing w:line="380" w:lineRule="exact"/>
              <w:jc w:val="left"/>
              <w:rPr>
                <w:rFonts w:hAnsi="宋体" w:cs="宋体"/>
                <w:sz w:val="21"/>
                <w:szCs w:val="21"/>
              </w:rPr>
            </w:pPr>
            <w:r>
              <w:rPr>
                <w:rFonts w:hint="eastAsia" w:hAnsi="宋体" w:cs="宋体"/>
                <w:sz w:val="21"/>
                <w:szCs w:val="21"/>
              </w:rPr>
              <w:t>采购人：</w:t>
            </w:r>
            <w:r>
              <w:rPr>
                <w:rFonts w:hint="eastAsia" w:hAnsi="宋体" w:cs="宋体"/>
                <w:spacing w:val="6"/>
                <w:kern w:val="48"/>
                <w:sz w:val="21"/>
                <w:szCs w:val="21"/>
              </w:rPr>
              <w:t>平果市自然资源局</w:t>
            </w:r>
          </w:p>
          <w:p>
            <w:pPr>
              <w:pStyle w:val="14"/>
              <w:spacing w:line="380" w:lineRule="exact"/>
              <w:jc w:val="left"/>
              <w:rPr>
                <w:rFonts w:hAnsi="宋体" w:cs="宋体"/>
                <w:sz w:val="21"/>
                <w:szCs w:val="21"/>
              </w:rPr>
            </w:pPr>
            <w:r>
              <w:rPr>
                <w:rFonts w:hint="eastAsia" w:hAnsi="宋体" w:cs="宋体"/>
                <w:sz w:val="21"/>
                <w:szCs w:val="21"/>
              </w:rPr>
              <w:t xml:space="preserve">项目联系人：苏珊珊 </w:t>
            </w:r>
          </w:p>
          <w:p>
            <w:pPr>
              <w:pStyle w:val="14"/>
              <w:spacing w:line="380" w:lineRule="exact"/>
              <w:jc w:val="left"/>
              <w:rPr>
                <w:rFonts w:hAnsi="宋体" w:cs="宋体"/>
                <w:sz w:val="21"/>
                <w:szCs w:val="21"/>
              </w:rPr>
            </w:pPr>
            <w:r>
              <w:rPr>
                <w:rFonts w:hint="eastAsia" w:hAnsi="宋体" w:cs="宋体"/>
                <w:sz w:val="21"/>
                <w:szCs w:val="21"/>
              </w:rPr>
              <w:t>电话：0776-5836092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1.2</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采购代理机构</w:t>
            </w:r>
          </w:p>
        </w:tc>
        <w:tc>
          <w:tcPr>
            <w:tcW w:w="6605" w:type="dxa"/>
            <w:vAlign w:val="center"/>
          </w:tcPr>
          <w:p>
            <w:pPr>
              <w:pStyle w:val="14"/>
              <w:spacing w:line="320" w:lineRule="exact"/>
              <w:ind w:right="420"/>
              <w:rPr>
                <w:rFonts w:hAnsi="宋体" w:cs="宋体"/>
                <w:sz w:val="21"/>
                <w:szCs w:val="21"/>
              </w:rPr>
            </w:pPr>
            <w:r>
              <w:rPr>
                <w:rFonts w:hint="eastAsia" w:hAnsi="宋体" w:cs="宋体"/>
                <w:sz w:val="21"/>
                <w:szCs w:val="21"/>
              </w:rPr>
              <w:t>名称：</w:t>
            </w:r>
            <w:r>
              <w:rPr>
                <w:rFonts w:hint="eastAsia" w:hAnsi="宋体" w:cs="宋体"/>
                <w:spacing w:val="6"/>
                <w:kern w:val="48"/>
                <w:sz w:val="21"/>
                <w:szCs w:val="21"/>
              </w:rPr>
              <w:t>广西冠宁工程咨询有限公司</w:t>
            </w:r>
          </w:p>
          <w:p>
            <w:pPr>
              <w:pStyle w:val="14"/>
              <w:spacing w:line="380" w:lineRule="exact"/>
              <w:rPr>
                <w:rFonts w:hAnsi="宋体" w:cs="宋体"/>
                <w:sz w:val="21"/>
                <w:szCs w:val="21"/>
              </w:rPr>
            </w:pPr>
            <w:r>
              <w:rPr>
                <w:rFonts w:hint="eastAsia" w:hAnsi="宋体" w:cs="宋体"/>
                <w:sz w:val="21"/>
                <w:szCs w:val="21"/>
              </w:rPr>
              <w:t>地址：</w:t>
            </w:r>
            <w:r>
              <w:rPr>
                <w:rFonts w:hint="eastAsia"/>
                <w:color w:val="000000"/>
                <w:sz w:val="21"/>
                <w:szCs w:val="21"/>
              </w:rPr>
              <w:t>广西百色市右江区莲塘路5号那毕供销合作社商务写字楼10层1008室</w:t>
            </w:r>
          </w:p>
          <w:p>
            <w:pPr>
              <w:pStyle w:val="14"/>
              <w:spacing w:line="380" w:lineRule="exact"/>
              <w:rPr>
                <w:rFonts w:hAnsi="宋体" w:cs="宋体"/>
                <w:sz w:val="21"/>
                <w:szCs w:val="21"/>
              </w:rPr>
            </w:pPr>
            <w:r>
              <w:rPr>
                <w:rFonts w:hint="eastAsia" w:hAnsi="宋体" w:cs="宋体"/>
                <w:spacing w:val="6"/>
                <w:kern w:val="48"/>
                <w:sz w:val="21"/>
                <w:szCs w:val="21"/>
              </w:rPr>
              <w:t>项目负责人：</w:t>
            </w:r>
            <w:r>
              <w:rPr>
                <w:rFonts w:hint="eastAsia" w:hAnsi="宋体" w:cs="宋体"/>
                <w:spacing w:val="6"/>
                <w:kern w:val="48"/>
                <w:sz w:val="21"/>
                <w:szCs w:val="21"/>
                <w:lang w:val="en-US" w:eastAsia="zh-CN"/>
              </w:rPr>
              <w:t>凌</w:t>
            </w:r>
            <w:r>
              <w:rPr>
                <w:rFonts w:hint="eastAsia" w:hAnsi="宋体" w:cs="宋体"/>
                <w:spacing w:val="6"/>
                <w:kern w:val="48"/>
                <w:sz w:val="21"/>
                <w:szCs w:val="21"/>
              </w:rPr>
              <w:t>工；电话：</w:t>
            </w:r>
            <w:r>
              <w:rPr>
                <w:rFonts w:hint="eastAsia" w:asciiTheme="minorEastAsia" w:hAnsiTheme="minorEastAsia" w:eastAsiaTheme="minorEastAsia" w:cstheme="minorEastAsia"/>
                <w:sz w:val="21"/>
                <w:szCs w:val="21"/>
                <w:lang w:val="en-US" w:eastAsia="zh-CN"/>
              </w:rPr>
              <w:t>19977190089</w:t>
            </w:r>
            <w:r>
              <w:rPr>
                <w:rFonts w:hint="eastAsia" w:hAnsi="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1.3</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项目名称</w:t>
            </w:r>
          </w:p>
        </w:tc>
        <w:tc>
          <w:tcPr>
            <w:tcW w:w="6605" w:type="dxa"/>
            <w:vAlign w:val="center"/>
          </w:tcPr>
          <w:p>
            <w:pPr>
              <w:pStyle w:val="14"/>
              <w:spacing w:line="380" w:lineRule="exact"/>
              <w:rPr>
                <w:rFonts w:hAnsi="宋体" w:cs="宋体"/>
                <w:sz w:val="21"/>
                <w:szCs w:val="21"/>
              </w:rPr>
            </w:pPr>
            <w:r>
              <w:rPr>
                <w:sz w:val="21"/>
                <w:szCs w:val="21"/>
              </w:rPr>
              <w:fldChar w:fldCharType="begin"/>
            </w:r>
            <w:r>
              <w:rPr>
                <w:sz w:val="21"/>
                <w:szCs w:val="21"/>
              </w:rPr>
              <w:instrText xml:space="preserve"> HYPERLINK "https://www.zcygov.cn/proj-procurement/project-result-detail/5d870e6134183a2d" \t "https://www.zcygov.cn/proj-procurement/self-project/_blank" </w:instrText>
            </w:r>
            <w:r>
              <w:rPr>
                <w:sz w:val="21"/>
                <w:szCs w:val="21"/>
              </w:rPr>
              <w:fldChar w:fldCharType="separate"/>
            </w:r>
            <w:r>
              <w:rPr>
                <w:rFonts w:hint="eastAsia" w:hAnsi="宋体" w:cs="宋体"/>
                <w:spacing w:val="6"/>
                <w:kern w:val="48"/>
                <w:sz w:val="21"/>
                <w:szCs w:val="21"/>
              </w:rPr>
              <w:t>平果市国土空间规划报告编制、两个体系研究专题及数据库建设</w:t>
            </w:r>
            <w:r>
              <w:rPr>
                <w:rFonts w:hint="eastAsia" w:hAnsi="宋体" w:cs="宋体"/>
                <w:spacing w:val="6"/>
                <w:kern w:val="48"/>
                <w:sz w:val="21"/>
                <w:szCs w:val="21"/>
              </w:rPr>
              <w:fldChar w:fldCharType="end"/>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1.4</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项目编号</w:t>
            </w:r>
          </w:p>
        </w:tc>
        <w:tc>
          <w:tcPr>
            <w:tcW w:w="6605" w:type="dxa"/>
            <w:vAlign w:val="center"/>
          </w:tcPr>
          <w:p>
            <w:pPr>
              <w:pStyle w:val="14"/>
              <w:spacing w:line="380" w:lineRule="exact"/>
              <w:rPr>
                <w:rFonts w:hAnsi="宋体" w:cs="宋体"/>
                <w:sz w:val="21"/>
                <w:szCs w:val="21"/>
              </w:rPr>
            </w:pPr>
            <w:r>
              <w:rPr>
                <w:rFonts w:hint="eastAsia" w:hAnsi="宋体" w:cs="宋体"/>
                <w:bCs/>
                <w:sz w:val="21"/>
                <w:szCs w:val="21"/>
              </w:rPr>
              <w:t>BSZC2020-G3-230620-GXGN。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1.5</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采购预算</w:t>
            </w:r>
          </w:p>
        </w:tc>
        <w:tc>
          <w:tcPr>
            <w:tcW w:w="6605" w:type="dxa"/>
            <w:vAlign w:val="center"/>
          </w:tcPr>
          <w:p>
            <w:pPr>
              <w:pStyle w:val="14"/>
              <w:spacing w:line="380" w:lineRule="exact"/>
              <w:rPr>
                <w:rFonts w:hAnsi="宋体" w:cs="宋体"/>
                <w:spacing w:val="6"/>
                <w:kern w:val="48"/>
                <w:sz w:val="21"/>
                <w:szCs w:val="21"/>
              </w:rPr>
            </w:pPr>
            <w:r>
              <w:rPr>
                <w:rFonts w:hint="eastAsia" w:hAnsi="宋体" w:cs="宋体"/>
                <w:b/>
                <w:spacing w:val="6"/>
                <w:kern w:val="48"/>
                <w:sz w:val="21"/>
                <w:szCs w:val="21"/>
              </w:rPr>
              <w:t>总金额700</w:t>
            </w:r>
            <w:r>
              <w:rPr>
                <w:rFonts w:hint="eastAsia" w:hAnsi="宋体" w:cs="宋体"/>
                <w:b/>
                <w:sz w:val="21"/>
                <w:szCs w:val="21"/>
              </w:rPr>
              <w:t>万元。</w:t>
            </w:r>
            <w:r>
              <w:rPr>
                <w:rFonts w:hint="eastAsia" w:hAnsi="宋体" w:cs="宋体"/>
                <w:sz w:val="21"/>
                <w:szCs w:val="21"/>
              </w:rPr>
              <w:t>详见服务需求一览表。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97" w:type="dxa"/>
            <w:vAlign w:val="center"/>
          </w:tcPr>
          <w:p>
            <w:pPr>
              <w:pStyle w:val="14"/>
              <w:spacing w:line="380" w:lineRule="exact"/>
              <w:jc w:val="center"/>
              <w:rPr>
                <w:rFonts w:hAnsi="宋体" w:cs="宋体"/>
                <w:sz w:val="21"/>
                <w:szCs w:val="21"/>
                <w:highlight w:val="yellow"/>
              </w:rPr>
            </w:pPr>
            <w:r>
              <w:rPr>
                <w:rFonts w:hint="eastAsia" w:hAnsi="宋体" w:cs="宋体"/>
                <w:sz w:val="21"/>
                <w:szCs w:val="21"/>
              </w:rPr>
              <w:t>1.7</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获取招标文件方式</w:t>
            </w:r>
          </w:p>
        </w:tc>
        <w:tc>
          <w:tcPr>
            <w:tcW w:w="6605" w:type="dxa"/>
            <w:vAlign w:val="center"/>
          </w:tcPr>
          <w:p>
            <w:pPr>
              <w:pStyle w:val="14"/>
              <w:spacing w:line="380" w:lineRule="exact"/>
              <w:rPr>
                <w:rFonts w:hAnsi="宋体" w:cs="宋体"/>
                <w:sz w:val="21"/>
                <w:szCs w:val="21"/>
              </w:rPr>
            </w:pPr>
            <w:r>
              <w:rPr>
                <w:rFonts w:hint="eastAsia" w:hAnsi="宋体" w:cs="宋体"/>
                <w:sz w:val="21"/>
                <w:szCs w:val="21"/>
              </w:rPr>
              <w:t>招标文件获取方式为网上自行下载，详见招标公告。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97" w:type="dxa"/>
            <w:vAlign w:val="center"/>
          </w:tcPr>
          <w:p>
            <w:pPr>
              <w:pStyle w:val="14"/>
              <w:spacing w:line="380" w:lineRule="exact"/>
              <w:jc w:val="center"/>
              <w:rPr>
                <w:rFonts w:hAnsi="宋体" w:cs="宋体"/>
                <w:sz w:val="21"/>
                <w:szCs w:val="21"/>
                <w:highlight w:val="yellow"/>
              </w:rPr>
            </w:pPr>
            <w:r>
              <w:rPr>
                <w:rFonts w:hint="eastAsia" w:hAnsi="宋体" w:cs="宋体"/>
                <w:b/>
                <w:sz w:val="21"/>
                <w:szCs w:val="21"/>
              </w:rPr>
              <w:t>1.8</w:t>
            </w:r>
          </w:p>
        </w:tc>
        <w:tc>
          <w:tcPr>
            <w:tcW w:w="2084" w:type="dxa"/>
            <w:vAlign w:val="center"/>
          </w:tcPr>
          <w:p>
            <w:pPr>
              <w:pStyle w:val="14"/>
              <w:spacing w:line="380" w:lineRule="exact"/>
              <w:jc w:val="center"/>
              <w:rPr>
                <w:rFonts w:hAnsi="宋体" w:cs="宋体"/>
                <w:sz w:val="21"/>
                <w:szCs w:val="21"/>
              </w:rPr>
            </w:pPr>
            <w:r>
              <w:rPr>
                <w:rFonts w:hint="eastAsia" w:hAnsi="宋体" w:cs="宋体"/>
                <w:b/>
                <w:bCs/>
                <w:sz w:val="21"/>
                <w:szCs w:val="21"/>
              </w:rPr>
              <w:t>预留采购份额</w:t>
            </w:r>
          </w:p>
        </w:tc>
        <w:tc>
          <w:tcPr>
            <w:tcW w:w="6605" w:type="dxa"/>
            <w:vAlign w:val="center"/>
          </w:tcPr>
          <w:p>
            <w:pPr>
              <w:pStyle w:val="14"/>
              <w:spacing w:line="380" w:lineRule="exact"/>
              <w:ind w:left="599" w:hanging="599" w:hangingChars="284"/>
              <w:rPr>
                <w:rFonts w:hAnsi="宋体" w:cs="宋体"/>
                <w:sz w:val="21"/>
                <w:szCs w:val="21"/>
              </w:rPr>
            </w:pPr>
            <w:r>
              <w:rPr>
                <w:rFonts w:hint="eastAsia" w:hAnsi="宋体" w:cs="宋体"/>
                <w:b/>
                <w:bCs/>
                <w:sz w:val="21"/>
                <w:szCs w:val="21"/>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3</w:t>
            </w:r>
          </w:p>
        </w:tc>
        <w:tc>
          <w:tcPr>
            <w:tcW w:w="2084" w:type="dxa"/>
            <w:vAlign w:val="center"/>
          </w:tcPr>
          <w:p>
            <w:pPr>
              <w:pStyle w:val="14"/>
              <w:spacing w:line="380" w:lineRule="exact"/>
              <w:jc w:val="center"/>
              <w:rPr>
                <w:rFonts w:hAnsi="宋体" w:cs="宋体"/>
                <w:sz w:val="21"/>
                <w:szCs w:val="21"/>
              </w:rPr>
            </w:pPr>
            <w:r>
              <w:rPr>
                <w:rFonts w:hint="eastAsia" w:hAnsi="宋体" w:cs="宋体"/>
                <w:bCs/>
                <w:sz w:val="21"/>
                <w:szCs w:val="21"/>
              </w:rPr>
              <w:t>投标人应具备的特定条件</w:t>
            </w:r>
          </w:p>
        </w:tc>
        <w:tc>
          <w:tcPr>
            <w:tcW w:w="6605" w:type="dxa"/>
            <w:vAlign w:val="center"/>
          </w:tcPr>
          <w:p>
            <w:pPr>
              <w:spacing w:line="340" w:lineRule="exact"/>
              <w:ind w:firstLine="420" w:firstLineChars="200"/>
              <w:rPr>
                <w:rFonts w:ascii="宋体" w:hAnsi="宋体" w:cs="宋体"/>
                <w:bCs/>
                <w:sz w:val="21"/>
                <w:szCs w:val="21"/>
              </w:rPr>
            </w:pPr>
            <w:r>
              <w:rPr>
                <w:rFonts w:hint="eastAsia" w:ascii="宋体" w:hAnsi="宋体" w:cs="宋体"/>
                <w:bCs/>
                <w:sz w:val="21"/>
                <w:szCs w:val="21"/>
              </w:rPr>
              <w:t>1、投标人应具备《中华人民共和国政府采购法》第二十二条规定的条件:</w:t>
            </w:r>
          </w:p>
          <w:p>
            <w:pPr>
              <w:spacing w:line="340" w:lineRule="exact"/>
              <w:ind w:firstLine="420" w:firstLineChars="200"/>
              <w:rPr>
                <w:rFonts w:ascii="宋体" w:hAnsi="宋体" w:cs="宋体"/>
                <w:bCs/>
                <w:sz w:val="21"/>
                <w:szCs w:val="21"/>
              </w:rPr>
            </w:pPr>
            <w:r>
              <w:rPr>
                <w:rFonts w:hint="eastAsia" w:ascii="宋体" w:hAnsi="宋体" w:cs="宋体"/>
                <w:bCs/>
                <w:sz w:val="21"/>
                <w:szCs w:val="21"/>
              </w:rPr>
              <w:t>(1)具有独立承担民事责任的能力；（提供法人或其他组织的营业执照或三证合一等证明文件）。</w:t>
            </w:r>
          </w:p>
          <w:p>
            <w:pPr>
              <w:spacing w:line="340" w:lineRule="exact"/>
              <w:ind w:firstLine="420" w:firstLineChars="200"/>
              <w:rPr>
                <w:rFonts w:ascii="宋体" w:hAnsi="宋体" w:cs="宋体"/>
                <w:bCs/>
                <w:sz w:val="21"/>
                <w:szCs w:val="21"/>
              </w:rPr>
            </w:pPr>
            <w:r>
              <w:rPr>
                <w:rFonts w:hint="eastAsia" w:ascii="宋体" w:hAnsi="宋体" w:cs="宋体"/>
                <w:bCs/>
                <w:sz w:val="21"/>
                <w:szCs w:val="21"/>
              </w:rPr>
              <w:t>(2)具有良好的商业信誉和健全的财务会计制度；(提供2019年度财务会计报告或报表。若投标人新注册的,则提供成立至今的月或季度财务状况报表）。</w:t>
            </w:r>
          </w:p>
          <w:p>
            <w:pPr>
              <w:spacing w:line="340" w:lineRule="exact"/>
              <w:ind w:firstLine="420" w:firstLineChars="200"/>
              <w:rPr>
                <w:rFonts w:ascii="宋体" w:hAnsi="宋体" w:cs="宋体"/>
                <w:bCs/>
                <w:sz w:val="21"/>
                <w:szCs w:val="21"/>
              </w:rPr>
            </w:pPr>
            <w:r>
              <w:rPr>
                <w:rFonts w:hint="eastAsia" w:ascii="宋体" w:hAnsi="宋体" w:cs="宋体"/>
                <w:bCs/>
                <w:sz w:val="21"/>
                <w:szCs w:val="21"/>
              </w:rPr>
              <w:t>(3)具有履行合同所必需的设备和专业技术能力;（提供承诺函）。</w:t>
            </w:r>
          </w:p>
          <w:p>
            <w:pPr>
              <w:spacing w:line="340" w:lineRule="exact"/>
              <w:ind w:firstLine="420" w:firstLineChars="200"/>
              <w:rPr>
                <w:rFonts w:ascii="宋体" w:hAnsi="宋体" w:cs="宋体"/>
                <w:bCs/>
                <w:sz w:val="21"/>
                <w:szCs w:val="21"/>
              </w:rPr>
            </w:pPr>
            <w:r>
              <w:rPr>
                <w:rFonts w:hint="eastAsia" w:ascii="宋体" w:hAnsi="宋体" w:cs="宋体"/>
                <w:bCs/>
                <w:sz w:val="21"/>
                <w:szCs w:val="21"/>
              </w:rPr>
              <w:t>(4)有依法缴纳税收和社会保障资金的良好记录；（提供2020年以来连续3个月依法缴纳税收和社会保障资金的相关材料，如依法免税或不需要缴纳社会保障资金的，应提供相应文件证明）</w:t>
            </w:r>
          </w:p>
          <w:p>
            <w:pPr>
              <w:spacing w:line="340" w:lineRule="exact"/>
              <w:ind w:firstLine="420" w:firstLineChars="200"/>
              <w:rPr>
                <w:rFonts w:ascii="宋体" w:hAnsi="宋体" w:cs="宋体"/>
                <w:bCs/>
                <w:sz w:val="21"/>
                <w:szCs w:val="21"/>
              </w:rPr>
            </w:pPr>
            <w:r>
              <w:rPr>
                <w:rFonts w:hint="eastAsia" w:ascii="宋体" w:hAnsi="宋体" w:cs="宋体"/>
                <w:bCs/>
                <w:sz w:val="21"/>
                <w:szCs w:val="21"/>
              </w:rPr>
              <w:t>(5)提供参加政府采购活动前3年内在经营活动中没有重大违法记录的书面声明;（提供声明函）。</w:t>
            </w:r>
          </w:p>
          <w:p>
            <w:pPr>
              <w:spacing w:line="340" w:lineRule="exact"/>
              <w:ind w:firstLine="420" w:firstLineChars="200"/>
              <w:rPr>
                <w:rFonts w:ascii="宋体" w:hAnsi="宋体" w:cs="宋体"/>
                <w:bCs/>
                <w:sz w:val="21"/>
                <w:szCs w:val="21"/>
              </w:rPr>
            </w:pPr>
            <w:r>
              <w:rPr>
                <w:rFonts w:hint="eastAsia" w:ascii="宋体" w:hAnsi="宋体" w:cs="宋体"/>
                <w:bCs/>
                <w:sz w:val="21"/>
                <w:szCs w:val="21"/>
              </w:rPr>
              <w:t>2、投标人必须是在中华人民共和国境内注册并合法运作的法人机构，并取得合法企业工商营业执照或事业单位法人证书。</w:t>
            </w:r>
          </w:p>
          <w:p>
            <w:pPr>
              <w:spacing w:line="340" w:lineRule="exact"/>
              <w:ind w:firstLine="420" w:firstLineChars="200"/>
              <w:rPr>
                <w:rFonts w:ascii="宋体" w:hAnsi="宋体" w:cs="宋体"/>
                <w:bCs/>
                <w:sz w:val="21"/>
                <w:szCs w:val="21"/>
              </w:rPr>
            </w:pPr>
            <w:r>
              <w:rPr>
                <w:rFonts w:ascii="宋体" w:hAnsi="宋体" w:cs="宋体"/>
                <w:bCs/>
                <w:sz w:val="21"/>
                <w:szCs w:val="21"/>
              </w:rPr>
              <w:t>3</w:t>
            </w:r>
            <w:r>
              <w:rPr>
                <w:rFonts w:hint="eastAsia" w:ascii="宋体" w:hAnsi="宋体" w:cs="宋体"/>
                <w:bCs/>
                <w:sz w:val="21"/>
                <w:szCs w:val="21"/>
              </w:rPr>
              <w:t>、在“信用中国”网站(www.creditchina. gov.cn)、中国政府采购网（www.ccgp.gov.cn）没有被列入失信被执行人、重大税收违法案件当事人名单、政府采购严重违法失信行为记录名单及其他不符合规定条件的投标人。（请提供两个网站的信用记录查询结果页面打印件）</w:t>
            </w:r>
          </w:p>
          <w:p>
            <w:pPr>
              <w:ind w:firstLine="420" w:firstLineChars="200"/>
              <w:rPr>
                <w:rFonts w:ascii="宋体" w:hAnsi="宋体" w:cs="宋体"/>
                <w:bCs/>
                <w:sz w:val="21"/>
                <w:szCs w:val="21"/>
              </w:rPr>
            </w:pPr>
            <w:r>
              <w:rPr>
                <w:rFonts w:ascii="宋体" w:hAnsi="宋体" w:cs="宋体"/>
                <w:bCs/>
                <w:sz w:val="21"/>
                <w:szCs w:val="21"/>
              </w:rPr>
              <w:t>4</w:t>
            </w:r>
            <w:r>
              <w:rPr>
                <w:rFonts w:hint="eastAsia" w:ascii="宋体" w:hAnsi="宋体" w:cs="宋体"/>
                <w:bCs/>
                <w:sz w:val="21"/>
                <w:szCs w:val="21"/>
              </w:rPr>
              <w:t>、投标人具有中华人民共和国住房和城乡建设部颁发的城乡规划乙级或土地规划乙级及以上的编制资质。（若是联合体投标，联合体各方必须满足资质要求）</w:t>
            </w:r>
          </w:p>
          <w:p>
            <w:pPr>
              <w:spacing w:line="340" w:lineRule="exact"/>
              <w:ind w:firstLine="420" w:firstLineChars="200"/>
              <w:rPr>
                <w:rFonts w:ascii="宋体" w:hAnsi="宋体" w:cs="宋体"/>
                <w:bCs/>
                <w:sz w:val="21"/>
                <w:szCs w:val="21"/>
              </w:rPr>
            </w:pPr>
            <w:r>
              <w:rPr>
                <w:rFonts w:hint="eastAsia" w:ascii="宋体" w:hAnsi="宋体" w:cs="宋体"/>
                <w:bCs/>
                <w:sz w:val="21"/>
                <w:szCs w:val="21"/>
              </w:rPr>
              <w:t>5、拟派本项目负责人必须具有注册城市（乡）规划师及城市规划高级工程师或以上（含高级）职称。</w:t>
            </w:r>
          </w:p>
          <w:p>
            <w:pPr>
              <w:spacing w:line="340" w:lineRule="exact"/>
              <w:ind w:firstLine="420" w:firstLineChars="200"/>
              <w:rPr>
                <w:rFonts w:ascii="宋体" w:hAnsi="宋体" w:cs="宋体"/>
                <w:bCs/>
                <w:sz w:val="21"/>
                <w:szCs w:val="21"/>
              </w:rPr>
            </w:pPr>
            <w:r>
              <w:rPr>
                <w:rFonts w:hint="eastAsia" w:ascii="宋体" w:hAnsi="宋体" w:cs="宋体"/>
                <w:bCs/>
                <w:sz w:val="21"/>
                <w:szCs w:val="21"/>
              </w:rPr>
              <w:t>6、本项目接受联合体投标。(以联合体方式投标的投标人，须提交共同签署的《联合投标协议书》和《投标联合体授权主体方协议书》，且应明确项目主体单位；以联合体形式投标，投标文件的封面与联合体共同协议书须盖所有单位的公章，其余位置盖章允许仅加盖联合体主体方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3.6</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是否接受联合体投标</w:t>
            </w:r>
          </w:p>
        </w:tc>
        <w:tc>
          <w:tcPr>
            <w:tcW w:w="6605" w:type="dxa"/>
            <w:vAlign w:val="center"/>
          </w:tcPr>
          <w:p>
            <w:pPr>
              <w:pStyle w:val="14"/>
              <w:spacing w:line="380" w:lineRule="exact"/>
              <w:rPr>
                <w:rFonts w:hAnsi="宋体" w:cs="宋体"/>
                <w:sz w:val="21"/>
                <w:szCs w:val="21"/>
              </w:rPr>
            </w:pPr>
            <w:r>
              <w:rPr>
                <w:rFonts w:hint="eastAsia" w:hAnsi="宋体" w:cs="宋体"/>
                <w:bCs/>
                <w:sz w:val="21"/>
                <w:szCs w:val="21"/>
              </w:rPr>
              <w:t>本项目接受联合体投标。(以联合体方式投标的投标人，须提交共同签署的《联合投标协议书》和《投标联合体授权主体方协议书》，且应明确项目主体单位；以联合体形式投标，投标文件的封面与联合体共同协议书须盖所有单位的公章，其余位置盖章允许仅加盖联合体主体方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7" w:type="dxa"/>
            <w:vMerge w:val="restart"/>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4.1</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招标文件质疑提交</w:t>
            </w:r>
            <w:r>
              <w:rPr>
                <w:rFonts w:hint="eastAsia" w:hAnsi="宋体" w:cs="宋体"/>
                <w:kern w:val="0"/>
                <w:sz w:val="21"/>
                <w:szCs w:val="21"/>
              </w:rPr>
              <w:t>的截止时间</w:t>
            </w:r>
          </w:p>
        </w:tc>
        <w:tc>
          <w:tcPr>
            <w:tcW w:w="6605" w:type="dxa"/>
            <w:vAlign w:val="center"/>
          </w:tcPr>
          <w:p>
            <w:pPr>
              <w:pStyle w:val="14"/>
              <w:spacing w:line="380" w:lineRule="exact"/>
              <w:rPr>
                <w:rFonts w:hAnsi="宋体" w:cs="宋体"/>
                <w:sz w:val="21"/>
                <w:szCs w:val="21"/>
              </w:rPr>
            </w:pPr>
            <w:r>
              <w:rPr>
                <w:rFonts w:hint="eastAsia" w:hAnsi="宋体" w:cs="宋体"/>
                <w:sz w:val="21"/>
                <w:szCs w:val="21"/>
              </w:rPr>
              <w:t>采购文件公告期限届满之日起7个工作日内。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7" w:type="dxa"/>
            <w:vMerge w:val="continue"/>
            <w:vAlign w:val="center"/>
          </w:tcPr>
          <w:p>
            <w:pPr>
              <w:pStyle w:val="14"/>
              <w:adjustRightInd w:val="0"/>
              <w:spacing w:line="380" w:lineRule="exact"/>
              <w:jc w:val="center"/>
              <w:rPr>
                <w:rFonts w:hAnsi="宋体" w:cs="宋体"/>
                <w:sz w:val="21"/>
                <w:szCs w:val="21"/>
                <w:highlight w:val="yellow"/>
              </w:rPr>
            </w:pP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质疑提交地点、电话</w:t>
            </w:r>
          </w:p>
        </w:tc>
        <w:tc>
          <w:tcPr>
            <w:tcW w:w="6605" w:type="dxa"/>
            <w:vAlign w:val="center"/>
          </w:tcPr>
          <w:p>
            <w:pPr>
              <w:spacing w:line="380" w:lineRule="exact"/>
              <w:rPr>
                <w:rFonts w:ascii="宋体" w:hAnsi="宋体" w:cs="宋体"/>
                <w:sz w:val="21"/>
                <w:szCs w:val="21"/>
              </w:rPr>
            </w:pPr>
            <w:r>
              <w:rPr>
                <w:rFonts w:hint="eastAsia" w:ascii="宋体" w:hAnsi="宋体" w:cs="宋体"/>
                <w:sz w:val="21"/>
                <w:szCs w:val="21"/>
              </w:rPr>
              <w:t>1.接收质疑函的方式：以书面形式（原件）提交。</w:t>
            </w:r>
          </w:p>
          <w:p>
            <w:pPr>
              <w:spacing w:line="380" w:lineRule="exact"/>
              <w:rPr>
                <w:rFonts w:ascii="宋体" w:hAnsi="宋体" w:cs="宋体"/>
                <w:sz w:val="21"/>
                <w:szCs w:val="21"/>
              </w:rPr>
            </w:pPr>
            <w:r>
              <w:rPr>
                <w:rFonts w:hint="eastAsia" w:ascii="宋体" w:hAnsi="宋体" w:cs="宋体"/>
                <w:sz w:val="21"/>
                <w:szCs w:val="21"/>
              </w:rPr>
              <w:t>2.对资格审查的质疑，由采购人负责受理和答复。（地址：平果市铝城大道1067号，质疑咨询电话：0776-5836092）</w:t>
            </w:r>
          </w:p>
          <w:p>
            <w:pPr>
              <w:pStyle w:val="14"/>
              <w:spacing w:line="320" w:lineRule="exact"/>
              <w:ind w:right="420"/>
              <w:jc w:val="right"/>
              <w:rPr>
                <w:rFonts w:hAnsi="宋体" w:cs="宋体"/>
                <w:sz w:val="21"/>
                <w:szCs w:val="21"/>
              </w:rPr>
            </w:pPr>
            <w:r>
              <w:rPr>
                <w:rFonts w:hint="eastAsia" w:hAnsi="宋体" w:cs="宋体"/>
                <w:sz w:val="21"/>
                <w:szCs w:val="21"/>
              </w:rPr>
              <w:t>3.对资格审查以外的质疑，由</w:t>
            </w:r>
            <w:r>
              <w:rPr>
                <w:rFonts w:hint="eastAsia" w:hAnsi="宋体" w:cs="宋体"/>
                <w:spacing w:val="6"/>
                <w:kern w:val="48"/>
                <w:sz w:val="21"/>
                <w:szCs w:val="21"/>
              </w:rPr>
              <w:t>广西冠宁工程咨询有限公司</w:t>
            </w:r>
          </w:p>
          <w:p>
            <w:pPr>
              <w:pStyle w:val="14"/>
              <w:spacing w:line="380" w:lineRule="exact"/>
              <w:rPr>
                <w:rFonts w:ascii="宋体" w:hAnsi="宋体" w:cs="宋体"/>
                <w:sz w:val="21"/>
                <w:szCs w:val="21"/>
              </w:rPr>
            </w:pPr>
            <w:r>
              <w:rPr>
                <w:rFonts w:hint="eastAsia" w:ascii="宋体" w:hAnsi="宋体" w:cs="宋体"/>
                <w:sz w:val="21"/>
                <w:szCs w:val="21"/>
              </w:rPr>
              <w:t>（</w:t>
            </w:r>
            <w:r>
              <w:rPr>
                <w:rFonts w:hint="eastAsia"/>
                <w:color w:val="000000"/>
                <w:sz w:val="21"/>
                <w:szCs w:val="21"/>
              </w:rPr>
              <w:t>广西百色市右江区莲塘路5号那毕供销合作社商务写字楼10层1008室</w:t>
            </w:r>
            <w:r>
              <w:rPr>
                <w:rFonts w:hint="eastAsia" w:ascii="宋体" w:hAnsi="宋体" w:cs="宋体"/>
                <w:sz w:val="21"/>
                <w:szCs w:val="21"/>
              </w:rPr>
              <w:t>），质疑咨询电话：19977190089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7.1</w:t>
            </w:r>
          </w:p>
        </w:tc>
        <w:tc>
          <w:tcPr>
            <w:tcW w:w="2084" w:type="dxa"/>
            <w:vAlign w:val="center"/>
          </w:tcPr>
          <w:p>
            <w:pPr>
              <w:pStyle w:val="14"/>
              <w:spacing w:line="380" w:lineRule="exact"/>
              <w:jc w:val="center"/>
              <w:rPr>
                <w:rFonts w:hAnsi="宋体" w:cs="宋体"/>
                <w:sz w:val="21"/>
                <w:szCs w:val="21"/>
              </w:rPr>
            </w:pPr>
            <w:r>
              <w:rPr>
                <w:rFonts w:hint="eastAsia" w:hAnsi="宋体" w:cs="宋体"/>
                <w:kern w:val="0"/>
                <w:sz w:val="21"/>
                <w:szCs w:val="21"/>
              </w:rPr>
              <w:t>投标人要求澄清的截止时间</w:t>
            </w:r>
          </w:p>
        </w:tc>
        <w:tc>
          <w:tcPr>
            <w:tcW w:w="6605" w:type="dxa"/>
            <w:vAlign w:val="center"/>
          </w:tcPr>
          <w:p>
            <w:pPr>
              <w:pStyle w:val="14"/>
              <w:spacing w:line="380" w:lineRule="exact"/>
              <w:rPr>
                <w:rFonts w:hAnsi="宋体" w:cs="宋体"/>
                <w:sz w:val="21"/>
                <w:szCs w:val="21"/>
              </w:rPr>
            </w:pPr>
            <w:r>
              <w:rPr>
                <w:rFonts w:hint="eastAsia" w:hAnsi="宋体" w:cs="宋体"/>
                <w:sz w:val="21"/>
                <w:szCs w:val="21"/>
              </w:rPr>
              <w:t>采购文件公告期限届满之日起7个工作日内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8.8</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投标文件份数</w:t>
            </w:r>
          </w:p>
        </w:tc>
        <w:tc>
          <w:tcPr>
            <w:tcW w:w="6605" w:type="dxa"/>
            <w:vAlign w:val="center"/>
          </w:tcPr>
          <w:p>
            <w:pPr>
              <w:pStyle w:val="14"/>
              <w:spacing w:line="380" w:lineRule="exact"/>
              <w:rPr>
                <w:rFonts w:hAnsi="宋体" w:cs="宋体"/>
                <w:sz w:val="21"/>
                <w:szCs w:val="21"/>
              </w:rPr>
            </w:pPr>
            <w:r>
              <w:rPr>
                <w:rFonts w:hint="eastAsia" w:hAnsi="宋体" w:cs="宋体"/>
                <w:sz w:val="21"/>
                <w:szCs w:val="21"/>
              </w:rPr>
              <w:t>投标文件正副本各统一装订成一本，其中正本1份，副本4份。</w:t>
            </w:r>
          </w:p>
          <w:p>
            <w:pPr>
              <w:pStyle w:val="14"/>
              <w:spacing w:line="380" w:lineRule="exact"/>
              <w:rPr>
                <w:rFonts w:hAnsi="宋体" w:cs="宋体"/>
                <w:sz w:val="21"/>
                <w:szCs w:val="21"/>
              </w:rPr>
            </w:pPr>
            <w:r>
              <w:rPr>
                <w:rFonts w:hint="eastAsia" w:hAnsi="宋体" w:cs="宋体"/>
                <w:sz w:val="21"/>
                <w:szCs w:val="21"/>
              </w:rPr>
              <w:t>每本文件包括4部分：</w:t>
            </w:r>
          </w:p>
          <w:p>
            <w:pPr>
              <w:pStyle w:val="14"/>
              <w:spacing w:line="380" w:lineRule="exact"/>
              <w:rPr>
                <w:rFonts w:hAnsi="宋体" w:cs="宋体"/>
                <w:sz w:val="21"/>
                <w:szCs w:val="21"/>
              </w:rPr>
            </w:pPr>
            <w:r>
              <w:rPr>
                <w:rFonts w:hint="eastAsia" w:hAnsi="宋体" w:cs="宋体"/>
                <w:sz w:val="21"/>
                <w:szCs w:val="21"/>
              </w:rPr>
              <w:t>（1）报价文件</w:t>
            </w:r>
          </w:p>
          <w:p>
            <w:pPr>
              <w:pStyle w:val="14"/>
              <w:spacing w:line="380" w:lineRule="exact"/>
              <w:rPr>
                <w:rFonts w:hAnsi="宋体" w:cs="宋体"/>
                <w:sz w:val="21"/>
                <w:szCs w:val="21"/>
              </w:rPr>
            </w:pPr>
            <w:r>
              <w:rPr>
                <w:rFonts w:hint="eastAsia" w:hAnsi="宋体" w:cs="宋体"/>
                <w:sz w:val="21"/>
                <w:szCs w:val="21"/>
              </w:rPr>
              <w:t>（2）资格文件</w:t>
            </w:r>
          </w:p>
          <w:p>
            <w:pPr>
              <w:pStyle w:val="14"/>
              <w:spacing w:line="380" w:lineRule="exact"/>
              <w:rPr>
                <w:rFonts w:hAnsi="宋体" w:cs="宋体"/>
                <w:sz w:val="21"/>
                <w:szCs w:val="21"/>
              </w:rPr>
            </w:pPr>
            <w:r>
              <w:rPr>
                <w:rFonts w:hint="eastAsia" w:hAnsi="宋体" w:cs="宋体"/>
                <w:sz w:val="21"/>
                <w:szCs w:val="21"/>
              </w:rPr>
              <w:t>（3）技术文件</w:t>
            </w:r>
          </w:p>
          <w:p>
            <w:pPr>
              <w:pStyle w:val="14"/>
              <w:spacing w:line="380" w:lineRule="exact"/>
              <w:rPr>
                <w:rFonts w:hAnsi="宋体" w:cs="宋体"/>
                <w:sz w:val="21"/>
                <w:szCs w:val="21"/>
              </w:rPr>
            </w:pPr>
            <w:r>
              <w:rPr>
                <w:rFonts w:hint="eastAsia" w:hAnsi="宋体" w:cs="宋体"/>
                <w:sz w:val="21"/>
                <w:szCs w:val="21"/>
              </w:rPr>
              <w:t>（4）商务文件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11.4</w:t>
            </w:r>
          </w:p>
        </w:tc>
        <w:tc>
          <w:tcPr>
            <w:tcW w:w="2084" w:type="dxa"/>
            <w:vAlign w:val="center"/>
          </w:tcPr>
          <w:p>
            <w:pPr>
              <w:autoSpaceDE w:val="0"/>
              <w:autoSpaceDN w:val="0"/>
              <w:adjustRightInd w:val="0"/>
              <w:spacing w:line="380" w:lineRule="exact"/>
              <w:jc w:val="center"/>
              <w:rPr>
                <w:rFonts w:ascii="宋体" w:hAnsi="宋体" w:cs="宋体"/>
                <w:kern w:val="0"/>
                <w:sz w:val="21"/>
                <w:szCs w:val="21"/>
              </w:rPr>
            </w:pPr>
            <w:r>
              <w:rPr>
                <w:rFonts w:hint="eastAsia" w:ascii="宋体" w:hAnsi="宋体" w:cs="宋体"/>
                <w:kern w:val="0"/>
                <w:sz w:val="21"/>
                <w:szCs w:val="21"/>
              </w:rPr>
              <w:t>采购代理服务费</w:t>
            </w:r>
          </w:p>
        </w:tc>
        <w:tc>
          <w:tcPr>
            <w:tcW w:w="6605" w:type="dxa"/>
            <w:vAlign w:val="center"/>
          </w:tcPr>
          <w:p>
            <w:pPr>
              <w:pStyle w:val="14"/>
              <w:spacing w:line="38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委托代理服务费根据国家发展改革委员会文件《关于进一步放开建设项目专业服务价格的通知》(发改价格〔2015〕299号)文件精神，本项目的代理费用实行市场调节价。代理费用为陆万元整（¥60000），代理费用由中标供应商向广西冠宁工程咨询有限公司一次性付清。</w:t>
            </w:r>
          </w:p>
          <w:p>
            <w:pPr>
              <w:pStyle w:val="14"/>
              <w:spacing w:line="380" w:lineRule="exact"/>
              <w:rPr>
                <w:rFonts w:hAnsi="宋体" w:cs="宋体"/>
                <w:b/>
                <w:bCs/>
                <w:sz w:val="21"/>
                <w:szCs w:val="21"/>
              </w:rPr>
            </w:pPr>
            <w:r>
              <w:rPr>
                <w:rFonts w:hint="eastAsia" w:hAnsi="宋体" w:cs="宋体"/>
                <w:b/>
                <w:bCs/>
                <w:sz w:val="21"/>
                <w:szCs w:val="21"/>
              </w:rPr>
              <w:t>开户名称：广西冠宁工程咨询有限公司百色分公司</w:t>
            </w:r>
          </w:p>
          <w:p>
            <w:pPr>
              <w:pStyle w:val="14"/>
              <w:spacing w:line="380" w:lineRule="exact"/>
              <w:rPr>
                <w:rFonts w:hAnsi="宋体" w:cs="宋体"/>
                <w:b/>
                <w:bCs/>
                <w:sz w:val="21"/>
                <w:szCs w:val="21"/>
              </w:rPr>
            </w:pPr>
            <w:r>
              <w:rPr>
                <w:rFonts w:hint="eastAsia" w:hAnsi="宋体" w:cs="宋体"/>
                <w:b/>
                <w:bCs/>
                <w:sz w:val="21"/>
                <w:szCs w:val="21"/>
              </w:rPr>
              <w:t>开户银行：广西北部湾银行百色分行</w:t>
            </w:r>
          </w:p>
          <w:p>
            <w:pPr>
              <w:pStyle w:val="14"/>
              <w:spacing w:line="380" w:lineRule="exact"/>
              <w:rPr>
                <w:rFonts w:hAnsi="宋体" w:cs="宋体"/>
                <w:sz w:val="21"/>
                <w:szCs w:val="21"/>
              </w:rPr>
            </w:pPr>
            <w:r>
              <w:rPr>
                <w:rFonts w:hint="eastAsia" w:hAnsi="宋体" w:cs="宋体"/>
                <w:b/>
                <w:bCs/>
                <w:sz w:val="21"/>
                <w:szCs w:val="21"/>
              </w:rPr>
              <w:t>帐    号：8050 0599 3600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12.1</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投标有效期</w:t>
            </w:r>
          </w:p>
        </w:tc>
        <w:tc>
          <w:tcPr>
            <w:tcW w:w="6605" w:type="dxa"/>
            <w:vAlign w:val="center"/>
          </w:tcPr>
          <w:p>
            <w:pPr>
              <w:pStyle w:val="14"/>
              <w:spacing w:line="380" w:lineRule="exact"/>
              <w:rPr>
                <w:rFonts w:hAnsi="宋体" w:cs="宋体"/>
                <w:sz w:val="21"/>
                <w:szCs w:val="21"/>
              </w:rPr>
            </w:pPr>
            <w:r>
              <w:rPr>
                <w:rFonts w:hint="eastAsia" w:hAnsi="宋体" w:cs="宋体"/>
                <w:sz w:val="21"/>
                <w:szCs w:val="21"/>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13.1</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投标保证金</w:t>
            </w:r>
          </w:p>
        </w:tc>
        <w:tc>
          <w:tcPr>
            <w:tcW w:w="6605" w:type="dxa"/>
            <w:vAlign w:val="center"/>
          </w:tcPr>
          <w:p>
            <w:pPr>
              <w:pStyle w:val="14"/>
              <w:spacing w:line="380" w:lineRule="exact"/>
              <w:rPr>
                <w:rFonts w:hint="eastAsia" w:hAnsi="宋体" w:cs="宋体"/>
                <w:sz w:val="21"/>
                <w:szCs w:val="21"/>
              </w:rPr>
            </w:pPr>
            <w:r>
              <w:rPr>
                <w:rFonts w:hint="eastAsia" w:hAnsi="宋体" w:cs="宋体"/>
                <w:sz w:val="21"/>
                <w:szCs w:val="21"/>
                <w:lang w:val="en-US" w:eastAsia="zh-CN"/>
              </w:rPr>
              <w:t>人民币柒万</w:t>
            </w:r>
            <w:r>
              <w:rPr>
                <w:rFonts w:hint="eastAsia" w:hAnsi="宋体" w:cs="宋体"/>
                <w:sz w:val="21"/>
                <w:szCs w:val="21"/>
              </w:rPr>
              <w:t>元整（￥</w:t>
            </w:r>
            <w:r>
              <w:rPr>
                <w:rFonts w:hint="eastAsia" w:hAnsi="宋体" w:cs="宋体"/>
                <w:sz w:val="21"/>
                <w:szCs w:val="21"/>
                <w:lang w:val="en-US" w:eastAsia="zh-CN"/>
              </w:rPr>
              <w:t>7</w:t>
            </w:r>
            <w:r>
              <w:rPr>
                <w:rFonts w:hint="eastAsia" w:hAnsi="宋体" w:cs="宋体"/>
                <w:sz w:val="21"/>
                <w:szCs w:val="21"/>
              </w:rPr>
              <w:t>00</w:t>
            </w:r>
            <w:r>
              <w:rPr>
                <w:rFonts w:hint="eastAsia" w:hAnsi="宋体" w:cs="宋体"/>
                <w:sz w:val="21"/>
                <w:szCs w:val="21"/>
                <w:lang w:val="en-US" w:eastAsia="zh-CN"/>
              </w:rPr>
              <w:t>0</w:t>
            </w:r>
            <w:r>
              <w:rPr>
                <w:rFonts w:hint="eastAsia" w:hAnsi="宋体" w:cs="宋体"/>
                <w:sz w:val="21"/>
                <w:szCs w:val="21"/>
              </w:rPr>
              <w:t>0.00）。</w:t>
            </w:r>
          </w:p>
          <w:p>
            <w:pPr>
              <w:pStyle w:val="14"/>
              <w:spacing w:line="400" w:lineRule="exact"/>
              <w:rPr>
                <w:rFonts w:hint="eastAsia"/>
                <w:lang w:val="en-US" w:eastAsia="zh-CN"/>
              </w:rPr>
            </w:pPr>
            <w:r>
              <w:rPr>
                <w:rFonts w:hint="eastAsia"/>
                <w:lang w:val="en-US" w:eastAsia="zh-CN"/>
              </w:rPr>
              <w:t>账户名称：百色市公共资源交易中心</w:t>
            </w:r>
          </w:p>
          <w:p>
            <w:pPr>
              <w:pStyle w:val="14"/>
              <w:spacing w:line="400" w:lineRule="exact"/>
              <w:rPr>
                <w:rFonts w:hint="eastAsia"/>
                <w:lang w:val="en-US" w:eastAsia="zh-CN"/>
              </w:rPr>
            </w:pPr>
            <w:r>
              <w:rPr>
                <w:rFonts w:hint="eastAsia"/>
                <w:lang w:val="en-US" w:eastAsia="zh-CN"/>
              </w:rPr>
              <w:t>开户银行：广西北部湾银行股份有限公司百色分行</w:t>
            </w:r>
          </w:p>
          <w:p>
            <w:pPr>
              <w:pStyle w:val="14"/>
              <w:spacing w:line="380" w:lineRule="exact"/>
              <w:rPr>
                <w:rFonts w:hint="eastAsia" w:hAnsi="宋体" w:cs="宋体"/>
                <w:sz w:val="21"/>
                <w:szCs w:val="21"/>
              </w:rPr>
            </w:pPr>
            <w:r>
              <w:rPr>
                <w:rFonts w:hint="eastAsia"/>
                <w:lang w:val="en-US" w:eastAsia="zh-CN"/>
              </w:rPr>
              <w:t xml:space="preserve">银行账号：8000 8955 5255 5529 2826 </w:t>
            </w:r>
            <w:bookmarkStart w:id="218" w:name="_GoBack"/>
            <w:bookmarkEnd w:id="218"/>
            <w:r>
              <w:rPr>
                <w:rFonts w:hint="eastAsia"/>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14.2</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投标截止时间（开标时间）</w:t>
            </w:r>
          </w:p>
        </w:tc>
        <w:tc>
          <w:tcPr>
            <w:tcW w:w="6605" w:type="dxa"/>
            <w:vAlign w:val="center"/>
          </w:tcPr>
          <w:p>
            <w:pPr>
              <w:pStyle w:val="14"/>
              <w:spacing w:line="380" w:lineRule="exact"/>
              <w:rPr>
                <w:rFonts w:hAnsi="宋体" w:cs="宋体"/>
                <w:sz w:val="21"/>
                <w:szCs w:val="21"/>
              </w:rPr>
            </w:pPr>
            <w:r>
              <w:rPr>
                <w:rFonts w:hint="eastAsia" w:hAnsi="宋体" w:cs="宋体"/>
                <w:sz w:val="21"/>
                <w:szCs w:val="21"/>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14.4</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递交投标文件地点</w:t>
            </w:r>
          </w:p>
        </w:tc>
        <w:tc>
          <w:tcPr>
            <w:tcW w:w="6605" w:type="dxa"/>
            <w:vAlign w:val="center"/>
          </w:tcPr>
          <w:p>
            <w:pPr>
              <w:pStyle w:val="14"/>
              <w:spacing w:line="380" w:lineRule="exact"/>
              <w:rPr>
                <w:rFonts w:hAnsi="宋体" w:cs="宋体"/>
                <w:sz w:val="21"/>
                <w:szCs w:val="21"/>
              </w:rPr>
            </w:pPr>
            <w:r>
              <w:rPr>
                <w:rFonts w:hint="eastAsia" w:hAnsi="宋体" w:cs="宋体"/>
                <w:bCs/>
                <w:sz w:val="21"/>
                <w:szCs w:val="21"/>
              </w:rPr>
              <w:t>百色市公共资源交易中心开标厅（百色市园博园主展馆新政务中心三楼）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15.1</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开标地点</w:t>
            </w:r>
          </w:p>
        </w:tc>
        <w:tc>
          <w:tcPr>
            <w:tcW w:w="6605" w:type="dxa"/>
            <w:vAlign w:val="center"/>
          </w:tcPr>
          <w:p>
            <w:pPr>
              <w:pStyle w:val="14"/>
              <w:spacing w:line="380" w:lineRule="exact"/>
              <w:rPr>
                <w:rFonts w:hAnsi="宋体" w:cs="宋体"/>
                <w:sz w:val="21"/>
                <w:szCs w:val="21"/>
              </w:rPr>
            </w:pPr>
            <w:r>
              <w:rPr>
                <w:rFonts w:hint="eastAsia" w:hAnsi="宋体" w:cs="宋体"/>
                <w:sz w:val="21"/>
                <w:szCs w:val="21"/>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17.3</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评标方法</w:t>
            </w:r>
          </w:p>
        </w:tc>
        <w:tc>
          <w:tcPr>
            <w:tcW w:w="6605" w:type="dxa"/>
            <w:vAlign w:val="center"/>
          </w:tcPr>
          <w:p>
            <w:pPr>
              <w:pStyle w:val="14"/>
              <w:spacing w:line="380" w:lineRule="exact"/>
              <w:rPr>
                <w:rFonts w:hAnsi="宋体" w:cs="宋体"/>
                <w:sz w:val="21"/>
                <w:szCs w:val="21"/>
              </w:rPr>
            </w:pPr>
            <w:r>
              <w:rPr>
                <w:rFonts w:hint="eastAsia" w:hAnsi="宋体" w:cs="宋体"/>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23.1</w:t>
            </w:r>
          </w:p>
        </w:tc>
        <w:tc>
          <w:tcPr>
            <w:tcW w:w="2084" w:type="dxa"/>
            <w:vAlign w:val="center"/>
          </w:tcPr>
          <w:p>
            <w:pPr>
              <w:pStyle w:val="14"/>
              <w:spacing w:line="380" w:lineRule="exact"/>
              <w:jc w:val="center"/>
              <w:rPr>
                <w:rFonts w:hAnsi="宋体" w:cs="宋体"/>
                <w:sz w:val="21"/>
                <w:szCs w:val="21"/>
              </w:rPr>
            </w:pPr>
            <w:r>
              <w:rPr>
                <w:rFonts w:hint="eastAsia" w:hAnsi="宋体" w:cs="宋体"/>
                <w:sz w:val="21"/>
                <w:szCs w:val="21"/>
              </w:rPr>
              <w:t>中标通知书的发放</w:t>
            </w:r>
          </w:p>
        </w:tc>
        <w:tc>
          <w:tcPr>
            <w:tcW w:w="6605" w:type="dxa"/>
            <w:vAlign w:val="center"/>
          </w:tcPr>
          <w:p>
            <w:pPr>
              <w:spacing w:line="380" w:lineRule="exact"/>
              <w:rPr>
                <w:rFonts w:ascii="宋体" w:hAnsi="宋体" w:cs="宋体"/>
                <w:sz w:val="21"/>
                <w:szCs w:val="21"/>
              </w:rPr>
            </w:pPr>
            <w:r>
              <w:rPr>
                <w:rFonts w:hint="eastAsia" w:ascii="宋体" w:hAnsi="宋体" w:cs="宋体"/>
                <w:spacing w:val="6"/>
                <w:kern w:val="48"/>
                <w:sz w:val="21"/>
                <w:szCs w:val="21"/>
              </w:rPr>
              <w:t>广西冠宁工程咨询有限公司</w:t>
            </w:r>
            <w:r>
              <w:rPr>
                <w:rFonts w:hint="eastAsia" w:ascii="宋体" w:hAnsi="宋体" w:cs="宋体"/>
                <w:sz w:val="21"/>
                <w:szCs w:val="21"/>
              </w:rPr>
              <w:t>在采购人确定中标结果后五个工作日内在规定的政府采购信息发布媒体上发布中标结果公告，发布中标公告的同时由采购代理机构向中标供应商发出中标通知书。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97" w:type="dxa"/>
            <w:vAlign w:val="center"/>
          </w:tcPr>
          <w:p>
            <w:pPr>
              <w:pStyle w:val="14"/>
              <w:adjustRightInd w:val="0"/>
              <w:spacing w:line="380" w:lineRule="exact"/>
              <w:jc w:val="center"/>
              <w:rPr>
                <w:rFonts w:hAnsi="宋体" w:cs="宋体"/>
                <w:sz w:val="21"/>
                <w:szCs w:val="21"/>
                <w:highlight w:val="yellow"/>
              </w:rPr>
            </w:pPr>
            <w:r>
              <w:rPr>
                <w:rFonts w:hint="eastAsia" w:hAnsi="宋体" w:cs="宋体"/>
                <w:sz w:val="21"/>
                <w:szCs w:val="21"/>
              </w:rPr>
              <w:t>27.1</w:t>
            </w:r>
          </w:p>
        </w:tc>
        <w:tc>
          <w:tcPr>
            <w:tcW w:w="2084" w:type="dxa"/>
            <w:vAlign w:val="center"/>
          </w:tcPr>
          <w:p>
            <w:pPr>
              <w:autoSpaceDE w:val="0"/>
              <w:autoSpaceDN w:val="0"/>
              <w:adjustRightInd w:val="0"/>
              <w:spacing w:line="380" w:lineRule="exact"/>
              <w:jc w:val="center"/>
              <w:rPr>
                <w:rFonts w:ascii="宋体" w:hAnsi="宋体" w:cs="宋体"/>
                <w:kern w:val="0"/>
                <w:sz w:val="21"/>
                <w:szCs w:val="21"/>
              </w:rPr>
            </w:pPr>
            <w:r>
              <w:rPr>
                <w:rFonts w:hint="eastAsia" w:ascii="宋体" w:hAnsi="宋体" w:cs="宋体"/>
                <w:kern w:val="0"/>
                <w:sz w:val="21"/>
                <w:szCs w:val="21"/>
              </w:rPr>
              <w:t>需要补充的其他内容</w:t>
            </w:r>
          </w:p>
        </w:tc>
        <w:tc>
          <w:tcPr>
            <w:tcW w:w="6605" w:type="dxa"/>
            <w:vAlign w:val="center"/>
          </w:tcPr>
          <w:p>
            <w:pPr>
              <w:pStyle w:val="14"/>
              <w:spacing w:line="380" w:lineRule="exact"/>
              <w:rPr>
                <w:rFonts w:hAnsi="宋体" w:cs="宋体"/>
                <w:sz w:val="21"/>
                <w:szCs w:val="21"/>
              </w:rPr>
            </w:pPr>
            <w:r>
              <w:rPr>
                <w:rFonts w:hint="eastAsia" w:hAnsi="宋体" w:cs="宋体"/>
                <w:sz w:val="21"/>
                <w:szCs w:val="21"/>
              </w:rPr>
              <w:t>无</w:t>
            </w:r>
          </w:p>
        </w:tc>
      </w:tr>
    </w:tbl>
    <w:p>
      <w:pPr>
        <w:pStyle w:val="14"/>
        <w:spacing w:line="360" w:lineRule="auto"/>
        <w:jc w:val="center"/>
        <w:rPr>
          <w:rFonts w:hAnsi="宋体" w:cs="宋体"/>
          <w:b/>
          <w:sz w:val="21"/>
          <w:szCs w:val="21"/>
        </w:rPr>
      </w:pPr>
    </w:p>
    <w:p>
      <w:pPr>
        <w:pStyle w:val="14"/>
        <w:spacing w:line="360" w:lineRule="auto"/>
        <w:jc w:val="center"/>
        <w:rPr>
          <w:rFonts w:hAnsi="宋体" w:cs="宋体"/>
          <w:b/>
          <w:sz w:val="21"/>
          <w:szCs w:val="21"/>
        </w:rPr>
      </w:pPr>
    </w:p>
    <w:p>
      <w:pPr>
        <w:pStyle w:val="14"/>
        <w:jc w:val="center"/>
        <w:outlineLvl w:val="1"/>
        <w:rPr>
          <w:rFonts w:hAnsi="宋体" w:cs="宋体"/>
          <w:b/>
          <w:sz w:val="21"/>
          <w:szCs w:val="21"/>
        </w:rPr>
      </w:pPr>
      <w:r>
        <w:rPr>
          <w:rFonts w:hint="eastAsia" w:hAnsi="宋体" w:cs="宋体"/>
          <w:b/>
          <w:sz w:val="21"/>
          <w:szCs w:val="21"/>
        </w:rPr>
        <w:t>一    总  则</w:t>
      </w:r>
    </w:p>
    <w:p>
      <w:pPr>
        <w:pStyle w:val="14"/>
        <w:spacing w:line="440" w:lineRule="exact"/>
        <w:ind w:left="242" w:hanging="212" w:hangingChars="101"/>
        <w:jc w:val="left"/>
        <w:rPr>
          <w:rFonts w:hAnsi="宋体" w:cs="宋体"/>
          <w:bCs/>
          <w:sz w:val="21"/>
          <w:szCs w:val="21"/>
        </w:rPr>
      </w:pPr>
      <w:r>
        <w:rPr>
          <w:rFonts w:hint="eastAsia" w:hAnsi="宋体" w:cs="宋体"/>
          <w:bCs/>
          <w:sz w:val="21"/>
          <w:szCs w:val="21"/>
        </w:rPr>
        <w:t>1. 项目概况</w:t>
      </w:r>
    </w:p>
    <w:p>
      <w:pPr>
        <w:pStyle w:val="14"/>
        <w:spacing w:line="440" w:lineRule="exact"/>
        <w:ind w:left="2" w:firstLine="358"/>
        <w:jc w:val="left"/>
        <w:rPr>
          <w:rFonts w:hAnsi="宋体" w:cs="宋体"/>
          <w:bCs/>
          <w:sz w:val="21"/>
          <w:szCs w:val="21"/>
        </w:rPr>
      </w:pPr>
      <w:r>
        <w:rPr>
          <w:rFonts w:hint="eastAsia" w:hAnsi="宋体" w:cs="宋体"/>
          <w:bCs/>
          <w:sz w:val="21"/>
          <w:szCs w:val="21"/>
        </w:rPr>
        <w:t>1.1  采购人：见投标人须知前附表。</w:t>
      </w:r>
    </w:p>
    <w:p>
      <w:pPr>
        <w:pStyle w:val="14"/>
        <w:spacing w:line="440" w:lineRule="exact"/>
        <w:ind w:left="2" w:firstLine="358"/>
        <w:jc w:val="left"/>
        <w:rPr>
          <w:rFonts w:hAnsi="宋体" w:cs="宋体"/>
          <w:sz w:val="21"/>
          <w:szCs w:val="21"/>
        </w:rPr>
      </w:pPr>
      <w:r>
        <w:rPr>
          <w:rFonts w:hint="eastAsia" w:hAnsi="宋体" w:cs="宋体"/>
          <w:bCs/>
          <w:sz w:val="21"/>
          <w:szCs w:val="21"/>
        </w:rPr>
        <w:t>1.2  采购代理机构：见投标人须知前附表。</w:t>
      </w:r>
    </w:p>
    <w:p>
      <w:pPr>
        <w:pStyle w:val="14"/>
        <w:spacing w:line="440" w:lineRule="exact"/>
        <w:ind w:left="2" w:firstLine="358"/>
        <w:jc w:val="left"/>
        <w:rPr>
          <w:rFonts w:hAnsi="宋体" w:cs="宋体"/>
          <w:sz w:val="21"/>
          <w:szCs w:val="21"/>
        </w:rPr>
      </w:pPr>
      <w:r>
        <w:rPr>
          <w:rFonts w:hint="eastAsia" w:hAnsi="宋体" w:cs="宋体"/>
          <w:sz w:val="21"/>
          <w:szCs w:val="21"/>
        </w:rPr>
        <w:t>1.3  项目名称：</w:t>
      </w:r>
      <w:r>
        <w:rPr>
          <w:rFonts w:hint="eastAsia" w:hAnsi="宋体" w:cs="宋体"/>
          <w:bCs/>
          <w:sz w:val="21"/>
          <w:szCs w:val="21"/>
        </w:rPr>
        <w:t>见投标人须知前附表。</w:t>
      </w:r>
    </w:p>
    <w:p>
      <w:pPr>
        <w:pStyle w:val="14"/>
        <w:spacing w:line="440" w:lineRule="exact"/>
        <w:ind w:left="2" w:firstLine="358"/>
        <w:jc w:val="left"/>
        <w:rPr>
          <w:rFonts w:hAnsi="宋体" w:cs="宋体"/>
          <w:bCs/>
          <w:sz w:val="21"/>
          <w:szCs w:val="21"/>
        </w:rPr>
      </w:pPr>
      <w:r>
        <w:rPr>
          <w:rFonts w:hint="eastAsia" w:hAnsi="宋体" w:cs="宋体"/>
          <w:sz w:val="21"/>
          <w:szCs w:val="21"/>
        </w:rPr>
        <w:t>1.4  项目编号：</w:t>
      </w:r>
      <w:r>
        <w:rPr>
          <w:rFonts w:hint="eastAsia" w:hAnsi="宋体" w:cs="宋体"/>
          <w:bCs/>
          <w:sz w:val="21"/>
          <w:szCs w:val="21"/>
        </w:rPr>
        <w:t>见投标人须知前附表。</w:t>
      </w:r>
    </w:p>
    <w:p>
      <w:pPr>
        <w:pStyle w:val="14"/>
        <w:spacing w:line="440" w:lineRule="exact"/>
        <w:ind w:left="2" w:firstLine="358"/>
        <w:jc w:val="left"/>
        <w:rPr>
          <w:rFonts w:hAnsi="宋体" w:cs="宋体"/>
          <w:bCs/>
          <w:sz w:val="21"/>
          <w:szCs w:val="21"/>
        </w:rPr>
      </w:pPr>
      <w:r>
        <w:rPr>
          <w:rFonts w:hint="eastAsia" w:hAnsi="宋体" w:cs="宋体"/>
          <w:bCs/>
          <w:sz w:val="21"/>
          <w:szCs w:val="21"/>
        </w:rPr>
        <w:t>1.5  采购预算：见投标人须知前附表。</w:t>
      </w:r>
    </w:p>
    <w:p>
      <w:pPr>
        <w:pStyle w:val="14"/>
        <w:spacing w:line="440" w:lineRule="exact"/>
        <w:ind w:left="2" w:firstLine="358"/>
        <w:jc w:val="left"/>
        <w:rPr>
          <w:rFonts w:hAnsi="宋体" w:cs="宋体"/>
          <w:bCs/>
          <w:sz w:val="21"/>
          <w:szCs w:val="21"/>
        </w:rPr>
      </w:pPr>
      <w:r>
        <w:rPr>
          <w:rFonts w:hint="eastAsia" w:hAnsi="宋体" w:cs="宋体"/>
          <w:bCs/>
          <w:sz w:val="21"/>
          <w:szCs w:val="21"/>
        </w:rPr>
        <w:t>1.6  资金来源：政府财政性资金</w:t>
      </w:r>
    </w:p>
    <w:p>
      <w:pPr>
        <w:pStyle w:val="14"/>
        <w:spacing w:line="440" w:lineRule="exact"/>
        <w:ind w:left="2" w:firstLine="358"/>
        <w:jc w:val="left"/>
        <w:rPr>
          <w:rFonts w:hAnsi="宋体" w:cs="宋体"/>
          <w:bCs/>
          <w:sz w:val="21"/>
          <w:szCs w:val="21"/>
        </w:rPr>
      </w:pPr>
      <w:r>
        <w:rPr>
          <w:rFonts w:hint="eastAsia" w:hAnsi="宋体" w:cs="宋体"/>
          <w:bCs/>
          <w:sz w:val="21"/>
          <w:szCs w:val="21"/>
        </w:rPr>
        <w:t xml:space="preserve">1.7  </w:t>
      </w:r>
      <w:r>
        <w:rPr>
          <w:rFonts w:hint="eastAsia" w:hAnsi="宋体" w:cs="宋体"/>
          <w:sz w:val="21"/>
          <w:szCs w:val="21"/>
        </w:rPr>
        <w:t>获取招标文件方式：</w:t>
      </w:r>
      <w:r>
        <w:rPr>
          <w:rFonts w:hint="eastAsia" w:hAnsi="宋体" w:cs="宋体"/>
          <w:bCs/>
          <w:sz w:val="21"/>
          <w:szCs w:val="21"/>
        </w:rPr>
        <w:t>见投标人须知前附表。</w:t>
      </w:r>
    </w:p>
    <w:p>
      <w:pPr>
        <w:pStyle w:val="14"/>
        <w:spacing w:line="440" w:lineRule="exact"/>
        <w:ind w:left="2" w:firstLine="358"/>
        <w:jc w:val="left"/>
        <w:rPr>
          <w:rFonts w:hAnsi="宋体" w:cs="宋体"/>
          <w:bCs/>
          <w:sz w:val="21"/>
          <w:szCs w:val="21"/>
        </w:rPr>
      </w:pPr>
      <w:r>
        <w:rPr>
          <w:rFonts w:hint="eastAsia" w:hAnsi="宋体" w:cs="宋体"/>
          <w:bCs/>
          <w:sz w:val="21"/>
          <w:szCs w:val="21"/>
        </w:rPr>
        <w:t>1.8  预留采购份额：见投标人须知前附表。</w:t>
      </w:r>
    </w:p>
    <w:p>
      <w:pPr>
        <w:pStyle w:val="14"/>
        <w:spacing w:line="440" w:lineRule="exact"/>
        <w:jc w:val="left"/>
        <w:rPr>
          <w:rFonts w:hAnsi="宋体" w:cs="宋体"/>
          <w:bCs/>
          <w:sz w:val="21"/>
          <w:szCs w:val="21"/>
        </w:rPr>
      </w:pPr>
      <w:r>
        <w:rPr>
          <w:rFonts w:hint="eastAsia" w:hAnsi="宋体" w:cs="宋体"/>
          <w:bCs/>
          <w:sz w:val="21"/>
          <w:szCs w:val="21"/>
        </w:rPr>
        <w:t>2.  政府采购信息发布媒体：</w:t>
      </w:r>
    </w:p>
    <w:p>
      <w:pPr>
        <w:pStyle w:val="14"/>
        <w:spacing w:line="440" w:lineRule="exact"/>
        <w:ind w:firstLine="359" w:firstLineChars="171"/>
        <w:jc w:val="left"/>
        <w:rPr>
          <w:rFonts w:hAnsi="宋体" w:cs="宋体"/>
          <w:bCs/>
          <w:sz w:val="21"/>
          <w:szCs w:val="21"/>
        </w:rPr>
      </w:pPr>
      <w:r>
        <w:rPr>
          <w:rFonts w:hint="eastAsia" w:hAnsi="宋体" w:cs="宋体"/>
          <w:bCs/>
          <w:sz w:val="21"/>
          <w:szCs w:val="21"/>
        </w:rPr>
        <w:t>2.1  与本项目相关的政府采购业务信息（包括公开招标公告、中标公告及其更正事项等）将在以下媒体上发布：</w:t>
      </w:r>
      <w:r>
        <w:rPr>
          <w:rFonts w:hint="eastAsia" w:hAnsi="宋体" w:cs="宋体"/>
          <w:color w:val="000000"/>
          <w:sz w:val="21"/>
          <w:szCs w:val="21"/>
        </w:rPr>
        <w:t>中国政府采购网（www.ccgp.gov.cn）、广西政府采购网（www.zfcg.gxzf.gov.cn）、百色市公共资源交易中心（http://www.bsggzy.org.cn/gxbszbw/）。</w:t>
      </w:r>
    </w:p>
    <w:p>
      <w:pPr>
        <w:pStyle w:val="14"/>
        <w:spacing w:line="440" w:lineRule="exact"/>
        <w:ind w:left="242" w:hanging="212" w:hangingChars="101"/>
        <w:jc w:val="left"/>
        <w:rPr>
          <w:rFonts w:hAnsi="宋体" w:cs="宋体"/>
          <w:bCs/>
          <w:sz w:val="21"/>
          <w:szCs w:val="21"/>
        </w:rPr>
      </w:pPr>
      <w:r>
        <w:rPr>
          <w:rFonts w:hint="eastAsia" w:hAnsi="宋体" w:cs="宋体"/>
          <w:bCs/>
          <w:sz w:val="21"/>
          <w:szCs w:val="21"/>
        </w:rPr>
        <w:t>3. 投标人资格要求：</w:t>
      </w:r>
    </w:p>
    <w:p>
      <w:pPr>
        <w:spacing w:line="340" w:lineRule="exact"/>
        <w:ind w:firstLine="420" w:firstLineChars="200"/>
        <w:rPr>
          <w:rFonts w:ascii="宋体" w:hAnsi="宋体" w:cs="宋体"/>
          <w:bCs/>
          <w:sz w:val="21"/>
          <w:szCs w:val="21"/>
        </w:rPr>
      </w:pPr>
      <w:r>
        <w:rPr>
          <w:rFonts w:hint="eastAsia" w:ascii="宋体" w:hAnsi="宋体" w:cs="宋体"/>
          <w:bCs/>
          <w:sz w:val="21"/>
          <w:szCs w:val="21"/>
        </w:rPr>
        <w:t>3.1、投标人应具备《中华人民共和国政府采购法》第二十二条规定的条件:</w:t>
      </w:r>
    </w:p>
    <w:p>
      <w:pPr>
        <w:spacing w:line="340" w:lineRule="exact"/>
        <w:ind w:firstLine="420" w:firstLineChars="200"/>
        <w:rPr>
          <w:rFonts w:ascii="宋体" w:hAnsi="宋体" w:cs="宋体"/>
          <w:bCs/>
          <w:sz w:val="21"/>
          <w:szCs w:val="21"/>
        </w:rPr>
      </w:pPr>
      <w:r>
        <w:rPr>
          <w:rFonts w:hint="eastAsia" w:ascii="宋体" w:hAnsi="宋体" w:cs="宋体"/>
          <w:bCs/>
          <w:sz w:val="21"/>
          <w:szCs w:val="21"/>
        </w:rPr>
        <w:t>(1)具有独立承担民事责任的能力；（提供法人或其他组织的营业执照或三证合一等证明文件）。</w:t>
      </w:r>
    </w:p>
    <w:p>
      <w:pPr>
        <w:spacing w:line="340" w:lineRule="exact"/>
        <w:ind w:firstLine="420" w:firstLineChars="200"/>
        <w:rPr>
          <w:rFonts w:ascii="宋体" w:hAnsi="宋体" w:cs="宋体"/>
          <w:bCs/>
          <w:sz w:val="21"/>
          <w:szCs w:val="21"/>
        </w:rPr>
      </w:pPr>
      <w:r>
        <w:rPr>
          <w:rFonts w:hint="eastAsia" w:ascii="宋体" w:hAnsi="宋体" w:cs="宋体"/>
          <w:bCs/>
          <w:sz w:val="21"/>
          <w:szCs w:val="21"/>
        </w:rPr>
        <w:t>(2)具有良好的商业信誉和健全的财务会计制度；(提供2019年度财务会计报告或报表。若投标人新注册的,则提供成立至今的月或季度财务状况报表）。</w:t>
      </w:r>
    </w:p>
    <w:p>
      <w:pPr>
        <w:spacing w:line="340" w:lineRule="exact"/>
        <w:ind w:firstLine="420" w:firstLineChars="200"/>
        <w:rPr>
          <w:rFonts w:ascii="宋体" w:hAnsi="宋体" w:cs="宋体"/>
          <w:bCs/>
          <w:sz w:val="21"/>
          <w:szCs w:val="21"/>
        </w:rPr>
      </w:pPr>
      <w:r>
        <w:rPr>
          <w:rFonts w:hint="eastAsia" w:ascii="宋体" w:hAnsi="宋体" w:cs="宋体"/>
          <w:bCs/>
          <w:sz w:val="21"/>
          <w:szCs w:val="21"/>
        </w:rPr>
        <w:t>(3)具有履行合同所必需的设备和专业技术能力;（提供承诺函）。</w:t>
      </w:r>
    </w:p>
    <w:p>
      <w:pPr>
        <w:spacing w:line="340" w:lineRule="exact"/>
        <w:ind w:firstLine="420" w:firstLineChars="200"/>
        <w:rPr>
          <w:rFonts w:ascii="宋体" w:hAnsi="宋体" w:cs="宋体"/>
          <w:bCs/>
          <w:sz w:val="21"/>
          <w:szCs w:val="21"/>
        </w:rPr>
      </w:pPr>
      <w:r>
        <w:rPr>
          <w:rFonts w:hint="eastAsia" w:ascii="宋体" w:hAnsi="宋体" w:cs="宋体"/>
          <w:bCs/>
          <w:sz w:val="21"/>
          <w:szCs w:val="21"/>
        </w:rPr>
        <w:t>(4)有依法缴纳税收和社会保障资金的良好记录；（提供2020年以来连续3个月依法缴纳税收和社会保障资金的相关材料，如依法免税或不需要缴纳社会保障资金的，应提供相应文件证明）</w:t>
      </w:r>
    </w:p>
    <w:p>
      <w:pPr>
        <w:spacing w:line="340" w:lineRule="exact"/>
        <w:ind w:firstLine="420" w:firstLineChars="200"/>
        <w:rPr>
          <w:rFonts w:ascii="宋体" w:hAnsi="宋体" w:cs="宋体"/>
          <w:bCs/>
          <w:sz w:val="21"/>
          <w:szCs w:val="21"/>
        </w:rPr>
      </w:pPr>
      <w:r>
        <w:rPr>
          <w:rFonts w:hint="eastAsia" w:ascii="宋体" w:hAnsi="宋体" w:cs="宋体"/>
          <w:bCs/>
          <w:sz w:val="21"/>
          <w:szCs w:val="21"/>
        </w:rPr>
        <w:t>(5)提供参加政府采购活动前3年内在经营活动中没有重大违法记录的书面声明;（提供声明函）。</w:t>
      </w:r>
    </w:p>
    <w:p>
      <w:pPr>
        <w:spacing w:line="340" w:lineRule="exact"/>
        <w:ind w:firstLine="420" w:firstLineChars="200"/>
        <w:rPr>
          <w:rFonts w:ascii="宋体" w:hAnsi="宋体" w:cs="宋体"/>
          <w:bCs/>
          <w:sz w:val="21"/>
          <w:szCs w:val="21"/>
        </w:rPr>
      </w:pPr>
      <w:r>
        <w:rPr>
          <w:rFonts w:hint="eastAsia" w:ascii="宋体" w:hAnsi="宋体" w:cs="宋体"/>
          <w:bCs/>
          <w:sz w:val="21"/>
          <w:szCs w:val="21"/>
        </w:rPr>
        <w:t>3.2、投标人必须是在中华人民共和国境内注册并合法运作的法人机构，并取得合法企业工商营业执照或事业单位法人证书。</w:t>
      </w:r>
    </w:p>
    <w:p>
      <w:pPr>
        <w:spacing w:line="340" w:lineRule="exact"/>
        <w:ind w:firstLine="420" w:firstLineChars="200"/>
        <w:rPr>
          <w:rFonts w:ascii="宋体" w:hAnsi="宋体" w:cs="宋体"/>
          <w:bCs/>
          <w:sz w:val="21"/>
          <w:szCs w:val="21"/>
        </w:rPr>
      </w:pPr>
      <w:r>
        <w:rPr>
          <w:rFonts w:hint="eastAsia" w:ascii="宋体" w:hAnsi="宋体" w:cs="宋体"/>
          <w:bCs/>
          <w:sz w:val="21"/>
          <w:szCs w:val="21"/>
        </w:rPr>
        <w:t>3.</w:t>
      </w:r>
      <w:r>
        <w:rPr>
          <w:rFonts w:ascii="宋体" w:hAnsi="宋体" w:cs="宋体"/>
          <w:bCs/>
          <w:sz w:val="21"/>
          <w:szCs w:val="21"/>
        </w:rPr>
        <w:t>3</w:t>
      </w:r>
      <w:r>
        <w:rPr>
          <w:rFonts w:hint="eastAsia" w:ascii="宋体" w:hAnsi="宋体" w:cs="宋体"/>
          <w:bCs/>
          <w:sz w:val="21"/>
          <w:szCs w:val="21"/>
        </w:rPr>
        <w:t>、在“信用中国”网站(www.creditchina. gov.cn)、中国政府采购网（www.ccgp.gov.cn）没有被列入失信被执行人、重大税收违法案件当事人名单、政府采购严重违法失信行为记录名单及其他不符合规定条件的投标人。（请提供两个网站的信用记录查询结果页面打印件）</w:t>
      </w:r>
    </w:p>
    <w:p>
      <w:pPr>
        <w:ind w:firstLine="420" w:firstLineChars="200"/>
        <w:rPr>
          <w:rFonts w:ascii="宋体" w:hAnsi="宋体" w:cs="宋体"/>
          <w:bCs/>
          <w:sz w:val="21"/>
          <w:szCs w:val="21"/>
        </w:rPr>
      </w:pPr>
      <w:r>
        <w:rPr>
          <w:rFonts w:hint="eastAsia" w:ascii="宋体" w:hAnsi="宋体" w:cs="宋体"/>
          <w:bCs/>
          <w:sz w:val="21"/>
          <w:szCs w:val="21"/>
        </w:rPr>
        <w:t>3.</w:t>
      </w:r>
      <w:r>
        <w:rPr>
          <w:rFonts w:ascii="宋体" w:hAnsi="宋体" w:cs="宋体"/>
          <w:bCs/>
          <w:sz w:val="21"/>
          <w:szCs w:val="21"/>
        </w:rPr>
        <w:t>4</w:t>
      </w:r>
      <w:r>
        <w:rPr>
          <w:rFonts w:hint="eastAsia" w:ascii="宋体" w:hAnsi="宋体" w:cs="宋体"/>
          <w:bCs/>
          <w:sz w:val="21"/>
          <w:szCs w:val="21"/>
        </w:rPr>
        <w:t>、投标人具有中华人民共和国住房和城乡建设部颁发的城乡规划乙级或土地规划乙级及以上的编制资质。（若是联合体投标，联合体各方必须满足资质要求）</w:t>
      </w:r>
    </w:p>
    <w:p>
      <w:pPr>
        <w:spacing w:line="340" w:lineRule="exact"/>
        <w:ind w:firstLine="420" w:firstLineChars="200"/>
        <w:rPr>
          <w:rFonts w:ascii="宋体" w:hAnsi="宋体" w:cs="宋体"/>
          <w:bCs/>
          <w:sz w:val="21"/>
          <w:szCs w:val="21"/>
        </w:rPr>
      </w:pPr>
      <w:r>
        <w:rPr>
          <w:rFonts w:hint="eastAsia" w:ascii="宋体" w:hAnsi="宋体" w:cs="宋体"/>
          <w:bCs/>
          <w:sz w:val="21"/>
          <w:szCs w:val="21"/>
        </w:rPr>
        <w:t>3.5、拟派本项目负责人必须具有注册城市（乡）规划师及城市规划高级工程师或以上（含高级）职称。</w:t>
      </w:r>
    </w:p>
    <w:p>
      <w:pPr>
        <w:spacing w:line="340" w:lineRule="exact"/>
        <w:ind w:firstLine="420" w:firstLineChars="200"/>
        <w:rPr>
          <w:rFonts w:ascii="宋体" w:hAnsi="宋体" w:cs="宋体"/>
          <w:bCs/>
          <w:sz w:val="21"/>
          <w:szCs w:val="21"/>
        </w:rPr>
      </w:pPr>
      <w:r>
        <w:rPr>
          <w:rFonts w:hint="eastAsia" w:ascii="宋体" w:hAnsi="宋体" w:cs="宋体"/>
          <w:bCs/>
          <w:sz w:val="21"/>
          <w:szCs w:val="21"/>
        </w:rPr>
        <w:t>3.6、本项目接受联合体投标。(以联合体方式投标的投标人，须提交共同签署的《联合投标协议书》和《投标联合体授权主体方协议书》，且应明确项目主体单位；以联合体形式投标，投标文件的封面与联合体共同协议书须盖所有单位的公章，其余位置盖章允许仅加盖联合体主体方单位公章)。</w:t>
      </w:r>
    </w:p>
    <w:p>
      <w:pPr>
        <w:ind w:firstLine="422" w:firstLineChars="200"/>
        <w:rPr>
          <w:rFonts w:ascii="宋体" w:hAnsi="宋体" w:cs="宋体"/>
          <w:b/>
          <w:bCs w:val="0"/>
          <w:sz w:val="21"/>
          <w:szCs w:val="21"/>
          <w:highlight w:val="none"/>
        </w:rPr>
      </w:pPr>
      <w:r>
        <w:rPr>
          <w:rFonts w:hint="eastAsia" w:ascii="宋体" w:hAnsi="宋体" w:cs="宋体"/>
          <w:b/>
          <w:bCs w:val="0"/>
          <w:sz w:val="21"/>
          <w:szCs w:val="21"/>
          <w:highlight w:val="none"/>
        </w:rPr>
        <w:t>联合体还应遵守以下规定：</w:t>
      </w:r>
    </w:p>
    <w:p>
      <w:pPr>
        <w:ind w:firstLine="422" w:firstLineChars="200"/>
        <w:rPr>
          <w:rFonts w:ascii="宋体" w:hAnsi="宋体" w:cs="宋体"/>
          <w:b/>
          <w:bCs/>
          <w:sz w:val="21"/>
          <w:szCs w:val="21"/>
        </w:rPr>
      </w:pPr>
      <w:r>
        <w:rPr>
          <w:rFonts w:ascii="宋体" w:hAnsi="宋体" w:cs="宋体"/>
          <w:b/>
          <w:bCs/>
          <w:sz w:val="21"/>
          <w:szCs w:val="21"/>
        </w:rPr>
        <w:t>3</w:t>
      </w:r>
      <w:r>
        <w:rPr>
          <w:rFonts w:hint="eastAsia" w:ascii="宋体" w:hAnsi="宋体" w:cs="宋体"/>
          <w:b/>
          <w:bCs/>
          <w:sz w:val="21"/>
          <w:szCs w:val="21"/>
        </w:rPr>
        <w:t>.</w:t>
      </w:r>
      <w:r>
        <w:rPr>
          <w:rFonts w:ascii="宋体" w:hAnsi="宋体" w:cs="宋体"/>
          <w:b/>
          <w:bCs/>
          <w:sz w:val="21"/>
          <w:szCs w:val="21"/>
        </w:rPr>
        <w:t>6</w:t>
      </w:r>
      <w:r>
        <w:rPr>
          <w:rFonts w:hint="eastAsia" w:ascii="宋体" w:hAnsi="宋体" w:cs="宋体"/>
          <w:b/>
          <w:bCs/>
          <w:sz w:val="21"/>
          <w:szCs w:val="21"/>
        </w:rPr>
        <w:t>.1参加联合体的投标人各方均须符合中“投标人资格”的第二条规定的条件并提供证明材料，并且联合体各方必须符合“投标人资格”的所有资格；</w:t>
      </w:r>
    </w:p>
    <w:p>
      <w:pPr>
        <w:ind w:firstLine="422" w:firstLineChars="200"/>
        <w:rPr>
          <w:rFonts w:ascii="宋体" w:hAnsi="宋体" w:cs="宋体"/>
          <w:b/>
          <w:bCs/>
          <w:sz w:val="21"/>
          <w:szCs w:val="21"/>
        </w:rPr>
      </w:pPr>
      <w:r>
        <w:rPr>
          <w:rFonts w:ascii="宋体" w:hAnsi="宋体" w:cs="宋体"/>
          <w:b/>
          <w:bCs/>
          <w:sz w:val="21"/>
          <w:szCs w:val="21"/>
        </w:rPr>
        <w:t>3</w:t>
      </w:r>
      <w:r>
        <w:rPr>
          <w:rFonts w:hint="eastAsia" w:ascii="宋体" w:hAnsi="宋体" w:cs="宋体"/>
          <w:b/>
          <w:bCs/>
          <w:sz w:val="21"/>
          <w:szCs w:val="21"/>
        </w:rPr>
        <w:t>.</w:t>
      </w:r>
      <w:r>
        <w:rPr>
          <w:rFonts w:ascii="宋体" w:hAnsi="宋体" w:cs="宋体"/>
          <w:b/>
          <w:bCs/>
          <w:sz w:val="21"/>
          <w:szCs w:val="21"/>
        </w:rPr>
        <w:t>6</w:t>
      </w:r>
      <w:r>
        <w:rPr>
          <w:rFonts w:hint="eastAsia" w:ascii="宋体" w:hAnsi="宋体" w:cs="宋体"/>
          <w:b/>
          <w:bCs/>
          <w:sz w:val="21"/>
          <w:szCs w:val="21"/>
        </w:rPr>
        <w:t>.2联合体各方应签订联合体协议书，明确联合体牵头人和各方权利义务和相应的责任；</w:t>
      </w:r>
    </w:p>
    <w:p>
      <w:pPr>
        <w:ind w:firstLine="422" w:firstLineChars="200"/>
        <w:rPr>
          <w:rFonts w:ascii="宋体" w:hAnsi="宋体" w:cs="宋体"/>
          <w:b/>
          <w:bCs/>
          <w:sz w:val="21"/>
          <w:szCs w:val="21"/>
        </w:rPr>
      </w:pPr>
      <w:r>
        <w:rPr>
          <w:rFonts w:ascii="宋体" w:hAnsi="宋体" w:cs="宋体"/>
          <w:b/>
          <w:bCs/>
          <w:sz w:val="21"/>
          <w:szCs w:val="21"/>
        </w:rPr>
        <w:t>3</w:t>
      </w:r>
      <w:r>
        <w:rPr>
          <w:rFonts w:hint="eastAsia" w:ascii="宋体" w:hAnsi="宋体" w:cs="宋体"/>
          <w:b/>
          <w:bCs/>
          <w:sz w:val="21"/>
          <w:szCs w:val="21"/>
        </w:rPr>
        <w:t>.</w:t>
      </w:r>
      <w:r>
        <w:rPr>
          <w:rFonts w:ascii="宋体" w:hAnsi="宋体" w:cs="宋体"/>
          <w:b/>
          <w:bCs/>
          <w:sz w:val="21"/>
          <w:szCs w:val="21"/>
        </w:rPr>
        <w:t>6</w:t>
      </w:r>
      <w:r>
        <w:rPr>
          <w:rFonts w:hint="eastAsia" w:ascii="宋体" w:hAnsi="宋体" w:cs="宋体"/>
          <w:b/>
          <w:bCs/>
          <w:sz w:val="21"/>
          <w:szCs w:val="21"/>
        </w:rPr>
        <w:t>.3由同一专业的单位组成的联合体，联合体各方须满足最低资质等级要求；</w:t>
      </w:r>
    </w:p>
    <w:p>
      <w:pPr>
        <w:ind w:firstLine="422" w:firstLineChars="200"/>
        <w:rPr>
          <w:rFonts w:ascii="宋体" w:hAnsi="宋体" w:cs="宋体"/>
          <w:b/>
          <w:bCs/>
          <w:sz w:val="21"/>
          <w:szCs w:val="21"/>
        </w:rPr>
      </w:pPr>
      <w:r>
        <w:rPr>
          <w:rFonts w:ascii="宋体" w:hAnsi="宋体" w:cs="宋体"/>
          <w:b/>
          <w:bCs/>
          <w:sz w:val="21"/>
          <w:szCs w:val="21"/>
        </w:rPr>
        <w:t>3</w:t>
      </w:r>
      <w:r>
        <w:rPr>
          <w:rFonts w:hint="eastAsia" w:ascii="宋体" w:hAnsi="宋体" w:cs="宋体"/>
          <w:b/>
          <w:bCs/>
          <w:sz w:val="21"/>
          <w:szCs w:val="21"/>
        </w:rPr>
        <w:t>.</w:t>
      </w:r>
      <w:r>
        <w:rPr>
          <w:rFonts w:ascii="宋体" w:hAnsi="宋体" w:cs="宋体"/>
          <w:b/>
          <w:bCs/>
          <w:sz w:val="21"/>
          <w:szCs w:val="21"/>
        </w:rPr>
        <w:t>6</w:t>
      </w:r>
      <w:r>
        <w:rPr>
          <w:rFonts w:hint="eastAsia" w:ascii="宋体" w:hAnsi="宋体" w:cs="宋体"/>
          <w:b/>
          <w:bCs/>
          <w:sz w:val="21"/>
          <w:szCs w:val="21"/>
        </w:rPr>
        <w:t>.4联合体各方不得再单独参加或者与其他投标人另外组成联合体参加同一项目（或包组）投标；</w:t>
      </w:r>
    </w:p>
    <w:p>
      <w:pPr>
        <w:ind w:firstLine="422" w:firstLineChars="200"/>
        <w:rPr>
          <w:rFonts w:ascii="宋体" w:hAnsi="宋体" w:cs="宋体"/>
          <w:b/>
          <w:bCs/>
          <w:sz w:val="21"/>
          <w:szCs w:val="21"/>
        </w:rPr>
      </w:pPr>
      <w:r>
        <w:rPr>
          <w:rFonts w:ascii="宋体" w:hAnsi="宋体" w:cs="宋体"/>
          <w:b/>
          <w:bCs/>
          <w:sz w:val="21"/>
          <w:szCs w:val="21"/>
        </w:rPr>
        <w:t>3</w:t>
      </w:r>
      <w:r>
        <w:rPr>
          <w:rFonts w:hint="eastAsia" w:ascii="宋体" w:hAnsi="宋体" w:cs="宋体"/>
          <w:b/>
          <w:bCs/>
          <w:sz w:val="21"/>
          <w:szCs w:val="21"/>
        </w:rPr>
        <w:t>.</w:t>
      </w:r>
      <w:r>
        <w:rPr>
          <w:rFonts w:ascii="宋体" w:hAnsi="宋体" w:cs="宋体"/>
          <w:b/>
          <w:bCs/>
          <w:sz w:val="21"/>
          <w:szCs w:val="21"/>
        </w:rPr>
        <w:t>6</w:t>
      </w:r>
      <w:r>
        <w:rPr>
          <w:rFonts w:hint="eastAsia" w:ascii="宋体" w:hAnsi="宋体" w:cs="宋体"/>
          <w:b/>
          <w:bCs/>
          <w:sz w:val="21"/>
          <w:szCs w:val="21"/>
        </w:rPr>
        <w:t>.5联合体中标的，联合体各方应当共同与采购人签订合同。</w:t>
      </w:r>
    </w:p>
    <w:p>
      <w:pPr>
        <w:pStyle w:val="14"/>
        <w:spacing w:line="440" w:lineRule="exact"/>
        <w:ind w:left="210" w:leftChars="100"/>
        <w:jc w:val="left"/>
        <w:rPr>
          <w:rFonts w:hAnsi="宋体" w:cs="宋体"/>
          <w:bCs/>
          <w:sz w:val="21"/>
          <w:szCs w:val="21"/>
        </w:rPr>
      </w:pPr>
      <w:r>
        <w:rPr>
          <w:rFonts w:hint="eastAsia" w:hAnsi="宋体" w:cs="宋体"/>
          <w:bCs/>
          <w:sz w:val="21"/>
          <w:szCs w:val="21"/>
        </w:rPr>
        <w:t>4. 质疑</w:t>
      </w:r>
    </w:p>
    <w:p>
      <w:pPr>
        <w:pStyle w:val="14"/>
        <w:spacing w:line="440" w:lineRule="exact"/>
        <w:ind w:left="2" w:firstLine="360"/>
        <w:jc w:val="left"/>
        <w:rPr>
          <w:rFonts w:hAnsi="宋体" w:cs="宋体"/>
          <w:bCs/>
          <w:sz w:val="21"/>
          <w:szCs w:val="21"/>
        </w:rPr>
      </w:pPr>
      <w:r>
        <w:rPr>
          <w:rFonts w:hint="eastAsia" w:hAnsi="宋体" w:cs="宋体"/>
          <w:bCs/>
          <w:sz w:val="21"/>
          <w:szCs w:val="21"/>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int="eastAsia" w:hAnsi="宋体" w:cs="宋体"/>
          <w:sz w:val="21"/>
          <w:szCs w:val="21"/>
        </w:rPr>
        <w:t>。（质疑受理单位、递交质疑地点详见投标人须知前附表）</w:t>
      </w:r>
    </w:p>
    <w:p>
      <w:pPr>
        <w:pStyle w:val="14"/>
        <w:spacing w:line="440" w:lineRule="exact"/>
        <w:ind w:left="2" w:firstLine="360"/>
        <w:jc w:val="left"/>
        <w:rPr>
          <w:rFonts w:hAnsi="宋体" w:cs="宋体"/>
          <w:bCs/>
          <w:sz w:val="21"/>
          <w:szCs w:val="21"/>
        </w:rPr>
      </w:pPr>
      <w:r>
        <w:rPr>
          <w:rFonts w:hint="eastAsia" w:hAnsi="宋体" w:cs="宋体"/>
          <w:bCs/>
          <w:sz w:val="21"/>
          <w:szCs w:val="21"/>
        </w:rPr>
        <w:t>4.2  供应商质疑实行实名制，其质疑应当有具体的质疑事项及事实根据，不得进行虚假、恶意质疑。</w:t>
      </w:r>
    </w:p>
    <w:p>
      <w:pPr>
        <w:pStyle w:val="14"/>
        <w:spacing w:line="440" w:lineRule="exact"/>
        <w:ind w:left="2" w:firstLine="360"/>
        <w:jc w:val="left"/>
        <w:rPr>
          <w:rFonts w:hAnsi="宋体" w:cs="宋体"/>
          <w:bCs/>
          <w:sz w:val="21"/>
          <w:szCs w:val="21"/>
        </w:rPr>
      </w:pPr>
      <w:r>
        <w:rPr>
          <w:rFonts w:hint="eastAsia" w:hAnsi="宋体" w:cs="宋体"/>
          <w:bCs/>
          <w:sz w:val="21"/>
          <w:szCs w:val="21"/>
        </w:rPr>
        <w:t>4.3  供应商质疑时，应当提交质疑书原件，质疑书应当包括下列主要内容：</w:t>
      </w:r>
    </w:p>
    <w:p>
      <w:pPr>
        <w:pStyle w:val="14"/>
        <w:spacing w:line="440" w:lineRule="exact"/>
        <w:ind w:left="2" w:firstLine="718"/>
        <w:jc w:val="left"/>
        <w:rPr>
          <w:rFonts w:hAnsi="宋体" w:cs="宋体"/>
          <w:sz w:val="21"/>
          <w:szCs w:val="21"/>
        </w:rPr>
      </w:pPr>
      <w:r>
        <w:rPr>
          <w:rFonts w:hint="eastAsia" w:hAnsi="宋体" w:cs="宋体"/>
          <w:sz w:val="21"/>
          <w:szCs w:val="21"/>
        </w:rPr>
        <w:t>（1）供应商的姓名或者名称、地址、邮编、联系人及联系电话；</w:t>
      </w:r>
    </w:p>
    <w:p>
      <w:pPr>
        <w:pStyle w:val="14"/>
        <w:spacing w:line="440" w:lineRule="exact"/>
        <w:ind w:left="2" w:firstLine="718"/>
        <w:jc w:val="left"/>
        <w:rPr>
          <w:rFonts w:hAnsi="宋体" w:cs="宋体"/>
          <w:sz w:val="21"/>
          <w:szCs w:val="21"/>
        </w:rPr>
      </w:pPr>
      <w:r>
        <w:rPr>
          <w:rFonts w:hint="eastAsia" w:hAnsi="宋体" w:cs="宋体"/>
          <w:sz w:val="21"/>
          <w:szCs w:val="21"/>
        </w:rPr>
        <w:t>（2）质疑项目的名称、编号；</w:t>
      </w:r>
    </w:p>
    <w:p>
      <w:pPr>
        <w:pStyle w:val="14"/>
        <w:spacing w:line="440" w:lineRule="exact"/>
        <w:ind w:left="2" w:firstLine="718"/>
        <w:jc w:val="left"/>
        <w:rPr>
          <w:rFonts w:hAnsi="宋体" w:cs="宋体"/>
          <w:sz w:val="21"/>
          <w:szCs w:val="21"/>
        </w:rPr>
      </w:pPr>
      <w:r>
        <w:rPr>
          <w:rFonts w:hint="eastAsia" w:hAnsi="宋体" w:cs="宋体"/>
          <w:sz w:val="21"/>
          <w:szCs w:val="21"/>
        </w:rPr>
        <w:t>（3）具体、明确的质疑事项和与质疑事项相关的请求；</w:t>
      </w:r>
    </w:p>
    <w:p>
      <w:pPr>
        <w:pStyle w:val="14"/>
        <w:spacing w:line="440" w:lineRule="exact"/>
        <w:ind w:left="2" w:firstLine="718"/>
        <w:jc w:val="left"/>
        <w:rPr>
          <w:rFonts w:hAnsi="宋体" w:cs="宋体"/>
          <w:sz w:val="21"/>
          <w:szCs w:val="21"/>
        </w:rPr>
      </w:pPr>
      <w:r>
        <w:rPr>
          <w:rFonts w:hint="eastAsia" w:hAnsi="宋体" w:cs="宋体"/>
          <w:sz w:val="21"/>
          <w:szCs w:val="21"/>
        </w:rPr>
        <w:t>（4）事实依据</w:t>
      </w:r>
      <w:r>
        <w:rPr>
          <w:rFonts w:hint="eastAsia" w:hAnsi="宋体" w:cs="宋体"/>
          <w:bCs/>
          <w:sz w:val="21"/>
          <w:szCs w:val="21"/>
        </w:rPr>
        <w:t>（列明权益受到损害的事实和理由）</w:t>
      </w:r>
      <w:r>
        <w:rPr>
          <w:rFonts w:hint="eastAsia" w:hAnsi="宋体" w:cs="宋体"/>
          <w:sz w:val="21"/>
          <w:szCs w:val="21"/>
        </w:rPr>
        <w:t>；</w:t>
      </w:r>
    </w:p>
    <w:p>
      <w:pPr>
        <w:pStyle w:val="14"/>
        <w:spacing w:line="440" w:lineRule="exact"/>
        <w:ind w:left="2" w:firstLine="718"/>
        <w:jc w:val="left"/>
        <w:rPr>
          <w:rFonts w:hAnsi="宋体" w:cs="宋体"/>
          <w:sz w:val="21"/>
          <w:szCs w:val="21"/>
        </w:rPr>
      </w:pPr>
      <w:r>
        <w:rPr>
          <w:rFonts w:hint="eastAsia" w:hAnsi="宋体" w:cs="宋体"/>
          <w:sz w:val="21"/>
          <w:szCs w:val="21"/>
        </w:rPr>
        <w:t>（5）必要的法律依据；</w:t>
      </w:r>
    </w:p>
    <w:p>
      <w:pPr>
        <w:pStyle w:val="14"/>
        <w:spacing w:line="440" w:lineRule="exact"/>
        <w:ind w:left="2" w:firstLine="718"/>
        <w:jc w:val="left"/>
        <w:rPr>
          <w:rFonts w:hAnsi="宋体" w:cs="宋体"/>
          <w:sz w:val="21"/>
          <w:szCs w:val="21"/>
        </w:rPr>
      </w:pPr>
      <w:r>
        <w:rPr>
          <w:rFonts w:hint="eastAsia" w:hAnsi="宋体" w:cs="宋体"/>
          <w:sz w:val="21"/>
          <w:szCs w:val="21"/>
        </w:rPr>
        <w:t>（6）提起质疑的日期；</w:t>
      </w:r>
    </w:p>
    <w:p>
      <w:pPr>
        <w:pStyle w:val="14"/>
        <w:spacing w:line="440" w:lineRule="exact"/>
        <w:ind w:left="2" w:firstLine="418"/>
        <w:jc w:val="left"/>
        <w:rPr>
          <w:rFonts w:hAnsi="宋体" w:cs="宋体"/>
          <w:sz w:val="21"/>
          <w:szCs w:val="21"/>
        </w:rPr>
      </w:pPr>
      <w:r>
        <w:rPr>
          <w:rFonts w:hint="eastAsia" w:hAnsi="宋体" w:cs="宋体"/>
          <w:sz w:val="21"/>
          <w:szCs w:val="21"/>
        </w:rPr>
        <w:t>（7）附件材料营业执照或事业单位法人证书副本内页复印件（要求证件有效并清晰反映企业法人经营范围）；截标时间前半年内连续三个月依法缴纳税收证明材料（复印件）；截标时间前半年内连续三个月在职职工依法缴纳社会保障资金证明材料（复印件）。</w:t>
      </w:r>
    </w:p>
    <w:p>
      <w:pPr>
        <w:pStyle w:val="14"/>
        <w:spacing w:line="440" w:lineRule="exact"/>
        <w:ind w:firstLine="420" w:firstLineChars="200"/>
        <w:jc w:val="left"/>
        <w:rPr>
          <w:rFonts w:hAnsi="宋体" w:cs="宋体"/>
          <w:sz w:val="21"/>
          <w:szCs w:val="21"/>
        </w:rPr>
      </w:pPr>
      <w:r>
        <w:rPr>
          <w:rFonts w:hint="eastAsia" w:hAnsi="宋体" w:cs="宋体"/>
          <w:sz w:val="21"/>
          <w:szCs w:val="21"/>
        </w:rPr>
        <w:t>质疑书应当署名。供应商为自然人的，应当由本人签字；供应商为法人或者其他组织的，应当由法定代表人、主要负责人，或者其授权代表签字或者盖章，并加盖公章。</w:t>
      </w:r>
    </w:p>
    <w:p>
      <w:pPr>
        <w:pStyle w:val="14"/>
        <w:spacing w:line="440" w:lineRule="exact"/>
        <w:ind w:left="2" w:firstLine="360"/>
        <w:rPr>
          <w:rFonts w:hAnsi="宋体" w:cs="宋体"/>
          <w:bCs/>
          <w:sz w:val="21"/>
          <w:szCs w:val="21"/>
        </w:rPr>
      </w:pPr>
      <w:r>
        <w:rPr>
          <w:rFonts w:hint="eastAsia" w:hAnsi="宋体" w:cs="宋体"/>
          <w:bCs/>
          <w:sz w:val="21"/>
          <w:szCs w:val="21"/>
        </w:rPr>
        <w:t>4.4  质疑供应商可以委托代理人办理质疑事务。委托代理人应熟悉相关业务情况。代理人办理质疑事务时，除提交质疑书外，还应当提交质疑供应商的授权委托书，授权委托书应当载明委托代理的具体权限和事项；提交委托代理人身份证明复印件。</w:t>
      </w:r>
    </w:p>
    <w:p>
      <w:pPr>
        <w:pStyle w:val="14"/>
        <w:spacing w:line="440" w:lineRule="exact"/>
        <w:ind w:left="2" w:firstLine="360"/>
        <w:rPr>
          <w:rFonts w:hAnsi="宋体" w:cs="宋体"/>
          <w:bCs/>
          <w:sz w:val="21"/>
          <w:szCs w:val="21"/>
        </w:rPr>
      </w:pPr>
      <w:r>
        <w:rPr>
          <w:rFonts w:hint="eastAsia" w:hAnsi="宋体" w:cs="宋体"/>
          <w:bCs/>
          <w:sz w:val="21"/>
          <w:szCs w:val="21"/>
        </w:rPr>
        <w:t>4.5  质疑供应商提起质疑应当符合下列条件：</w:t>
      </w:r>
    </w:p>
    <w:p>
      <w:pPr>
        <w:spacing w:line="440" w:lineRule="exact"/>
        <w:ind w:firstLine="720"/>
        <w:rPr>
          <w:rFonts w:ascii="宋体" w:hAnsi="宋体" w:cs="宋体"/>
          <w:sz w:val="21"/>
          <w:szCs w:val="21"/>
        </w:rPr>
      </w:pPr>
      <w:r>
        <w:rPr>
          <w:rFonts w:hint="eastAsia" w:ascii="宋体" w:hAnsi="宋体" w:cs="宋体"/>
          <w:sz w:val="21"/>
          <w:szCs w:val="21"/>
        </w:rPr>
        <w:t>（1）质疑供应商是参与所质疑政府采购活动的供应商；</w:t>
      </w:r>
    </w:p>
    <w:p>
      <w:pPr>
        <w:spacing w:line="440" w:lineRule="exact"/>
        <w:ind w:firstLine="720"/>
        <w:rPr>
          <w:rFonts w:ascii="宋体" w:hAnsi="宋体" w:cs="宋体"/>
          <w:sz w:val="21"/>
          <w:szCs w:val="21"/>
        </w:rPr>
      </w:pPr>
      <w:r>
        <w:rPr>
          <w:rFonts w:hint="eastAsia" w:ascii="宋体" w:hAnsi="宋体" w:cs="宋体"/>
          <w:sz w:val="21"/>
          <w:szCs w:val="21"/>
        </w:rPr>
        <w:t>（2）质疑书内容符合本章第4.3项的规定；</w:t>
      </w:r>
    </w:p>
    <w:p>
      <w:pPr>
        <w:spacing w:line="440" w:lineRule="exact"/>
        <w:ind w:firstLine="720"/>
        <w:rPr>
          <w:rFonts w:ascii="宋体" w:hAnsi="宋体" w:cs="宋体"/>
          <w:sz w:val="21"/>
          <w:szCs w:val="21"/>
        </w:rPr>
      </w:pPr>
      <w:r>
        <w:rPr>
          <w:rFonts w:hint="eastAsia" w:ascii="宋体" w:hAnsi="宋体" w:cs="宋体"/>
          <w:sz w:val="21"/>
          <w:szCs w:val="21"/>
        </w:rPr>
        <w:t>（3）在质疑有效期限内提起质疑；</w:t>
      </w:r>
    </w:p>
    <w:p>
      <w:pPr>
        <w:spacing w:line="440" w:lineRule="exact"/>
        <w:ind w:firstLine="720"/>
        <w:rPr>
          <w:rFonts w:ascii="宋体" w:hAnsi="宋体" w:cs="宋体"/>
          <w:sz w:val="21"/>
          <w:szCs w:val="21"/>
        </w:rPr>
      </w:pPr>
      <w:r>
        <w:rPr>
          <w:rFonts w:hint="eastAsia" w:ascii="宋体" w:hAnsi="宋体" w:cs="宋体"/>
          <w:sz w:val="21"/>
          <w:szCs w:val="21"/>
        </w:rPr>
        <w:t>（4）属于所质疑的采购人或采购人委托的采购代理机构组织的采购活动；</w:t>
      </w:r>
    </w:p>
    <w:p>
      <w:pPr>
        <w:spacing w:line="440" w:lineRule="exact"/>
        <w:ind w:firstLine="720"/>
        <w:rPr>
          <w:rFonts w:ascii="宋体" w:hAnsi="宋体" w:cs="宋体"/>
          <w:sz w:val="21"/>
          <w:szCs w:val="21"/>
        </w:rPr>
      </w:pPr>
      <w:r>
        <w:rPr>
          <w:rFonts w:hint="eastAsia" w:ascii="宋体" w:hAnsi="宋体" w:cs="宋体"/>
          <w:sz w:val="21"/>
          <w:szCs w:val="21"/>
        </w:rPr>
        <w:t>（5）同一质疑事项未经采购人或采购人委托的采购代理机构质疑处理；</w:t>
      </w:r>
    </w:p>
    <w:p>
      <w:pPr>
        <w:spacing w:line="440" w:lineRule="exact"/>
        <w:ind w:firstLine="720"/>
        <w:rPr>
          <w:rFonts w:ascii="宋体" w:hAnsi="宋体" w:cs="宋体"/>
          <w:sz w:val="21"/>
          <w:szCs w:val="21"/>
        </w:rPr>
      </w:pPr>
      <w:r>
        <w:rPr>
          <w:rFonts w:hint="eastAsia" w:ascii="宋体" w:hAnsi="宋体" w:cs="宋体"/>
          <w:sz w:val="21"/>
          <w:szCs w:val="21"/>
        </w:rPr>
        <w:t>（6）供应商对同一采购程序环节的质疑应当在质疑有效期内一次性提出；</w:t>
      </w:r>
    </w:p>
    <w:p>
      <w:pPr>
        <w:spacing w:line="440" w:lineRule="exact"/>
        <w:ind w:firstLine="720"/>
        <w:rPr>
          <w:rFonts w:ascii="宋体" w:hAnsi="宋体" w:cs="宋体"/>
          <w:sz w:val="21"/>
          <w:szCs w:val="21"/>
        </w:rPr>
      </w:pPr>
      <w:r>
        <w:rPr>
          <w:rFonts w:hint="eastAsia" w:ascii="宋体" w:hAnsi="宋体" w:cs="宋体"/>
          <w:sz w:val="21"/>
          <w:szCs w:val="21"/>
        </w:rPr>
        <w:t>（7）供应商提交质疑应当提交必要的证明材料，证明材料应以合法手段取得；</w:t>
      </w:r>
    </w:p>
    <w:p>
      <w:pPr>
        <w:spacing w:line="440" w:lineRule="exact"/>
        <w:ind w:firstLine="720"/>
        <w:rPr>
          <w:rFonts w:ascii="宋体" w:hAnsi="宋体" w:cs="宋体"/>
          <w:sz w:val="21"/>
          <w:szCs w:val="21"/>
        </w:rPr>
      </w:pPr>
      <w:r>
        <w:rPr>
          <w:rFonts w:hint="eastAsia" w:ascii="宋体" w:hAnsi="宋体" w:cs="宋体"/>
          <w:sz w:val="21"/>
          <w:szCs w:val="21"/>
        </w:rPr>
        <w:t>（8）财政部门规定的其他条件。</w:t>
      </w:r>
    </w:p>
    <w:p>
      <w:pPr>
        <w:spacing w:line="440" w:lineRule="exact"/>
        <w:ind w:firstLine="360"/>
        <w:rPr>
          <w:rFonts w:ascii="宋体" w:hAnsi="宋体" w:cs="宋体"/>
          <w:sz w:val="21"/>
          <w:szCs w:val="21"/>
        </w:rPr>
      </w:pPr>
      <w:r>
        <w:rPr>
          <w:rFonts w:hint="eastAsia" w:ascii="宋体" w:hAnsi="宋体" w:cs="宋体"/>
          <w:sz w:val="21"/>
          <w:szCs w:val="21"/>
        </w:rPr>
        <w:t>4.6  采购人或采购人委托的采购代理机构自受理质疑之日起七个工作日内，对质疑事项作出答复，并以书面形式通知质疑供应商及其他有关供应商。</w:t>
      </w:r>
    </w:p>
    <w:p>
      <w:pPr>
        <w:pStyle w:val="14"/>
        <w:spacing w:line="440" w:lineRule="exact"/>
        <w:ind w:left="242" w:hanging="212" w:hangingChars="101"/>
        <w:jc w:val="left"/>
        <w:rPr>
          <w:rFonts w:hAnsi="宋体" w:cs="宋体"/>
          <w:bCs/>
          <w:sz w:val="21"/>
          <w:szCs w:val="21"/>
        </w:rPr>
      </w:pPr>
      <w:r>
        <w:rPr>
          <w:rFonts w:hint="eastAsia" w:hAnsi="宋体" w:cs="宋体"/>
          <w:bCs/>
          <w:sz w:val="21"/>
          <w:szCs w:val="21"/>
        </w:rPr>
        <w:t>5.  投诉</w:t>
      </w:r>
    </w:p>
    <w:p>
      <w:pPr>
        <w:pStyle w:val="14"/>
        <w:spacing w:line="440" w:lineRule="exact"/>
        <w:ind w:left="2" w:firstLine="357" w:firstLineChars="170"/>
        <w:jc w:val="left"/>
        <w:rPr>
          <w:rFonts w:hAnsi="宋体" w:cs="宋体"/>
          <w:bCs/>
          <w:sz w:val="21"/>
          <w:szCs w:val="21"/>
        </w:rPr>
      </w:pPr>
      <w:r>
        <w:rPr>
          <w:rFonts w:hint="eastAsia" w:hAnsi="宋体" w:cs="宋体"/>
          <w:bCs/>
          <w:sz w:val="21"/>
          <w:szCs w:val="21"/>
        </w:rPr>
        <w:t>5.1  供应商认为招标文件、采购过程、中标和成交结果使自己的合法权益受到损害的，应当首先依法向采购人或采购人委托的</w:t>
      </w:r>
      <w:r>
        <w:rPr>
          <w:rFonts w:hint="eastAsia" w:hAnsi="宋体" w:cs="宋体"/>
          <w:sz w:val="21"/>
          <w:szCs w:val="21"/>
        </w:rPr>
        <w:t>采购代理机构</w:t>
      </w:r>
      <w:r>
        <w:rPr>
          <w:rFonts w:hint="eastAsia" w:hAnsi="宋体" w:cs="宋体"/>
          <w:bCs/>
          <w:sz w:val="21"/>
          <w:szCs w:val="21"/>
        </w:rPr>
        <w:t>提出质疑。对采购人、</w:t>
      </w:r>
      <w:r>
        <w:rPr>
          <w:rFonts w:hint="eastAsia" w:hAnsi="宋体" w:cs="宋体"/>
          <w:sz w:val="21"/>
          <w:szCs w:val="21"/>
        </w:rPr>
        <w:t>采购代理机构</w:t>
      </w:r>
      <w:r>
        <w:rPr>
          <w:rFonts w:hint="eastAsia" w:hAnsi="宋体" w:cs="宋体"/>
          <w:bCs/>
          <w:sz w:val="21"/>
          <w:szCs w:val="21"/>
        </w:rPr>
        <w:t>的答复不满意，或者采购人、</w:t>
      </w:r>
      <w:r>
        <w:rPr>
          <w:rFonts w:hint="eastAsia" w:hAnsi="宋体" w:cs="宋体"/>
          <w:sz w:val="21"/>
          <w:szCs w:val="21"/>
        </w:rPr>
        <w:t>采购代理机构</w:t>
      </w:r>
      <w:r>
        <w:rPr>
          <w:rFonts w:hint="eastAsia" w:hAnsi="宋体" w:cs="宋体"/>
          <w:bCs/>
          <w:sz w:val="21"/>
          <w:szCs w:val="21"/>
        </w:rPr>
        <w:t>未在规定期限内做出答复的，供应商可以在答复期满后十五个工作日内向政府采购管理部门提起投诉。</w:t>
      </w:r>
    </w:p>
    <w:p>
      <w:pPr>
        <w:pStyle w:val="14"/>
        <w:spacing w:line="440" w:lineRule="exact"/>
        <w:ind w:left="2" w:firstLine="357" w:firstLineChars="170"/>
        <w:jc w:val="left"/>
        <w:rPr>
          <w:rFonts w:hAnsi="宋体" w:cs="宋体"/>
          <w:sz w:val="21"/>
          <w:szCs w:val="21"/>
        </w:rPr>
      </w:pPr>
      <w:r>
        <w:rPr>
          <w:rFonts w:hint="eastAsia" w:hAnsi="宋体" w:cs="宋体"/>
          <w:sz w:val="21"/>
          <w:szCs w:val="21"/>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4"/>
        <w:spacing w:line="440" w:lineRule="exact"/>
        <w:ind w:left="2" w:firstLine="716" w:firstLineChars="341"/>
        <w:jc w:val="left"/>
        <w:rPr>
          <w:rFonts w:hAnsi="宋体" w:cs="宋体"/>
          <w:sz w:val="21"/>
          <w:szCs w:val="21"/>
        </w:rPr>
      </w:pPr>
      <w:r>
        <w:rPr>
          <w:rFonts w:hint="eastAsia" w:hAnsi="宋体" w:cs="宋体"/>
          <w:sz w:val="21"/>
          <w:szCs w:val="21"/>
        </w:rPr>
        <w:t>（1）投诉人和被投诉人的姓名或者名称、通讯地址、邮编、联系人及联系电话；</w:t>
      </w:r>
    </w:p>
    <w:p>
      <w:pPr>
        <w:pStyle w:val="14"/>
        <w:spacing w:line="440" w:lineRule="exact"/>
        <w:ind w:left="2" w:firstLine="716" w:firstLineChars="341"/>
        <w:jc w:val="left"/>
        <w:rPr>
          <w:rFonts w:hAnsi="宋体" w:cs="宋体"/>
          <w:sz w:val="21"/>
          <w:szCs w:val="21"/>
        </w:rPr>
      </w:pPr>
      <w:r>
        <w:rPr>
          <w:rFonts w:hint="eastAsia" w:hAnsi="宋体" w:cs="宋体"/>
          <w:sz w:val="21"/>
          <w:szCs w:val="21"/>
        </w:rPr>
        <w:t>（2）质疑和质疑答复情况说明及相关证明材料；</w:t>
      </w:r>
    </w:p>
    <w:p>
      <w:pPr>
        <w:pStyle w:val="14"/>
        <w:spacing w:line="440" w:lineRule="exact"/>
        <w:ind w:left="2" w:firstLine="716" w:firstLineChars="341"/>
        <w:jc w:val="left"/>
        <w:rPr>
          <w:rFonts w:hAnsi="宋体" w:cs="宋体"/>
          <w:sz w:val="21"/>
          <w:szCs w:val="21"/>
        </w:rPr>
      </w:pPr>
      <w:r>
        <w:rPr>
          <w:rFonts w:hint="eastAsia" w:hAnsi="宋体" w:cs="宋体"/>
          <w:sz w:val="21"/>
          <w:szCs w:val="21"/>
        </w:rPr>
        <w:t>（3）具体、明确的投诉事项和与投诉事项相关的投诉请求；</w:t>
      </w:r>
    </w:p>
    <w:p>
      <w:pPr>
        <w:pStyle w:val="14"/>
        <w:spacing w:line="440" w:lineRule="exact"/>
        <w:ind w:left="2" w:firstLine="716" w:firstLineChars="341"/>
        <w:jc w:val="left"/>
        <w:rPr>
          <w:rFonts w:hAnsi="宋体" w:cs="宋体"/>
          <w:sz w:val="21"/>
          <w:szCs w:val="21"/>
        </w:rPr>
      </w:pPr>
      <w:r>
        <w:rPr>
          <w:rFonts w:hint="eastAsia" w:hAnsi="宋体" w:cs="宋体"/>
          <w:sz w:val="21"/>
          <w:szCs w:val="21"/>
        </w:rPr>
        <w:t>（4）事实依据；</w:t>
      </w:r>
    </w:p>
    <w:p>
      <w:pPr>
        <w:pStyle w:val="14"/>
        <w:spacing w:line="440" w:lineRule="exact"/>
        <w:ind w:left="2" w:firstLine="716" w:firstLineChars="341"/>
        <w:jc w:val="left"/>
        <w:rPr>
          <w:rFonts w:hAnsi="宋体" w:cs="宋体"/>
          <w:sz w:val="21"/>
          <w:szCs w:val="21"/>
        </w:rPr>
      </w:pPr>
      <w:r>
        <w:rPr>
          <w:rFonts w:hint="eastAsia" w:hAnsi="宋体" w:cs="宋体"/>
          <w:sz w:val="21"/>
          <w:szCs w:val="21"/>
        </w:rPr>
        <w:t>（5）法律依据；</w:t>
      </w:r>
    </w:p>
    <w:p>
      <w:pPr>
        <w:pStyle w:val="14"/>
        <w:spacing w:line="440" w:lineRule="exact"/>
        <w:ind w:left="2" w:firstLine="716" w:firstLineChars="341"/>
        <w:jc w:val="left"/>
        <w:rPr>
          <w:rFonts w:hAnsi="宋体" w:cs="宋体"/>
          <w:sz w:val="21"/>
          <w:szCs w:val="21"/>
        </w:rPr>
      </w:pPr>
      <w:r>
        <w:rPr>
          <w:rFonts w:hint="eastAsia" w:hAnsi="宋体" w:cs="宋体"/>
          <w:sz w:val="21"/>
          <w:szCs w:val="21"/>
        </w:rPr>
        <w:t>（6）提起投诉的日期。</w:t>
      </w:r>
    </w:p>
    <w:p>
      <w:pPr>
        <w:pStyle w:val="14"/>
        <w:spacing w:line="440" w:lineRule="exact"/>
        <w:rPr>
          <w:rFonts w:hAnsi="宋体" w:cs="宋体"/>
          <w:sz w:val="21"/>
          <w:szCs w:val="21"/>
        </w:rPr>
      </w:pPr>
      <w:r>
        <w:rPr>
          <w:rFonts w:hint="eastAsia" w:hAnsi="宋体" w:cs="宋体"/>
          <w:sz w:val="21"/>
          <w:szCs w:val="21"/>
        </w:rPr>
        <w:t xml:space="preserve">    投诉人为自然人的，应当由本人签字；投诉人为法人或者其他组织的，应当由法定代表人、主要负责人，或者其授权代表签字或者盖章，并加盖公章。</w:t>
      </w:r>
    </w:p>
    <w:p>
      <w:pPr>
        <w:pStyle w:val="14"/>
        <w:spacing w:line="440" w:lineRule="exact"/>
        <w:ind w:firstLine="359" w:firstLineChars="171"/>
        <w:rPr>
          <w:rFonts w:hAnsi="宋体" w:cs="宋体"/>
          <w:sz w:val="21"/>
          <w:szCs w:val="21"/>
        </w:rPr>
      </w:pPr>
      <w:r>
        <w:rPr>
          <w:rFonts w:hint="eastAsia" w:hAnsi="宋体" w:cs="宋体"/>
          <w:sz w:val="21"/>
          <w:szCs w:val="21"/>
        </w:rPr>
        <w:t>5.3  投诉人可以委托代理人办理投诉事务。代理人办理投诉事务时，除提交投诉书外，还应当提交投诉人的授权委托书，授权委托书应当载明委托代理的具体权限和事项。</w:t>
      </w:r>
    </w:p>
    <w:p>
      <w:pPr>
        <w:pStyle w:val="14"/>
        <w:spacing w:line="440" w:lineRule="exact"/>
        <w:ind w:firstLine="359" w:firstLineChars="171"/>
        <w:rPr>
          <w:rFonts w:hAnsi="宋体" w:cs="宋体"/>
          <w:sz w:val="21"/>
          <w:szCs w:val="21"/>
        </w:rPr>
      </w:pPr>
      <w:r>
        <w:rPr>
          <w:rFonts w:hint="eastAsia" w:hAnsi="宋体" w:cs="宋体"/>
          <w:sz w:val="21"/>
          <w:szCs w:val="21"/>
        </w:rPr>
        <w:t>5.4  投诉人提起投诉应当符合下列条件：</w:t>
      </w:r>
    </w:p>
    <w:p>
      <w:pPr>
        <w:spacing w:line="440" w:lineRule="exact"/>
        <w:ind w:firstLine="720"/>
        <w:rPr>
          <w:rFonts w:ascii="宋体" w:hAnsi="宋体" w:cs="宋体"/>
          <w:sz w:val="21"/>
          <w:szCs w:val="21"/>
        </w:rPr>
      </w:pPr>
      <w:r>
        <w:rPr>
          <w:rFonts w:hint="eastAsia" w:ascii="宋体" w:hAnsi="宋体" w:cs="宋体"/>
          <w:sz w:val="21"/>
          <w:szCs w:val="21"/>
        </w:rPr>
        <w:t>（1）投诉人是参与所投诉政府采购活动的供应商；</w:t>
      </w:r>
    </w:p>
    <w:p>
      <w:pPr>
        <w:spacing w:line="440" w:lineRule="exact"/>
        <w:ind w:firstLine="720"/>
        <w:rPr>
          <w:rFonts w:ascii="宋体" w:hAnsi="宋体" w:cs="宋体"/>
          <w:sz w:val="21"/>
          <w:szCs w:val="21"/>
        </w:rPr>
      </w:pPr>
      <w:r>
        <w:rPr>
          <w:rFonts w:hint="eastAsia" w:ascii="宋体" w:hAnsi="宋体" w:cs="宋体"/>
          <w:sz w:val="21"/>
          <w:szCs w:val="21"/>
        </w:rPr>
        <w:t>（2）提起投诉前已依法进行质疑；</w:t>
      </w:r>
    </w:p>
    <w:p>
      <w:pPr>
        <w:spacing w:line="440" w:lineRule="exact"/>
        <w:ind w:firstLine="720"/>
        <w:rPr>
          <w:rFonts w:ascii="宋体" w:hAnsi="宋体" w:cs="宋体"/>
          <w:sz w:val="21"/>
          <w:szCs w:val="21"/>
        </w:rPr>
      </w:pPr>
      <w:r>
        <w:rPr>
          <w:rFonts w:hint="eastAsia" w:ascii="宋体" w:hAnsi="宋体" w:cs="宋体"/>
          <w:sz w:val="21"/>
          <w:szCs w:val="21"/>
        </w:rPr>
        <w:t>（3）投诉书内容符合本章第5.2项的规定；</w:t>
      </w:r>
    </w:p>
    <w:p>
      <w:pPr>
        <w:spacing w:line="440" w:lineRule="exact"/>
        <w:ind w:firstLine="720"/>
        <w:rPr>
          <w:rFonts w:ascii="宋体" w:hAnsi="宋体" w:cs="宋体"/>
          <w:sz w:val="21"/>
          <w:szCs w:val="21"/>
        </w:rPr>
      </w:pPr>
      <w:r>
        <w:rPr>
          <w:rFonts w:hint="eastAsia" w:ascii="宋体" w:hAnsi="宋体" w:cs="宋体"/>
          <w:sz w:val="21"/>
          <w:szCs w:val="21"/>
        </w:rPr>
        <w:t>（4）在投诉有效期限内提起投诉；</w:t>
      </w:r>
    </w:p>
    <w:p>
      <w:pPr>
        <w:spacing w:line="440" w:lineRule="exact"/>
        <w:ind w:firstLine="720"/>
        <w:rPr>
          <w:rFonts w:ascii="宋体" w:hAnsi="宋体" w:cs="宋体"/>
          <w:sz w:val="21"/>
          <w:szCs w:val="21"/>
        </w:rPr>
      </w:pPr>
      <w:r>
        <w:rPr>
          <w:rFonts w:hint="eastAsia" w:ascii="宋体" w:hAnsi="宋体" w:cs="宋体"/>
          <w:sz w:val="21"/>
          <w:szCs w:val="21"/>
        </w:rPr>
        <w:t>（5）属于</w:t>
      </w:r>
      <w:r>
        <w:rPr>
          <w:rFonts w:hint="eastAsia" w:ascii="宋体" w:hAnsi="宋体" w:cs="宋体"/>
          <w:bCs/>
          <w:sz w:val="21"/>
          <w:szCs w:val="21"/>
        </w:rPr>
        <w:t>政府采购管理</w:t>
      </w:r>
      <w:r>
        <w:rPr>
          <w:rFonts w:hint="eastAsia" w:ascii="宋体" w:hAnsi="宋体" w:cs="宋体"/>
          <w:sz w:val="21"/>
          <w:szCs w:val="21"/>
        </w:rPr>
        <w:t>部门管辖；</w:t>
      </w:r>
    </w:p>
    <w:p>
      <w:pPr>
        <w:spacing w:line="440" w:lineRule="exact"/>
        <w:ind w:firstLine="720"/>
        <w:rPr>
          <w:rFonts w:ascii="宋体" w:hAnsi="宋体" w:cs="宋体"/>
          <w:sz w:val="21"/>
          <w:szCs w:val="21"/>
        </w:rPr>
      </w:pPr>
      <w:r>
        <w:rPr>
          <w:rFonts w:hint="eastAsia" w:ascii="宋体" w:hAnsi="宋体" w:cs="宋体"/>
          <w:sz w:val="21"/>
          <w:szCs w:val="21"/>
        </w:rPr>
        <w:t>（6）同一投诉事项未经</w:t>
      </w:r>
      <w:r>
        <w:rPr>
          <w:rFonts w:hint="eastAsia" w:ascii="宋体" w:hAnsi="宋体" w:cs="宋体"/>
          <w:bCs/>
          <w:sz w:val="21"/>
          <w:szCs w:val="21"/>
        </w:rPr>
        <w:t>政府采购管理</w:t>
      </w:r>
      <w:r>
        <w:rPr>
          <w:rFonts w:hint="eastAsia" w:ascii="宋体" w:hAnsi="宋体" w:cs="宋体"/>
          <w:sz w:val="21"/>
          <w:szCs w:val="21"/>
        </w:rPr>
        <w:t>部门投诉处理；</w:t>
      </w:r>
    </w:p>
    <w:p>
      <w:pPr>
        <w:spacing w:line="440" w:lineRule="exact"/>
        <w:ind w:firstLine="720"/>
        <w:rPr>
          <w:rFonts w:ascii="宋体" w:hAnsi="宋体" w:cs="宋体"/>
          <w:sz w:val="21"/>
          <w:szCs w:val="21"/>
        </w:rPr>
      </w:pPr>
      <w:r>
        <w:rPr>
          <w:rFonts w:hint="eastAsia" w:ascii="宋体" w:hAnsi="宋体" w:cs="宋体"/>
          <w:sz w:val="21"/>
          <w:szCs w:val="21"/>
        </w:rPr>
        <w:t>（7）国务院财政部门规定的其他条件。</w:t>
      </w:r>
    </w:p>
    <w:p>
      <w:pPr>
        <w:spacing w:line="440" w:lineRule="exact"/>
        <w:ind w:firstLine="360"/>
        <w:rPr>
          <w:rFonts w:ascii="宋体" w:hAnsi="宋体" w:cs="宋体"/>
          <w:sz w:val="21"/>
          <w:szCs w:val="21"/>
        </w:rPr>
      </w:pPr>
      <w:r>
        <w:rPr>
          <w:rFonts w:hint="eastAsia" w:ascii="宋体" w:hAnsi="宋体" w:cs="宋体"/>
          <w:sz w:val="21"/>
          <w:szCs w:val="21"/>
        </w:rPr>
        <w:t>5.5 政府采购管理部门自受理投诉之日起三十个工作日内，对投诉事项作出处理决定，并以书面形式通知投诉人、被投诉人及其他与投诉处理结果有利害关系的政府采购当事人。</w:t>
      </w:r>
    </w:p>
    <w:p>
      <w:pPr>
        <w:spacing w:line="440" w:lineRule="exact"/>
        <w:ind w:firstLine="360"/>
        <w:rPr>
          <w:rFonts w:ascii="宋体" w:hAnsi="宋体" w:cs="宋体"/>
          <w:sz w:val="21"/>
          <w:szCs w:val="21"/>
        </w:rPr>
      </w:pPr>
      <w:r>
        <w:rPr>
          <w:rFonts w:hint="eastAsia" w:ascii="宋体" w:hAnsi="宋体" w:cs="宋体"/>
          <w:sz w:val="21"/>
          <w:szCs w:val="21"/>
        </w:rPr>
        <w:t xml:space="preserve">5.6 </w:t>
      </w:r>
      <w:r>
        <w:rPr>
          <w:rFonts w:hint="eastAsia" w:ascii="宋体" w:hAnsi="宋体" w:cs="宋体"/>
          <w:bCs/>
          <w:sz w:val="21"/>
          <w:szCs w:val="21"/>
        </w:rPr>
        <w:t>政府采购管理</w:t>
      </w:r>
      <w:r>
        <w:rPr>
          <w:rFonts w:hint="eastAsia" w:ascii="宋体" w:hAnsi="宋体" w:cs="宋体"/>
          <w:sz w:val="21"/>
          <w:szCs w:val="21"/>
        </w:rPr>
        <w:t>部门在处理投诉事项期间，可以视具体情况暂停采购活动。</w:t>
      </w:r>
    </w:p>
    <w:p>
      <w:pPr>
        <w:pStyle w:val="14"/>
        <w:jc w:val="center"/>
        <w:outlineLvl w:val="1"/>
        <w:rPr>
          <w:rFonts w:hAnsi="宋体" w:cs="宋体"/>
          <w:b/>
          <w:sz w:val="21"/>
          <w:szCs w:val="21"/>
        </w:rPr>
      </w:pPr>
      <w:r>
        <w:rPr>
          <w:rFonts w:hint="eastAsia" w:hAnsi="宋体" w:cs="宋体"/>
          <w:b/>
          <w:sz w:val="21"/>
          <w:szCs w:val="21"/>
        </w:rPr>
        <w:t>二    公开招标文件</w:t>
      </w:r>
    </w:p>
    <w:p>
      <w:pPr>
        <w:pStyle w:val="14"/>
        <w:spacing w:line="440" w:lineRule="exact"/>
        <w:rPr>
          <w:rFonts w:hAnsi="宋体" w:cs="宋体"/>
          <w:bCs/>
          <w:sz w:val="21"/>
          <w:szCs w:val="21"/>
        </w:rPr>
      </w:pPr>
      <w:r>
        <w:rPr>
          <w:rFonts w:hint="eastAsia" w:hAnsi="宋体" w:cs="宋体"/>
          <w:bCs/>
          <w:sz w:val="21"/>
          <w:szCs w:val="21"/>
        </w:rPr>
        <w:t>6.  公开招标文件的组成</w:t>
      </w:r>
    </w:p>
    <w:p>
      <w:pPr>
        <w:pStyle w:val="14"/>
        <w:spacing w:line="440" w:lineRule="exact"/>
        <w:ind w:firstLine="359" w:firstLineChars="171"/>
        <w:rPr>
          <w:rFonts w:hAnsi="宋体" w:cs="宋体"/>
          <w:sz w:val="21"/>
          <w:szCs w:val="21"/>
        </w:rPr>
      </w:pPr>
      <w:r>
        <w:rPr>
          <w:rFonts w:hint="eastAsia" w:hAnsi="宋体" w:cs="宋体"/>
          <w:sz w:val="21"/>
          <w:szCs w:val="21"/>
        </w:rPr>
        <w:t>6.1  本</w:t>
      </w:r>
      <w:r>
        <w:rPr>
          <w:rFonts w:hint="eastAsia" w:hAnsi="宋体" w:cs="宋体"/>
          <w:bCs/>
          <w:sz w:val="21"/>
          <w:szCs w:val="21"/>
        </w:rPr>
        <w:t>公开招标</w:t>
      </w:r>
      <w:r>
        <w:rPr>
          <w:rFonts w:hint="eastAsia" w:hAnsi="宋体" w:cs="宋体"/>
          <w:sz w:val="21"/>
          <w:szCs w:val="21"/>
        </w:rPr>
        <w:t>文件包括六个章节，各章的内容如下：</w:t>
      </w:r>
    </w:p>
    <w:p>
      <w:pPr>
        <w:pStyle w:val="14"/>
        <w:spacing w:line="440" w:lineRule="exact"/>
        <w:ind w:firstLine="359" w:firstLineChars="171"/>
        <w:rPr>
          <w:rFonts w:hAnsi="宋体" w:cs="宋体"/>
          <w:bCs/>
          <w:sz w:val="21"/>
          <w:szCs w:val="21"/>
        </w:rPr>
      </w:pPr>
      <w:r>
        <w:rPr>
          <w:rFonts w:hint="eastAsia" w:hAnsi="宋体" w:cs="宋体"/>
          <w:bCs/>
          <w:sz w:val="21"/>
          <w:szCs w:val="21"/>
        </w:rPr>
        <w:t>第一章  公告</w:t>
      </w:r>
    </w:p>
    <w:p>
      <w:pPr>
        <w:pStyle w:val="14"/>
        <w:spacing w:line="440" w:lineRule="exact"/>
        <w:ind w:firstLine="359" w:firstLineChars="171"/>
        <w:rPr>
          <w:rFonts w:hAnsi="宋体" w:cs="宋体"/>
          <w:bCs/>
          <w:sz w:val="21"/>
          <w:szCs w:val="21"/>
        </w:rPr>
      </w:pPr>
      <w:r>
        <w:rPr>
          <w:rFonts w:hint="eastAsia" w:hAnsi="宋体" w:cs="宋体"/>
          <w:bCs/>
          <w:sz w:val="21"/>
          <w:szCs w:val="21"/>
        </w:rPr>
        <w:t>第二章  投标人须知</w:t>
      </w:r>
    </w:p>
    <w:p>
      <w:pPr>
        <w:pStyle w:val="14"/>
        <w:spacing w:line="440" w:lineRule="exact"/>
        <w:ind w:firstLine="359" w:firstLineChars="171"/>
        <w:rPr>
          <w:rFonts w:hAnsi="宋体" w:cs="宋体"/>
          <w:bCs/>
          <w:sz w:val="21"/>
          <w:szCs w:val="21"/>
        </w:rPr>
      </w:pPr>
      <w:r>
        <w:rPr>
          <w:rFonts w:hint="eastAsia" w:hAnsi="宋体" w:cs="宋体"/>
          <w:bCs/>
          <w:sz w:val="21"/>
          <w:szCs w:val="21"/>
        </w:rPr>
        <w:t>第三章  服务需求一览表</w:t>
      </w:r>
    </w:p>
    <w:p>
      <w:pPr>
        <w:pStyle w:val="14"/>
        <w:spacing w:line="440" w:lineRule="exact"/>
        <w:ind w:firstLine="359" w:firstLineChars="171"/>
        <w:rPr>
          <w:rFonts w:hAnsi="宋体" w:cs="宋体"/>
          <w:bCs/>
          <w:sz w:val="21"/>
          <w:szCs w:val="21"/>
        </w:rPr>
      </w:pPr>
      <w:r>
        <w:rPr>
          <w:rFonts w:hint="eastAsia" w:hAnsi="宋体" w:cs="宋体"/>
          <w:bCs/>
          <w:sz w:val="21"/>
          <w:szCs w:val="21"/>
        </w:rPr>
        <w:t>第四章  投标文件格式</w:t>
      </w:r>
    </w:p>
    <w:p>
      <w:pPr>
        <w:pStyle w:val="14"/>
        <w:spacing w:line="440" w:lineRule="exact"/>
        <w:ind w:firstLine="359" w:firstLineChars="171"/>
        <w:rPr>
          <w:rFonts w:hAnsi="宋体" w:cs="宋体"/>
          <w:bCs/>
          <w:sz w:val="21"/>
          <w:szCs w:val="21"/>
        </w:rPr>
      </w:pPr>
      <w:r>
        <w:rPr>
          <w:rFonts w:hint="eastAsia" w:hAnsi="宋体" w:cs="宋体"/>
          <w:bCs/>
          <w:sz w:val="21"/>
          <w:szCs w:val="21"/>
        </w:rPr>
        <w:t>第五章  合同条款及格式</w:t>
      </w:r>
    </w:p>
    <w:p>
      <w:pPr>
        <w:pStyle w:val="14"/>
        <w:spacing w:line="440" w:lineRule="exact"/>
        <w:ind w:firstLine="359" w:firstLineChars="171"/>
        <w:rPr>
          <w:rFonts w:hAnsi="宋体" w:cs="宋体"/>
          <w:bCs/>
          <w:sz w:val="21"/>
          <w:szCs w:val="21"/>
        </w:rPr>
      </w:pPr>
      <w:r>
        <w:rPr>
          <w:rFonts w:hint="eastAsia" w:hAnsi="宋体" w:cs="宋体"/>
          <w:bCs/>
          <w:sz w:val="21"/>
          <w:szCs w:val="21"/>
        </w:rPr>
        <w:t>第六章  质疑材料格式</w:t>
      </w:r>
    </w:p>
    <w:p>
      <w:pPr>
        <w:pStyle w:val="14"/>
        <w:spacing w:line="440" w:lineRule="exact"/>
        <w:ind w:firstLine="359" w:firstLineChars="171"/>
        <w:rPr>
          <w:rFonts w:hAnsi="宋体" w:cs="宋体"/>
          <w:bCs/>
          <w:sz w:val="21"/>
          <w:szCs w:val="21"/>
        </w:rPr>
      </w:pPr>
      <w:r>
        <w:rPr>
          <w:rFonts w:hint="eastAsia" w:hAnsi="宋体" w:cs="宋体"/>
          <w:bCs/>
          <w:sz w:val="21"/>
          <w:szCs w:val="21"/>
        </w:rPr>
        <w:t>第七章  评标方法</w:t>
      </w:r>
    </w:p>
    <w:p>
      <w:pPr>
        <w:pStyle w:val="14"/>
        <w:spacing w:line="440" w:lineRule="exact"/>
        <w:ind w:firstLine="359" w:firstLineChars="171"/>
        <w:rPr>
          <w:rFonts w:hAnsi="宋体" w:cs="宋体"/>
          <w:sz w:val="21"/>
          <w:szCs w:val="21"/>
        </w:rPr>
      </w:pPr>
      <w:r>
        <w:rPr>
          <w:rFonts w:hint="eastAsia" w:hAnsi="宋体" w:cs="宋体"/>
          <w:sz w:val="21"/>
          <w:szCs w:val="21"/>
        </w:rPr>
        <w:t>6.2根据本章第7.1项的规定对公开招标文件所做的澄清、修改，构成招标文件的组成部分。当公开招标文件与招标文件的澄清和修改就同一内容的表述不一致时，以最后发出的书面文件为准。</w:t>
      </w:r>
    </w:p>
    <w:p>
      <w:pPr>
        <w:pStyle w:val="14"/>
        <w:spacing w:line="440" w:lineRule="exact"/>
        <w:rPr>
          <w:rFonts w:hAnsi="宋体" w:cs="宋体"/>
          <w:bCs/>
          <w:sz w:val="21"/>
          <w:szCs w:val="21"/>
        </w:rPr>
      </w:pPr>
      <w:r>
        <w:rPr>
          <w:rFonts w:hint="eastAsia" w:hAnsi="宋体" w:cs="宋体"/>
          <w:bCs/>
          <w:sz w:val="21"/>
          <w:szCs w:val="21"/>
        </w:rPr>
        <w:t>7.  招标文件的澄清和修改</w:t>
      </w:r>
    </w:p>
    <w:p>
      <w:pPr>
        <w:pStyle w:val="14"/>
        <w:spacing w:after="165" w:line="440" w:lineRule="exact"/>
        <w:ind w:left="2" w:firstLine="480"/>
        <w:rPr>
          <w:rFonts w:hAnsi="宋体" w:cs="宋体"/>
          <w:sz w:val="21"/>
          <w:szCs w:val="21"/>
        </w:rPr>
      </w:pPr>
      <w:r>
        <w:rPr>
          <w:rFonts w:hint="eastAsia" w:hAnsi="宋体" w:cs="宋体"/>
          <w:sz w:val="21"/>
          <w:szCs w:val="21"/>
        </w:rPr>
        <w:t>7.1  投标人应认真审阅本公开招标文件，如有疑问，或发现其中有误或有要求不合理的，应在投标人须知前附表规定的</w:t>
      </w:r>
      <w:r>
        <w:rPr>
          <w:rFonts w:hint="eastAsia" w:hAnsi="宋体" w:cs="宋体"/>
          <w:kern w:val="0"/>
          <w:sz w:val="21"/>
          <w:szCs w:val="21"/>
        </w:rPr>
        <w:t>投标人要求澄清的截止时间</w:t>
      </w:r>
      <w:r>
        <w:rPr>
          <w:rFonts w:hint="eastAsia" w:hAnsi="宋体" w:cs="宋体"/>
          <w:sz w:val="21"/>
          <w:szCs w:val="21"/>
        </w:rPr>
        <w:t>前以书面形式要求采购人或采购代理机构对招标文件予以澄清；否则，由此产生的后果由投标人自行负责。</w:t>
      </w:r>
    </w:p>
    <w:p>
      <w:pPr>
        <w:pStyle w:val="14"/>
        <w:spacing w:after="165" w:line="440" w:lineRule="exact"/>
        <w:ind w:left="2" w:firstLine="480"/>
        <w:rPr>
          <w:rFonts w:hAnsi="宋体" w:cs="宋体"/>
          <w:sz w:val="21"/>
          <w:szCs w:val="21"/>
        </w:rPr>
      </w:pPr>
      <w:r>
        <w:rPr>
          <w:rFonts w:hint="eastAsia" w:hAnsi="宋体" w:cs="宋体"/>
          <w:sz w:val="21"/>
          <w:szCs w:val="21"/>
        </w:rPr>
        <w:t>7.2  采购人或采购代理机构必须在投标截止时间十五日前，以书面形式答复投标人要求澄清的问题，并将不包含问题来源的澄清通知（在</w:t>
      </w:r>
      <w:r>
        <w:rPr>
          <w:rFonts w:hint="eastAsia" w:hAnsi="宋体" w:cs="宋体"/>
          <w:kern w:val="0"/>
          <w:sz w:val="21"/>
          <w:szCs w:val="21"/>
        </w:rPr>
        <w:t>本章第2.1项规定的政府采购信息发布媒体上</w:t>
      </w:r>
      <w:r>
        <w:rPr>
          <w:rFonts w:hint="eastAsia" w:hAnsi="宋体" w:cs="宋体"/>
          <w:sz w:val="21"/>
          <w:szCs w:val="21"/>
        </w:rPr>
        <w:t>发布更正公告）所有获取招标文件的潜在投标人，除书面澄清以外的其他澄清方式及澄清内容均无效。如果澄清发出的时间距投标截止时间不足十五日，则相应延长投标截止时间。</w:t>
      </w:r>
    </w:p>
    <w:p>
      <w:pPr>
        <w:pStyle w:val="14"/>
        <w:spacing w:after="165" w:line="440" w:lineRule="exact"/>
        <w:ind w:left="2" w:firstLine="480"/>
        <w:rPr>
          <w:rFonts w:hAnsi="宋体" w:cs="宋体"/>
          <w:sz w:val="21"/>
          <w:szCs w:val="21"/>
        </w:rPr>
      </w:pPr>
      <w:r>
        <w:rPr>
          <w:rFonts w:hint="eastAsia" w:hAnsi="宋体" w:cs="宋体"/>
          <w:sz w:val="21"/>
          <w:szCs w:val="21"/>
        </w:rPr>
        <w:t>7.3  采购人或采购代理机构对已发出的招标文件进行必要修改的，应在投标截止时间十五日前，以书面形式（在</w:t>
      </w:r>
      <w:r>
        <w:rPr>
          <w:rFonts w:hint="eastAsia" w:hAnsi="宋体" w:cs="宋体"/>
          <w:kern w:val="0"/>
          <w:sz w:val="21"/>
          <w:szCs w:val="21"/>
        </w:rPr>
        <w:t>本章第2.1项规定的政府采购信息发布媒体上</w:t>
      </w:r>
      <w:r>
        <w:rPr>
          <w:rFonts w:hint="eastAsia" w:hAnsi="宋体" w:cs="宋体"/>
          <w:sz w:val="21"/>
          <w:szCs w:val="21"/>
        </w:rPr>
        <w:t>发布更正公告）通知所有获取招标文件的潜在投标人。如果修改招标文件的时间距投标截止时间不足十五日，则相应延长投标截止时间。</w:t>
      </w:r>
    </w:p>
    <w:p>
      <w:pPr>
        <w:pStyle w:val="14"/>
        <w:spacing w:line="440" w:lineRule="exact"/>
        <w:ind w:left="2" w:firstLine="360"/>
        <w:rPr>
          <w:rFonts w:hint="eastAsia" w:hAnsi="宋体" w:cs="宋体"/>
          <w:sz w:val="21"/>
          <w:szCs w:val="21"/>
        </w:rPr>
      </w:pPr>
      <w:r>
        <w:rPr>
          <w:rFonts w:hint="eastAsia" w:hAnsi="宋体" w:cs="宋体"/>
          <w:sz w:val="21"/>
          <w:szCs w:val="21"/>
        </w:rPr>
        <w:t>7.4  采购人和采购代理机构可以视采购具体情况，延长投标截止时间和开标时间，但至少应当在投标截止时间三日前，将变更时间书面通知（在</w:t>
      </w:r>
      <w:r>
        <w:rPr>
          <w:rFonts w:hint="eastAsia" w:hAnsi="宋体" w:cs="宋体"/>
          <w:kern w:val="0"/>
          <w:sz w:val="21"/>
          <w:szCs w:val="21"/>
        </w:rPr>
        <w:t>本章第2.1项规定的政府采购信息发布媒体上</w:t>
      </w:r>
      <w:r>
        <w:rPr>
          <w:rFonts w:hint="eastAsia" w:hAnsi="宋体" w:cs="宋体"/>
          <w:sz w:val="21"/>
          <w:szCs w:val="21"/>
        </w:rPr>
        <w:t>发布更正公告）所有获取招标文件的潜在投标人。</w:t>
      </w:r>
    </w:p>
    <w:p>
      <w:pPr>
        <w:pStyle w:val="14"/>
        <w:spacing w:line="440" w:lineRule="exact"/>
        <w:ind w:left="2" w:firstLine="360"/>
        <w:jc w:val="center"/>
        <w:rPr>
          <w:rFonts w:hAnsi="宋体" w:cs="宋体"/>
          <w:b/>
          <w:sz w:val="21"/>
          <w:szCs w:val="21"/>
        </w:rPr>
      </w:pPr>
      <w:r>
        <w:rPr>
          <w:rFonts w:hint="eastAsia" w:hAnsi="宋体" w:cs="宋体"/>
          <w:b/>
          <w:sz w:val="21"/>
          <w:szCs w:val="21"/>
        </w:rPr>
        <w:t>三    投标文件</w:t>
      </w:r>
    </w:p>
    <w:p>
      <w:pPr>
        <w:pStyle w:val="14"/>
        <w:spacing w:line="440" w:lineRule="exact"/>
        <w:rPr>
          <w:rFonts w:hAnsi="宋体" w:cs="宋体"/>
          <w:bCs/>
          <w:sz w:val="21"/>
          <w:szCs w:val="21"/>
        </w:rPr>
      </w:pPr>
      <w:r>
        <w:rPr>
          <w:rFonts w:hint="eastAsia" w:hAnsi="宋体" w:cs="宋体"/>
          <w:bCs/>
          <w:sz w:val="21"/>
          <w:szCs w:val="21"/>
        </w:rPr>
        <w:t>8.  投标文件的编制</w:t>
      </w:r>
    </w:p>
    <w:p>
      <w:pPr>
        <w:pStyle w:val="14"/>
        <w:spacing w:line="440" w:lineRule="exact"/>
        <w:ind w:left="2" w:firstLine="360"/>
        <w:rPr>
          <w:rFonts w:hAnsi="宋体" w:cs="宋体"/>
          <w:sz w:val="21"/>
          <w:szCs w:val="21"/>
        </w:rPr>
      </w:pPr>
      <w:r>
        <w:rPr>
          <w:rFonts w:hint="eastAsia" w:hAnsi="宋体" w:cs="宋体"/>
          <w:sz w:val="21"/>
          <w:szCs w:val="21"/>
        </w:rPr>
        <w:t>8.1  投标人应仔细阅读招标文件，在充分了解招标的内容、技术参数要求和商务条款以及实质性要求和条件后，编写投标文件。</w:t>
      </w:r>
    </w:p>
    <w:p>
      <w:pPr>
        <w:pStyle w:val="14"/>
        <w:spacing w:line="440" w:lineRule="exact"/>
        <w:ind w:left="2" w:firstLine="360"/>
        <w:rPr>
          <w:rFonts w:hAnsi="宋体" w:cs="宋体"/>
          <w:sz w:val="21"/>
          <w:szCs w:val="21"/>
        </w:rPr>
      </w:pPr>
      <w:r>
        <w:rPr>
          <w:rFonts w:hint="eastAsia" w:hAnsi="宋体" w:cs="宋体"/>
          <w:sz w:val="21"/>
          <w:szCs w:val="21"/>
        </w:rPr>
        <w:t>8.2  对招标文件的实质性要求和条件作出响应是指投标人必须对招标文件中标注为实质性要求和条件的技术参数要求、商务条款及其它内容作出满足或者优于原要求和条件的承诺。</w:t>
      </w:r>
    </w:p>
    <w:p>
      <w:pPr>
        <w:pStyle w:val="14"/>
        <w:spacing w:line="440" w:lineRule="exact"/>
        <w:ind w:left="2" w:firstLine="360"/>
        <w:rPr>
          <w:rFonts w:hAnsi="宋体" w:cs="宋体"/>
          <w:sz w:val="21"/>
          <w:szCs w:val="21"/>
        </w:rPr>
      </w:pPr>
      <w:r>
        <w:rPr>
          <w:rFonts w:hint="eastAsia" w:hAnsi="宋体" w:cs="宋体"/>
          <w:sz w:val="21"/>
          <w:szCs w:val="21"/>
        </w:rPr>
        <w:t>8.3  招标文件中标注★号的内容为实质性要求和条件。</w:t>
      </w:r>
    </w:p>
    <w:p>
      <w:pPr>
        <w:pStyle w:val="14"/>
        <w:spacing w:line="440" w:lineRule="exact"/>
        <w:ind w:left="2" w:firstLine="360"/>
        <w:rPr>
          <w:rFonts w:hAnsi="宋体" w:cs="宋体"/>
          <w:sz w:val="21"/>
          <w:szCs w:val="21"/>
        </w:rPr>
      </w:pPr>
      <w:r>
        <w:rPr>
          <w:rFonts w:hint="eastAsia" w:hAnsi="宋体" w:cs="宋体"/>
          <w:sz w:val="21"/>
          <w:szCs w:val="21"/>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4"/>
        <w:spacing w:line="440" w:lineRule="exact"/>
        <w:ind w:left="2" w:firstLine="360"/>
        <w:rPr>
          <w:rFonts w:hAnsi="宋体" w:cs="宋体"/>
          <w:sz w:val="21"/>
          <w:szCs w:val="21"/>
        </w:rPr>
      </w:pPr>
      <w:r>
        <w:rPr>
          <w:rFonts w:hint="eastAsia" w:hAnsi="宋体" w:cs="宋体"/>
          <w:sz w:val="21"/>
          <w:szCs w:val="21"/>
        </w:rPr>
        <w:t>8.5  第五章“投标文件格式”中规定了投标文件格式的，应按相应格式要求编写。</w:t>
      </w:r>
    </w:p>
    <w:p>
      <w:pPr>
        <w:pStyle w:val="14"/>
        <w:spacing w:line="440" w:lineRule="exact"/>
        <w:ind w:left="2" w:firstLine="360"/>
        <w:rPr>
          <w:rFonts w:hAnsi="宋体" w:cs="宋体"/>
          <w:b/>
          <w:sz w:val="21"/>
          <w:szCs w:val="21"/>
        </w:rPr>
      </w:pPr>
      <w:r>
        <w:rPr>
          <w:rFonts w:hint="eastAsia" w:hAnsi="宋体" w:cs="宋体"/>
          <w:sz w:val="21"/>
          <w:szCs w:val="21"/>
        </w:rPr>
        <w:t>8.6  投标文件应由投标人的法定代表人（负责人）或其委托代理人在凡规定签章处逐一签字或盖章并加盖单位公章。投标文件应尽量避免涂改、行间插字或删除。如果出现上述情况，改动之处应加盖单位公章或由投标人的法定代表人（负责人）或其委托代理人签字或盖章确认。</w:t>
      </w:r>
      <w:r>
        <w:rPr>
          <w:rFonts w:hint="eastAsia" w:hAnsi="宋体" w:cs="宋体"/>
          <w:b/>
          <w:sz w:val="21"/>
          <w:szCs w:val="21"/>
        </w:rPr>
        <w:t>若以联合体形式投标，需在投标文件封面和《联合体投标协议书》和《投标联合体授权主体方协议书》加盖所有单位公章，其余位置允许仅加盖联合体主体方单位公章。</w:t>
      </w:r>
    </w:p>
    <w:p>
      <w:pPr>
        <w:pStyle w:val="14"/>
        <w:spacing w:line="440" w:lineRule="exact"/>
        <w:ind w:left="2" w:firstLine="360"/>
        <w:rPr>
          <w:rFonts w:hAnsi="宋体" w:cs="宋体"/>
          <w:sz w:val="21"/>
          <w:szCs w:val="21"/>
        </w:rPr>
      </w:pPr>
      <w:r>
        <w:rPr>
          <w:rFonts w:hint="eastAsia" w:hAnsi="宋体" w:cs="宋体"/>
          <w:sz w:val="21"/>
          <w:szCs w:val="21"/>
        </w:rPr>
        <w:t>8.7  投标文件应编制目录，且页码清晰准确。</w:t>
      </w:r>
    </w:p>
    <w:p>
      <w:pPr>
        <w:pStyle w:val="14"/>
        <w:spacing w:line="440" w:lineRule="exact"/>
        <w:ind w:left="2" w:firstLine="360"/>
        <w:rPr>
          <w:rFonts w:hAnsi="宋体" w:cs="宋体"/>
          <w:sz w:val="21"/>
          <w:szCs w:val="21"/>
        </w:rPr>
      </w:pPr>
      <w:r>
        <w:rPr>
          <w:rFonts w:hint="eastAsia" w:hAnsi="宋体" w:cs="宋体"/>
          <w:sz w:val="21"/>
          <w:szCs w:val="21"/>
        </w:rPr>
        <w:t>8.8  投标文件的正本和副本应分别装订成册，封面上应清楚地标记“正本”或“副本”字样，并标明项目名称、项目编号、投标人名称等内容。副本可以采用正本的复印件，当副本和正本不一致时，以正本为准。投标人应准备报价文件、资格文件、技术文件和商务文件正本各一份，副本份数见投标人须知前附表。</w:t>
      </w:r>
    </w:p>
    <w:p>
      <w:pPr>
        <w:pStyle w:val="14"/>
        <w:spacing w:line="440" w:lineRule="exact"/>
        <w:rPr>
          <w:rFonts w:hAnsi="宋体" w:cs="宋体"/>
          <w:bCs/>
          <w:sz w:val="21"/>
          <w:szCs w:val="21"/>
        </w:rPr>
      </w:pPr>
      <w:r>
        <w:rPr>
          <w:rFonts w:hint="eastAsia" w:hAnsi="宋体" w:cs="宋体"/>
          <w:bCs/>
          <w:sz w:val="21"/>
          <w:szCs w:val="21"/>
        </w:rPr>
        <w:t>9.  投标语言文字及计量单位</w:t>
      </w:r>
    </w:p>
    <w:p>
      <w:pPr>
        <w:pStyle w:val="14"/>
        <w:spacing w:line="440" w:lineRule="exact"/>
        <w:ind w:firstLine="360"/>
        <w:rPr>
          <w:rFonts w:hAnsi="宋体" w:cs="宋体"/>
          <w:sz w:val="21"/>
          <w:szCs w:val="21"/>
        </w:rPr>
      </w:pPr>
      <w:r>
        <w:rPr>
          <w:rFonts w:hint="eastAsia" w:hAnsi="宋体" w:cs="宋体"/>
          <w:sz w:val="21"/>
          <w:szCs w:val="21"/>
        </w:rPr>
        <w:t>9.1  投标人的投标文件以及投标人与采购人、采购代理机构就有关投标的所有往来函电统一使用中文（特别规定除外）。</w:t>
      </w:r>
    </w:p>
    <w:p>
      <w:pPr>
        <w:pStyle w:val="14"/>
        <w:spacing w:line="440" w:lineRule="exact"/>
        <w:ind w:firstLine="360"/>
        <w:rPr>
          <w:rFonts w:hAnsi="宋体" w:cs="宋体"/>
          <w:sz w:val="21"/>
          <w:szCs w:val="21"/>
        </w:rPr>
      </w:pPr>
      <w:r>
        <w:rPr>
          <w:rFonts w:hint="eastAsia" w:hAnsi="宋体" w:cs="宋体"/>
          <w:sz w:val="21"/>
          <w:szCs w:val="21"/>
        </w:rPr>
        <w:t>9.2  对不同文字文本投标文件的解释发生异议的，以中文文本为准。</w:t>
      </w:r>
    </w:p>
    <w:p>
      <w:pPr>
        <w:pStyle w:val="14"/>
        <w:spacing w:line="440" w:lineRule="exact"/>
        <w:ind w:firstLine="360"/>
        <w:rPr>
          <w:rFonts w:hAnsi="宋体" w:cs="宋体"/>
          <w:sz w:val="21"/>
          <w:szCs w:val="21"/>
        </w:rPr>
      </w:pPr>
      <w:r>
        <w:rPr>
          <w:rFonts w:hint="eastAsia" w:hAnsi="宋体" w:cs="宋体"/>
          <w:sz w:val="21"/>
          <w:szCs w:val="21"/>
        </w:rPr>
        <w:t>9.3  投标文件使用的计量单位除招标文件中有特殊规定外，一律使用中华人民共和国法定计量单位。</w:t>
      </w:r>
    </w:p>
    <w:p>
      <w:pPr>
        <w:pStyle w:val="14"/>
        <w:spacing w:line="440" w:lineRule="exact"/>
        <w:rPr>
          <w:rFonts w:hAnsi="宋体" w:cs="宋体"/>
          <w:bCs/>
          <w:sz w:val="21"/>
          <w:szCs w:val="21"/>
        </w:rPr>
      </w:pPr>
      <w:r>
        <w:rPr>
          <w:rFonts w:hint="eastAsia" w:hAnsi="宋体" w:cs="宋体"/>
          <w:bCs/>
          <w:sz w:val="21"/>
          <w:szCs w:val="21"/>
        </w:rPr>
        <w:t>10.  投标文件的组成</w:t>
      </w:r>
    </w:p>
    <w:p>
      <w:pPr>
        <w:pStyle w:val="14"/>
        <w:spacing w:line="440" w:lineRule="exact"/>
        <w:ind w:firstLine="360"/>
        <w:rPr>
          <w:rFonts w:hAnsi="宋体" w:cs="宋体"/>
          <w:sz w:val="21"/>
          <w:szCs w:val="21"/>
        </w:rPr>
      </w:pPr>
      <w:r>
        <w:rPr>
          <w:rFonts w:hint="eastAsia" w:hAnsi="宋体" w:cs="宋体"/>
          <w:sz w:val="21"/>
          <w:szCs w:val="21"/>
        </w:rPr>
        <w:t>10.1  投标人需编制的</w:t>
      </w:r>
      <w:r>
        <w:rPr>
          <w:rFonts w:hint="eastAsia" w:hAnsi="宋体" w:cs="宋体"/>
          <w:sz w:val="21"/>
          <w:szCs w:val="21"/>
          <w:highlight w:val="none"/>
        </w:rPr>
        <w:t>投标文件装订成一本，其中包括</w:t>
      </w:r>
      <w:r>
        <w:rPr>
          <w:rFonts w:hint="eastAsia" w:hAnsi="宋体" w:cs="宋体"/>
          <w:sz w:val="21"/>
          <w:szCs w:val="21"/>
        </w:rPr>
        <w:t>报价文件、资格文件、技术文件和商务文件四部分，投标人应按下列说明编写和提交。应递交的有关文件如未特别注明为原件的，可提交复印件。</w:t>
      </w:r>
    </w:p>
    <w:p>
      <w:pPr>
        <w:pStyle w:val="14"/>
        <w:spacing w:line="440" w:lineRule="exact"/>
        <w:ind w:firstLine="360"/>
        <w:rPr>
          <w:rFonts w:hAnsi="宋体" w:cs="宋体"/>
          <w:sz w:val="21"/>
          <w:szCs w:val="21"/>
        </w:rPr>
      </w:pPr>
      <w:r>
        <w:rPr>
          <w:rFonts w:hint="eastAsia" w:hAnsi="宋体" w:cs="宋体"/>
          <w:sz w:val="21"/>
          <w:szCs w:val="21"/>
        </w:rPr>
        <w:t>10.1.1  报价文件组成要求，包括：</w:t>
      </w:r>
    </w:p>
    <w:p>
      <w:pPr>
        <w:pStyle w:val="14"/>
        <w:spacing w:line="440" w:lineRule="exact"/>
        <w:ind w:firstLine="720"/>
        <w:rPr>
          <w:rFonts w:hAnsi="宋体" w:cs="宋体"/>
          <w:sz w:val="21"/>
          <w:szCs w:val="21"/>
        </w:rPr>
      </w:pPr>
      <w:r>
        <w:rPr>
          <w:rFonts w:hint="eastAsia" w:hAnsi="宋体" w:cs="宋体"/>
          <w:sz w:val="21"/>
          <w:szCs w:val="21"/>
        </w:rPr>
        <w:t>（1）投标函：按第四章“投标文件格式”提供的“投标函（格式）”的要求填写；</w:t>
      </w:r>
    </w:p>
    <w:p>
      <w:pPr>
        <w:pStyle w:val="14"/>
        <w:spacing w:line="440" w:lineRule="exact"/>
        <w:ind w:firstLine="720"/>
        <w:rPr>
          <w:rFonts w:hAnsi="宋体" w:cs="宋体"/>
          <w:sz w:val="21"/>
          <w:szCs w:val="21"/>
        </w:rPr>
      </w:pPr>
      <w:r>
        <w:rPr>
          <w:rFonts w:hint="eastAsia" w:hAnsi="宋体" w:cs="宋体"/>
          <w:sz w:val="21"/>
          <w:szCs w:val="21"/>
        </w:rPr>
        <w:t>（2）投标报价表：按第四章“投标文件格式”提供的“投标报价表（格式）”的要求填写。</w:t>
      </w:r>
    </w:p>
    <w:p>
      <w:pPr>
        <w:pStyle w:val="14"/>
        <w:spacing w:line="440" w:lineRule="exact"/>
        <w:ind w:firstLine="720"/>
        <w:rPr>
          <w:rFonts w:hAnsi="宋体" w:cs="宋体"/>
          <w:sz w:val="21"/>
          <w:szCs w:val="21"/>
        </w:rPr>
      </w:pPr>
      <w:r>
        <w:rPr>
          <w:rFonts w:hint="eastAsia" w:hAnsi="宋体" w:cs="宋体"/>
          <w:sz w:val="21"/>
          <w:szCs w:val="21"/>
        </w:rPr>
        <w:t>（3）中小企业声明函、监狱企业的证明文件、残疾人福利性单位声明函：按第四章“投标文件格式”提供的“中小企业声明函（格式）、残疾人福利性单位声明函”的要求填写。</w:t>
      </w:r>
    </w:p>
    <w:p>
      <w:pPr>
        <w:pStyle w:val="14"/>
        <w:spacing w:line="440" w:lineRule="exact"/>
        <w:ind w:firstLine="720"/>
        <w:rPr>
          <w:rFonts w:hAnsi="宋体" w:cs="宋体"/>
          <w:sz w:val="21"/>
          <w:szCs w:val="21"/>
        </w:rPr>
      </w:pPr>
      <w:r>
        <w:rPr>
          <w:rFonts w:hint="eastAsia" w:hAnsi="宋体" w:cs="宋体"/>
          <w:b/>
          <w:sz w:val="21"/>
          <w:szCs w:val="21"/>
        </w:rPr>
        <w:t>其中，报价文件组成要求的第（1）～（2）项必须提交；第（3）项如有请提交。</w:t>
      </w:r>
    </w:p>
    <w:p>
      <w:pPr>
        <w:pStyle w:val="14"/>
        <w:spacing w:line="440" w:lineRule="exact"/>
        <w:ind w:firstLine="360"/>
        <w:rPr>
          <w:rFonts w:hAnsi="宋体" w:cs="宋体"/>
          <w:sz w:val="21"/>
          <w:szCs w:val="21"/>
        </w:rPr>
      </w:pPr>
      <w:r>
        <w:rPr>
          <w:rFonts w:hint="eastAsia" w:hAnsi="宋体" w:cs="宋体"/>
          <w:sz w:val="21"/>
          <w:szCs w:val="21"/>
        </w:rPr>
        <w:t>10.1.2  资格文件组成要求，包括：</w:t>
      </w:r>
      <w:r>
        <w:rPr>
          <w:rFonts w:hint="eastAsia" w:hAnsi="宋体" w:cs="宋体"/>
          <w:b/>
          <w:bCs/>
          <w:sz w:val="21"/>
          <w:szCs w:val="21"/>
        </w:rPr>
        <w:t xml:space="preserve"> </w:t>
      </w:r>
    </w:p>
    <w:p>
      <w:pPr>
        <w:pStyle w:val="14"/>
        <w:spacing w:line="440" w:lineRule="exact"/>
        <w:ind w:firstLine="735" w:firstLineChars="350"/>
        <w:rPr>
          <w:rFonts w:hAnsi="宋体" w:cs="宋体"/>
          <w:kern w:val="0"/>
          <w:sz w:val="21"/>
          <w:szCs w:val="21"/>
        </w:rPr>
      </w:pPr>
      <w:r>
        <w:rPr>
          <w:rFonts w:hint="eastAsia" w:hAnsi="宋体" w:cs="宋体"/>
          <w:sz w:val="21"/>
          <w:szCs w:val="21"/>
        </w:rPr>
        <w:t>（1）信用声明函：按第四章</w:t>
      </w:r>
      <w:r>
        <w:rPr>
          <w:rFonts w:hint="eastAsia" w:hAnsi="宋体" w:cs="宋体"/>
          <w:kern w:val="0"/>
          <w:sz w:val="21"/>
          <w:szCs w:val="21"/>
        </w:rPr>
        <w:t>“投标文件格式”提供的“</w:t>
      </w:r>
      <w:r>
        <w:rPr>
          <w:rFonts w:hint="eastAsia" w:hAnsi="宋体" w:cs="宋体"/>
          <w:b/>
          <w:kern w:val="0"/>
          <w:sz w:val="21"/>
          <w:szCs w:val="21"/>
        </w:rPr>
        <w:t>信用声明函（格式）</w:t>
      </w:r>
      <w:r>
        <w:rPr>
          <w:rFonts w:hint="eastAsia" w:hAnsi="宋体" w:cs="宋体"/>
          <w:kern w:val="0"/>
          <w:sz w:val="21"/>
          <w:szCs w:val="21"/>
        </w:rPr>
        <w:t>”的要求填写。对列入失信被执行人、重大税收违法案件当事人名单、政府采购严重违法失信行为记录名单的投标人，将被拒绝参与本项目政府采购活动。</w:t>
      </w:r>
    </w:p>
    <w:p>
      <w:pPr>
        <w:pStyle w:val="14"/>
        <w:spacing w:line="440" w:lineRule="exact"/>
        <w:ind w:firstLine="720"/>
        <w:rPr>
          <w:rFonts w:hAnsi="宋体" w:cs="宋体"/>
          <w:sz w:val="21"/>
          <w:szCs w:val="21"/>
        </w:rPr>
      </w:pPr>
      <w:r>
        <w:rPr>
          <w:rFonts w:hint="eastAsia" w:hAnsi="宋体" w:cs="宋体"/>
          <w:sz w:val="21"/>
          <w:szCs w:val="21"/>
        </w:rPr>
        <w:t>（2）根据本章第3.2项规定的投标人应具备的特定条件提供，包括含统一社会信用代码的营业执照（或事业单位法人证书）复印件（投标人如为企业的，要求证件有效并清晰反映企业法人）、土地规划机构等级证书复印件及投标人资格的其他证明文件复印件；</w:t>
      </w:r>
    </w:p>
    <w:p>
      <w:pPr>
        <w:widowControl/>
        <w:spacing w:line="360" w:lineRule="auto"/>
        <w:ind w:firstLine="735" w:firstLineChars="350"/>
        <w:jc w:val="left"/>
        <w:rPr>
          <w:rFonts w:ascii="宋体" w:hAnsi="宋体" w:cs="宋体"/>
          <w:sz w:val="21"/>
          <w:szCs w:val="21"/>
        </w:rPr>
      </w:pPr>
      <w:r>
        <w:rPr>
          <w:rFonts w:hint="eastAsia" w:ascii="宋体" w:hAnsi="宋体" w:cs="宋体"/>
          <w:sz w:val="21"/>
          <w:szCs w:val="21"/>
        </w:rPr>
        <w:t>（3）法定代表人（负责人）身份证复印件：如使用第二代身份证应提交正、反面复印件，如法定代表人（负责人）非中国国籍应提交护照复印件，要求证件有效并与营业执照或事业单位法人证中的法定代表人（负责人）相符；</w:t>
      </w:r>
    </w:p>
    <w:p>
      <w:pPr>
        <w:widowControl/>
        <w:spacing w:line="360" w:lineRule="auto"/>
        <w:ind w:firstLine="735" w:firstLineChars="350"/>
        <w:jc w:val="left"/>
        <w:rPr>
          <w:rFonts w:ascii="宋体" w:hAnsi="宋体" w:cs="宋体"/>
          <w:sz w:val="21"/>
          <w:szCs w:val="21"/>
        </w:rPr>
      </w:pPr>
      <w:r>
        <w:rPr>
          <w:rFonts w:hint="eastAsia" w:ascii="宋体" w:hAnsi="宋体" w:cs="宋体"/>
          <w:sz w:val="21"/>
          <w:szCs w:val="21"/>
        </w:rPr>
        <w:t>（4）投标人截标时间前半年内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w:t>
      </w:r>
    </w:p>
    <w:p>
      <w:pPr>
        <w:widowControl/>
        <w:spacing w:line="360" w:lineRule="auto"/>
        <w:ind w:firstLine="735" w:firstLineChars="350"/>
        <w:jc w:val="left"/>
        <w:rPr>
          <w:rFonts w:ascii="宋体" w:hAnsi="宋体" w:cs="宋体"/>
          <w:sz w:val="21"/>
          <w:szCs w:val="21"/>
        </w:rPr>
      </w:pPr>
      <w:r>
        <w:rPr>
          <w:rFonts w:hint="eastAsia" w:ascii="宋体" w:hAnsi="宋体" w:cs="宋体"/>
          <w:sz w:val="21"/>
          <w:szCs w:val="21"/>
        </w:rPr>
        <w:t>无纳税记录的，应提供投标人所在地税务部门出具的《依法纳税或依法免税证明》（复印件，格式自拟，原件备查），《依法纳税或依法免税证明》原件一年内保持有效；</w:t>
      </w:r>
    </w:p>
    <w:p>
      <w:pPr>
        <w:pStyle w:val="14"/>
        <w:spacing w:line="440" w:lineRule="exact"/>
        <w:ind w:firstLine="720"/>
        <w:rPr>
          <w:rFonts w:hAnsi="宋体" w:cs="宋体"/>
          <w:sz w:val="21"/>
          <w:szCs w:val="21"/>
        </w:rPr>
      </w:pPr>
      <w:r>
        <w:rPr>
          <w:rFonts w:hint="eastAsia" w:hAnsi="宋体" w:cs="宋体"/>
          <w:sz w:val="21"/>
          <w:szCs w:val="21"/>
        </w:rPr>
        <w:t>（5）投标人截标时间前半年内连续三个月依法缴纳社会保障资金的凭证复印件（如社保部门开具的证明、收款收据等，或银行缴款凭证、回单等，如为非社保部门开具的凭证或回单的，应清晰反映：缴款单位名称、社保单位名称、保险名称、缴款金额等内容）。</w:t>
      </w:r>
    </w:p>
    <w:p>
      <w:pPr>
        <w:pStyle w:val="14"/>
        <w:spacing w:line="440" w:lineRule="exact"/>
        <w:ind w:firstLine="720"/>
        <w:rPr>
          <w:rFonts w:hAnsi="宋体" w:cs="宋体"/>
          <w:sz w:val="21"/>
          <w:szCs w:val="21"/>
        </w:rPr>
      </w:pPr>
      <w:r>
        <w:rPr>
          <w:rFonts w:hint="eastAsia" w:hAnsi="宋体" w:cs="宋体"/>
          <w:sz w:val="21"/>
          <w:szCs w:val="21"/>
        </w:rPr>
        <w:t>无缴费记录的，应提供投标人所在地社保部门出具的《依法缴纳或依法免缴社保费证明》（复印件，格式自拟，原件备查）；</w:t>
      </w:r>
    </w:p>
    <w:p>
      <w:pPr>
        <w:pStyle w:val="14"/>
        <w:spacing w:line="440" w:lineRule="exact"/>
        <w:ind w:firstLine="720"/>
        <w:rPr>
          <w:rFonts w:hAnsi="宋体" w:cs="宋体"/>
          <w:b/>
          <w:sz w:val="21"/>
          <w:szCs w:val="21"/>
        </w:rPr>
      </w:pPr>
      <w:r>
        <w:rPr>
          <w:rFonts w:hint="eastAsia" w:hAnsi="宋体" w:cs="宋体"/>
          <w:b/>
          <w:sz w:val="21"/>
          <w:szCs w:val="21"/>
        </w:rPr>
        <w:t>（</w:t>
      </w:r>
      <w:r>
        <w:rPr>
          <w:rFonts w:hAnsi="宋体" w:cs="宋体"/>
          <w:b/>
          <w:sz w:val="21"/>
          <w:szCs w:val="21"/>
        </w:rPr>
        <w:t>6</w:t>
      </w:r>
      <w:r>
        <w:rPr>
          <w:rFonts w:hint="eastAsia" w:hAnsi="宋体" w:cs="宋体"/>
          <w:b/>
          <w:sz w:val="21"/>
          <w:szCs w:val="21"/>
        </w:rPr>
        <w:t>）如以联合体形式参与投标，须提交《联合体投标协议书》和《投标联合体授权主体方协议书》。（按第四章提供的格式5填写）。</w:t>
      </w:r>
    </w:p>
    <w:p>
      <w:pPr>
        <w:pStyle w:val="14"/>
        <w:spacing w:line="440" w:lineRule="exact"/>
        <w:ind w:firstLine="720"/>
        <w:rPr>
          <w:rFonts w:hAnsi="宋体" w:cs="宋体"/>
          <w:sz w:val="21"/>
          <w:szCs w:val="21"/>
        </w:rPr>
      </w:pPr>
      <w:r>
        <w:rPr>
          <w:rFonts w:hint="eastAsia" w:hAnsi="宋体" w:cs="宋体"/>
          <w:b/>
          <w:sz w:val="21"/>
          <w:szCs w:val="21"/>
        </w:rPr>
        <w:t>其中，资格文件组成要求的第（1）～（</w:t>
      </w:r>
      <w:r>
        <w:rPr>
          <w:rFonts w:hAnsi="宋体" w:cs="宋体"/>
          <w:b/>
          <w:sz w:val="21"/>
          <w:szCs w:val="21"/>
        </w:rPr>
        <w:t>5</w:t>
      </w:r>
      <w:r>
        <w:rPr>
          <w:rFonts w:hint="eastAsia" w:hAnsi="宋体" w:cs="宋体"/>
          <w:b/>
          <w:sz w:val="21"/>
          <w:szCs w:val="21"/>
        </w:rPr>
        <w:t>）项必须提交。资格文件要求的第（</w:t>
      </w:r>
      <w:r>
        <w:rPr>
          <w:rFonts w:hAnsi="宋体" w:cs="宋体"/>
          <w:b/>
          <w:sz w:val="21"/>
          <w:szCs w:val="21"/>
        </w:rPr>
        <w:t>6</w:t>
      </w:r>
      <w:r>
        <w:rPr>
          <w:rFonts w:hint="eastAsia" w:hAnsi="宋体" w:cs="宋体"/>
          <w:b/>
          <w:sz w:val="21"/>
          <w:szCs w:val="21"/>
        </w:rPr>
        <w:t>）项如有请提交。</w:t>
      </w:r>
    </w:p>
    <w:p>
      <w:pPr>
        <w:pStyle w:val="14"/>
        <w:spacing w:line="440" w:lineRule="exact"/>
        <w:ind w:firstLine="360"/>
        <w:rPr>
          <w:rFonts w:hAnsi="宋体" w:cs="宋体"/>
          <w:b/>
          <w:bCs/>
          <w:sz w:val="21"/>
          <w:szCs w:val="21"/>
        </w:rPr>
      </w:pPr>
      <w:r>
        <w:rPr>
          <w:rFonts w:hint="eastAsia" w:hAnsi="宋体" w:cs="宋体"/>
          <w:sz w:val="21"/>
          <w:szCs w:val="21"/>
        </w:rPr>
        <w:t>10.1.3  技术文件组成要求，包括：</w:t>
      </w:r>
    </w:p>
    <w:p>
      <w:pPr>
        <w:snapToGrid w:val="0"/>
        <w:spacing w:line="400" w:lineRule="exact"/>
        <w:ind w:firstLine="420" w:firstLineChars="200"/>
        <w:jc w:val="left"/>
        <w:rPr>
          <w:rFonts w:ascii="宋体" w:hAnsi="宋体" w:cs="宋体"/>
          <w:sz w:val="21"/>
          <w:szCs w:val="21"/>
        </w:rPr>
      </w:pPr>
      <w:r>
        <w:rPr>
          <w:rFonts w:hint="eastAsia" w:ascii="宋体" w:hAnsi="宋体" w:cs="宋体"/>
          <w:sz w:val="21"/>
          <w:szCs w:val="21"/>
        </w:rPr>
        <w:t>（1）</w:t>
      </w:r>
      <w:r>
        <w:rPr>
          <w:rFonts w:hint="eastAsia" w:ascii="宋体" w:hAnsi="宋体" w:cs="宋体"/>
          <w:kern w:val="0"/>
          <w:sz w:val="21"/>
          <w:szCs w:val="21"/>
        </w:rPr>
        <w:t>项目技术设计方案</w:t>
      </w:r>
      <w:r>
        <w:rPr>
          <w:rFonts w:hint="eastAsia" w:ascii="宋体" w:hAnsi="宋体" w:cs="宋体"/>
          <w:sz w:val="21"/>
          <w:szCs w:val="21"/>
        </w:rPr>
        <w:t>；（格式自拟）</w:t>
      </w:r>
    </w:p>
    <w:p>
      <w:pPr>
        <w:snapToGrid w:val="0"/>
        <w:spacing w:line="400" w:lineRule="exact"/>
        <w:ind w:firstLine="420" w:firstLineChars="20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）项目</w:t>
      </w:r>
      <w:r>
        <w:rPr>
          <w:rFonts w:hint="eastAsia" w:ascii="宋体" w:hAnsi="宋体" w:cs="宋体"/>
          <w:kern w:val="0"/>
          <w:sz w:val="21"/>
          <w:szCs w:val="21"/>
        </w:rPr>
        <w:t>拟投入的技术力量、人员配置</w:t>
      </w:r>
      <w:r>
        <w:rPr>
          <w:rFonts w:hint="eastAsia" w:ascii="宋体" w:hAnsi="宋体" w:cs="宋体"/>
          <w:sz w:val="21"/>
          <w:szCs w:val="21"/>
        </w:rPr>
        <w:t>；（按第四章提供的格式填写）</w:t>
      </w:r>
    </w:p>
    <w:p>
      <w:pPr>
        <w:pStyle w:val="14"/>
        <w:spacing w:line="440" w:lineRule="exact"/>
        <w:ind w:firstLine="426"/>
        <w:rPr>
          <w:rFonts w:hAnsi="宋体" w:cs="宋体"/>
          <w:b/>
          <w:bCs/>
          <w:sz w:val="21"/>
          <w:szCs w:val="21"/>
        </w:rPr>
      </w:pPr>
      <w:r>
        <w:rPr>
          <w:rFonts w:hint="eastAsia" w:hAnsi="宋体" w:cs="宋体"/>
          <w:sz w:val="21"/>
          <w:szCs w:val="21"/>
        </w:rPr>
        <w:t>（</w:t>
      </w:r>
      <w:r>
        <w:rPr>
          <w:rFonts w:hAnsi="宋体" w:cs="宋体"/>
          <w:sz w:val="21"/>
          <w:szCs w:val="21"/>
        </w:rPr>
        <w:t>3</w:t>
      </w:r>
      <w:r>
        <w:rPr>
          <w:rFonts w:hint="eastAsia" w:hAnsi="宋体" w:cs="宋体"/>
          <w:sz w:val="21"/>
          <w:szCs w:val="21"/>
        </w:rPr>
        <w:t>）投标服务技术资料表：按第四章“投标文件格式”提供的“投标服务技术资料表（格式）”的要求填写；</w:t>
      </w:r>
    </w:p>
    <w:p>
      <w:pPr>
        <w:pStyle w:val="14"/>
        <w:spacing w:line="440" w:lineRule="exact"/>
        <w:ind w:firstLine="426"/>
        <w:rPr>
          <w:rFonts w:hAnsi="宋体" w:cs="宋体"/>
          <w:b/>
          <w:bCs/>
          <w:sz w:val="21"/>
          <w:szCs w:val="21"/>
        </w:rPr>
      </w:pPr>
      <w:r>
        <w:rPr>
          <w:rFonts w:hint="eastAsia" w:hAnsi="宋体" w:cs="宋体"/>
          <w:sz w:val="21"/>
          <w:szCs w:val="21"/>
        </w:rPr>
        <w:t>（</w:t>
      </w:r>
      <w:r>
        <w:rPr>
          <w:rFonts w:hAnsi="宋体" w:cs="宋体"/>
          <w:sz w:val="21"/>
          <w:szCs w:val="21"/>
        </w:rPr>
        <w:t>4</w:t>
      </w:r>
      <w:r>
        <w:rPr>
          <w:rFonts w:hint="eastAsia" w:hAnsi="宋体" w:cs="宋体"/>
          <w:sz w:val="21"/>
          <w:szCs w:val="21"/>
        </w:rPr>
        <w:t>）投标人需要提供的其他文件和说明。</w:t>
      </w:r>
    </w:p>
    <w:p>
      <w:pPr>
        <w:pStyle w:val="14"/>
        <w:spacing w:line="440" w:lineRule="exact"/>
        <w:ind w:firstLine="738" w:firstLineChars="350"/>
        <w:rPr>
          <w:rFonts w:hAnsi="宋体" w:cs="宋体"/>
          <w:b/>
          <w:sz w:val="21"/>
          <w:szCs w:val="21"/>
        </w:rPr>
      </w:pPr>
      <w:r>
        <w:rPr>
          <w:rFonts w:hint="eastAsia" w:hAnsi="宋体" w:cs="宋体"/>
          <w:b/>
          <w:sz w:val="21"/>
          <w:szCs w:val="21"/>
        </w:rPr>
        <w:t>其中，</w:t>
      </w:r>
      <w:r>
        <w:rPr>
          <w:rFonts w:hint="eastAsia" w:hAnsi="宋体" w:cs="宋体"/>
          <w:sz w:val="21"/>
          <w:szCs w:val="21"/>
        </w:rPr>
        <w:t>技术文件组成要求的第（1）～（</w:t>
      </w:r>
      <w:r>
        <w:rPr>
          <w:rFonts w:hAnsi="宋体" w:cs="宋体"/>
          <w:sz w:val="21"/>
          <w:szCs w:val="21"/>
        </w:rPr>
        <w:t>3</w:t>
      </w:r>
      <w:r>
        <w:rPr>
          <w:rFonts w:hint="eastAsia" w:hAnsi="宋体" w:cs="宋体"/>
          <w:sz w:val="21"/>
          <w:szCs w:val="21"/>
        </w:rPr>
        <w:t>）项必须提交；</w:t>
      </w:r>
      <w:r>
        <w:rPr>
          <w:rFonts w:hint="eastAsia" w:hAnsi="宋体" w:cs="宋体"/>
          <w:b/>
          <w:sz w:val="21"/>
          <w:szCs w:val="21"/>
        </w:rPr>
        <w:t>技术文件要求的第（</w:t>
      </w:r>
      <w:r>
        <w:rPr>
          <w:rFonts w:hAnsi="宋体" w:cs="宋体"/>
          <w:b/>
          <w:sz w:val="21"/>
          <w:szCs w:val="21"/>
        </w:rPr>
        <w:t>4</w:t>
      </w:r>
      <w:r>
        <w:rPr>
          <w:rFonts w:hint="eastAsia" w:hAnsi="宋体" w:cs="宋体"/>
          <w:b/>
          <w:sz w:val="21"/>
          <w:szCs w:val="21"/>
        </w:rPr>
        <w:t>）项如有请提交。</w:t>
      </w:r>
    </w:p>
    <w:p>
      <w:pPr>
        <w:pStyle w:val="14"/>
        <w:spacing w:line="440" w:lineRule="exact"/>
        <w:ind w:firstLine="360"/>
        <w:rPr>
          <w:rFonts w:hAnsi="宋体" w:cs="宋体"/>
          <w:sz w:val="21"/>
          <w:szCs w:val="21"/>
        </w:rPr>
      </w:pPr>
      <w:r>
        <w:rPr>
          <w:rFonts w:hint="eastAsia" w:hAnsi="宋体" w:cs="宋体"/>
          <w:sz w:val="21"/>
          <w:szCs w:val="21"/>
        </w:rPr>
        <w:t>10.1.4  商务文件组成要求，包括：</w:t>
      </w:r>
      <w:r>
        <w:rPr>
          <w:rFonts w:hint="eastAsia" w:hAnsi="宋体" w:cs="宋体"/>
          <w:b/>
          <w:bCs/>
          <w:sz w:val="21"/>
          <w:szCs w:val="21"/>
        </w:rPr>
        <w:t xml:space="preserve"> </w:t>
      </w:r>
    </w:p>
    <w:p>
      <w:pPr>
        <w:pStyle w:val="14"/>
        <w:spacing w:line="440" w:lineRule="exact"/>
        <w:ind w:firstLine="720"/>
        <w:rPr>
          <w:rFonts w:hAnsi="宋体" w:cs="宋体"/>
          <w:sz w:val="21"/>
          <w:szCs w:val="21"/>
        </w:rPr>
      </w:pPr>
      <w:r>
        <w:rPr>
          <w:rFonts w:hint="eastAsia" w:hAnsi="宋体" w:cs="宋体"/>
          <w:sz w:val="21"/>
          <w:szCs w:val="21"/>
        </w:rPr>
        <w:t>（1）后续服务和其它优化措施：按第四章“投标文件格式”提供的“后续服务和其它优化措施（格式）” 的要求填写；</w:t>
      </w:r>
    </w:p>
    <w:p>
      <w:pPr>
        <w:pStyle w:val="14"/>
        <w:spacing w:line="440" w:lineRule="exact"/>
        <w:ind w:firstLine="720"/>
        <w:rPr>
          <w:rFonts w:hAnsi="宋体" w:cs="宋体"/>
          <w:sz w:val="21"/>
          <w:szCs w:val="21"/>
        </w:rPr>
      </w:pPr>
      <w:r>
        <w:rPr>
          <w:rFonts w:hint="eastAsia" w:hAnsi="宋体" w:cs="宋体"/>
          <w:sz w:val="21"/>
          <w:szCs w:val="21"/>
        </w:rPr>
        <w:t>（2）商务条款偏离表：按第四章“投标文件格式”提供的“商务条款偏离表（格式）” 的要求填写；</w:t>
      </w:r>
    </w:p>
    <w:p>
      <w:pPr>
        <w:pStyle w:val="14"/>
        <w:spacing w:line="440" w:lineRule="exact"/>
        <w:ind w:firstLine="720"/>
        <w:rPr>
          <w:rFonts w:hAnsi="宋体" w:cs="宋体"/>
          <w:sz w:val="21"/>
          <w:szCs w:val="21"/>
        </w:rPr>
      </w:pPr>
      <w:r>
        <w:rPr>
          <w:rFonts w:hint="eastAsia" w:hAnsi="宋体" w:cs="宋体"/>
          <w:sz w:val="21"/>
          <w:szCs w:val="21"/>
        </w:rPr>
        <w:t>（3）法定代表人（负责人）授权委托书：按第四章“投标文件格式”提供的“法定代表人（负责人）授权委托书（格式）”的要求填写；</w:t>
      </w:r>
    </w:p>
    <w:p>
      <w:pPr>
        <w:pStyle w:val="14"/>
        <w:spacing w:line="440" w:lineRule="exact"/>
        <w:ind w:firstLine="720"/>
        <w:rPr>
          <w:rFonts w:hAnsi="宋体" w:cs="宋体"/>
          <w:sz w:val="21"/>
          <w:szCs w:val="21"/>
        </w:rPr>
      </w:pPr>
      <w:r>
        <w:rPr>
          <w:rFonts w:hint="eastAsia" w:hAnsi="宋体" w:cs="宋体"/>
          <w:sz w:val="21"/>
          <w:szCs w:val="21"/>
        </w:rPr>
        <w:t>（4）委托代理人身份证复印件：如使用第二代身份证应提交正、反面复印件，如委托代理人非中国国籍应提交护照复印件，要求证件有效并与法定代表人（负责人）授权委托书中的委托代理人相符；</w:t>
      </w:r>
    </w:p>
    <w:p>
      <w:pPr>
        <w:pStyle w:val="14"/>
        <w:spacing w:line="440" w:lineRule="exact"/>
        <w:ind w:firstLine="720"/>
        <w:rPr>
          <w:rFonts w:hAnsi="宋体" w:cs="宋体"/>
          <w:sz w:val="21"/>
          <w:szCs w:val="21"/>
        </w:rPr>
      </w:pPr>
      <w:r>
        <w:rPr>
          <w:rFonts w:hint="eastAsia" w:hAnsi="宋体" w:cs="宋体"/>
          <w:sz w:val="21"/>
          <w:szCs w:val="21"/>
        </w:rPr>
        <w:t>（5）供应商独立承担过的类似项目业绩的相关证明材料（投标人同类项目实施情况一览表、合同复印件等）；</w:t>
      </w:r>
    </w:p>
    <w:p>
      <w:pPr>
        <w:pStyle w:val="14"/>
        <w:spacing w:line="440" w:lineRule="exact"/>
        <w:ind w:firstLine="720"/>
        <w:rPr>
          <w:rFonts w:hAnsi="宋体" w:cs="宋体"/>
          <w:sz w:val="21"/>
          <w:szCs w:val="21"/>
        </w:rPr>
      </w:pPr>
      <w:r>
        <w:rPr>
          <w:rFonts w:hint="eastAsia" w:hAnsi="宋体" w:cs="宋体"/>
          <w:sz w:val="21"/>
          <w:szCs w:val="21"/>
        </w:rPr>
        <w:t>（6）投标人的信誉、荣誉证书（复印件）；</w:t>
      </w:r>
    </w:p>
    <w:p>
      <w:pPr>
        <w:pStyle w:val="14"/>
        <w:spacing w:line="440" w:lineRule="exact"/>
        <w:ind w:firstLine="720"/>
        <w:rPr>
          <w:rFonts w:hAnsi="宋体" w:cs="宋体"/>
          <w:sz w:val="21"/>
          <w:szCs w:val="21"/>
        </w:rPr>
      </w:pPr>
      <w:r>
        <w:rPr>
          <w:rFonts w:hint="eastAsia" w:hAnsi="宋体" w:cs="宋体"/>
          <w:sz w:val="21"/>
          <w:szCs w:val="21"/>
        </w:rPr>
        <w:t>（7）投标人质量管理和质量保证体系等方面的认证证书（复印件）；</w:t>
      </w:r>
    </w:p>
    <w:p>
      <w:pPr>
        <w:pStyle w:val="14"/>
        <w:spacing w:line="440" w:lineRule="exact"/>
        <w:ind w:firstLine="720"/>
        <w:rPr>
          <w:rFonts w:hAnsi="宋体" w:cs="宋体"/>
          <w:sz w:val="21"/>
          <w:szCs w:val="21"/>
        </w:rPr>
      </w:pPr>
      <w:r>
        <w:rPr>
          <w:rFonts w:hint="eastAsia" w:hAnsi="宋体" w:cs="宋体"/>
          <w:sz w:val="21"/>
          <w:szCs w:val="21"/>
        </w:rPr>
        <w:t>（8）投标人认为可以证明其能力或业绩的其他材料。</w:t>
      </w:r>
    </w:p>
    <w:p>
      <w:pPr>
        <w:pStyle w:val="14"/>
        <w:spacing w:line="440" w:lineRule="exact"/>
        <w:rPr>
          <w:rFonts w:hAnsi="宋体" w:cs="宋体"/>
          <w:sz w:val="21"/>
          <w:szCs w:val="21"/>
        </w:rPr>
      </w:pPr>
      <w:r>
        <w:rPr>
          <w:rFonts w:hint="eastAsia" w:hAnsi="宋体" w:cs="宋体"/>
          <w:b/>
          <w:sz w:val="21"/>
          <w:szCs w:val="21"/>
        </w:rPr>
        <w:t xml:space="preserve">    商务文件中的第（1）～（2）项必须提交；第（3）、（4）项在委托代理时必须提交；第（5）、（6）、（7）、（8）项如有请提交。如以联合体形式投标，商务文件以联合体主体方为准。</w:t>
      </w:r>
    </w:p>
    <w:p>
      <w:pPr>
        <w:pStyle w:val="14"/>
        <w:spacing w:line="440" w:lineRule="exact"/>
        <w:ind w:firstLine="360"/>
        <w:rPr>
          <w:rFonts w:hAnsi="宋体" w:cs="宋体"/>
          <w:sz w:val="21"/>
          <w:szCs w:val="21"/>
        </w:rPr>
      </w:pPr>
      <w:r>
        <w:rPr>
          <w:rFonts w:hint="eastAsia" w:hAnsi="宋体" w:cs="宋体"/>
          <w:sz w:val="21"/>
          <w:szCs w:val="21"/>
        </w:rPr>
        <w:t>10.2  投标人应编制目录，按上述顺序将报价文件、资格文件、技术文件和商务文件</w:t>
      </w:r>
      <w:r>
        <w:rPr>
          <w:rFonts w:hint="eastAsia" w:hAnsi="宋体" w:cs="宋体"/>
          <w:b/>
          <w:sz w:val="21"/>
          <w:szCs w:val="21"/>
        </w:rPr>
        <w:t>统一装订成一册</w:t>
      </w:r>
      <w:r>
        <w:rPr>
          <w:rFonts w:hint="eastAsia" w:hAnsi="宋体" w:cs="宋体"/>
          <w:sz w:val="21"/>
          <w:szCs w:val="21"/>
        </w:rPr>
        <w:t>。</w:t>
      </w:r>
    </w:p>
    <w:p>
      <w:pPr>
        <w:pStyle w:val="14"/>
        <w:spacing w:line="440" w:lineRule="exact"/>
        <w:rPr>
          <w:rFonts w:hAnsi="宋体" w:cs="宋体"/>
          <w:bCs/>
          <w:sz w:val="21"/>
          <w:szCs w:val="21"/>
        </w:rPr>
      </w:pPr>
      <w:r>
        <w:rPr>
          <w:rFonts w:hint="eastAsia" w:hAnsi="宋体" w:cs="宋体"/>
          <w:bCs/>
          <w:sz w:val="21"/>
          <w:szCs w:val="21"/>
        </w:rPr>
        <w:t>11.  投标报价</w:t>
      </w:r>
    </w:p>
    <w:p>
      <w:pPr>
        <w:pStyle w:val="14"/>
        <w:spacing w:line="440" w:lineRule="exact"/>
        <w:ind w:firstLine="360"/>
        <w:rPr>
          <w:rFonts w:hAnsi="宋体" w:cs="宋体"/>
          <w:sz w:val="21"/>
          <w:szCs w:val="21"/>
        </w:rPr>
      </w:pPr>
      <w:r>
        <w:rPr>
          <w:rFonts w:hint="eastAsia" w:hAnsi="宋体" w:cs="宋体"/>
          <w:sz w:val="21"/>
          <w:szCs w:val="21"/>
        </w:rPr>
        <w:t>11.1  投标人应以人民币报价。</w:t>
      </w:r>
    </w:p>
    <w:p>
      <w:pPr>
        <w:pStyle w:val="14"/>
        <w:spacing w:line="440" w:lineRule="exact"/>
        <w:ind w:firstLine="360"/>
        <w:rPr>
          <w:rFonts w:hAnsi="宋体" w:cs="宋体"/>
          <w:sz w:val="21"/>
          <w:szCs w:val="21"/>
        </w:rPr>
      </w:pPr>
      <w:r>
        <w:rPr>
          <w:rFonts w:hint="eastAsia" w:hAnsi="宋体" w:cs="宋体"/>
          <w:sz w:val="21"/>
          <w:szCs w:val="21"/>
        </w:rPr>
        <w:t>11.2  投标人须就第三章“服务需求一览表”中的</w:t>
      </w:r>
      <w:r>
        <w:rPr>
          <w:rFonts w:hint="eastAsia" w:hAnsi="宋体" w:cs="宋体"/>
          <w:b/>
          <w:sz w:val="21"/>
          <w:szCs w:val="21"/>
        </w:rPr>
        <w:t>所有内容报出完整且唯一报价，附带有条件的报价将不予接受。</w:t>
      </w:r>
    </w:p>
    <w:p>
      <w:pPr>
        <w:pStyle w:val="14"/>
        <w:spacing w:line="440" w:lineRule="exact"/>
        <w:ind w:firstLine="360"/>
        <w:rPr>
          <w:rFonts w:hAnsi="宋体" w:cs="宋体"/>
          <w:sz w:val="21"/>
          <w:szCs w:val="21"/>
        </w:rPr>
      </w:pPr>
      <w:r>
        <w:rPr>
          <w:rFonts w:hint="eastAsia" w:hAnsi="宋体" w:cs="宋体"/>
          <w:sz w:val="21"/>
          <w:szCs w:val="21"/>
        </w:rPr>
        <w:t>11.3  投标报价为采购人指定地点的现场交货价，其组成部分详见第三章“服务需求一览表”。采购人不再向中标供应商支付其投标报价之外的任何费用。</w:t>
      </w:r>
    </w:p>
    <w:p>
      <w:pPr>
        <w:pStyle w:val="14"/>
        <w:spacing w:line="440" w:lineRule="exact"/>
        <w:ind w:firstLine="360"/>
        <w:rPr>
          <w:rFonts w:hAnsi="宋体" w:cs="宋体"/>
          <w:sz w:val="21"/>
          <w:szCs w:val="21"/>
        </w:rPr>
      </w:pPr>
      <w:r>
        <w:rPr>
          <w:rFonts w:hint="eastAsia" w:hAnsi="宋体" w:cs="宋体"/>
          <w:sz w:val="21"/>
          <w:szCs w:val="21"/>
        </w:rPr>
        <w:t>11.4  本项目的采购代理服务费参照</w:t>
      </w:r>
      <w:r>
        <w:rPr>
          <w:rFonts w:hint="eastAsia" w:hAnsi="宋体" w:cs="宋体"/>
          <w:sz w:val="21"/>
          <w:szCs w:val="21"/>
          <w:lang w:val="en-US" w:eastAsia="zh-CN"/>
        </w:rPr>
        <w:t>国家发改委文件</w:t>
      </w:r>
      <w:r>
        <w:rPr>
          <w:rFonts w:hint="eastAsia" w:hAnsi="宋体" w:cs="宋体"/>
          <w:sz w:val="21"/>
          <w:szCs w:val="21"/>
        </w:rPr>
        <w:t>的收费标准执行，见投标人须知前附表。</w:t>
      </w:r>
    </w:p>
    <w:p>
      <w:pPr>
        <w:pStyle w:val="14"/>
        <w:spacing w:line="440" w:lineRule="exact"/>
        <w:ind w:firstLine="360"/>
        <w:rPr>
          <w:rFonts w:hAnsi="宋体" w:cs="宋体"/>
          <w:sz w:val="21"/>
          <w:szCs w:val="21"/>
        </w:rPr>
      </w:pPr>
      <w:r>
        <w:rPr>
          <w:rFonts w:hint="eastAsia" w:hAnsi="宋体" w:cs="宋体"/>
          <w:sz w:val="21"/>
          <w:szCs w:val="21"/>
        </w:rPr>
        <w:t>11.5  不论投标结果如何，投标人均应自行承担与编制和递交投标文件有关的全部费用。</w:t>
      </w:r>
    </w:p>
    <w:p>
      <w:pPr>
        <w:pStyle w:val="14"/>
        <w:spacing w:line="440" w:lineRule="exact"/>
        <w:rPr>
          <w:rFonts w:hAnsi="宋体" w:cs="宋体"/>
          <w:bCs/>
          <w:sz w:val="21"/>
          <w:szCs w:val="21"/>
        </w:rPr>
      </w:pPr>
      <w:r>
        <w:rPr>
          <w:rFonts w:hint="eastAsia" w:hAnsi="宋体" w:cs="宋体"/>
          <w:bCs/>
          <w:sz w:val="21"/>
          <w:szCs w:val="21"/>
        </w:rPr>
        <w:t>12.  投标有效期</w:t>
      </w:r>
    </w:p>
    <w:p>
      <w:pPr>
        <w:pStyle w:val="14"/>
        <w:spacing w:line="440" w:lineRule="exact"/>
        <w:ind w:firstLine="360"/>
        <w:rPr>
          <w:rFonts w:hAnsi="宋体" w:cs="宋体"/>
          <w:bCs/>
          <w:sz w:val="21"/>
          <w:szCs w:val="21"/>
        </w:rPr>
      </w:pPr>
      <w:r>
        <w:rPr>
          <w:rFonts w:hint="eastAsia" w:hAnsi="宋体" w:cs="宋体"/>
          <w:sz w:val="21"/>
          <w:szCs w:val="21"/>
        </w:rPr>
        <w:t>12.1  在投标人须知前附表规定的投标有效期内，投标人不得要求撤销或修改其投标文件。</w:t>
      </w:r>
    </w:p>
    <w:p>
      <w:pPr>
        <w:pStyle w:val="14"/>
        <w:spacing w:line="440" w:lineRule="exact"/>
        <w:ind w:firstLine="360"/>
        <w:rPr>
          <w:rFonts w:hAnsi="宋体" w:cs="宋体"/>
          <w:sz w:val="21"/>
          <w:szCs w:val="21"/>
        </w:rPr>
      </w:pPr>
      <w:r>
        <w:rPr>
          <w:rFonts w:hint="eastAsia" w:hAnsi="宋体" w:cs="宋体"/>
          <w:sz w:val="21"/>
          <w:szCs w:val="21"/>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14"/>
        <w:spacing w:line="440" w:lineRule="exact"/>
        <w:rPr>
          <w:rFonts w:hAnsi="宋体" w:cs="宋体"/>
          <w:bCs/>
          <w:sz w:val="21"/>
          <w:szCs w:val="21"/>
        </w:rPr>
      </w:pPr>
      <w:r>
        <w:rPr>
          <w:rFonts w:hint="eastAsia" w:hAnsi="宋体" w:cs="宋体"/>
          <w:bCs/>
          <w:sz w:val="21"/>
          <w:szCs w:val="21"/>
        </w:rPr>
        <w:t>13.  投标保证金</w:t>
      </w:r>
    </w:p>
    <w:p>
      <w:pPr>
        <w:pStyle w:val="14"/>
        <w:spacing w:line="440" w:lineRule="exact"/>
        <w:ind w:firstLine="360"/>
        <w:rPr>
          <w:rFonts w:hAnsi="宋体" w:cs="宋体"/>
          <w:sz w:val="21"/>
          <w:szCs w:val="21"/>
        </w:rPr>
      </w:pPr>
      <w:r>
        <w:rPr>
          <w:rFonts w:hint="eastAsia" w:hAnsi="宋体" w:cs="宋体"/>
          <w:sz w:val="21"/>
          <w:szCs w:val="21"/>
        </w:rPr>
        <w:t>13.1</w:t>
      </w:r>
      <w:r>
        <w:rPr>
          <w:rFonts w:hint="eastAsia" w:hAnsi="宋体" w:cs="宋体"/>
          <w:sz w:val="21"/>
          <w:szCs w:val="21"/>
          <w:lang w:val="en-US" w:eastAsia="zh-CN"/>
        </w:rPr>
        <w:t>投标保证金人民币柒万</w:t>
      </w:r>
      <w:r>
        <w:rPr>
          <w:rFonts w:hint="eastAsia" w:hAnsi="宋体" w:cs="宋体"/>
          <w:sz w:val="21"/>
          <w:szCs w:val="21"/>
        </w:rPr>
        <w:t>元整（￥</w:t>
      </w:r>
      <w:r>
        <w:rPr>
          <w:rFonts w:hint="eastAsia" w:hAnsi="宋体" w:cs="宋体"/>
          <w:sz w:val="21"/>
          <w:szCs w:val="21"/>
          <w:lang w:val="en-US" w:eastAsia="zh-CN"/>
        </w:rPr>
        <w:t>7</w:t>
      </w:r>
      <w:r>
        <w:rPr>
          <w:rFonts w:hint="eastAsia" w:hAnsi="宋体" w:cs="宋体"/>
          <w:sz w:val="21"/>
          <w:szCs w:val="21"/>
        </w:rPr>
        <w:t>00</w:t>
      </w:r>
      <w:r>
        <w:rPr>
          <w:rFonts w:hint="eastAsia" w:hAnsi="宋体" w:cs="宋体"/>
          <w:sz w:val="21"/>
          <w:szCs w:val="21"/>
          <w:lang w:val="en-US" w:eastAsia="zh-CN"/>
        </w:rPr>
        <w:t>0</w:t>
      </w:r>
      <w:r>
        <w:rPr>
          <w:rFonts w:hint="eastAsia" w:hAnsi="宋体" w:cs="宋体"/>
          <w:sz w:val="21"/>
          <w:szCs w:val="21"/>
        </w:rPr>
        <w:t>0.00）。</w:t>
      </w:r>
    </w:p>
    <w:p>
      <w:pPr>
        <w:pStyle w:val="14"/>
        <w:jc w:val="center"/>
        <w:outlineLvl w:val="1"/>
        <w:rPr>
          <w:rFonts w:hAnsi="宋体" w:cs="宋体"/>
          <w:b/>
          <w:sz w:val="21"/>
          <w:szCs w:val="21"/>
        </w:rPr>
      </w:pPr>
      <w:r>
        <w:rPr>
          <w:rFonts w:hint="eastAsia" w:hAnsi="宋体" w:cs="宋体"/>
          <w:b/>
          <w:sz w:val="21"/>
          <w:szCs w:val="21"/>
        </w:rPr>
        <w:t>四    投标</w:t>
      </w:r>
    </w:p>
    <w:p>
      <w:pPr>
        <w:pStyle w:val="14"/>
        <w:spacing w:line="440" w:lineRule="exact"/>
        <w:rPr>
          <w:rFonts w:hAnsi="宋体" w:cs="宋体"/>
          <w:bCs/>
          <w:sz w:val="21"/>
          <w:szCs w:val="21"/>
        </w:rPr>
      </w:pPr>
      <w:r>
        <w:rPr>
          <w:rFonts w:hint="eastAsia" w:hAnsi="宋体" w:cs="宋体"/>
          <w:bCs/>
          <w:sz w:val="21"/>
          <w:szCs w:val="21"/>
        </w:rPr>
        <w:t>14.  投标文件的密封、递交、修改和撤回与投标样品的递交</w:t>
      </w:r>
    </w:p>
    <w:p>
      <w:pPr>
        <w:pStyle w:val="14"/>
        <w:spacing w:line="440" w:lineRule="exact"/>
        <w:ind w:firstLine="359" w:firstLineChars="171"/>
        <w:rPr>
          <w:rFonts w:hAnsi="宋体" w:cs="宋体"/>
          <w:sz w:val="21"/>
          <w:szCs w:val="21"/>
        </w:rPr>
      </w:pPr>
      <w:r>
        <w:rPr>
          <w:rFonts w:hint="eastAsia" w:hAnsi="宋体" w:cs="宋体"/>
          <w:sz w:val="21"/>
          <w:szCs w:val="21"/>
        </w:rPr>
        <w:t>14.1  投标人应将投标正、副本文件进行密封包装。</w:t>
      </w:r>
    </w:p>
    <w:p>
      <w:pPr>
        <w:pStyle w:val="14"/>
        <w:spacing w:line="440" w:lineRule="exact"/>
        <w:ind w:firstLine="359" w:firstLineChars="171"/>
        <w:rPr>
          <w:rFonts w:hAnsi="宋体" w:cs="宋体"/>
          <w:sz w:val="21"/>
          <w:szCs w:val="21"/>
        </w:rPr>
      </w:pPr>
      <w:r>
        <w:rPr>
          <w:rFonts w:hint="eastAsia" w:hAnsi="宋体" w:cs="宋体"/>
          <w:sz w:val="21"/>
          <w:szCs w:val="21"/>
        </w:rPr>
        <w:t>14.2  投标人投标截止时间：见投标人须知前附表。</w:t>
      </w:r>
    </w:p>
    <w:p>
      <w:pPr>
        <w:pStyle w:val="14"/>
        <w:spacing w:line="440" w:lineRule="exact"/>
        <w:ind w:firstLine="359" w:firstLineChars="171"/>
        <w:rPr>
          <w:rFonts w:hAnsi="宋体" w:cs="宋体"/>
          <w:sz w:val="21"/>
          <w:szCs w:val="21"/>
        </w:rPr>
      </w:pPr>
      <w:r>
        <w:rPr>
          <w:rFonts w:hint="eastAsia" w:hAnsi="宋体" w:cs="宋体"/>
          <w:sz w:val="21"/>
          <w:szCs w:val="21"/>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14"/>
        <w:spacing w:line="440" w:lineRule="exact"/>
        <w:ind w:firstLine="360"/>
        <w:rPr>
          <w:rFonts w:hAnsi="宋体" w:cs="宋体"/>
          <w:sz w:val="21"/>
          <w:szCs w:val="21"/>
        </w:rPr>
      </w:pPr>
      <w:r>
        <w:rPr>
          <w:rFonts w:hint="eastAsia" w:hAnsi="宋体" w:cs="宋体"/>
          <w:sz w:val="21"/>
          <w:szCs w:val="21"/>
        </w:rPr>
        <w:t>14.4  投标人递交投标文件地点：见投标人须知前附表。</w:t>
      </w:r>
    </w:p>
    <w:p>
      <w:pPr>
        <w:pStyle w:val="14"/>
        <w:spacing w:line="440" w:lineRule="exact"/>
        <w:ind w:firstLine="360"/>
        <w:rPr>
          <w:rFonts w:hAnsi="宋体" w:cs="宋体"/>
          <w:sz w:val="21"/>
          <w:szCs w:val="21"/>
        </w:rPr>
      </w:pPr>
      <w:r>
        <w:rPr>
          <w:rFonts w:hint="eastAsia" w:hAnsi="宋体" w:cs="宋体"/>
          <w:sz w:val="21"/>
          <w:szCs w:val="21"/>
        </w:rPr>
        <w:t>14.5 其他要求：无。</w:t>
      </w:r>
    </w:p>
    <w:p>
      <w:pPr>
        <w:pStyle w:val="14"/>
        <w:spacing w:line="440" w:lineRule="exact"/>
        <w:jc w:val="center"/>
        <w:rPr>
          <w:rFonts w:hAnsi="宋体" w:cs="宋体"/>
          <w:sz w:val="21"/>
          <w:szCs w:val="21"/>
        </w:rPr>
      </w:pPr>
    </w:p>
    <w:p>
      <w:pPr>
        <w:pStyle w:val="14"/>
        <w:jc w:val="center"/>
        <w:outlineLvl w:val="1"/>
        <w:rPr>
          <w:rFonts w:hAnsi="宋体" w:cs="宋体"/>
          <w:b/>
          <w:sz w:val="21"/>
          <w:szCs w:val="21"/>
        </w:rPr>
      </w:pPr>
      <w:r>
        <w:rPr>
          <w:rFonts w:hint="eastAsia" w:hAnsi="宋体" w:cs="宋体"/>
          <w:b/>
          <w:sz w:val="21"/>
          <w:szCs w:val="21"/>
        </w:rPr>
        <w:t>五    开标与评标</w:t>
      </w:r>
    </w:p>
    <w:p>
      <w:pPr>
        <w:pStyle w:val="14"/>
        <w:spacing w:line="440" w:lineRule="exact"/>
        <w:rPr>
          <w:rFonts w:hAnsi="宋体" w:cs="宋体"/>
          <w:bCs/>
          <w:sz w:val="21"/>
          <w:szCs w:val="21"/>
        </w:rPr>
      </w:pPr>
      <w:r>
        <w:rPr>
          <w:rFonts w:hint="eastAsia" w:hAnsi="宋体" w:cs="宋体"/>
          <w:bCs/>
          <w:sz w:val="21"/>
          <w:szCs w:val="21"/>
        </w:rPr>
        <w:t>15.  开标</w:t>
      </w:r>
    </w:p>
    <w:p>
      <w:pPr>
        <w:pStyle w:val="14"/>
        <w:spacing w:line="440" w:lineRule="exact"/>
        <w:ind w:firstLine="359" w:firstLineChars="171"/>
        <w:rPr>
          <w:rFonts w:hAnsi="宋体" w:cs="宋体"/>
          <w:sz w:val="21"/>
          <w:szCs w:val="21"/>
        </w:rPr>
      </w:pPr>
      <w:r>
        <w:rPr>
          <w:rFonts w:hint="eastAsia" w:hAnsi="宋体" w:cs="宋体"/>
          <w:sz w:val="21"/>
          <w:szCs w:val="21"/>
        </w:rPr>
        <w:t>15.1  采购代理机构将在本章第14.2项规定的投标截止时间（即开标时间）和投标人须知前附表规定的地点公开开标，投标人的法定代表人（负责人）或其委托代理人应准时参加并签到。如未按时签到，由此产生的后果由投标人自行负责。</w:t>
      </w:r>
    </w:p>
    <w:p>
      <w:pPr>
        <w:pStyle w:val="14"/>
        <w:spacing w:line="440" w:lineRule="exact"/>
        <w:ind w:firstLine="359" w:firstLineChars="171"/>
        <w:rPr>
          <w:rFonts w:hAnsi="宋体" w:cs="宋体"/>
          <w:sz w:val="21"/>
          <w:szCs w:val="21"/>
        </w:rPr>
      </w:pPr>
      <w:r>
        <w:rPr>
          <w:rFonts w:hint="eastAsia" w:hAnsi="宋体" w:cs="宋体"/>
          <w:sz w:val="21"/>
          <w:szCs w:val="21"/>
        </w:rPr>
        <w:t>15.2  开标程序：</w:t>
      </w:r>
    </w:p>
    <w:p>
      <w:pPr>
        <w:pStyle w:val="14"/>
        <w:spacing w:line="440" w:lineRule="exact"/>
        <w:ind w:firstLine="720"/>
        <w:rPr>
          <w:rFonts w:hAnsi="宋体" w:cs="宋体"/>
          <w:sz w:val="21"/>
          <w:szCs w:val="21"/>
        </w:rPr>
      </w:pPr>
      <w:r>
        <w:rPr>
          <w:rFonts w:hint="eastAsia" w:hAnsi="宋体" w:cs="宋体"/>
          <w:sz w:val="21"/>
          <w:szCs w:val="21"/>
        </w:rPr>
        <w:t>（1）开标会由采购代理机构主持，主持人宣布开标会议开始，介绍开标现场相关人员；</w:t>
      </w:r>
    </w:p>
    <w:p>
      <w:pPr>
        <w:pStyle w:val="14"/>
        <w:spacing w:line="440" w:lineRule="exact"/>
        <w:ind w:firstLine="720"/>
        <w:rPr>
          <w:rFonts w:hAnsi="宋体" w:cs="宋体"/>
          <w:sz w:val="21"/>
          <w:szCs w:val="21"/>
        </w:rPr>
      </w:pPr>
      <w:r>
        <w:rPr>
          <w:rFonts w:hint="eastAsia" w:hAnsi="宋体" w:cs="宋体"/>
          <w:sz w:val="21"/>
          <w:szCs w:val="21"/>
        </w:rPr>
        <w:t>（2）公布在投标截止时间前递交投标文件的投标人名称，并点名确认投标人是否派人到场；</w:t>
      </w:r>
    </w:p>
    <w:p>
      <w:pPr>
        <w:pStyle w:val="14"/>
        <w:spacing w:line="440" w:lineRule="exact"/>
        <w:ind w:firstLine="720"/>
        <w:rPr>
          <w:rFonts w:hAnsi="宋体" w:cs="宋体"/>
          <w:sz w:val="21"/>
          <w:szCs w:val="21"/>
        </w:rPr>
      </w:pPr>
      <w:r>
        <w:rPr>
          <w:rFonts w:hint="eastAsia" w:hAnsi="宋体" w:cs="宋体"/>
          <w:sz w:val="21"/>
          <w:szCs w:val="21"/>
        </w:rPr>
        <w:t>（3）投标人代表按本章第14.1项的规定交叉检查投标文件的密封情况，并签字确认；</w:t>
      </w:r>
    </w:p>
    <w:p>
      <w:pPr>
        <w:pStyle w:val="14"/>
        <w:spacing w:line="440" w:lineRule="exact"/>
        <w:ind w:firstLine="720"/>
        <w:rPr>
          <w:rFonts w:hAnsi="宋体" w:cs="宋体"/>
          <w:sz w:val="21"/>
          <w:szCs w:val="21"/>
        </w:rPr>
      </w:pPr>
      <w:r>
        <w:rPr>
          <w:rFonts w:hint="eastAsia" w:hAnsi="宋体" w:cs="宋体"/>
          <w:sz w:val="21"/>
          <w:szCs w:val="21"/>
        </w:rPr>
        <w:t>（4）当众拆封投标文件，由唱标人宣读投标人名称、分标名称、投标文件正副本数量、投标报价、项目完成时间等以及采购代理机构认为有必要宣读的其他内容，开标过程由采购人或者采购代理机构负责记录，由参加开标的各投标人代表和相关工作人员签字确认后随招标文件一并存档。投标人不足3家的，不得开标；</w:t>
      </w:r>
    </w:p>
    <w:p>
      <w:pPr>
        <w:pStyle w:val="14"/>
        <w:spacing w:line="440" w:lineRule="exact"/>
        <w:ind w:firstLine="720"/>
        <w:rPr>
          <w:rFonts w:hAnsi="宋体" w:cs="宋体"/>
          <w:sz w:val="21"/>
          <w:szCs w:val="21"/>
        </w:rPr>
      </w:pPr>
      <w:r>
        <w:rPr>
          <w:rFonts w:hint="eastAsia" w:hAnsi="宋体" w:cs="宋体"/>
          <w:sz w:val="21"/>
          <w:szCs w:val="21"/>
        </w:rPr>
        <w:t>（5）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pStyle w:val="14"/>
        <w:spacing w:line="440" w:lineRule="exact"/>
        <w:ind w:firstLine="720"/>
        <w:rPr>
          <w:rFonts w:hAnsi="宋体" w:cs="宋体"/>
          <w:sz w:val="21"/>
          <w:szCs w:val="21"/>
        </w:rPr>
      </w:pPr>
      <w:r>
        <w:rPr>
          <w:rFonts w:hint="eastAsia" w:hAnsi="宋体" w:cs="宋体"/>
          <w:sz w:val="21"/>
          <w:szCs w:val="21"/>
        </w:rPr>
        <w:t>（6）投标人未参加开标的，视同认可开标结果；</w:t>
      </w:r>
    </w:p>
    <w:p>
      <w:pPr>
        <w:pStyle w:val="14"/>
        <w:spacing w:line="440" w:lineRule="exact"/>
        <w:ind w:firstLine="720"/>
        <w:rPr>
          <w:rFonts w:hAnsi="宋体" w:cs="宋体"/>
          <w:sz w:val="21"/>
          <w:szCs w:val="21"/>
        </w:rPr>
      </w:pPr>
      <w:r>
        <w:rPr>
          <w:rFonts w:hint="eastAsia" w:hAnsi="宋体" w:cs="宋体"/>
          <w:sz w:val="21"/>
          <w:szCs w:val="21"/>
        </w:rPr>
        <w:t>（7）开标结束。</w:t>
      </w:r>
    </w:p>
    <w:p>
      <w:pPr>
        <w:pStyle w:val="14"/>
        <w:spacing w:line="440" w:lineRule="exact"/>
        <w:rPr>
          <w:rFonts w:hAnsi="宋体" w:cs="宋体"/>
          <w:bCs/>
          <w:sz w:val="21"/>
          <w:szCs w:val="21"/>
        </w:rPr>
      </w:pPr>
      <w:r>
        <w:rPr>
          <w:rFonts w:hint="eastAsia" w:hAnsi="宋体" w:cs="宋体"/>
          <w:bCs/>
          <w:sz w:val="21"/>
          <w:szCs w:val="21"/>
        </w:rPr>
        <w:t>16.  资格审查</w:t>
      </w:r>
    </w:p>
    <w:p>
      <w:pPr>
        <w:pStyle w:val="14"/>
        <w:spacing w:line="440" w:lineRule="exact"/>
        <w:ind w:firstLine="420" w:firstLineChars="200"/>
        <w:rPr>
          <w:rFonts w:hAnsi="宋体" w:cs="宋体"/>
          <w:bCs/>
          <w:sz w:val="21"/>
          <w:szCs w:val="21"/>
        </w:rPr>
      </w:pPr>
      <w:r>
        <w:rPr>
          <w:rFonts w:hint="eastAsia" w:hAnsi="宋体" w:cs="宋体"/>
          <w:sz w:val="21"/>
          <w:szCs w:val="21"/>
        </w:rPr>
        <w:t>16.1 资格性审查：公开招标采购项目开标结束后，采购人负责对投标人的资格进行审查，以确定投标供应商是否具备投标资格。合格投标人不足3家的，不得评标。</w:t>
      </w:r>
    </w:p>
    <w:p>
      <w:pPr>
        <w:pStyle w:val="14"/>
        <w:spacing w:line="440" w:lineRule="exact"/>
        <w:rPr>
          <w:rFonts w:hAnsi="宋体" w:cs="宋体"/>
          <w:bCs/>
          <w:sz w:val="21"/>
          <w:szCs w:val="21"/>
        </w:rPr>
      </w:pPr>
      <w:r>
        <w:rPr>
          <w:rFonts w:hint="eastAsia" w:hAnsi="宋体" w:cs="宋体"/>
          <w:bCs/>
          <w:sz w:val="21"/>
          <w:szCs w:val="21"/>
        </w:rPr>
        <w:t>17.  评标</w:t>
      </w:r>
    </w:p>
    <w:p>
      <w:pPr>
        <w:pStyle w:val="14"/>
        <w:spacing w:line="440" w:lineRule="exact"/>
        <w:ind w:firstLine="360"/>
        <w:rPr>
          <w:rFonts w:hAnsi="宋体" w:cs="宋体"/>
          <w:sz w:val="21"/>
          <w:szCs w:val="21"/>
        </w:rPr>
      </w:pPr>
      <w:r>
        <w:rPr>
          <w:rFonts w:hint="eastAsia" w:hAnsi="宋体" w:cs="宋体"/>
          <w:bCs/>
          <w:sz w:val="21"/>
          <w:szCs w:val="21"/>
        </w:rPr>
        <w:t xml:space="preserve">17.1 </w:t>
      </w:r>
      <w:r>
        <w:rPr>
          <w:rFonts w:hint="eastAsia" w:hAnsi="宋体" w:cs="宋体"/>
          <w:sz w:val="21"/>
          <w:szCs w:val="21"/>
        </w:rPr>
        <w:t>评标委员会由采购人代表和评审专家组成</w:t>
      </w:r>
      <w:r>
        <w:rPr>
          <w:rFonts w:hint="eastAsia" w:hAnsi="宋体" w:cs="宋体"/>
          <w:bCs/>
          <w:sz w:val="21"/>
          <w:szCs w:val="21"/>
        </w:rPr>
        <w:t>。采购人或采购代理机构根据本项目的特点，从百色市公共资源交易中心专家库中，通过随机方式抽取专家，</w:t>
      </w:r>
      <w:r>
        <w:rPr>
          <w:rFonts w:hint="eastAsia" w:hAnsi="宋体" w:cs="宋体"/>
          <w:sz w:val="21"/>
          <w:szCs w:val="21"/>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14"/>
        <w:spacing w:line="440" w:lineRule="exact"/>
        <w:ind w:firstLine="360"/>
        <w:rPr>
          <w:rFonts w:hAnsi="宋体" w:cs="宋体"/>
          <w:sz w:val="21"/>
          <w:szCs w:val="21"/>
        </w:rPr>
      </w:pPr>
      <w:r>
        <w:rPr>
          <w:rFonts w:hint="eastAsia" w:hAnsi="宋体" w:cs="宋体"/>
          <w:sz w:val="21"/>
          <w:szCs w:val="21"/>
        </w:rPr>
        <w:t>17.2  评标原则：评标活动遵循公平、公正、科学和择优的原则。</w:t>
      </w:r>
    </w:p>
    <w:p>
      <w:pPr>
        <w:pStyle w:val="14"/>
        <w:spacing w:line="440" w:lineRule="exact"/>
        <w:ind w:firstLine="360"/>
        <w:rPr>
          <w:rFonts w:hAnsi="宋体" w:cs="宋体"/>
          <w:sz w:val="21"/>
          <w:szCs w:val="21"/>
        </w:rPr>
      </w:pPr>
      <w:r>
        <w:rPr>
          <w:rFonts w:hint="eastAsia" w:hAnsi="宋体" w:cs="宋体"/>
          <w:sz w:val="21"/>
          <w:szCs w:val="21"/>
        </w:rPr>
        <w:t>17.3  评标方法：评标委员会按照投标人须知前附表和第七章“评标方法”规定的方法、评审因素和标准对投标文件进行评审。在评标中，不得改变第七章“评标办法”规定的方法、评审因素和标准；第七章“评标办法”没有规定的方法、评审因素和标准，不作为评标依据。</w:t>
      </w:r>
    </w:p>
    <w:p>
      <w:pPr>
        <w:pStyle w:val="14"/>
        <w:spacing w:line="440" w:lineRule="exact"/>
        <w:ind w:firstLine="360"/>
        <w:rPr>
          <w:rFonts w:hAnsi="宋体" w:cs="宋体"/>
          <w:bCs/>
          <w:sz w:val="21"/>
          <w:szCs w:val="21"/>
        </w:rPr>
      </w:pPr>
      <w:r>
        <w:rPr>
          <w:rFonts w:hint="eastAsia" w:hAnsi="宋体" w:cs="宋体"/>
          <w:sz w:val="21"/>
          <w:szCs w:val="21"/>
        </w:rPr>
        <w:t xml:space="preserve">17.4  </w:t>
      </w:r>
      <w:r>
        <w:rPr>
          <w:rFonts w:hint="eastAsia" w:hAnsi="宋体" w:cs="宋体"/>
          <w:bCs/>
          <w:sz w:val="21"/>
          <w:szCs w:val="21"/>
        </w:rPr>
        <w:t>评标程序：</w:t>
      </w:r>
    </w:p>
    <w:p>
      <w:pPr>
        <w:pStyle w:val="14"/>
        <w:spacing w:line="440" w:lineRule="exact"/>
        <w:ind w:firstLine="360"/>
        <w:rPr>
          <w:rFonts w:hAnsi="宋体" w:cs="宋体"/>
          <w:bCs/>
          <w:sz w:val="21"/>
          <w:szCs w:val="21"/>
        </w:rPr>
      </w:pPr>
      <w:r>
        <w:rPr>
          <w:rFonts w:hint="eastAsia" w:hAnsi="宋体" w:cs="宋体"/>
          <w:bCs/>
          <w:sz w:val="21"/>
          <w:szCs w:val="21"/>
        </w:rPr>
        <w:t>17.4.1  采购代理机构项目负责人宣读评标现场纪律要求，集中管理通讯工具，询问在场人员是否申请回避；</w:t>
      </w:r>
    </w:p>
    <w:p>
      <w:pPr>
        <w:pStyle w:val="14"/>
        <w:spacing w:line="440" w:lineRule="exact"/>
        <w:ind w:firstLine="360"/>
        <w:rPr>
          <w:rFonts w:hAnsi="宋体" w:cs="宋体"/>
          <w:bCs/>
          <w:sz w:val="21"/>
          <w:szCs w:val="21"/>
        </w:rPr>
      </w:pPr>
      <w:r>
        <w:rPr>
          <w:rFonts w:hint="eastAsia" w:hAnsi="宋体" w:cs="宋体"/>
          <w:bCs/>
          <w:sz w:val="21"/>
          <w:szCs w:val="21"/>
        </w:rPr>
        <w:t>17.4.2 采购代理机构项目负责人介绍项目概况及评标委员会组成情况（但不得发表影响评审的倾向性、歧视性言论），推选评标组长（原则上采购人不得担任评标组长）；</w:t>
      </w:r>
    </w:p>
    <w:p>
      <w:pPr>
        <w:pStyle w:val="14"/>
        <w:spacing w:line="440" w:lineRule="exact"/>
        <w:ind w:firstLine="360"/>
        <w:rPr>
          <w:rFonts w:hAnsi="宋体" w:cs="宋体"/>
          <w:bCs/>
          <w:sz w:val="21"/>
          <w:szCs w:val="21"/>
        </w:rPr>
      </w:pPr>
      <w:r>
        <w:rPr>
          <w:rFonts w:hint="eastAsia" w:hAnsi="宋体" w:cs="宋体"/>
          <w:bCs/>
          <w:sz w:val="21"/>
          <w:szCs w:val="21"/>
        </w:rPr>
        <w:t>17.4.3  评标委员会开展评标工作：</w:t>
      </w:r>
    </w:p>
    <w:p>
      <w:pPr>
        <w:pStyle w:val="14"/>
        <w:spacing w:line="440" w:lineRule="exact"/>
        <w:ind w:firstLine="360"/>
        <w:rPr>
          <w:rFonts w:hAnsi="宋体" w:cs="宋体"/>
          <w:bCs/>
          <w:sz w:val="21"/>
          <w:szCs w:val="21"/>
        </w:rPr>
      </w:pPr>
      <w:r>
        <w:rPr>
          <w:rFonts w:hint="eastAsia" w:hAnsi="宋体" w:cs="宋体"/>
          <w:bCs/>
          <w:sz w:val="21"/>
          <w:szCs w:val="21"/>
        </w:rPr>
        <w:t>17.4.3.1投标文件初审。</w:t>
      </w:r>
      <w:r>
        <w:rPr>
          <w:rFonts w:hint="eastAsia" w:hAnsi="宋体" w:cs="宋体"/>
          <w:sz w:val="21"/>
          <w:szCs w:val="21"/>
        </w:rPr>
        <w:t>符合性检查：依据招标文件的规定，从投标文件的有效性、完整性和对招标文件的响应程度进行审查，以确定是否对招标文件的实质性要求和条件作出响应。</w:t>
      </w:r>
    </w:p>
    <w:p>
      <w:pPr>
        <w:pStyle w:val="14"/>
        <w:spacing w:line="440" w:lineRule="exact"/>
        <w:ind w:firstLine="718" w:firstLineChars="342"/>
        <w:rPr>
          <w:rFonts w:hAnsi="宋体" w:cs="宋体"/>
          <w:sz w:val="21"/>
          <w:szCs w:val="21"/>
        </w:rPr>
      </w:pPr>
      <w:r>
        <w:rPr>
          <w:rFonts w:hint="eastAsia" w:hAnsi="宋体" w:cs="宋体"/>
          <w:bCs/>
          <w:sz w:val="21"/>
          <w:szCs w:val="21"/>
        </w:rPr>
        <w:t>（1）</w:t>
      </w:r>
      <w:r>
        <w:rPr>
          <w:rFonts w:hint="eastAsia" w:hAnsi="宋体" w:cs="宋体"/>
          <w:sz w:val="21"/>
          <w:szCs w:val="21"/>
        </w:rPr>
        <w:t>有下列情形之一的视为投标人相互串通投标，投标文件将被视为无效。</w:t>
      </w:r>
    </w:p>
    <w:p>
      <w:pPr>
        <w:widowControl/>
        <w:spacing w:line="440" w:lineRule="exact"/>
        <w:ind w:firstLine="640"/>
        <w:jc w:val="left"/>
        <w:rPr>
          <w:rFonts w:ascii="宋体" w:hAnsi="宋体" w:cs="宋体"/>
          <w:sz w:val="21"/>
          <w:szCs w:val="21"/>
        </w:rPr>
      </w:pPr>
      <w:r>
        <w:rPr>
          <w:rFonts w:hint="eastAsia" w:ascii="宋体" w:hAnsi="宋体" w:cs="宋体"/>
          <w:sz w:val="21"/>
          <w:szCs w:val="21"/>
        </w:rPr>
        <w:t>①不同投标人的投标文件由同一单位或者个人编制；</w:t>
      </w:r>
    </w:p>
    <w:p>
      <w:pPr>
        <w:widowControl/>
        <w:spacing w:line="440" w:lineRule="exact"/>
        <w:ind w:firstLine="640"/>
        <w:jc w:val="left"/>
        <w:rPr>
          <w:rFonts w:ascii="宋体" w:hAnsi="宋体" w:cs="宋体"/>
          <w:sz w:val="21"/>
          <w:szCs w:val="21"/>
        </w:rPr>
      </w:pPr>
      <w:r>
        <w:rPr>
          <w:rFonts w:hint="eastAsia" w:ascii="宋体" w:hAnsi="宋体" w:cs="宋体"/>
          <w:sz w:val="21"/>
          <w:szCs w:val="21"/>
        </w:rPr>
        <w:t>②不同投标人委托同一单位或者个人办理投标事宜；</w:t>
      </w:r>
    </w:p>
    <w:p>
      <w:pPr>
        <w:widowControl/>
        <w:spacing w:line="440" w:lineRule="exact"/>
        <w:ind w:firstLine="640"/>
        <w:jc w:val="left"/>
        <w:rPr>
          <w:rFonts w:ascii="宋体" w:hAnsi="宋体" w:cs="宋体"/>
          <w:sz w:val="21"/>
          <w:szCs w:val="21"/>
        </w:rPr>
      </w:pPr>
      <w:r>
        <w:rPr>
          <w:rFonts w:hint="eastAsia" w:ascii="宋体" w:hAnsi="宋体" w:cs="宋体"/>
          <w:sz w:val="21"/>
          <w:szCs w:val="21"/>
        </w:rPr>
        <w:t>③不同的投标人的投标文件载明的项目管理员为同一个人；</w:t>
      </w:r>
    </w:p>
    <w:p>
      <w:pPr>
        <w:widowControl/>
        <w:spacing w:line="440" w:lineRule="exact"/>
        <w:ind w:firstLine="640"/>
        <w:jc w:val="left"/>
        <w:rPr>
          <w:rFonts w:ascii="宋体" w:hAnsi="宋体" w:cs="宋体"/>
          <w:sz w:val="21"/>
          <w:szCs w:val="21"/>
        </w:rPr>
      </w:pPr>
      <w:r>
        <w:rPr>
          <w:rFonts w:hint="eastAsia" w:ascii="宋体" w:hAnsi="宋体" w:cs="宋体"/>
          <w:sz w:val="21"/>
          <w:szCs w:val="21"/>
        </w:rPr>
        <w:t>④不同投标人的投标文件异常一致或投标报价呈规律性差异；</w:t>
      </w:r>
    </w:p>
    <w:p>
      <w:pPr>
        <w:widowControl/>
        <w:spacing w:line="440" w:lineRule="exact"/>
        <w:ind w:firstLine="640"/>
        <w:jc w:val="left"/>
        <w:rPr>
          <w:rFonts w:ascii="宋体" w:hAnsi="宋体" w:cs="宋体"/>
          <w:sz w:val="21"/>
          <w:szCs w:val="21"/>
        </w:rPr>
      </w:pPr>
      <w:r>
        <w:rPr>
          <w:rFonts w:hint="eastAsia" w:ascii="宋体" w:hAnsi="宋体" w:cs="宋体"/>
          <w:sz w:val="21"/>
          <w:szCs w:val="21"/>
        </w:rPr>
        <w:t>⑤不同投标人的投标文件相互混装；</w:t>
      </w:r>
    </w:p>
    <w:p>
      <w:pPr>
        <w:widowControl/>
        <w:spacing w:line="440" w:lineRule="exact"/>
        <w:ind w:firstLine="640"/>
        <w:jc w:val="left"/>
        <w:rPr>
          <w:rFonts w:ascii="宋体" w:hAnsi="宋体" w:cs="宋体"/>
          <w:sz w:val="21"/>
          <w:szCs w:val="21"/>
        </w:rPr>
      </w:pPr>
      <w:r>
        <w:rPr>
          <w:rFonts w:hint="eastAsia" w:ascii="宋体" w:hAnsi="宋体" w:cs="宋体"/>
          <w:sz w:val="21"/>
          <w:szCs w:val="21"/>
        </w:rPr>
        <w:t>⑥不同投标人的投标保证金从同一单位或者个人账户转出。</w:t>
      </w:r>
    </w:p>
    <w:p>
      <w:pPr>
        <w:widowControl/>
        <w:spacing w:line="440" w:lineRule="exact"/>
        <w:ind w:firstLine="640"/>
        <w:jc w:val="left"/>
        <w:rPr>
          <w:rFonts w:ascii="宋体" w:hAnsi="宋体" w:cs="宋体"/>
          <w:sz w:val="21"/>
          <w:szCs w:val="21"/>
        </w:rPr>
      </w:pPr>
      <w:r>
        <w:rPr>
          <w:rFonts w:hint="eastAsia" w:ascii="宋体" w:hAnsi="宋体" w:cs="宋体"/>
          <w:bCs/>
          <w:sz w:val="21"/>
          <w:szCs w:val="21"/>
        </w:rPr>
        <w:t>（2）</w:t>
      </w:r>
      <w:r>
        <w:rPr>
          <w:rFonts w:hint="eastAsia" w:ascii="宋体" w:hAnsi="宋体" w:cs="宋体"/>
          <w:sz w:val="21"/>
          <w:szCs w:val="21"/>
        </w:rPr>
        <w:t>关联供应商不得参加同一合同项下政府采购活动，否则投标文件将被视为无效</w:t>
      </w:r>
    </w:p>
    <w:p>
      <w:pPr>
        <w:widowControl/>
        <w:spacing w:line="440" w:lineRule="exact"/>
        <w:ind w:firstLine="640"/>
        <w:jc w:val="left"/>
        <w:rPr>
          <w:rFonts w:ascii="宋体" w:hAnsi="宋体" w:cs="宋体"/>
          <w:sz w:val="21"/>
          <w:szCs w:val="21"/>
        </w:rPr>
      </w:pPr>
      <w:r>
        <w:rPr>
          <w:rFonts w:hint="eastAsia" w:ascii="宋体" w:hAnsi="宋体" w:cs="宋体"/>
          <w:sz w:val="21"/>
          <w:szCs w:val="21"/>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cs="宋体"/>
          <w:sz w:val="21"/>
          <w:szCs w:val="21"/>
        </w:rPr>
      </w:pPr>
      <w:r>
        <w:rPr>
          <w:rFonts w:hint="eastAsia" w:ascii="宋体" w:hAnsi="宋体" w:cs="宋体"/>
          <w:sz w:val="21"/>
          <w:szCs w:val="21"/>
        </w:rPr>
        <w:t>②生产厂商授权给供应商后自己不得参加同一合同项下的政府采购活动；生产厂商对同一品牌同一型号的货物，仅能委托一个代理商参加投标。</w:t>
      </w:r>
    </w:p>
    <w:p>
      <w:pPr>
        <w:pStyle w:val="14"/>
        <w:spacing w:line="440" w:lineRule="exact"/>
        <w:ind w:firstLine="420" w:firstLineChars="200"/>
        <w:rPr>
          <w:rFonts w:hAnsi="宋体" w:cs="宋体"/>
          <w:sz w:val="21"/>
          <w:szCs w:val="21"/>
        </w:rPr>
      </w:pPr>
      <w:r>
        <w:rPr>
          <w:rFonts w:hint="eastAsia" w:hAnsi="宋体" w:cs="宋体"/>
          <w:sz w:val="21"/>
          <w:szCs w:val="21"/>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负责人）或其委托代理人签字或盖章确认，且不得超出投标文件的范围或者改变投标文件的实质性内容。该澄清、说明或者纠正是投标文件的组成部分。</w:t>
      </w:r>
    </w:p>
    <w:p>
      <w:pPr>
        <w:pStyle w:val="14"/>
        <w:spacing w:line="440" w:lineRule="exact"/>
        <w:ind w:firstLine="420" w:firstLineChars="200"/>
        <w:rPr>
          <w:rFonts w:hAnsi="宋体" w:cs="宋体"/>
          <w:sz w:val="21"/>
          <w:szCs w:val="21"/>
        </w:rPr>
      </w:pPr>
      <w:r>
        <w:rPr>
          <w:rFonts w:hint="eastAsia" w:hAnsi="宋体" w:cs="宋体"/>
          <w:sz w:val="21"/>
          <w:szCs w:val="21"/>
        </w:rPr>
        <w:t>17.4.3.3比较与评价。按招标文件中规定的评标方法和标准，对资格性检查和符合性检查合格的投标文件进行商务和技术评估，综合比较与评价。</w:t>
      </w:r>
    </w:p>
    <w:p>
      <w:pPr>
        <w:widowControl/>
        <w:spacing w:line="440" w:lineRule="exact"/>
        <w:ind w:firstLine="420" w:firstLineChars="200"/>
        <w:jc w:val="left"/>
        <w:rPr>
          <w:rFonts w:ascii="宋体" w:hAnsi="宋体" w:cs="宋体"/>
          <w:sz w:val="21"/>
          <w:szCs w:val="21"/>
        </w:rPr>
      </w:pPr>
      <w:r>
        <w:rPr>
          <w:rFonts w:hint="eastAsia" w:ascii="宋体" w:hAnsi="宋体" w:cs="宋体"/>
          <w:sz w:val="21"/>
          <w:szCs w:val="21"/>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firstLineChars="200"/>
        <w:jc w:val="left"/>
        <w:rPr>
          <w:rFonts w:ascii="宋体" w:hAnsi="宋体" w:cs="宋体"/>
          <w:sz w:val="21"/>
          <w:szCs w:val="21"/>
        </w:rPr>
      </w:pPr>
      <w:r>
        <w:rPr>
          <w:rFonts w:hint="eastAsia" w:ascii="宋体" w:hAnsi="宋体" w:cs="宋体"/>
          <w:sz w:val="21"/>
          <w:szCs w:val="21"/>
        </w:rPr>
        <w:t>17.4.3.5编写评标报告，并确定中标供应商名单。</w:t>
      </w:r>
    </w:p>
    <w:p>
      <w:pPr>
        <w:pStyle w:val="14"/>
        <w:spacing w:line="440" w:lineRule="exact"/>
        <w:ind w:firstLine="360"/>
        <w:rPr>
          <w:rFonts w:hAnsi="宋体" w:cs="宋体"/>
          <w:bCs/>
          <w:sz w:val="21"/>
          <w:szCs w:val="21"/>
        </w:rPr>
      </w:pPr>
      <w:r>
        <w:rPr>
          <w:rFonts w:hint="eastAsia" w:hAnsi="宋体" w:cs="宋体"/>
          <w:sz w:val="21"/>
          <w:szCs w:val="21"/>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p>
    <w:p>
      <w:pPr>
        <w:pStyle w:val="14"/>
        <w:spacing w:line="440" w:lineRule="exact"/>
        <w:ind w:firstLine="359" w:firstLineChars="171"/>
        <w:rPr>
          <w:rFonts w:hAnsi="宋体" w:cs="宋体"/>
          <w:sz w:val="21"/>
          <w:szCs w:val="21"/>
        </w:rPr>
      </w:pPr>
      <w:r>
        <w:rPr>
          <w:rFonts w:hint="eastAsia" w:hAnsi="宋体" w:cs="宋体"/>
          <w:sz w:val="21"/>
          <w:szCs w:val="21"/>
        </w:rPr>
        <w:t>17.5  在确定中标供应商前，采购人或采购代理机构不得与投标供应商就投标价格、投标方案等实质性内容进行谈判。</w:t>
      </w:r>
    </w:p>
    <w:p>
      <w:pPr>
        <w:pStyle w:val="14"/>
        <w:spacing w:line="440" w:lineRule="exact"/>
        <w:ind w:firstLine="359" w:firstLineChars="171"/>
        <w:rPr>
          <w:rFonts w:hAnsi="宋体" w:cs="宋体"/>
          <w:sz w:val="21"/>
          <w:szCs w:val="21"/>
        </w:rPr>
      </w:pPr>
      <w:r>
        <w:rPr>
          <w:rFonts w:hint="eastAsia" w:hAnsi="宋体" w:cs="宋体"/>
          <w:sz w:val="21"/>
          <w:szCs w:val="21"/>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4"/>
        <w:spacing w:line="440" w:lineRule="exact"/>
        <w:rPr>
          <w:rFonts w:hAnsi="宋体" w:cs="宋体"/>
          <w:bCs/>
          <w:sz w:val="21"/>
          <w:szCs w:val="21"/>
        </w:rPr>
      </w:pPr>
      <w:r>
        <w:rPr>
          <w:rFonts w:hint="eastAsia" w:hAnsi="宋体" w:cs="宋体"/>
          <w:bCs/>
          <w:sz w:val="21"/>
          <w:szCs w:val="21"/>
        </w:rPr>
        <w:t>18.  投标文件的修正</w:t>
      </w:r>
    </w:p>
    <w:p>
      <w:pPr>
        <w:pStyle w:val="14"/>
        <w:spacing w:line="440" w:lineRule="exact"/>
        <w:ind w:firstLine="420" w:firstLineChars="200"/>
        <w:rPr>
          <w:rFonts w:hAnsi="宋体" w:cs="宋体"/>
          <w:sz w:val="21"/>
          <w:szCs w:val="21"/>
        </w:rPr>
      </w:pPr>
      <w:r>
        <w:rPr>
          <w:rFonts w:hint="eastAsia" w:hAnsi="宋体" w:cs="宋体"/>
          <w:sz w:val="21"/>
          <w:szCs w:val="21"/>
        </w:rPr>
        <w:t>18.1  投标文件报价出现前后不一致的，修正的原则如下：</w:t>
      </w:r>
    </w:p>
    <w:p>
      <w:pPr>
        <w:pStyle w:val="14"/>
        <w:spacing w:line="440" w:lineRule="exact"/>
        <w:ind w:firstLine="420" w:firstLineChars="200"/>
        <w:rPr>
          <w:rFonts w:hAnsi="宋体" w:cs="宋体"/>
          <w:sz w:val="21"/>
          <w:szCs w:val="21"/>
        </w:rPr>
      </w:pPr>
      <w:r>
        <w:rPr>
          <w:rFonts w:hint="eastAsia" w:hAnsi="宋体" w:cs="宋体"/>
          <w:sz w:val="21"/>
          <w:szCs w:val="21"/>
        </w:rPr>
        <w:t>（1）投标文件中开标一览表（报价表）内容与投标文件中相应内容不一致的，以开标一览表（报价表）为准；</w:t>
      </w:r>
    </w:p>
    <w:p>
      <w:pPr>
        <w:pStyle w:val="14"/>
        <w:spacing w:line="440" w:lineRule="exact"/>
        <w:ind w:firstLine="420" w:firstLineChars="200"/>
        <w:rPr>
          <w:rFonts w:hAnsi="宋体" w:cs="宋体"/>
          <w:sz w:val="21"/>
          <w:szCs w:val="21"/>
        </w:rPr>
      </w:pPr>
      <w:r>
        <w:rPr>
          <w:rFonts w:hint="eastAsia" w:hAnsi="宋体" w:cs="宋体"/>
          <w:sz w:val="21"/>
          <w:szCs w:val="21"/>
        </w:rPr>
        <w:t>（2）大写金额和小写金额不一致的，以大写金额为准；</w:t>
      </w:r>
    </w:p>
    <w:p>
      <w:pPr>
        <w:pStyle w:val="14"/>
        <w:spacing w:line="440" w:lineRule="exact"/>
        <w:ind w:firstLine="420" w:firstLineChars="200"/>
        <w:rPr>
          <w:rFonts w:hAnsi="宋体" w:cs="宋体"/>
          <w:sz w:val="21"/>
          <w:szCs w:val="21"/>
        </w:rPr>
      </w:pPr>
      <w:r>
        <w:rPr>
          <w:rFonts w:hint="eastAsia" w:hAnsi="宋体" w:cs="宋体"/>
          <w:sz w:val="21"/>
          <w:szCs w:val="21"/>
        </w:rPr>
        <w:t>（3）单价金额小数点或者百分比有明显错位的，以开标一览表的总价为准，并修改单价；</w:t>
      </w:r>
    </w:p>
    <w:p>
      <w:pPr>
        <w:pStyle w:val="14"/>
        <w:spacing w:line="440" w:lineRule="exact"/>
        <w:ind w:firstLine="420" w:firstLineChars="200"/>
        <w:rPr>
          <w:rFonts w:hAnsi="宋体" w:cs="宋体"/>
          <w:sz w:val="21"/>
          <w:szCs w:val="21"/>
        </w:rPr>
      </w:pPr>
      <w:r>
        <w:rPr>
          <w:rFonts w:hint="eastAsia" w:hAnsi="宋体" w:cs="宋体"/>
          <w:sz w:val="21"/>
          <w:szCs w:val="21"/>
        </w:rPr>
        <w:t>（4）总价金额与按单价汇总金额不一致的，以单价金额计算结果为准。</w:t>
      </w:r>
    </w:p>
    <w:p>
      <w:pPr>
        <w:pStyle w:val="14"/>
        <w:spacing w:line="440" w:lineRule="exact"/>
        <w:ind w:firstLine="525" w:firstLineChars="250"/>
        <w:rPr>
          <w:rFonts w:hAnsi="宋体" w:cs="宋体"/>
          <w:bCs/>
          <w:sz w:val="21"/>
          <w:szCs w:val="21"/>
        </w:rPr>
      </w:pPr>
      <w:r>
        <w:rPr>
          <w:rFonts w:hint="eastAsia" w:hAnsi="宋体" w:cs="宋体"/>
          <w:sz w:val="21"/>
          <w:szCs w:val="21"/>
        </w:rPr>
        <w:t>18.2同时出现两种以上不一致的，按照本条款规定的顺序修正。修正后的报价按照本章17.4.3.2的规定经投标人确认后产生约束力，投标人不确认的，其投标无效。</w:t>
      </w:r>
    </w:p>
    <w:p>
      <w:pPr>
        <w:pStyle w:val="14"/>
        <w:spacing w:line="440" w:lineRule="exact"/>
        <w:ind w:firstLine="525" w:firstLineChars="250"/>
        <w:rPr>
          <w:rFonts w:hAnsi="宋体" w:cs="宋体"/>
          <w:sz w:val="21"/>
          <w:szCs w:val="21"/>
        </w:rPr>
      </w:pPr>
      <w:r>
        <w:rPr>
          <w:rFonts w:hint="eastAsia" w:hAnsi="宋体" w:cs="宋体"/>
          <w:sz w:val="21"/>
          <w:szCs w:val="21"/>
        </w:rPr>
        <w:t>19.  拒绝接收</w:t>
      </w:r>
    </w:p>
    <w:p>
      <w:pPr>
        <w:pStyle w:val="14"/>
        <w:spacing w:line="440" w:lineRule="exact"/>
        <w:ind w:firstLine="720"/>
        <w:rPr>
          <w:rFonts w:hAnsi="宋体" w:cs="宋体"/>
          <w:sz w:val="21"/>
          <w:szCs w:val="21"/>
        </w:rPr>
      </w:pPr>
      <w:r>
        <w:rPr>
          <w:rFonts w:hint="eastAsia" w:hAnsi="宋体" w:cs="宋体"/>
          <w:sz w:val="21"/>
          <w:szCs w:val="21"/>
        </w:rPr>
        <w:t>19.1  投标人未在本章第14.2项规定的时间之前将投标文件送达至本章第14.4项指定地点的，采购代理机构应当拒绝接收该投标人的投标文件。</w:t>
      </w:r>
    </w:p>
    <w:p>
      <w:pPr>
        <w:pStyle w:val="14"/>
        <w:spacing w:line="440" w:lineRule="exact"/>
        <w:rPr>
          <w:rFonts w:hAnsi="宋体" w:cs="宋体"/>
          <w:b/>
          <w:bCs/>
          <w:sz w:val="21"/>
          <w:szCs w:val="21"/>
        </w:rPr>
      </w:pPr>
      <w:r>
        <w:rPr>
          <w:rFonts w:hint="eastAsia" w:hAnsi="宋体" w:cs="宋体"/>
          <w:sz w:val="21"/>
          <w:szCs w:val="21"/>
        </w:rPr>
        <w:t>20.  无效投标</w:t>
      </w:r>
    </w:p>
    <w:p>
      <w:pPr>
        <w:pStyle w:val="14"/>
        <w:spacing w:line="440" w:lineRule="exact"/>
        <w:ind w:firstLine="361" w:firstLineChars="171"/>
        <w:rPr>
          <w:rFonts w:hAnsi="宋体" w:cs="宋体"/>
          <w:sz w:val="21"/>
          <w:szCs w:val="21"/>
        </w:rPr>
      </w:pPr>
      <w:r>
        <w:rPr>
          <w:rFonts w:hint="eastAsia" w:hAnsi="宋体" w:cs="宋体"/>
          <w:b/>
          <w:bCs/>
          <w:sz w:val="21"/>
          <w:szCs w:val="21"/>
        </w:rPr>
        <w:t>★</w:t>
      </w:r>
      <w:r>
        <w:rPr>
          <w:rFonts w:hint="eastAsia" w:hAnsi="宋体" w:cs="宋体"/>
          <w:sz w:val="21"/>
          <w:szCs w:val="21"/>
        </w:rPr>
        <w:t>20.1  属下列情形之一的，投标人的投标无效：</w:t>
      </w:r>
    </w:p>
    <w:p>
      <w:pPr>
        <w:pStyle w:val="14"/>
        <w:spacing w:line="440" w:lineRule="exact"/>
        <w:ind w:firstLine="718" w:firstLineChars="342"/>
        <w:rPr>
          <w:rFonts w:hAnsi="宋体" w:cs="宋体"/>
          <w:sz w:val="21"/>
          <w:szCs w:val="21"/>
        </w:rPr>
      </w:pPr>
      <w:r>
        <w:rPr>
          <w:rFonts w:hint="eastAsia" w:hAnsi="宋体" w:cs="宋体"/>
          <w:sz w:val="21"/>
          <w:szCs w:val="21"/>
        </w:rPr>
        <w:t>（1）投标人不具备本章第3项规定的投标人资格要求的；</w:t>
      </w:r>
    </w:p>
    <w:p>
      <w:pPr>
        <w:pStyle w:val="14"/>
        <w:spacing w:line="440" w:lineRule="exact"/>
        <w:ind w:firstLine="718" w:firstLineChars="342"/>
        <w:rPr>
          <w:rFonts w:hAnsi="宋体" w:cs="宋体"/>
          <w:sz w:val="21"/>
          <w:szCs w:val="21"/>
        </w:rPr>
      </w:pPr>
      <w:r>
        <w:rPr>
          <w:rFonts w:hint="eastAsia" w:hAnsi="宋体" w:cs="宋体"/>
          <w:sz w:val="21"/>
          <w:szCs w:val="21"/>
        </w:rPr>
        <w:t xml:space="preserve">（2）投标文件未按本章第8.8项的规定标识或未按规定的正、副本数量递交的； </w:t>
      </w:r>
    </w:p>
    <w:p>
      <w:pPr>
        <w:pStyle w:val="14"/>
        <w:spacing w:line="440" w:lineRule="exact"/>
        <w:ind w:firstLine="718" w:firstLineChars="342"/>
        <w:rPr>
          <w:rFonts w:hAnsi="宋体" w:cs="宋体"/>
          <w:sz w:val="21"/>
          <w:szCs w:val="21"/>
        </w:rPr>
      </w:pPr>
      <w:r>
        <w:rPr>
          <w:rFonts w:hint="eastAsia" w:hAnsi="宋体" w:cs="宋体"/>
          <w:sz w:val="21"/>
          <w:szCs w:val="21"/>
        </w:rPr>
        <w:t>（3）投标文件未按本章第10.1项的规定编写和提交的（包括缺少应提交的文件或格式不符合第四章“投标文件格式”的要求）；</w:t>
      </w:r>
    </w:p>
    <w:p>
      <w:pPr>
        <w:pStyle w:val="14"/>
        <w:spacing w:line="440" w:lineRule="exact"/>
        <w:ind w:firstLine="718" w:firstLineChars="342"/>
        <w:rPr>
          <w:rFonts w:hAnsi="宋体" w:cs="宋体"/>
          <w:sz w:val="21"/>
          <w:szCs w:val="21"/>
        </w:rPr>
      </w:pPr>
      <w:r>
        <w:rPr>
          <w:rFonts w:hint="eastAsia" w:hAnsi="宋体" w:cs="宋体"/>
          <w:sz w:val="21"/>
          <w:szCs w:val="21"/>
        </w:rPr>
        <w:t>（4）投标文件不符合本章第10.2项规定的；</w:t>
      </w:r>
    </w:p>
    <w:p>
      <w:pPr>
        <w:pStyle w:val="14"/>
        <w:spacing w:line="440" w:lineRule="exact"/>
        <w:ind w:firstLine="718" w:firstLineChars="342"/>
        <w:rPr>
          <w:rFonts w:hAnsi="宋体" w:cs="宋体"/>
          <w:sz w:val="21"/>
          <w:szCs w:val="21"/>
        </w:rPr>
      </w:pPr>
      <w:r>
        <w:rPr>
          <w:rFonts w:hint="eastAsia" w:hAnsi="宋体" w:cs="宋体"/>
          <w:sz w:val="21"/>
          <w:szCs w:val="21"/>
        </w:rPr>
        <w:t>（5）投标报价不符合本章第11项规定的或超过采购预算的；</w:t>
      </w:r>
    </w:p>
    <w:p>
      <w:pPr>
        <w:pStyle w:val="14"/>
        <w:spacing w:line="440" w:lineRule="exact"/>
        <w:ind w:firstLine="718" w:firstLineChars="342"/>
        <w:rPr>
          <w:rFonts w:hAnsi="宋体" w:cs="宋体"/>
          <w:sz w:val="21"/>
          <w:szCs w:val="21"/>
        </w:rPr>
      </w:pPr>
      <w:r>
        <w:rPr>
          <w:rFonts w:hint="eastAsia" w:hAnsi="宋体" w:cs="宋体"/>
          <w:sz w:val="21"/>
          <w:szCs w:val="21"/>
        </w:rPr>
        <w:t>（7）投标文件不符合本章第14.1项规定的；</w:t>
      </w:r>
    </w:p>
    <w:p>
      <w:pPr>
        <w:pStyle w:val="14"/>
        <w:spacing w:line="440" w:lineRule="exact"/>
        <w:ind w:firstLine="718" w:firstLineChars="342"/>
        <w:rPr>
          <w:rFonts w:hAnsi="宋体" w:cs="宋体"/>
          <w:sz w:val="21"/>
          <w:szCs w:val="21"/>
        </w:rPr>
      </w:pPr>
      <w:r>
        <w:rPr>
          <w:rFonts w:hint="eastAsia" w:hAnsi="宋体" w:cs="宋体"/>
          <w:sz w:val="21"/>
          <w:szCs w:val="21"/>
        </w:rPr>
        <w:t>（8）投标人出现本章第17.4.3.1项所述的投标文件将被视为无效的情形的；</w:t>
      </w:r>
    </w:p>
    <w:p>
      <w:pPr>
        <w:pStyle w:val="14"/>
        <w:spacing w:line="440" w:lineRule="exact"/>
        <w:ind w:firstLine="718" w:firstLineChars="342"/>
        <w:rPr>
          <w:rFonts w:hAnsi="宋体" w:cs="宋体"/>
          <w:sz w:val="21"/>
          <w:szCs w:val="21"/>
        </w:rPr>
      </w:pPr>
      <w:r>
        <w:rPr>
          <w:rFonts w:hint="eastAsia" w:hAnsi="宋体" w:cs="宋体"/>
          <w:sz w:val="21"/>
          <w:szCs w:val="21"/>
        </w:rPr>
        <w:t>（9）投标人出现本章第18.2项所述情形的；</w:t>
      </w:r>
    </w:p>
    <w:p>
      <w:pPr>
        <w:pStyle w:val="14"/>
        <w:spacing w:line="440" w:lineRule="exact"/>
        <w:ind w:firstLine="718" w:firstLineChars="342"/>
        <w:rPr>
          <w:rFonts w:hAnsi="宋体" w:cs="宋体"/>
          <w:sz w:val="21"/>
          <w:szCs w:val="21"/>
        </w:rPr>
      </w:pPr>
      <w:r>
        <w:rPr>
          <w:rFonts w:hint="eastAsia" w:hAnsi="宋体" w:cs="宋体"/>
          <w:sz w:val="21"/>
          <w:szCs w:val="21"/>
        </w:rPr>
        <w:t>（10）投标文件未对招标文件提出的要求和条件作出实质性响应的；</w:t>
      </w:r>
    </w:p>
    <w:p>
      <w:pPr>
        <w:pStyle w:val="14"/>
        <w:spacing w:line="440" w:lineRule="exact"/>
        <w:ind w:firstLine="718" w:firstLineChars="342"/>
        <w:rPr>
          <w:rFonts w:hAnsi="宋体" w:cs="宋体"/>
          <w:sz w:val="21"/>
          <w:szCs w:val="21"/>
        </w:rPr>
      </w:pPr>
      <w:r>
        <w:rPr>
          <w:rFonts w:hint="eastAsia" w:hAnsi="宋体" w:cs="宋体"/>
          <w:sz w:val="21"/>
          <w:szCs w:val="21"/>
        </w:rPr>
        <w:t>（11）投标文件附有采购需求以外的条件使评标委员会认为不能接受的；</w:t>
      </w:r>
    </w:p>
    <w:p>
      <w:pPr>
        <w:pStyle w:val="14"/>
        <w:spacing w:line="440" w:lineRule="exact"/>
        <w:ind w:firstLine="718" w:firstLineChars="342"/>
        <w:rPr>
          <w:rFonts w:hAnsi="宋体" w:cs="宋体"/>
          <w:sz w:val="21"/>
          <w:szCs w:val="21"/>
        </w:rPr>
      </w:pPr>
      <w:r>
        <w:rPr>
          <w:rFonts w:hint="eastAsia" w:hAnsi="宋体" w:cs="宋体"/>
          <w:sz w:val="21"/>
          <w:szCs w:val="21"/>
        </w:rPr>
        <w:t>（12）投标人在投标过程中提供虚假材料的；</w:t>
      </w:r>
    </w:p>
    <w:p>
      <w:pPr>
        <w:pStyle w:val="14"/>
        <w:spacing w:line="440" w:lineRule="exact"/>
        <w:ind w:firstLine="718" w:firstLineChars="342"/>
        <w:rPr>
          <w:rFonts w:hAnsi="宋体" w:cs="宋体"/>
          <w:sz w:val="21"/>
          <w:szCs w:val="21"/>
        </w:rPr>
      </w:pPr>
      <w:r>
        <w:rPr>
          <w:rFonts w:hint="eastAsia" w:hAnsi="宋体" w:cs="宋体"/>
          <w:sz w:val="21"/>
          <w:szCs w:val="21"/>
        </w:rPr>
        <w:t xml:space="preserve">（13）投标文件含有违反国家法律、法规的内容。 </w:t>
      </w:r>
    </w:p>
    <w:p>
      <w:pPr>
        <w:pStyle w:val="14"/>
        <w:spacing w:line="440" w:lineRule="exact"/>
        <w:rPr>
          <w:rFonts w:hAnsi="宋体" w:cs="宋体"/>
          <w:sz w:val="21"/>
          <w:szCs w:val="21"/>
        </w:rPr>
      </w:pPr>
      <w:r>
        <w:rPr>
          <w:rFonts w:hint="eastAsia" w:hAnsi="宋体" w:cs="宋体"/>
          <w:sz w:val="21"/>
          <w:szCs w:val="21"/>
        </w:rPr>
        <w:t>21.  废标</w:t>
      </w:r>
    </w:p>
    <w:p>
      <w:pPr>
        <w:pStyle w:val="14"/>
        <w:spacing w:line="440" w:lineRule="exact"/>
        <w:ind w:firstLine="361" w:firstLineChars="171"/>
        <w:rPr>
          <w:rFonts w:hAnsi="宋体" w:cs="宋体"/>
          <w:sz w:val="21"/>
          <w:szCs w:val="21"/>
        </w:rPr>
      </w:pPr>
      <w:r>
        <w:rPr>
          <w:rFonts w:hint="eastAsia" w:hAnsi="宋体" w:cs="宋体"/>
          <w:b/>
          <w:bCs/>
          <w:sz w:val="21"/>
          <w:szCs w:val="21"/>
        </w:rPr>
        <w:t>★</w:t>
      </w:r>
      <w:r>
        <w:rPr>
          <w:rFonts w:hint="eastAsia" w:hAnsi="宋体" w:cs="宋体"/>
          <w:sz w:val="21"/>
          <w:szCs w:val="21"/>
        </w:rPr>
        <w:t>21.1  在招标过程中，出现下列情形之一的，予以废标：</w:t>
      </w:r>
    </w:p>
    <w:p>
      <w:pPr>
        <w:pStyle w:val="14"/>
        <w:spacing w:line="440" w:lineRule="exact"/>
        <w:ind w:firstLine="720"/>
        <w:rPr>
          <w:rFonts w:hAnsi="宋体" w:cs="宋体"/>
          <w:sz w:val="21"/>
          <w:szCs w:val="21"/>
        </w:rPr>
      </w:pPr>
      <w:r>
        <w:rPr>
          <w:rFonts w:hint="eastAsia" w:hAnsi="宋体" w:cs="宋体"/>
          <w:sz w:val="21"/>
          <w:szCs w:val="21"/>
        </w:rPr>
        <w:t>（1）符合专业条件的供应商或者对招标文件作实质响应的供应商不足三家的；</w:t>
      </w:r>
    </w:p>
    <w:p>
      <w:pPr>
        <w:pStyle w:val="14"/>
        <w:spacing w:line="440" w:lineRule="exact"/>
        <w:ind w:firstLine="420"/>
        <w:rPr>
          <w:rFonts w:hAnsi="宋体" w:cs="宋体"/>
          <w:b/>
          <w:sz w:val="21"/>
          <w:szCs w:val="21"/>
        </w:rPr>
      </w:pPr>
      <w:r>
        <w:rPr>
          <w:rFonts w:hint="eastAsia" w:hAnsi="宋体" w:cs="宋体"/>
          <w:b/>
          <w:sz w:val="21"/>
          <w:szCs w:val="21"/>
        </w:rPr>
        <w:t>有效投标供应商数量计算：</w:t>
      </w:r>
    </w:p>
    <w:p>
      <w:pPr>
        <w:pStyle w:val="14"/>
        <w:spacing w:line="440" w:lineRule="exact"/>
        <w:ind w:firstLine="420" w:firstLineChars="200"/>
        <w:jc w:val="left"/>
        <w:rPr>
          <w:rFonts w:hAnsi="宋体" w:cs="宋体"/>
          <w:sz w:val="21"/>
          <w:szCs w:val="21"/>
        </w:rPr>
      </w:pPr>
      <w:r>
        <w:rPr>
          <w:rFonts w:hint="eastAsia" w:hAnsi="宋体" w:cs="宋体"/>
          <w:sz w:val="21"/>
          <w:szCs w:val="21"/>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4"/>
        <w:spacing w:line="440" w:lineRule="exact"/>
        <w:ind w:firstLine="420" w:firstLineChars="200"/>
        <w:jc w:val="left"/>
        <w:rPr>
          <w:rFonts w:hAnsi="宋体" w:cs="宋体"/>
          <w:sz w:val="21"/>
          <w:szCs w:val="21"/>
        </w:rPr>
      </w:pPr>
      <w:r>
        <w:rPr>
          <w:rFonts w:hint="eastAsia" w:hAnsi="宋体" w:cs="宋体"/>
          <w:sz w:val="21"/>
          <w:szCs w:val="21"/>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kern w:val="0"/>
          <w:sz w:val="21"/>
          <w:szCs w:val="21"/>
        </w:rPr>
      </w:pPr>
      <w:r>
        <w:rPr>
          <w:rFonts w:hint="eastAsia" w:ascii="宋体" w:hAnsi="宋体" w:cs="宋体"/>
          <w:kern w:val="0"/>
          <w:sz w:val="21"/>
          <w:szCs w:val="21"/>
        </w:rPr>
        <w:t>③非单一产品采购项目，采购人应当根据采购项目技术构成、产品价格比重等合理确定核心产品，并在招标文件中载明。多家投标人提供的核心产品品牌相同的，按上述规定处理。</w:t>
      </w:r>
    </w:p>
    <w:p>
      <w:pPr>
        <w:pStyle w:val="14"/>
        <w:spacing w:line="440" w:lineRule="exact"/>
        <w:ind w:firstLine="720"/>
        <w:rPr>
          <w:rFonts w:hAnsi="宋体" w:cs="宋体"/>
          <w:bCs/>
          <w:sz w:val="21"/>
          <w:szCs w:val="21"/>
        </w:rPr>
      </w:pPr>
      <w:r>
        <w:rPr>
          <w:rFonts w:hint="eastAsia" w:hAnsi="宋体" w:cs="宋体"/>
          <w:sz w:val="21"/>
          <w:szCs w:val="21"/>
        </w:rPr>
        <w:t>（2）出现影响采购公正的违法、违规行为的；</w:t>
      </w:r>
    </w:p>
    <w:p>
      <w:pPr>
        <w:pStyle w:val="14"/>
        <w:spacing w:line="440" w:lineRule="exact"/>
        <w:ind w:firstLine="720"/>
        <w:rPr>
          <w:rFonts w:hAnsi="宋体" w:cs="宋体"/>
          <w:sz w:val="21"/>
          <w:szCs w:val="21"/>
        </w:rPr>
      </w:pPr>
      <w:r>
        <w:rPr>
          <w:rFonts w:hint="eastAsia" w:hAnsi="宋体" w:cs="宋体"/>
          <w:sz w:val="21"/>
          <w:szCs w:val="21"/>
        </w:rPr>
        <w:t>（3）投标人的报价均超过了采购预算，采购人不能支付的；</w:t>
      </w:r>
    </w:p>
    <w:p>
      <w:pPr>
        <w:pStyle w:val="14"/>
        <w:spacing w:line="440" w:lineRule="exact"/>
        <w:ind w:firstLine="720"/>
        <w:rPr>
          <w:rFonts w:hAnsi="宋体" w:cs="宋体"/>
          <w:sz w:val="21"/>
          <w:szCs w:val="21"/>
        </w:rPr>
      </w:pPr>
      <w:r>
        <w:rPr>
          <w:rFonts w:hint="eastAsia" w:hAnsi="宋体" w:cs="宋体"/>
          <w:sz w:val="21"/>
          <w:szCs w:val="21"/>
        </w:rPr>
        <w:t>（4）因重大变故，采购任务取消的。</w:t>
      </w:r>
    </w:p>
    <w:p>
      <w:pPr>
        <w:pStyle w:val="14"/>
        <w:spacing w:line="440" w:lineRule="exact"/>
        <w:ind w:firstLine="411" w:firstLineChars="196"/>
        <w:rPr>
          <w:rFonts w:hAnsi="宋体" w:cs="宋体"/>
          <w:sz w:val="21"/>
          <w:szCs w:val="21"/>
        </w:rPr>
      </w:pPr>
      <w:r>
        <w:rPr>
          <w:rFonts w:hint="eastAsia" w:hAnsi="宋体" w:cs="宋体"/>
          <w:sz w:val="21"/>
          <w:szCs w:val="21"/>
        </w:rPr>
        <w:t>21.2  废标后，采购代理机构将在本章第2.1项规定的政府采购信息发布媒体上公告废标理由，不再另行通知。</w:t>
      </w:r>
    </w:p>
    <w:p>
      <w:pPr>
        <w:pStyle w:val="14"/>
        <w:spacing w:line="440" w:lineRule="exact"/>
        <w:jc w:val="center"/>
        <w:rPr>
          <w:rFonts w:hAnsi="宋体" w:cs="宋体"/>
          <w:b/>
          <w:bCs/>
          <w:sz w:val="21"/>
          <w:szCs w:val="21"/>
        </w:rPr>
      </w:pPr>
    </w:p>
    <w:p>
      <w:pPr>
        <w:pStyle w:val="14"/>
        <w:jc w:val="center"/>
        <w:outlineLvl w:val="1"/>
        <w:rPr>
          <w:rFonts w:hAnsi="宋体" w:cs="宋体"/>
          <w:b/>
          <w:sz w:val="21"/>
          <w:szCs w:val="21"/>
        </w:rPr>
      </w:pPr>
      <w:r>
        <w:rPr>
          <w:rFonts w:hint="eastAsia" w:hAnsi="宋体" w:cs="宋体"/>
          <w:b/>
          <w:sz w:val="21"/>
          <w:szCs w:val="21"/>
        </w:rPr>
        <w:t>六    合同授予</w:t>
      </w:r>
    </w:p>
    <w:p>
      <w:pPr>
        <w:pStyle w:val="14"/>
        <w:spacing w:line="440" w:lineRule="exact"/>
        <w:rPr>
          <w:rFonts w:hAnsi="宋体" w:cs="宋体"/>
          <w:bCs/>
          <w:sz w:val="21"/>
          <w:szCs w:val="21"/>
        </w:rPr>
      </w:pPr>
      <w:r>
        <w:rPr>
          <w:rFonts w:hint="eastAsia" w:hAnsi="宋体" w:cs="宋体"/>
          <w:bCs/>
          <w:sz w:val="21"/>
          <w:szCs w:val="21"/>
        </w:rPr>
        <w:t>22.  中标供应商的确定</w:t>
      </w:r>
    </w:p>
    <w:p>
      <w:pPr>
        <w:spacing w:line="440" w:lineRule="exact"/>
        <w:ind w:firstLine="420"/>
        <w:rPr>
          <w:rFonts w:ascii="宋体" w:hAnsi="宋体" w:cs="宋体"/>
          <w:sz w:val="21"/>
          <w:szCs w:val="21"/>
        </w:rPr>
      </w:pPr>
      <w:r>
        <w:rPr>
          <w:rFonts w:hint="eastAsia" w:ascii="宋体" w:hAnsi="宋体" w:cs="宋体"/>
          <w:sz w:val="21"/>
          <w:szCs w:val="21"/>
        </w:rPr>
        <w:t>22.1  评标委员会按第七章“评标方法”的规定排列中标候选供应商顺序，并依照次序确定中标供应商。</w:t>
      </w:r>
    </w:p>
    <w:p>
      <w:pPr>
        <w:pStyle w:val="14"/>
        <w:spacing w:line="440" w:lineRule="exact"/>
        <w:rPr>
          <w:rFonts w:hAnsi="宋体" w:cs="宋体"/>
          <w:bCs/>
          <w:sz w:val="21"/>
          <w:szCs w:val="21"/>
        </w:rPr>
      </w:pPr>
      <w:r>
        <w:rPr>
          <w:rFonts w:hint="eastAsia" w:hAnsi="宋体" w:cs="宋体"/>
          <w:bCs/>
          <w:sz w:val="21"/>
          <w:szCs w:val="21"/>
        </w:rPr>
        <w:t>23.  中标通知书</w:t>
      </w:r>
    </w:p>
    <w:p>
      <w:pPr>
        <w:pStyle w:val="14"/>
        <w:spacing w:line="440" w:lineRule="exact"/>
        <w:ind w:firstLine="360"/>
        <w:rPr>
          <w:rFonts w:hAnsi="宋体" w:cs="宋体"/>
          <w:kern w:val="0"/>
          <w:sz w:val="21"/>
          <w:szCs w:val="21"/>
        </w:rPr>
      </w:pPr>
      <w:r>
        <w:rPr>
          <w:rFonts w:hint="eastAsia" w:hAnsi="宋体" w:cs="宋体"/>
          <w:sz w:val="21"/>
          <w:szCs w:val="21"/>
        </w:rPr>
        <w:t xml:space="preserve">23.1  </w:t>
      </w:r>
      <w:r>
        <w:rPr>
          <w:rFonts w:hint="eastAsia" w:hAnsi="宋体" w:cs="宋体"/>
          <w:kern w:val="0"/>
          <w:sz w:val="21"/>
          <w:szCs w:val="21"/>
        </w:rPr>
        <w:t>评标结束后，在中标供应商确定之日起2个工作日内，由采购代理机构在本章第2.1项规定的政府采购信息发布媒体上发布中标结果公告（中标结果公告期限为1个工作日），同时向中标供应商发出中标通知书。</w:t>
      </w:r>
    </w:p>
    <w:p>
      <w:pPr>
        <w:snapToGrid w:val="0"/>
        <w:spacing w:line="420" w:lineRule="exact"/>
        <w:ind w:firstLine="411" w:firstLineChars="196"/>
        <w:outlineLvl w:val="1"/>
        <w:rPr>
          <w:rFonts w:ascii="宋体" w:hAnsi="宋体" w:cs="宋体"/>
          <w:sz w:val="21"/>
          <w:szCs w:val="21"/>
        </w:rPr>
      </w:pPr>
      <w:r>
        <w:rPr>
          <w:rFonts w:hint="eastAsia" w:ascii="宋体" w:hAnsi="宋体" w:cs="宋体"/>
          <w:kern w:val="0"/>
          <w:sz w:val="21"/>
          <w:szCs w:val="21"/>
        </w:rPr>
        <w:t xml:space="preserve">23.2  </w:t>
      </w:r>
      <w:r>
        <w:rPr>
          <w:rFonts w:hint="eastAsia" w:ascii="宋体" w:hAnsi="宋体" w:cs="宋体"/>
          <w:sz w:val="21"/>
          <w:szCs w:val="21"/>
        </w:rPr>
        <w:t>如</w:t>
      </w:r>
      <w:r>
        <w:rPr>
          <w:rFonts w:hint="eastAsia" w:ascii="宋体" w:hAnsi="宋体" w:cs="宋体"/>
          <w:kern w:val="0"/>
          <w:sz w:val="21"/>
          <w:szCs w:val="21"/>
        </w:rPr>
        <w:t>中标供应商</w:t>
      </w:r>
      <w:r>
        <w:rPr>
          <w:rFonts w:hint="eastAsia" w:ascii="宋体" w:hAnsi="宋体" w:cs="宋体"/>
          <w:sz w:val="21"/>
          <w:szCs w:val="21"/>
        </w:rPr>
        <w:t>不按中标通知书的规定签订合同，则按</w:t>
      </w:r>
      <w:r>
        <w:rPr>
          <w:rFonts w:hint="eastAsia" w:ascii="宋体" w:hAnsi="宋体" w:cs="宋体"/>
          <w:kern w:val="0"/>
          <w:sz w:val="21"/>
          <w:szCs w:val="21"/>
        </w:rPr>
        <w:t>中标供应商</w:t>
      </w:r>
      <w:r>
        <w:rPr>
          <w:rFonts w:hint="eastAsia" w:ascii="宋体" w:hAnsi="宋体" w:cs="宋体"/>
          <w:sz w:val="21"/>
          <w:szCs w:val="21"/>
        </w:rPr>
        <w:t>违约处理，将不予退还中标供应商投标的全部投标保证金，并将全部投标保证金上缴同级财政国库。</w:t>
      </w:r>
    </w:p>
    <w:p>
      <w:pPr>
        <w:snapToGrid w:val="0"/>
        <w:spacing w:line="420" w:lineRule="exact"/>
        <w:ind w:firstLine="411" w:firstLineChars="196"/>
        <w:outlineLvl w:val="1"/>
        <w:rPr>
          <w:rFonts w:ascii="宋体" w:hAnsi="宋体" w:cs="宋体"/>
          <w:sz w:val="21"/>
          <w:szCs w:val="21"/>
        </w:rPr>
      </w:pPr>
      <w:r>
        <w:rPr>
          <w:rFonts w:hint="eastAsia" w:ascii="宋体" w:hAnsi="宋体" w:cs="宋体"/>
          <w:kern w:val="0"/>
          <w:sz w:val="21"/>
          <w:szCs w:val="21"/>
        </w:rPr>
        <w:t>23.3 中标供应商</w:t>
      </w:r>
      <w:r>
        <w:rPr>
          <w:rFonts w:hint="eastAsia" w:ascii="宋体" w:hAnsi="宋体" w:cs="宋体"/>
          <w:sz w:val="21"/>
          <w:szCs w:val="21"/>
        </w:rPr>
        <w:t>因不可抗力或者自身原因不能履行采购合同的，采购人可以与</w:t>
      </w:r>
      <w:r>
        <w:rPr>
          <w:rFonts w:hint="eastAsia" w:ascii="宋体" w:hAnsi="宋体" w:cs="宋体"/>
          <w:kern w:val="0"/>
          <w:sz w:val="21"/>
          <w:szCs w:val="21"/>
        </w:rPr>
        <w:t>中标供应商</w:t>
      </w:r>
      <w:r>
        <w:rPr>
          <w:rFonts w:hint="eastAsia" w:ascii="宋体" w:hAnsi="宋体" w:cs="宋体"/>
          <w:sz w:val="21"/>
          <w:szCs w:val="21"/>
        </w:rPr>
        <w:t>之后排名第一的中标候选人签订采购合同，以此类推。</w:t>
      </w:r>
    </w:p>
    <w:p>
      <w:pPr>
        <w:pStyle w:val="14"/>
        <w:spacing w:line="440" w:lineRule="exact"/>
        <w:rPr>
          <w:rFonts w:hAnsi="宋体" w:cs="宋体"/>
          <w:bCs/>
          <w:sz w:val="21"/>
          <w:szCs w:val="21"/>
        </w:rPr>
      </w:pPr>
      <w:r>
        <w:rPr>
          <w:rFonts w:hint="eastAsia" w:hAnsi="宋体" w:cs="宋体"/>
          <w:bCs/>
          <w:sz w:val="21"/>
          <w:szCs w:val="21"/>
        </w:rPr>
        <w:t>24.  投标文件及投标样品的退回</w:t>
      </w:r>
    </w:p>
    <w:p>
      <w:pPr>
        <w:pStyle w:val="14"/>
        <w:spacing w:line="440" w:lineRule="exact"/>
        <w:ind w:firstLine="360"/>
        <w:rPr>
          <w:rFonts w:hAnsi="宋体" w:cs="宋体"/>
          <w:sz w:val="21"/>
          <w:szCs w:val="21"/>
        </w:rPr>
      </w:pPr>
      <w:r>
        <w:rPr>
          <w:rFonts w:hint="eastAsia" w:hAnsi="宋体" w:cs="宋体"/>
          <w:sz w:val="21"/>
          <w:szCs w:val="21"/>
        </w:rPr>
        <w:t>24.1  采购人及采购代理机构无义务向未中标供应商解释其未中标原因和退回投标文件。</w:t>
      </w:r>
    </w:p>
    <w:p>
      <w:pPr>
        <w:pStyle w:val="14"/>
        <w:spacing w:line="440" w:lineRule="exact"/>
        <w:ind w:firstLine="360"/>
        <w:rPr>
          <w:rFonts w:hAnsi="宋体" w:cs="宋体"/>
          <w:sz w:val="21"/>
          <w:szCs w:val="21"/>
        </w:rPr>
      </w:pPr>
      <w:r>
        <w:rPr>
          <w:rFonts w:hint="eastAsia" w:hAnsi="宋体" w:cs="宋体"/>
          <w:sz w:val="21"/>
          <w:szCs w:val="21"/>
        </w:rPr>
        <w:t>24.2  中标供应商的投标样品由采购人进行保管、封存，并作为履约验收的参考，验收后由采购人退回。未中标供应商的投标样品由供应商在中标结果公布后2个工作日内领回，否则按无主物品处理。</w:t>
      </w:r>
    </w:p>
    <w:p>
      <w:pPr>
        <w:pStyle w:val="14"/>
        <w:spacing w:line="440" w:lineRule="exact"/>
        <w:rPr>
          <w:rFonts w:hAnsi="宋体" w:cs="宋体"/>
          <w:bCs/>
          <w:sz w:val="21"/>
          <w:szCs w:val="21"/>
        </w:rPr>
      </w:pPr>
      <w:r>
        <w:rPr>
          <w:rFonts w:hint="eastAsia" w:hAnsi="宋体" w:cs="宋体"/>
          <w:bCs/>
          <w:sz w:val="21"/>
          <w:szCs w:val="21"/>
        </w:rPr>
        <w:t>25.   签订合同</w:t>
      </w:r>
    </w:p>
    <w:p>
      <w:pPr>
        <w:pStyle w:val="14"/>
        <w:spacing w:line="440" w:lineRule="exact"/>
        <w:ind w:firstLine="420" w:firstLineChars="200"/>
        <w:rPr>
          <w:rFonts w:hAnsi="宋体" w:cs="宋体"/>
          <w:sz w:val="21"/>
          <w:szCs w:val="21"/>
        </w:rPr>
      </w:pPr>
      <w:r>
        <w:rPr>
          <w:rFonts w:hint="eastAsia" w:hAnsi="宋体" w:cs="宋体"/>
          <w:sz w:val="21"/>
          <w:szCs w:val="21"/>
        </w:rPr>
        <w:t>25.1  采购人和中标供应商应当在第三章“服务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14"/>
        <w:spacing w:line="440" w:lineRule="exact"/>
        <w:ind w:firstLine="420" w:firstLineChars="200"/>
        <w:rPr>
          <w:rFonts w:hAnsi="宋体" w:cs="宋体"/>
          <w:sz w:val="21"/>
          <w:szCs w:val="21"/>
        </w:rPr>
      </w:pPr>
      <w:r>
        <w:rPr>
          <w:rFonts w:hint="eastAsia" w:hAnsi="宋体" w:cs="宋体"/>
          <w:sz w:val="21"/>
          <w:szCs w:val="21"/>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4"/>
        <w:spacing w:line="440" w:lineRule="exact"/>
        <w:ind w:firstLine="420" w:firstLineChars="200"/>
        <w:rPr>
          <w:rFonts w:hAnsi="宋体" w:cs="宋体"/>
          <w:sz w:val="21"/>
          <w:szCs w:val="21"/>
        </w:rPr>
      </w:pPr>
      <w:r>
        <w:rPr>
          <w:rFonts w:hint="eastAsia" w:hAnsi="宋体" w:cs="宋体"/>
          <w:sz w:val="21"/>
          <w:szCs w:val="21"/>
        </w:rPr>
        <w:t>25.3政府采购合同自签订之日起2个工作日内，由采购人将政府采购合同在省级以上人民政府财政部门指定的媒体上公告，但政府采购合同中涉及国家秘密、商业秘密的内容除外。合同副本由采购代理机构按财政局的要求进行备案。</w:t>
      </w:r>
    </w:p>
    <w:p>
      <w:pPr>
        <w:pStyle w:val="14"/>
        <w:spacing w:line="440" w:lineRule="exact"/>
        <w:ind w:firstLine="420" w:firstLineChars="200"/>
        <w:rPr>
          <w:rFonts w:hAnsi="宋体" w:cs="宋体"/>
          <w:sz w:val="21"/>
          <w:szCs w:val="21"/>
        </w:rPr>
      </w:pPr>
      <w:r>
        <w:rPr>
          <w:rFonts w:hint="eastAsia" w:hAnsi="宋体" w:cs="宋体"/>
          <w:sz w:val="21"/>
          <w:szCs w:val="21"/>
        </w:rPr>
        <w:t>25.4  中标通知书发出后，中标人有以下情形的：</w:t>
      </w:r>
    </w:p>
    <w:p>
      <w:pPr>
        <w:pStyle w:val="14"/>
        <w:spacing w:line="440" w:lineRule="exact"/>
        <w:ind w:firstLine="420" w:firstLineChars="200"/>
        <w:rPr>
          <w:rFonts w:hAnsi="宋体" w:cs="宋体"/>
          <w:sz w:val="21"/>
          <w:szCs w:val="21"/>
        </w:rPr>
      </w:pPr>
      <w:r>
        <w:rPr>
          <w:rFonts w:hint="eastAsia" w:hAnsi="宋体" w:cs="宋体"/>
          <w:sz w:val="21"/>
          <w:szCs w:val="21"/>
        </w:rPr>
        <w:t>（1）中标人无正当理由不与采购人或者采购代理机构按规定的时间、地点签订合同的；</w:t>
      </w:r>
    </w:p>
    <w:p>
      <w:pPr>
        <w:pStyle w:val="14"/>
        <w:spacing w:line="440" w:lineRule="exact"/>
        <w:ind w:firstLine="420" w:firstLineChars="200"/>
        <w:rPr>
          <w:rFonts w:hAnsi="宋体" w:cs="宋体"/>
          <w:sz w:val="21"/>
          <w:szCs w:val="21"/>
        </w:rPr>
      </w:pPr>
      <w:r>
        <w:rPr>
          <w:rFonts w:hint="eastAsia" w:hAnsi="宋体" w:cs="宋体"/>
          <w:sz w:val="21"/>
          <w:szCs w:val="21"/>
        </w:rPr>
        <w:t>（2）中标后与采购人签订对招标文件和投标文件作了实质性修改的合同，或与采购人私下订立背离合同实质性内容的协议的；</w:t>
      </w:r>
    </w:p>
    <w:p>
      <w:pPr>
        <w:pStyle w:val="14"/>
        <w:spacing w:line="440" w:lineRule="exact"/>
        <w:ind w:firstLine="420" w:firstLineChars="200"/>
        <w:rPr>
          <w:rFonts w:hAnsi="宋体" w:cs="宋体"/>
          <w:sz w:val="21"/>
          <w:szCs w:val="21"/>
        </w:rPr>
      </w:pPr>
      <w:r>
        <w:rPr>
          <w:rFonts w:hint="eastAsia" w:hAnsi="宋体" w:cs="宋体"/>
          <w:sz w:val="21"/>
          <w:szCs w:val="21"/>
        </w:rPr>
        <w:t>（3）将中标项目转让给他人，或者在投标文件中未说明，且未经采购人或采购代理机构同意，将中标项目分包给他人的，中标无效，采购人可追究中标供应商承担相应的法律责任；</w:t>
      </w:r>
    </w:p>
    <w:p>
      <w:pPr>
        <w:pStyle w:val="14"/>
        <w:spacing w:line="440" w:lineRule="exact"/>
        <w:ind w:firstLine="420" w:firstLineChars="200"/>
        <w:rPr>
          <w:rFonts w:hAnsi="宋体" w:cs="宋体"/>
          <w:sz w:val="21"/>
          <w:szCs w:val="21"/>
        </w:rPr>
      </w:pPr>
      <w:r>
        <w:rPr>
          <w:rFonts w:hint="eastAsia" w:hAnsi="宋体" w:cs="宋体"/>
          <w:sz w:val="21"/>
          <w:szCs w:val="21"/>
        </w:rPr>
        <w:t>（4）如中标人无正当理由拒签合同的，中标人给采购人造成损失的，采购人可追究中标人承担相应的法律责任；</w:t>
      </w:r>
    </w:p>
    <w:p>
      <w:pPr>
        <w:pStyle w:val="14"/>
        <w:spacing w:line="440" w:lineRule="exact"/>
        <w:ind w:firstLine="420" w:firstLineChars="200"/>
        <w:rPr>
          <w:rFonts w:hAnsi="宋体" w:cs="宋体"/>
          <w:sz w:val="21"/>
          <w:szCs w:val="21"/>
        </w:rPr>
      </w:pPr>
      <w:r>
        <w:rPr>
          <w:rFonts w:hint="eastAsia" w:hAnsi="宋体" w:cs="宋体"/>
          <w:sz w:val="21"/>
          <w:szCs w:val="21"/>
        </w:rPr>
        <w:t>（5）如采购人无正当理由拒签合同的，采购人给中标人造成损失的，中标人可追究采购人承担相应的法律责任。</w:t>
      </w:r>
    </w:p>
    <w:p>
      <w:pPr>
        <w:pStyle w:val="14"/>
        <w:spacing w:line="440" w:lineRule="exact"/>
        <w:ind w:firstLine="420" w:firstLineChars="200"/>
        <w:rPr>
          <w:rFonts w:hAnsi="宋体" w:cs="宋体"/>
          <w:sz w:val="21"/>
          <w:szCs w:val="21"/>
        </w:rPr>
      </w:pPr>
      <w:r>
        <w:rPr>
          <w:rFonts w:hint="eastAsia" w:hAnsi="宋体" w:cs="宋体"/>
          <w:sz w:val="21"/>
          <w:szCs w:val="21"/>
        </w:rPr>
        <w:t>25.5  采购人在签订合同之前有权要求中标供应商提供本项目必需的相关资料原件进行核查，中标供应商不得拒绝。如中标供应商拒绝提供，则自行承担由此产生的后果。</w:t>
      </w:r>
    </w:p>
    <w:p>
      <w:pPr>
        <w:pStyle w:val="14"/>
        <w:spacing w:line="440" w:lineRule="exact"/>
        <w:ind w:firstLine="420" w:firstLineChars="200"/>
        <w:rPr>
          <w:rFonts w:hAnsi="宋体" w:cs="宋体"/>
          <w:sz w:val="21"/>
          <w:szCs w:val="21"/>
        </w:rPr>
      </w:pPr>
      <w:r>
        <w:rPr>
          <w:rFonts w:hint="eastAsia" w:hAnsi="宋体" w:cs="宋体"/>
          <w:sz w:val="21"/>
          <w:szCs w:val="21"/>
        </w:rPr>
        <w:t>25.6  中标供应商因不可抗力或者自身原因不能履行政府采购合同的，如仍在投标有效期内，采购代理机构和采购人应及时报</w:t>
      </w:r>
      <w:r>
        <w:rPr>
          <w:rFonts w:hint="eastAsia" w:hAnsi="宋体" w:cs="宋体"/>
          <w:bCs/>
          <w:sz w:val="21"/>
          <w:szCs w:val="21"/>
        </w:rPr>
        <w:t>政府采购管理</w:t>
      </w:r>
      <w:r>
        <w:rPr>
          <w:rFonts w:hint="eastAsia" w:hAnsi="宋体" w:cs="宋体"/>
          <w:sz w:val="21"/>
          <w:szCs w:val="21"/>
        </w:rPr>
        <w:t>部门，经同意后，可以与排位在中标供应商之后第一位的中标候选供应商签订政府采购合同，以此类推。</w:t>
      </w:r>
    </w:p>
    <w:p>
      <w:pPr>
        <w:pStyle w:val="14"/>
        <w:spacing w:line="440" w:lineRule="exact"/>
        <w:ind w:firstLine="420" w:firstLineChars="200"/>
        <w:rPr>
          <w:rFonts w:hAnsi="宋体" w:cs="宋体"/>
          <w:sz w:val="21"/>
          <w:szCs w:val="21"/>
        </w:rPr>
      </w:pPr>
      <w:r>
        <w:rPr>
          <w:rFonts w:hint="eastAsia" w:hAnsi="宋体" w:cs="宋体"/>
          <w:sz w:val="21"/>
          <w:szCs w:val="21"/>
        </w:rPr>
        <w:t>25.7　采购人或中标供应商不得单方面向合同另一方提出任何招标文件没有约定的条件或不合理的要求，作为签订合同的条件，也不得协商另行订立背离招标文件和合同实质性内容的协议。</w:t>
      </w:r>
    </w:p>
    <w:p>
      <w:pPr>
        <w:pStyle w:val="14"/>
        <w:spacing w:line="440" w:lineRule="exact"/>
        <w:ind w:firstLine="420" w:firstLineChars="200"/>
        <w:rPr>
          <w:rFonts w:hAnsi="宋体" w:cs="宋体"/>
          <w:sz w:val="21"/>
          <w:szCs w:val="21"/>
        </w:rPr>
      </w:pPr>
      <w:r>
        <w:rPr>
          <w:rFonts w:hint="eastAsia" w:hAnsi="宋体" w:cs="宋体"/>
          <w:sz w:val="21"/>
          <w:szCs w:val="21"/>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4"/>
        <w:spacing w:line="440" w:lineRule="exact"/>
        <w:ind w:firstLine="420" w:firstLineChars="200"/>
        <w:rPr>
          <w:rFonts w:hAnsi="宋体" w:cs="宋体"/>
          <w:sz w:val="21"/>
          <w:szCs w:val="21"/>
        </w:rPr>
      </w:pPr>
      <w:r>
        <w:rPr>
          <w:rFonts w:hint="eastAsia" w:hAnsi="宋体" w:cs="宋体"/>
          <w:sz w:val="21"/>
          <w:szCs w:val="21"/>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4"/>
        <w:spacing w:line="440" w:lineRule="exact"/>
        <w:ind w:firstLine="420" w:firstLineChars="200"/>
        <w:rPr>
          <w:rFonts w:hAnsi="宋体" w:cs="宋体"/>
          <w:sz w:val="21"/>
          <w:szCs w:val="21"/>
        </w:rPr>
      </w:pPr>
      <w:r>
        <w:rPr>
          <w:rFonts w:hint="eastAsia" w:hAnsi="宋体" w:cs="宋体"/>
          <w:sz w:val="21"/>
          <w:szCs w:val="21"/>
        </w:rPr>
        <w:t>25.10　采购人或中标供应商在合同履行过程中存在违反政府采购合同行为的，权益受损当事人应当将有关违约的情况以及拟采取的措施，及时书面报告采购代理机构。</w:t>
      </w:r>
    </w:p>
    <w:p>
      <w:pPr>
        <w:pStyle w:val="14"/>
        <w:spacing w:line="440" w:lineRule="exact"/>
        <w:jc w:val="center"/>
        <w:rPr>
          <w:rFonts w:hAnsi="宋体" w:cs="宋体"/>
          <w:sz w:val="21"/>
          <w:szCs w:val="21"/>
        </w:rPr>
      </w:pPr>
    </w:p>
    <w:p>
      <w:pPr>
        <w:pStyle w:val="14"/>
        <w:jc w:val="center"/>
        <w:outlineLvl w:val="1"/>
        <w:rPr>
          <w:rFonts w:hAnsi="宋体" w:cs="宋体"/>
          <w:b/>
          <w:sz w:val="21"/>
          <w:szCs w:val="21"/>
        </w:rPr>
      </w:pPr>
      <w:r>
        <w:rPr>
          <w:rFonts w:hint="eastAsia" w:hAnsi="宋体" w:cs="宋体"/>
          <w:b/>
          <w:sz w:val="21"/>
          <w:szCs w:val="21"/>
        </w:rPr>
        <w:t>七    其他事项</w:t>
      </w:r>
    </w:p>
    <w:p>
      <w:pPr>
        <w:pStyle w:val="14"/>
        <w:spacing w:line="440" w:lineRule="exact"/>
        <w:rPr>
          <w:rFonts w:hAnsi="宋体" w:cs="宋体"/>
          <w:bCs/>
          <w:sz w:val="21"/>
          <w:szCs w:val="21"/>
        </w:rPr>
      </w:pPr>
      <w:r>
        <w:rPr>
          <w:rFonts w:hint="eastAsia" w:hAnsi="宋体" w:cs="宋体"/>
          <w:bCs/>
          <w:sz w:val="21"/>
          <w:szCs w:val="21"/>
        </w:rPr>
        <w:t>26.  解释权</w:t>
      </w:r>
    </w:p>
    <w:p>
      <w:pPr>
        <w:pStyle w:val="14"/>
        <w:spacing w:line="440" w:lineRule="exact"/>
        <w:ind w:firstLine="360"/>
        <w:jc w:val="left"/>
        <w:rPr>
          <w:rFonts w:hAnsi="宋体" w:cs="宋体"/>
          <w:sz w:val="21"/>
          <w:szCs w:val="21"/>
        </w:rPr>
      </w:pPr>
      <w:r>
        <w:rPr>
          <w:rFonts w:hint="eastAsia" w:hAnsi="宋体" w:cs="宋体"/>
          <w:sz w:val="21"/>
          <w:szCs w:val="21"/>
        </w:rPr>
        <w:t>26.1  本招标文件根据《中华人民共和国政府采购法》、《政府采购货物和服务招标投标管理办法》（财政部第87号令）及相关法律法规编制，解释权属采购代理机构。</w:t>
      </w:r>
    </w:p>
    <w:p>
      <w:pPr>
        <w:pStyle w:val="14"/>
        <w:spacing w:line="440" w:lineRule="exact"/>
        <w:jc w:val="left"/>
        <w:rPr>
          <w:rFonts w:hAnsi="宋体" w:cs="宋体"/>
          <w:sz w:val="21"/>
          <w:szCs w:val="21"/>
        </w:rPr>
      </w:pPr>
      <w:r>
        <w:rPr>
          <w:rFonts w:hint="eastAsia" w:hAnsi="宋体" w:cs="宋体"/>
          <w:sz w:val="21"/>
          <w:szCs w:val="21"/>
        </w:rPr>
        <w:t>27.  需要补充的其他内容</w:t>
      </w:r>
    </w:p>
    <w:p>
      <w:pPr>
        <w:pStyle w:val="14"/>
        <w:spacing w:line="440" w:lineRule="exact"/>
        <w:ind w:firstLine="360"/>
        <w:jc w:val="left"/>
        <w:rPr>
          <w:rFonts w:hAnsi="宋体" w:cs="宋体"/>
          <w:sz w:val="21"/>
          <w:szCs w:val="21"/>
        </w:rPr>
      </w:pPr>
      <w:r>
        <w:rPr>
          <w:rFonts w:hint="eastAsia" w:hAnsi="宋体" w:cs="宋体"/>
          <w:sz w:val="21"/>
          <w:szCs w:val="21"/>
        </w:rPr>
        <w:t>27.1  需要补充的其他内容：见投标人须知前附表。</w:t>
      </w:r>
    </w:p>
    <w:p>
      <w:pPr>
        <w:pStyle w:val="14"/>
        <w:spacing w:line="360" w:lineRule="auto"/>
        <w:jc w:val="center"/>
        <w:rPr>
          <w:rFonts w:hAnsi="宋体" w:cs="宋体"/>
          <w:b/>
          <w:sz w:val="21"/>
          <w:szCs w:val="21"/>
        </w:rPr>
      </w:pPr>
    </w:p>
    <w:p>
      <w:pPr>
        <w:widowControl/>
        <w:jc w:val="left"/>
        <w:rPr>
          <w:rFonts w:ascii="宋体" w:hAnsi="宋体" w:cs="宋体"/>
          <w:b/>
          <w:sz w:val="21"/>
          <w:szCs w:val="21"/>
        </w:rPr>
      </w:pPr>
      <w:r>
        <w:rPr>
          <w:rFonts w:hAnsi="宋体" w:cs="宋体"/>
          <w:b/>
          <w:sz w:val="21"/>
          <w:szCs w:val="21"/>
        </w:rPr>
        <w:br w:type="page"/>
      </w:r>
    </w:p>
    <w:p>
      <w:pPr>
        <w:pStyle w:val="14"/>
        <w:spacing w:line="360" w:lineRule="auto"/>
        <w:jc w:val="center"/>
        <w:outlineLvl w:val="0"/>
        <w:rPr>
          <w:rFonts w:hAnsi="宋体" w:cs="宋体"/>
          <w:b/>
          <w:sz w:val="32"/>
          <w:szCs w:val="32"/>
        </w:rPr>
      </w:pPr>
      <w:bookmarkStart w:id="25" w:name="_Toc2359"/>
      <w:bookmarkStart w:id="26" w:name="_Toc28161"/>
      <w:bookmarkStart w:id="27" w:name="_Toc26081"/>
      <w:bookmarkStart w:id="28" w:name="_Toc10301"/>
      <w:r>
        <w:rPr>
          <w:rFonts w:hint="eastAsia" w:hAnsi="宋体" w:cs="宋体"/>
          <w:b/>
          <w:sz w:val="32"/>
          <w:szCs w:val="32"/>
        </w:rPr>
        <w:t>第三章  服务需求一览表</w:t>
      </w:r>
      <w:bookmarkEnd w:id="11"/>
      <w:bookmarkEnd w:id="12"/>
      <w:bookmarkEnd w:id="13"/>
      <w:bookmarkEnd w:id="14"/>
      <w:bookmarkEnd w:id="24"/>
      <w:bookmarkEnd w:id="25"/>
      <w:bookmarkEnd w:id="26"/>
      <w:bookmarkEnd w:id="27"/>
      <w:bookmarkEnd w:id="28"/>
    </w:p>
    <w:p>
      <w:pPr>
        <w:adjustRightInd w:val="0"/>
        <w:spacing w:line="340" w:lineRule="exact"/>
        <w:rPr>
          <w:rFonts w:ascii="宋体" w:hAnsi="宋体" w:cs="宋体"/>
          <w:b/>
          <w:sz w:val="21"/>
          <w:szCs w:val="21"/>
        </w:rPr>
      </w:pPr>
    </w:p>
    <w:p>
      <w:pPr>
        <w:adjustRightInd w:val="0"/>
        <w:spacing w:line="340" w:lineRule="exact"/>
        <w:rPr>
          <w:rFonts w:ascii="宋体" w:hAnsi="宋体" w:cs="宋体"/>
          <w:b/>
          <w:sz w:val="21"/>
          <w:szCs w:val="21"/>
        </w:rPr>
      </w:pPr>
      <w:r>
        <w:rPr>
          <w:rFonts w:hint="eastAsia" w:ascii="宋体" w:hAnsi="宋体" w:cs="宋体"/>
          <w:b/>
          <w:sz w:val="21"/>
          <w:szCs w:val="21"/>
        </w:rPr>
        <w:t>说明：</w:t>
      </w:r>
    </w:p>
    <w:p>
      <w:pPr>
        <w:spacing w:line="320" w:lineRule="exact"/>
        <w:ind w:firstLine="420" w:firstLineChars="200"/>
        <w:rPr>
          <w:rFonts w:ascii="宋体" w:hAnsi="宋体" w:cs="宋体"/>
          <w:sz w:val="21"/>
          <w:szCs w:val="21"/>
        </w:rPr>
      </w:pPr>
      <w:bookmarkStart w:id="29" w:name="_Toc139967216"/>
      <w:bookmarkStart w:id="30" w:name="_Toc213206173"/>
      <w:bookmarkStart w:id="31" w:name="_Toc213325922"/>
      <w:bookmarkStart w:id="32" w:name="_Toc139966432"/>
      <w:r>
        <w:rPr>
          <w:rFonts w:hint="eastAsia" w:ascii="宋体" w:hAnsi="宋体" w:cs="宋体"/>
          <w:sz w:val="21"/>
          <w:szCs w:val="21"/>
        </w:rPr>
        <w:t>1、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pPr>
        <w:spacing w:line="320" w:lineRule="exact"/>
        <w:ind w:firstLine="420" w:firstLineChars="200"/>
        <w:rPr>
          <w:rFonts w:ascii="宋体" w:hAnsi="宋体" w:cs="宋体"/>
          <w:sz w:val="21"/>
          <w:szCs w:val="21"/>
        </w:rPr>
      </w:pPr>
      <w:r>
        <w:rPr>
          <w:rFonts w:hint="eastAsia" w:ascii="宋体" w:hAnsi="宋体" w:cs="宋体"/>
          <w:sz w:val="21"/>
          <w:szCs w:val="21"/>
        </w:rPr>
        <w:t>2、供应商应注意下列内容：</w:t>
      </w:r>
    </w:p>
    <w:p>
      <w:pPr>
        <w:spacing w:line="320" w:lineRule="exact"/>
        <w:ind w:firstLine="420" w:firstLineChars="200"/>
        <w:rPr>
          <w:rFonts w:ascii="宋体" w:hAnsi="宋体" w:cs="宋体"/>
          <w:color w:val="FF0000"/>
          <w:sz w:val="21"/>
          <w:szCs w:val="21"/>
        </w:rPr>
      </w:pPr>
      <w:r>
        <w:rPr>
          <w:rFonts w:hint="eastAsia" w:ascii="宋体" w:hAnsi="宋体" w:cs="宋体"/>
          <w:sz w:val="21"/>
          <w:szCs w:val="21"/>
        </w:rPr>
        <w:t>1）</w:t>
      </w:r>
      <w:r>
        <w:rPr>
          <w:rFonts w:hint="eastAsia" w:ascii="宋体" w:hAnsi="宋体" w:cs="宋体"/>
          <w:sz w:val="21"/>
          <w:szCs w:val="21"/>
          <w:highlight w:val="none"/>
        </w:rPr>
        <w:t>招标文件中带“★”的条款为本次采购的实质性的商务、技术或服务要求，供应商须满足或响应，若无法完全满足，将会被认定为无效投标。</w:t>
      </w:r>
    </w:p>
    <w:p>
      <w:pPr>
        <w:spacing w:line="320" w:lineRule="exact"/>
        <w:ind w:firstLine="420" w:firstLineChars="200"/>
        <w:rPr>
          <w:rFonts w:ascii="宋体" w:hAnsi="宋体" w:cs="宋体"/>
          <w:sz w:val="21"/>
          <w:szCs w:val="21"/>
        </w:rPr>
      </w:pPr>
      <w:r>
        <w:rPr>
          <w:rFonts w:hint="eastAsia" w:ascii="宋体" w:hAnsi="宋体" w:cs="宋体"/>
          <w:sz w:val="21"/>
          <w:szCs w:val="21"/>
        </w:rPr>
        <w:t>2）供应商须在投标文件中填写/应答所提供的服务内容，当投标文件中所提供的服务内容与招标文件中服务内容及要求有偏离时，须在“偏离”栏内如实注明是“正偏离”或“负偏离”，“正偏离”指投标服务的内容优于招标文件中要求，“负偏离”指投标服务的内容低于招标文件中要求。投标文件中的技术参数、功能或其它内容有“正偏离”的，供应商须对“正偏离”的情况单独作出说明。</w:t>
      </w:r>
    </w:p>
    <w:p>
      <w:pPr>
        <w:spacing w:line="320" w:lineRule="exact"/>
        <w:ind w:firstLine="420" w:firstLineChars="200"/>
        <w:rPr>
          <w:rFonts w:ascii="宋体" w:hAnsi="宋体" w:cs="宋体"/>
          <w:sz w:val="21"/>
          <w:szCs w:val="21"/>
        </w:rPr>
      </w:pPr>
      <w:r>
        <w:rPr>
          <w:rFonts w:hint="eastAsia" w:ascii="宋体" w:hAnsi="宋体" w:cs="宋体"/>
          <w:sz w:val="21"/>
          <w:szCs w:val="21"/>
        </w:rPr>
        <w:t>3）本采购需求中没有在投标文件中注明偏离（文字说明或在技术、商务对比表注明）的参数、配置、条款视为被供应商完全接受。</w:t>
      </w:r>
    </w:p>
    <w:p>
      <w:pPr>
        <w:spacing w:line="320" w:lineRule="exact"/>
        <w:ind w:firstLine="420" w:firstLineChars="200"/>
        <w:rPr>
          <w:rFonts w:ascii="宋体" w:hAnsi="宋体" w:cs="宋体"/>
          <w:sz w:val="21"/>
          <w:szCs w:val="21"/>
        </w:rPr>
      </w:pPr>
      <w:r>
        <w:rPr>
          <w:rFonts w:hint="eastAsia" w:ascii="宋体" w:hAnsi="宋体" w:cs="宋体"/>
          <w:sz w:val="21"/>
          <w:szCs w:val="21"/>
        </w:rPr>
        <w:t>3、本服务需求一览表中的内容如与第五章“合同条款及格式”相关条款不一致的，以本表为准。</w:t>
      </w:r>
    </w:p>
    <w:p>
      <w:pPr>
        <w:spacing w:line="320" w:lineRule="exact"/>
        <w:ind w:firstLine="420" w:firstLineChars="200"/>
        <w:rPr>
          <w:rFonts w:ascii="宋体" w:hAnsi="宋体" w:cs="宋体"/>
          <w:sz w:val="21"/>
          <w:szCs w:val="21"/>
        </w:rPr>
      </w:pPr>
      <w:r>
        <w:rPr>
          <w:rFonts w:hint="eastAsia" w:ascii="宋体" w:hAnsi="宋体" w:cs="宋体"/>
          <w:sz w:val="21"/>
          <w:szCs w:val="21"/>
        </w:rPr>
        <w:t>4、供应商应承诺投标文件中提供的证明材料和资质文件真实，如出现虚假应标情况，供应商除了应接受有关部门的处罚外，还应依据《中华人民共和国合同法》的相关条款来确定赔偿金额。</w:t>
      </w:r>
    </w:p>
    <w:p>
      <w:pPr>
        <w:spacing w:line="320" w:lineRule="exact"/>
        <w:ind w:firstLine="420" w:firstLineChars="200"/>
        <w:rPr>
          <w:rFonts w:ascii="宋体" w:hAnsi="宋体" w:cs="宋体"/>
          <w:sz w:val="21"/>
          <w:szCs w:val="21"/>
        </w:rPr>
      </w:pPr>
      <w:r>
        <w:rPr>
          <w:rFonts w:hint="eastAsia"/>
          <w:sz w:val="21"/>
          <w:szCs w:val="21"/>
        </w:rPr>
        <w:t>4、凡标有“★”的地方均被视为重要的技术指标要求或商务要求。投标人要特别加以注意，必须对</w:t>
      </w:r>
      <w:r>
        <w:rPr>
          <w:rFonts w:hint="eastAsia" w:ascii="宋体" w:hAnsi="宋体" w:cs="宋体"/>
          <w:sz w:val="21"/>
          <w:szCs w:val="21"/>
        </w:rPr>
        <w:t>此作出实质性的响应,否则有一项不满足其投标作为无效处理。</w:t>
      </w:r>
    </w:p>
    <w:p>
      <w:pPr>
        <w:spacing w:line="320" w:lineRule="exact"/>
        <w:ind w:firstLine="422" w:firstLineChars="200"/>
        <w:rPr>
          <w:rFonts w:ascii="宋体" w:hAnsi="宋体" w:cs="宋体"/>
          <w:b/>
          <w:bCs/>
          <w:sz w:val="21"/>
          <w:szCs w:val="21"/>
        </w:rPr>
      </w:pPr>
      <w:r>
        <w:rPr>
          <w:rFonts w:hint="eastAsia" w:ascii="宋体" w:hAnsi="宋体" w:cs="宋体"/>
          <w:b/>
          <w:bCs/>
          <w:sz w:val="21"/>
          <w:szCs w:val="21"/>
        </w:rPr>
        <w:t>5、投标人应对项目所有内容进行投标，不允许只对其中部分内容进行投标。</w:t>
      </w:r>
    </w:p>
    <w:p>
      <w:pPr>
        <w:spacing w:line="320" w:lineRule="exact"/>
        <w:ind w:firstLine="420" w:firstLineChars="200"/>
        <w:rPr>
          <w:rFonts w:ascii="宋体" w:hAnsi="宋体" w:cs="宋体"/>
          <w:sz w:val="21"/>
          <w:szCs w:val="21"/>
        </w:rPr>
      </w:pP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4"/>
        <w:gridCol w:w="1526"/>
        <w:gridCol w:w="699"/>
        <w:gridCol w:w="62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900"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rPr>
                <w:rFonts w:ascii="宋体" w:hAnsi="宋体" w:cs="宋体"/>
                <w:b/>
                <w:sz w:val="21"/>
                <w:szCs w:val="21"/>
              </w:rPr>
            </w:pPr>
            <w:r>
              <w:rPr>
                <w:rFonts w:hint="eastAsia" w:ascii="宋体" w:hAnsi="宋体" w:cs="宋体"/>
                <w:b/>
                <w:sz w:val="21"/>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46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hAnsi="宋体" w:cs="宋体"/>
                <w:b/>
                <w:sz w:val="21"/>
                <w:szCs w:val="21"/>
              </w:rPr>
            </w:pPr>
            <w:r>
              <w:rPr>
                <w:rFonts w:hint="eastAsia" w:ascii="宋体" w:hAnsi="宋体" w:cs="宋体"/>
                <w:b/>
                <w:sz w:val="21"/>
                <w:szCs w:val="21"/>
              </w:rPr>
              <w:t>项号</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1"/>
                <w:szCs w:val="21"/>
              </w:rPr>
            </w:pPr>
            <w:r>
              <w:rPr>
                <w:rFonts w:hint="eastAsia" w:ascii="宋体" w:hAnsi="宋体" w:cs="宋体"/>
                <w:b/>
                <w:sz w:val="21"/>
                <w:szCs w:val="21"/>
              </w:rPr>
              <w:t>服务名称</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1"/>
                <w:szCs w:val="21"/>
              </w:rPr>
            </w:pPr>
            <w:r>
              <w:rPr>
                <w:rFonts w:hint="eastAsia" w:ascii="宋体" w:hAnsi="宋体" w:cs="宋体"/>
                <w:b/>
                <w:sz w:val="21"/>
                <w:szCs w:val="21"/>
              </w:rPr>
              <w:t>数量</w:t>
            </w:r>
          </w:p>
        </w:tc>
        <w:tc>
          <w:tcPr>
            <w:tcW w:w="62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1"/>
                <w:szCs w:val="21"/>
              </w:rPr>
            </w:pPr>
            <w:r>
              <w:rPr>
                <w:rFonts w:hint="eastAsia" w:ascii="宋体" w:hAnsi="宋体" w:cs="宋体"/>
                <w:b/>
                <w:sz w:val="21"/>
                <w:szCs w:val="21"/>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exact"/>
              <w:jc w:val="center"/>
              <w:rPr>
                <w:rFonts w:ascii="宋体" w:hAnsi="宋体" w:cs="宋体"/>
                <w:sz w:val="21"/>
                <w:szCs w:val="21"/>
              </w:rPr>
            </w:pPr>
            <w:r>
              <w:rPr>
                <w:rFonts w:hint="eastAsia" w:ascii="宋体" w:hAnsi="宋体" w:cs="宋体"/>
                <w:sz w:val="21"/>
                <w:szCs w:val="21"/>
              </w:rPr>
              <w:t>1</w:t>
            </w:r>
          </w:p>
        </w:tc>
        <w:tc>
          <w:tcPr>
            <w:tcW w:w="1526"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left"/>
              <w:rPr>
                <w:rFonts w:hAnsi="宋体" w:cs="宋体"/>
                <w:iCs/>
                <w:sz w:val="21"/>
                <w:szCs w:val="21"/>
              </w:rPr>
            </w:pPr>
            <w:r>
              <w:rPr>
                <w:rFonts w:hint="eastAsia" w:hAnsi="宋体" w:cs="宋体"/>
                <w:iCs/>
                <w:sz w:val="21"/>
                <w:szCs w:val="21"/>
              </w:rPr>
              <w:t>平果市国土空间规划编制服务采购</w:t>
            </w:r>
          </w:p>
        </w:tc>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1"/>
                <w:szCs w:val="21"/>
              </w:rPr>
            </w:pPr>
            <w:r>
              <w:rPr>
                <w:rFonts w:hint="eastAsia" w:ascii="宋体" w:hAnsi="宋体" w:cs="宋体"/>
                <w:sz w:val="21"/>
                <w:szCs w:val="21"/>
              </w:rPr>
              <w:t>1项</w:t>
            </w:r>
          </w:p>
        </w:tc>
        <w:tc>
          <w:tcPr>
            <w:tcW w:w="6211" w:type="dxa"/>
            <w:tcBorders>
              <w:top w:val="single" w:color="auto" w:sz="4" w:space="0"/>
              <w:left w:val="single" w:color="auto" w:sz="4" w:space="0"/>
              <w:bottom w:val="single" w:color="auto" w:sz="4" w:space="0"/>
              <w:right w:val="single" w:color="auto" w:sz="4" w:space="0"/>
            </w:tcBorders>
            <w:vAlign w:val="center"/>
          </w:tcPr>
          <w:p>
            <w:pPr>
              <w:pStyle w:val="4"/>
              <w:spacing w:line="240" w:lineRule="auto"/>
              <w:rPr>
                <w:rFonts w:ascii="宋体" w:hAnsi="宋体" w:eastAsia="宋体" w:cs="宋体"/>
                <w:sz w:val="21"/>
                <w:szCs w:val="21"/>
              </w:rPr>
            </w:pPr>
            <w:r>
              <w:rPr>
                <w:rFonts w:hint="eastAsia" w:ascii="宋体" w:hAnsi="宋体" w:eastAsia="宋体" w:cs="宋体"/>
                <w:sz w:val="21"/>
                <w:szCs w:val="21"/>
              </w:rPr>
              <w:t>一、项目背景</w:t>
            </w:r>
          </w:p>
          <w:p>
            <w:pPr>
              <w:spacing w:after="156"/>
              <w:ind w:firstLine="560"/>
              <w:rPr>
                <w:rFonts w:ascii="宋体" w:hAnsi="宋体" w:cs="宋体"/>
                <w:sz w:val="21"/>
                <w:szCs w:val="21"/>
              </w:rPr>
            </w:pPr>
            <w:r>
              <w:rPr>
                <w:rFonts w:hint="eastAsia" w:ascii="宋体" w:hAnsi="宋体" w:cs="宋体"/>
                <w:sz w:val="21"/>
                <w:szCs w:val="21"/>
              </w:rPr>
              <w:t>党的“十八大”以来，我国进入了以国土空间保护为基础的生态文明建设时期。十八届三中全会首次提出建立空间规划体系的要求。2014年8月，国家发展改革委、国土资源部、环境保护部、住房城乡建设部等部委在全国28个市县联合开展市县“多规合一”试点工作。2019年5月10日，中共中央、国务院印发《关于建立国土空间规划体系并监督实施的若干意见》，明确构建五级三类国土空间规划体系，将主体功能区规划、土地利用规划、城乡规划等空间规划融合为统一的国土空间规划，实现“多规合一”，不断加强国土空间规划的战略引领地位。根据自然资源部印发的《关于全面开展国土空间规划工作的通知》（自然资发〔2019〕87号），《广西建立国土空间规划体系并监督实施的实施方案》（中共广西壮族自治区委员会，广西壮族自治区人民政府2019）及广西壮族自治区关于国土空间规划编制工作的相关部署，2020年底基本完成市县国土空间规划编制工作。</w:t>
            </w:r>
          </w:p>
          <w:p>
            <w:pPr>
              <w:spacing w:after="156"/>
              <w:ind w:firstLine="560"/>
              <w:rPr>
                <w:rFonts w:ascii="宋体" w:hAnsi="宋体" w:cs="宋体"/>
                <w:sz w:val="21"/>
                <w:szCs w:val="21"/>
              </w:rPr>
            </w:pPr>
            <w:r>
              <w:rPr>
                <w:rFonts w:hint="eastAsia" w:ascii="宋体" w:hAnsi="宋体" w:cs="宋体"/>
                <w:sz w:val="21"/>
                <w:szCs w:val="21"/>
              </w:rPr>
              <w:t>平果市国土空间总体规划是一定时期内对行政范围内国土空间开发保护做出的总体安排和综合部署，是制定空间发展政策、开展国土空间资源保护利用修复和实施国土空间规划管理的总依据，是编制相关专项规划和详细规划的基础和指引，对引领城市发展具有重要意义。</w:t>
            </w:r>
          </w:p>
          <w:p>
            <w:pPr>
              <w:pStyle w:val="4"/>
              <w:spacing w:line="240" w:lineRule="auto"/>
              <w:rPr>
                <w:rFonts w:ascii="宋体" w:hAnsi="宋体" w:eastAsia="宋体" w:cs="宋体"/>
                <w:sz w:val="21"/>
                <w:szCs w:val="21"/>
              </w:rPr>
            </w:pPr>
            <w:r>
              <w:rPr>
                <w:rFonts w:hint="eastAsia" w:ascii="宋体" w:hAnsi="宋体" w:eastAsia="宋体" w:cs="宋体"/>
                <w:sz w:val="21"/>
                <w:szCs w:val="21"/>
              </w:rPr>
              <w:t>二、总体要求</w:t>
            </w:r>
          </w:p>
          <w:p>
            <w:pPr>
              <w:pStyle w:val="5"/>
              <w:tabs>
                <w:tab w:val="left" w:pos="0"/>
              </w:tabs>
              <w:spacing w:line="240" w:lineRule="auto"/>
              <w:ind w:firstLine="422"/>
              <w:rPr>
                <w:rFonts w:ascii="宋体" w:hAnsi="宋体" w:cs="宋体"/>
                <w:sz w:val="21"/>
                <w:szCs w:val="21"/>
              </w:rPr>
            </w:pPr>
            <w:r>
              <w:rPr>
                <w:rFonts w:hint="eastAsia" w:ascii="宋体" w:hAnsi="宋体" w:cs="宋体"/>
                <w:sz w:val="21"/>
                <w:szCs w:val="21"/>
              </w:rPr>
              <w:t>(一）工作目标</w:t>
            </w:r>
          </w:p>
          <w:p>
            <w:pPr>
              <w:spacing w:after="156"/>
              <w:ind w:firstLine="560"/>
              <w:rPr>
                <w:rFonts w:ascii="宋体" w:hAnsi="宋体" w:cs="宋体"/>
                <w:sz w:val="21"/>
                <w:szCs w:val="21"/>
              </w:rPr>
            </w:pPr>
            <w:r>
              <w:rPr>
                <w:rFonts w:hint="eastAsia" w:ascii="宋体" w:hAnsi="宋体" w:cs="宋体"/>
                <w:sz w:val="21"/>
                <w:szCs w:val="21"/>
              </w:rPr>
              <w:t>通过编制国土空间规划，在平果全域构建科学适度有序的国土空间布局和管制体系，加快构建平果区域发展新格局，提高发展平衡性和协调性；统筹谋划自然资源的开发利用、整治修复，提升国土空间的开发保护利用水平，保护和改善全市生态环境;推进经济和环境可持续与均衡发展，构建高品质生产、生活、生态空间，勾绘保护与开发融为一体的空间蓝图。</w:t>
            </w:r>
          </w:p>
          <w:p>
            <w:pPr>
              <w:pStyle w:val="5"/>
              <w:tabs>
                <w:tab w:val="left" w:pos="0"/>
              </w:tabs>
              <w:spacing w:line="240" w:lineRule="auto"/>
              <w:ind w:firstLine="422"/>
              <w:rPr>
                <w:rFonts w:ascii="宋体" w:hAnsi="宋体" w:cs="宋体"/>
                <w:sz w:val="21"/>
                <w:szCs w:val="21"/>
              </w:rPr>
            </w:pPr>
            <w:r>
              <w:rPr>
                <w:rFonts w:hint="eastAsia" w:ascii="宋体" w:hAnsi="宋体" w:cs="宋体"/>
                <w:sz w:val="21"/>
                <w:szCs w:val="21"/>
              </w:rPr>
              <w:t>(二）工作原则</w:t>
            </w:r>
          </w:p>
          <w:p>
            <w:pPr>
              <w:spacing w:after="156"/>
              <w:ind w:firstLine="560"/>
              <w:rPr>
                <w:rFonts w:ascii="宋体" w:hAnsi="宋体" w:cs="宋体"/>
                <w:sz w:val="21"/>
                <w:szCs w:val="21"/>
              </w:rPr>
            </w:pPr>
            <w:r>
              <w:rPr>
                <w:rFonts w:hint="eastAsia" w:ascii="宋体" w:hAnsi="宋体" w:cs="宋体"/>
                <w:sz w:val="21"/>
                <w:szCs w:val="21"/>
              </w:rPr>
              <w:t>1. 战略引领、全域统筹。明确我市发展目标与时序，引领国土空间高质量发展。坚持城乡协调，优化国土空间结构和功能布局统领全市域空间保护、开发、利用、修复和治理等活动，提升国土空间开发保护质量和效率。</w:t>
            </w:r>
          </w:p>
          <w:p>
            <w:pPr>
              <w:spacing w:after="156"/>
              <w:ind w:firstLine="560"/>
              <w:rPr>
                <w:rFonts w:ascii="宋体" w:hAnsi="宋体" w:cs="宋体"/>
                <w:sz w:val="21"/>
                <w:szCs w:val="21"/>
              </w:rPr>
            </w:pPr>
            <w:r>
              <w:rPr>
                <w:rFonts w:hint="eastAsia" w:ascii="宋体" w:hAnsi="宋体" w:cs="宋体"/>
                <w:sz w:val="21"/>
                <w:szCs w:val="21"/>
              </w:rPr>
              <w:t>2．底线约束、绿色发展。全面落实生态文明建设要求，坚持保护优先、集约节约，结合百色市资源环境承载能力评价和国土空间开发适宜性评价，根据平果实际情况，优先划定不能进行开发建设的范围，严守生态安全、国土安全、粮食安全和历史文化保护等刚性管控线，促进城镇发展由外延扩张向内涵提升转变，推动形成绿色发展方式和生活方式。</w:t>
            </w:r>
          </w:p>
          <w:p>
            <w:pPr>
              <w:spacing w:after="156"/>
              <w:ind w:firstLine="560"/>
              <w:rPr>
                <w:rFonts w:ascii="宋体" w:hAnsi="宋体" w:cs="宋体"/>
                <w:sz w:val="21"/>
                <w:szCs w:val="21"/>
              </w:rPr>
            </w:pPr>
            <w:r>
              <w:rPr>
                <w:rFonts w:hint="eastAsia" w:ascii="宋体" w:hAnsi="宋体" w:cs="宋体"/>
                <w:sz w:val="21"/>
                <w:szCs w:val="21"/>
              </w:rPr>
              <w:t>3．以人为本、提升品质。遵循创新、协调、绿色、开放、共享的新发展理念，优化城乡功能布局和空间结构，实现城乡高质量发展、高品质生活。改善基础设施和公共服务设施水平，提升人民群众获得感和幸福感。坚持“开门编规划”，强化规划编制实施全过程的公众参与，把人民群众满意度作为衡量规划编制和实施水平的标准。</w:t>
            </w:r>
          </w:p>
          <w:p>
            <w:pPr>
              <w:spacing w:after="156"/>
              <w:ind w:firstLine="560"/>
              <w:rPr>
                <w:rFonts w:ascii="宋体" w:hAnsi="宋体" w:cs="宋体"/>
                <w:sz w:val="21"/>
                <w:szCs w:val="21"/>
              </w:rPr>
            </w:pPr>
            <w:r>
              <w:rPr>
                <w:rFonts w:hint="eastAsia" w:ascii="宋体" w:hAnsi="宋体" w:cs="宋体"/>
                <w:sz w:val="21"/>
                <w:szCs w:val="21"/>
              </w:rPr>
              <w:t>4. 多规合一、高效协同。统筹全市各类空间性规划，建立协同治理的规划实施机制。充分吸收原“土地利用总体规划”、“城市总体规划”(简称“两规”）、“多规合一”等的工作经验，实现国土空间规划管理全域覆盖、全要素、全过程管控。强化国土空间规划对各类专项规划的指导约束作用，形成国土空间“一张图”。</w:t>
            </w:r>
          </w:p>
          <w:p>
            <w:pPr>
              <w:spacing w:after="156"/>
              <w:ind w:firstLine="560"/>
              <w:rPr>
                <w:rFonts w:ascii="宋体" w:hAnsi="宋体" w:cs="宋体"/>
                <w:sz w:val="21"/>
                <w:szCs w:val="21"/>
              </w:rPr>
            </w:pPr>
            <w:r>
              <w:rPr>
                <w:rFonts w:hint="eastAsia" w:ascii="宋体" w:hAnsi="宋体" w:cs="宋体"/>
                <w:sz w:val="21"/>
                <w:szCs w:val="21"/>
              </w:rPr>
              <w:t>5. 因地制宜、分类指导。尊重规律，前瞻谋划，科学分析，根据自然禀赋、人文特色、不同地区发展阶段特征和需求，有针对性地开展规划编制工作。坚持问题导向和目标导向，鼓励规划适度“留白”,给地方用地发展留有弹性空间，确保规划能用、管用、好用。</w:t>
            </w:r>
          </w:p>
          <w:p>
            <w:pPr>
              <w:pStyle w:val="5"/>
              <w:tabs>
                <w:tab w:val="left" w:pos="0"/>
              </w:tabs>
              <w:spacing w:line="240" w:lineRule="auto"/>
              <w:ind w:firstLine="422"/>
              <w:rPr>
                <w:rFonts w:ascii="宋体" w:hAnsi="宋体" w:cs="宋体"/>
                <w:sz w:val="21"/>
                <w:szCs w:val="21"/>
              </w:rPr>
            </w:pPr>
            <w:r>
              <w:rPr>
                <w:rFonts w:hint="eastAsia" w:ascii="宋体" w:hAnsi="宋体" w:cs="宋体"/>
                <w:sz w:val="21"/>
                <w:szCs w:val="21"/>
              </w:rPr>
              <w:t>（三）规划范围与期限</w:t>
            </w:r>
          </w:p>
          <w:p>
            <w:pPr>
              <w:spacing w:after="156"/>
              <w:ind w:firstLine="560"/>
              <w:rPr>
                <w:rFonts w:ascii="宋体" w:hAnsi="宋体" w:cs="宋体"/>
                <w:sz w:val="21"/>
                <w:szCs w:val="21"/>
              </w:rPr>
            </w:pPr>
            <w:r>
              <w:rPr>
                <w:rFonts w:hint="eastAsia" w:ascii="宋体" w:hAnsi="宋体" w:cs="宋体"/>
                <w:sz w:val="21"/>
                <w:szCs w:val="21"/>
              </w:rPr>
              <w:t>规划范围为平果市行政辖区，包括包括马头镇、新安镇、果化镇、太平镇、坡造镇、四塘镇、旧城镇、榜圩镇、凤梧镇、海城乡、黎明乡、同老乡等12个镇（乡），面积约2485平方公里。</w:t>
            </w:r>
          </w:p>
          <w:p>
            <w:pPr>
              <w:spacing w:after="156"/>
              <w:ind w:firstLine="560"/>
              <w:rPr>
                <w:rFonts w:ascii="宋体" w:hAnsi="宋体" w:cs="宋体"/>
                <w:sz w:val="21"/>
                <w:szCs w:val="21"/>
              </w:rPr>
            </w:pPr>
            <w:r>
              <w:rPr>
                <w:rFonts w:hint="eastAsia" w:ascii="宋体" w:hAnsi="宋体" w:cs="宋体"/>
                <w:sz w:val="21"/>
                <w:szCs w:val="21"/>
              </w:rPr>
              <w:t>规划期限为2020年至2035年，规划基期年为2020年，近期为2025年，远景展望至2050年。</w:t>
            </w:r>
          </w:p>
          <w:p>
            <w:pPr>
              <w:pStyle w:val="4"/>
              <w:spacing w:line="240" w:lineRule="auto"/>
              <w:rPr>
                <w:rFonts w:ascii="宋体" w:hAnsi="宋体" w:eastAsia="宋体" w:cs="宋体"/>
                <w:sz w:val="21"/>
                <w:szCs w:val="21"/>
              </w:rPr>
            </w:pPr>
            <w:r>
              <w:rPr>
                <w:rFonts w:hint="eastAsia" w:ascii="宋体" w:hAnsi="宋体" w:eastAsia="宋体" w:cs="宋体"/>
                <w:sz w:val="21"/>
                <w:szCs w:val="21"/>
              </w:rPr>
              <w:t>三、规划内容</w:t>
            </w:r>
          </w:p>
          <w:p>
            <w:pPr>
              <w:spacing w:after="156"/>
              <w:ind w:firstLine="560"/>
              <w:rPr>
                <w:rFonts w:ascii="宋体" w:hAnsi="宋体" w:cs="宋体"/>
                <w:sz w:val="21"/>
                <w:szCs w:val="21"/>
              </w:rPr>
            </w:pPr>
            <w:r>
              <w:rPr>
                <w:rFonts w:hint="eastAsia" w:ascii="宋体" w:hAnsi="宋体" w:cs="宋体"/>
                <w:sz w:val="21"/>
                <w:szCs w:val="21"/>
              </w:rPr>
              <w:t>依据《市县国土空间总体规划编制指南》(2019年6月)，平果市国土空间总体规划工作主要包括方案编制和专题研究两个板块。</w:t>
            </w:r>
          </w:p>
          <w:p>
            <w:pPr>
              <w:pStyle w:val="5"/>
              <w:tabs>
                <w:tab w:val="left" w:pos="0"/>
              </w:tabs>
              <w:spacing w:line="240" w:lineRule="auto"/>
              <w:ind w:firstLine="422"/>
              <w:rPr>
                <w:rFonts w:ascii="宋体" w:hAnsi="宋体" w:cs="宋体"/>
                <w:sz w:val="21"/>
                <w:szCs w:val="21"/>
              </w:rPr>
            </w:pPr>
            <w:r>
              <w:rPr>
                <w:rFonts w:hint="eastAsia" w:ascii="宋体" w:hAnsi="宋体" w:cs="宋体"/>
                <w:sz w:val="21"/>
                <w:szCs w:val="21"/>
              </w:rPr>
              <w:t>（一）方案编制</w:t>
            </w:r>
          </w:p>
          <w:p>
            <w:pPr>
              <w:spacing w:after="156"/>
              <w:ind w:firstLine="560"/>
              <w:rPr>
                <w:rFonts w:ascii="宋体" w:hAnsi="宋体" w:cs="宋体"/>
                <w:sz w:val="21"/>
                <w:szCs w:val="21"/>
              </w:rPr>
            </w:pPr>
            <w:r>
              <w:rPr>
                <w:rFonts w:hint="eastAsia" w:ascii="宋体" w:hAnsi="宋体" w:cs="宋体"/>
                <w:sz w:val="21"/>
                <w:szCs w:val="21"/>
              </w:rPr>
              <w:t>1．统一规划基数</w:t>
            </w:r>
          </w:p>
          <w:p>
            <w:pPr>
              <w:spacing w:after="156"/>
              <w:ind w:firstLine="560"/>
              <w:rPr>
                <w:rFonts w:ascii="宋体" w:hAnsi="宋体" w:cs="宋体"/>
                <w:sz w:val="21"/>
                <w:szCs w:val="21"/>
              </w:rPr>
            </w:pPr>
            <w:r>
              <w:rPr>
                <w:rFonts w:hint="eastAsia" w:ascii="宋体" w:hAnsi="宋体" w:cs="宋体"/>
                <w:sz w:val="21"/>
                <w:szCs w:val="21"/>
              </w:rPr>
              <w:t>以平果市第三次全国国土调查成果（以下简称“三调”）为现状基础数据，按照《国土空间调查、规划、用途管制用地用海分类指南》（试行）（2020.10）开展补充细化调查，并整合规划编制所需的空间关联现状数据和信息，按照《自然资源部办公厅关于开展国土空间规划“一张图”建设和现状评估通知》要求，形成坐标一致、边界吻合、上下贯通的一张底图,支撑国土空间规划编制。</w:t>
            </w:r>
          </w:p>
          <w:p>
            <w:pPr>
              <w:spacing w:after="156"/>
              <w:ind w:firstLine="560"/>
              <w:rPr>
                <w:rFonts w:ascii="宋体" w:hAnsi="宋体" w:cs="宋体"/>
                <w:sz w:val="21"/>
                <w:szCs w:val="21"/>
              </w:rPr>
            </w:pPr>
            <w:r>
              <w:rPr>
                <w:rFonts w:hint="eastAsia" w:ascii="宋体" w:hAnsi="宋体" w:cs="宋体"/>
                <w:sz w:val="21"/>
                <w:szCs w:val="21"/>
              </w:rPr>
              <w:t>2．现状分析研判</w:t>
            </w:r>
          </w:p>
          <w:p>
            <w:pPr>
              <w:spacing w:after="156"/>
              <w:ind w:firstLine="560"/>
              <w:rPr>
                <w:rFonts w:ascii="宋体" w:hAnsi="宋体" w:cs="宋体"/>
                <w:sz w:val="21"/>
                <w:szCs w:val="21"/>
              </w:rPr>
            </w:pPr>
            <w:r>
              <w:rPr>
                <w:rFonts w:hint="eastAsia" w:ascii="宋体" w:hAnsi="宋体" w:cs="宋体"/>
                <w:sz w:val="21"/>
                <w:szCs w:val="21"/>
              </w:rPr>
              <w:t>结合百色市“双评价”、“双评估”深化研究，分析国家、</w:t>
            </w:r>
            <w:r>
              <w:rPr>
                <w:rFonts w:hint="eastAsia"/>
                <w:sz w:val="21"/>
                <w:szCs w:val="21"/>
              </w:rPr>
              <w:t>自治区</w:t>
            </w:r>
            <w:r>
              <w:rPr>
                <w:rFonts w:hint="eastAsia" w:ascii="宋体" w:hAnsi="宋体" w:cs="宋体"/>
                <w:sz w:val="21"/>
                <w:szCs w:val="21"/>
              </w:rPr>
              <w:t>和市相关要求，分析平果市国土空间开发保护面临的形势挑战,确定规划重点任务。</w:t>
            </w:r>
          </w:p>
          <w:p>
            <w:pPr>
              <w:spacing w:after="156"/>
              <w:ind w:firstLine="560"/>
              <w:rPr>
                <w:rFonts w:ascii="宋体" w:hAnsi="宋体" w:cs="宋体"/>
                <w:sz w:val="21"/>
                <w:szCs w:val="21"/>
              </w:rPr>
            </w:pPr>
            <w:r>
              <w:rPr>
                <w:rFonts w:hint="eastAsia" w:ascii="宋体" w:hAnsi="宋体" w:cs="宋体"/>
                <w:sz w:val="21"/>
                <w:szCs w:val="21"/>
              </w:rPr>
              <w:t>3．明确目标战略</w:t>
            </w:r>
          </w:p>
          <w:p>
            <w:pPr>
              <w:spacing w:after="156"/>
              <w:ind w:firstLine="560"/>
              <w:rPr>
                <w:rFonts w:ascii="宋体" w:hAnsi="宋体" w:cs="宋体"/>
                <w:sz w:val="21"/>
                <w:szCs w:val="21"/>
              </w:rPr>
            </w:pPr>
            <w:r>
              <w:rPr>
                <w:rFonts w:hint="eastAsia" w:ascii="宋体" w:hAnsi="宋体" w:cs="宋体"/>
                <w:sz w:val="21"/>
                <w:szCs w:val="21"/>
              </w:rPr>
              <w:t>落实国家、</w:t>
            </w:r>
            <w:r>
              <w:rPr>
                <w:rFonts w:hint="eastAsia"/>
                <w:sz w:val="21"/>
                <w:szCs w:val="21"/>
              </w:rPr>
              <w:t>自治区</w:t>
            </w:r>
            <w:r>
              <w:rPr>
                <w:rFonts w:hint="eastAsia" w:ascii="宋体" w:hAnsi="宋体" w:cs="宋体"/>
                <w:sz w:val="21"/>
                <w:szCs w:val="21"/>
              </w:rPr>
              <w:t>重大战略部署，按照市级国土空间总体规划的相关要求，提出平果国土空间保护与利用的发展目标、战略定位和指标体系，确定分阶段发展目标。</w:t>
            </w:r>
          </w:p>
          <w:p>
            <w:pPr>
              <w:spacing w:after="156"/>
              <w:ind w:firstLine="560"/>
              <w:rPr>
                <w:rFonts w:ascii="宋体" w:hAnsi="宋体" w:cs="宋体"/>
                <w:sz w:val="21"/>
                <w:szCs w:val="21"/>
              </w:rPr>
            </w:pPr>
            <w:r>
              <w:rPr>
                <w:rFonts w:hint="eastAsia" w:ascii="宋体" w:hAnsi="宋体" w:cs="宋体"/>
                <w:sz w:val="21"/>
                <w:szCs w:val="21"/>
              </w:rPr>
              <w:t>4、推动区域协同</w:t>
            </w:r>
          </w:p>
          <w:p>
            <w:pPr>
              <w:spacing w:after="156"/>
              <w:ind w:firstLine="560"/>
              <w:rPr>
                <w:rFonts w:ascii="宋体" w:hAnsi="宋体" w:cs="宋体"/>
                <w:sz w:val="21"/>
                <w:szCs w:val="21"/>
              </w:rPr>
            </w:pPr>
            <w:r>
              <w:rPr>
                <w:rFonts w:hint="eastAsia" w:ascii="宋体" w:hAnsi="宋体" w:cs="宋体"/>
                <w:sz w:val="21"/>
                <w:szCs w:val="21"/>
              </w:rPr>
              <w:t>落实</w:t>
            </w:r>
            <w:r>
              <w:rPr>
                <w:rFonts w:hint="eastAsia"/>
                <w:sz w:val="21"/>
                <w:szCs w:val="21"/>
              </w:rPr>
              <w:t>自治区</w:t>
            </w:r>
            <w:r>
              <w:rPr>
                <w:rFonts w:hint="eastAsia" w:ascii="宋体" w:hAnsi="宋体" w:cs="宋体"/>
                <w:sz w:val="21"/>
                <w:szCs w:val="21"/>
              </w:rPr>
              <w:t>、市国土空间规划对平果提出的区域协调发展要求，加强平果与周边行政区域在自然资源保护利用、生态环境治理、基础设施联通、公共服务配置、城镇协同规划建设等方面的协调。</w:t>
            </w:r>
          </w:p>
          <w:p>
            <w:pPr>
              <w:spacing w:after="156"/>
              <w:ind w:firstLine="560"/>
              <w:rPr>
                <w:rFonts w:ascii="宋体" w:hAnsi="宋体" w:cs="宋体"/>
                <w:sz w:val="21"/>
                <w:szCs w:val="21"/>
              </w:rPr>
            </w:pPr>
            <w:r>
              <w:rPr>
                <w:rFonts w:hint="eastAsia" w:ascii="宋体" w:hAnsi="宋体" w:cs="宋体"/>
                <w:sz w:val="21"/>
                <w:szCs w:val="21"/>
              </w:rPr>
              <w:t>5．优化空间格局</w:t>
            </w:r>
          </w:p>
          <w:p>
            <w:pPr>
              <w:spacing w:after="156"/>
              <w:ind w:firstLine="560"/>
              <w:rPr>
                <w:rFonts w:ascii="宋体" w:hAnsi="宋体" w:cs="宋体"/>
                <w:sz w:val="21"/>
                <w:szCs w:val="21"/>
              </w:rPr>
            </w:pPr>
            <w:r>
              <w:rPr>
                <w:rFonts w:hint="eastAsia" w:ascii="宋体" w:hAnsi="宋体" w:cs="宋体"/>
                <w:sz w:val="21"/>
                <w:szCs w:val="21"/>
              </w:rPr>
              <w:t>（1）明确底线管控</w:t>
            </w:r>
          </w:p>
          <w:p>
            <w:pPr>
              <w:spacing w:after="156"/>
              <w:ind w:firstLine="560"/>
              <w:rPr>
                <w:rFonts w:ascii="宋体" w:hAnsi="宋体" w:cs="宋体"/>
                <w:sz w:val="21"/>
                <w:szCs w:val="21"/>
              </w:rPr>
            </w:pPr>
            <w:r>
              <w:rPr>
                <w:rFonts w:hint="eastAsia" w:ascii="宋体" w:hAnsi="宋体" w:cs="宋体"/>
                <w:sz w:val="21"/>
                <w:szCs w:val="21"/>
              </w:rPr>
              <w:t>落实百色市国土空间总体规划及相关专项规划要求，从生态安全、资源保护、城乡建设、公共安全、社会民生、历史文化等方面提出底线约束内容和实施保障措施。划定生态保护红线、永久基本农田、城镇开发边界，明确各类控制线的管控要求。</w:t>
            </w:r>
          </w:p>
          <w:p>
            <w:pPr>
              <w:spacing w:after="156"/>
              <w:ind w:firstLine="560"/>
              <w:rPr>
                <w:rFonts w:ascii="宋体" w:hAnsi="宋体" w:cs="宋体"/>
                <w:sz w:val="21"/>
                <w:szCs w:val="21"/>
              </w:rPr>
            </w:pPr>
            <w:r>
              <w:rPr>
                <w:rFonts w:hint="eastAsia" w:ascii="宋体" w:hAnsi="宋体" w:cs="宋体"/>
                <w:sz w:val="21"/>
                <w:szCs w:val="21"/>
              </w:rPr>
              <w:t>（2）优化国土空间结构</w:t>
            </w:r>
          </w:p>
          <w:p>
            <w:pPr>
              <w:spacing w:after="156"/>
              <w:ind w:firstLine="560"/>
              <w:rPr>
                <w:rFonts w:ascii="宋体" w:hAnsi="宋体" w:cs="宋体"/>
                <w:sz w:val="21"/>
                <w:szCs w:val="21"/>
              </w:rPr>
            </w:pPr>
            <w:r>
              <w:rPr>
                <w:rFonts w:hint="eastAsia" w:ascii="宋体" w:hAnsi="宋体" w:cs="宋体"/>
                <w:sz w:val="21"/>
                <w:szCs w:val="21"/>
              </w:rPr>
              <w:t>落实国家、</w:t>
            </w:r>
            <w:r>
              <w:rPr>
                <w:rFonts w:hint="eastAsia"/>
                <w:sz w:val="21"/>
                <w:szCs w:val="21"/>
              </w:rPr>
              <w:t>自治区和</w:t>
            </w:r>
            <w:r>
              <w:rPr>
                <w:rFonts w:hint="eastAsia" w:ascii="宋体" w:hAnsi="宋体" w:cs="宋体"/>
                <w:sz w:val="21"/>
                <w:szCs w:val="21"/>
              </w:rPr>
              <w:t>市空间发展战略，立足自然资源本底，坚持区域协调、城乡融合，分析人口、用地、产业、交通关系，深入研究平果空间开发与保护格局，确定市域总体空间结构。推动城镇、农业及生态等“三生”空间融合，确定市域城镇村体系、农业空间结构和生态空间结构并明确相应保护与利用策略。</w:t>
            </w:r>
          </w:p>
          <w:p>
            <w:pPr>
              <w:spacing w:after="156"/>
              <w:ind w:firstLine="560"/>
              <w:rPr>
                <w:rFonts w:ascii="宋体" w:hAnsi="宋体" w:cs="宋体"/>
                <w:sz w:val="21"/>
                <w:szCs w:val="21"/>
              </w:rPr>
            </w:pPr>
            <w:r>
              <w:rPr>
                <w:rFonts w:hint="eastAsia" w:ascii="宋体" w:hAnsi="宋体" w:cs="宋体"/>
                <w:sz w:val="21"/>
                <w:szCs w:val="21"/>
              </w:rPr>
              <w:t>（3）明确国土空间规划分区与用途结构调整</w:t>
            </w:r>
          </w:p>
          <w:p>
            <w:pPr>
              <w:spacing w:after="156"/>
              <w:ind w:firstLine="560"/>
              <w:rPr>
                <w:rFonts w:ascii="宋体" w:hAnsi="宋体" w:cs="宋体"/>
                <w:sz w:val="21"/>
                <w:szCs w:val="21"/>
              </w:rPr>
            </w:pPr>
            <w:r>
              <w:rPr>
                <w:rFonts w:hint="eastAsia" w:ascii="宋体" w:hAnsi="宋体" w:cs="宋体"/>
                <w:sz w:val="21"/>
                <w:szCs w:val="21"/>
              </w:rPr>
              <w:t>按照主导功能明确的原则，在平果市域国土空间规划基本分区基础上进一步细化划分平果市域规划分区，达到二级规划分区深度，并制定用途准入、用途转换和相关控制要求。落实和深化百色市级规划要求，明确平果土地利用规模控制，结构优化、布局调整、效率提升的目标与策略，提出耕地、园地、林地、城乡建设用地、区域基础设施用地等主要用地类型的规模与比例关系。</w:t>
            </w:r>
          </w:p>
          <w:p>
            <w:pPr>
              <w:spacing w:after="156"/>
              <w:ind w:firstLine="560"/>
              <w:rPr>
                <w:rFonts w:ascii="宋体" w:hAnsi="宋体" w:cs="宋体"/>
                <w:sz w:val="21"/>
                <w:szCs w:val="21"/>
              </w:rPr>
            </w:pPr>
            <w:r>
              <w:rPr>
                <w:rFonts w:hint="eastAsia" w:ascii="宋体" w:hAnsi="宋体" w:cs="宋体"/>
                <w:sz w:val="21"/>
                <w:szCs w:val="21"/>
              </w:rPr>
              <w:t>6．资源统筹保护与利用</w:t>
            </w:r>
          </w:p>
          <w:p>
            <w:pPr>
              <w:spacing w:after="156"/>
              <w:ind w:firstLine="560"/>
              <w:rPr>
                <w:rFonts w:ascii="宋体" w:hAnsi="宋体" w:cs="宋体"/>
                <w:sz w:val="21"/>
                <w:szCs w:val="21"/>
              </w:rPr>
            </w:pPr>
            <w:r>
              <w:rPr>
                <w:rFonts w:hint="eastAsia" w:ascii="宋体" w:hAnsi="宋体" w:cs="宋体"/>
                <w:sz w:val="21"/>
                <w:szCs w:val="21"/>
              </w:rPr>
              <w:t>（1）提出山水林田湖草系统保护要求</w:t>
            </w:r>
          </w:p>
          <w:p>
            <w:pPr>
              <w:spacing w:after="156"/>
              <w:ind w:firstLine="560"/>
              <w:rPr>
                <w:rFonts w:ascii="宋体" w:hAnsi="宋体" w:cs="宋体"/>
                <w:sz w:val="21"/>
                <w:szCs w:val="21"/>
              </w:rPr>
            </w:pPr>
            <w:r>
              <w:rPr>
                <w:rFonts w:hint="eastAsia" w:ascii="宋体" w:hAnsi="宋体" w:cs="宋体"/>
                <w:sz w:val="21"/>
                <w:szCs w:val="21"/>
              </w:rPr>
              <w:t>按照“山水林田湖草”系统保护要求，统筹森林、湿地、河流、耕地、矿产等各类自然资源的保护利用，确定自然资源保护底线和利用上限，提出各类自然资源供给总量、结构，布局调整的重点和方向。</w:t>
            </w:r>
          </w:p>
          <w:p>
            <w:pPr>
              <w:spacing w:after="156"/>
              <w:ind w:firstLine="560"/>
              <w:rPr>
                <w:rFonts w:ascii="宋体" w:hAnsi="宋体" w:cs="宋体"/>
                <w:sz w:val="21"/>
                <w:szCs w:val="21"/>
              </w:rPr>
            </w:pPr>
            <w:r>
              <w:rPr>
                <w:rFonts w:hint="eastAsia" w:ascii="宋体" w:hAnsi="宋体" w:cs="宋体"/>
                <w:sz w:val="21"/>
                <w:szCs w:val="21"/>
              </w:rPr>
              <w:t>（2）明确各类自然资源的保护与利用要求</w:t>
            </w:r>
          </w:p>
          <w:p>
            <w:pPr>
              <w:spacing w:after="156"/>
              <w:ind w:firstLine="560"/>
              <w:rPr>
                <w:rFonts w:ascii="宋体" w:hAnsi="宋体" w:cs="宋体"/>
                <w:sz w:val="21"/>
                <w:szCs w:val="21"/>
              </w:rPr>
            </w:pPr>
            <w:r>
              <w:rPr>
                <w:rFonts w:hint="eastAsia" w:ascii="宋体" w:hAnsi="宋体" w:cs="宋体"/>
                <w:sz w:val="21"/>
                <w:szCs w:val="21"/>
              </w:rPr>
              <w:t>明确耕地资源、水资源、湿地资源、森林资源、矿产资源等各类自然资源的保护与利用的具体指标、要求和措施。推进建设用地结构调整与再利用，明确建设用地结构优化目标与策略，提出居住、工业、商业、公共设施、绿地等各类用地的配置比例。推动存量用地高效集约利用，提出存量建设用地改造的总体要求，划分改造分区，明确各类存量用地的盘活指引和相关政策机制。</w:t>
            </w:r>
          </w:p>
          <w:p>
            <w:pPr>
              <w:spacing w:after="156"/>
              <w:ind w:firstLine="560"/>
              <w:rPr>
                <w:rFonts w:ascii="宋体" w:hAnsi="宋体" w:cs="宋体"/>
                <w:sz w:val="21"/>
                <w:szCs w:val="21"/>
              </w:rPr>
            </w:pPr>
            <w:r>
              <w:rPr>
                <w:rFonts w:hint="eastAsia" w:ascii="宋体" w:hAnsi="宋体" w:cs="宋体"/>
                <w:sz w:val="21"/>
                <w:szCs w:val="21"/>
              </w:rPr>
              <w:t>7．国土综合整治与生态修复</w:t>
            </w:r>
          </w:p>
          <w:p>
            <w:pPr>
              <w:spacing w:after="156"/>
              <w:ind w:firstLine="560"/>
              <w:rPr>
                <w:rFonts w:ascii="宋体" w:hAnsi="宋体" w:cs="宋体"/>
                <w:sz w:val="21"/>
                <w:szCs w:val="21"/>
              </w:rPr>
            </w:pPr>
            <w:r>
              <w:rPr>
                <w:rFonts w:hint="eastAsia" w:ascii="宋体" w:hAnsi="宋体" w:cs="宋体"/>
                <w:sz w:val="21"/>
                <w:szCs w:val="21"/>
              </w:rPr>
              <w:t>明确平果市国土综合整治和生态保护修复的目标任务、策略路径、重点方向与重点区域。提出高标准农田建设、田水路林村综合整治、城乡建设用地增减挂钩、增存挂钩等重点工程和措施要求；进一步明确耕地集中储备区规模和布局。提出水污染防治和水生态修复、山体、林地、土地退化和污染修复、自然保护地的措施要求，明确生态修复的重点工程与重点项目。</w:t>
            </w:r>
          </w:p>
          <w:p>
            <w:pPr>
              <w:spacing w:after="156"/>
              <w:ind w:firstLine="560"/>
              <w:rPr>
                <w:rFonts w:ascii="宋体" w:hAnsi="宋体" w:cs="宋体"/>
                <w:sz w:val="21"/>
                <w:szCs w:val="21"/>
              </w:rPr>
            </w:pPr>
            <w:r>
              <w:rPr>
                <w:rFonts w:hint="eastAsia" w:ascii="宋体" w:hAnsi="宋体" w:cs="宋体"/>
                <w:sz w:val="21"/>
                <w:szCs w:val="21"/>
              </w:rPr>
              <w:t>8、国土空间优化与品质提升</w:t>
            </w:r>
          </w:p>
          <w:p>
            <w:pPr>
              <w:spacing w:after="156"/>
              <w:ind w:firstLine="560"/>
              <w:rPr>
                <w:rFonts w:ascii="宋体" w:hAnsi="宋体" w:cs="宋体"/>
                <w:sz w:val="21"/>
                <w:szCs w:val="21"/>
              </w:rPr>
            </w:pPr>
            <w:r>
              <w:rPr>
                <w:rFonts w:hint="eastAsia" w:ascii="宋体" w:hAnsi="宋体" w:cs="宋体"/>
                <w:sz w:val="21"/>
                <w:szCs w:val="21"/>
              </w:rPr>
              <w:t>（1）居住与住房保障</w:t>
            </w:r>
          </w:p>
          <w:p>
            <w:pPr>
              <w:spacing w:after="156"/>
              <w:ind w:firstLine="560"/>
              <w:rPr>
                <w:rFonts w:ascii="宋体" w:hAnsi="宋体" w:cs="宋体"/>
                <w:sz w:val="21"/>
                <w:szCs w:val="21"/>
              </w:rPr>
            </w:pPr>
            <w:r>
              <w:rPr>
                <w:rFonts w:hint="eastAsia" w:ascii="宋体" w:hAnsi="宋体" w:cs="宋体"/>
                <w:sz w:val="21"/>
                <w:szCs w:val="21"/>
              </w:rPr>
              <w:t>预测住房和居住用地需求，明确新增住房总套数和居住用地面积，形成合理的住房供应结构。根据住房供应总量，提出满足新增住房套数需要增加的居住用地供应规模。</w:t>
            </w:r>
          </w:p>
          <w:p>
            <w:pPr>
              <w:spacing w:after="156"/>
              <w:ind w:firstLine="560"/>
              <w:rPr>
                <w:rFonts w:ascii="宋体" w:hAnsi="宋体" w:cs="宋体"/>
                <w:sz w:val="21"/>
                <w:szCs w:val="21"/>
              </w:rPr>
            </w:pPr>
            <w:r>
              <w:rPr>
                <w:rFonts w:hint="eastAsia" w:ascii="宋体" w:hAnsi="宋体" w:cs="宋体"/>
                <w:sz w:val="21"/>
                <w:szCs w:val="21"/>
              </w:rPr>
              <w:t>（2）公共服务设施</w:t>
            </w:r>
          </w:p>
          <w:p>
            <w:pPr>
              <w:spacing w:after="156"/>
              <w:ind w:firstLine="560"/>
              <w:rPr>
                <w:rFonts w:ascii="宋体" w:hAnsi="宋体" w:cs="宋体"/>
                <w:sz w:val="21"/>
                <w:szCs w:val="21"/>
              </w:rPr>
            </w:pPr>
            <w:r>
              <w:rPr>
                <w:rFonts w:hint="eastAsia" w:ascii="宋体" w:hAnsi="宋体" w:cs="宋体"/>
                <w:sz w:val="21"/>
                <w:szCs w:val="21"/>
              </w:rPr>
              <w:t>落实百色市国土空间总体规划确定的公共服务体系，进一步深化明确平果市域公共服务体系，明确教育、医疗、养老、文化、体育等各类公共服务设施的配置标准、数量和规模等级。提出社区生活圈划分标准和步行可达覆盖率等公共服务设施配置要求，划分社区生活圈类型并提出建设指引。</w:t>
            </w:r>
          </w:p>
          <w:p>
            <w:pPr>
              <w:spacing w:after="156"/>
              <w:ind w:firstLine="560"/>
              <w:rPr>
                <w:rFonts w:ascii="宋体" w:hAnsi="宋体" w:cs="宋体"/>
                <w:sz w:val="21"/>
                <w:szCs w:val="21"/>
              </w:rPr>
            </w:pPr>
            <w:r>
              <w:rPr>
                <w:rFonts w:hint="eastAsia" w:ascii="宋体" w:hAnsi="宋体" w:cs="宋体"/>
                <w:sz w:val="21"/>
                <w:szCs w:val="21"/>
              </w:rPr>
              <w:t>（3）产业布局</w:t>
            </w:r>
          </w:p>
          <w:p>
            <w:pPr>
              <w:spacing w:after="156"/>
              <w:ind w:firstLine="560"/>
              <w:rPr>
                <w:rFonts w:ascii="宋体" w:hAnsi="宋体" w:cs="宋体"/>
                <w:sz w:val="21"/>
                <w:szCs w:val="21"/>
              </w:rPr>
            </w:pPr>
            <w:r>
              <w:rPr>
                <w:rFonts w:hint="eastAsia" w:ascii="宋体" w:hAnsi="宋体" w:cs="宋体"/>
                <w:sz w:val="21"/>
                <w:szCs w:val="21"/>
              </w:rPr>
              <w:t>围绕国家及区域产业发展导向，提出平果产业空间发展方向，明确各类产业功能集聚区空间布局、制定产业准入规则。</w:t>
            </w:r>
          </w:p>
          <w:p>
            <w:pPr>
              <w:spacing w:after="156"/>
              <w:ind w:firstLine="560"/>
              <w:rPr>
                <w:rFonts w:ascii="宋体" w:hAnsi="宋体" w:cs="宋体"/>
                <w:sz w:val="21"/>
                <w:szCs w:val="21"/>
              </w:rPr>
            </w:pPr>
            <w:r>
              <w:rPr>
                <w:rFonts w:hint="eastAsia" w:ascii="宋体" w:hAnsi="宋体" w:cs="宋体"/>
                <w:sz w:val="21"/>
                <w:szCs w:val="21"/>
              </w:rPr>
              <w:t>（4）公园绿地与开敞空间</w:t>
            </w:r>
          </w:p>
          <w:p>
            <w:pPr>
              <w:spacing w:after="156"/>
              <w:ind w:firstLine="560"/>
              <w:rPr>
                <w:rFonts w:ascii="宋体" w:hAnsi="宋体" w:cs="宋体"/>
                <w:sz w:val="21"/>
                <w:szCs w:val="21"/>
              </w:rPr>
            </w:pPr>
            <w:r>
              <w:rPr>
                <w:rFonts w:hint="eastAsia" w:ascii="宋体" w:hAnsi="宋体" w:cs="宋体"/>
                <w:sz w:val="21"/>
                <w:szCs w:val="21"/>
              </w:rPr>
              <w:t>根据百色市国土空间总体规划提出的公园绿地及开敞空间布局要求，衔接上位专项规划，合理确定全市各类公园的配置数量、面积和布局。结合河湖水系和城市生态廊道，明确平果市域内开敞空间的构成要求及总体空间布局。</w:t>
            </w:r>
          </w:p>
          <w:p>
            <w:pPr>
              <w:spacing w:after="156"/>
              <w:ind w:firstLine="560"/>
              <w:rPr>
                <w:rFonts w:ascii="宋体" w:hAnsi="宋体" w:cs="宋体"/>
                <w:sz w:val="21"/>
                <w:szCs w:val="21"/>
              </w:rPr>
            </w:pPr>
            <w:r>
              <w:rPr>
                <w:rFonts w:hint="eastAsia" w:ascii="宋体" w:hAnsi="宋体" w:cs="宋体"/>
                <w:sz w:val="21"/>
                <w:szCs w:val="21"/>
              </w:rPr>
              <w:t>（5）乡村建设</w:t>
            </w:r>
          </w:p>
          <w:p>
            <w:pPr>
              <w:spacing w:after="156"/>
              <w:ind w:firstLine="560"/>
              <w:rPr>
                <w:rFonts w:ascii="宋体" w:hAnsi="宋体" w:cs="宋体"/>
                <w:sz w:val="21"/>
                <w:szCs w:val="21"/>
              </w:rPr>
            </w:pPr>
            <w:r>
              <w:rPr>
                <w:rFonts w:hint="eastAsia" w:ascii="宋体" w:hAnsi="宋体" w:cs="宋体"/>
                <w:sz w:val="21"/>
                <w:szCs w:val="21"/>
              </w:rPr>
              <w:t>结合乡村资源禀赋与发展基础，依据村庄类型提出差异化发展指引，明确村民宅基地、集体经营性用地等乡村用地集约节约利用要求,提出乡村人居环境建设、基础设施完善等方面的目标与策略。</w:t>
            </w:r>
          </w:p>
          <w:p>
            <w:pPr>
              <w:spacing w:after="156"/>
              <w:ind w:firstLine="560"/>
              <w:rPr>
                <w:rFonts w:ascii="宋体" w:hAnsi="宋体" w:cs="宋体"/>
                <w:sz w:val="21"/>
                <w:szCs w:val="21"/>
              </w:rPr>
            </w:pPr>
            <w:r>
              <w:rPr>
                <w:rFonts w:hint="eastAsia" w:ascii="宋体" w:hAnsi="宋体" w:cs="宋体"/>
                <w:sz w:val="21"/>
                <w:szCs w:val="21"/>
              </w:rPr>
              <w:t>（6）历史文化保护</w:t>
            </w:r>
          </w:p>
          <w:p>
            <w:pPr>
              <w:spacing w:after="156"/>
              <w:ind w:firstLine="560"/>
              <w:rPr>
                <w:rFonts w:ascii="宋体" w:hAnsi="宋体" w:cs="宋体"/>
                <w:sz w:val="21"/>
                <w:szCs w:val="21"/>
              </w:rPr>
            </w:pPr>
            <w:r>
              <w:rPr>
                <w:rFonts w:hint="eastAsia" w:ascii="宋体" w:hAnsi="宋体" w:cs="宋体"/>
                <w:sz w:val="21"/>
                <w:szCs w:val="21"/>
              </w:rPr>
              <w:t>落实国家、</w:t>
            </w:r>
            <w:r>
              <w:rPr>
                <w:rFonts w:hint="eastAsia"/>
                <w:sz w:val="21"/>
                <w:szCs w:val="21"/>
              </w:rPr>
              <w:t>自治区和</w:t>
            </w:r>
            <w:r>
              <w:rPr>
                <w:rFonts w:hint="eastAsia" w:ascii="宋体" w:hAnsi="宋体" w:cs="宋体"/>
                <w:sz w:val="21"/>
                <w:szCs w:val="21"/>
              </w:rPr>
              <w:t>市历史文化风貌特色与各类历史文化资源保护要求,明确平果历史文化街区、名镇、名村、各级文物古迹和非物质文化遗产竺的保护名录、保护范围和措施，提出文化路径和文化挖掘策略。</w:t>
            </w:r>
          </w:p>
          <w:p>
            <w:pPr>
              <w:spacing w:after="156"/>
              <w:ind w:firstLine="560"/>
              <w:rPr>
                <w:rFonts w:ascii="宋体" w:hAnsi="宋体" w:cs="宋体"/>
                <w:sz w:val="21"/>
                <w:szCs w:val="21"/>
              </w:rPr>
            </w:pPr>
            <w:r>
              <w:rPr>
                <w:rFonts w:hint="eastAsia" w:ascii="宋体" w:hAnsi="宋体" w:cs="宋体"/>
                <w:sz w:val="21"/>
                <w:szCs w:val="21"/>
              </w:rPr>
              <w:t>（7）大地景观与城乡风貌</w:t>
            </w:r>
          </w:p>
          <w:p>
            <w:pPr>
              <w:spacing w:after="156"/>
              <w:ind w:firstLine="560"/>
              <w:rPr>
                <w:rFonts w:ascii="宋体" w:hAnsi="宋体" w:cs="宋体"/>
                <w:sz w:val="21"/>
                <w:szCs w:val="21"/>
              </w:rPr>
            </w:pPr>
            <w:r>
              <w:rPr>
                <w:rFonts w:hint="eastAsia" w:ascii="宋体" w:hAnsi="宋体" w:cs="宋体"/>
                <w:sz w:val="21"/>
                <w:szCs w:val="21"/>
              </w:rPr>
              <w:t>依托山水格局、充分利用自然、历史文化等资源，明确整体城乡风貌定位及特色分区，提出各分区指引，构建具有地方特色的大地景观与城乡风貌。</w:t>
            </w:r>
          </w:p>
          <w:p>
            <w:pPr>
              <w:spacing w:after="156"/>
              <w:ind w:firstLine="560"/>
              <w:rPr>
                <w:rFonts w:ascii="宋体" w:hAnsi="宋体" w:cs="宋体"/>
                <w:sz w:val="21"/>
                <w:szCs w:val="21"/>
              </w:rPr>
            </w:pPr>
            <w:r>
              <w:rPr>
                <w:rFonts w:hint="eastAsia" w:ascii="宋体" w:hAnsi="宋体" w:cs="宋体"/>
                <w:sz w:val="21"/>
                <w:szCs w:val="21"/>
              </w:rPr>
              <w:t>9.支撑保障体系</w:t>
            </w:r>
          </w:p>
          <w:p>
            <w:pPr>
              <w:spacing w:after="156"/>
              <w:ind w:firstLine="560"/>
              <w:rPr>
                <w:rFonts w:ascii="宋体" w:hAnsi="宋体" w:cs="宋体"/>
                <w:sz w:val="21"/>
                <w:szCs w:val="21"/>
              </w:rPr>
            </w:pPr>
            <w:r>
              <w:rPr>
                <w:rFonts w:hint="eastAsia" w:ascii="宋体" w:hAnsi="宋体" w:cs="宋体"/>
                <w:sz w:val="21"/>
                <w:szCs w:val="21"/>
              </w:rPr>
              <w:t>（1）交通设施</w:t>
            </w:r>
          </w:p>
          <w:p>
            <w:pPr>
              <w:spacing w:after="156"/>
              <w:ind w:firstLine="560"/>
              <w:rPr>
                <w:rFonts w:ascii="宋体" w:hAnsi="宋体" w:cs="宋体"/>
                <w:sz w:val="21"/>
                <w:szCs w:val="21"/>
              </w:rPr>
            </w:pPr>
            <w:r>
              <w:rPr>
                <w:rFonts w:hint="eastAsia" w:ascii="宋体" w:hAnsi="宋体" w:cs="宋体"/>
                <w:sz w:val="21"/>
                <w:szCs w:val="21"/>
              </w:rPr>
              <w:t>提出综合交通体系发展目标和策略，明确重大交通设施的功能等级、用地规模、走向、位置和衔接要求。确定综合交通体系组织的原则和策略，明确客货运通道布局要求。</w:t>
            </w:r>
          </w:p>
          <w:p>
            <w:pPr>
              <w:spacing w:after="156"/>
              <w:ind w:firstLine="560"/>
              <w:rPr>
                <w:rFonts w:ascii="宋体" w:hAnsi="宋体" w:cs="宋体"/>
                <w:sz w:val="21"/>
                <w:szCs w:val="21"/>
              </w:rPr>
            </w:pPr>
            <w:r>
              <w:rPr>
                <w:rFonts w:hint="eastAsia" w:ascii="宋体" w:hAnsi="宋体" w:cs="宋体"/>
                <w:sz w:val="21"/>
                <w:szCs w:val="21"/>
              </w:rPr>
              <w:t>（2）市政及防灾设施</w:t>
            </w:r>
          </w:p>
          <w:p>
            <w:pPr>
              <w:spacing w:after="156"/>
              <w:ind w:firstLine="560"/>
              <w:rPr>
                <w:rFonts w:ascii="宋体" w:hAnsi="宋体" w:cs="宋体"/>
                <w:sz w:val="21"/>
                <w:szCs w:val="21"/>
              </w:rPr>
            </w:pPr>
            <w:r>
              <w:rPr>
                <w:rFonts w:hint="eastAsia" w:ascii="宋体" w:hAnsi="宋体" w:cs="宋体"/>
                <w:sz w:val="21"/>
                <w:szCs w:val="21"/>
              </w:rPr>
              <w:t>确定规划期内基础设施保障水平，确定能源、供水、排水、通信、燃气、电力、环卫等主要市政基础设施布局及主要设施走廊控制范围与要求。</w:t>
            </w:r>
          </w:p>
          <w:p>
            <w:pPr>
              <w:spacing w:after="156"/>
              <w:ind w:firstLine="560"/>
              <w:rPr>
                <w:rFonts w:ascii="宋体" w:hAnsi="宋体" w:cs="宋体"/>
                <w:sz w:val="21"/>
                <w:szCs w:val="21"/>
              </w:rPr>
            </w:pPr>
            <w:r>
              <w:rPr>
                <w:rFonts w:hint="eastAsia" w:ascii="宋体" w:hAnsi="宋体" w:cs="宋体"/>
                <w:sz w:val="21"/>
                <w:szCs w:val="21"/>
              </w:rPr>
              <w:t>确定综合防灾减灾目标与设防标准，明确主要灾害类型及其防御措施；提出主要防灾避难场所、应急避难和救援通道的布局和管控要求。</w:t>
            </w:r>
          </w:p>
          <w:p>
            <w:pPr>
              <w:spacing w:after="156"/>
              <w:ind w:firstLine="560"/>
              <w:rPr>
                <w:rFonts w:ascii="宋体" w:hAnsi="宋体" w:cs="宋体"/>
                <w:sz w:val="21"/>
                <w:szCs w:val="21"/>
              </w:rPr>
            </w:pPr>
            <w:r>
              <w:rPr>
                <w:rFonts w:hint="eastAsia" w:ascii="宋体" w:hAnsi="宋体" w:cs="宋体"/>
                <w:sz w:val="21"/>
                <w:szCs w:val="21"/>
              </w:rPr>
              <w:t>10、中心城区布局</w:t>
            </w:r>
          </w:p>
          <w:p>
            <w:pPr>
              <w:spacing w:after="156"/>
              <w:ind w:firstLine="560"/>
              <w:rPr>
                <w:rFonts w:ascii="宋体" w:hAnsi="宋体" w:cs="宋体"/>
                <w:sz w:val="21"/>
                <w:szCs w:val="21"/>
              </w:rPr>
            </w:pPr>
            <w:r>
              <w:rPr>
                <w:rFonts w:hint="eastAsia" w:ascii="宋体" w:hAnsi="宋体" w:cs="宋体"/>
                <w:sz w:val="21"/>
                <w:szCs w:val="21"/>
              </w:rPr>
              <w:t>（1）划定范围：中心城区</w:t>
            </w:r>
          </w:p>
          <w:p>
            <w:pPr>
              <w:spacing w:after="156"/>
              <w:ind w:firstLine="560"/>
              <w:rPr>
                <w:rFonts w:ascii="宋体" w:hAnsi="宋体" w:cs="宋体"/>
                <w:sz w:val="21"/>
                <w:szCs w:val="21"/>
              </w:rPr>
            </w:pPr>
            <w:r>
              <w:rPr>
                <w:rFonts w:hint="eastAsia" w:ascii="宋体" w:hAnsi="宋体" w:cs="宋体"/>
                <w:sz w:val="21"/>
                <w:szCs w:val="21"/>
              </w:rPr>
              <w:t>研究中心城区主要建成区和相关控制区域。划定中心城区范围。</w:t>
            </w:r>
          </w:p>
          <w:p>
            <w:pPr>
              <w:spacing w:after="156"/>
              <w:ind w:firstLine="560"/>
              <w:rPr>
                <w:rFonts w:ascii="宋体" w:hAnsi="宋体" w:cs="宋体"/>
                <w:sz w:val="21"/>
                <w:szCs w:val="21"/>
              </w:rPr>
            </w:pPr>
            <w:r>
              <w:rPr>
                <w:rFonts w:hint="eastAsia" w:ascii="宋体" w:hAnsi="宋体" w:cs="宋体"/>
                <w:sz w:val="21"/>
                <w:szCs w:val="21"/>
              </w:rPr>
              <w:t>（2）用地布局</w:t>
            </w:r>
          </w:p>
          <w:p>
            <w:pPr>
              <w:spacing w:after="156"/>
              <w:ind w:firstLine="560"/>
              <w:rPr>
                <w:rFonts w:ascii="宋体" w:hAnsi="宋体" w:cs="宋体"/>
                <w:sz w:val="21"/>
                <w:szCs w:val="21"/>
              </w:rPr>
            </w:pPr>
            <w:r>
              <w:rPr>
                <w:rFonts w:hint="eastAsia" w:ascii="宋体" w:hAnsi="宋体" w:cs="宋体"/>
                <w:sz w:val="21"/>
                <w:szCs w:val="21"/>
              </w:rPr>
              <w:t>明确中心城区及用地发展方向与空间格局，优化城镇用地布局，提出各类用地结构调整和布局优化的重点与方向。用地分类一级分类深度为主，重要蓝绿空间、公共设施可表达至二级用地分类。</w:t>
            </w:r>
          </w:p>
          <w:p>
            <w:pPr>
              <w:spacing w:after="156"/>
              <w:ind w:firstLine="560"/>
              <w:rPr>
                <w:rFonts w:ascii="宋体" w:hAnsi="宋体" w:cs="宋体"/>
                <w:sz w:val="21"/>
                <w:szCs w:val="21"/>
              </w:rPr>
            </w:pPr>
            <w:r>
              <w:rPr>
                <w:rFonts w:hint="eastAsia" w:ascii="宋体" w:hAnsi="宋体" w:cs="宋体"/>
                <w:sz w:val="21"/>
                <w:szCs w:val="21"/>
              </w:rPr>
              <w:t>（3）居住与住房保障</w:t>
            </w:r>
          </w:p>
          <w:p>
            <w:pPr>
              <w:spacing w:after="156"/>
              <w:ind w:firstLine="560"/>
              <w:rPr>
                <w:rFonts w:ascii="宋体" w:hAnsi="宋体" w:cs="宋体"/>
                <w:sz w:val="21"/>
                <w:szCs w:val="21"/>
              </w:rPr>
            </w:pPr>
            <w:r>
              <w:rPr>
                <w:rFonts w:hint="eastAsia" w:ascii="宋体" w:hAnsi="宋体" w:cs="宋体"/>
                <w:sz w:val="21"/>
                <w:szCs w:val="21"/>
              </w:rPr>
              <w:t>合理布局居住用地，明确新增住房总套数、保障性住房、租赁住房套数，确定租赁住房、保障性住房布局、提出为满足新增住房套数需增加的居住用地供应规模。</w:t>
            </w:r>
          </w:p>
          <w:p>
            <w:pPr>
              <w:spacing w:after="156"/>
              <w:ind w:firstLine="560"/>
              <w:rPr>
                <w:rFonts w:ascii="宋体" w:hAnsi="宋体" w:cs="宋体"/>
                <w:sz w:val="21"/>
                <w:szCs w:val="21"/>
              </w:rPr>
            </w:pPr>
            <w:r>
              <w:rPr>
                <w:rFonts w:hint="eastAsia" w:ascii="宋体" w:hAnsi="宋体" w:cs="宋体"/>
                <w:sz w:val="21"/>
                <w:szCs w:val="21"/>
              </w:rPr>
              <w:t>（4）公共服务设施与社区生活圈</w:t>
            </w:r>
          </w:p>
          <w:p>
            <w:pPr>
              <w:spacing w:after="156"/>
              <w:ind w:firstLine="560"/>
              <w:rPr>
                <w:rFonts w:ascii="宋体" w:hAnsi="宋体" w:cs="宋体"/>
                <w:sz w:val="21"/>
                <w:szCs w:val="21"/>
              </w:rPr>
            </w:pPr>
            <w:r>
              <w:rPr>
                <w:rFonts w:hint="eastAsia" w:ascii="宋体" w:hAnsi="宋体" w:cs="宋体"/>
                <w:sz w:val="21"/>
                <w:szCs w:val="21"/>
              </w:rPr>
              <w:t>确定中心城区及范围内各类公共服务设施的数量和空间布局。落实社区生活圈划分标准，划定15分钟社区生活圈，明确各级社区生活圈建设标准。</w:t>
            </w:r>
          </w:p>
          <w:p>
            <w:pPr>
              <w:spacing w:after="156"/>
              <w:ind w:firstLine="560"/>
              <w:rPr>
                <w:rFonts w:ascii="宋体" w:hAnsi="宋体" w:cs="宋体"/>
                <w:sz w:val="21"/>
                <w:szCs w:val="21"/>
              </w:rPr>
            </w:pPr>
            <w:r>
              <w:rPr>
                <w:rFonts w:hint="eastAsia" w:ascii="宋体" w:hAnsi="宋体" w:cs="宋体"/>
                <w:sz w:val="21"/>
                <w:szCs w:val="21"/>
              </w:rPr>
              <w:t>（5）城市公园绿地与开敞空间</w:t>
            </w:r>
          </w:p>
          <w:p>
            <w:pPr>
              <w:spacing w:after="156"/>
              <w:ind w:firstLine="560"/>
              <w:rPr>
                <w:rFonts w:ascii="宋体" w:hAnsi="宋体" w:cs="宋体"/>
                <w:sz w:val="21"/>
                <w:szCs w:val="21"/>
              </w:rPr>
            </w:pPr>
            <w:r>
              <w:rPr>
                <w:rFonts w:hint="eastAsia" w:ascii="宋体" w:hAnsi="宋体" w:cs="宋体"/>
                <w:sz w:val="21"/>
                <w:szCs w:val="21"/>
              </w:rPr>
              <w:t>确定中心城区及范围内公园绿地的数量和空间布局，明确保留、维护自然河道、湿地、新增及保留广场等开敞空间，确定通风廊道的格局和控制要求，建设结构完整、级配合理、功能完善的开敞空间和游憩网络体系。</w:t>
            </w:r>
          </w:p>
          <w:p>
            <w:pPr>
              <w:spacing w:after="156"/>
              <w:ind w:firstLine="560"/>
              <w:rPr>
                <w:rFonts w:ascii="宋体" w:hAnsi="宋体" w:cs="宋体"/>
                <w:sz w:val="21"/>
                <w:szCs w:val="21"/>
              </w:rPr>
            </w:pPr>
            <w:r>
              <w:rPr>
                <w:rFonts w:hint="eastAsia" w:ascii="宋体" w:hAnsi="宋体" w:cs="宋体"/>
                <w:sz w:val="21"/>
                <w:szCs w:val="21"/>
              </w:rPr>
              <w:t>（6）城市基础设施与综合防灾布局</w:t>
            </w:r>
          </w:p>
          <w:p>
            <w:pPr>
              <w:spacing w:after="156"/>
              <w:ind w:firstLine="560"/>
              <w:rPr>
                <w:rFonts w:ascii="宋体" w:hAnsi="宋体" w:cs="宋体"/>
                <w:sz w:val="21"/>
                <w:szCs w:val="21"/>
              </w:rPr>
            </w:pPr>
            <w:r>
              <w:rPr>
                <w:rFonts w:hint="eastAsia" w:ascii="宋体" w:hAnsi="宋体" w:cs="宋体"/>
                <w:sz w:val="21"/>
                <w:szCs w:val="21"/>
              </w:rPr>
              <w:t>道路交通布局。提出路网密度，公交出行比例等交通发展指标，统筹各类重大交通设施和物流系统，提出交通发展策略，确定快速路、主干道的等级、功能、走向，明确公共交通发展目标，提出慢行系统规划原则和指引。</w:t>
            </w:r>
          </w:p>
          <w:p>
            <w:pPr>
              <w:spacing w:after="156"/>
              <w:ind w:firstLine="560"/>
              <w:rPr>
                <w:rFonts w:ascii="宋体" w:hAnsi="宋体" w:cs="宋体"/>
                <w:sz w:val="21"/>
                <w:szCs w:val="21"/>
              </w:rPr>
            </w:pPr>
            <w:r>
              <w:rPr>
                <w:rFonts w:hint="eastAsia" w:ascii="宋体" w:hAnsi="宋体" w:cs="宋体"/>
                <w:sz w:val="21"/>
                <w:szCs w:val="21"/>
              </w:rPr>
              <w:t>市政基础设施布局。明确各类市政基础设施的建设目标，确定建设标准与设施容量、重大设施的用地布局及重要设施廊道走向，对水厂、污水处理厂、发电厂、变电站及城市气源、热源、通信设施等提出管控要求,提出海绵城市、综合管廊、垃圾分类处理的布局建设要求。</w:t>
            </w:r>
          </w:p>
          <w:p>
            <w:pPr>
              <w:spacing w:after="156"/>
              <w:ind w:firstLine="560"/>
              <w:rPr>
                <w:rFonts w:ascii="宋体" w:hAnsi="宋体" w:cs="宋体"/>
                <w:sz w:val="21"/>
                <w:szCs w:val="21"/>
              </w:rPr>
            </w:pPr>
            <w:r>
              <w:rPr>
                <w:rFonts w:hint="eastAsia" w:ascii="宋体" w:hAnsi="宋体" w:cs="宋体"/>
                <w:sz w:val="21"/>
                <w:szCs w:val="21"/>
              </w:rPr>
              <w:t>防灾减灾设施布局。进一步明确防灾设施用地布局和防灾减灾具体措施，划定涉及城市安全的重要设施范围、通道以及危险品和仓储用地的防护范围。</w:t>
            </w:r>
          </w:p>
          <w:p>
            <w:pPr>
              <w:spacing w:after="156"/>
              <w:ind w:firstLine="560"/>
              <w:rPr>
                <w:rFonts w:ascii="宋体" w:hAnsi="宋体" w:cs="宋体"/>
                <w:sz w:val="21"/>
                <w:szCs w:val="21"/>
              </w:rPr>
            </w:pPr>
            <w:r>
              <w:rPr>
                <w:rFonts w:hint="eastAsia" w:ascii="宋体" w:hAnsi="宋体" w:cs="宋体"/>
                <w:sz w:val="21"/>
                <w:szCs w:val="21"/>
              </w:rPr>
              <w:t>11、实施保障</w:t>
            </w:r>
          </w:p>
          <w:p>
            <w:pPr>
              <w:spacing w:after="156"/>
              <w:ind w:firstLine="560"/>
              <w:rPr>
                <w:rFonts w:ascii="宋体" w:hAnsi="宋体" w:cs="宋体"/>
                <w:sz w:val="21"/>
                <w:szCs w:val="21"/>
              </w:rPr>
            </w:pPr>
            <w:r>
              <w:rPr>
                <w:rFonts w:hint="eastAsia" w:ascii="宋体" w:hAnsi="宋体" w:cs="宋体"/>
                <w:sz w:val="21"/>
                <w:szCs w:val="21"/>
              </w:rPr>
              <w:t>（1）明确近期建设重点</w:t>
            </w:r>
          </w:p>
          <w:p>
            <w:pPr>
              <w:spacing w:after="156"/>
              <w:ind w:firstLine="560"/>
              <w:rPr>
                <w:rFonts w:ascii="宋体" w:hAnsi="宋体" w:cs="宋体"/>
                <w:sz w:val="21"/>
                <w:szCs w:val="21"/>
              </w:rPr>
            </w:pPr>
            <w:r>
              <w:rPr>
                <w:rFonts w:hint="eastAsia" w:ascii="宋体" w:hAnsi="宋体" w:cs="宋体"/>
                <w:sz w:val="21"/>
                <w:szCs w:val="21"/>
              </w:rPr>
              <w:t>根据国民经济和社会发展规划、近期专项规划、年度重大项目建设安排和财政支出，对规划近期实施作出统筹安排。提出近期实施目标和重点任务，明确分期约束性指标、管控边界和管控要求;对近期的国土开发、保护、整治项目及用地安排制定近期实施规划，对近期实施项目库做出统筹安排和行动计划。</w:t>
            </w:r>
          </w:p>
          <w:p>
            <w:pPr>
              <w:spacing w:after="156"/>
              <w:ind w:firstLine="560"/>
              <w:rPr>
                <w:rFonts w:ascii="宋体" w:hAnsi="宋体" w:cs="宋体"/>
                <w:sz w:val="21"/>
                <w:szCs w:val="21"/>
              </w:rPr>
            </w:pPr>
            <w:r>
              <w:rPr>
                <w:rFonts w:hint="eastAsia" w:ascii="宋体" w:hAnsi="宋体" w:cs="宋体"/>
                <w:sz w:val="21"/>
                <w:szCs w:val="21"/>
              </w:rPr>
              <w:t>（2）加强实施监测</w:t>
            </w:r>
          </w:p>
          <w:p>
            <w:pPr>
              <w:spacing w:after="156"/>
              <w:ind w:firstLine="560"/>
              <w:rPr>
                <w:rFonts w:ascii="宋体" w:hAnsi="宋体" w:cs="宋体"/>
                <w:sz w:val="21"/>
                <w:szCs w:val="21"/>
              </w:rPr>
            </w:pPr>
            <w:r>
              <w:rPr>
                <w:rFonts w:hint="eastAsia" w:ascii="宋体" w:hAnsi="宋体" w:cs="宋体"/>
                <w:sz w:val="21"/>
                <w:szCs w:val="21"/>
              </w:rPr>
              <w:t>建立国土空间规划实施系列保障措施、建立“一年一体检、五年一评估”的评估机制，构建横向协调、纵向联动的规划实施监测评估系统，建立实施绩效考核制度。</w:t>
            </w:r>
          </w:p>
          <w:p>
            <w:pPr>
              <w:pStyle w:val="5"/>
              <w:tabs>
                <w:tab w:val="left" w:pos="0"/>
              </w:tabs>
              <w:spacing w:line="240" w:lineRule="auto"/>
              <w:ind w:firstLine="0" w:firstLineChars="0"/>
              <w:rPr>
                <w:rFonts w:ascii="宋体" w:hAnsi="宋体" w:cs="宋体"/>
                <w:sz w:val="21"/>
                <w:szCs w:val="21"/>
              </w:rPr>
            </w:pPr>
            <w:r>
              <w:rPr>
                <w:rFonts w:hint="eastAsia" w:ascii="宋体" w:hAnsi="宋体" w:cs="宋体"/>
                <w:sz w:val="21"/>
                <w:szCs w:val="21"/>
              </w:rPr>
              <w:t>（二）专题研究内容</w:t>
            </w:r>
          </w:p>
          <w:p>
            <w:pPr>
              <w:spacing w:after="156"/>
              <w:ind w:firstLine="562"/>
              <w:rPr>
                <w:rFonts w:ascii="宋体" w:hAnsi="宋体" w:cs="宋体"/>
                <w:sz w:val="21"/>
                <w:szCs w:val="21"/>
              </w:rPr>
            </w:pPr>
            <w:r>
              <w:rPr>
                <w:rFonts w:hint="eastAsia" w:ascii="宋体" w:hAnsi="宋体" w:cs="宋体"/>
                <w:b/>
                <w:bCs/>
                <w:sz w:val="21"/>
                <w:szCs w:val="21"/>
              </w:rPr>
              <w:t>专题一：城市发展战略及产业体系专题研究</w:t>
            </w:r>
          </w:p>
          <w:p>
            <w:pPr>
              <w:spacing w:after="156"/>
              <w:ind w:firstLine="560"/>
              <w:rPr>
                <w:rFonts w:ascii="宋体" w:hAnsi="宋体" w:cs="宋体"/>
                <w:sz w:val="21"/>
                <w:szCs w:val="21"/>
              </w:rPr>
            </w:pPr>
            <w:r>
              <w:rPr>
                <w:rFonts w:hint="eastAsia" w:ascii="宋体" w:hAnsi="宋体" w:cs="宋体"/>
                <w:sz w:val="21"/>
                <w:szCs w:val="21"/>
              </w:rPr>
              <w:t>2020年平果正式撤县设市，加快产业转型升级，明确城市空间拓展方向，提高城市精细化管理水平，成为城市发展的核心任务。在国家西部大开发、轨道交通建设等外部背景下，重新审视平果城市发展区位，落实国家、自治区发展要求，提出未来15年城市发展战略和对应策略。</w:t>
            </w:r>
          </w:p>
          <w:p>
            <w:pPr>
              <w:spacing w:after="156"/>
              <w:ind w:firstLine="560"/>
              <w:rPr>
                <w:rFonts w:ascii="宋体" w:hAnsi="宋体" w:cs="宋体"/>
                <w:sz w:val="21"/>
                <w:szCs w:val="21"/>
              </w:rPr>
            </w:pPr>
            <w:r>
              <w:rPr>
                <w:rFonts w:hint="eastAsia" w:ascii="宋体" w:hAnsi="宋体" w:cs="宋体"/>
                <w:sz w:val="21"/>
                <w:szCs w:val="21"/>
              </w:rPr>
              <w:t>分析全市农业产业和工业产业发展现状、空间分布、存在问题，研判市内外产业发展形势，提出新时代平果市构建现代产业体系、推动经济高质量发展的总体方向和发展战略。结合资源禀赋、交通区位、产业基础和国家产业导向等，对产业发展配套支撑政策体系进行研究，在此基础上提出产业空间布局优化策略和总体方案，包括全市重要农业生产区、工业产业等生产力布局及空间保障措施。同时，分类提出支柱产业、战略性新兴产业、创新经济重点发展区域的配套空间引导政策，研究提出各类重大产业平台的发展重点和发展路径建议。</w:t>
            </w:r>
          </w:p>
          <w:p>
            <w:pPr>
              <w:spacing w:after="156"/>
              <w:ind w:firstLine="562"/>
              <w:rPr>
                <w:rFonts w:ascii="宋体" w:hAnsi="宋体" w:cs="宋体"/>
                <w:sz w:val="21"/>
                <w:szCs w:val="21"/>
              </w:rPr>
            </w:pPr>
            <w:r>
              <w:rPr>
                <w:rFonts w:hint="eastAsia" w:ascii="宋体" w:hAnsi="宋体" w:cs="宋体"/>
                <w:b/>
                <w:bCs/>
                <w:sz w:val="21"/>
                <w:szCs w:val="21"/>
              </w:rPr>
              <w:t>专题二：综合交通与市政设施支撑体系专题研究</w:t>
            </w:r>
          </w:p>
          <w:p>
            <w:pPr>
              <w:spacing w:after="156"/>
              <w:ind w:firstLine="560"/>
              <w:rPr>
                <w:rFonts w:ascii="宋体" w:hAnsi="宋体" w:cs="宋体"/>
                <w:sz w:val="21"/>
                <w:szCs w:val="21"/>
              </w:rPr>
            </w:pPr>
            <w:r>
              <w:rPr>
                <w:rFonts w:hint="eastAsia" w:ascii="宋体" w:hAnsi="宋体" w:cs="宋体"/>
                <w:sz w:val="21"/>
                <w:szCs w:val="21"/>
              </w:rPr>
              <w:t>结合新时代人流、物流发展特征及需求，提出全市综合交通发展目标和战略，研究配置公路、铁路、管道、综合交通枢纽等各类基础设施布局，明确全市综合交通网络和枢纽体系布局。研究市级能源、信息、给水、排水、环保环卫、殡葬等市政基础设施发展目标与规划规模，提出市级重大市政基础设施布局要求。</w:t>
            </w:r>
          </w:p>
          <w:p>
            <w:pPr>
              <w:spacing w:after="156"/>
              <w:rPr>
                <w:rFonts w:ascii="宋体" w:hAnsi="宋体" w:cs="宋体"/>
                <w:b/>
                <w:bCs/>
                <w:sz w:val="21"/>
                <w:szCs w:val="21"/>
              </w:rPr>
            </w:pPr>
            <w:r>
              <w:rPr>
                <w:rFonts w:hint="eastAsia" w:ascii="宋体" w:hAnsi="宋体" w:cs="宋体"/>
                <w:sz w:val="21"/>
                <w:szCs w:val="21"/>
              </w:rPr>
              <w:t>★</w:t>
            </w:r>
            <w:r>
              <w:rPr>
                <w:rFonts w:hint="eastAsia" w:ascii="宋体" w:hAnsi="宋体" w:cs="宋体"/>
                <w:b/>
                <w:bCs/>
                <w:sz w:val="21"/>
                <w:szCs w:val="21"/>
              </w:rPr>
              <w:t>四、成果要求</w:t>
            </w:r>
          </w:p>
          <w:p>
            <w:pPr>
              <w:spacing w:after="156"/>
              <w:ind w:firstLine="560"/>
              <w:rPr>
                <w:rFonts w:ascii="宋体" w:hAnsi="宋体" w:cs="宋体"/>
                <w:sz w:val="21"/>
                <w:szCs w:val="21"/>
              </w:rPr>
            </w:pPr>
            <w:r>
              <w:rPr>
                <w:rFonts w:hint="eastAsia" w:ascii="宋体" w:hAnsi="宋体" w:cs="宋体"/>
                <w:sz w:val="21"/>
                <w:szCs w:val="21"/>
              </w:rPr>
              <w:t>(一）成果构成</w:t>
            </w:r>
          </w:p>
          <w:p>
            <w:pPr>
              <w:spacing w:after="156"/>
              <w:ind w:firstLine="560"/>
              <w:rPr>
                <w:rFonts w:ascii="宋体" w:hAnsi="宋体" w:cs="宋体"/>
                <w:sz w:val="21"/>
                <w:szCs w:val="21"/>
              </w:rPr>
            </w:pPr>
            <w:r>
              <w:rPr>
                <w:rFonts w:hint="eastAsia" w:ascii="宋体" w:hAnsi="宋体" w:cs="宋体"/>
                <w:sz w:val="21"/>
                <w:szCs w:val="21"/>
              </w:rPr>
              <w:t>规划成果包括规划文本、规划图件、规划附件和数据库成果。其中规划附件包括规划说明、专题研究报告和其他材料。</w:t>
            </w:r>
          </w:p>
          <w:p>
            <w:pPr>
              <w:spacing w:after="156"/>
              <w:ind w:firstLine="560"/>
              <w:rPr>
                <w:rFonts w:ascii="宋体" w:hAnsi="宋体" w:cs="宋体"/>
                <w:sz w:val="21"/>
                <w:szCs w:val="21"/>
              </w:rPr>
            </w:pPr>
            <w:r>
              <w:rPr>
                <w:rFonts w:hint="eastAsia" w:ascii="宋体" w:hAnsi="宋体" w:cs="宋体"/>
                <w:sz w:val="21"/>
                <w:szCs w:val="21"/>
              </w:rPr>
              <w:t>(二）成果内容</w:t>
            </w:r>
          </w:p>
          <w:p>
            <w:pPr>
              <w:spacing w:after="156"/>
              <w:ind w:firstLine="560"/>
              <w:rPr>
                <w:rFonts w:ascii="宋体" w:hAnsi="宋体" w:cs="宋体"/>
                <w:sz w:val="21"/>
                <w:szCs w:val="21"/>
              </w:rPr>
            </w:pPr>
            <w:r>
              <w:rPr>
                <w:rFonts w:hint="eastAsia" w:ascii="宋体" w:hAnsi="宋体" w:cs="宋体"/>
                <w:sz w:val="21"/>
                <w:szCs w:val="21"/>
              </w:rPr>
              <w:t>1、规划文本</w:t>
            </w:r>
          </w:p>
          <w:p>
            <w:pPr>
              <w:spacing w:after="156"/>
              <w:ind w:firstLine="560"/>
              <w:rPr>
                <w:rFonts w:ascii="宋体" w:hAnsi="宋体" w:cs="宋体"/>
                <w:sz w:val="21"/>
                <w:szCs w:val="21"/>
              </w:rPr>
            </w:pPr>
            <w:r>
              <w:rPr>
                <w:rFonts w:hint="eastAsia" w:ascii="宋体" w:hAnsi="宋体" w:cs="宋体"/>
                <w:sz w:val="21"/>
                <w:szCs w:val="21"/>
              </w:rPr>
              <w:t>规划文本应当以条款格式表述规划结论，包括规划条文必要的表格。表述准确规范，简明扼要。</w:t>
            </w:r>
          </w:p>
          <w:p>
            <w:pPr>
              <w:spacing w:after="156"/>
              <w:ind w:firstLine="560"/>
              <w:rPr>
                <w:rFonts w:ascii="宋体" w:hAnsi="宋体" w:cs="宋体"/>
                <w:sz w:val="21"/>
                <w:szCs w:val="21"/>
              </w:rPr>
            </w:pPr>
            <w:r>
              <w:rPr>
                <w:rFonts w:hint="eastAsia" w:ascii="宋体" w:hAnsi="宋体" w:cs="宋体"/>
                <w:sz w:val="21"/>
                <w:szCs w:val="21"/>
              </w:rPr>
              <w:t>2、规划图件</w:t>
            </w:r>
          </w:p>
          <w:p>
            <w:pPr>
              <w:spacing w:after="156"/>
              <w:ind w:firstLine="560"/>
              <w:rPr>
                <w:rFonts w:ascii="宋体" w:hAnsi="宋体" w:cs="宋体"/>
                <w:sz w:val="21"/>
                <w:szCs w:val="21"/>
              </w:rPr>
            </w:pPr>
            <w:r>
              <w:rPr>
                <w:rFonts w:hint="eastAsia" w:ascii="宋体" w:hAnsi="宋体" w:cs="宋体"/>
                <w:sz w:val="21"/>
                <w:szCs w:val="21"/>
              </w:rPr>
              <w:t>规划图件包含市域、中心城区两部分,具体如下:</w:t>
            </w:r>
          </w:p>
          <w:p>
            <w:pPr>
              <w:spacing w:after="156"/>
              <w:ind w:firstLine="560"/>
              <w:rPr>
                <w:rFonts w:ascii="宋体" w:hAnsi="宋体" w:cs="宋体"/>
                <w:sz w:val="21"/>
                <w:szCs w:val="21"/>
              </w:rPr>
            </w:pPr>
            <w:r>
              <w:rPr>
                <w:rFonts w:hint="eastAsia" w:ascii="宋体" w:hAnsi="宋体" w:cs="宋体"/>
                <w:sz w:val="21"/>
                <w:szCs w:val="21"/>
              </w:rPr>
              <w:t>（1）市域层面应包含以下必备图纸:</w:t>
            </w:r>
          </w:p>
          <w:p>
            <w:pPr>
              <w:spacing w:after="156"/>
              <w:ind w:firstLine="560"/>
              <w:rPr>
                <w:rFonts w:ascii="宋体" w:hAnsi="宋体" w:cs="宋体"/>
                <w:sz w:val="21"/>
                <w:szCs w:val="21"/>
              </w:rPr>
            </w:pPr>
            <w:r>
              <w:rPr>
                <w:rFonts w:hint="eastAsia" w:ascii="宋体" w:hAnsi="宋体" w:cs="宋体"/>
                <w:sz w:val="21"/>
                <w:szCs w:val="21"/>
              </w:rPr>
              <w:t>国土空间土地利用现状图、生态资源分布现状图、综合交通体系现状图、区域协同规划图、国土空间开发适宜性评价图、国土空间总体格局图、国土空间“三条控制线”划定图、国土空间规划分区图、城镇村体系规划图、国土整治与生态保护修复布局规划图、历史文化保护规划图、综合交通体系规划图、公共服务设施体系规划图、市政基础设施布局规划图、综合防灾减灾规划图。</w:t>
            </w:r>
          </w:p>
          <w:p>
            <w:pPr>
              <w:spacing w:after="156"/>
              <w:ind w:firstLine="560"/>
              <w:rPr>
                <w:rFonts w:ascii="宋体" w:hAnsi="宋体" w:cs="宋体"/>
                <w:sz w:val="21"/>
                <w:szCs w:val="21"/>
              </w:rPr>
            </w:pPr>
            <w:r>
              <w:rPr>
                <w:rFonts w:hint="eastAsia" w:ascii="宋体" w:hAnsi="宋体" w:cs="宋体"/>
                <w:sz w:val="21"/>
                <w:szCs w:val="21"/>
              </w:rPr>
              <w:t>（2）中心城区应包含以下必备图纸:</w:t>
            </w:r>
          </w:p>
          <w:p>
            <w:pPr>
              <w:spacing w:after="156"/>
              <w:ind w:firstLine="560"/>
              <w:rPr>
                <w:rFonts w:ascii="宋体" w:hAnsi="宋体" w:cs="宋体"/>
                <w:sz w:val="21"/>
                <w:szCs w:val="21"/>
              </w:rPr>
            </w:pPr>
            <w:r>
              <w:rPr>
                <w:rFonts w:hint="eastAsia" w:ascii="宋体" w:hAnsi="宋体" w:cs="宋体"/>
                <w:sz w:val="21"/>
                <w:szCs w:val="21"/>
              </w:rPr>
              <w:t>中心城区用地现状图、中心城区规划用地布局图、中心城区 “三条控制线”控制图、城市公园绿地与开敞空间规划图、住房与公共服务设施规划图、社区生活圈规划图、综合交通体系规划图、市政基础设施布局规划图、综合防灾减灾规划图、开发强度分区规划图、通风廊道规划控制图。</w:t>
            </w:r>
          </w:p>
          <w:p>
            <w:pPr>
              <w:spacing w:after="156"/>
              <w:ind w:firstLine="560"/>
              <w:rPr>
                <w:rFonts w:ascii="宋体" w:hAnsi="宋体" w:cs="宋体"/>
                <w:sz w:val="21"/>
                <w:szCs w:val="21"/>
              </w:rPr>
            </w:pPr>
            <w:r>
              <w:rPr>
                <w:rFonts w:hint="eastAsia" w:ascii="宋体" w:hAnsi="宋体" w:cs="宋体"/>
                <w:sz w:val="21"/>
                <w:szCs w:val="21"/>
              </w:rPr>
              <w:t>除了以上图纸以外,可根据实际需要适当增加其他图纸。</w:t>
            </w:r>
          </w:p>
          <w:p>
            <w:pPr>
              <w:spacing w:after="156"/>
              <w:ind w:firstLine="560"/>
              <w:rPr>
                <w:rFonts w:ascii="宋体" w:hAnsi="宋体" w:cs="宋体"/>
                <w:sz w:val="21"/>
                <w:szCs w:val="21"/>
              </w:rPr>
            </w:pPr>
            <w:r>
              <w:rPr>
                <w:rFonts w:hint="eastAsia" w:ascii="宋体" w:hAnsi="宋体" w:cs="宋体"/>
                <w:sz w:val="21"/>
                <w:szCs w:val="21"/>
              </w:rPr>
              <w:t>3、规划说明</w:t>
            </w:r>
          </w:p>
          <w:p>
            <w:pPr>
              <w:spacing w:after="156"/>
              <w:ind w:firstLine="560"/>
              <w:rPr>
                <w:rFonts w:ascii="宋体" w:hAnsi="宋体" w:cs="宋体"/>
                <w:sz w:val="21"/>
                <w:szCs w:val="21"/>
              </w:rPr>
            </w:pPr>
            <w:r>
              <w:rPr>
                <w:rFonts w:hint="eastAsia" w:ascii="宋体" w:hAnsi="宋体" w:cs="宋体"/>
                <w:sz w:val="21"/>
                <w:szCs w:val="21"/>
              </w:rPr>
              <w:t>应阐述规划决策的编制基础,技术分析和编制内容，作为规划实施中配合规划文本和图件使用的重要参考。</w:t>
            </w:r>
          </w:p>
          <w:p>
            <w:pPr>
              <w:spacing w:after="156"/>
              <w:ind w:firstLine="560"/>
              <w:rPr>
                <w:rFonts w:ascii="宋体" w:hAnsi="宋体" w:cs="宋体"/>
                <w:sz w:val="21"/>
                <w:szCs w:val="21"/>
              </w:rPr>
            </w:pPr>
            <w:r>
              <w:rPr>
                <w:rFonts w:hint="eastAsia" w:ascii="宋体" w:hAnsi="宋体" w:cs="宋体"/>
                <w:sz w:val="21"/>
                <w:szCs w:val="21"/>
              </w:rPr>
              <w:t>4、专题研究报告</w:t>
            </w:r>
          </w:p>
          <w:p>
            <w:pPr>
              <w:spacing w:after="156"/>
              <w:ind w:firstLine="560"/>
              <w:rPr>
                <w:rFonts w:ascii="宋体" w:hAnsi="宋体" w:cs="宋体"/>
                <w:sz w:val="21"/>
                <w:szCs w:val="21"/>
              </w:rPr>
            </w:pPr>
            <w:r>
              <w:rPr>
                <w:rFonts w:hint="eastAsia" w:ascii="宋体" w:hAnsi="宋体" w:cs="宋体"/>
                <w:sz w:val="21"/>
                <w:szCs w:val="21"/>
              </w:rPr>
              <w:t>专题研究报告成果主要包括以下内容:</w:t>
            </w:r>
          </w:p>
          <w:p>
            <w:pPr>
              <w:spacing w:after="156"/>
              <w:ind w:firstLine="560"/>
              <w:rPr>
                <w:rFonts w:ascii="宋体" w:hAnsi="宋体" w:cs="宋体"/>
                <w:sz w:val="21"/>
                <w:szCs w:val="21"/>
              </w:rPr>
            </w:pPr>
            <w:r>
              <w:rPr>
                <w:rFonts w:hint="eastAsia" w:ascii="宋体" w:hAnsi="宋体" w:cs="宋体"/>
                <w:sz w:val="21"/>
                <w:szCs w:val="21"/>
              </w:rPr>
              <w:t>专题一: 城市发展战略及产业体系专题研究</w:t>
            </w:r>
          </w:p>
          <w:p>
            <w:pPr>
              <w:spacing w:after="156"/>
              <w:ind w:firstLine="560"/>
              <w:rPr>
                <w:rFonts w:ascii="宋体" w:hAnsi="宋体" w:cs="宋体"/>
                <w:sz w:val="21"/>
                <w:szCs w:val="21"/>
              </w:rPr>
            </w:pPr>
            <w:r>
              <w:rPr>
                <w:rFonts w:hint="eastAsia" w:ascii="宋体" w:hAnsi="宋体" w:cs="宋体"/>
                <w:sz w:val="21"/>
                <w:szCs w:val="21"/>
              </w:rPr>
              <w:t>专题二: 综合交通与市政设施支撑体系专题研究</w:t>
            </w:r>
          </w:p>
          <w:p>
            <w:pPr>
              <w:ind w:firstLine="420" w:firstLineChars="200"/>
              <w:jc w:val="left"/>
              <w:rPr>
                <w:rFonts w:ascii="宋体" w:hAnsi="宋体" w:cs="宋体"/>
                <w:sz w:val="21"/>
                <w:szCs w:val="21"/>
              </w:rPr>
            </w:pPr>
            <w:r>
              <w:rPr>
                <w:rFonts w:hint="eastAsia" w:ascii="宋体" w:hAnsi="宋体" w:cs="宋体"/>
                <w:sz w:val="21"/>
                <w:szCs w:val="21"/>
              </w:rPr>
              <w:t>在规划编制过程中，采购人可结合实际需要替换部分专题研究内容。实际成果要求以国家和自治区相关规程为准。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9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sz w:val="21"/>
                <w:szCs w:val="21"/>
              </w:rPr>
            </w:pPr>
            <w:r>
              <w:rPr>
                <w:rFonts w:hint="eastAsia" w:ascii="宋体" w:hAnsi="宋体" w:cs="宋体"/>
                <w:b/>
                <w:bCs/>
                <w:sz w:val="21"/>
                <w:szCs w:val="21"/>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8900" w:type="dxa"/>
            <w:gridSpan w:val="4"/>
            <w:tcBorders>
              <w:top w:val="single" w:color="auto" w:sz="4" w:space="0"/>
              <w:left w:val="single" w:color="auto" w:sz="4" w:space="0"/>
              <w:bottom w:val="single" w:color="auto" w:sz="4" w:space="0"/>
              <w:right w:val="single" w:color="auto" w:sz="4" w:space="0"/>
            </w:tcBorders>
            <w:vAlign w:val="center"/>
          </w:tcPr>
          <w:p>
            <w:pPr>
              <w:spacing w:after="156"/>
              <w:rPr>
                <w:sz w:val="21"/>
                <w:szCs w:val="21"/>
              </w:rPr>
            </w:pPr>
            <w:r>
              <w:rPr>
                <w:rFonts w:hint="eastAsia" w:ascii="宋体" w:hAnsi="宋体" w:cs="宋体"/>
                <w:sz w:val="21"/>
                <w:szCs w:val="21"/>
              </w:rPr>
              <w:t>★</w:t>
            </w:r>
            <w:r>
              <w:rPr>
                <w:rFonts w:hint="eastAsia"/>
                <w:sz w:val="21"/>
                <w:szCs w:val="21"/>
              </w:rPr>
              <w:t>1、投标报价要求:本项目的投标报价最高限价为人民币</w:t>
            </w:r>
            <w:r>
              <w:rPr>
                <w:sz w:val="21"/>
                <w:szCs w:val="21"/>
                <w:highlight w:val="none"/>
              </w:rPr>
              <w:t>700</w:t>
            </w:r>
            <w:r>
              <w:rPr>
                <w:rFonts w:hint="eastAsia"/>
                <w:sz w:val="21"/>
                <w:szCs w:val="21"/>
                <w:highlight w:val="none"/>
              </w:rPr>
              <w:t>万元</w:t>
            </w:r>
            <w:r>
              <w:rPr>
                <w:rFonts w:hint="eastAsia"/>
                <w:sz w:val="21"/>
                <w:szCs w:val="21"/>
              </w:rPr>
              <w:t>，投标报价已包含完成本项目所需的人工费、材料费、前期调研费、交通费、资料收集、成果制作、项目期间全部的文档和图档的打印、装订及寄送费用、成果验收租用场地费、专家评审费和审查中产生的任何费用及相关部门验收及各项税费及合同实施中不可预见费用等完成本次招标内容所需的一切费用，同时因自治区、市等上级政策变化而引起的调整、修改工作由中标人按要求完成，不另行收费。采购人将不予支付除招标文件及承包合同约定的由采购人承担的风险因素之外的任何补偿。</w:t>
            </w:r>
          </w:p>
          <w:p>
            <w:pPr>
              <w:spacing w:after="156"/>
              <w:rPr>
                <w:sz w:val="21"/>
                <w:szCs w:val="21"/>
              </w:rPr>
            </w:pPr>
            <w:r>
              <w:rPr>
                <w:rFonts w:hint="eastAsia" w:ascii="宋体" w:hAnsi="宋体" w:cs="宋体"/>
                <w:sz w:val="21"/>
                <w:szCs w:val="21"/>
              </w:rPr>
              <w:t>★</w:t>
            </w:r>
            <w:r>
              <w:rPr>
                <w:rFonts w:hint="eastAsia"/>
                <w:sz w:val="21"/>
                <w:szCs w:val="21"/>
              </w:rPr>
              <w:t>2、服务期：原则上在202</w:t>
            </w:r>
            <w:r>
              <w:rPr>
                <w:sz w:val="21"/>
                <w:szCs w:val="21"/>
              </w:rPr>
              <w:t>1</w:t>
            </w:r>
            <w:r>
              <w:rPr>
                <w:rFonts w:hint="eastAsia"/>
                <w:sz w:val="21"/>
                <w:szCs w:val="21"/>
              </w:rPr>
              <w:t>年</w:t>
            </w:r>
            <w:r>
              <w:rPr>
                <w:sz w:val="21"/>
                <w:szCs w:val="21"/>
              </w:rPr>
              <w:t>12</w:t>
            </w:r>
            <w:r>
              <w:rPr>
                <w:rFonts w:hint="eastAsia"/>
                <w:sz w:val="21"/>
                <w:szCs w:val="21"/>
              </w:rPr>
              <w:t>月底前完成编制报批工作，若自治区、市对编制完成时间有最新要求，从其规定。各阶段工作成果提交时间按照合同约定执行，直至送审成果通过自治区政府审批。实际时间以</w:t>
            </w:r>
            <w:r>
              <w:rPr>
                <w:rFonts w:hint="eastAsia" w:ascii="宋体" w:hAnsi="宋体" w:cs="宋体"/>
                <w:sz w:val="21"/>
                <w:szCs w:val="21"/>
              </w:rPr>
              <w:t>国家和自治区最新要求为准。</w:t>
            </w:r>
          </w:p>
          <w:p>
            <w:pPr>
              <w:spacing w:after="156"/>
              <w:rPr>
                <w:sz w:val="21"/>
                <w:szCs w:val="21"/>
              </w:rPr>
            </w:pPr>
            <w:r>
              <w:rPr>
                <w:rFonts w:hint="eastAsia" w:ascii="宋体" w:hAnsi="宋体" w:cs="宋体"/>
                <w:sz w:val="21"/>
                <w:szCs w:val="21"/>
              </w:rPr>
              <w:t>★</w:t>
            </w:r>
            <w:r>
              <w:rPr>
                <w:sz w:val="21"/>
                <w:szCs w:val="21"/>
              </w:rPr>
              <w:t>3</w:t>
            </w:r>
            <w:r>
              <w:rPr>
                <w:rFonts w:hint="eastAsia"/>
                <w:sz w:val="21"/>
                <w:szCs w:val="21"/>
              </w:rPr>
              <w:t>、成果要求：规划成果应包括纸质文件和电子文件两种形式。</w:t>
            </w:r>
          </w:p>
          <w:p>
            <w:pPr>
              <w:spacing w:after="156"/>
              <w:ind w:firstLine="560"/>
              <w:rPr>
                <w:sz w:val="21"/>
                <w:szCs w:val="21"/>
              </w:rPr>
            </w:pPr>
            <w:r>
              <w:rPr>
                <w:rFonts w:hint="eastAsia"/>
                <w:sz w:val="21"/>
                <w:szCs w:val="21"/>
              </w:rPr>
              <w:t>（1）纸质文件</w:t>
            </w:r>
          </w:p>
          <w:p>
            <w:pPr>
              <w:spacing w:after="156"/>
              <w:ind w:firstLine="560"/>
              <w:rPr>
                <w:sz w:val="21"/>
                <w:szCs w:val="21"/>
              </w:rPr>
            </w:pPr>
            <w:r>
              <w:rPr>
                <w:rFonts w:hint="eastAsia"/>
                <w:sz w:val="21"/>
                <w:szCs w:val="21"/>
              </w:rPr>
              <w:t>包括规划文本、图纸和附件等内容。</w:t>
            </w:r>
          </w:p>
          <w:p>
            <w:pPr>
              <w:spacing w:after="156"/>
              <w:ind w:firstLine="560"/>
              <w:rPr>
                <w:sz w:val="21"/>
                <w:szCs w:val="21"/>
              </w:rPr>
            </w:pPr>
            <w:r>
              <w:rPr>
                <w:rFonts w:hint="eastAsia"/>
                <w:sz w:val="21"/>
                <w:szCs w:val="21"/>
              </w:rPr>
              <w:t>（2）电子文件</w:t>
            </w:r>
          </w:p>
          <w:p>
            <w:pPr>
              <w:spacing w:after="156"/>
              <w:ind w:firstLine="560"/>
              <w:rPr>
                <w:sz w:val="21"/>
                <w:szCs w:val="21"/>
              </w:rPr>
            </w:pPr>
            <w:r>
              <w:rPr>
                <w:rFonts w:hint="eastAsia"/>
                <w:sz w:val="21"/>
                <w:szCs w:val="21"/>
              </w:rPr>
              <w:t>电子文件成果文字采用doc和pdf格式，图纸采用dwg或jpg格式，数据库成果采用相应标准的数据库格式，并符合主管部门有关规划成果电子报批和管理的格式要求。</w:t>
            </w:r>
          </w:p>
          <w:p>
            <w:pPr>
              <w:spacing w:after="156"/>
              <w:ind w:firstLine="560"/>
              <w:rPr>
                <w:sz w:val="21"/>
                <w:szCs w:val="21"/>
              </w:rPr>
            </w:pPr>
            <w:r>
              <w:rPr>
                <w:rFonts w:hint="eastAsia"/>
                <w:sz w:val="21"/>
                <w:szCs w:val="21"/>
              </w:rPr>
              <w:t>（3）成果数量。</w:t>
            </w:r>
          </w:p>
          <w:p>
            <w:pPr>
              <w:spacing w:after="156"/>
              <w:ind w:firstLine="560"/>
              <w:rPr>
                <w:sz w:val="21"/>
                <w:szCs w:val="21"/>
              </w:rPr>
            </w:pPr>
            <w:r>
              <w:rPr>
                <w:rFonts w:hint="eastAsia"/>
                <w:sz w:val="21"/>
                <w:szCs w:val="21"/>
              </w:rPr>
              <w:t>在各阶段应提供相应电子文件，并提供装订成册的纸质文件，提供成果数量应满足采购人需求。</w:t>
            </w:r>
          </w:p>
          <w:p>
            <w:pPr>
              <w:spacing w:after="156"/>
              <w:ind w:firstLine="560"/>
              <w:rPr>
                <w:sz w:val="21"/>
                <w:szCs w:val="21"/>
              </w:rPr>
            </w:pPr>
            <w:r>
              <w:rPr>
                <w:rFonts w:hint="eastAsia"/>
                <w:sz w:val="21"/>
                <w:szCs w:val="21"/>
              </w:rPr>
              <w:t>（4）成果使用权</w:t>
            </w:r>
          </w:p>
          <w:p>
            <w:pPr>
              <w:spacing w:after="156"/>
              <w:ind w:firstLine="560"/>
              <w:rPr>
                <w:sz w:val="21"/>
                <w:szCs w:val="21"/>
              </w:rPr>
            </w:pPr>
            <w:r>
              <w:rPr>
                <w:rFonts w:hint="eastAsia"/>
                <w:sz w:val="21"/>
                <w:szCs w:val="21"/>
              </w:rPr>
              <w:t>采购人拥有唯一使用权。</w:t>
            </w:r>
          </w:p>
          <w:p>
            <w:pPr>
              <w:spacing w:after="156"/>
              <w:rPr>
                <w:sz w:val="21"/>
                <w:szCs w:val="21"/>
              </w:rPr>
            </w:pPr>
            <w:r>
              <w:rPr>
                <w:rFonts w:hint="eastAsia" w:ascii="宋体" w:hAnsi="宋体" w:cs="宋体"/>
                <w:sz w:val="21"/>
                <w:szCs w:val="21"/>
              </w:rPr>
              <w:t>★</w:t>
            </w:r>
            <w:r>
              <w:rPr>
                <w:rFonts w:hint="eastAsia"/>
                <w:sz w:val="21"/>
                <w:szCs w:val="21"/>
              </w:rPr>
              <w:t>4、付款方式:</w:t>
            </w:r>
          </w:p>
          <w:p>
            <w:pPr>
              <w:spacing w:after="156"/>
              <w:ind w:firstLine="560"/>
              <w:rPr>
                <w:sz w:val="21"/>
                <w:szCs w:val="21"/>
                <w:highlight w:val="none"/>
              </w:rPr>
            </w:pPr>
            <w:r>
              <w:rPr>
                <w:rFonts w:hint="eastAsia"/>
                <w:sz w:val="21"/>
                <w:szCs w:val="21"/>
              </w:rPr>
              <w:t>（1）合同签订后</w:t>
            </w:r>
            <w:r>
              <w:rPr>
                <w:rFonts w:hint="eastAsia"/>
                <w:sz w:val="21"/>
                <w:szCs w:val="21"/>
                <w:highlight w:val="none"/>
              </w:rPr>
              <w:t>10个工作日内，支付合同总价款的</w:t>
            </w:r>
            <w:r>
              <w:rPr>
                <w:rFonts w:hint="eastAsia"/>
                <w:sz w:val="21"/>
                <w:szCs w:val="21"/>
                <w:highlight w:val="none"/>
                <w:lang w:val="en-US" w:eastAsia="zh-CN"/>
              </w:rPr>
              <w:t>1</w:t>
            </w:r>
            <w:r>
              <w:rPr>
                <w:rFonts w:hint="eastAsia"/>
                <w:sz w:val="21"/>
                <w:szCs w:val="21"/>
                <w:highlight w:val="none"/>
              </w:rPr>
              <w:t>0%;</w:t>
            </w:r>
          </w:p>
          <w:p>
            <w:pPr>
              <w:spacing w:after="156"/>
              <w:ind w:firstLine="560"/>
              <w:rPr>
                <w:sz w:val="21"/>
                <w:szCs w:val="21"/>
                <w:highlight w:val="none"/>
              </w:rPr>
            </w:pPr>
            <w:r>
              <w:rPr>
                <w:rFonts w:hint="eastAsia"/>
                <w:sz w:val="21"/>
                <w:szCs w:val="21"/>
                <w:highlight w:val="none"/>
              </w:rPr>
              <w:t>（2）中标人提交规划初步成果后10个工作日内支付合同总价款的</w:t>
            </w:r>
            <w:r>
              <w:rPr>
                <w:sz w:val="21"/>
                <w:szCs w:val="21"/>
                <w:highlight w:val="none"/>
              </w:rPr>
              <w:t>3</w:t>
            </w:r>
            <w:r>
              <w:rPr>
                <w:rFonts w:hint="eastAsia"/>
                <w:sz w:val="21"/>
                <w:szCs w:val="21"/>
                <w:highlight w:val="none"/>
              </w:rPr>
              <w:t>0%;</w:t>
            </w:r>
          </w:p>
          <w:p>
            <w:pPr>
              <w:spacing w:after="156"/>
              <w:ind w:firstLine="560"/>
              <w:rPr>
                <w:sz w:val="21"/>
                <w:szCs w:val="21"/>
                <w:highlight w:val="none"/>
              </w:rPr>
            </w:pPr>
            <w:r>
              <w:rPr>
                <w:rFonts w:hint="eastAsia"/>
                <w:sz w:val="21"/>
                <w:szCs w:val="21"/>
                <w:highlight w:val="none"/>
              </w:rPr>
              <w:t>（3）中标人提交的规划成果通过专家评审后10个工作日内，支付合同总价款的</w:t>
            </w:r>
            <w:r>
              <w:rPr>
                <w:rFonts w:hint="eastAsia"/>
                <w:sz w:val="21"/>
                <w:szCs w:val="21"/>
                <w:highlight w:val="none"/>
                <w:lang w:val="en-US" w:eastAsia="zh-CN"/>
              </w:rPr>
              <w:t>4</w:t>
            </w:r>
            <w:r>
              <w:rPr>
                <w:rFonts w:hint="eastAsia"/>
                <w:sz w:val="21"/>
                <w:szCs w:val="21"/>
                <w:highlight w:val="none"/>
              </w:rPr>
              <w:t>0%;</w:t>
            </w:r>
          </w:p>
          <w:p>
            <w:pPr>
              <w:spacing w:after="156"/>
              <w:ind w:firstLine="560"/>
              <w:rPr>
                <w:sz w:val="21"/>
                <w:szCs w:val="21"/>
              </w:rPr>
            </w:pPr>
            <w:r>
              <w:rPr>
                <w:rFonts w:hint="eastAsia"/>
                <w:sz w:val="21"/>
                <w:szCs w:val="21"/>
                <w:highlight w:val="none"/>
              </w:rPr>
              <w:t>（4）中标人配合采购方取得项目批复后10个工作日内</w:t>
            </w:r>
            <w:r>
              <w:rPr>
                <w:rFonts w:hint="eastAsia"/>
                <w:sz w:val="21"/>
                <w:szCs w:val="21"/>
              </w:rPr>
              <w:t>，支付剩余合同总价款的</w:t>
            </w:r>
            <w:r>
              <w:rPr>
                <w:rFonts w:hint="eastAsia"/>
                <w:sz w:val="21"/>
                <w:szCs w:val="21"/>
                <w:lang w:val="en-US" w:eastAsia="zh-CN"/>
              </w:rPr>
              <w:t>2</w:t>
            </w:r>
            <w:r>
              <w:rPr>
                <w:rFonts w:hint="eastAsia"/>
                <w:sz w:val="21"/>
                <w:szCs w:val="21"/>
              </w:rPr>
              <w:t>0%。</w:t>
            </w:r>
          </w:p>
          <w:p>
            <w:pPr>
              <w:spacing w:after="156"/>
              <w:ind w:firstLine="560"/>
              <w:rPr>
                <w:sz w:val="21"/>
                <w:szCs w:val="21"/>
              </w:rPr>
            </w:pPr>
            <w:r>
              <w:rPr>
                <w:rFonts w:hint="eastAsia"/>
                <w:sz w:val="21"/>
                <w:szCs w:val="21"/>
              </w:rPr>
              <w:t>（5）中标人凭以下有效文件与采购人结算:</w:t>
            </w:r>
          </w:p>
          <w:p>
            <w:pPr>
              <w:spacing w:after="156"/>
              <w:ind w:firstLine="976" w:firstLineChars="465"/>
              <w:rPr>
                <w:sz w:val="21"/>
                <w:szCs w:val="21"/>
              </w:rPr>
            </w:pPr>
            <w:r>
              <w:rPr>
                <w:rFonts w:hint="eastAsia"/>
                <w:sz w:val="21"/>
                <w:szCs w:val="21"/>
              </w:rPr>
              <w:t>1）合同;2）中标人开具的正式发票;3）中标通知书。</w:t>
            </w:r>
          </w:p>
          <w:p>
            <w:pPr>
              <w:spacing w:after="156"/>
              <w:ind w:firstLine="560"/>
              <w:rPr>
                <w:rFonts w:ascii="宋体" w:hAnsi="宋体" w:cs="宋体"/>
                <w:sz w:val="21"/>
                <w:szCs w:val="21"/>
              </w:rPr>
            </w:pPr>
            <w:r>
              <w:rPr>
                <w:rFonts w:hint="eastAsia"/>
                <w:sz w:val="21"/>
                <w:szCs w:val="21"/>
              </w:rPr>
              <w:t>（6）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tc>
      </w:tr>
    </w:tbl>
    <w:p>
      <w:pPr>
        <w:pStyle w:val="14"/>
        <w:jc w:val="center"/>
        <w:outlineLvl w:val="0"/>
        <w:rPr>
          <w:rFonts w:hAnsi="宋体" w:cs="宋体"/>
          <w:sz w:val="21"/>
          <w:szCs w:val="21"/>
        </w:rPr>
      </w:pPr>
      <w:r>
        <w:rPr>
          <w:rFonts w:hint="eastAsia" w:hAnsi="宋体" w:cs="宋体"/>
          <w:b/>
          <w:sz w:val="21"/>
          <w:szCs w:val="21"/>
        </w:rPr>
        <w:br w:type="page"/>
      </w:r>
      <w:bookmarkStart w:id="33" w:name="_Toc30811"/>
      <w:bookmarkStart w:id="34" w:name="_Toc10513"/>
      <w:bookmarkStart w:id="35" w:name="_Toc26720"/>
      <w:bookmarkStart w:id="36" w:name="_Toc13544"/>
      <w:bookmarkStart w:id="37" w:name="_Toc2261188"/>
      <w:r>
        <w:rPr>
          <w:rFonts w:hint="eastAsia" w:hAnsi="宋体" w:cs="宋体"/>
          <w:b/>
          <w:sz w:val="32"/>
          <w:szCs w:val="32"/>
        </w:rPr>
        <w:t>第四章  投标文件格式</w:t>
      </w:r>
      <w:bookmarkEnd w:id="33"/>
      <w:bookmarkEnd w:id="34"/>
      <w:bookmarkEnd w:id="35"/>
      <w:bookmarkEnd w:id="36"/>
    </w:p>
    <w:p>
      <w:pPr>
        <w:pStyle w:val="14"/>
        <w:spacing w:line="500" w:lineRule="exact"/>
        <w:rPr>
          <w:rFonts w:hAnsi="宋体" w:cs="宋体"/>
          <w:b/>
          <w:sz w:val="21"/>
          <w:szCs w:val="21"/>
        </w:rPr>
      </w:pPr>
    </w:p>
    <w:p>
      <w:pPr>
        <w:pStyle w:val="14"/>
        <w:spacing w:line="500" w:lineRule="exact"/>
        <w:jc w:val="center"/>
        <w:rPr>
          <w:rFonts w:hAnsi="宋体" w:cs="宋体"/>
          <w:b/>
          <w:sz w:val="21"/>
          <w:szCs w:val="21"/>
        </w:rPr>
      </w:pPr>
      <w:r>
        <w:rPr>
          <w:rFonts w:hint="eastAsia" w:hAnsi="宋体" w:cs="宋体"/>
          <w:b/>
          <w:sz w:val="21"/>
          <w:szCs w:val="21"/>
        </w:rPr>
        <w:t>封面格式</w:t>
      </w:r>
    </w:p>
    <w:p>
      <w:pPr>
        <w:snapToGrid w:val="0"/>
        <w:spacing w:beforeLines="50" w:after="50" w:line="440" w:lineRule="exact"/>
        <w:jc w:val="left"/>
        <w:outlineLvl w:val="0"/>
        <w:rPr>
          <w:rFonts w:ascii="宋体" w:hAnsi="宋体" w:cs="宋体"/>
          <w:b/>
          <w:bCs/>
          <w:sz w:val="21"/>
          <w:szCs w:val="21"/>
        </w:rPr>
      </w:pPr>
      <w:r>
        <w:rPr>
          <w:rFonts w:hint="eastAsia" w:ascii="宋体" w:hAnsi="宋体" w:cs="宋体"/>
          <w:bCs/>
          <w:sz w:val="21"/>
          <w:szCs w:val="21"/>
        </w:rPr>
        <w:t xml:space="preserve">   </w:t>
      </w:r>
      <w:bookmarkStart w:id="38" w:name="_Toc5060"/>
      <w:bookmarkStart w:id="39" w:name="_Toc7384"/>
      <w:bookmarkStart w:id="40" w:name="_Toc1382"/>
      <w:bookmarkStart w:id="41" w:name="_Toc23789"/>
      <w:r>
        <w:rPr>
          <w:rFonts w:hint="eastAsia" w:ascii="宋体" w:hAnsi="宋体" w:cs="宋体"/>
          <w:b/>
          <w:bCs/>
          <w:sz w:val="21"/>
          <w:szCs w:val="21"/>
        </w:rPr>
        <w:t>正本/副本</w:t>
      </w:r>
      <w:bookmarkEnd w:id="38"/>
      <w:bookmarkEnd w:id="39"/>
      <w:bookmarkEnd w:id="40"/>
      <w:bookmarkEnd w:id="41"/>
    </w:p>
    <w:p>
      <w:pPr>
        <w:snapToGrid w:val="0"/>
        <w:spacing w:beforeLines="50" w:after="50" w:line="440" w:lineRule="exact"/>
        <w:rPr>
          <w:rFonts w:ascii="宋体" w:hAnsi="宋体" w:cs="宋体"/>
          <w:sz w:val="21"/>
          <w:szCs w:val="21"/>
        </w:rPr>
      </w:pPr>
    </w:p>
    <w:p>
      <w:pPr>
        <w:snapToGrid w:val="0"/>
        <w:spacing w:beforeLines="50" w:after="50" w:line="440" w:lineRule="exact"/>
        <w:rPr>
          <w:rFonts w:ascii="宋体" w:hAnsi="宋体" w:cs="宋体"/>
          <w:sz w:val="21"/>
          <w:szCs w:val="21"/>
        </w:rPr>
      </w:pPr>
    </w:p>
    <w:p>
      <w:pPr>
        <w:snapToGrid w:val="0"/>
        <w:spacing w:beforeLines="50" w:after="50" w:line="440" w:lineRule="exact"/>
        <w:jc w:val="center"/>
        <w:outlineLvl w:val="0"/>
        <w:rPr>
          <w:rFonts w:ascii="宋体" w:hAnsi="宋体" w:cs="宋体"/>
          <w:b/>
          <w:bCs/>
          <w:sz w:val="21"/>
          <w:szCs w:val="21"/>
        </w:rPr>
      </w:pPr>
      <w:bookmarkStart w:id="42" w:name="_Toc25147"/>
      <w:bookmarkStart w:id="43" w:name="_Toc18942"/>
      <w:bookmarkStart w:id="44" w:name="_Toc1741"/>
      <w:bookmarkStart w:id="45" w:name="_Toc20164"/>
      <w:r>
        <w:rPr>
          <w:rFonts w:hint="eastAsia" w:ascii="宋体" w:hAnsi="宋体" w:cs="宋体"/>
          <w:b/>
          <w:bCs/>
          <w:sz w:val="21"/>
          <w:szCs w:val="21"/>
        </w:rPr>
        <w:t>投 标 文 件</w:t>
      </w:r>
      <w:bookmarkEnd w:id="42"/>
      <w:bookmarkEnd w:id="43"/>
      <w:bookmarkEnd w:id="44"/>
      <w:bookmarkEnd w:id="45"/>
    </w:p>
    <w:p>
      <w:pPr>
        <w:snapToGrid w:val="0"/>
        <w:spacing w:beforeLines="50" w:after="50" w:line="440" w:lineRule="exact"/>
        <w:jc w:val="center"/>
        <w:rPr>
          <w:rFonts w:ascii="宋体" w:hAnsi="宋体" w:cs="宋体"/>
          <w:b/>
          <w:bCs/>
          <w:sz w:val="21"/>
          <w:szCs w:val="21"/>
        </w:rPr>
      </w:pPr>
      <w:r>
        <w:rPr>
          <w:rFonts w:hint="eastAsia" w:ascii="宋体" w:hAnsi="宋体" w:cs="宋体"/>
          <w:b/>
          <w:sz w:val="21"/>
          <w:szCs w:val="21"/>
        </w:rPr>
        <w:t>（</w:t>
      </w:r>
      <w:r>
        <w:rPr>
          <w:rFonts w:hint="eastAsia" w:ascii="宋体" w:hAnsi="宋体" w:cs="宋体"/>
          <w:sz w:val="21"/>
          <w:szCs w:val="21"/>
        </w:rPr>
        <w:t>报价文件/资格文件/技术文件/商务文件</w:t>
      </w:r>
      <w:r>
        <w:rPr>
          <w:rFonts w:hint="eastAsia" w:ascii="宋体" w:hAnsi="宋体" w:cs="宋体"/>
          <w:b/>
          <w:sz w:val="21"/>
          <w:szCs w:val="21"/>
        </w:rPr>
        <w:t>）</w:t>
      </w:r>
    </w:p>
    <w:p>
      <w:pPr>
        <w:snapToGrid w:val="0"/>
        <w:spacing w:beforeLines="50" w:after="50" w:line="440" w:lineRule="exact"/>
        <w:rPr>
          <w:rFonts w:ascii="宋体" w:hAnsi="宋体" w:cs="宋体"/>
          <w:bCs/>
          <w:sz w:val="21"/>
          <w:szCs w:val="21"/>
        </w:rPr>
      </w:pPr>
    </w:p>
    <w:p>
      <w:pPr>
        <w:snapToGrid w:val="0"/>
        <w:spacing w:beforeLines="50" w:after="50" w:line="440" w:lineRule="exact"/>
        <w:rPr>
          <w:rFonts w:ascii="宋体" w:hAnsi="宋体" w:cs="宋体"/>
          <w:bCs/>
          <w:sz w:val="21"/>
          <w:szCs w:val="21"/>
        </w:rPr>
      </w:pPr>
    </w:p>
    <w:p>
      <w:pPr>
        <w:snapToGrid w:val="0"/>
        <w:spacing w:beforeLines="50" w:after="50" w:line="440" w:lineRule="exact"/>
        <w:rPr>
          <w:rFonts w:ascii="宋体" w:hAnsi="宋体" w:cs="宋体"/>
          <w:bCs/>
          <w:sz w:val="21"/>
          <w:szCs w:val="21"/>
        </w:rPr>
      </w:pPr>
    </w:p>
    <w:p>
      <w:pPr>
        <w:snapToGrid w:val="0"/>
        <w:spacing w:beforeLines="50" w:after="50" w:line="440" w:lineRule="exact"/>
        <w:rPr>
          <w:rFonts w:ascii="宋体" w:hAnsi="宋体" w:cs="宋体"/>
          <w:bCs/>
          <w:sz w:val="21"/>
          <w:szCs w:val="21"/>
        </w:rPr>
      </w:pPr>
    </w:p>
    <w:p>
      <w:pPr>
        <w:snapToGrid w:val="0"/>
        <w:spacing w:beforeLines="50" w:after="50" w:line="440" w:lineRule="exact"/>
        <w:rPr>
          <w:rFonts w:ascii="宋体" w:hAnsi="宋体" w:cs="宋体"/>
          <w:bCs/>
          <w:sz w:val="21"/>
          <w:szCs w:val="21"/>
        </w:rPr>
      </w:pPr>
    </w:p>
    <w:p>
      <w:pPr>
        <w:snapToGrid w:val="0"/>
        <w:spacing w:beforeLines="50" w:after="50" w:line="440" w:lineRule="exact"/>
        <w:rPr>
          <w:rFonts w:ascii="宋体" w:hAnsi="宋体" w:cs="宋体"/>
          <w:bCs/>
          <w:sz w:val="21"/>
          <w:szCs w:val="21"/>
        </w:rPr>
      </w:pPr>
    </w:p>
    <w:p>
      <w:pPr>
        <w:snapToGrid w:val="0"/>
        <w:spacing w:beforeLines="50" w:after="50" w:line="440" w:lineRule="exact"/>
        <w:rPr>
          <w:rFonts w:ascii="宋体" w:hAnsi="宋体" w:cs="宋体"/>
          <w:bCs/>
          <w:sz w:val="21"/>
          <w:szCs w:val="21"/>
        </w:rPr>
      </w:pPr>
    </w:p>
    <w:p>
      <w:pPr>
        <w:snapToGrid w:val="0"/>
        <w:spacing w:beforeLines="50" w:after="50" w:line="360" w:lineRule="auto"/>
        <w:ind w:firstLine="632" w:firstLineChars="300"/>
        <w:outlineLvl w:val="0"/>
        <w:rPr>
          <w:rFonts w:ascii="宋体" w:hAnsi="宋体" w:cs="宋体"/>
          <w:b/>
          <w:bCs/>
          <w:sz w:val="21"/>
          <w:szCs w:val="21"/>
        </w:rPr>
      </w:pPr>
      <w:bookmarkStart w:id="46" w:name="_Toc32764"/>
      <w:bookmarkStart w:id="47" w:name="_Toc25952"/>
      <w:bookmarkStart w:id="48" w:name="_Toc17044"/>
      <w:bookmarkStart w:id="49" w:name="_Toc1315"/>
      <w:r>
        <w:rPr>
          <w:rFonts w:hint="eastAsia" w:ascii="宋体" w:hAnsi="宋体" w:cs="宋体"/>
          <w:b/>
          <w:bCs/>
          <w:sz w:val="21"/>
          <w:szCs w:val="21"/>
        </w:rPr>
        <w:t>项目名称：</w:t>
      </w:r>
      <w:bookmarkEnd w:id="46"/>
      <w:bookmarkEnd w:id="47"/>
      <w:bookmarkEnd w:id="48"/>
      <w:bookmarkEnd w:id="49"/>
    </w:p>
    <w:p>
      <w:pPr>
        <w:snapToGrid w:val="0"/>
        <w:spacing w:beforeLines="50" w:after="50" w:line="360" w:lineRule="auto"/>
        <w:ind w:firstLine="632" w:firstLineChars="300"/>
        <w:outlineLvl w:val="0"/>
        <w:rPr>
          <w:rFonts w:ascii="宋体" w:hAnsi="宋体" w:cs="宋体"/>
          <w:b/>
          <w:bCs/>
          <w:sz w:val="21"/>
          <w:szCs w:val="21"/>
          <w:u w:val="single"/>
        </w:rPr>
      </w:pPr>
      <w:bookmarkStart w:id="50" w:name="_Toc12021"/>
      <w:bookmarkStart w:id="51" w:name="_Toc1470"/>
      <w:bookmarkStart w:id="52" w:name="_Toc19148"/>
      <w:bookmarkStart w:id="53" w:name="_Toc5288"/>
      <w:r>
        <w:rPr>
          <w:rFonts w:hint="eastAsia" w:ascii="宋体" w:hAnsi="宋体" w:cs="宋体"/>
          <w:b/>
          <w:bCs/>
          <w:sz w:val="21"/>
          <w:szCs w:val="21"/>
        </w:rPr>
        <w:t>项目编号：</w:t>
      </w:r>
      <w:bookmarkEnd w:id="50"/>
      <w:bookmarkEnd w:id="51"/>
      <w:bookmarkEnd w:id="52"/>
      <w:bookmarkEnd w:id="53"/>
      <w:r>
        <w:rPr>
          <w:rFonts w:hint="eastAsia" w:ascii="宋体" w:hAnsi="宋体" w:cs="宋体"/>
          <w:b/>
          <w:bCs/>
          <w:sz w:val="21"/>
          <w:szCs w:val="21"/>
        </w:rPr>
        <w:t xml:space="preserve"> </w:t>
      </w:r>
    </w:p>
    <w:p>
      <w:pPr>
        <w:snapToGrid w:val="0"/>
        <w:spacing w:beforeLines="50" w:after="50" w:line="360" w:lineRule="auto"/>
        <w:ind w:firstLine="632" w:firstLineChars="300"/>
        <w:outlineLvl w:val="0"/>
        <w:rPr>
          <w:rFonts w:ascii="宋体" w:hAnsi="宋体" w:cs="宋体"/>
          <w:b/>
          <w:bCs/>
          <w:sz w:val="21"/>
          <w:szCs w:val="21"/>
          <w:u w:val="single"/>
        </w:rPr>
      </w:pPr>
      <w:bookmarkStart w:id="54" w:name="_Toc14049"/>
      <w:bookmarkStart w:id="55" w:name="_Toc12887"/>
      <w:bookmarkStart w:id="56" w:name="_Toc21483"/>
      <w:bookmarkStart w:id="57" w:name="_Toc30064"/>
      <w:r>
        <w:rPr>
          <w:rFonts w:hint="eastAsia" w:ascii="宋体" w:hAnsi="宋体" w:cs="宋体"/>
          <w:b/>
          <w:bCs/>
          <w:sz w:val="21"/>
          <w:szCs w:val="21"/>
        </w:rPr>
        <w:t>投标人名称：                        （盖单位章）</w:t>
      </w:r>
      <w:bookmarkEnd w:id="54"/>
      <w:bookmarkEnd w:id="55"/>
      <w:bookmarkEnd w:id="56"/>
      <w:bookmarkEnd w:id="57"/>
    </w:p>
    <w:p>
      <w:pPr>
        <w:snapToGrid w:val="0"/>
        <w:spacing w:beforeLines="50" w:after="50" w:line="360" w:lineRule="auto"/>
        <w:ind w:firstLine="632" w:firstLineChars="300"/>
        <w:outlineLvl w:val="0"/>
        <w:rPr>
          <w:rFonts w:ascii="宋体" w:hAnsi="宋体" w:cs="宋体"/>
          <w:bCs/>
          <w:sz w:val="21"/>
          <w:szCs w:val="21"/>
          <w:u w:val="single"/>
        </w:rPr>
      </w:pPr>
      <w:bookmarkStart w:id="58" w:name="_Toc25782"/>
      <w:bookmarkStart w:id="59" w:name="_Toc15419"/>
      <w:bookmarkStart w:id="60" w:name="_Toc5446"/>
      <w:bookmarkStart w:id="61" w:name="_Toc31388"/>
      <w:r>
        <w:rPr>
          <w:rFonts w:hint="eastAsia" w:ascii="宋体" w:hAnsi="宋体" w:cs="宋体"/>
          <w:b/>
          <w:bCs/>
          <w:sz w:val="21"/>
          <w:szCs w:val="21"/>
        </w:rPr>
        <w:t>法定代表人或其委托代理人：          （盖章或签字）</w:t>
      </w:r>
      <w:bookmarkEnd w:id="58"/>
      <w:bookmarkEnd w:id="59"/>
      <w:bookmarkEnd w:id="60"/>
      <w:bookmarkEnd w:id="61"/>
    </w:p>
    <w:p>
      <w:pPr>
        <w:pStyle w:val="6"/>
        <w:snapToGrid w:val="0"/>
        <w:spacing w:before="120" w:after="120" w:line="440" w:lineRule="exact"/>
        <w:ind w:firstLine="2205" w:firstLineChars="1050"/>
        <w:outlineLvl w:val="0"/>
        <w:rPr>
          <w:rFonts w:ascii="宋体" w:hAnsi="宋体" w:cs="宋体"/>
          <w:bCs/>
          <w:sz w:val="21"/>
          <w:szCs w:val="21"/>
        </w:rPr>
      </w:pPr>
      <w:bookmarkStart w:id="62" w:name="_Toc3921"/>
      <w:bookmarkStart w:id="63" w:name="_Toc24066"/>
      <w:bookmarkStart w:id="64" w:name="_Toc14750"/>
      <w:bookmarkStart w:id="65" w:name="_Toc1317"/>
      <w:r>
        <w:rPr>
          <w:rFonts w:hint="eastAsia" w:ascii="宋体" w:hAnsi="宋体" w:cs="宋体"/>
          <w:bCs/>
          <w:sz w:val="21"/>
          <w:szCs w:val="21"/>
        </w:rPr>
        <w:t>年       月      日</w:t>
      </w:r>
      <w:bookmarkEnd w:id="62"/>
      <w:bookmarkEnd w:id="63"/>
      <w:bookmarkEnd w:id="64"/>
      <w:bookmarkEnd w:id="65"/>
    </w:p>
    <w:p>
      <w:pPr>
        <w:pStyle w:val="6"/>
        <w:snapToGrid w:val="0"/>
        <w:spacing w:before="120" w:after="120" w:line="440" w:lineRule="exact"/>
        <w:ind w:firstLine="840" w:firstLineChars="400"/>
        <w:rPr>
          <w:rFonts w:ascii="宋体" w:hAnsi="宋体" w:cs="宋体"/>
          <w:bCs/>
          <w:sz w:val="21"/>
          <w:szCs w:val="21"/>
        </w:rPr>
      </w:pPr>
    </w:p>
    <w:p>
      <w:pPr>
        <w:pStyle w:val="14"/>
        <w:spacing w:line="500" w:lineRule="exact"/>
        <w:rPr>
          <w:rFonts w:hAnsi="宋体" w:cs="宋体"/>
          <w:b/>
          <w:sz w:val="21"/>
          <w:szCs w:val="21"/>
        </w:rPr>
      </w:pPr>
    </w:p>
    <w:p>
      <w:pPr>
        <w:pStyle w:val="14"/>
        <w:spacing w:line="500" w:lineRule="exact"/>
        <w:outlineLvl w:val="0"/>
        <w:rPr>
          <w:rFonts w:hint="eastAsia" w:hAnsi="宋体" w:cs="宋体"/>
          <w:b/>
          <w:sz w:val="21"/>
          <w:szCs w:val="21"/>
        </w:rPr>
      </w:pPr>
      <w:bookmarkStart w:id="66" w:name="_Toc22450"/>
      <w:bookmarkStart w:id="67" w:name="_Toc21575"/>
      <w:bookmarkStart w:id="68" w:name="_Toc22064"/>
      <w:bookmarkStart w:id="69" w:name="_Toc20120"/>
    </w:p>
    <w:p>
      <w:pPr>
        <w:pStyle w:val="14"/>
        <w:spacing w:line="500" w:lineRule="exact"/>
        <w:outlineLvl w:val="0"/>
        <w:rPr>
          <w:rFonts w:hint="eastAsia" w:hAnsi="宋体" w:cs="宋体"/>
          <w:b/>
          <w:sz w:val="21"/>
          <w:szCs w:val="21"/>
        </w:rPr>
      </w:pPr>
    </w:p>
    <w:p>
      <w:pPr>
        <w:pStyle w:val="14"/>
        <w:spacing w:line="500" w:lineRule="exact"/>
        <w:outlineLvl w:val="0"/>
        <w:rPr>
          <w:rFonts w:hint="eastAsia" w:hAnsi="宋体" w:cs="宋体"/>
          <w:b/>
          <w:sz w:val="21"/>
          <w:szCs w:val="21"/>
        </w:rPr>
      </w:pPr>
    </w:p>
    <w:p>
      <w:pPr>
        <w:pStyle w:val="14"/>
        <w:spacing w:line="500" w:lineRule="exact"/>
        <w:outlineLvl w:val="0"/>
        <w:rPr>
          <w:rFonts w:hAnsi="宋体" w:cs="宋体"/>
          <w:b/>
          <w:sz w:val="21"/>
          <w:szCs w:val="21"/>
        </w:rPr>
      </w:pPr>
      <w:r>
        <w:rPr>
          <w:rFonts w:hint="eastAsia" w:hAnsi="宋体" w:cs="宋体"/>
          <w:b/>
          <w:sz w:val="21"/>
          <w:szCs w:val="21"/>
        </w:rPr>
        <w:t>格式1：</w:t>
      </w:r>
      <w:bookmarkEnd w:id="66"/>
      <w:bookmarkEnd w:id="67"/>
      <w:bookmarkEnd w:id="68"/>
      <w:bookmarkEnd w:id="69"/>
    </w:p>
    <w:p>
      <w:pPr>
        <w:pStyle w:val="14"/>
        <w:spacing w:line="500" w:lineRule="exact"/>
        <w:jc w:val="center"/>
        <w:rPr>
          <w:rFonts w:hAnsi="宋体" w:cs="宋体"/>
          <w:b/>
          <w:bCs/>
          <w:sz w:val="21"/>
          <w:szCs w:val="21"/>
        </w:rPr>
      </w:pPr>
      <w:r>
        <w:rPr>
          <w:rFonts w:hint="eastAsia" w:hAnsi="宋体" w:cs="宋体"/>
          <w:b/>
          <w:bCs/>
          <w:sz w:val="21"/>
          <w:szCs w:val="21"/>
        </w:rPr>
        <w:t>投标函</w:t>
      </w:r>
    </w:p>
    <w:p>
      <w:pPr>
        <w:pStyle w:val="14"/>
        <w:spacing w:line="440" w:lineRule="exact"/>
        <w:ind w:firstLine="435"/>
        <w:rPr>
          <w:rFonts w:hAnsi="宋体" w:cs="宋体"/>
          <w:sz w:val="21"/>
          <w:szCs w:val="21"/>
        </w:rPr>
      </w:pPr>
    </w:p>
    <w:p>
      <w:pPr>
        <w:pStyle w:val="14"/>
        <w:spacing w:line="440" w:lineRule="exact"/>
        <w:ind w:firstLine="435"/>
        <w:rPr>
          <w:rFonts w:hAnsi="宋体" w:cs="宋体"/>
          <w:sz w:val="21"/>
          <w:szCs w:val="21"/>
        </w:rPr>
      </w:pPr>
      <w:r>
        <w:rPr>
          <w:rFonts w:hint="eastAsia" w:hAnsi="宋体" w:cs="宋体"/>
          <w:sz w:val="21"/>
          <w:szCs w:val="21"/>
        </w:rPr>
        <w:t>致：（采购代理机构名称）</w:t>
      </w:r>
    </w:p>
    <w:p>
      <w:pPr>
        <w:pStyle w:val="14"/>
        <w:spacing w:line="440" w:lineRule="exact"/>
        <w:ind w:firstLine="435"/>
        <w:rPr>
          <w:rFonts w:hAnsi="宋体" w:cs="宋体"/>
          <w:sz w:val="21"/>
          <w:szCs w:val="21"/>
        </w:rPr>
      </w:pPr>
    </w:p>
    <w:p>
      <w:pPr>
        <w:pStyle w:val="14"/>
        <w:spacing w:line="420" w:lineRule="exact"/>
        <w:ind w:firstLine="482"/>
        <w:rPr>
          <w:rFonts w:hAnsi="宋体" w:cs="宋体"/>
          <w:sz w:val="21"/>
          <w:szCs w:val="21"/>
        </w:rPr>
      </w:pPr>
      <w:r>
        <w:rPr>
          <w:rFonts w:hint="eastAsia" w:hAnsi="宋体" w:cs="宋体"/>
          <w:sz w:val="21"/>
          <w:szCs w:val="21"/>
        </w:rPr>
        <w:t>我方已仔细阅读了贵方组织的</w:t>
      </w:r>
      <w:r>
        <w:rPr>
          <w:rFonts w:hint="eastAsia" w:hAnsi="宋体" w:cs="宋体"/>
          <w:sz w:val="21"/>
          <w:szCs w:val="21"/>
          <w:u w:val="single"/>
        </w:rPr>
        <w:t xml:space="preserve">        （项目名称）       </w:t>
      </w:r>
      <w:r>
        <w:rPr>
          <w:rFonts w:hint="eastAsia" w:hAnsi="宋体" w:cs="宋体"/>
          <w:sz w:val="21"/>
          <w:szCs w:val="21"/>
        </w:rPr>
        <w:t xml:space="preserve">项目（项目编号：        ）的招标文件的全部内容，现正式递交下述文件参加贵方组织的本次政府采购活动： </w:t>
      </w:r>
    </w:p>
    <w:p>
      <w:pPr>
        <w:pStyle w:val="14"/>
        <w:spacing w:line="420" w:lineRule="exact"/>
        <w:ind w:firstLine="482"/>
        <w:rPr>
          <w:rFonts w:hAnsi="宋体" w:cs="宋体"/>
          <w:sz w:val="21"/>
          <w:szCs w:val="21"/>
        </w:rPr>
      </w:pPr>
      <w:r>
        <w:rPr>
          <w:rFonts w:hint="eastAsia" w:hAnsi="宋体" w:cs="宋体"/>
          <w:sz w:val="21"/>
          <w:szCs w:val="21"/>
        </w:rPr>
        <w:t>一、报价文件正本一份，副本</w:t>
      </w:r>
      <w:r>
        <w:rPr>
          <w:rFonts w:hint="eastAsia" w:hAnsi="宋体" w:cs="宋体"/>
          <w:sz w:val="21"/>
          <w:szCs w:val="21"/>
          <w:u w:val="single"/>
        </w:rPr>
        <w:t xml:space="preserve">   </w:t>
      </w:r>
      <w:r>
        <w:rPr>
          <w:rFonts w:hint="eastAsia" w:hAnsi="宋体" w:cs="宋体"/>
          <w:sz w:val="21"/>
          <w:szCs w:val="21"/>
        </w:rPr>
        <w:t>份（包含按投标人须知第10.1.1项要求提交的全部文件）；</w:t>
      </w:r>
    </w:p>
    <w:p>
      <w:pPr>
        <w:pStyle w:val="14"/>
        <w:spacing w:line="420" w:lineRule="exact"/>
        <w:ind w:firstLine="482"/>
        <w:rPr>
          <w:rFonts w:hAnsi="宋体" w:cs="宋体"/>
          <w:sz w:val="21"/>
          <w:szCs w:val="21"/>
        </w:rPr>
      </w:pPr>
      <w:r>
        <w:rPr>
          <w:rFonts w:hint="eastAsia" w:hAnsi="宋体" w:cs="宋体"/>
          <w:sz w:val="21"/>
          <w:szCs w:val="21"/>
        </w:rPr>
        <w:t>二、资格文件正本一份，副本</w:t>
      </w:r>
      <w:r>
        <w:rPr>
          <w:rFonts w:hint="eastAsia" w:hAnsi="宋体" w:cs="宋体"/>
          <w:sz w:val="21"/>
          <w:szCs w:val="21"/>
          <w:u w:val="single"/>
        </w:rPr>
        <w:t xml:space="preserve">   </w:t>
      </w:r>
      <w:r>
        <w:rPr>
          <w:rFonts w:hint="eastAsia" w:hAnsi="宋体" w:cs="宋体"/>
          <w:sz w:val="21"/>
          <w:szCs w:val="21"/>
        </w:rPr>
        <w:t>份（包含按投标人须知第10.1.2项要求提交的全部文件）；</w:t>
      </w:r>
    </w:p>
    <w:p>
      <w:pPr>
        <w:pStyle w:val="14"/>
        <w:spacing w:line="420" w:lineRule="exact"/>
        <w:ind w:firstLine="482"/>
        <w:rPr>
          <w:rFonts w:hAnsi="宋体" w:cs="宋体"/>
          <w:sz w:val="21"/>
          <w:szCs w:val="21"/>
        </w:rPr>
      </w:pPr>
      <w:r>
        <w:rPr>
          <w:rFonts w:hint="eastAsia" w:hAnsi="宋体" w:cs="宋体"/>
          <w:sz w:val="21"/>
          <w:szCs w:val="21"/>
        </w:rPr>
        <w:t>三、技术文件正本一份，副本</w:t>
      </w:r>
      <w:r>
        <w:rPr>
          <w:rFonts w:hint="eastAsia" w:hAnsi="宋体" w:cs="宋体"/>
          <w:sz w:val="21"/>
          <w:szCs w:val="21"/>
          <w:u w:val="single"/>
        </w:rPr>
        <w:t xml:space="preserve">   </w:t>
      </w:r>
      <w:r>
        <w:rPr>
          <w:rFonts w:hint="eastAsia" w:hAnsi="宋体" w:cs="宋体"/>
          <w:sz w:val="21"/>
          <w:szCs w:val="21"/>
        </w:rPr>
        <w:t>份（包含按投标人须知第10.1.3项要求提交的全部文件）；</w:t>
      </w:r>
    </w:p>
    <w:p>
      <w:pPr>
        <w:pStyle w:val="14"/>
        <w:spacing w:line="420" w:lineRule="exact"/>
        <w:ind w:firstLine="482"/>
        <w:rPr>
          <w:rFonts w:hAnsi="宋体" w:cs="宋体"/>
          <w:sz w:val="21"/>
          <w:szCs w:val="21"/>
        </w:rPr>
      </w:pPr>
      <w:r>
        <w:rPr>
          <w:rFonts w:hint="eastAsia" w:hAnsi="宋体" w:cs="宋体"/>
          <w:sz w:val="21"/>
          <w:szCs w:val="21"/>
        </w:rPr>
        <w:t>四、商务文件正本一份，副本</w:t>
      </w:r>
      <w:r>
        <w:rPr>
          <w:rFonts w:hint="eastAsia" w:hAnsi="宋体" w:cs="宋体"/>
          <w:sz w:val="21"/>
          <w:szCs w:val="21"/>
          <w:u w:val="single"/>
        </w:rPr>
        <w:t xml:space="preserve">   </w:t>
      </w:r>
      <w:r>
        <w:rPr>
          <w:rFonts w:hint="eastAsia" w:hAnsi="宋体" w:cs="宋体"/>
          <w:sz w:val="21"/>
          <w:szCs w:val="21"/>
        </w:rPr>
        <w:t>份（包含按投标人须知第10.1.4项要求提交的全部文件）。</w:t>
      </w:r>
    </w:p>
    <w:p>
      <w:pPr>
        <w:pStyle w:val="14"/>
        <w:spacing w:line="420" w:lineRule="exact"/>
        <w:ind w:firstLine="482"/>
        <w:rPr>
          <w:rFonts w:hAnsi="宋体" w:cs="宋体"/>
          <w:sz w:val="21"/>
          <w:szCs w:val="21"/>
        </w:rPr>
      </w:pPr>
      <w:r>
        <w:rPr>
          <w:rFonts w:hint="eastAsia" w:hAnsi="宋体" w:cs="宋体"/>
          <w:sz w:val="21"/>
          <w:szCs w:val="21"/>
        </w:rPr>
        <w:t>据此函，签字人兹宣布：</w:t>
      </w:r>
    </w:p>
    <w:p>
      <w:pPr>
        <w:pStyle w:val="14"/>
        <w:spacing w:line="420" w:lineRule="exact"/>
        <w:ind w:firstLine="482"/>
        <w:rPr>
          <w:rFonts w:hAnsi="宋体" w:cs="宋体"/>
          <w:sz w:val="21"/>
          <w:szCs w:val="21"/>
        </w:rPr>
      </w:pPr>
      <w:r>
        <w:rPr>
          <w:rFonts w:hint="eastAsia" w:hAnsi="宋体" w:cs="宋体"/>
          <w:sz w:val="21"/>
          <w:szCs w:val="21"/>
        </w:rPr>
        <w:t>1、我方愿意以（大写）人民币</w:t>
      </w:r>
      <w:r>
        <w:rPr>
          <w:rFonts w:hint="eastAsia" w:hAnsi="宋体" w:cs="宋体"/>
          <w:sz w:val="21"/>
          <w:szCs w:val="21"/>
          <w:u w:val="single"/>
        </w:rPr>
        <w:t xml:space="preserve">                    </w:t>
      </w:r>
      <w:r>
        <w:rPr>
          <w:rFonts w:hint="eastAsia" w:hAnsi="宋体" w:cs="宋体"/>
          <w:sz w:val="21"/>
          <w:szCs w:val="21"/>
        </w:rPr>
        <w:t>（￥</w:t>
      </w:r>
      <w:r>
        <w:rPr>
          <w:rFonts w:hint="eastAsia" w:hAnsi="宋体" w:cs="宋体"/>
          <w:sz w:val="21"/>
          <w:szCs w:val="21"/>
          <w:u w:val="single"/>
        </w:rPr>
        <w:t xml:space="preserve">           </w:t>
      </w:r>
      <w:r>
        <w:rPr>
          <w:rFonts w:hint="eastAsia" w:hAnsi="宋体" w:cs="宋体"/>
          <w:sz w:val="21"/>
          <w:szCs w:val="21"/>
        </w:rPr>
        <w:t>元)的投标总报价，项目完成时间(无分标时填写)：</w:t>
      </w:r>
      <w:r>
        <w:rPr>
          <w:rFonts w:hint="eastAsia" w:hAnsi="宋体" w:cs="宋体"/>
          <w:sz w:val="21"/>
          <w:szCs w:val="21"/>
          <w:u w:val="single"/>
        </w:rPr>
        <w:t xml:space="preserve">      </w:t>
      </w:r>
      <w:r>
        <w:rPr>
          <w:rFonts w:hint="eastAsia" w:hAnsi="宋体" w:cs="宋体"/>
          <w:sz w:val="21"/>
          <w:szCs w:val="21"/>
        </w:rPr>
        <w:t>，提供本项目招标文件第三章“服务需求一览表”中的采购内容。</w:t>
      </w:r>
    </w:p>
    <w:p>
      <w:pPr>
        <w:pStyle w:val="14"/>
        <w:spacing w:line="420" w:lineRule="exact"/>
        <w:ind w:firstLine="482"/>
        <w:rPr>
          <w:rFonts w:hAnsi="宋体" w:cs="宋体"/>
          <w:sz w:val="21"/>
          <w:szCs w:val="21"/>
        </w:rPr>
      </w:pPr>
      <w:r>
        <w:rPr>
          <w:rFonts w:hint="eastAsia" w:hAnsi="宋体" w:cs="宋体"/>
          <w:sz w:val="21"/>
          <w:szCs w:val="21"/>
        </w:rPr>
        <w:t>2、我方同意自本项目招标文件“投标人须知”第14.2项规定的投标截止时间（开标时间）起遵循本投标函，并承诺在“投标人须知”第12.1项规定的投标有效期内不修改、撤销投标文件。</w:t>
      </w:r>
    </w:p>
    <w:p>
      <w:pPr>
        <w:pStyle w:val="14"/>
        <w:spacing w:line="420" w:lineRule="exact"/>
        <w:ind w:firstLine="482"/>
        <w:rPr>
          <w:rFonts w:hAnsi="宋体" w:cs="宋体"/>
          <w:sz w:val="21"/>
          <w:szCs w:val="21"/>
        </w:rPr>
      </w:pPr>
      <w:r>
        <w:rPr>
          <w:rFonts w:hint="eastAsia" w:hAnsi="宋体" w:cs="宋体"/>
          <w:sz w:val="21"/>
          <w:szCs w:val="21"/>
        </w:rPr>
        <w:t>3、我方在此声明，所递交的投标文件及有关资料内容完整、真实和准确。</w:t>
      </w:r>
    </w:p>
    <w:p>
      <w:pPr>
        <w:pStyle w:val="14"/>
        <w:spacing w:line="420" w:lineRule="exact"/>
        <w:ind w:firstLine="482"/>
        <w:rPr>
          <w:rFonts w:hAnsi="宋体" w:cs="宋体"/>
          <w:sz w:val="21"/>
          <w:szCs w:val="21"/>
        </w:rPr>
      </w:pPr>
      <w:r>
        <w:rPr>
          <w:rFonts w:hint="eastAsia" w:hAnsi="宋体" w:cs="宋体"/>
          <w:sz w:val="21"/>
          <w:szCs w:val="21"/>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14"/>
        <w:numPr>
          <w:ilvl w:val="0"/>
          <w:numId w:val="1"/>
        </w:numPr>
        <w:spacing w:line="420" w:lineRule="exact"/>
        <w:rPr>
          <w:rFonts w:hAnsi="宋体" w:cs="宋体"/>
          <w:sz w:val="21"/>
          <w:szCs w:val="21"/>
        </w:rPr>
      </w:pPr>
      <w:r>
        <w:rPr>
          <w:rFonts w:hint="eastAsia" w:hAnsi="宋体" w:cs="宋体"/>
          <w:sz w:val="21"/>
          <w:szCs w:val="21"/>
        </w:rPr>
        <w:t>具有独立承担民事责任的能力；</w:t>
      </w:r>
    </w:p>
    <w:p>
      <w:pPr>
        <w:pStyle w:val="14"/>
        <w:numPr>
          <w:ilvl w:val="0"/>
          <w:numId w:val="1"/>
        </w:numPr>
        <w:spacing w:line="420" w:lineRule="exact"/>
        <w:rPr>
          <w:rFonts w:hAnsi="宋体" w:cs="宋体"/>
          <w:sz w:val="21"/>
          <w:szCs w:val="21"/>
        </w:rPr>
      </w:pPr>
      <w:r>
        <w:rPr>
          <w:rFonts w:hint="eastAsia" w:hAnsi="宋体" w:cs="宋体"/>
          <w:sz w:val="21"/>
          <w:szCs w:val="21"/>
        </w:rPr>
        <w:t>具有良好的商业信誉和健全的财务会计制度；</w:t>
      </w:r>
    </w:p>
    <w:p>
      <w:pPr>
        <w:pStyle w:val="14"/>
        <w:numPr>
          <w:ilvl w:val="0"/>
          <w:numId w:val="1"/>
        </w:numPr>
        <w:spacing w:line="420" w:lineRule="exact"/>
        <w:rPr>
          <w:rFonts w:hAnsi="宋体" w:cs="宋体"/>
          <w:sz w:val="21"/>
          <w:szCs w:val="21"/>
        </w:rPr>
      </w:pPr>
      <w:r>
        <w:rPr>
          <w:rFonts w:hint="eastAsia" w:hAnsi="宋体" w:cs="宋体"/>
          <w:sz w:val="21"/>
          <w:szCs w:val="21"/>
        </w:rPr>
        <w:t>具有履行合同所必需的设备和专业技术能力；</w:t>
      </w:r>
    </w:p>
    <w:p>
      <w:pPr>
        <w:pStyle w:val="14"/>
        <w:numPr>
          <w:ilvl w:val="0"/>
          <w:numId w:val="1"/>
        </w:numPr>
        <w:spacing w:line="420" w:lineRule="exact"/>
        <w:rPr>
          <w:rFonts w:hAnsi="宋体" w:cs="宋体"/>
          <w:sz w:val="21"/>
          <w:szCs w:val="21"/>
        </w:rPr>
      </w:pPr>
      <w:r>
        <w:rPr>
          <w:rFonts w:hint="eastAsia" w:hAnsi="宋体" w:cs="宋体"/>
          <w:sz w:val="21"/>
          <w:szCs w:val="21"/>
        </w:rPr>
        <w:t>有依法缴纳税收和社会保障资金的良好记录；</w:t>
      </w:r>
    </w:p>
    <w:p>
      <w:pPr>
        <w:pStyle w:val="14"/>
        <w:numPr>
          <w:ilvl w:val="0"/>
          <w:numId w:val="1"/>
        </w:numPr>
        <w:spacing w:line="420" w:lineRule="exact"/>
        <w:rPr>
          <w:rFonts w:hAnsi="宋体" w:cs="宋体"/>
          <w:sz w:val="21"/>
          <w:szCs w:val="21"/>
        </w:rPr>
      </w:pPr>
      <w:r>
        <w:rPr>
          <w:rFonts w:hint="eastAsia" w:hAnsi="宋体" w:cs="宋体"/>
          <w:sz w:val="21"/>
          <w:szCs w:val="21"/>
        </w:rPr>
        <w:t>参加政府采购活动前三年内，在经营活动中没有重大违法记录；</w:t>
      </w:r>
    </w:p>
    <w:p>
      <w:pPr>
        <w:pStyle w:val="14"/>
        <w:numPr>
          <w:ilvl w:val="0"/>
          <w:numId w:val="1"/>
        </w:numPr>
        <w:spacing w:line="420" w:lineRule="exact"/>
        <w:rPr>
          <w:rFonts w:hAnsi="宋体" w:cs="宋体"/>
          <w:sz w:val="21"/>
          <w:szCs w:val="21"/>
        </w:rPr>
      </w:pPr>
      <w:r>
        <w:rPr>
          <w:rFonts w:hint="eastAsia" w:hAnsi="宋体" w:cs="宋体"/>
          <w:sz w:val="21"/>
          <w:szCs w:val="21"/>
        </w:rPr>
        <w:t>法律、行政法规规定的其他条件。</w:t>
      </w:r>
    </w:p>
    <w:p>
      <w:pPr>
        <w:pStyle w:val="14"/>
        <w:spacing w:line="420" w:lineRule="exact"/>
        <w:ind w:firstLine="482"/>
        <w:rPr>
          <w:rFonts w:hAnsi="宋体" w:cs="宋体"/>
          <w:sz w:val="21"/>
          <w:szCs w:val="21"/>
        </w:rPr>
      </w:pPr>
      <w:r>
        <w:rPr>
          <w:rFonts w:hint="eastAsia" w:hAnsi="宋体" w:cs="宋体"/>
          <w:sz w:val="21"/>
          <w:szCs w:val="21"/>
        </w:rPr>
        <w:t>5、如本项目采购内容涉及须符合国家强制规定的，我方承诺我方本次投标（包括资格条件和所投产品）均符合国家有关强制规定。</w:t>
      </w:r>
    </w:p>
    <w:p>
      <w:pPr>
        <w:pStyle w:val="14"/>
        <w:spacing w:line="420" w:lineRule="exact"/>
        <w:ind w:firstLine="482"/>
        <w:rPr>
          <w:rFonts w:hAnsi="宋体" w:cs="宋体"/>
          <w:sz w:val="21"/>
          <w:szCs w:val="21"/>
        </w:rPr>
      </w:pPr>
      <w:r>
        <w:rPr>
          <w:rFonts w:hint="eastAsia" w:hAnsi="宋体" w:cs="宋体"/>
          <w:sz w:val="21"/>
          <w:szCs w:val="21"/>
        </w:rPr>
        <w:t>6、如我方中标，我方承诺在收到中标通知书后，在中标通知书规定的期限内，根据招标文件、我方的投标文件及有关澄清承诺书的要求按第五章“合同条款及格式”与采购人订立书面合同，并按照合同约定承担完成合同的责任和义务。</w:t>
      </w:r>
    </w:p>
    <w:p>
      <w:pPr>
        <w:pStyle w:val="14"/>
        <w:spacing w:line="420" w:lineRule="exact"/>
        <w:ind w:firstLine="482"/>
        <w:rPr>
          <w:rFonts w:hAnsi="宋体" w:cs="宋体"/>
          <w:sz w:val="21"/>
          <w:szCs w:val="21"/>
        </w:rPr>
      </w:pPr>
      <w:r>
        <w:rPr>
          <w:rFonts w:hint="eastAsia" w:hAnsi="宋体" w:cs="宋体"/>
          <w:sz w:val="21"/>
          <w:szCs w:val="21"/>
        </w:rPr>
        <w:t>7、我方已详细审核招标文件，我方知道必须放弃提出含糊不清或误解问题的权利。</w:t>
      </w:r>
    </w:p>
    <w:p>
      <w:pPr>
        <w:pStyle w:val="14"/>
        <w:spacing w:line="420" w:lineRule="exact"/>
        <w:ind w:firstLine="482"/>
        <w:rPr>
          <w:rFonts w:hAnsi="宋体" w:cs="宋体"/>
          <w:sz w:val="21"/>
          <w:szCs w:val="21"/>
        </w:rPr>
      </w:pPr>
      <w:r>
        <w:rPr>
          <w:rFonts w:hint="eastAsia" w:hAnsi="宋体" w:cs="宋体"/>
          <w:sz w:val="21"/>
          <w:szCs w:val="21"/>
        </w:rPr>
        <w:t>8、我方同意应贵方要求提供与本投标有关的任何数据或资料。若贵方需要，我方愿意提供我方作出的一切承诺的证明材料。</w:t>
      </w:r>
    </w:p>
    <w:p>
      <w:pPr>
        <w:pStyle w:val="14"/>
        <w:spacing w:line="420" w:lineRule="exact"/>
        <w:ind w:firstLine="482"/>
        <w:rPr>
          <w:rFonts w:hAnsi="宋体" w:cs="宋体"/>
          <w:sz w:val="21"/>
          <w:szCs w:val="21"/>
        </w:rPr>
      </w:pPr>
      <w:r>
        <w:rPr>
          <w:rFonts w:hint="eastAsia" w:hAnsi="宋体" w:cs="宋体"/>
          <w:sz w:val="21"/>
          <w:szCs w:val="21"/>
        </w:rPr>
        <w:t>9、我方完全理解贵方不一定接受投标报价最低的投标人为中标供应商的行为。</w:t>
      </w:r>
    </w:p>
    <w:p>
      <w:pPr>
        <w:pStyle w:val="14"/>
        <w:spacing w:line="420" w:lineRule="exact"/>
        <w:ind w:firstLine="482"/>
        <w:rPr>
          <w:rFonts w:hAnsi="宋体" w:cs="宋体"/>
          <w:sz w:val="21"/>
          <w:szCs w:val="21"/>
        </w:rPr>
      </w:pPr>
      <w:r>
        <w:rPr>
          <w:rFonts w:hint="eastAsia" w:hAnsi="宋体" w:cs="宋体"/>
          <w:sz w:val="21"/>
          <w:szCs w:val="21"/>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2"/>
        </w:numPr>
        <w:spacing w:line="420" w:lineRule="exact"/>
        <w:rPr>
          <w:rFonts w:hAnsi="宋体" w:cs="宋体"/>
          <w:sz w:val="21"/>
          <w:szCs w:val="21"/>
        </w:rPr>
      </w:pPr>
      <w:r>
        <w:rPr>
          <w:rFonts w:hint="eastAsia" w:hAnsi="宋体" w:cs="宋体"/>
          <w:sz w:val="21"/>
          <w:szCs w:val="21"/>
        </w:rPr>
        <w:t>提供虚假材料谋取中标、成交的；</w:t>
      </w:r>
    </w:p>
    <w:p>
      <w:pPr>
        <w:pStyle w:val="14"/>
        <w:numPr>
          <w:ilvl w:val="0"/>
          <w:numId w:val="2"/>
        </w:numPr>
        <w:spacing w:line="420" w:lineRule="exact"/>
        <w:rPr>
          <w:rFonts w:hAnsi="宋体" w:cs="宋体"/>
          <w:sz w:val="21"/>
          <w:szCs w:val="21"/>
        </w:rPr>
      </w:pPr>
      <w:r>
        <w:rPr>
          <w:rFonts w:hint="eastAsia" w:hAnsi="宋体" w:cs="宋体"/>
          <w:sz w:val="21"/>
          <w:szCs w:val="21"/>
        </w:rPr>
        <w:t>采取不正当手段诋毁、排挤其他供应商的；</w:t>
      </w:r>
    </w:p>
    <w:p>
      <w:pPr>
        <w:pStyle w:val="14"/>
        <w:numPr>
          <w:ilvl w:val="0"/>
          <w:numId w:val="2"/>
        </w:numPr>
        <w:spacing w:line="420" w:lineRule="exact"/>
        <w:rPr>
          <w:rFonts w:hAnsi="宋体" w:cs="宋体"/>
          <w:sz w:val="21"/>
          <w:szCs w:val="21"/>
        </w:rPr>
      </w:pPr>
      <w:r>
        <w:rPr>
          <w:rFonts w:hint="eastAsia" w:hAnsi="宋体" w:cs="宋体"/>
          <w:sz w:val="21"/>
          <w:szCs w:val="21"/>
        </w:rPr>
        <w:t>与采购人、其他供应商或者采购代理机构恶意串通的；</w:t>
      </w:r>
    </w:p>
    <w:p>
      <w:pPr>
        <w:pStyle w:val="14"/>
        <w:numPr>
          <w:ilvl w:val="0"/>
          <w:numId w:val="2"/>
        </w:numPr>
        <w:spacing w:line="420" w:lineRule="exact"/>
        <w:rPr>
          <w:rFonts w:hAnsi="宋体" w:cs="宋体"/>
          <w:sz w:val="21"/>
          <w:szCs w:val="21"/>
        </w:rPr>
      </w:pPr>
      <w:r>
        <w:rPr>
          <w:rFonts w:hint="eastAsia" w:hAnsi="宋体" w:cs="宋体"/>
          <w:sz w:val="21"/>
          <w:szCs w:val="21"/>
        </w:rPr>
        <w:t>向采购人、采购代理机构行贿或者提供其他不正当利益的；</w:t>
      </w:r>
    </w:p>
    <w:p>
      <w:pPr>
        <w:pStyle w:val="14"/>
        <w:numPr>
          <w:ilvl w:val="0"/>
          <w:numId w:val="2"/>
        </w:numPr>
        <w:spacing w:line="420" w:lineRule="exact"/>
        <w:rPr>
          <w:rFonts w:hAnsi="宋体" w:cs="宋体"/>
          <w:sz w:val="21"/>
          <w:szCs w:val="21"/>
        </w:rPr>
      </w:pPr>
      <w:r>
        <w:rPr>
          <w:rFonts w:hint="eastAsia" w:hAnsi="宋体" w:cs="宋体"/>
          <w:sz w:val="21"/>
          <w:szCs w:val="21"/>
        </w:rPr>
        <w:t>在招标采购过程中与采购人进行协商谈判的；</w:t>
      </w:r>
    </w:p>
    <w:p>
      <w:pPr>
        <w:pStyle w:val="14"/>
        <w:spacing w:line="420" w:lineRule="exact"/>
        <w:ind w:firstLine="420" w:firstLineChars="200"/>
        <w:rPr>
          <w:rFonts w:hAnsi="宋体" w:cs="宋体"/>
          <w:sz w:val="21"/>
          <w:szCs w:val="21"/>
        </w:rPr>
      </w:pPr>
      <w:r>
        <w:rPr>
          <w:rFonts w:hint="eastAsia" w:hAnsi="宋体" w:cs="宋体"/>
          <w:sz w:val="21"/>
          <w:szCs w:val="21"/>
        </w:rPr>
        <w:t>（6）  拒绝有关部门监督检查或提供虚假情况的。</w:t>
      </w:r>
    </w:p>
    <w:p>
      <w:pPr>
        <w:pStyle w:val="14"/>
        <w:spacing w:line="440" w:lineRule="exact"/>
        <w:ind w:left="420"/>
        <w:rPr>
          <w:rFonts w:hAnsi="宋体" w:cs="宋体"/>
          <w:sz w:val="21"/>
          <w:szCs w:val="21"/>
        </w:rPr>
      </w:pPr>
      <w:r>
        <w:rPr>
          <w:rFonts w:hint="eastAsia" w:hAnsi="宋体" w:cs="宋体"/>
          <w:sz w:val="21"/>
          <w:szCs w:val="21"/>
        </w:rPr>
        <w:t>11、我方及由本人担任法定代表人（负责人）的其他机构最近三年内被处罚的违法行为有：</w:t>
      </w:r>
      <w:r>
        <w:rPr>
          <w:rFonts w:hint="eastAsia" w:hAnsi="宋体" w:cs="宋体"/>
          <w:sz w:val="21"/>
          <w:szCs w:val="21"/>
          <w:u w:val="single"/>
        </w:rPr>
        <w:t xml:space="preserve">                                        </w:t>
      </w:r>
    </w:p>
    <w:p>
      <w:pPr>
        <w:pStyle w:val="14"/>
        <w:spacing w:line="440" w:lineRule="exact"/>
        <w:ind w:left="420"/>
        <w:rPr>
          <w:rFonts w:hAnsi="宋体" w:cs="宋体"/>
          <w:sz w:val="21"/>
          <w:szCs w:val="21"/>
        </w:rPr>
      </w:pPr>
      <w:r>
        <w:rPr>
          <w:rFonts w:hint="eastAsia" w:hAnsi="宋体" w:cs="宋体"/>
          <w:sz w:val="21"/>
          <w:szCs w:val="21"/>
          <w:u w:val="single"/>
        </w:rPr>
        <w:t xml:space="preserve">                                                                                                                        </w:t>
      </w:r>
    </w:p>
    <w:p>
      <w:pPr>
        <w:pStyle w:val="14"/>
        <w:spacing w:line="360" w:lineRule="auto"/>
        <w:ind w:firstLine="420"/>
        <w:rPr>
          <w:rFonts w:hAnsi="宋体" w:cs="宋体"/>
          <w:sz w:val="21"/>
          <w:szCs w:val="21"/>
        </w:rPr>
      </w:pPr>
      <w:r>
        <w:rPr>
          <w:rFonts w:hint="eastAsia" w:hAnsi="宋体" w:cs="宋体"/>
          <w:sz w:val="21"/>
          <w:szCs w:val="21"/>
        </w:rPr>
        <w:t>12、以上事项如有虚假或隐瞒，我方愿意承担一切后果，并不再寻求任何旨在减轻或免除法律责任的辩解。</w:t>
      </w:r>
    </w:p>
    <w:p>
      <w:pPr>
        <w:pStyle w:val="14"/>
        <w:spacing w:line="420" w:lineRule="exact"/>
        <w:ind w:firstLine="420"/>
        <w:rPr>
          <w:rFonts w:hAnsi="宋体" w:cs="宋体"/>
          <w:sz w:val="21"/>
          <w:szCs w:val="21"/>
          <w:u w:val="single"/>
        </w:rPr>
      </w:pPr>
      <w:r>
        <w:rPr>
          <w:rFonts w:hint="eastAsia" w:hAnsi="宋体" w:cs="宋体"/>
          <w:sz w:val="21"/>
          <w:szCs w:val="21"/>
        </w:rPr>
        <w:t>投标人名称：</w:t>
      </w:r>
      <w:r>
        <w:rPr>
          <w:rFonts w:hint="eastAsia" w:hAnsi="宋体" w:cs="宋体"/>
          <w:sz w:val="21"/>
          <w:szCs w:val="21"/>
          <w:u w:val="single"/>
        </w:rPr>
        <w:t xml:space="preserve">                                         </w:t>
      </w:r>
      <w:r>
        <w:rPr>
          <w:rFonts w:hint="eastAsia" w:hAnsi="宋体" w:cs="宋体"/>
          <w:sz w:val="21"/>
          <w:szCs w:val="21"/>
        </w:rPr>
        <w:t>（盖单位公章）</w:t>
      </w:r>
    </w:p>
    <w:p>
      <w:pPr>
        <w:pStyle w:val="14"/>
        <w:spacing w:line="420" w:lineRule="exact"/>
        <w:ind w:firstLine="420"/>
        <w:rPr>
          <w:rFonts w:hAnsi="宋体" w:cs="宋体"/>
          <w:sz w:val="21"/>
          <w:szCs w:val="21"/>
        </w:rPr>
      </w:pPr>
      <w:r>
        <w:rPr>
          <w:rFonts w:hint="eastAsia" w:hAnsi="宋体" w:cs="宋体"/>
          <w:sz w:val="21"/>
          <w:szCs w:val="21"/>
        </w:rPr>
        <w:t>法定代表人（负责人）或其委托代理人：</w:t>
      </w:r>
      <w:r>
        <w:rPr>
          <w:rFonts w:hint="eastAsia" w:hAnsi="宋体" w:cs="宋体"/>
          <w:sz w:val="21"/>
          <w:szCs w:val="21"/>
          <w:u w:val="single"/>
        </w:rPr>
        <w:t xml:space="preserve">                       </w:t>
      </w:r>
      <w:r>
        <w:rPr>
          <w:rFonts w:hint="eastAsia" w:hAnsi="宋体" w:cs="宋体"/>
          <w:sz w:val="21"/>
          <w:szCs w:val="21"/>
        </w:rPr>
        <w:t>（签字或盖章）</w:t>
      </w:r>
    </w:p>
    <w:p>
      <w:pPr>
        <w:pStyle w:val="14"/>
        <w:spacing w:line="420" w:lineRule="exact"/>
        <w:ind w:firstLine="420"/>
        <w:rPr>
          <w:rFonts w:hAnsi="宋体" w:cs="宋体"/>
          <w:sz w:val="21"/>
          <w:szCs w:val="21"/>
        </w:rPr>
      </w:pPr>
      <w:r>
        <w:rPr>
          <w:rFonts w:hint="eastAsia" w:hAnsi="宋体" w:cs="宋体"/>
          <w:sz w:val="21"/>
          <w:szCs w:val="21"/>
        </w:rPr>
        <w:t>地址：</w:t>
      </w:r>
      <w:r>
        <w:rPr>
          <w:rFonts w:hint="eastAsia" w:hAnsi="宋体" w:cs="宋体"/>
          <w:sz w:val="21"/>
          <w:szCs w:val="21"/>
          <w:u w:val="single"/>
        </w:rPr>
        <w:t xml:space="preserve">                                                        </w:t>
      </w:r>
      <w:r>
        <w:rPr>
          <w:rFonts w:hint="eastAsia" w:hAnsi="宋体" w:cs="宋体"/>
          <w:sz w:val="21"/>
          <w:szCs w:val="21"/>
        </w:rPr>
        <w:t xml:space="preserve"> </w:t>
      </w:r>
    </w:p>
    <w:p>
      <w:pPr>
        <w:pStyle w:val="14"/>
        <w:spacing w:line="420" w:lineRule="exact"/>
        <w:ind w:firstLine="420"/>
        <w:rPr>
          <w:rFonts w:hAnsi="宋体" w:cs="宋体"/>
          <w:sz w:val="21"/>
          <w:szCs w:val="21"/>
          <w:u w:val="single"/>
        </w:rPr>
      </w:pPr>
      <w:r>
        <w:rPr>
          <w:rFonts w:hint="eastAsia" w:hAnsi="宋体" w:cs="宋体"/>
          <w:sz w:val="21"/>
          <w:szCs w:val="21"/>
        </w:rPr>
        <w:t>电话：</w:t>
      </w:r>
      <w:r>
        <w:rPr>
          <w:rFonts w:hint="eastAsia" w:hAnsi="宋体" w:cs="宋体"/>
          <w:sz w:val="21"/>
          <w:szCs w:val="21"/>
          <w:u w:val="single"/>
        </w:rPr>
        <w:t xml:space="preserve">                                      　　　　　　　　　</w:t>
      </w:r>
    </w:p>
    <w:p>
      <w:pPr>
        <w:pStyle w:val="14"/>
        <w:spacing w:line="420" w:lineRule="exact"/>
        <w:ind w:firstLine="420"/>
        <w:rPr>
          <w:rFonts w:hAnsi="宋体" w:cs="宋体"/>
          <w:sz w:val="21"/>
          <w:szCs w:val="21"/>
        </w:rPr>
      </w:pPr>
      <w:r>
        <w:rPr>
          <w:rFonts w:hint="eastAsia" w:hAnsi="宋体" w:cs="宋体"/>
          <w:sz w:val="21"/>
          <w:szCs w:val="21"/>
        </w:rPr>
        <w:t>传真：</w:t>
      </w:r>
      <w:r>
        <w:rPr>
          <w:rFonts w:hint="eastAsia" w:hAnsi="宋体" w:cs="宋体"/>
          <w:sz w:val="21"/>
          <w:szCs w:val="21"/>
          <w:u w:val="single"/>
        </w:rPr>
        <w:t>　　　　　　　　　　　　　　　　　　　　　　　　　　　　</w:t>
      </w:r>
    </w:p>
    <w:p>
      <w:pPr>
        <w:pStyle w:val="14"/>
        <w:spacing w:line="420" w:lineRule="exact"/>
        <w:ind w:firstLine="420"/>
        <w:rPr>
          <w:rFonts w:hAnsi="宋体" w:cs="宋体"/>
          <w:sz w:val="21"/>
          <w:szCs w:val="21"/>
          <w:u w:val="single"/>
        </w:rPr>
      </w:pPr>
      <w:r>
        <w:rPr>
          <w:rFonts w:hint="eastAsia" w:hAnsi="宋体" w:cs="宋体"/>
          <w:sz w:val="21"/>
          <w:szCs w:val="21"/>
        </w:rPr>
        <w:t>邮政编码：</w:t>
      </w:r>
      <w:r>
        <w:rPr>
          <w:rFonts w:hint="eastAsia" w:hAnsi="宋体" w:cs="宋体"/>
          <w:sz w:val="21"/>
          <w:szCs w:val="21"/>
          <w:u w:val="single"/>
        </w:rPr>
        <w:t xml:space="preserve">                                                    </w:t>
      </w:r>
    </w:p>
    <w:p>
      <w:pPr>
        <w:pStyle w:val="14"/>
        <w:spacing w:line="420" w:lineRule="exact"/>
        <w:ind w:firstLine="420"/>
        <w:rPr>
          <w:rFonts w:hAnsi="宋体" w:cs="宋体"/>
          <w:sz w:val="21"/>
          <w:szCs w:val="21"/>
          <w:u w:val="single"/>
        </w:rPr>
      </w:pPr>
      <w:r>
        <w:rPr>
          <w:rFonts w:hint="eastAsia" w:hAnsi="宋体" w:cs="宋体"/>
          <w:sz w:val="21"/>
          <w:szCs w:val="21"/>
        </w:rPr>
        <w:t>开户名称：</w:t>
      </w:r>
      <w:r>
        <w:rPr>
          <w:rFonts w:hint="eastAsia" w:hAnsi="宋体" w:cs="宋体"/>
          <w:sz w:val="21"/>
          <w:szCs w:val="21"/>
          <w:u w:val="single"/>
        </w:rPr>
        <w:t xml:space="preserve">                                                    </w:t>
      </w:r>
    </w:p>
    <w:p>
      <w:pPr>
        <w:pStyle w:val="14"/>
        <w:spacing w:line="420" w:lineRule="exact"/>
        <w:ind w:firstLine="420"/>
        <w:rPr>
          <w:rFonts w:hAnsi="宋体" w:cs="宋体"/>
          <w:sz w:val="21"/>
          <w:szCs w:val="21"/>
          <w:u w:val="single"/>
        </w:rPr>
      </w:pPr>
      <w:r>
        <w:rPr>
          <w:rFonts w:hint="eastAsia" w:hAnsi="宋体" w:cs="宋体"/>
          <w:sz w:val="21"/>
          <w:szCs w:val="21"/>
        </w:rPr>
        <w:t>开户银行：</w:t>
      </w:r>
      <w:r>
        <w:rPr>
          <w:rFonts w:hint="eastAsia" w:hAnsi="宋体" w:cs="宋体"/>
          <w:sz w:val="21"/>
          <w:szCs w:val="21"/>
          <w:u w:val="single"/>
        </w:rPr>
        <w:t xml:space="preserve">                                                    </w:t>
      </w:r>
    </w:p>
    <w:p>
      <w:pPr>
        <w:pStyle w:val="14"/>
        <w:spacing w:line="420" w:lineRule="exact"/>
        <w:ind w:firstLine="420"/>
        <w:rPr>
          <w:rFonts w:hAnsi="宋体" w:cs="宋体"/>
          <w:sz w:val="21"/>
          <w:szCs w:val="21"/>
          <w:u w:val="single"/>
        </w:rPr>
      </w:pPr>
      <w:r>
        <w:rPr>
          <w:rFonts w:hint="eastAsia" w:hAnsi="宋体" w:cs="宋体"/>
          <w:sz w:val="21"/>
          <w:szCs w:val="21"/>
        </w:rPr>
        <w:t>银行账号：</w:t>
      </w:r>
      <w:r>
        <w:rPr>
          <w:rFonts w:hint="eastAsia" w:hAnsi="宋体" w:cs="宋体"/>
          <w:sz w:val="21"/>
          <w:szCs w:val="21"/>
          <w:u w:val="single"/>
        </w:rPr>
        <w:t xml:space="preserve">                                                    </w:t>
      </w:r>
    </w:p>
    <w:p>
      <w:pPr>
        <w:pStyle w:val="14"/>
        <w:spacing w:line="420" w:lineRule="exact"/>
        <w:ind w:firstLine="420"/>
        <w:rPr>
          <w:rFonts w:hAnsi="宋体" w:cs="宋体"/>
          <w:bCs/>
          <w:sz w:val="21"/>
          <w:szCs w:val="21"/>
        </w:rPr>
      </w:pPr>
      <w:r>
        <w:rPr>
          <w:rFonts w:hint="eastAsia" w:hAnsi="宋体" w:cs="宋体"/>
          <w:bCs/>
          <w:sz w:val="21"/>
          <w:szCs w:val="21"/>
        </w:rPr>
        <w:t>日期</w:t>
      </w:r>
      <w:r>
        <w:rPr>
          <w:rFonts w:hint="eastAsia" w:hAnsi="宋体" w:cs="宋体"/>
          <w:bCs/>
          <w:sz w:val="21"/>
          <w:szCs w:val="21"/>
          <w:u w:val="single"/>
        </w:rPr>
        <w:t xml:space="preserve">：    </w:t>
      </w:r>
      <w:r>
        <w:rPr>
          <w:rFonts w:hint="eastAsia" w:hAnsi="宋体" w:cs="宋体"/>
          <w:bCs/>
          <w:sz w:val="21"/>
          <w:szCs w:val="21"/>
        </w:rPr>
        <w:t>年</w:t>
      </w:r>
      <w:r>
        <w:rPr>
          <w:rFonts w:hint="eastAsia" w:hAnsi="宋体" w:cs="宋体"/>
          <w:bCs/>
          <w:sz w:val="21"/>
          <w:szCs w:val="21"/>
          <w:u w:val="single"/>
        </w:rPr>
        <w:t xml:space="preserve">    </w:t>
      </w:r>
      <w:r>
        <w:rPr>
          <w:rFonts w:hint="eastAsia" w:hAnsi="宋体" w:cs="宋体"/>
          <w:bCs/>
          <w:sz w:val="21"/>
          <w:szCs w:val="21"/>
        </w:rPr>
        <w:t>月</w:t>
      </w:r>
      <w:r>
        <w:rPr>
          <w:rFonts w:hint="eastAsia" w:hAnsi="宋体" w:cs="宋体"/>
          <w:bCs/>
          <w:sz w:val="21"/>
          <w:szCs w:val="21"/>
          <w:u w:val="single"/>
        </w:rPr>
        <w:t xml:space="preserve">    </w:t>
      </w:r>
      <w:r>
        <w:rPr>
          <w:rFonts w:hint="eastAsia" w:hAnsi="宋体" w:cs="宋体"/>
          <w:bCs/>
          <w:sz w:val="21"/>
          <w:szCs w:val="21"/>
        </w:rPr>
        <w:t>日</w:t>
      </w:r>
    </w:p>
    <w:p>
      <w:pPr>
        <w:pStyle w:val="14"/>
        <w:spacing w:line="420" w:lineRule="exact"/>
        <w:ind w:firstLine="420"/>
        <w:outlineLvl w:val="0"/>
        <w:rPr>
          <w:rFonts w:hAnsi="宋体" w:cs="宋体"/>
          <w:sz w:val="21"/>
          <w:szCs w:val="21"/>
          <w:u w:val="single"/>
        </w:rPr>
      </w:pPr>
      <w:r>
        <w:rPr>
          <w:rFonts w:hint="eastAsia" w:hAnsi="宋体" w:cs="宋体"/>
          <w:b/>
          <w:bCs/>
          <w:sz w:val="21"/>
          <w:szCs w:val="21"/>
        </w:rPr>
        <w:br w:type="page"/>
      </w:r>
      <w:bookmarkStart w:id="70" w:name="_Toc16144"/>
      <w:bookmarkStart w:id="71" w:name="_Toc15838"/>
      <w:bookmarkStart w:id="72" w:name="_Toc21794"/>
      <w:bookmarkStart w:id="73" w:name="_Toc25556"/>
      <w:r>
        <w:rPr>
          <w:rFonts w:hint="eastAsia" w:hAnsi="宋体" w:cs="宋体"/>
          <w:b/>
          <w:sz w:val="21"/>
          <w:szCs w:val="21"/>
        </w:rPr>
        <w:t>格式2：</w:t>
      </w:r>
      <w:bookmarkEnd w:id="70"/>
      <w:bookmarkEnd w:id="71"/>
      <w:bookmarkEnd w:id="72"/>
      <w:bookmarkEnd w:id="73"/>
    </w:p>
    <w:p>
      <w:pPr>
        <w:pStyle w:val="14"/>
        <w:spacing w:line="500" w:lineRule="exact"/>
        <w:jc w:val="center"/>
        <w:rPr>
          <w:rFonts w:hAnsi="宋体" w:cs="宋体"/>
          <w:b/>
          <w:bCs/>
          <w:sz w:val="21"/>
          <w:szCs w:val="21"/>
        </w:rPr>
      </w:pPr>
      <w:r>
        <w:rPr>
          <w:rFonts w:hint="eastAsia" w:hAnsi="宋体" w:cs="宋体"/>
          <w:b/>
          <w:bCs/>
          <w:sz w:val="21"/>
          <w:szCs w:val="21"/>
        </w:rPr>
        <w:t>投标报价表</w:t>
      </w:r>
    </w:p>
    <w:p>
      <w:pPr>
        <w:pStyle w:val="14"/>
        <w:rPr>
          <w:rFonts w:hAnsi="宋体" w:cs="宋体"/>
          <w:b/>
          <w:sz w:val="21"/>
          <w:szCs w:val="21"/>
        </w:rPr>
      </w:pPr>
    </w:p>
    <w:tbl>
      <w:tblPr>
        <w:tblStyle w:val="2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879"/>
        <w:gridCol w:w="2065"/>
        <w:gridCol w:w="1609"/>
        <w:gridCol w:w="155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5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序号</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服务内容</w:t>
            </w: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上控价（元）</w:t>
            </w:r>
          </w:p>
        </w:tc>
        <w:tc>
          <w:tcPr>
            <w:tcW w:w="155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sz w:val="21"/>
                <w:szCs w:val="21"/>
              </w:rPr>
            </w:pPr>
            <w:r>
              <w:rPr>
                <w:rFonts w:hint="eastAsia" w:ascii="宋体" w:hAnsi="宋体" w:cs="宋体"/>
                <w:sz w:val="21"/>
                <w:szCs w:val="21"/>
              </w:rPr>
              <w:t>报价（元）</w:t>
            </w:r>
          </w:p>
        </w:tc>
        <w:tc>
          <w:tcPr>
            <w:tcW w:w="15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8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21"/>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8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21"/>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18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21"/>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4</w:t>
            </w:r>
          </w:p>
        </w:tc>
        <w:tc>
          <w:tcPr>
            <w:tcW w:w="18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21"/>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w:t>
            </w:r>
          </w:p>
        </w:tc>
        <w:tc>
          <w:tcPr>
            <w:tcW w:w="18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21"/>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ind w:left="105" w:hanging="105" w:hangingChars="50"/>
              <w:rPr>
                <w:rFonts w:ascii="宋体" w:hAnsi="宋体" w:cs="宋体"/>
                <w:sz w:val="21"/>
                <w:szCs w:val="21"/>
              </w:rPr>
            </w:pPr>
            <w:r>
              <w:rPr>
                <w:rFonts w:hint="eastAsia" w:ascii="宋体" w:hAnsi="宋体" w:cs="宋体"/>
                <w:sz w:val="21"/>
                <w:szCs w:val="21"/>
              </w:rPr>
              <w:t>其中单价   元/平方公里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right"/>
        </w:trPr>
        <w:tc>
          <w:tcPr>
            <w:tcW w:w="916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b/>
                <w:bCs/>
                <w:sz w:val="21"/>
                <w:szCs w:val="21"/>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162"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1"/>
                <w:szCs w:val="21"/>
              </w:rPr>
            </w:pPr>
            <w:r>
              <w:rPr>
                <w:rFonts w:hint="eastAsia" w:ascii="宋体" w:hAnsi="宋体" w:cs="宋体"/>
                <w:sz w:val="21"/>
                <w:szCs w:val="21"/>
              </w:rPr>
              <w:t>报价必须含以下部分，包括：</w:t>
            </w:r>
          </w:p>
          <w:p>
            <w:pPr>
              <w:spacing w:line="360" w:lineRule="exact"/>
              <w:rPr>
                <w:rFonts w:ascii="宋体" w:hAnsi="宋体" w:cs="宋体"/>
                <w:sz w:val="21"/>
                <w:szCs w:val="21"/>
              </w:rPr>
            </w:pPr>
            <w:r>
              <w:rPr>
                <w:rFonts w:hint="eastAsia" w:ascii="宋体" w:hAnsi="宋体" w:cs="宋体"/>
                <w:sz w:val="21"/>
                <w:szCs w:val="21"/>
              </w:rPr>
              <w:t xml:space="preserve">  ①服务的价格；</w:t>
            </w:r>
          </w:p>
          <w:p>
            <w:pPr>
              <w:spacing w:line="360" w:lineRule="exact"/>
              <w:rPr>
                <w:rFonts w:ascii="宋体" w:hAnsi="宋体" w:cs="宋体"/>
                <w:sz w:val="21"/>
                <w:szCs w:val="21"/>
              </w:rPr>
            </w:pPr>
            <w:r>
              <w:rPr>
                <w:rFonts w:hint="eastAsia" w:ascii="宋体" w:hAnsi="宋体" w:cs="宋体"/>
                <w:sz w:val="21"/>
                <w:szCs w:val="21"/>
              </w:rPr>
              <w:t xml:space="preserve">  ②必要的保险费用和各项税金；</w:t>
            </w:r>
          </w:p>
          <w:p>
            <w:pPr>
              <w:spacing w:line="360" w:lineRule="exact"/>
              <w:rPr>
                <w:rFonts w:ascii="宋体" w:hAnsi="宋体" w:cs="宋体"/>
                <w:sz w:val="21"/>
                <w:szCs w:val="21"/>
              </w:rPr>
            </w:pPr>
            <w:r>
              <w:rPr>
                <w:rFonts w:hint="eastAsia" w:ascii="宋体" w:hAnsi="宋体" w:cs="宋体"/>
                <w:sz w:val="21"/>
                <w:szCs w:val="21"/>
              </w:rPr>
              <w:t xml:space="preserve">  ③其他（如调研、差旅、会务、培训、技术支持等费用）；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16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u w:val="single"/>
              </w:rPr>
              <w:t>　　</w:t>
            </w:r>
            <w:r>
              <w:rPr>
                <w:rFonts w:hint="eastAsia" w:ascii="宋体" w:hAnsi="宋体" w:cs="宋体"/>
                <w:sz w:val="21"/>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16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投标人名称（盖单位公章）：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16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法定代表人（负责人）或其委托代理人（签字或盖章）：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162" w:type="dxa"/>
            <w:gridSpan w:val="6"/>
            <w:tcBorders>
              <w:top w:val="single" w:color="auto" w:sz="4" w:space="0"/>
              <w:left w:val="single" w:color="auto" w:sz="4" w:space="0"/>
              <w:bottom w:val="single" w:color="auto" w:sz="4" w:space="0"/>
              <w:right w:val="single" w:color="auto" w:sz="4" w:space="0"/>
            </w:tcBorders>
            <w:vAlign w:val="center"/>
          </w:tcPr>
          <w:p>
            <w:pPr>
              <w:pStyle w:val="14"/>
              <w:spacing w:line="420" w:lineRule="exact"/>
              <w:rPr>
                <w:rFonts w:hAnsi="宋体" w:cs="宋体"/>
                <w:bCs/>
                <w:sz w:val="21"/>
                <w:szCs w:val="21"/>
              </w:rPr>
            </w:pPr>
            <w:r>
              <w:rPr>
                <w:rFonts w:hint="eastAsia" w:hAnsi="宋体" w:cs="宋体"/>
                <w:bCs/>
                <w:sz w:val="21"/>
                <w:szCs w:val="21"/>
              </w:rPr>
              <w:t>日期：</w:t>
            </w:r>
            <w:r>
              <w:rPr>
                <w:rFonts w:hint="eastAsia" w:hAnsi="宋体" w:cs="宋体"/>
                <w:bCs/>
                <w:sz w:val="21"/>
                <w:szCs w:val="21"/>
                <w:u w:val="single"/>
              </w:rPr>
              <w:t xml:space="preserve">    </w:t>
            </w:r>
            <w:r>
              <w:rPr>
                <w:rFonts w:hint="eastAsia" w:hAnsi="宋体" w:cs="宋体"/>
                <w:bCs/>
                <w:sz w:val="21"/>
                <w:szCs w:val="21"/>
              </w:rPr>
              <w:t>年</w:t>
            </w:r>
            <w:r>
              <w:rPr>
                <w:rFonts w:hint="eastAsia" w:hAnsi="宋体" w:cs="宋体"/>
                <w:bCs/>
                <w:sz w:val="21"/>
                <w:szCs w:val="21"/>
                <w:u w:val="single"/>
              </w:rPr>
              <w:t xml:space="preserve">    </w:t>
            </w:r>
            <w:r>
              <w:rPr>
                <w:rFonts w:hint="eastAsia" w:hAnsi="宋体" w:cs="宋体"/>
                <w:bCs/>
                <w:sz w:val="21"/>
                <w:szCs w:val="21"/>
              </w:rPr>
              <w:t>月</w:t>
            </w:r>
            <w:r>
              <w:rPr>
                <w:rFonts w:hint="eastAsia" w:hAnsi="宋体" w:cs="宋体"/>
                <w:bCs/>
                <w:sz w:val="21"/>
                <w:szCs w:val="21"/>
                <w:u w:val="single"/>
              </w:rPr>
              <w:t xml:space="preserve">    </w:t>
            </w:r>
            <w:r>
              <w:rPr>
                <w:rFonts w:hint="eastAsia" w:hAnsi="宋体" w:cs="宋体"/>
                <w:bCs/>
                <w:sz w:val="21"/>
                <w:szCs w:val="21"/>
              </w:rPr>
              <w:t>日</w:t>
            </w:r>
          </w:p>
        </w:tc>
      </w:tr>
    </w:tbl>
    <w:p>
      <w:pPr>
        <w:pStyle w:val="14"/>
        <w:rPr>
          <w:rFonts w:hAnsi="宋体" w:cs="宋体"/>
          <w:sz w:val="21"/>
          <w:szCs w:val="21"/>
        </w:rPr>
      </w:pPr>
      <w:r>
        <w:rPr>
          <w:rFonts w:hint="eastAsia" w:hAnsi="宋体" w:cs="宋体"/>
          <w:b/>
          <w:sz w:val="21"/>
          <w:szCs w:val="21"/>
        </w:rPr>
        <w:t>注：表格内容均需按要求填写并盖章，不得留空，</w:t>
      </w:r>
      <w:r>
        <w:rPr>
          <w:rFonts w:hint="eastAsia" w:hAnsi="宋体" w:cs="宋体"/>
          <w:b/>
          <w:bCs/>
          <w:sz w:val="21"/>
          <w:szCs w:val="21"/>
        </w:rPr>
        <w:t>否则按投标无效处理</w:t>
      </w:r>
      <w:r>
        <w:rPr>
          <w:rFonts w:hint="eastAsia" w:hAnsi="宋体" w:cs="宋体"/>
          <w:b/>
          <w:sz w:val="21"/>
          <w:szCs w:val="21"/>
        </w:rPr>
        <w:t>。</w:t>
      </w:r>
    </w:p>
    <w:p>
      <w:pPr>
        <w:pStyle w:val="14"/>
        <w:rPr>
          <w:rFonts w:hAnsi="宋体" w:cs="宋体"/>
          <w:sz w:val="21"/>
          <w:szCs w:val="21"/>
        </w:rPr>
      </w:pPr>
    </w:p>
    <w:p>
      <w:pPr>
        <w:pStyle w:val="14"/>
        <w:spacing w:line="500" w:lineRule="exact"/>
        <w:jc w:val="center"/>
        <w:rPr>
          <w:rFonts w:hAnsi="宋体" w:cs="宋体"/>
          <w:b/>
          <w:bCs/>
          <w:sz w:val="21"/>
          <w:szCs w:val="21"/>
        </w:rPr>
      </w:pPr>
    </w:p>
    <w:p>
      <w:pPr>
        <w:pStyle w:val="14"/>
        <w:outlineLvl w:val="0"/>
        <w:rPr>
          <w:rFonts w:hAnsi="宋体" w:cs="宋体"/>
          <w:sz w:val="21"/>
          <w:szCs w:val="21"/>
        </w:rPr>
      </w:pPr>
      <w:r>
        <w:rPr>
          <w:rFonts w:hint="eastAsia" w:hAnsi="宋体" w:cs="宋体"/>
          <w:sz w:val="21"/>
          <w:szCs w:val="21"/>
        </w:rPr>
        <w:br w:type="page"/>
      </w:r>
      <w:bookmarkStart w:id="74" w:name="_Toc9928"/>
      <w:bookmarkStart w:id="75" w:name="_Toc23379"/>
      <w:bookmarkStart w:id="76" w:name="_Toc9373"/>
      <w:bookmarkStart w:id="77" w:name="_Toc8916"/>
      <w:r>
        <w:rPr>
          <w:rFonts w:hint="eastAsia" w:hAnsi="宋体" w:cs="宋体"/>
          <w:b/>
          <w:sz w:val="21"/>
          <w:szCs w:val="21"/>
        </w:rPr>
        <w:t>格式3：</w:t>
      </w:r>
      <w:bookmarkEnd w:id="74"/>
      <w:bookmarkEnd w:id="75"/>
      <w:bookmarkEnd w:id="76"/>
      <w:bookmarkEnd w:id="77"/>
    </w:p>
    <w:p>
      <w:pPr>
        <w:pStyle w:val="14"/>
        <w:jc w:val="center"/>
        <w:rPr>
          <w:rFonts w:hAnsi="宋体" w:cs="宋体"/>
          <w:sz w:val="21"/>
          <w:szCs w:val="21"/>
        </w:rPr>
      </w:pPr>
    </w:p>
    <w:p>
      <w:pPr>
        <w:pStyle w:val="14"/>
        <w:jc w:val="center"/>
        <w:rPr>
          <w:rFonts w:hAnsi="宋体" w:cs="宋体"/>
          <w:b/>
          <w:sz w:val="21"/>
          <w:szCs w:val="21"/>
        </w:rPr>
      </w:pPr>
      <w:r>
        <w:rPr>
          <w:rFonts w:hint="eastAsia" w:hAnsi="宋体" w:cs="宋体"/>
          <w:b/>
          <w:sz w:val="21"/>
          <w:szCs w:val="21"/>
        </w:rPr>
        <w:t>中小企业声明函（格式）</w:t>
      </w:r>
    </w:p>
    <w:p>
      <w:pPr>
        <w:pStyle w:val="13"/>
        <w:spacing w:line="240" w:lineRule="auto"/>
        <w:ind w:firstLine="0"/>
        <w:rPr>
          <w:rFonts w:hAnsi="宋体" w:cs="宋体"/>
          <w:sz w:val="21"/>
          <w:szCs w:val="21"/>
        </w:rPr>
      </w:pPr>
      <w:r>
        <w:rPr>
          <w:rFonts w:hint="eastAsia" w:hAnsi="宋体" w:cs="宋体"/>
          <w:sz w:val="21"/>
          <w:szCs w:val="21"/>
        </w:rPr>
        <w:t>说明：</w:t>
      </w:r>
    </w:p>
    <w:p>
      <w:pPr>
        <w:pStyle w:val="13"/>
        <w:spacing w:line="240" w:lineRule="auto"/>
        <w:ind w:firstLine="404" w:firstLineChars="200"/>
        <w:rPr>
          <w:rFonts w:hAnsi="宋体" w:cs="宋体"/>
          <w:sz w:val="21"/>
          <w:szCs w:val="21"/>
        </w:rPr>
      </w:pPr>
      <w:r>
        <w:rPr>
          <w:rFonts w:hint="eastAsia" w:hAnsi="宋体" w:cs="宋体"/>
          <w:sz w:val="21"/>
          <w:szCs w:val="21"/>
        </w:rPr>
        <w:t>1、本声明函主要供参加政府采购活动的中小企业填写，非中小企业无需填写。</w:t>
      </w:r>
    </w:p>
    <w:p>
      <w:pPr>
        <w:pStyle w:val="13"/>
        <w:spacing w:line="240" w:lineRule="auto"/>
        <w:ind w:firstLine="404" w:firstLineChars="200"/>
        <w:rPr>
          <w:rFonts w:hAnsi="宋体" w:cs="宋体"/>
          <w:sz w:val="21"/>
          <w:szCs w:val="21"/>
        </w:rPr>
      </w:pPr>
      <w:r>
        <w:rPr>
          <w:rFonts w:hint="eastAsia" w:hAnsi="宋体" w:cs="宋体"/>
          <w:sz w:val="21"/>
          <w:szCs w:val="21"/>
        </w:rPr>
        <w:t>2、小型、微型企业提供中型企业制造的货物的，视同为中型企业。</w:t>
      </w:r>
    </w:p>
    <w:p>
      <w:pPr>
        <w:pStyle w:val="13"/>
        <w:spacing w:line="240" w:lineRule="auto"/>
        <w:ind w:firstLine="404" w:firstLineChars="200"/>
        <w:rPr>
          <w:rFonts w:hAnsi="宋体" w:cs="宋体"/>
          <w:sz w:val="21"/>
          <w:szCs w:val="21"/>
        </w:rPr>
      </w:pPr>
      <w:r>
        <w:rPr>
          <w:rFonts w:hint="eastAsia" w:hAnsi="宋体" w:cs="宋体"/>
          <w:sz w:val="21"/>
          <w:szCs w:val="21"/>
        </w:rPr>
        <w:t>3、投标人按《财政部、司法部关于政府采购支持监狱企业发展有关问题的通知》（财库〔2014〕68号）认定为监狱企业，且提供由省（自治区）级以上监狱管理局、戒毒管理局（含新疆生产建设兵团）出具的属于监狱企业的证明文件的，视同小型、微型企业。</w:t>
      </w:r>
    </w:p>
    <w:p>
      <w:pPr>
        <w:pStyle w:val="13"/>
        <w:spacing w:line="360" w:lineRule="auto"/>
        <w:ind w:firstLine="404" w:firstLineChars="200"/>
        <w:rPr>
          <w:rFonts w:hAnsi="宋体" w:cs="宋体"/>
          <w:sz w:val="21"/>
          <w:szCs w:val="21"/>
        </w:rPr>
      </w:pPr>
    </w:p>
    <w:p>
      <w:pPr>
        <w:pStyle w:val="14"/>
        <w:spacing w:line="360" w:lineRule="auto"/>
        <w:ind w:firstLine="420" w:firstLineChars="200"/>
        <w:rPr>
          <w:rFonts w:hAnsi="宋体" w:cs="宋体"/>
          <w:sz w:val="21"/>
          <w:szCs w:val="21"/>
        </w:rPr>
      </w:pPr>
      <w:r>
        <w:rPr>
          <w:rFonts w:hint="eastAsia" w:hAnsi="宋体" w:cs="宋体"/>
          <w:sz w:val="21"/>
          <w:szCs w:val="21"/>
        </w:rPr>
        <w:t>本公司郑重声明，根据《政府采购促进中小企业发展暂行办法》（财库〔2011〕181号）的规定，本公司为______（请填写：中型、小型、微型）企业。即，本公司同时满足以下条件：</w:t>
      </w:r>
    </w:p>
    <w:p>
      <w:pPr>
        <w:pStyle w:val="14"/>
        <w:spacing w:line="360" w:lineRule="auto"/>
        <w:ind w:firstLine="420" w:firstLineChars="200"/>
        <w:rPr>
          <w:rFonts w:hAnsi="宋体" w:cs="宋体"/>
          <w:sz w:val="21"/>
          <w:szCs w:val="21"/>
        </w:rPr>
      </w:pPr>
      <w:r>
        <w:rPr>
          <w:rFonts w:hint="eastAsia" w:hAnsi="宋体" w:cs="宋体"/>
          <w:sz w:val="21"/>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14"/>
        <w:spacing w:line="360" w:lineRule="auto"/>
        <w:ind w:firstLine="420" w:firstLineChars="200"/>
        <w:rPr>
          <w:rFonts w:hAnsi="宋体" w:cs="宋体"/>
          <w:sz w:val="21"/>
          <w:szCs w:val="21"/>
        </w:rPr>
      </w:pPr>
      <w:r>
        <w:rPr>
          <w:rFonts w:hint="eastAsia" w:hAnsi="宋体" w:cs="宋体"/>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4"/>
        <w:spacing w:line="360" w:lineRule="auto"/>
        <w:ind w:firstLine="420" w:firstLineChars="200"/>
        <w:rPr>
          <w:rFonts w:hAnsi="宋体" w:cs="宋体"/>
          <w:sz w:val="21"/>
          <w:szCs w:val="21"/>
        </w:rPr>
      </w:pPr>
      <w:r>
        <w:rPr>
          <w:rFonts w:hint="eastAsia" w:hAnsi="宋体" w:cs="宋体"/>
          <w:sz w:val="21"/>
          <w:szCs w:val="21"/>
        </w:rPr>
        <w:t>本公司对上述声明的真实性负责。如有虚假，将依法承担相应责任。</w:t>
      </w:r>
    </w:p>
    <w:p>
      <w:pPr>
        <w:pStyle w:val="14"/>
        <w:spacing w:line="360" w:lineRule="auto"/>
        <w:ind w:firstLine="420" w:firstLineChars="200"/>
        <w:rPr>
          <w:rFonts w:hAnsi="宋体" w:cs="宋体"/>
          <w:sz w:val="21"/>
          <w:szCs w:val="21"/>
        </w:rPr>
      </w:pPr>
    </w:p>
    <w:p>
      <w:pPr>
        <w:pStyle w:val="14"/>
        <w:spacing w:line="360" w:lineRule="auto"/>
        <w:ind w:firstLine="420" w:firstLineChars="200"/>
        <w:rPr>
          <w:rFonts w:hAnsi="宋体" w:cs="宋体"/>
          <w:sz w:val="21"/>
          <w:szCs w:val="21"/>
        </w:rPr>
      </w:pPr>
    </w:p>
    <w:p>
      <w:pPr>
        <w:pStyle w:val="14"/>
        <w:spacing w:line="360" w:lineRule="auto"/>
        <w:ind w:firstLine="420" w:firstLineChars="200"/>
        <w:rPr>
          <w:rFonts w:hAnsi="宋体" w:cs="宋体"/>
          <w:sz w:val="21"/>
          <w:szCs w:val="21"/>
        </w:rPr>
      </w:pPr>
    </w:p>
    <w:p>
      <w:pPr>
        <w:pStyle w:val="14"/>
        <w:spacing w:line="600" w:lineRule="exact"/>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500" w:lineRule="exact"/>
        <w:rPr>
          <w:rFonts w:hAnsi="宋体" w:cs="宋体"/>
          <w:sz w:val="21"/>
          <w:szCs w:val="21"/>
        </w:rPr>
      </w:pPr>
    </w:p>
    <w:p>
      <w:pPr>
        <w:pStyle w:val="14"/>
        <w:spacing w:line="500" w:lineRule="exact"/>
        <w:rPr>
          <w:rFonts w:hAnsi="宋体" w:cs="宋体"/>
          <w:sz w:val="21"/>
          <w:szCs w:val="21"/>
          <w:u w:val="single"/>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p>
    <w:p>
      <w:pPr>
        <w:spacing w:line="460" w:lineRule="exact"/>
        <w:rPr>
          <w:rFonts w:ascii="宋体" w:hAnsi="宋体" w:cs="宋体"/>
          <w:spacing w:val="6"/>
          <w:sz w:val="21"/>
          <w:szCs w:val="21"/>
        </w:rPr>
      </w:pPr>
    </w:p>
    <w:p>
      <w:pPr>
        <w:spacing w:line="460" w:lineRule="exact"/>
        <w:jc w:val="right"/>
        <w:rPr>
          <w:rFonts w:ascii="宋体" w:hAnsi="宋体" w:cs="宋体"/>
          <w:sz w:val="21"/>
          <w:szCs w:val="21"/>
        </w:rPr>
      </w:pPr>
      <w:r>
        <w:rPr>
          <w:rFonts w:hint="eastAsia" w:ascii="宋体" w:hAnsi="宋体" w:cs="宋体"/>
          <w:spacing w:val="6"/>
          <w:sz w:val="21"/>
          <w:szCs w:val="21"/>
        </w:rPr>
        <w:t>日  期：   年    月    日</w:t>
      </w:r>
    </w:p>
    <w:p>
      <w:pPr>
        <w:spacing w:line="460" w:lineRule="exact"/>
        <w:rPr>
          <w:rFonts w:ascii="宋体" w:hAnsi="宋体" w:cs="宋体"/>
          <w:sz w:val="21"/>
          <w:szCs w:val="21"/>
        </w:rPr>
      </w:pPr>
    </w:p>
    <w:p>
      <w:pPr>
        <w:spacing w:line="460" w:lineRule="exact"/>
        <w:rPr>
          <w:rFonts w:ascii="宋体" w:hAnsi="宋体" w:cs="宋体"/>
          <w:b/>
          <w:sz w:val="21"/>
          <w:szCs w:val="21"/>
        </w:rPr>
      </w:pPr>
    </w:p>
    <w:p>
      <w:pPr>
        <w:snapToGrid w:val="0"/>
        <w:spacing w:before="50" w:afterLines="50" w:line="400" w:lineRule="exact"/>
        <w:jc w:val="left"/>
        <w:rPr>
          <w:rFonts w:ascii="宋体" w:hAnsi="宋体" w:cs="宋体"/>
          <w:b/>
          <w:sz w:val="21"/>
          <w:szCs w:val="21"/>
        </w:rPr>
      </w:pPr>
      <w:r>
        <w:rPr>
          <w:rFonts w:hint="eastAsia" w:ascii="宋体" w:hAnsi="宋体" w:cs="宋体"/>
          <w:sz w:val="21"/>
          <w:szCs w:val="21"/>
        </w:rPr>
        <w:br w:type="page"/>
      </w:r>
    </w:p>
    <w:p>
      <w:pPr>
        <w:snapToGrid w:val="0"/>
        <w:spacing w:before="50" w:afterLines="50" w:line="400" w:lineRule="exact"/>
        <w:jc w:val="left"/>
        <w:rPr>
          <w:rFonts w:ascii="宋体" w:hAnsi="宋体" w:cs="宋体"/>
          <w:b/>
          <w:sz w:val="21"/>
          <w:szCs w:val="21"/>
        </w:rPr>
      </w:pPr>
      <w:r>
        <w:rPr>
          <w:rFonts w:hint="eastAsia" w:ascii="宋体" w:hAnsi="宋体" w:cs="宋体"/>
          <w:b/>
          <w:sz w:val="21"/>
          <w:szCs w:val="21"/>
        </w:rPr>
        <w:t>残疾人福利性单位声明函（格式）：</w:t>
      </w:r>
    </w:p>
    <w:p>
      <w:pPr>
        <w:spacing w:line="588" w:lineRule="exact"/>
        <w:jc w:val="center"/>
        <w:rPr>
          <w:rFonts w:ascii="宋体" w:hAnsi="宋体" w:cs="宋体"/>
          <w:sz w:val="21"/>
          <w:szCs w:val="21"/>
        </w:rPr>
      </w:pPr>
      <w:r>
        <w:rPr>
          <w:rFonts w:hint="eastAsia" w:ascii="宋体" w:hAnsi="宋体" w:cs="宋体"/>
          <w:sz w:val="21"/>
          <w:szCs w:val="21"/>
        </w:rPr>
        <w:t>残疾人福利性单位声明函</w:t>
      </w:r>
    </w:p>
    <w:p>
      <w:pPr>
        <w:spacing w:line="588" w:lineRule="exact"/>
        <w:rPr>
          <w:rFonts w:ascii="宋体" w:hAnsi="宋体" w:cs="宋体"/>
          <w:spacing w:val="6"/>
          <w:sz w:val="21"/>
          <w:szCs w:val="21"/>
        </w:rPr>
      </w:pPr>
    </w:p>
    <w:p>
      <w:pPr>
        <w:spacing w:line="588" w:lineRule="exact"/>
        <w:ind w:firstLine="444" w:firstLineChars="200"/>
        <w:rPr>
          <w:rFonts w:ascii="宋体" w:hAnsi="宋体" w:cs="宋体"/>
          <w:spacing w:val="6"/>
          <w:sz w:val="21"/>
          <w:szCs w:val="21"/>
        </w:rPr>
      </w:pPr>
      <w:r>
        <w:rPr>
          <w:rFonts w:hint="eastAsia" w:ascii="宋体" w:hAnsi="宋体" w:cs="宋体"/>
          <w:spacing w:val="6"/>
          <w:sz w:val="21"/>
          <w:szCs w:val="21"/>
        </w:rPr>
        <w:t>本单位郑重声明，根据《财政部 民政部 中国残疾人联合会关于促进残疾人就业政府采购政策的通知》（财库</w:t>
      </w:r>
      <w:r>
        <w:rPr>
          <w:rFonts w:hint="eastAsia" w:ascii="宋体" w:hAnsi="宋体" w:cs="宋体"/>
          <w:sz w:val="21"/>
          <w:szCs w:val="21"/>
        </w:rPr>
        <w:t>〔2017〕 141</w:t>
      </w:r>
      <w:r>
        <w:rPr>
          <w:rFonts w:hint="eastAsia" w:ascii="宋体" w:hAnsi="宋体" w:cs="宋体"/>
          <w:spacing w:val="6"/>
          <w:sz w:val="21"/>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 w:val="21"/>
          <w:szCs w:val="21"/>
        </w:rPr>
      </w:pPr>
      <w:r>
        <w:rPr>
          <w:rFonts w:hint="eastAsia" w:ascii="宋体" w:hAnsi="宋体" w:cs="宋体"/>
          <w:spacing w:val="6"/>
          <w:sz w:val="21"/>
          <w:szCs w:val="21"/>
        </w:rPr>
        <w:t>本单位对上述声明的真实性负责。如有虚假，将依法承担相应责任。</w:t>
      </w:r>
    </w:p>
    <w:p>
      <w:pPr>
        <w:spacing w:line="588" w:lineRule="exact"/>
        <w:ind w:firstLine="444" w:firstLineChars="200"/>
        <w:rPr>
          <w:rFonts w:ascii="宋体" w:hAnsi="宋体" w:cs="宋体"/>
          <w:spacing w:val="6"/>
          <w:sz w:val="21"/>
          <w:szCs w:val="21"/>
        </w:rPr>
      </w:pPr>
    </w:p>
    <w:p>
      <w:pPr>
        <w:spacing w:line="588" w:lineRule="exact"/>
        <w:ind w:firstLine="444" w:firstLineChars="200"/>
        <w:rPr>
          <w:rFonts w:ascii="宋体" w:hAnsi="宋体" w:cs="宋体"/>
          <w:spacing w:val="6"/>
          <w:sz w:val="21"/>
          <w:szCs w:val="21"/>
        </w:rPr>
      </w:pPr>
    </w:p>
    <w:p>
      <w:pPr>
        <w:tabs>
          <w:tab w:val="left" w:pos="4860"/>
        </w:tabs>
        <w:spacing w:line="588" w:lineRule="exact"/>
        <w:ind w:right="1560" w:firstLine="444" w:firstLineChars="200"/>
        <w:jc w:val="center"/>
        <w:rPr>
          <w:rFonts w:ascii="宋体" w:hAnsi="宋体" w:cs="宋体"/>
          <w:spacing w:val="6"/>
          <w:sz w:val="21"/>
          <w:szCs w:val="21"/>
        </w:rPr>
      </w:pPr>
      <w:r>
        <w:rPr>
          <w:rFonts w:hint="eastAsia" w:ascii="宋体" w:hAnsi="宋体" w:cs="宋体"/>
          <w:spacing w:val="6"/>
          <w:sz w:val="21"/>
          <w:szCs w:val="21"/>
        </w:rPr>
        <w:t xml:space="preserve">               单位名称（盖章）：</w:t>
      </w:r>
    </w:p>
    <w:p>
      <w:pPr>
        <w:tabs>
          <w:tab w:val="left" w:pos="4860"/>
        </w:tabs>
        <w:spacing w:line="588" w:lineRule="exact"/>
        <w:ind w:right="1560" w:firstLine="444" w:firstLineChars="200"/>
        <w:jc w:val="center"/>
        <w:rPr>
          <w:rFonts w:ascii="宋体" w:hAnsi="宋体" w:cs="宋体"/>
          <w:spacing w:val="6"/>
          <w:sz w:val="21"/>
          <w:szCs w:val="21"/>
        </w:rPr>
      </w:pPr>
      <w:r>
        <w:rPr>
          <w:rFonts w:hint="eastAsia" w:ascii="宋体" w:hAnsi="宋体" w:cs="宋体"/>
          <w:spacing w:val="6"/>
          <w:sz w:val="21"/>
          <w:szCs w:val="21"/>
        </w:rPr>
        <w:t xml:space="preserve">       日  期：</w:t>
      </w:r>
    </w:p>
    <w:p>
      <w:pPr>
        <w:tabs>
          <w:tab w:val="left" w:pos="4860"/>
        </w:tabs>
        <w:spacing w:line="588" w:lineRule="exact"/>
        <w:ind w:right="1560" w:firstLine="422" w:firstLineChars="200"/>
        <w:jc w:val="center"/>
        <w:rPr>
          <w:rFonts w:ascii="宋体" w:hAnsi="宋体" w:cs="宋体"/>
          <w:b/>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widowControl/>
        <w:jc w:val="left"/>
        <w:rPr>
          <w:rFonts w:ascii="宋体" w:hAnsi="宋体" w:cs="宋体"/>
          <w:sz w:val="21"/>
          <w:szCs w:val="21"/>
        </w:rPr>
      </w:pPr>
      <w:bookmarkStart w:id="78" w:name="_Toc30613"/>
      <w:bookmarkStart w:id="79" w:name="_Toc2536"/>
      <w:bookmarkStart w:id="80" w:name="_Toc19546"/>
      <w:bookmarkStart w:id="81" w:name="_Toc16910"/>
      <w:r>
        <w:rPr>
          <w:rFonts w:hAnsi="宋体" w:cs="宋体"/>
          <w:sz w:val="21"/>
          <w:szCs w:val="21"/>
        </w:rPr>
        <w:br w:type="page"/>
      </w:r>
    </w:p>
    <w:p>
      <w:pPr>
        <w:pStyle w:val="14"/>
        <w:spacing w:line="360" w:lineRule="auto"/>
        <w:outlineLvl w:val="0"/>
        <w:rPr>
          <w:rFonts w:hAnsi="宋体" w:cs="宋体"/>
          <w:sz w:val="21"/>
          <w:szCs w:val="21"/>
        </w:rPr>
      </w:pPr>
      <w:r>
        <w:rPr>
          <w:rFonts w:hint="eastAsia" w:hAnsi="宋体" w:cs="宋体"/>
          <w:b/>
          <w:sz w:val="21"/>
          <w:szCs w:val="21"/>
        </w:rPr>
        <w:t>格式4：</w:t>
      </w:r>
      <w:bookmarkEnd w:id="78"/>
      <w:bookmarkEnd w:id="79"/>
      <w:bookmarkEnd w:id="80"/>
      <w:bookmarkEnd w:id="81"/>
    </w:p>
    <w:p>
      <w:pPr>
        <w:pStyle w:val="14"/>
        <w:jc w:val="center"/>
        <w:rPr>
          <w:sz w:val="21"/>
          <w:szCs w:val="21"/>
        </w:rPr>
      </w:pPr>
      <w:bookmarkStart w:id="82" w:name="_Toc17603"/>
      <w:bookmarkStart w:id="83" w:name="_Toc24669"/>
      <w:bookmarkStart w:id="84" w:name="_Toc8227"/>
      <w:bookmarkStart w:id="85" w:name="_Toc5162"/>
      <w:r>
        <w:rPr>
          <w:rFonts w:hint="eastAsia"/>
          <w:b/>
          <w:bCs/>
          <w:sz w:val="21"/>
          <w:szCs w:val="21"/>
        </w:rPr>
        <w:t>技术设计方案</w:t>
      </w:r>
      <w:bookmarkEnd w:id="82"/>
      <w:bookmarkEnd w:id="83"/>
      <w:bookmarkEnd w:id="84"/>
      <w:bookmarkEnd w:id="85"/>
    </w:p>
    <w:p>
      <w:pPr>
        <w:pStyle w:val="14"/>
        <w:spacing w:line="360" w:lineRule="auto"/>
        <w:ind w:firstLine="3570" w:firstLineChars="1700"/>
        <w:jc w:val="both"/>
        <w:rPr>
          <w:rFonts w:hAnsi="宋体" w:cs="宋体"/>
          <w:kern w:val="0"/>
          <w:sz w:val="21"/>
          <w:szCs w:val="21"/>
        </w:rPr>
      </w:pPr>
      <w:r>
        <w:rPr>
          <w:rFonts w:hint="eastAsia" w:hAnsi="宋体" w:cs="宋体"/>
          <w:kern w:val="0"/>
          <w:sz w:val="21"/>
          <w:szCs w:val="21"/>
        </w:rPr>
        <w:t>（格式自拟）</w:t>
      </w: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600" w:lineRule="exact"/>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600" w:lineRule="exact"/>
        <w:rPr>
          <w:rFonts w:hAnsi="宋体" w:cs="宋体"/>
          <w:sz w:val="21"/>
          <w:szCs w:val="21"/>
          <w:u w:val="single"/>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p>
    <w:p>
      <w:pPr>
        <w:pStyle w:val="14"/>
        <w:spacing w:line="600" w:lineRule="exact"/>
        <w:rPr>
          <w:rFonts w:hAnsi="宋体" w:cs="宋体"/>
          <w:sz w:val="21"/>
          <w:szCs w:val="21"/>
        </w:rPr>
      </w:pPr>
      <w:r>
        <w:rPr>
          <w:rFonts w:hint="eastAsia" w:hAnsi="宋体" w:cs="宋体"/>
          <w:sz w:val="21"/>
          <w:szCs w:val="21"/>
        </w:rPr>
        <w:t>日期：    年    月    日</w:t>
      </w: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rPr>
          <w:rFonts w:hint="eastAsia"/>
          <w:b/>
          <w:bCs/>
          <w:sz w:val="21"/>
          <w:szCs w:val="21"/>
        </w:rPr>
      </w:pPr>
    </w:p>
    <w:p>
      <w:pPr>
        <w:rPr>
          <w:rFonts w:hint="eastAsia"/>
          <w:b/>
          <w:bCs/>
          <w:sz w:val="21"/>
          <w:szCs w:val="21"/>
        </w:rPr>
      </w:pPr>
    </w:p>
    <w:p>
      <w:pPr>
        <w:rPr>
          <w:b/>
          <w:bCs/>
          <w:sz w:val="21"/>
          <w:szCs w:val="21"/>
        </w:rPr>
      </w:pPr>
      <w:r>
        <w:rPr>
          <w:rFonts w:hint="eastAsia"/>
          <w:b/>
          <w:bCs/>
          <w:sz w:val="21"/>
          <w:szCs w:val="21"/>
        </w:rPr>
        <w:t>格式5：联合投标协议书（参考格式）</w:t>
      </w:r>
    </w:p>
    <w:p>
      <w:pPr>
        <w:rPr>
          <w:sz w:val="21"/>
          <w:szCs w:val="21"/>
        </w:rPr>
      </w:pPr>
    </w:p>
    <w:p>
      <w:pPr>
        <w:spacing w:line="360" w:lineRule="atLeast"/>
        <w:jc w:val="center"/>
        <w:rPr>
          <w:b/>
          <w:sz w:val="21"/>
          <w:szCs w:val="21"/>
        </w:rPr>
      </w:pPr>
      <w:r>
        <w:rPr>
          <w:rFonts w:hint="eastAsia"/>
          <w:b/>
          <w:sz w:val="21"/>
          <w:szCs w:val="21"/>
        </w:rPr>
        <w:t>联合投标协议书</w:t>
      </w:r>
    </w:p>
    <w:p>
      <w:pPr>
        <w:spacing w:line="360" w:lineRule="atLeast"/>
        <w:jc w:val="center"/>
        <w:rPr>
          <w:b/>
          <w:sz w:val="21"/>
          <w:szCs w:val="21"/>
        </w:rPr>
      </w:pPr>
    </w:p>
    <w:p>
      <w:pPr>
        <w:spacing w:line="360" w:lineRule="auto"/>
        <w:ind w:firstLine="420" w:firstLineChars="200"/>
        <w:rPr>
          <w:sz w:val="21"/>
          <w:szCs w:val="21"/>
        </w:rPr>
      </w:pPr>
      <w:r>
        <w:rPr>
          <w:rFonts w:hint="eastAsia"/>
          <w:sz w:val="21"/>
          <w:szCs w:val="21"/>
          <w:u w:val="single"/>
        </w:rPr>
        <w:t xml:space="preserve">                </w:t>
      </w:r>
      <w:r>
        <w:rPr>
          <w:rFonts w:hint="eastAsia"/>
          <w:sz w:val="21"/>
          <w:szCs w:val="21"/>
        </w:rPr>
        <w:t>与</w:t>
      </w:r>
      <w:r>
        <w:rPr>
          <w:rFonts w:hint="eastAsia"/>
          <w:sz w:val="21"/>
          <w:szCs w:val="21"/>
          <w:u w:val="single"/>
        </w:rPr>
        <w:t xml:space="preserve">             </w:t>
      </w:r>
      <w:r>
        <w:rPr>
          <w:rFonts w:hint="eastAsia"/>
          <w:sz w:val="21"/>
          <w:szCs w:val="21"/>
        </w:rPr>
        <w:t>及</w:t>
      </w:r>
      <w:r>
        <w:rPr>
          <w:rFonts w:hint="eastAsia"/>
          <w:sz w:val="21"/>
          <w:szCs w:val="21"/>
          <w:u w:val="single"/>
        </w:rPr>
        <w:t xml:space="preserve">              </w:t>
      </w:r>
      <w:r>
        <w:rPr>
          <w:rFonts w:hint="eastAsia"/>
          <w:sz w:val="21"/>
          <w:szCs w:val="21"/>
        </w:rPr>
        <w:t>就贵单位</w:t>
      </w:r>
      <w:r>
        <w:rPr>
          <w:rFonts w:hint="eastAsia"/>
          <w:sz w:val="21"/>
          <w:szCs w:val="21"/>
          <w:u w:val="single"/>
        </w:rPr>
        <w:t xml:space="preserve">        </w:t>
      </w:r>
      <w:r>
        <w:rPr>
          <w:rFonts w:hint="eastAsia"/>
          <w:sz w:val="21"/>
          <w:szCs w:val="21"/>
        </w:rPr>
        <w:t>招标项目的投标有关事宜，经各方充分协商一致，达成如下协议：</w:t>
      </w:r>
    </w:p>
    <w:p>
      <w:pPr>
        <w:spacing w:line="360" w:lineRule="auto"/>
        <w:ind w:firstLine="420" w:firstLineChars="200"/>
        <w:rPr>
          <w:sz w:val="21"/>
          <w:szCs w:val="21"/>
        </w:rPr>
      </w:pPr>
      <w:r>
        <w:rPr>
          <w:rFonts w:hint="eastAsia"/>
          <w:sz w:val="21"/>
          <w:szCs w:val="21"/>
        </w:rPr>
        <w:t>一、由</w:t>
      </w:r>
      <w:r>
        <w:rPr>
          <w:rFonts w:hint="eastAsia"/>
          <w:sz w:val="21"/>
          <w:szCs w:val="21"/>
          <w:u w:val="single"/>
        </w:rPr>
        <w:t xml:space="preserve">                </w:t>
      </w:r>
      <w:r>
        <w:rPr>
          <w:rFonts w:hint="eastAsia"/>
          <w:sz w:val="21"/>
          <w:szCs w:val="21"/>
        </w:rPr>
        <w:t>牵头，</w:t>
      </w:r>
      <w:r>
        <w:rPr>
          <w:rFonts w:hint="eastAsia"/>
          <w:sz w:val="21"/>
          <w:szCs w:val="21"/>
          <w:u w:val="single"/>
        </w:rPr>
        <w:t xml:space="preserve">                </w:t>
      </w:r>
      <w:r>
        <w:rPr>
          <w:rFonts w:hint="eastAsia"/>
          <w:sz w:val="21"/>
          <w:szCs w:val="21"/>
        </w:rPr>
        <w:t>、</w:t>
      </w:r>
      <w:r>
        <w:rPr>
          <w:rFonts w:hint="eastAsia"/>
          <w:sz w:val="21"/>
          <w:szCs w:val="21"/>
          <w:u w:val="single"/>
        </w:rPr>
        <w:t xml:space="preserve">                </w:t>
      </w:r>
      <w:r>
        <w:rPr>
          <w:rFonts w:hint="eastAsia"/>
          <w:sz w:val="21"/>
          <w:szCs w:val="21"/>
        </w:rPr>
        <w:t>参加，组成联合体共同进行招标项目的投标工作。</w:t>
      </w:r>
    </w:p>
    <w:p>
      <w:pPr>
        <w:spacing w:line="360" w:lineRule="auto"/>
        <w:ind w:firstLine="420" w:firstLineChars="200"/>
        <w:rPr>
          <w:sz w:val="21"/>
          <w:szCs w:val="21"/>
        </w:rPr>
      </w:pPr>
      <w:r>
        <w:rPr>
          <w:rFonts w:hint="eastAsia"/>
          <w:sz w:val="21"/>
          <w:szCs w:val="21"/>
        </w:rPr>
        <w:t>二、</w:t>
      </w:r>
      <w:r>
        <w:rPr>
          <w:rFonts w:hint="eastAsia"/>
          <w:sz w:val="21"/>
          <w:szCs w:val="21"/>
          <w:u w:val="single"/>
        </w:rPr>
        <w:t xml:space="preserve">                       </w:t>
      </w:r>
      <w:r>
        <w:rPr>
          <w:rFonts w:hint="eastAsia"/>
          <w:sz w:val="21"/>
          <w:szCs w:val="21"/>
        </w:rPr>
        <w:t>为本次投标的主体单位，联合体以主体方的名义参加投标，联合体中标后，联合体各方共同与招标方签订合同，就本中标项目对招标方承担连带责任。</w:t>
      </w:r>
    </w:p>
    <w:p>
      <w:pPr>
        <w:spacing w:line="360" w:lineRule="auto"/>
        <w:ind w:firstLine="420" w:firstLineChars="200"/>
        <w:rPr>
          <w:sz w:val="21"/>
          <w:szCs w:val="21"/>
        </w:rPr>
      </w:pPr>
      <w:r>
        <w:rPr>
          <w:rFonts w:hint="eastAsia"/>
          <w:sz w:val="21"/>
          <w:szCs w:val="21"/>
        </w:rPr>
        <w:t>三、主体方</w:t>
      </w:r>
      <w:r>
        <w:rPr>
          <w:rFonts w:hint="eastAsia"/>
          <w:sz w:val="21"/>
          <w:szCs w:val="21"/>
          <w:u w:val="single"/>
        </w:rPr>
        <w:t xml:space="preserve">                          </w:t>
      </w:r>
      <w:r>
        <w:rPr>
          <w:rFonts w:hint="eastAsia"/>
          <w:sz w:val="21"/>
          <w:szCs w:val="21"/>
        </w:rPr>
        <w:t>负责</w:t>
      </w:r>
      <w:r>
        <w:rPr>
          <w:rFonts w:hint="eastAsia"/>
          <w:sz w:val="21"/>
          <w:szCs w:val="21"/>
          <w:u w:val="single"/>
        </w:rPr>
        <w:t xml:space="preserve">                      </w:t>
      </w:r>
      <w:r>
        <w:rPr>
          <w:rFonts w:hint="eastAsia"/>
          <w:sz w:val="21"/>
          <w:szCs w:val="21"/>
        </w:rPr>
        <w:t>等工作，具体工作范围、内容以合同为准。合同金额占联合体协议合同总金额的</w:t>
      </w:r>
      <w:r>
        <w:rPr>
          <w:rFonts w:hint="eastAsia"/>
          <w:sz w:val="21"/>
          <w:szCs w:val="21"/>
          <w:u w:val="single"/>
        </w:rPr>
        <w:t xml:space="preserve">    </w:t>
      </w:r>
      <w:r>
        <w:rPr>
          <w:rFonts w:hint="eastAsia"/>
          <w:sz w:val="21"/>
          <w:szCs w:val="21"/>
        </w:rPr>
        <w:t>%（即￥</w:t>
      </w:r>
      <w:r>
        <w:rPr>
          <w:rFonts w:hint="eastAsia"/>
          <w:sz w:val="21"/>
          <w:szCs w:val="21"/>
          <w:u w:val="single"/>
        </w:rPr>
        <w:t xml:space="preserve">      </w:t>
      </w:r>
      <w:r>
        <w:rPr>
          <w:rFonts w:hint="eastAsia"/>
          <w:sz w:val="21"/>
          <w:szCs w:val="21"/>
        </w:rPr>
        <w:t>元），承担的招标代理服务费占总招标代理服务费的</w:t>
      </w:r>
      <w:r>
        <w:rPr>
          <w:rFonts w:hint="eastAsia"/>
          <w:sz w:val="21"/>
          <w:szCs w:val="21"/>
          <w:u w:val="single"/>
        </w:rPr>
        <w:t xml:space="preserve">    </w:t>
      </w:r>
      <w:r>
        <w:rPr>
          <w:rFonts w:hint="eastAsia"/>
          <w:sz w:val="21"/>
          <w:szCs w:val="21"/>
        </w:rPr>
        <w:t>%。</w:t>
      </w:r>
    </w:p>
    <w:p>
      <w:pPr>
        <w:spacing w:line="360" w:lineRule="auto"/>
        <w:ind w:firstLine="420" w:firstLineChars="200"/>
        <w:rPr>
          <w:sz w:val="21"/>
          <w:szCs w:val="21"/>
        </w:rPr>
      </w:pPr>
      <w:r>
        <w:rPr>
          <w:rFonts w:hint="eastAsia"/>
          <w:sz w:val="21"/>
          <w:szCs w:val="21"/>
        </w:rPr>
        <w:t>四、参加方</w:t>
      </w:r>
      <w:r>
        <w:rPr>
          <w:rFonts w:hint="eastAsia"/>
          <w:sz w:val="21"/>
          <w:szCs w:val="21"/>
          <w:u w:val="single"/>
        </w:rPr>
        <w:t xml:space="preserve">                      </w:t>
      </w:r>
      <w:r>
        <w:rPr>
          <w:rFonts w:hint="eastAsia"/>
          <w:sz w:val="21"/>
          <w:szCs w:val="21"/>
        </w:rPr>
        <w:t>负责</w:t>
      </w:r>
      <w:r>
        <w:rPr>
          <w:rFonts w:hint="eastAsia"/>
          <w:sz w:val="21"/>
          <w:szCs w:val="21"/>
          <w:u w:val="single"/>
        </w:rPr>
        <w:t xml:space="preserve">                    </w:t>
      </w:r>
      <w:r>
        <w:rPr>
          <w:rFonts w:hint="eastAsia"/>
          <w:sz w:val="21"/>
          <w:szCs w:val="21"/>
        </w:rPr>
        <w:t>等工作，具体工作范围、内容以合同为准。合同金额占联合体协议合同总金额的</w:t>
      </w:r>
      <w:r>
        <w:rPr>
          <w:rFonts w:hint="eastAsia"/>
          <w:sz w:val="21"/>
          <w:szCs w:val="21"/>
          <w:u w:val="single"/>
        </w:rPr>
        <w:t xml:space="preserve">    </w:t>
      </w:r>
      <w:r>
        <w:rPr>
          <w:rFonts w:hint="eastAsia"/>
          <w:sz w:val="21"/>
          <w:szCs w:val="21"/>
        </w:rPr>
        <w:t>%（即￥</w:t>
      </w:r>
      <w:r>
        <w:rPr>
          <w:rFonts w:hint="eastAsia"/>
          <w:sz w:val="21"/>
          <w:szCs w:val="21"/>
          <w:u w:val="single"/>
        </w:rPr>
        <w:t xml:space="preserve">      </w:t>
      </w:r>
      <w:r>
        <w:rPr>
          <w:rFonts w:hint="eastAsia"/>
          <w:sz w:val="21"/>
          <w:szCs w:val="21"/>
        </w:rPr>
        <w:t>元），承担的招标代理服务费占总招标代理服务费的</w:t>
      </w:r>
      <w:r>
        <w:rPr>
          <w:rFonts w:hint="eastAsia"/>
          <w:sz w:val="21"/>
          <w:szCs w:val="21"/>
          <w:u w:val="single"/>
        </w:rPr>
        <w:t xml:space="preserve">    </w:t>
      </w:r>
      <w:r>
        <w:rPr>
          <w:rFonts w:hint="eastAsia"/>
          <w:sz w:val="21"/>
          <w:szCs w:val="21"/>
        </w:rPr>
        <w:t>%。</w:t>
      </w:r>
    </w:p>
    <w:p>
      <w:pPr>
        <w:spacing w:line="360" w:lineRule="auto"/>
        <w:ind w:firstLine="420" w:firstLineChars="200"/>
        <w:rPr>
          <w:sz w:val="21"/>
          <w:szCs w:val="21"/>
        </w:rPr>
      </w:pPr>
      <w:r>
        <w:rPr>
          <w:rFonts w:hint="eastAsia"/>
          <w:sz w:val="21"/>
          <w:szCs w:val="21"/>
        </w:rPr>
        <w:t xml:space="preserve">五、各方对于分享项目成果和知识产权的约定为：                      </w:t>
      </w:r>
    </w:p>
    <w:p>
      <w:pPr>
        <w:spacing w:line="360" w:lineRule="auto"/>
        <w:ind w:firstLine="420" w:firstLineChars="200"/>
        <w:rPr>
          <w:sz w:val="21"/>
          <w:szCs w:val="21"/>
        </w:rPr>
      </w:pPr>
      <w:r>
        <w:rPr>
          <w:rFonts w:hint="eastAsia"/>
          <w:sz w:val="21"/>
          <w:szCs w:val="21"/>
        </w:rPr>
        <w:t>六、各方的责任、权利、义务，在中标后经各方协商后报招标方同意另行签订协议或合同。</w:t>
      </w:r>
    </w:p>
    <w:p>
      <w:pPr>
        <w:spacing w:line="360" w:lineRule="auto"/>
        <w:ind w:firstLine="420" w:firstLineChars="200"/>
        <w:rPr>
          <w:sz w:val="21"/>
          <w:szCs w:val="21"/>
        </w:rPr>
      </w:pPr>
      <w:r>
        <w:rPr>
          <w:rFonts w:hint="eastAsia"/>
          <w:sz w:val="21"/>
          <w:szCs w:val="21"/>
        </w:rPr>
        <w:t>七、各方不得再以自己名义在本项目中单独投标。联合投标的项目负责人不能作为其他联合体或单独投标单位的项目组成员。因发生上述问题导致联合体投标成为废标，联合体的其他成员可追究违约行为。</w:t>
      </w:r>
    </w:p>
    <w:p>
      <w:pPr>
        <w:spacing w:line="360" w:lineRule="auto"/>
        <w:ind w:firstLine="420" w:firstLineChars="200"/>
        <w:rPr>
          <w:sz w:val="21"/>
          <w:szCs w:val="21"/>
        </w:rPr>
      </w:pPr>
      <w:r>
        <w:rPr>
          <w:rFonts w:hint="eastAsia"/>
          <w:sz w:val="21"/>
          <w:szCs w:val="21"/>
        </w:rPr>
        <w:t>八、未中标，本协议自动废止。</w:t>
      </w:r>
    </w:p>
    <w:p>
      <w:pPr>
        <w:spacing w:line="360" w:lineRule="auto"/>
        <w:rPr>
          <w:sz w:val="21"/>
          <w:szCs w:val="21"/>
        </w:rPr>
      </w:pPr>
    </w:p>
    <w:p>
      <w:pPr>
        <w:spacing w:line="360" w:lineRule="auto"/>
        <w:rPr>
          <w:sz w:val="21"/>
          <w:szCs w:val="21"/>
        </w:rPr>
      </w:pPr>
      <w:r>
        <w:rPr>
          <w:rFonts w:hint="eastAsia"/>
          <w:sz w:val="21"/>
          <w:szCs w:val="21"/>
        </w:rPr>
        <w:t>主办方：                           参加方：</w:t>
      </w:r>
    </w:p>
    <w:p>
      <w:pPr>
        <w:spacing w:line="360" w:lineRule="auto"/>
        <w:rPr>
          <w:sz w:val="21"/>
          <w:szCs w:val="21"/>
        </w:rPr>
      </w:pPr>
      <w:r>
        <w:rPr>
          <w:rFonts w:hint="eastAsia"/>
          <w:sz w:val="21"/>
          <w:szCs w:val="21"/>
        </w:rPr>
        <w:t>公章：                             公章：</w:t>
      </w:r>
    </w:p>
    <w:p>
      <w:pPr>
        <w:spacing w:line="360" w:lineRule="auto"/>
        <w:rPr>
          <w:sz w:val="21"/>
          <w:szCs w:val="21"/>
        </w:rPr>
      </w:pPr>
      <w:r>
        <w:rPr>
          <w:rFonts w:hint="eastAsia"/>
          <w:sz w:val="21"/>
          <w:szCs w:val="21"/>
        </w:rPr>
        <w:t>法定代表人（签字或盖章）：         法定代表人（签字或盖章）：</w:t>
      </w:r>
    </w:p>
    <w:p>
      <w:pPr>
        <w:spacing w:line="360" w:lineRule="auto"/>
        <w:rPr>
          <w:sz w:val="21"/>
          <w:szCs w:val="21"/>
        </w:rPr>
      </w:pPr>
      <w:r>
        <w:rPr>
          <w:rFonts w:hint="eastAsia"/>
          <w:sz w:val="21"/>
          <w:szCs w:val="21"/>
        </w:rPr>
        <w:t>地址：                             地址：</w:t>
      </w:r>
    </w:p>
    <w:p>
      <w:pPr>
        <w:spacing w:line="360" w:lineRule="auto"/>
        <w:rPr>
          <w:sz w:val="21"/>
          <w:szCs w:val="21"/>
        </w:rPr>
      </w:pPr>
      <w:r>
        <w:rPr>
          <w:rFonts w:hint="eastAsia"/>
          <w:sz w:val="21"/>
          <w:szCs w:val="21"/>
        </w:rPr>
        <w:t>邮编：                             邮编：</w:t>
      </w:r>
    </w:p>
    <w:p>
      <w:pPr>
        <w:spacing w:line="360" w:lineRule="auto"/>
        <w:rPr>
          <w:sz w:val="21"/>
          <w:szCs w:val="21"/>
        </w:rPr>
      </w:pPr>
      <w:r>
        <w:rPr>
          <w:rFonts w:hint="eastAsia"/>
          <w:sz w:val="21"/>
          <w:szCs w:val="21"/>
        </w:rPr>
        <w:t>电话：                             电话：</w:t>
      </w:r>
    </w:p>
    <w:p>
      <w:pPr>
        <w:spacing w:line="360" w:lineRule="auto"/>
        <w:rPr>
          <w:sz w:val="21"/>
          <w:szCs w:val="21"/>
        </w:rPr>
      </w:pPr>
    </w:p>
    <w:p>
      <w:pPr>
        <w:spacing w:line="360" w:lineRule="auto"/>
        <w:rPr>
          <w:sz w:val="21"/>
          <w:szCs w:val="21"/>
        </w:rPr>
      </w:pPr>
      <w:r>
        <w:rPr>
          <w:rFonts w:hint="eastAsia"/>
          <w:sz w:val="21"/>
          <w:szCs w:val="21"/>
        </w:rPr>
        <w:t>参加方：</w:t>
      </w:r>
    </w:p>
    <w:p>
      <w:pPr>
        <w:spacing w:line="360" w:lineRule="auto"/>
        <w:rPr>
          <w:sz w:val="21"/>
          <w:szCs w:val="21"/>
        </w:rPr>
      </w:pPr>
      <w:r>
        <w:rPr>
          <w:rFonts w:hint="eastAsia"/>
          <w:sz w:val="21"/>
          <w:szCs w:val="21"/>
        </w:rPr>
        <w:t>公章：</w:t>
      </w:r>
    </w:p>
    <w:p>
      <w:pPr>
        <w:spacing w:line="360" w:lineRule="auto"/>
        <w:rPr>
          <w:sz w:val="21"/>
          <w:szCs w:val="21"/>
        </w:rPr>
      </w:pPr>
      <w:r>
        <w:rPr>
          <w:rFonts w:hint="eastAsia"/>
          <w:sz w:val="21"/>
          <w:szCs w:val="21"/>
        </w:rPr>
        <w:t>法定代表人（签字或盖章）：</w:t>
      </w:r>
    </w:p>
    <w:p>
      <w:pPr>
        <w:spacing w:line="360" w:lineRule="auto"/>
        <w:rPr>
          <w:sz w:val="21"/>
          <w:szCs w:val="21"/>
        </w:rPr>
      </w:pPr>
      <w:r>
        <w:rPr>
          <w:rFonts w:hint="eastAsia"/>
          <w:sz w:val="21"/>
          <w:szCs w:val="21"/>
        </w:rPr>
        <w:t>地址：</w:t>
      </w:r>
    </w:p>
    <w:p>
      <w:pPr>
        <w:spacing w:line="360" w:lineRule="auto"/>
        <w:rPr>
          <w:sz w:val="21"/>
          <w:szCs w:val="21"/>
        </w:rPr>
      </w:pPr>
      <w:r>
        <w:rPr>
          <w:rFonts w:hint="eastAsia"/>
          <w:sz w:val="21"/>
          <w:szCs w:val="21"/>
        </w:rPr>
        <w:t>邮编：</w:t>
      </w:r>
    </w:p>
    <w:p>
      <w:pPr>
        <w:spacing w:line="360" w:lineRule="auto"/>
        <w:rPr>
          <w:sz w:val="21"/>
          <w:szCs w:val="21"/>
        </w:rPr>
      </w:pPr>
      <w:r>
        <w:rPr>
          <w:rFonts w:hint="eastAsia"/>
          <w:sz w:val="21"/>
          <w:szCs w:val="21"/>
        </w:rPr>
        <w:t>电话：</w:t>
      </w:r>
    </w:p>
    <w:p>
      <w:pPr>
        <w:spacing w:line="360" w:lineRule="auto"/>
        <w:jc w:val="right"/>
        <w:rPr>
          <w:sz w:val="21"/>
          <w:szCs w:val="21"/>
        </w:rPr>
      </w:pPr>
      <w:r>
        <w:rPr>
          <w:rFonts w:hint="eastAsia"/>
          <w:sz w:val="21"/>
          <w:szCs w:val="21"/>
        </w:rPr>
        <w:t>签订日期：    年    月    日</w:t>
      </w:r>
    </w:p>
    <w:p>
      <w:pPr>
        <w:spacing w:line="360" w:lineRule="auto"/>
        <w:jc w:val="right"/>
        <w:rPr>
          <w:sz w:val="21"/>
          <w:szCs w:val="21"/>
        </w:rPr>
      </w:pPr>
    </w:p>
    <w:p>
      <w:pPr>
        <w:spacing w:line="360" w:lineRule="auto"/>
        <w:ind w:left="1" w:leftChars="-95" w:hanging="200" w:hangingChars="95"/>
        <w:rPr>
          <w:b/>
          <w:sz w:val="21"/>
          <w:szCs w:val="21"/>
        </w:rPr>
      </w:pPr>
      <w:r>
        <w:rPr>
          <w:rFonts w:hint="eastAsia"/>
          <w:b/>
          <w:sz w:val="21"/>
          <w:szCs w:val="21"/>
        </w:rPr>
        <w:t>（注：联合投标时需签本协议，联合体各方成员应在本协议上共同盖章，不得分别签署协议书）</w:t>
      </w:r>
    </w:p>
    <w:p>
      <w:pPr>
        <w:widowControl/>
        <w:jc w:val="left"/>
        <w:rPr>
          <w:rFonts w:ascii="宋体" w:hAnsi="宋体" w:cs="宋体"/>
          <w:b/>
          <w:bCs/>
          <w:kern w:val="0"/>
          <w:sz w:val="21"/>
          <w:szCs w:val="21"/>
        </w:rPr>
      </w:pPr>
      <w:r>
        <w:rPr>
          <w:b/>
          <w:bCs/>
          <w:sz w:val="21"/>
          <w:szCs w:val="21"/>
        </w:rPr>
        <w:br w:type="page"/>
      </w:r>
    </w:p>
    <w:p>
      <w:pPr>
        <w:pStyle w:val="14"/>
        <w:spacing w:line="360" w:lineRule="auto"/>
        <w:outlineLvl w:val="0"/>
        <w:rPr>
          <w:rFonts w:hAnsi="宋体" w:cs="宋体"/>
          <w:b/>
          <w:bCs/>
          <w:sz w:val="21"/>
          <w:szCs w:val="21"/>
          <w:highlight w:val="none"/>
        </w:rPr>
      </w:pPr>
      <w:r>
        <w:rPr>
          <w:rFonts w:hint="eastAsia" w:hAnsi="宋体" w:cs="宋体"/>
          <w:b/>
          <w:bCs/>
          <w:sz w:val="21"/>
          <w:szCs w:val="21"/>
          <w:highlight w:val="none"/>
        </w:rPr>
        <w:t>格式</w:t>
      </w:r>
      <w:r>
        <w:rPr>
          <w:rFonts w:hAnsi="宋体" w:cs="宋体"/>
          <w:b/>
          <w:bCs/>
          <w:sz w:val="21"/>
          <w:szCs w:val="21"/>
          <w:highlight w:val="none"/>
        </w:rPr>
        <w:t>6</w:t>
      </w:r>
      <w:r>
        <w:rPr>
          <w:rFonts w:hint="eastAsia" w:hAnsi="宋体" w:cs="宋体"/>
          <w:b/>
          <w:bCs/>
          <w:sz w:val="21"/>
          <w:szCs w:val="21"/>
          <w:highlight w:val="none"/>
        </w:rPr>
        <w:t>：投标联合体主办方协议书（可选）</w:t>
      </w:r>
    </w:p>
    <w:p>
      <w:pPr>
        <w:spacing w:line="360" w:lineRule="atLeast"/>
        <w:jc w:val="center"/>
        <w:rPr>
          <w:b/>
          <w:sz w:val="21"/>
          <w:szCs w:val="21"/>
        </w:rPr>
      </w:pPr>
      <w:r>
        <w:rPr>
          <w:rFonts w:hint="eastAsia"/>
          <w:b/>
          <w:sz w:val="21"/>
          <w:szCs w:val="21"/>
        </w:rPr>
        <w:t>投标联合体授权主办方协议书</w:t>
      </w:r>
    </w:p>
    <w:p>
      <w:pPr>
        <w:spacing w:line="360" w:lineRule="atLeast"/>
        <w:jc w:val="center"/>
        <w:rPr>
          <w:b/>
          <w:sz w:val="21"/>
          <w:szCs w:val="21"/>
        </w:rPr>
      </w:pPr>
    </w:p>
    <w:p>
      <w:pPr>
        <w:spacing w:line="360" w:lineRule="atLeast"/>
        <w:rPr>
          <w:sz w:val="21"/>
          <w:szCs w:val="21"/>
        </w:rPr>
      </w:pPr>
    </w:p>
    <w:p>
      <w:pPr>
        <w:spacing w:line="360" w:lineRule="auto"/>
        <w:ind w:firstLine="420" w:firstLineChars="200"/>
        <w:rPr>
          <w:sz w:val="21"/>
          <w:szCs w:val="21"/>
        </w:rPr>
      </w:pPr>
      <w:r>
        <w:rPr>
          <w:rFonts w:hint="eastAsia"/>
          <w:sz w:val="21"/>
          <w:szCs w:val="21"/>
          <w:u w:val="single"/>
        </w:rPr>
        <w:t>（联合体各方名称），</w:t>
      </w:r>
      <w:r>
        <w:rPr>
          <w:rFonts w:hint="eastAsia"/>
          <w:sz w:val="21"/>
          <w:szCs w:val="21"/>
        </w:rPr>
        <w:t xml:space="preserve"> </w:t>
      </w:r>
      <w:r>
        <w:rPr>
          <w:rFonts w:hint="eastAsia"/>
          <w:sz w:val="21"/>
          <w:szCs w:val="21"/>
          <w:u w:val="single"/>
        </w:rPr>
        <w:t xml:space="preserve">                </w:t>
      </w:r>
      <w:r>
        <w:rPr>
          <w:rFonts w:hint="eastAsia"/>
          <w:sz w:val="21"/>
          <w:szCs w:val="21"/>
        </w:rPr>
        <w:t>、</w:t>
      </w:r>
      <w:r>
        <w:rPr>
          <w:rFonts w:hint="eastAsia"/>
          <w:sz w:val="21"/>
          <w:szCs w:val="21"/>
          <w:u w:val="single"/>
        </w:rPr>
        <w:t xml:space="preserve">                </w:t>
      </w:r>
      <w:r>
        <w:rPr>
          <w:rFonts w:hint="eastAsia"/>
          <w:sz w:val="21"/>
          <w:szCs w:val="21"/>
        </w:rPr>
        <w:t>组成联合体，共同参加</w:t>
      </w:r>
      <w:r>
        <w:rPr>
          <w:rFonts w:hint="eastAsia"/>
          <w:sz w:val="21"/>
          <w:szCs w:val="21"/>
          <w:u w:val="single"/>
        </w:rPr>
        <w:t xml:space="preserve">                       </w:t>
      </w:r>
      <w:r>
        <w:rPr>
          <w:rFonts w:hint="eastAsia"/>
          <w:sz w:val="21"/>
          <w:szCs w:val="21"/>
        </w:rPr>
        <w:t>项目的投标，我单位现授权</w:t>
      </w:r>
      <w:r>
        <w:rPr>
          <w:rFonts w:hint="eastAsia"/>
          <w:sz w:val="21"/>
          <w:szCs w:val="21"/>
          <w:u w:val="single"/>
        </w:rPr>
        <w:t>（联合体主办方名称）</w:t>
      </w:r>
      <w:r>
        <w:rPr>
          <w:rFonts w:hint="eastAsia"/>
          <w:sz w:val="21"/>
          <w:szCs w:val="21"/>
        </w:rPr>
        <w:t>为本投标联合体主办方（投标主体单位），联合体主办方负责投标项目的一切组织、协调工作，并授权联合体主办方以联合体的名义参加项目的投标，联合体主办方在投标、开标、评标、合同谈判过程中所签署的一切文件和处理与本次招标有关的一切事务，联合体各方均予以承认并承担法律责任。</w:t>
      </w:r>
    </w:p>
    <w:p>
      <w:pPr>
        <w:spacing w:line="360" w:lineRule="auto"/>
        <w:rPr>
          <w:sz w:val="21"/>
          <w:szCs w:val="21"/>
        </w:rPr>
      </w:pPr>
      <w:r>
        <w:rPr>
          <w:rFonts w:hint="eastAsia"/>
          <w:sz w:val="21"/>
          <w:szCs w:val="21"/>
        </w:rPr>
        <w:t xml:space="preserve">    本授权有效期至本次招标有关事务结束止。</w:t>
      </w:r>
    </w:p>
    <w:p>
      <w:pPr>
        <w:spacing w:line="360" w:lineRule="auto"/>
        <w:rPr>
          <w:sz w:val="21"/>
          <w:szCs w:val="21"/>
        </w:rPr>
      </w:pPr>
    </w:p>
    <w:p>
      <w:pPr>
        <w:spacing w:line="360" w:lineRule="auto"/>
        <w:rPr>
          <w:sz w:val="21"/>
          <w:szCs w:val="21"/>
        </w:rPr>
      </w:pPr>
    </w:p>
    <w:p>
      <w:pPr>
        <w:spacing w:line="360" w:lineRule="auto"/>
        <w:rPr>
          <w:sz w:val="21"/>
          <w:szCs w:val="21"/>
        </w:rPr>
      </w:pPr>
      <w:r>
        <w:rPr>
          <w:rFonts w:hint="eastAsia"/>
          <w:sz w:val="21"/>
          <w:szCs w:val="21"/>
        </w:rPr>
        <w:t>被授权方（公章）：                     授权方（公章）：</w:t>
      </w:r>
    </w:p>
    <w:p>
      <w:pPr>
        <w:spacing w:line="360" w:lineRule="auto"/>
        <w:ind w:right="-420" w:rightChars="-200"/>
        <w:rPr>
          <w:sz w:val="21"/>
          <w:szCs w:val="21"/>
        </w:rPr>
      </w:pPr>
      <w:r>
        <w:rPr>
          <w:rFonts w:hint="eastAsia"/>
          <w:sz w:val="21"/>
          <w:szCs w:val="21"/>
        </w:rPr>
        <w:t>法定代表人或授权代表（签字或盖章）：    法定代表人或授权代表（签字或盖章）：</w:t>
      </w:r>
    </w:p>
    <w:p>
      <w:pPr>
        <w:spacing w:line="360" w:lineRule="auto"/>
        <w:rPr>
          <w:sz w:val="21"/>
          <w:szCs w:val="21"/>
        </w:rPr>
      </w:pPr>
      <w:r>
        <w:rPr>
          <w:rFonts w:hint="eastAsia"/>
          <w:sz w:val="21"/>
          <w:szCs w:val="21"/>
        </w:rPr>
        <w:t>电话：                                 电话：</w:t>
      </w:r>
    </w:p>
    <w:p>
      <w:pPr>
        <w:spacing w:line="360" w:lineRule="auto"/>
        <w:rPr>
          <w:sz w:val="21"/>
          <w:szCs w:val="21"/>
        </w:rPr>
      </w:pPr>
      <w:r>
        <w:rPr>
          <w:rFonts w:hint="eastAsia"/>
          <w:sz w:val="21"/>
          <w:szCs w:val="21"/>
        </w:rPr>
        <w:t>地址：                                 地址：</w:t>
      </w:r>
    </w:p>
    <w:p>
      <w:pPr>
        <w:spacing w:line="360" w:lineRule="auto"/>
        <w:rPr>
          <w:sz w:val="21"/>
          <w:szCs w:val="21"/>
        </w:rPr>
      </w:pPr>
    </w:p>
    <w:p>
      <w:pPr>
        <w:spacing w:line="360" w:lineRule="auto"/>
        <w:rPr>
          <w:sz w:val="21"/>
          <w:szCs w:val="21"/>
        </w:rPr>
      </w:pPr>
    </w:p>
    <w:p>
      <w:pPr>
        <w:spacing w:line="360" w:lineRule="auto"/>
        <w:rPr>
          <w:sz w:val="21"/>
          <w:szCs w:val="21"/>
        </w:rPr>
      </w:pPr>
      <w:r>
        <w:rPr>
          <w:rFonts w:hint="eastAsia"/>
          <w:sz w:val="21"/>
          <w:szCs w:val="21"/>
        </w:rPr>
        <w:t>授权方（公章）：</w:t>
      </w:r>
    </w:p>
    <w:p>
      <w:pPr>
        <w:spacing w:line="360" w:lineRule="auto"/>
        <w:rPr>
          <w:sz w:val="21"/>
          <w:szCs w:val="21"/>
        </w:rPr>
      </w:pPr>
      <w:r>
        <w:rPr>
          <w:rFonts w:hint="eastAsia"/>
          <w:sz w:val="21"/>
          <w:szCs w:val="21"/>
        </w:rPr>
        <w:t>法定代表人或授权代表（签字或盖章）：</w:t>
      </w:r>
    </w:p>
    <w:p>
      <w:pPr>
        <w:spacing w:line="360" w:lineRule="auto"/>
        <w:rPr>
          <w:sz w:val="21"/>
          <w:szCs w:val="21"/>
        </w:rPr>
      </w:pPr>
      <w:r>
        <w:rPr>
          <w:rFonts w:hint="eastAsia"/>
          <w:sz w:val="21"/>
          <w:szCs w:val="21"/>
        </w:rPr>
        <w:t>电话：</w:t>
      </w:r>
    </w:p>
    <w:p>
      <w:pPr>
        <w:spacing w:line="360" w:lineRule="auto"/>
        <w:rPr>
          <w:sz w:val="21"/>
          <w:szCs w:val="21"/>
        </w:rPr>
      </w:pPr>
      <w:r>
        <w:rPr>
          <w:rFonts w:hint="eastAsia"/>
          <w:sz w:val="21"/>
          <w:szCs w:val="21"/>
        </w:rPr>
        <w:t>地址：</w:t>
      </w:r>
    </w:p>
    <w:p>
      <w:pPr>
        <w:spacing w:line="360" w:lineRule="auto"/>
        <w:jc w:val="center"/>
        <w:rPr>
          <w:sz w:val="21"/>
          <w:szCs w:val="21"/>
        </w:rPr>
      </w:pPr>
      <w:r>
        <w:rPr>
          <w:rFonts w:hint="eastAsia"/>
          <w:sz w:val="21"/>
          <w:szCs w:val="21"/>
        </w:rPr>
        <w:t>年      月    日</w:t>
      </w:r>
    </w:p>
    <w:p>
      <w:pPr>
        <w:spacing w:line="360" w:lineRule="auto"/>
        <w:jc w:val="center"/>
        <w:rPr>
          <w:sz w:val="21"/>
          <w:szCs w:val="21"/>
        </w:rPr>
      </w:pPr>
    </w:p>
    <w:p>
      <w:pPr>
        <w:spacing w:line="360" w:lineRule="auto"/>
        <w:rPr>
          <w:b/>
          <w:sz w:val="21"/>
          <w:szCs w:val="21"/>
        </w:rPr>
      </w:pPr>
      <w:r>
        <w:rPr>
          <w:rFonts w:hint="eastAsia"/>
          <w:b/>
          <w:sz w:val="21"/>
          <w:szCs w:val="21"/>
        </w:rPr>
        <w:t>（注：联合投标时所需签署本协议，协议书需完全注明组成联合体各方成员，如由授权代表签名，需提交法定代表人签署的《授权书委托书》）</w:t>
      </w:r>
    </w:p>
    <w:p>
      <w:pPr>
        <w:pStyle w:val="14"/>
        <w:spacing w:line="360" w:lineRule="auto"/>
        <w:outlineLvl w:val="0"/>
        <w:rPr>
          <w:rFonts w:hAnsi="宋体" w:cs="宋体"/>
          <w:b/>
          <w:sz w:val="21"/>
          <w:szCs w:val="21"/>
        </w:rPr>
      </w:pPr>
      <w:r>
        <w:rPr>
          <w:rFonts w:hint="eastAsia" w:hAnsi="宋体" w:cs="宋体"/>
          <w:sz w:val="21"/>
          <w:szCs w:val="21"/>
        </w:rPr>
        <w:br w:type="page"/>
      </w:r>
      <w:bookmarkStart w:id="86" w:name="_Toc6521"/>
      <w:bookmarkStart w:id="87" w:name="_Toc31494"/>
      <w:bookmarkStart w:id="88" w:name="_Toc5959"/>
      <w:bookmarkStart w:id="89" w:name="_Toc8090"/>
      <w:r>
        <w:rPr>
          <w:rFonts w:hint="eastAsia" w:hAnsi="宋体" w:cs="宋体"/>
          <w:b/>
          <w:sz w:val="21"/>
          <w:szCs w:val="21"/>
        </w:rPr>
        <w:t>格式</w:t>
      </w:r>
      <w:r>
        <w:rPr>
          <w:rFonts w:hAnsi="宋体" w:cs="宋体"/>
          <w:b/>
          <w:sz w:val="21"/>
          <w:szCs w:val="21"/>
        </w:rPr>
        <w:t>7</w:t>
      </w:r>
      <w:r>
        <w:rPr>
          <w:rFonts w:hint="eastAsia" w:hAnsi="宋体" w:cs="宋体"/>
          <w:b/>
          <w:sz w:val="21"/>
          <w:szCs w:val="21"/>
        </w:rPr>
        <w:t>：</w:t>
      </w:r>
      <w:bookmarkEnd w:id="86"/>
      <w:bookmarkEnd w:id="87"/>
      <w:bookmarkEnd w:id="88"/>
      <w:bookmarkEnd w:id="89"/>
    </w:p>
    <w:p>
      <w:pPr>
        <w:snapToGrid w:val="0"/>
        <w:spacing w:line="400" w:lineRule="exact"/>
        <w:ind w:firstLine="420" w:firstLineChars="200"/>
        <w:jc w:val="center"/>
        <w:rPr>
          <w:rFonts w:ascii="宋体" w:hAnsi="宋体" w:cs="宋体"/>
          <w:sz w:val="21"/>
          <w:szCs w:val="21"/>
        </w:rPr>
      </w:pPr>
      <w:r>
        <w:rPr>
          <w:rFonts w:hint="eastAsia" w:ascii="宋体" w:hAnsi="宋体" w:cs="宋体"/>
          <w:sz w:val="21"/>
          <w:szCs w:val="21"/>
        </w:rPr>
        <w:t>项目</w:t>
      </w:r>
      <w:r>
        <w:rPr>
          <w:rFonts w:hint="eastAsia" w:ascii="宋体" w:hAnsi="宋体" w:cs="宋体"/>
          <w:kern w:val="0"/>
          <w:sz w:val="21"/>
          <w:szCs w:val="21"/>
        </w:rPr>
        <w:t>拟投入的技术力量、人员配置</w:t>
      </w:r>
    </w:p>
    <w:tbl>
      <w:tblPr>
        <w:tblStyle w:val="2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086"/>
        <w:gridCol w:w="1134"/>
        <w:gridCol w:w="992"/>
        <w:gridCol w:w="1132"/>
        <w:gridCol w:w="1092"/>
        <w:gridCol w:w="156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序号</w:t>
            </w:r>
          </w:p>
        </w:tc>
        <w:tc>
          <w:tcPr>
            <w:tcW w:w="1086" w:type="dxa"/>
            <w:vAlign w:val="center"/>
          </w:tcPr>
          <w:p>
            <w:pPr>
              <w:jc w:val="center"/>
              <w:rPr>
                <w:rFonts w:ascii="宋体" w:hAnsi="宋体" w:cs="宋体"/>
                <w:sz w:val="21"/>
                <w:szCs w:val="21"/>
              </w:rPr>
            </w:pPr>
            <w:r>
              <w:rPr>
                <w:rFonts w:hint="eastAsia" w:ascii="宋体" w:hAnsi="宋体" w:cs="宋体"/>
                <w:sz w:val="21"/>
                <w:szCs w:val="21"/>
              </w:rPr>
              <w:t>姓名</w:t>
            </w:r>
          </w:p>
        </w:tc>
        <w:tc>
          <w:tcPr>
            <w:tcW w:w="1134" w:type="dxa"/>
            <w:vAlign w:val="center"/>
          </w:tcPr>
          <w:p>
            <w:pPr>
              <w:jc w:val="center"/>
              <w:rPr>
                <w:rFonts w:ascii="宋体" w:hAnsi="宋体" w:cs="宋体"/>
                <w:sz w:val="21"/>
                <w:szCs w:val="21"/>
              </w:rPr>
            </w:pPr>
            <w:r>
              <w:rPr>
                <w:rFonts w:hint="eastAsia" w:ascii="宋体" w:hAnsi="宋体" w:cs="宋体"/>
                <w:sz w:val="21"/>
                <w:szCs w:val="21"/>
              </w:rPr>
              <w:t>性别</w:t>
            </w:r>
          </w:p>
        </w:tc>
        <w:tc>
          <w:tcPr>
            <w:tcW w:w="992" w:type="dxa"/>
            <w:vAlign w:val="center"/>
          </w:tcPr>
          <w:p>
            <w:pPr>
              <w:jc w:val="center"/>
              <w:rPr>
                <w:rFonts w:ascii="宋体" w:hAnsi="宋体" w:cs="宋体"/>
                <w:sz w:val="21"/>
                <w:szCs w:val="21"/>
              </w:rPr>
            </w:pPr>
            <w:r>
              <w:rPr>
                <w:rFonts w:hint="eastAsia" w:ascii="宋体" w:hAnsi="宋体" w:cs="宋体"/>
                <w:sz w:val="21"/>
                <w:szCs w:val="21"/>
              </w:rPr>
              <w:t>专业</w:t>
            </w:r>
          </w:p>
        </w:tc>
        <w:tc>
          <w:tcPr>
            <w:tcW w:w="1132" w:type="dxa"/>
            <w:vAlign w:val="center"/>
          </w:tcPr>
          <w:p>
            <w:pPr>
              <w:jc w:val="center"/>
              <w:rPr>
                <w:rFonts w:ascii="宋体" w:hAnsi="宋体" w:cs="宋体"/>
                <w:sz w:val="21"/>
                <w:szCs w:val="21"/>
              </w:rPr>
            </w:pPr>
            <w:r>
              <w:rPr>
                <w:rFonts w:hint="eastAsia" w:ascii="宋体" w:hAnsi="宋体" w:cs="宋体"/>
                <w:sz w:val="21"/>
                <w:szCs w:val="21"/>
              </w:rPr>
              <w:t>技术职称</w:t>
            </w:r>
          </w:p>
        </w:tc>
        <w:tc>
          <w:tcPr>
            <w:tcW w:w="1092" w:type="dxa"/>
            <w:vAlign w:val="center"/>
          </w:tcPr>
          <w:p>
            <w:pPr>
              <w:jc w:val="center"/>
              <w:rPr>
                <w:rFonts w:ascii="宋体" w:hAnsi="宋体" w:cs="宋体"/>
                <w:sz w:val="21"/>
                <w:szCs w:val="21"/>
              </w:rPr>
            </w:pPr>
            <w:r>
              <w:rPr>
                <w:rFonts w:hint="eastAsia" w:ascii="宋体" w:hAnsi="宋体" w:cs="宋体"/>
                <w:sz w:val="21"/>
                <w:szCs w:val="21"/>
              </w:rPr>
              <w:t>资格证书</w:t>
            </w:r>
          </w:p>
        </w:tc>
        <w:tc>
          <w:tcPr>
            <w:tcW w:w="1560" w:type="dxa"/>
            <w:vAlign w:val="center"/>
          </w:tcPr>
          <w:p>
            <w:pPr>
              <w:jc w:val="center"/>
              <w:rPr>
                <w:rFonts w:ascii="宋体" w:hAnsi="宋体" w:cs="宋体"/>
                <w:sz w:val="21"/>
                <w:szCs w:val="21"/>
              </w:rPr>
            </w:pPr>
            <w:r>
              <w:rPr>
                <w:rFonts w:hint="eastAsia" w:ascii="宋体" w:hAnsi="宋体" w:cs="宋体"/>
                <w:kern w:val="0"/>
                <w:sz w:val="21"/>
                <w:szCs w:val="21"/>
              </w:rPr>
              <w:t>涉密人员培训证书</w:t>
            </w:r>
          </w:p>
        </w:tc>
        <w:tc>
          <w:tcPr>
            <w:tcW w:w="1461" w:type="dxa"/>
            <w:vAlign w:val="center"/>
          </w:tcPr>
          <w:p>
            <w:pPr>
              <w:jc w:val="center"/>
              <w:rPr>
                <w:rFonts w:ascii="宋体" w:hAnsi="宋体" w:cs="宋体"/>
                <w:sz w:val="21"/>
                <w:szCs w:val="21"/>
              </w:rPr>
            </w:pPr>
            <w:r>
              <w:rPr>
                <w:rFonts w:hint="eastAsia" w:ascii="宋体" w:hAnsi="宋体" w:cs="宋体"/>
                <w:sz w:val="21"/>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1</w:t>
            </w:r>
          </w:p>
        </w:tc>
        <w:tc>
          <w:tcPr>
            <w:tcW w:w="1086" w:type="dxa"/>
            <w:vAlign w:val="center"/>
          </w:tcPr>
          <w:p>
            <w:pPr>
              <w:jc w:val="center"/>
              <w:rPr>
                <w:rFonts w:ascii="宋体" w:hAnsi="宋体" w:cs="宋体"/>
                <w:sz w:val="21"/>
                <w:szCs w:val="21"/>
              </w:rPr>
            </w:pPr>
          </w:p>
        </w:tc>
        <w:tc>
          <w:tcPr>
            <w:tcW w:w="1134" w:type="dxa"/>
            <w:vAlign w:val="center"/>
          </w:tcPr>
          <w:p>
            <w:pPr>
              <w:jc w:val="center"/>
              <w:rPr>
                <w:rFonts w:ascii="宋体" w:hAnsi="宋体" w:cs="宋体"/>
                <w:sz w:val="21"/>
                <w:szCs w:val="21"/>
              </w:rPr>
            </w:pPr>
          </w:p>
        </w:tc>
        <w:tc>
          <w:tcPr>
            <w:tcW w:w="992" w:type="dxa"/>
            <w:vAlign w:val="center"/>
          </w:tcPr>
          <w:p>
            <w:pPr>
              <w:jc w:val="center"/>
              <w:rPr>
                <w:rFonts w:ascii="宋体" w:hAnsi="宋体" w:cs="宋体"/>
                <w:sz w:val="21"/>
                <w:szCs w:val="21"/>
              </w:rPr>
            </w:pPr>
          </w:p>
        </w:tc>
        <w:tc>
          <w:tcPr>
            <w:tcW w:w="1132" w:type="dxa"/>
            <w:vAlign w:val="center"/>
          </w:tcPr>
          <w:p>
            <w:pPr>
              <w:jc w:val="center"/>
              <w:rPr>
                <w:rFonts w:ascii="宋体" w:hAnsi="宋体" w:cs="宋体"/>
                <w:sz w:val="21"/>
                <w:szCs w:val="21"/>
              </w:rPr>
            </w:pPr>
          </w:p>
        </w:tc>
        <w:tc>
          <w:tcPr>
            <w:tcW w:w="1092" w:type="dxa"/>
          </w:tcPr>
          <w:p>
            <w:pPr>
              <w:jc w:val="center"/>
              <w:rPr>
                <w:rFonts w:ascii="宋体" w:hAnsi="宋体" w:cs="宋体"/>
                <w:sz w:val="21"/>
                <w:szCs w:val="21"/>
              </w:rPr>
            </w:pPr>
          </w:p>
        </w:tc>
        <w:tc>
          <w:tcPr>
            <w:tcW w:w="1560" w:type="dxa"/>
          </w:tcPr>
          <w:p>
            <w:pPr>
              <w:jc w:val="center"/>
              <w:rPr>
                <w:rFonts w:ascii="宋体" w:hAnsi="宋体" w:cs="宋体"/>
                <w:sz w:val="21"/>
                <w:szCs w:val="21"/>
              </w:rPr>
            </w:pPr>
          </w:p>
        </w:tc>
        <w:tc>
          <w:tcPr>
            <w:tcW w:w="1461"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2</w:t>
            </w:r>
          </w:p>
        </w:tc>
        <w:tc>
          <w:tcPr>
            <w:tcW w:w="1086" w:type="dxa"/>
            <w:vAlign w:val="center"/>
          </w:tcPr>
          <w:p>
            <w:pPr>
              <w:jc w:val="center"/>
              <w:rPr>
                <w:rFonts w:ascii="宋体" w:hAnsi="宋体" w:cs="宋体"/>
                <w:sz w:val="21"/>
                <w:szCs w:val="21"/>
              </w:rPr>
            </w:pPr>
          </w:p>
        </w:tc>
        <w:tc>
          <w:tcPr>
            <w:tcW w:w="1134" w:type="dxa"/>
            <w:vAlign w:val="center"/>
          </w:tcPr>
          <w:p>
            <w:pPr>
              <w:jc w:val="center"/>
              <w:rPr>
                <w:rFonts w:ascii="宋体" w:hAnsi="宋体" w:cs="宋体"/>
                <w:sz w:val="21"/>
                <w:szCs w:val="21"/>
              </w:rPr>
            </w:pPr>
          </w:p>
        </w:tc>
        <w:tc>
          <w:tcPr>
            <w:tcW w:w="992" w:type="dxa"/>
            <w:vAlign w:val="center"/>
          </w:tcPr>
          <w:p>
            <w:pPr>
              <w:jc w:val="center"/>
              <w:rPr>
                <w:rFonts w:ascii="宋体" w:hAnsi="宋体" w:cs="宋体"/>
                <w:sz w:val="21"/>
                <w:szCs w:val="21"/>
              </w:rPr>
            </w:pPr>
          </w:p>
        </w:tc>
        <w:tc>
          <w:tcPr>
            <w:tcW w:w="1132" w:type="dxa"/>
            <w:vAlign w:val="center"/>
          </w:tcPr>
          <w:p>
            <w:pPr>
              <w:jc w:val="center"/>
              <w:rPr>
                <w:rFonts w:ascii="宋体" w:hAnsi="宋体" w:cs="宋体"/>
                <w:sz w:val="21"/>
                <w:szCs w:val="21"/>
              </w:rPr>
            </w:pPr>
          </w:p>
        </w:tc>
        <w:tc>
          <w:tcPr>
            <w:tcW w:w="1092" w:type="dxa"/>
          </w:tcPr>
          <w:p>
            <w:pPr>
              <w:jc w:val="center"/>
              <w:rPr>
                <w:rFonts w:ascii="宋体" w:hAnsi="宋体" w:cs="宋体"/>
                <w:sz w:val="21"/>
                <w:szCs w:val="21"/>
              </w:rPr>
            </w:pPr>
          </w:p>
        </w:tc>
        <w:tc>
          <w:tcPr>
            <w:tcW w:w="1560" w:type="dxa"/>
          </w:tcPr>
          <w:p>
            <w:pPr>
              <w:jc w:val="center"/>
              <w:rPr>
                <w:rFonts w:ascii="宋体" w:hAnsi="宋体" w:cs="宋体"/>
                <w:sz w:val="21"/>
                <w:szCs w:val="21"/>
              </w:rPr>
            </w:pPr>
          </w:p>
        </w:tc>
        <w:tc>
          <w:tcPr>
            <w:tcW w:w="1461"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3</w:t>
            </w:r>
          </w:p>
        </w:tc>
        <w:tc>
          <w:tcPr>
            <w:tcW w:w="1086" w:type="dxa"/>
            <w:vAlign w:val="center"/>
          </w:tcPr>
          <w:p>
            <w:pPr>
              <w:jc w:val="center"/>
              <w:rPr>
                <w:rFonts w:ascii="宋体" w:hAnsi="宋体" w:cs="宋体"/>
                <w:sz w:val="21"/>
                <w:szCs w:val="21"/>
              </w:rPr>
            </w:pPr>
          </w:p>
        </w:tc>
        <w:tc>
          <w:tcPr>
            <w:tcW w:w="1134" w:type="dxa"/>
            <w:vAlign w:val="center"/>
          </w:tcPr>
          <w:p>
            <w:pPr>
              <w:jc w:val="center"/>
              <w:rPr>
                <w:rFonts w:ascii="宋体" w:hAnsi="宋体" w:cs="宋体"/>
                <w:sz w:val="21"/>
                <w:szCs w:val="21"/>
              </w:rPr>
            </w:pPr>
          </w:p>
        </w:tc>
        <w:tc>
          <w:tcPr>
            <w:tcW w:w="992" w:type="dxa"/>
            <w:vAlign w:val="center"/>
          </w:tcPr>
          <w:p>
            <w:pPr>
              <w:jc w:val="center"/>
              <w:rPr>
                <w:rFonts w:ascii="宋体" w:hAnsi="宋体" w:cs="宋体"/>
                <w:sz w:val="21"/>
                <w:szCs w:val="21"/>
              </w:rPr>
            </w:pPr>
          </w:p>
        </w:tc>
        <w:tc>
          <w:tcPr>
            <w:tcW w:w="1132" w:type="dxa"/>
            <w:vAlign w:val="center"/>
          </w:tcPr>
          <w:p>
            <w:pPr>
              <w:jc w:val="center"/>
              <w:rPr>
                <w:rFonts w:ascii="宋体" w:hAnsi="宋体" w:cs="宋体"/>
                <w:sz w:val="21"/>
                <w:szCs w:val="21"/>
              </w:rPr>
            </w:pPr>
          </w:p>
        </w:tc>
        <w:tc>
          <w:tcPr>
            <w:tcW w:w="1092" w:type="dxa"/>
          </w:tcPr>
          <w:p>
            <w:pPr>
              <w:jc w:val="center"/>
              <w:rPr>
                <w:rFonts w:ascii="宋体" w:hAnsi="宋体" w:cs="宋体"/>
                <w:sz w:val="21"/>
                <w:szCs w:val="21"/>
              </w:rPr>
            </w:pPr>
          </w:p>
        </w:tc>
        <w:tc>
          <w:tcPr>
            <w:tcW w:w="1560" w:type="dxa"/>
          </w:tcPr>
          <w:p>
            <w:pPr>
              <w:jc w:val="center"/>
              <w:rPr>
                <w:rFonts w:ascii="宋体" w:hAnsi="宋体" w:cs="宋体"/>
                <w:sz w:val="21"/>
                <w:szCs w:val="21"/>
              </w:rPr>
            </w:pPr>
          </w:p>
        </w:tc>
        <w:tc>
          <w:tcPr>
            <w:tcW w:w="1461"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4</w:t>
            </w:r>
          </w:p>
        </w:tc>
        <w:tc>
          <w:tcPr>
            <w:tcW w:w="1086" w:type="dxa"/>
            <w:vAlign w:val="center"/>
          </w:tcPr>
          <w:p>
            <w:pPr>
              <w:jc w:val="center"/>
              <w:rPr>
                <w:rFonts w:ascii="宋体" w:hAnsi="宋体" w:cs="宋体"/>
                <w:sz w:val="21"/>
                <w:szCs w:val="21"/>
              </w:rPr>
            </w:pPr>
          </w:p>
        </w:tc>
        <w:tc>
          <w:tcPr>
            <w:tcW w:w="1134" w:type="dxa"/>
            <w:vAlign w:val="center"/>
          </w:tcPr>
          <w:p>
            <w:pPr>
              <w:jc w:val="center"/>
              <w:rPr>
                <w:rFonts w:ascii="宋体" w:hAnsi="宋体" w:cs="宋体"/>
                <w:sz w:val="21"/>
                <w:szCs w:val="21"/>
              </w:rPr>
            </w:pPr>
          </w:p>
        </w:tc>
        <w:tc>
          <w:tcPr>
            <w:tcW w:w="992" w:type="dxa"/>
            <w:vAlign w:val="center"/>
          </w:tcPr>
          <w:p>
            <w:pPr>
              <w:jc w:val="center"/>
              <w:rPr>
                <w:rFonts w:ascii="宋体" w:hAnsi="宋体" w:cs="宋体"/>
                <w:sz w:val="21"/>
                <w:szCs w:val="21"/>
              </w:rPr>
            </w:pPr>
          </w:p>
        </w:tc>
        <w:tc>
          <w:tcPr>
            <w:tcW w:w="1132" w:type="dxa"/>
            <w:vAlign w:val="center"/>
          </w:tcPr>
          <w:p>
            <w:pPr>
              <w:jc w:val="center"/>
              <w:rPr>
                <w:rFonts w:ascii="宋体" w:hAnsi="宋体" w:cs="宋体"/>
                <w:sz w:val="21"/>
                <w:szCs w:val="21"/>
              </w:rPr>
            </w:pPr>
          </w:p>
        </w:tc>
        <w:tc>
          <w:tcPr>
            <w:tcW w:w="1092" w:type="dxa"/>
          </w:tcPr>
          <w:p>
            <w:pPr>
              <w:jc w:val="center"/>
              <w:rPr>
                <w:rFonts w:ascii="宋体" w:hAnsi="宋体" w:cs="宋体"/>
                <w:sz w:val="21"/>
                <w:szCs w:val="21"/>
              </w:rPr>
            </w:pPr>
          </w:p>
        </w:tc>
        <w:tc>
          <w:tcPr>
            <w:tcW w:w="1560" w:type="dxa"/>
          </w:tcPr>
          <w:p>
            <w:pPr>
              <w:jc w:val="center"/>
              <w:rPr>
                <w:rFonts w:ascii="宋体" w:hAnsi="宋体" w:cs="宋体"/>
                <w:sz w:val="21"/>
                <w:szCs w:val="21"/>
              </w:rPr>
            </w:pPr>
          </w:p>
        </w:tc>
        <w:tc>
          <w:tcPr>
            <w:tcW w:w="1461"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5</w:t>
            </w:r>
          </w:p>
        </w:tc>
        <w:tc>
          <w:tcPr>
            <w:tcW w:w="1086" w:type="dxa"/>
            <w:vAlign w:val="center"/>
          </w:tcPr>
          <w:p>
            <w:pPr>
              <w:jc w:val="center"/>
              <w:rPr>
                <w:rFonts w:ascii="宋体" w:hAnsi="宋体" w:cs="宋体"/>
                <w:sz w:val="21"/>
                <w:szCs w:val="21"/>
              </w:rPr>
            </w:pPr>
          </w:p>
        </w:tc>
        <w:tc>
          <w:tcPr>
            <w:tcW w:w="1134" w:type="dxa"/>
            <w:vAlign w:val="center"/>
          </w:tcPr>
          <w:p>
            <w:pPr>
              <w:jc w:val="center"/>
              <w:rPr>
                <w:rFonts w:ascii="宋体" w:hAnsi="宋体" w:cs="宋体"/>
                <w:sz w:val="21"/>
                <w:szCs w:val="21"/>
              </w:rPr>
            </w:pPr>
          </w:p>
        </w:tc>
        <w:tc>
          <w:tcPr>
            <w:tcW w:w="992" w:type="dxa"/>
            <w:vAlign w:val="center"/>
          </w:tcPr>
          <w:p>
            <w:pPr>
              <w:jc w:val="center"/>
              <w:rPr>
                <w:rFonts w:ascii="宋体" w:hAnsi="宋体" w:cs="宋体"/>
                <w:sz w:val="21"/>
                <w:szCs w:val="21"/>
              </w:rPr>
            </w:pPr>
          </w:p>
        </w:tc>
        <w:tc>
          <w:tcPr>
            <w:tcW w:w="1132" w:type="dxa"/>
            <w:vAlign w:val="center"/>
          </w:tcPr>
          <w:p>
            <w:pPr>
              <w:jc w:val="center"/>
              <w:rPr>
                <w:rFonts w:ascii="宋体" w:hAnsi="宋体" w:cs="宋体"/>
                <w:sz w:val="21"/>
                <w:szCs w:val="21"/>
              </w:rPr>
            </w:pPr>
          </w:p>
        </w:tc>
        <w:tc>
          <w:tcPr>
            <w:tcW w:w="1092" w:type="dxa"/>
          </w:tcPr>
          <w:p>
            <w:pPr>
              <w:jc w:val="center"/>
              <w:rPr>
                <w:rFonts w:ascii="宋体" w:hAnsi="宋体" w:cs="宋体"/>
                <w:sz w:val="21"/>
                <w:szCs w:val="21"/>
              </w:rPr>
            </w:pPr>
          </w:p>
        </w:tc>
        <w:tc>
          <w:tcPr>
            <w:tcW w:w="1560" w:type="dxa"/>
          </w:tcPr>
          <w:p>
            <w:pPr>
              <w:jc w:val="center"/>
              <w:rPr>
                <w:rFonts w:ascii="宋体" w:hAnsi="宋体" w:cs="宋体"/>
                <w:sz w:val="21"/>
                <w:szCs w:val="21"/>
              </w:rPr>
            </w:pPr>
          </w:p>
        </w:tc>
        <w:tc>
          <w:tcPr>
            <w:tcW w:w="1461"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ascii="宋体" w:hAnsi="宋体" w:cs="宋体"/>
                <w:sz w:val="21"/>
                <w:szCs w:val="21"/>
              </w:rPr>
            </w:pPr>
            <w:r>
              <w:rPr>
                <w:rFonts w:hint="eastAsia" w:ascii="宋体" w:hAnsi="宋体" w:cs="宋体"/>
                <w:sz w:val="21"/>
                <w:szCs w:val="21"/>
              </w:rPr>
              <w:t>··</w:t>
            </w:r>
          </w:p>
        </w:tc>
        <w:tc>
          <w:tcPr>
            <w:tcW w:w="1086" w:type="dxa"/>
            <w:vAlign w:val="center"/>
          </w:tcPr>
          <w:p>
            <w:pPr>
              <w:jc w:val="center"/>
              <w:rPr>
                <w:rFonts w:ascii="宋体" w:hAnsi="宋体" w:cs="宋体"/>
                <w:sz w:val="21"/>
                <w:szCs w:val="21"/>
              </w:rPr>
            </w:pPr>
          </w:p>
        </w:tc>
        <w:tc>
          <w:tcPr>
            <w:tcW w:w="1134" w:type="dxa"/>
            <w:vAlign w:val="center"/>
          </w:tcPr>
          <w:p>
            <w:pPr>
              <w:jc w:val="center"/>
              <w:rPr>
                <w:rFonts w:ascii="宋体" w:hAnsi="宋体" w:cs="宋体"/>
                <w:sz w:val="21"/>
                <w:szCs w:val="21"/>
              </w:rPr>
            </w:pPr>
          </w:p>
        </w:tc>
        <w:tc>
          <w:tcPr>
            <w:tcW w:w="992" w:type="dxa"/>
            <w:vAlign w:val="center"/>
          </w:tcPr>
          <w:p>
            <w:pPr>
              <w:jc w:val="center"/>
              <w:rPr>
                <w:rFonts w:ascii="宋体" w:hAnsi="宋体" w:cs="宋体"/>
                <w:sz w:val="21"/>
                <w:szCs w:val="21"/>
              </w:rPr>
            </w:pPr>
          </w:p>
        </w:tc>
        <w:tc>
          <w:tcPr>
            <w:tcW w:w="1132" w:type="dxa"/>
            <w:vAlign w:val="center"/>
          </w:tcPr>
          <w:p>
            <w:pPr>
              <w:jc w:val="center"/>
              <w:rPr>
                <w:rFonts w:ascii="宋体" w:hAnsi="宋体" w:cs="宋体"/>
                <w:sz w:val="21"/>
                <w:szCs w:val="21"/>
              </w:rPr>
            </w:pPr>
          </w:p>
        </w:tc>
        <w:tc>
          <w:tcPr>
            <w:tcW w:w="1092" w:type="dxa"/>
          </w:tcPr>
          <w:p>
            <w:pPr>
              <w:jc w:val="center"/>
              <w:rPr>
                <w:rFonts w:ascii="宋体" w:hAnsi="宋体" w:cs="宋体"/>
                <w:sz w:val="21"/>
                <w:szCs w:val="21"/>
              </w:rPr>
            </w:pPr>
          </w:p>
        </w:tc>
        <w:tc>
          <w:tcPr>
            <w:tcW w:w="1560" w:type="dxa"/>
          </w:tcPr>
          <w:p>
            <w:pPr>
              <w:jc w:val="center"/>
              <w:rPr>
                <w:rFonts w:ascii="宋体" w:hAnsi="宋体" w:cs="宋体"/>
                <w:sz w:val="21"/>
                <w:szCs w:val="21"/>
              </w:rPr>
            </w:pPr>
          </w:p>
        </w:tc>
        <w:tc>
          <w:tcPr>
            <w:tcW w:w="1461" w:type="dxa"/>
            <w:vAlign w:val="center"/>
          </w:tcPr>
          <w:p>
            <w:pPr>
              <w:jc w:val="center"/>
              <w:rPr>
                <w:rFonts w:ascii="宋体" w:hAnsi="宋体" w:cs="宋体"/>
                <w:sz w:val="21"/>
                <w:szCs w:val="21"/>
              </w:rPr>
            </w:pPr>
          </w:p>
        </w:tc>
      </w:tr>
    </w:tbl>
    <w:p>
      <w:pPr>
        <w:spacing w:line="360" w:lineRule="auto"/>
        <w:rPr>
          <w:rFonts w:ascii="宋体" w:hAnsi="宋体" w:cs="宋体"/>
          <w:kern w:val="0"/>
          <w:sz w:val="21"/>
          <w:szCs w:val="21"/>
        </w:rPr>
      </w:pPr>
      <w:r>
        <w:rPr>
          <w:rFonts w:hint="eastAsia" w:ascii="宋体" w:hAnsi="宋体" w:cs="宋体"/>
          <w:kern w:val="0"/>
          <w:sz w:val="21"/>
          <w:szCs w:val="21"/>
        </w:rPr>
        <w:t>附：附</w:t>
      </w:r>
      <w:r>
        <w:rPr>
          <w:rFonts w:hint="eastAsia" w:ascii="宋体" w:hAnsi="宋体" w:cs="宋体"/>
          <w:bCs/>
          <w:sz w:val="21"/>
          <w:szCs w:val="21"/>
        </w:rPr>
        <w:t>职称证、</w:t>
      </w:r>
      <w:r>
        <w:rPr>
          <w:rFonts w:hint="eastAsia" w:ascii="宋体" w:hAnsi="宋体" w:cs="宋体"/>
          <w:sz w:val="21"/>
          <w:szCs w:val="21"/>
        </w:rPr>
        <w:t>资格证书</w:t>
      </w:r>
      <w:r>
        <w:rPr>
          <w:rFonts w:hint="eastAsia" w:ascii="宋体" w:hAnsi="宋体" w:cs="宋体"/>
          <w:bCs/>
          <w:sz w:val="21"/>
          <w:szCs w:val="21"/>
        </w:rPr>
        <w:t>、社保</w:t>
      </w:r>
      <w:r>
        <w:rPr>
          <w:rFonts w:hint="eastAsia" w:ascii="宋体" w:hAnsi="宋体" w:cs="宋体"/>
          <w:kern w:val="0"/>
          <w:sz w:val="21"/>
          <w:szCs w:val="21"/>
        </w:rPr>
        <w:t>等</w:t>
      </w:r>
      <w:r>
        <w:rPr>
          <w:rFonts w:hint="eastAsia" w:ascii="宋体" w:hAnsi="宋体" w:cs="宋体"/>
          <w:bCs/>
          <w:sz w:val="21"/>
          <w:szCs w:val="21"/>
        </w:rPr>
        <w:t>相关资料</w:t>
      </w:r>
      <w:r>
        <w:rPr>
          <w:rFonts w:hint="eastAsia" w:ascii="宋体" w:hAnsi="宋体" w:cs="宋体"/>
          <w:kern w:val="0"/>
          <w:sz w:val="21"/>
          <w:szCs w:val="21"/>
        </w:rPr>
        <w:t>复印件</w:t>
      </w:r>
    </w:p>
    <w:p>
      <w:pPr>
        <w:autoSpaceDE w:val="0"/>
        <w:autoSpaceDN w:val="0"/>
        <w:adjustRightInd w:val="0"/>
        <w:spacing w:line="440" w:lineRule="exact"/>
        <w:rPr>
          <w:rFonts w:ascii="宋体" w:hAnsi="宋体" w:cs="宋体"/>
          <w:kern w:val="0"/>
          <w:sz w:val="21"/>
          <w:szCs w:val="21"/>
        </w:rPr>
      </w:pPr>
    </w:p>
    <w:p>
      <w:pPr>
        <w:pStyle w:val="14"/>
        <w:spacing w:line="600" w:lineRule="exact"/>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600" w:lineRule="exact"/>
        <w:rPr>
          <w:rFonts w:hAnsi="宋体" w:cs="宋体"/>
          <w:sz w:val="21"/>
          <w:szCs w:val="21"/>
          <w:u w:val="single"/>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p>
    <w:p>
      <w:pPr>
        <w:pStyle w:val="14"/>
        <w:spacing w:line="420" w:lineRule="exact"/>
        <w:rPr>
          <w:rFonts w:hAnsi="宋体" w:cs="宋体"/>
          <w:bCs/>
          <w:sz w:val="21"/>
          <w:szCs w:val="21"/>
        </w:rPr>
      </w:pPr>
      <w:r>
        <w:rPr>
          <w:rFonts w:hint="eastAsia" w:hAnsi="宋体" w:cs="宋体"/>
          <w:bCs/>
          <w:sz w:val="21"/>
          <w:szCs w:val="21"/>
        </w:rPr>
        <w:t>日期</w:t>
      </w:r>
      <w:r>
        <w:rPr>
          <w:rFonts w:hint="eastAsia" w:hAnsi="宋体" w:cs="宋体"/>
          <w:bCs/>
          <w:sz w:val="21"/>
          <w:szCs w:val="21"/>
          <w:u w:val="single"/>
        </w:rPr>
        <w:t xml:space="preserve">：    </w:t>
      </w:r>
      <w:r>
        <w:rPr>
          <w:rFonts w:hint="eastAsia" w:hAnsi="宋体" w:cs="宋体"/>
          <w:bCs/>
          <w:sz w:val="21"/>
          <w:szCs w:val="21"/>
        </w:rPr>
        <w:t>年</w:t>
      </w:r>
      <w:r>
        <w:rPr>
          <w:rFonts w:hint="eastAsia" w:hAnsi="宋体" w:cs="宋体"/>
          <w:bCs/>
          <w:sz w:val="21"/>
          <w:szCs w:val="21"/>
          <w:u w:val="single"/>
        </w:rPr>
        <w:t xml:space="preserve">    </w:t>
      </w:r>
      <w:r>
        <w:rPr>
          <w:rFonts w:hint="eastAsia" w:hAnsi="宋体" w:cs="宋体"/>
          <w:bCs/>
          <w:sz w:val="21"/>
          <w:szCs w:val="21"/>
        </w:rPr>
        <w:t>月</w:t>
      </w:r>
      <w:r>
        <w:rPr>
          <w:rFonts w:hint="eastAsia" w:hAnsi="宋体" w:cs="宋体"/>
          <w:bCs/>
          <w:sz w:val="21"/>
          <w:szCs w:val="21"/>
          <w:u w:val="single"/>
        </w:rPr>
        <w:t xml:space="preserve">    </w:t>
      </w:r>
      <w:r>
        <w:rPr>
          <w:rFonts w:hint="eastAsia" w:hAnsi="宋体" w:cs="宋体"/>
          <w:bCs/>
          <w:sz w:val="21"/>
          <w:szCs w:val="21"/>
        </w:rPr>
        <w:t>日</w:t>
      </w:r>
    </w:p>
    <w:p>
      <w:pPr>
        <w:snapToGrid w:val="0"/>
        <w:spacing w:before="50" w:after="50" w:line="440" w:lineRule="exact"/>
        <w:rPr>
          <w:rFonts w:ascii="宋体" w:hAnsi="宋体" w:cs="宋体"/>
          <w:sz w:val="21"/>
          <w:szCs w:val="21"/>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rPr>
          <w:rFonts w:hAnsi="宋体" w:cs="宋体"/>
          <w:sz w:val="21"/>
          <w:szCs w:val="21"/>
          <w:u w:val="single"/>
        </w:rPr>
      </w:pPr>
    </w:p>
    <w:p>
      <w:pPr>
        <w:pStyle w:val="14"/>
        <w:spacing w:line="360" w:lineRule="auto"/>
        <w:outlineLvl w:val="0"/>
        <w:rPr>
          <w:rFonts w:hint="eastAsia" w:hAnsi="宋体" w:cs="宋体"/>
          <w:b/>
          <w:sz w:val="21"/>
          <w:szCs w:val="21"/>
        </w:rPr>
      </w:pPr>
      <w:bookmarkStart w:id="90" w:name="_Toc4495"/>
      <w:bookmarkStart w:id="91" w:name="_Toc32252"/>
      <w:bookmarkStart w:id="92" w:name="_Toc25485"/>
      <w:bookmarkStart w:id="93" w:name="_Toc25895"/>
    </w:p>
    <w:p>
      <w:pPr>
        <w:pStyle w:val="14"/>
        <w:spacing w:line="360" w:lineRule="auto"/>
        <w:outlineLvl w:val="0"/>
        <w:rPr>
          <w:rFonts w:hint="eastAsia" w:hAnsi="宋体" w:cs="宋体"/>
          <w:b/>
          <w:sz w:val="21"/>
          <w:szCs w:val="21"/>
        </w:rPr>
      </w:pPr>
    </w:p>
    <w:p>
      <w:pPr>
        <w:pStyle w:val="14"/>
        <w:spacing w:line="360" w:lineRule="auto"/>
        <w:outlineLvl w:val="0"/>
        <w:rPr>
          <w:rFonts w:hAnsi="宋体" w:cs="宋体"/>
          <w:sz w:val="21"/>
          <w:szCs w:val="21"/>
        </w:rPr>
      </w:pPr>
      <w:r>
        <w:rPr>
          <w:rFonts w:hint="eastAsia" w:hAnsi="宋体" w:cs="宋体"/>
          <w:b/>
          <w:sz w:val="21"/>
          <w:szCs w:val="21"/>
        </w:rPr>
        <w:t>格式</w:t>
      </w:r>
      <w:r>
        <w:rPr>
          <w:rFonts w:hAnsi="宋体" w:cs="宋体"/>
          <w:b/>
          <w:sz w:val="21"/>
          <w:szCs w:val="21"/>
        </w:rPr>
        <w:t>8</w:t>
      </w:r>
      <w:r>
        <w:rPr>
          <w:rFonts w:hint="eastAsia" w:hAnsi="宋体" w:cs="宋体"/>
          <w:b/>
          <w:sz w:val="21"/>
          <w:szCs w:val="21"/>
        </w:rPr>
        <w:t>：</w:t>
      </w:r>
      <w:bookmarkEnd w:id="90"/>
      <w:bookmarkEnd w:id="91"/>
      <w:bookmarkEnd w:id="92"/>
      <w:bookmarkEnd w:id="93"/>
    </w:p>
    <w:p>
      <w:pPr>
        <w:pStyle w:val="14"/>
        <w:spacing w:line="500" w:lineRule="exact"/>
        <w:jc w:val="center"/>
        <w:rPr>
          <w:rFonts w:hAnsi="宋体" w:cs="宋体"/>
          <w:b/>
          <w:bCs/>
          <w:sz w:val="21"/>
          <w:szCs w:val="21"/>
        </w:rPr>
      </w:pPr>
      <w:r>
        <w:rPr>
          <w:rFonts w:hint="eastAsia" w:hAnsi="宋体" w:cs="宋体"/>
          <w:b/>
          <w:bCs/>
          <w:sz w:val="21"/>
          <w:szCs w:val="21"/>
        </w:rPr>
        <w:t>投标服务技术资料表</w:t>
      </w:r>
    </w:p>
    <w:p>
      <w:pPr>
        <w:pStyle w:val="14"/>
        <w:ind w:firstLine="210" w:firstLineChars="100"/>
        <w:rPr>
          <w:rFonts w:hAnsi="宋体" w:cs="宋体"/>
          <w:sz w:val="21"/>
          <w:szCs w:val="21"/>
        </w:rPr>
      </w:pPr>
      <w:r>
        <w:rPr>
          <w:rFonts w:hint="eastAsia" w:hAnsi="宋体" w:cs="宋体"/>
          <w:sz w:val="21"/>
          <w:szCs w:val="21"/>
        </w:rPr>
        <w:t xml:space="preserve"> </w:t>
      </w:r>
    </w:p>
    <w:p>
      <w:pPr>
        <w:pStyle w:val="14"/>
        <w:rPr>
          <w:rFonts w:hAnsi="宋体" w:cs="宋体"/>
          <w:sz w:val="21"/>
          <w:szCs w:val="21"/>
        </w:rPr>
      </w:pPr>
      <w:r>
        <w:rPr>
          <w:rFonts w:hint="eastAsia" w:hAnsi="宋体" w:cs="宋体"/>
          <w:sz w:val="21"/>
          <w:szCs w:val="21"/>
        </w:rPr>
        <w:t>　　请根据所投服务的实际技术参数，逐条对应本项目招标文件第三章“服务需求一览表”中的服务内容及要求详细填写相应的具体内容。“偏离说明”一栏应当选择“正偏离”、“负偏离”或“无偏离”进行填写。</w:t>
      </w:r>
    </w:p>
    <w:p>
      <w:pPr>
        <w:pStyle w:val="14"/>
        <w:rPr>
          <w:rFonts w:hAnsi="宋体" w:cs="宋体"/>
          <w:sz w:val="21"/>
          <w:szCs w:val="21"/>
          <w:u w:val="thick"/>
        </w:rPr>
      </w:pP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25"/>
        <w:gridCol w:w="2400"/>
        <w:gridCol w:w="1143"/>
        <w:gridCol w:w="3027"/>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hAnsi="宋体" w:cs="宋体"/>
                <w:sz w:val="21"/>
                <w:szCs w:val="21"/>
              </w:rPr>
            </w:pPr>
            <w:r>
              <w:rPr>
                <w:rFonts w:hint="eastAsia" w:hAnsi="宋体" w:cs="宋体"/>
                <w:sz w:val="21"/>
                <w:szCs w:val="21"/>
              </w:rPr>
              <w:t>项号</w:t>
            </w: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招标文件需求</w:t>
            </w:r>
          </w:p>
        </w:tc>
        <w:tc>
          <w:tcPr>
            <w:tcW w:w="41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投标文件承诺</w:t>
            </w:r>
          </w:p>
        </w:tc>
        <w:tc>
          <w:tcPr>
            <w:tcW w:w="12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服务名称</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p>
            <w:pPr>
              <w:jc w:val="center"/>
              <w:rPr>
                <w:rFonts w:ascii="宋体" w:hAnsi="宋体" w:cs="宋体"/>
                <w:sz w:val="21"/>
                <w:szCs w:val="21"/>
              </w:rPr>
            </w:pPr>
            <w:r>
              <w:rPr>
                <w:rFonts w:hint="eastAsia" w:ascii="宋体" w:hAnsi="宋体" w:cs="宋体"/>
                <w:sz w:val="21"/>
                <w:szCs w:val="21"/>
              </w:rPr>
              <w:t>服务内容及要求</w:t>
            </w: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服务名称</w:t>
            </w: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p>
          <w:p>
            <w:pPr>
              <w:jc w:val="center"/>
              <w:rPr>
                <w:rFonts w:ascii="宋体" w:hAnsi="宋体" w:cs="宋体"/>
                <w:sz w:val="21"/>
                <w:szCs w:val="21"/>
              </w:rPr>
            </w:pPr>
            <w:r>
              <w:rPr>
                <w:rFonts w:hint="eastAsia" w:ascii="宋体" w:hAnsi="宋体" w:cs="宋体"/>
                <w:sz w:val="21"/>
                <w:szCs w:val="21"/>
              </w:rPr>
              <w:t>所提供服务的内容</w:t>
            </w: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825"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r>
              <w:rPr>
                <w:rFonts w:hint="eastAsia" w:hAnsi="宋体" w:cs="宋体"/>
                <w:sz w:val="21"/>
                <w:szCs w:val="21"/>
              </w:rPr>
              <w:t>……</w:t>
            </w:r>
          </w:p>
        </w:tc>
        <w:tc>
          <w:tcPr>
            <w:tcW w:w="2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1143"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r>
              <w:rPr>
                <w:rFonts w:hint="eastAsia" w:hAnsi="宋体" w:cs="宋体"/>
                <w:sz w:val="21"/>
                <w:szCs w:val="21"/>
              </w:rPr>
              <w:t>……</w:t>
            </w:r>
          </w:p>
        </w:tc>
        <w:tc>
          <w:tcPr>
            <w:tcW w:w="30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127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825"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r>
              <w:rPr>
                <w:rFonts w:hint="eastAsia" w:hAnsi="宋体" w:cs="宋体"/>
                <w:sz w:val="21"/>
                <w:szCs w:val="21"/>
              </w:rPr>
              <w:t>……</w:t>
            </w:r>
          </w:p>
        </w:tc>
        <w:tc>
          <w:tcPr>
            <w:tcW w:w="2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1143"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r>
              <w:rPr>
                <w:rFonts w:hint="eastAsia" w:hAnsi="宋体" w:cs="宋体"/>
                <w:sz w:val="21"/>
                <w:szCs w:val="21"/>
              </w:rPr>
              <w:t>……</w:t>
            </w:r>
          </w:p>
        </w:tc>
        <w:tc>
          <w:tcPr>
            <w:tcW w:w="30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127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p>
        </w:tc>
        <w:tc>
          <w:tcPr>
            <w:tcW w:w="240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6"/>
            <w:tcBorders>
              <w:top w:val="single" w:color="auto" w:sz="4" w:space="0"/>
              <w:left w:val="single" w:color="auto" w:sz="4" w:space="0"/>
              <w:bottom w:val="single" w:color="auto" w:sz="4" w:space="0"/>
              <w:right w:val="single" w:color="auto" w:sz="4" w:space="0"/>
            </w:tcBorders>
            <w:vAlign w:val="center"/>
          </w:tcPr>
          <w:p>
            <w:pPr>
              <w:pStyle w:val="14"/>
              <w:spacing w:line="600" w:lineRule="exact"/>
              <w:rPr>
                <w:rFonts w:hAnsi="宋体" w:cs="宋体"/>
                <w:sz w:val="21"/>
                <w:szCs w:val="21"/>
              </w:rPr>
            </w:pPr>
            <w:r>
              <w:rPr>
                <w:rFonts w:hint="eastAsia" w:hAnsi="宋体" w:cs="宋体"/>
                <w:sz w:val="21"/>
                <w:szCs w:val="21"/>
              </w:rPr>
              <w:t xml:space="preserve">投标人名称（盖单位公章）：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6"/>
            <w:tcBorders>
              <w:top w:val="single" w:color="auto" w:sz="4" w:space="0"/>
              <w:left w:val="single" w:color="auto" w:sz="4" w:space="0"/>
              <w:bottom w:val="single" w:color="auto" w:sz="4" w:space="0"/>
              <w:right w:val="single" w:color="auto" w:sz="4" w:space="0"/>
            </w:tcBorders>
            <w:vAlign w:val="center"/>
          </w:tcPr>
          <w:p>
            <w:pPr>
              <w:pStyle w:val="14"/>
              <w:spacing w:line="600" w:lineRule="exact"/>
              <w:rPr>
                <w:rFonts w:hAnsi="宋体" w:cs="宋体"/>
                <w:sz w:val="21"/>
                <w:szCs w:val="21"/>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6"/>
            <w:tcBorders>
              <w:top w:val="single" w:color="auto" w:sz="4" w:space="0"/>
              <w:left w:val="single" w:color="auto" w:sz="4" w:space="0"/>
              <w:bottom w:val="single" w:color="auto" w:sz="4" w:space="0"/>
              <w:right w:val="single" w:color="auto" w:sz="4" w:space="0"/>
            </w:tcBorders>
            <w:vAlign w:val="center"/>
          </w:tcPr>
          <w:p>
            <w:pPr>
              <w:pStyle w:val="14"/>
              <w:spacing w:line="420" w:lineRule="exact"/>
              <w:rPr>
                <w:rFonts w:hAnsi="宋体" w:cs="宋体"/>
                <w:bCs/>
                <w:sz w:val="21"/>
                <w:szCs w:val="21"/>
              </w:rPr>
            </w:pPr>
            <w:r>
              <w:rPr>
                <w:rFonts w:hint="eastAsia" w:hAnsi="宋体" w:cs="宋体"/>
                <w:bCs/>
                <w:sz w:val="21"/>
                <w:szCs w:val="21"/>
              </w:rPr>
              <w:t>日期：</w:t>
            </w:r>
            <w:r>
              <w:rPr>
                <w:rFonts w:hint="eastAsia" w:hAnsi="宋体" w:cs="宋体"/>
                <w:bCs/>
                <w:sz w:val="21"/>
                <w:szCs w:val="21"/>
                <w:u w:val="single"/>
              </w:rPr>
              <w:t xml:space="preserve">    </w:t>
            </w:r>
            <w:r>
              <w:rPr>
                <w:rFonts w:hint="eastAsia" w:hAnsi="宋体" w:cs="宋体"/>
                <w:bCs/>
                <w:sz w:val="21"/>
                <w:szCs w:val="21"/>
              </w:rPr>
              <w:t>年</w:t>
            </w:r>
            <w:r>
              <w:rPr>
                <w:rFonts w:hint="eastAsia" w:hAnsi="宋体" w:cs="宋体"/>
                <w:bCs/>
                <w:sz w:val="21"/>
                <w:szCs w:val="21"/>
                <w:u w:val="single"/>
              </w:rPr>
              <w:t xml:space="preserve">    </w:t>
            </w:r>
            <w:r>
              <w:rPr>
                <w:rFonts w:hint="eastAsia" w:hAnsi="宋体" w:cs="宋体"/>
                <w:bCs/>
                <w:sz w:val="21"/>
                <w:szCs w:val="21"/>
              </w:rPr>
              <w:t>月</w:t>
            </w:r>
            <w:r>
              <w:rPr>
                <w:rFonts w:hint="eastAsia" w:hAnsi="宋体" w:cs="宋体"/>
                <w:bCs/>
                <w:sz w:val="21"/>
                <w:szCs w:val="21"/>
                <w:u w:val="single"/>
              </w:rPr>
              <w:t xml:space="preserve">    </w:t>
            </w:r>
            <w:r>
              <w:rPr>
                <w:rFonts w:hint="eastAsia" w:hAnsi="宋体" w:cs="宋体"/>
                <w:bCs/>
                <w:sz w:val="21"/>
                <w:szCs w:val="21"/>
              </w:rPr>
              <w:t>日</w:t>
            </w:r>
          </w:p>
        </w:tc>
      </w:tr>
    </w:tbl>
    <w:p>
      <w:pPr>
        <w:pStyle w:val="14"/>
        <w:rPr>
          <w:rFonts w:hAnsi="宋体" w:cs="宋体"/>
          <w:sz w:val="21"/>
          <w:szCs w:val="21"/>
        </w:rPr>
      </w:pPr>
    </w:p>
    <w:p>
      <w:pPr>
        <w:pStyle w:val="14"/>
        <w:spacing w:line="600" w:lineRule="exact"/>
        <w:rPr>
          <w:rFonts w:hAnsi="宋体" w:cs="宋体"/>
          <w:b/>
          <w:sz w:val="21"/>
          <w:szCs w:val="21"/>
        </w:rPr>
      </w:pPr>
      <w:r>
        <w:rPr>
          <w:rFonts w:hint="eastAsia" w:hAnsi="宋体" w:cs="宋体"/>
          <w:b/>
          <w:sz w:val="21"/>
          <w:szCs w:val="21"/>
        </w:rPr>
        <w:t>注：</w:t>
      </w:r>
    </w:p>
    <w:p>
      <w:pPr>
        <w:pStyle w:val="14"/>
        <w:spacing w:line="600" w:lineRule="exact"/>
        <w:rPr>
          <w:rFonts w:hAnsi="宋体" w:cs="宋体"/>
          <w:b/>
          <w:sz w:val="21"/>
          <w:szCs w:val="21"/>
        </w:rPr>
      </w:pPr>
      <w:r>
        <w:rPr>
          <w:rFonts w:hint="eastAsia" w:hAnsi="宋体" w:cs="宋体"/>
          <w:b/>
          <w:sz w:val="21"/>
          <w:szCs w:val="21"/>
        </w:rPr>
        <w:t>⑴表格内容均需按要求填写并盖章，不得留空，否则按投标无效处理。</w:t>
      </w:r>
    </w:p>
    <w:p>
      <w:pPr>
        <w:pStyle w:val="14"/>
        <w:spacing w:line="600" w:lineRule="exact"/>
        <w:rPr>
          <w:rFonts w:hAnsi="宋体" w:cs="宋体"/>
          <w:sz w:val="21"/>
          <w:szCs w:val="21"/>
        </w:rPr>
      </w:pPr>
      <w:r>
        <w:rPr>
          <w:rFonts w:hint="eastAsia" w:hAnsi="宋体" w:cs="宋体"/>
          <w:b/>
          <w:sz w:val="21"/>
          <w:szCs w:val="21"/>
        </w:rPr>
        <w:t>⑵当投标文件的服务内容低于招标文件要求时，投标人应当如实写明“负偏离”，否则视为虚假应标。</w:t>
      </w:r>
    </w:p>
    <w:p>
      <w:pPr>
        <w:pStyle w:val="14"/>
        <w:spacing w:line="600" w:lineRule="exact"/>
        <w:jc w:val="left"/>
        <w:rPr>
          <w:rFonts w:hAnsi="宋体" w:cs="宋体"/>
          <w:sz w:val="21"/>
          <w:szCs w:val="21"/>
          <w:u w:val="single"/>
        </w:rPr>
      </w:pPr>
    </w:p>
    <w:p>
      <w:pPr>
        <w:pStyle w:val="14"/>
        <w:spacing w:line="600" w:lineRule="exact"/>
        <w:jc w:val="left"/>
        <w:rPr>
          <w:rFonts w:hAnsi="宋体" w:cs="宋体"/>
          <w:sz w:val="21"/>
          <w:szCs w:val="21"/>
          <w:u w:val="single"/>
        </w:rPr>
      </w:pPr>
    </w:p>
    <w:p>
      <w:pPr>
        <w:pStyle w:val="14"/>
        <w:spacing w:line="600" w:lineRule="exact"/>
        <w:jc w:val="left"/>
        <w:rPr>
          <w:rFonts w:hAnsi="宋体" w:cs="宋体"/>
          <w:sz w:val="21"/>
          <w:szCs w:val="21"/>
          <w:u w:val="single"/>
        </w:rPr>
      </w:pPr>
    </w:p>
    <w:p>
      <w:pPr>
        <w:pStyle w:val="14"/>
        <w:spacing w:line="600" w:lineRule="exact"/>
        <w:outlineLvl w:val="0"/>
        <w:rPr>
          <w:rFonts w:hAnsi="宋体" w:cs="宋体"/>
          <w:sz w:val="21"/>
          <w:szCs w:val="21"/>
        </w:rPr>
      </w:pPr>
      <w:bookmarkStart w:id="94" w:name="_Toc28625"/>
      <w:bookmarkStart w:id="95" w:name="_Toc20081"/>
      <w:bookmarkStart w:id="96" w:name="_Toc17962"/>
      <w:bookmarkStart w:id="97" w:name="_Toc14928"/>
      <w:r>
        <w:rPr>
          <w:rFonts w:hint="eastAsia" w:hAnsi="宋体" w:cs="宋体"/>
          <w:b/>
          <w:sz w:val="21"/>
          <w:szCs w:val="21"/>
        </w:rPr>
        <w:t>格式</w:t>
      </w:r>
      <w:r>
        <w:rPr>
          <w:rFonts w:hAnsi="宋体" w:cs="宋体"/>
          <w:b/>
          <w:sz w:val="21"/>
          <w:szCs w:val="21"/>
        </w:rPr>
        <w:t>9</w:t>
      </w:r>
      <w:r>
        <w:rPr>
          <w:rFonts w:hint="eastAsia" w:hAnsi="宋体" w:cs="宋体"/>
          <w:b/>
          <w:sz w:val="21"/>
          <w:szCs w:val="21"/>
        </w:rPr>
        <w:t>：</w:t>
      </w:r>
      <w:bookmarkEnd w:id="94"/>
      <w:bookmarkEnd w:id="95"/>
      <w:bookmarkEnd w:id="96"/>
      <w:bookmarkEnd w:id="97"/>
    </w:p>
    <w:p>
      <w:pPr>
        <w:pStyle w:val="14"/>
        <w:spacing w:line="500" w:lineRule="exact"/>
        <w:jc w:val="center"/>
        <w:rPr>
          <w:rFonts w:hAnsi="宋体" w:cs="宋体"/>
          <w:b/>
          <w:bCs/>
          <w:sz w:val="21"/>
          <w:szCs w:val="21"/>
        </w:rPr>
      </w:pPr>
      <w:r>
        <w:rPr>
          <w:rFonts w:hint="eastAsia" w:hAnsi="宋体" w:cs="宋体"/>
          <w:b/>
          <w:kern w:val="0"/>
          <w:sz w:val="21"/>
          <w:szCs w:val="21"/>
        </w:rPr>
        <w:t>后续服务和其它优化措施</w:t>
      </w: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rPr>
          <w:rFonts w:hAnsi="宋体" w:cs="宋体"/>
          <w:sz w:val="21"/>
          <w:szCs w:val="21"/>
        </w:rPr>
      </w:pPr>
    </w:p>
    <w:p>
      <w:pPr>
        <w:pStyle w:val="14"/>
        <w:spacing w:line="600" w:lineRule="exact"/>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600" w:lineRule="exact"/>
        <w:rPr>
          <w:rFonts w:hAnsi="宋体" w:cs="宋体"/>
          <w:sz w:val="21"/>
          <w:szCs w:val="21"/>
          <w:u w:val="single"/>
        </w:rPr>
      </w:pPr>
    </w:p>
    <w:p>
      <w:pPr>
        <w:pStyle w:val="14"/>
        <w:spacing w:line="600" w:lineRule="exact"/>
        <w:rPr>
          <w:rFonts w:hAnsi="宋体" w:cs="宋体"/>
          <w:sz w:val="21"/>
          <w:szCs w:val="21"/>
          <w:u w:val="single"/>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p>
    <w:p>
      <w:pPr>
        <w:pStyle w:val="14"/>
        <w:spacing w:line="600" w:lineRule="exact"/>
        <w:rPr>
          <w:rFonts w:hAnsi="宋体" w:cs="宋体"/>
          <w:sz w:val="21"/>
          <w:szCs w:val="21"/>
        </w:rPr>
      </w:pPr>
      <w:r>
        <w:rPr>
          <w:rFonts w:hint="eastAsia" w:hAnsi="宋体" w:cs="宋体"/>
          <w:sz w:val="21"/>
          <w:szCs w:val="21"/>
        </w:rPr>
        <w:t>日期：   年    月   日</w:t>
      </w:r>
    </w:p>
    <w:p>
      <w:pPr>
        <w:pStyle w:val="14"/>
        <w:spacing w:line="600" w:lineRule="exact"/>
        <w:rPr>
          <w:rFonts w:hAnsi="宋体" w:cs="宋体"/>
          <w:b/>
          <w:bCs/>
          <w:sz w:val="21"/>
          <w:szCs w:val="21"/>
        </w:rPr>
      </w:pPr>
    </w:p>
    <w:p>
      <w:pPr>
        <w:pStyle w:val="14"/>
        <w:spacing w:line="600" w:lineRule="exact"/>
        <w:rPr>
          <w:rFonts w:hAnsi="宋体" w:cs="宋体"/>
          <w:b/>
          <w:bCs/>
          <w:sz w:val="21"/>
          <w:szCs w:val="21"/>
        </w:rPr>
      </w:pPr>
    </w:p>
    <w:p>
      <w:pPr>
        <w:pStyle w:val="14"/>
        <w:spacing w:line="600" w:lineRule="exact"/>
        <w:rPr>
          <w:rFonts w:hAnsi="宋体" w:cs="宋体"/>
          <w:b/>
          <w:bCs/>
          <w:sz w:val="21"/>
          <w:szCs w:val="21"/>
        </w:rPr>
      </w:pPr>
    </w:p>
    <w:p>
      <w:pPr>
        <w:pStyle w:val="14"/>
        <w:spacing w:line="600" w:lineRule="exact"/>
        <w:rPr>
          <w:rFonts w:hAnsi="宋体" w:cs="宋体"/>
          <w:b/>
          <w:bCs/>
          <w:sz w:val="21"/>
          <w:szCs w:val="21"/>
        </w:rPr>
      </w:pPr>
    </w:p>
    <w:p>
      <w:pPr>
        <w:pStyle w:val="14"/>
        <w:spacing w:line="600" w:lineRule="exact"/>
        <w:outlineLvl w:val="0"/>
        <w:rPr>
          <w:rFonts w:hAnsi="宋体" w:cs="宋体"/>
          <w:sz w:val="21"/>
          <w:szCs w:val="21"/>
        </w:rPr>
      </w:pPr>
      <w:r>
        <w:rPr>
          <w:rFonts w:hint="eastAsia" w:hAnsi="宋体" w:cs="宋体"/>
          <w:b/>
          <w:bCs/>
          <w:sz w:val="21"/>
          <w:szCs w:val="21"/>
        </w:rPr>
        <w:br w:type="page"/>
      </w:r>
      <w:bookmarkStart w:id="98" w:name="_Toc13680"/>
      <w:bookmarkStart w:id="99" w:name="_Toc7774"/>
      <w:bookmarkStart w:id="100" w:name="_Toc2802"/>
      <w:bookmarkStart w:id="101" w:name="_Toc20285"/>
      <w:r>
        <w:rPr>
          <w:rFonts w:hint="eastAsia" w:hAnsi="宋体" w:cs="宋体"/>
          <w:b/>
          <w:sz w:val="21"/>
          <w:szCs w:val="21"/>
        </w:rPr>
        <w:t>格式</w:t>
      </w:r>
      <w:r>
        <w:rPr>
          <w:rFonts w:hAnsi="宋体" w:cs="宋体"/>
          <w:b/>
          <w:sz w:val="21"/>
          <w:szCs w:val="21"/>
        </w:rPr>
        <w:t>10</w:t>
      </w:r>
      <w:r>
        <w:rPr>
          <w:rFonts w:hint="eastAsia" w:hAnsi="宋体" w:cs="宋体"/>
          <w:b/>
          <w:sz w:val="21"/>
          <w:szCs w:val="21"/>
        </w:rPr>
        <w:t>：</w:t>
      </w:r>
      <w:bookmarkEnd w:id="98"/>
      <w:bookmarkEnd w:id="99"/>
      <w:bookmarkEnd w:id="100"/>
      <w:bookmarkEnd w:id="101"/>
    </w:p>
    <w:p>
      <w:pPr>
        <w:pStyle w:val="14"/>
        <w:spacing w:line="500" w:lineRule="exact"/>
        <w:jc w:val="center"/>
        <w:rPr>
          <w:rFonts w:hAnsi="宋体" w:cs="宋体"/>
          <w:b/>
          <w:bCs/>
          <w:sz w:val="21"/>
          <w:szCs w:val="21"/>
        </w:rPr>
      </w:pPr>
      <w:r>
        <w:rPr>
          <w:rFonts w:hint="eastAsia" w:hAnsi="宋体" w:cs="宋体"/>
          <w:b/>
          <w:bCs/>
          <w:sz w:val="21"/>
          <w:szCs w:val="21"/>
        </w:rPr>
        <w:t>商务条款偏离表</w:t>
      </w:r>
    </w:p>
    <w:p>
      <w:pPr>
        <w:pStyle w:val="14"/>
        <w:spacing w:line="400" w:lineRule="exact"/>
        <w:rPr>
          <w:rFonts w:hAnsi="宋体" w:cs="宋体"/>
          <w:sz w:val="21"/>
          <w:szCs w:val="21"/>
          <w:u w:val="thick"/>
        </w:rPr>
      </w:pPr>
    </w:p>
    <w:p>
      <w:pPr>
        <w:pStyle w:val="14"/>
        <w:rPr>
          <w:rFonts w:hAnsi="宋体" w:cs="宋体"/>
          <w:sz w:val="21"/>
          <w:szCs w:val="21"/>
        </w:rPr>
      </w:pPr>
      <w:r>
        <w:rPr>
          <w:rFonts w:hint="eastAsia" w:hAnsi="宋体" w:cs="宋体"/>
          <w:sz w:val="21"/>
          <w:szCs w:val="21"/>
        </w:rPr>
        <w:t>　　请逐条对应本项目招标文件第三章“服务需求一览表”中“商务条款”的要求，详细填写相应的具体内容。“偏离说明”一栏应当选择“正偏离”、“负偏离”或“无偏离”进行填写。</w:t>
      </w:r>
    </w:p>
    <w:p>
      <w:pPr>
        <w:pStyle w:val="14"/>
        <w:rPr>
          <w:rFonts w:hAnsi="宋体" w:cs="宋体"/>
          <w:sz w:val="21"/>
          <w:szCs w:val="21"/>
          <w:u w:val="singl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4"/>
              <w:spacing w:line="600" w:lineRule="exact"/>
              <w:jc w:val="center"/>
              <w:rPr>
                <w:rFonts w:hAnsi="宋体" w:cs="宋体"/>
                <w:sz w:val="21"/>
                <w:szCs w:val="21"/>
              </w:rPr>
            </w:pPr>
            <w:r>
              <w:rPr>
                <w:rFonts w:hint="eastAsia" w:hAnsi="宋体" w:cs="宋体"/>
                <w:sz w:val="21"/>
                <w:szCs w:val="21"/>
              </w:rPr>
              <w:t>项号</w:t>
            </w:r>
          </w:p>
        </w:tc>
        <w:tc>
          <w:tcPr>
            <w:tcW w:w="4071" w:type="dxa"/>
            <w:vAlign w:val="center"/>
          </w:tcPr>
          <w:p>
            <w:pPr>
              <w:pStyle w:val="14"/>
              <w:spacing w:line="600" w:lineRule="exact"/>
              <w:jc w:val="center"/>
              <w:rPr>
                <w:rFonts w:hAnsi="宋体" w:cs="宋体"/>
                <w:sz w:val="21"/>
                <w:szCs w:val="21"/>
              </w:rPr>
            </w:pPr>
            <w:r>
              <w:rPr>
                <w:rFonts w:hint="eastAsia" w:hAnsi="宋体" w:cs="宋体"/>
                <w:sz w:val="21"/>
                <w:szCs w:val="21"/>
              </w:rPr>
              <w:t>招标文件的商务需求</w:t>
            </w:r>
          </w:p>
        </w:tc>
        <w:tc>
          <w:tcPr>
            <w:tcW w:w="3400" w:type="dxa"/>
            <w:vAlign w:val="center"/>
          </w:tcPr>
          <w:p>
            <w:pPr>
              <w:pStyle w:val="14"/>
              <w:spacing w:line="600" w:lineRule="exact"/>
              <w:jc w:val="center"/>
              <w:rPr>
                <w:rFonts w:hAnsi="宋体" w:cs="宋体"/>
                <w:sz w:val="21"/>
                <w:szCs w:val="21"/>
              </w:rPr>
            </w:pPr>
            <w:r>
              <w:rPr>
                <w:rFonts w:hint="eastAsia" w:hAnsi="宋体" w:cs="宋体"/>
                <w:sz w:val="21"/>
                <w:szCs w:val="21"/>
              </w:rPr>
              <w:t>投标文件承诺的商务条款</w:t>
            </w:r>
          </w:p>
        </w:tc>
        <w:tc>
          <w:tcPr>
            <w:tcW w:w="1640" w:type="dxa"/>
            <w:vAlign w:val="center"/>
          </w:tcPr>
          <w:p>
            <w:pPr>
              <w:pStyle w:val="14"/>
              <w:spacing w:line="600" w:lineRule="exact"/>
              <w:jc w:val="center"/>
              <w:rPr>
                <w:rFonts w:hAnsi="宋体" w:cs="宋体"/>
                <w:sz w:val="21"/>
                <w:szCs w:val="21"/>
              </w:rPr>
            </w:pPr>
            <w:r>
              <w:rPr>
                <w:rFonts w:hint="eastAsia" w:hAnsi="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4"/>
              <w:spacing w:line="600" w:lineRule="exact"/>
              <w:rPr>
                <w:rFonts w:hAnsi="宋体" w:cs="宋体"/>
                <w:sz w:val="21"/>
                <w:szCs w:val="21"/>
              </w:rPr>
            </w:pPr>
            <w:r>
              <w:rPr>
                <w:rFonts w:hint="eastAsia" w:hAnsi="宋体" w:cs="宋体"/>
                <w:sz w:val="21"/>
                <w:szCs w:val="21"/>
              </w:rPr>
              <w:t>一</w:t>
            </w:r>
          </w:p>
        </w:tc>
        <w:tc>
          <w:tcPr>
            <w:tcW w:w="4071" w:type="dxa"/>
          </w:tcPr>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3400" w:type="dxa"/>
          </w:tcPr>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1640" w:type="dxa"/>
            <w:vAlign w:val="center"/>
          </w:tcPr>
          <w:p>
            <w:pPr>
              <w:pStyle w:val="14"/>
              <w:spacing w:line="600" w:lineRule="exact"/>
              <w:jc w:val="center"/>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4"/>
              <w:spacing w:line="600" w:lineRule="exact"/>
              <w:rPr>
                <w:rFonts w:hAnsi="宋体" w:cs="宋体"/>
                <w:sz w:val="21"/>
                <w:szCs w:val="21"/>
              </w:rPr>
            </w:pPr>
            <w:r>
              <w:rPr>
                <w:rFonts w:hint="eastAsia" w:hAnsi="宋体" w:cs="宋体"/>
                <w:sz w:val="21"/>
                <w:szCs w:val="21"/>
              </w:rPr>
              <w:t>二</w:t>
            </w:r>
          </w:p>
        </w:tc>
        <w:tc>
          <w:tcPr>
            <w:tcW w:w="4071" w:type="dxa"/>
          </w:tcPr>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3400" w:type="dxa"/>
          </w:tcPr>
          <w:p>
            <w:pPr>
              <w:rPr>
                <w:rFonts w:ascii="宋体" w:hAnsi="宋体" w:cs="宋体"/>
                <w:sz w:val="21"/>
                <w:szCs w:val="21"/>
              </w:rPr>
            </w:pPr>
            <w:r>
              <w:rPr>
                <w:rFonts w:hint="eastAsia" w:ascii="宋体" w:hAnsi="宋体" w:cs="宋体"/>
                <w:sz w:val="21"/>
                <w:szCs w:val="21"/>
              </w:rPr>
              <w:t>1  ……</w:t>
            </w:r>
          </w:p>
          <w:p>
            <w:pPr>
              <w:rPr>
                <w:rFonts w:ascii="宋体" w:hAnsi="宋体" w:cs="宋体"/>
                <w:sz w:val="21"/>
                <w:szCs w:val="21"/>
              </w:rPr>
            </w:pPr>
            <w:r>
              <w:rPr>
                <w:rFonts w:hint="eastAsia" w:ascii="宋体" w:hAnsi="宋体" w:cs="宋体"/>
                <w:sz w:val="21"/>
                <w:szCs w:val="21"/>
              </w:rPr>
              <w:t>2  ……</w:t>
            </w:r>
          </w:p>
          <w:p>
            <w:pPr>
              <w:rPr>
                <w:rFonts w:ascii="宋体" w:hAnsi="宋体" w:cs="宋体"/>
                <w:sz w:val="21"/>
                <w:szCs w:val="21"/>
              </w:rPr>
            </w:pPr>
            <w:r>
              <w:rPr>
                <w:rFonts w:hint="eastAsia" w:ascii="宋体" w:hAnsi="宋体" w:cs="宋体"/>
                <w:sz w:val="21"/>
                <w:szCs w:val="21"/>
              </w:rPr>
              <w:t>3  ……</w:t>
            </w:r>
          </w:p>
          <w:p>
            <w:pPr>
              <w:pStyle w:val="14"/>
              <w:spacing w:line="600" w:lineRule="exact"/>
              <w:rPr>
                <w:rFonts w:hAnsi="宋体" w:cs="宋体"/>
                <w:sz w:val="21"/>
                <w:szCs w:val="21"/>
              </w:rPr>
            </w:pPr>
            <w:r>
              <w:rPr>
                <w:rFonts w:hint="eastAsia" w:hAnsi="宋体" w:cs="宋体"/>
                <w:sz w:val="21"/>
                <w:szCs w:val="21"/>
              </w:rPr>
              <w:t>……</w:t>
            </w:r>
          </w:p>
        </w:tc>
        <w:tc>
          <w:tcPr>
            <w:tcW w:w="1640" w:type="dxa"/>
            <w:vAlign w:val="center"/>
          </w:tcPr>
          <w:p>
            <w:pPr>
              <w:pStyle w:val="14"/>
              <w:spacing w:line="600" w:lineRule="exact"/>
              <w:jc w:val="center"/>
              <w:rPr>
                <w:rFonts w:hAnsi="宋体" w:cs="宋体"/>
                <w:sz w:val="21"/>
                <w:szCs w:val="21"/>
              </w:rPr>
            </w:pPr>
            <w:r>
              <w:rPr>
                <w:rFonts w:hint="eastAsia" w:hAnsi="宋体" w:cs="宋体"/>
                <w:sz w:val="21"/>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4"/>
              <w:jc w:val="center"/>
              <w:rPr>
                <w:rFonts w:hAnsi="宋体" w:cs="宋体"/>
                <w:spacing w:val="-20"/>
                <w:sz w:val="21"/>
                <w:szCs w:val="21"/>
              </w:rPr>
            </w:pPr>
            <w:r>
              <w:rPr>
                <w:rFonts w:hint="eastAsia" w:hAnsi="宋体" w:cs="宋体"/>
                <w:spacing w:val="-20"/>
                <w:sz w:val="21"/>
                <w:szCs w:val="21"/>
              </w:rPr>
              <w:t>...</w:t>
            </w:r>
          </w:p>
        </w:tc>
        <w:tc>
          <w:tcPr>
            <w:tcW w:w="4071" w:type="dxa"/>
            <w:vAlign w:val="center"/>
          </w:tcPr>
          <w:p>
            <w:pPr>
              <w:pStyle w:val="14"/>
              <w:jc w:val="center"/>
              <w:rPr>
                <w:rFonts w:hAnsi="宋体" w:cs="宋体"/>
                <w:spacing w:val="-20"/>
                <w:sz w:val="21"/>
                <w:szCs w:val="21"/>
              </w:rPr>
            </w:pPr>
            <w:r>
              <w:rPr>
                <w:rFonts w:hint="eastAsia" w:hAnsi="宋体" w:cs="宋体"/>
                <w:spacing w:val="-20"/>
                <w:sz w:val="21"/>
                <w:szCs w:val="21"/>
              </w:rPr>
              <w:t>...</w:t>
            </w:r>
          </w:p>
        </w:tc>
        <w:tc>
          <w:tcPr>
            <w:tcW w:w="3400" w:type="dxa"/>
            <w:vAlign w:val="center"/>
          </w:tcPr>
          <w:p>
            <w:pPr>
              <w:pStyle w:val="14"/>
              <w:spacing w:line="600" w:lineRule="exact"/>
              <w:jc w:val="center"/>
              <w:rPr>
                <w:rFonts w:hAnsi="宋体" w:cs="宋体"/>
                <w:sz w:val="21"/>
                <w:szCs w:val="21"/>
              </w:rPr>
            </w:pPr>
            <w:r>
              <w:rPr>
                <w:rFonts w:hint="eastAsia" w:hAnsi="宋体" w:cs="宋体"/>
                <w:spacing w:val="-20"/>
                <w:sz w:val="21"/>
                <w:szCs w:val="21"/>
              </w:rPr>
              <w:t>...</w:t>
            </w:r>
          </w:p>
        </w:tc>
        <w:tc>
          <w:tcPr>
            <w:tcW w:w="1640" w:type="dxa"/>
          </w:tcPr>
          <w:p>
            <w:pPr>
              <w:pStyle w:val="14"/>
              <w:spacing w:line="600" w:lineRule="exact"/>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14"/>
              <w:spacing w:line="600" w:lineRule="exact"/>
              <w:rPr>
                <w:rFonts w:hAnsi="宋体" w:cs="宋体"/>
                <w:sz w:val="21"/>
                <w:szCs w:val="21"/>
              </w:rPr>
            </w:pPr>
            <w:r>
              <w:rPr>
                <w:rFonts w:hint="eastAsia" w:hAnsi="宋体" w:cs="宋体"/>
                <w:sz w:val="21"/>
                <w:szCs w:val="21"/>
              </w:rPr>
              <w:t>投标人名称（盖单位公章）：</w:t>
            </w:r>
            <w:r>
              <w:rPr>
                <w:rFonts w:hint="eastAsia" w:hAnsi="宋体" w:cs="宋体"/>
                <w:sz w:val="21"/>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pStyle w:val="14"/>
              <w:spacing w:line="600" w:lineRule="exact"/>
              <w:rPr>
                <w:rFonts w:hAnsi="宋体" w:cs="宋体"/>
                <w:sz w:val="21"/>
                <w:szCs w:val="21"/>
              </w:rPr>
            </w:pPr>
            <w:r>
              <w:rPr>
                <w:rFonts w:hint="eastAsia" w:hAnsi="宋体" w:cs="宋体"/>
                <w:sz w:val="21"/>
                <w:szCs w:val="21"/>
              </w:rPr>
              <w:t>法定代表人（负责人）或其委托代理人（签字或盖章）：</w:t>
            </w:r>
            <w:r>
              <w:rPr>
                <w:rFonts w:hint="eastAsia" w:hAnsi="宋体" w:cs="宋体"/>
                <w:sz w:val="21"/>
                <w:szCs w:val="21"/>
                <w:u w:val="single"/>
              </w:rPr>
              <w:t>　　　　　　　　　　　　　　　　　　　　　　　　　　</w:t>
            </w:r>
          </w:p>
        </w:tc>
      </w:tr>
    </w:tbl>
    <w:p>
      <w:pPr>
        <w:pStyle w:val="14"/>
        <w:spacing w:line="600" w:lineRule="exact"/>
        <w:rPr>
          <w:rFonts w:hAnsi="宋体" w:cs="宋体"/>
          <w:b/>
          <w:sz w:val="21"/>
          <w:szCs w:val="21"/>
        </w:rPr>
      </w:pPr>
      <w:r>
        <w:rPr>
          <w:rFonts w:hint="eastAsia" w:hAnsi="宋体" w:cs="宋体"/>
          <w:b/>
          <w:sz w:val="21"/>
          <w:szCs w:val="21"/>
        </w:rPr>
        <w:t>注：</w:t>
      </w:r>
    </w:p>
    <w:p>
      <w:pPr>
        <w:pStyle w:val="14"/>
        <w:spacing w:line="600" w:lineRule="exact"/>
        <w:rPr>
          <w:rFonts w:hAnsi="宋体" w:cs="宋体"/>
          <w:b/>
          <w:sz w:val="21"/>
          <w:szCs w:val="21"/>
        </w:rPr>
      </w:pPr>
      <w:r>
        <w:rPr>
          <w:rFonts w:hint="eastAsia" w:hAnsi="宋体" w:cs="宋体"/>
          <w:b/>
          <w:sz w:val="21"/>
          <w:szCs w:val="21"/>
        </w:rPr>
        <w:t>⑴表格内容均需按要求填写并盖章，不得留空，否则按投标无效处理。</w:t>
      </w:r>
    </w:p>
    <w:p>
      <w:pPr>
        <w:pStyle w:val="14"/>
        <w:spacing w:line="600" w:lineRule="exact"/>
        <w:rPr>
          <w:rFonts w:hAnsi="宋体" w:cs="宋体"/>
          <w:b/>
          <w:sz w:val="21"/>
          <w:szCs w:val="21"/>
        </w:rPr>
      </w:pPr>
      <w:r>
        <w:rPr>
          <w:rFonts w:hint="eastAsia" w:hAnsi="宋体" w:cs="宋体"/>
          <w:b/>
          <w:sz w:val="21"/>
          <w:szCs w:val="21"/>
        </w:rPr>
        <w:t>⑵投标文件承诺不得直接复制招标文件需求，如果招标文件需求为小于或大于某个数值标准时，投标文件承诺内容应当写明投标货物（服务）具体参数或商务响应承诺的具体数值，否则按投标无效处理。</w:t>
      </w:r>
    </w:p>
    <w:p>
      <w:pPr>
        <w:pStyle w:val="14"/>
        <w:spacing w:line="600" w:lineRule="exact"/>
        <w:rPr>
          <w:rFonts w:hAnsi="宋体" w:cs="宋体"/>
          <w:b/>
          <w:sz w:val="21"/>
          <w:szCs w:val="21"/>
        </w:rPr>
      </w:pPr>
      <w:r>
        <w:rPr>
          <w:rFonts w:hint="eastAsia" w:hAnsi="宋体" w:cs="宋体"/>
          <w:b/>
          <w:sz w:val="21"/>
          <w:szCs w:val="21"/>
        </w:rPr>
        <w:t>⑶当投标文件的技术参数或商务内容低于招标文件要求时，投标人应当如实写明“负偏离”，否则视为虚假应标。</w:t>
      </w: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b/>
          <w:bCs/>
          <w:sz w:val="21"/>
          <w:szCs w:val="21"/>
        </w:rPr>
      </w:pPr>
      <w:r>
        <w:rPr>
          <w:rFonts w:hint="eastAsia" w:hAnsi="宋体" w:cs="宋体"/>
          <w:b/>
          <w:sz w:val="21"/>
          <w:szCs w:val="21"/>
        </w:rPr>
        <w:t>格式1</w:t>
      </w:r>
      <w:r>
        <w:rPr>
          <w:rFonts w:hAnsi="宋体" w:cs="宋体"/>
          <w:b/>
          <w:sz w:val="21"/>
          <w:szCs w:val="21"/>
        </w:rPr>
        <w:t>1</w:t>
      </w:r>
      <w:r>
        <w:rPr>
          <w:rFonts w:hint="eastAsia" w:hAnsi="宋体" w:cs="宋体"/>
          <w:b/>
          <w:sz w:val="21"/>
          <w:szCs w:val="21"/>
        </w:rPr>
        <w:t xml:space="preserve">      </w:t>
      </w:r>
      <w:r>
        <w:rPr>
          <w:rFonts w:hint="eastAsia" w:hAnsi="宋体" w:cs="宋体"/>
          <w:b/>
          <w:bCs/>
          <w:sz w:val="21"/>
          <w:szCs w:val="21"/>
        </w:rPr>
        <w:t xml:space="preserve"> </w:t>
      </w:r>
    </w:p>
    <w:p>
      <w:pPr>
        <w:pStyle w:val="14"/>
        <w:spacing w:line="600" w:lineRule="exact"/>
        <w:jc w:val="center"/>
        <w:rPr>
          <w:rFonts w:hAnsi="宋体" w:cs="宋体"/>
          <w:b/>
          <w:bCs/>
          <w:sz w:val="21"/>
          <w:szCs w:val="21"/>
        </w:rPr>
      </w:pPr>
      <w:r>
        <w:rPr>
          <w:rFonts w:hint="eastAsia" w:hAnsi="宋体" w:cs="宋体"/>
          <w:b/>
          <w:bCs/>
          <w:sz w:val="21"/>
          <w:szCs w:val="21"/>
        </w:rPr>
        <w:t>信誉、荣誉证书</w:t>
      </w:r>
    </w:p>
    <w:p>
      <w:pPr>
        <w:pStyle w:val="14"/>
        <w:spacing w:line="600" w:lineRule="exact"/>
        <w:rPr>
          <w:rFonts w:hAnsi="宋体" w:cs="宋体"/>
          <w:b/>
          <w:bCs/>
          <w:sz w:val="21"/>
          <w:szCs w:val="21"/>
        </w:rPr>
      </w:pPr>
      <w:r>
        <w:rPr>
          <w:rFonts w:hint="eastAsia" w:hAnsi="宋体" w:cs="宋体"/>
          <w:b/>
          <w:bCs/>
          <w:sz w:val="21"/>
          <w:szCs w:val="21"/>
        </w:rPr>
        <w:t xml:space="preserve">                      </w:t>
      </w:r>
    </w:p>
    <w:tbl>
      <w:tblPr>
        <w:tblStyle w:val="2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01"/>
        <w:gridCol w:w="2218"/>
        <w:gridCol w:w="221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30" w:type="dxa"/>
            <w:vAlign w:val="center"/>
          </w:tcPr>
          <w:p>
            <w:pPr>
              <w:jc w:val="center"/>
              <w:rPr>
                <w:rFonts w:ascii="宋体" w:hAnsi="宋体" w:cs="宋体"/>
                <w:kern w:val="0"/>
                <w:sz w:val="21"/>
                <w:szCs w:val="21"/>
              </w:rPr>
            </w:pPr>
            <w:r>
              <w:rPr>
                <w:rFonts w:hint="eastAsia" w:ascii="宋体" w:hAnsi="宋体" w:cs="宋体"/>
                <w:kern w:val="0"/>
                <w:sz w:val="21"/>
                <w:szCs w:val="21"/>
              </w:rPr>
              <w:t>序号</w:t>
            </w:r>
          </w:p>
        </w:tc>
        <w:tc>
          <w:tcPr>
            <w:tcW w:w="1901" w:type="dxa"/>
            <w:vAlign w:val="center"/>
          </w:tcPr>
          <w:p>
            <w:pPr>
              <w:jc w:val="center"/>
              <w:rPr>
                <w:rFonts w:ascii="宋体" w:hAnsi="宋体" w:cs="宋体"/>
                <w:kern w:val="0"/>
                <w:sz w:val="21"/>
                <w:szCs w:val="21"/>
              </w:rPr>
            </w:pPr>
            <w:r>
              <w:rPr>
                <w:rFonts w:hint="eastAsia" w:ascii="宋体" w:hAnsi="宋体" w:cs="宋体"/>
                <w:kern w:val="0"/>
                <w:sz w:val="21"/>
                <w:szCs w:val="21"/>
              </w:rPr>
              <w:t>姓名或单位名称</w:t>
            </w:r>
          </w:p>
        </w:tc>
        <w:tc>
          <w:tcPr>
            <w:tcW w:w="2218" w:type="dxa"/>
            <w:vAlign w:val="center"/>
          </w:tcPr>
          <w:p>
            <w:pPr>
              <w:jc w:val="center"/>
              <w:rPr>
                <w:rFonts w:ascii="宋体" w:hAnsi="宋体" w:cs="宋体"/>
                <w:kern w:val="0"/>
                <w:sz w:val="21"/>
                <w:szCs w:val="21"/>
              </w:rPr>
            </w:pPr>
            <w:r>
              <w:rPr>
                <w:rFonts w:hint="eastAsia" w:ascii="宋体" w:hAnsi="宋体" w:cs="宋体"/>
                <w:kern w:val="0"/>
                <w:sz w:val="21"/>
                <w:szCs w:val="21"/>
              </w:rPr>
              <w:t>项目名称</w:t>
            </w:r>
          </w:p>
        </w:tc>
        <w:tc>
          <w:tcPr>
            <w:tcW w:w="2218" w:type="dxa"/>
            <w:vAlign w:val="center"/>
          </w:tcPr>
          <w:p>
            <w:pPr>
              <w:jc w:val="center"/>
              <w:rPr>
                <w:rFonts w:ascii="宋体" w:hAnsi="宋体" w:cs="宋体"/>
                <w:kern w:val="0"/>
                <w:sz w:val="21"/>
                <w:szCs w:val="21"/>
              </w:rPr>
            </w:pPr>
            <w:r>
              <w:rPr>
                <w:rFonts w:hint="eastAsia" w:ascii="宋体" w:hAnsi="宋体" w:cs="宋体"/>
                <w:kern w:val="0"/>
                <w:sz w:val="21"/>
                <w:szCs w:val="21"/>
              </w:rPr>
              <w:t>奖项类别</w:t>
            </w:r>
          </w:p>
        </w:tc>
        <w:tc>
          <w:tcPr>
            <w:tcW w:w="1980" w:type="dxa"/>
            <w:vAlign w:val="center"/>
          </w:tcPr>
          <w:p>
            <w:pPr>
              <w:jc w:val="center"/>
              <w:rPr>
                <w:rFonts w:ascii="宋体" w:hAnsi="宋体" w:cs="宋体"/>
                <w:kern w:val="0"/>
                <w:sz w:val="21"/>
                <w:szCs w:val="21"/>
              </w:rPr>
            </w:pPr>
            <w:r>
              <w:rPr>
                <w:rFonts w:hint="eastAsia" w:ascii="宋体" w:hAnsi="宋体" w:cs="宋体"/>
                <w:kern w:val="0"/>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30" w:type="dxa"/>
            <w:vAlign w:val="center"/>
          </w:tcPr>
          <w:p>
            <w:pPr>
              <w:jc w:val="center"/>
              <w:rPr>
                <w:rFonts w:ascii="宋体" w:hAnsi="宋体" w:cs="宋体"/>
                <w:kern w:val="0"/>
                <w:sz w:val="21"/>
                <w:szCs w:val="21"/>
              </w:rPr>
            </w:pPr>
          </w:p>
        </w:tc>
        <w:tc>
          <w:tcPr>
            <w:tcW w:w="1901"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1980" w:type="dxa"/>
            <w:vAlign w:val="center"/>
          </w:tcPr>
          <w:p>
            <w:pPr>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30" w:type="dxa"/>
            <w:vAlign w:val="center"/>
          </w:tcPr>
          <w:p>
            <w:pPr>
              <w:jc w:val="center"/>
              <w:rPr>
                <w:rFonts w:ascii="宋体" w:hAnsi="宋体" w:cs="宋体"/>
                <w:kern w:val="0"/>
                <w:sz w:val="21"/>
                <w:szCs w:val="21"/>
              </w:rPr>
            </w:pPr>
          </w:p>
        </w:tc>
        <w:tc>
          <w:tcPr>
            <w:tcW w:w="1901"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1980" w:type="dxa"/>
            <w:vAlign w:val="center"/>
          </w:tcPr>
          <w:p>
            <w:pPr>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30" w:type="dxa"/>
            <w:vAlign w:val="center"/>
          </w:tcPr>
          <w:p>
            <w:pPr>
              <w:jc w:val="center"/>
              <w:rPr>
                <w:rFonts w:ascii="宋体" w:hAnsi="宋体" w:cs="宋体"/>
                <w:kern w:val="0"/>
                <w:sz w:val="21"/>
                <w:szCs w:val="21"/>
              </w:rPr>
            </w:pPr>
          </w:p>
        </w:tc>
        <w:tc>
          <w:tcPr>
            <w:tcW w:w="1901"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1980" w:type="dxa"/>
            <w:vAlign w:val="center"/>
          </w:tcPr>
          <w:p>
            <w:pPr>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30" w:type="dxa"/>
            <w:vAlign w:val="center"/>
          </w:tcPr>
          <w:p>
            <w:pPr>
              <w:jc w:val="center"/>
              <w:rPr>
                <w:rFonts w:ascii="宋体" w:hAnsi="宋体" w:cs="宋体"/>
                <w:kern w:val="0"/>
                <w:sz w:val="21"/>
                <w:szCs w:val="21"/>
              </w:rPr>
            </w:pPr>
          </w:p>
        </w:tc>
        <w:tc>
          <w:tcPr>
            <w:tcW w:w="1901"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2218" w:type="dxa"/>
            <w:vAlign w:val="center"/>
          </w:tcPr>
          <w:p>
            <w:pPr>
              <w:jc w:val="center"/>
              <w:rPr>
                <w:rFonts w:ascii="宋体" w:hAnsi="宋体" w:cs="宋体"/>
                <w:kern w:val="0"/>
                <w:sz w:val="21"/>
                <w:szCs w:val="21"/>
              </w:rPr>
            </w:pPr>
          </w:p>
        </w:tc>
        <w:tc>
          <w:tcPr>
            <w:tcW w:w="1980" w:type="dxa"/>
            <w:vAlign w:val="center"/>
          </w:tcPr>
          <w:p>
            <w:pPr>
              <w:jc w:val="center"/>
              <w:rPr>
                <w:rFonts w:ascii="宋体" w:hAnsi="宋体" w:cs="宋体"/>
                <w:kern w:val="0"/>
                <w:sz w:val="21"/>
                <w:szCs w:val="21"/>
              </w:rPr>
            </w:pPr>
          </w:p>
        </w:tc>
      </w:tr>
    </w:tbl>
    <w:p>
      <w:pPr>
        <w:pStyle w:val="14"/>
        <w:spacing w:line="600" w:lineRule="exact"/>
        <w:rPr>
          <w:rFonts w:hAnsi="宋体" w:cs="宋体"/>
          <w:b/>
          <w:bCs/>
          <w:sz w:val="21"/>
          <w:szCs w:val="21"/>
        </w:rPr>
      </w:pP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600" w:lineRule="exact"/>
        <w:rPr>
          <w:rFonts w:hAnsi="宋体" w:cs="宋体"/>
          <w:sz w:val="21"/>
          <w:szCs w:val="21"/>
        </w:rPr>
      </w:pPr>
      <w:r>
        <w:rPr>
          <w:rFonts w:hint="eastAsia" w:hAnsi="宋体" w:cs="宋体"/>
          <w:sz w:val="21"/>
          <w:szCs w:val="21"/>
        </w:rPr>
        <w:t xml:space="preserve">法定代表人（负责人）或其委托代理人（签字或盖章）： </w:t>
      </w:r>
      <w:r>
        <w:rPr>
          <w:rFonts w:hint="eastAsia" w:hAnsi="宋体" w:cs="宋体"/>
          <w:sz w:val="21"/>
          <w:szCs w:val="21"/>
          <w:u w:val="single"/>
        </w:rPr>
        <w:t xml:space="preserve">             </w:t>
      </w:r>
      <w:r>
        <w:rPr>
          <w:rFonts w:hint="eastAsia" w:hAnsi="宋体" w:cs="宋体"/>
          <w:sz w:val="21"/>
          <w:szCs w:val="21"/>
        </w:rPr>
        <w:t xml:space="preserve">    </w:t>
      </w:r>
    </w:p>
    <w:p>
      <w:pPr>
        <w:pStyle w:val="14"/>
        <w:spacing w:line="600" w:lineRule="exact"/>
        <w:rPr>
          <w:rFonts w:hAnsi="宋体" w:cs="宋体"/>
          <w:sz w:val="21"/>
          <w:szCs w:val="21"/>
        </w:rPr>
      </w:pPr>
      <w:r>
        <w:rPr>
          <w:rFonts w:hint="eastAsia" w:hAnsi="宋体" w:cs="宋体"/>
          <w:sz w:val="21"/>
          <w:szCs w:val="21"/>
        </w:rPr>
        <w:t>日期：   年    月   日</w:t>
      </w: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rPr>
          <w:rFonts w:hAnsi="宋体" w:cs="宋体"/>
          <w:b/>
          <w:sz w:val="21"/>
          <w:szCs w:val="21"/>
        </w:rPr>
      </w:pPr>
    </w:p>
    <w:p>
      <w:pPr>
        <w:pStyle w:val="14"/>
        <w:spacing w:line="600" w:lineRule="exact"/>
        <w:outlineLvl w:val="0"/>
        <w:rPr>
          <w:rFonts w:hAnsi="宋体" w:cs="宋体"/>
          <w:sz w:val="21"/>
          <w:szCs w:val="21"/>
        </w:rPr>
      </w:pPr>
      <w:bookmarkStart w:id="102" w:name="_Toc21854"/>
      <w:bookmarkStart w:id="103" w:name="_Toc5987"/>
      <w:bookmarkStart w:id="104" w:name="_Toc24266"/>
      <w:bookmarkStart w:id="105" w:name="_Toc17225"/>
      <w:r>
        <w:rPr>
          <w:rFonts w:hint="eastAsia" w:hAnsi="宋体" w:cs="宋体"/>
          <w:b/>
          <w:sz w:val="21"/>
          <w:szCs w:val="21"/>
        </w:rPr>
        <w:t>格式1</w:t>
      </w:r>
      <w:r>
        <w:rPr>
          <w:rFonts w:hAnsi="宋体" w:cs="宋体"/>
          <w:b/>
          <w:sz w:val="21"/>
          <w:szCs w:val="21"/>
        </w:rPr>
        <w:t>2</w:t>
      </w:r>
      <w:r>
        <w:rPr>
          <w:rFonts w:hint="eastAsia" w:hAnsi="宋体" w:cs="宋体"/>
          <w:b/>
          <w:sz w:val="21"/>
          <w:szCs w:val="21"/>
        </w:rPr>
        <w:t>：</w:t>
      </w:r>
      <w:bookmarkEnd w:id="102"/>
      <w:bookmarkEnd w:id="103"/>
      <w:bookmarkEnd w:id="104"/>
      <w:bookmarkEnd w:id="105"/>
    </w:p>
    <w:p>
      <w:pPr>
        <w:pStyle w:val="14"/>
        <w:spacing w:line="500" w:lineRule="exact"/>
        <w:jc w:val="center"/>
        <w:rPr>
          <w:rFonts w:hAnsi="宋体" w:cs="宋体"/>
          <w:b/>
          <w:bCs/>
          <w:sz w:val="21"/>
          <w:szCs w:val="21"/>
        </w:rPr>
      </w:pPr>
      <w:r>
        <w:rPr>
          <w:rFonts w:hint="eastAsia" w:hAnsi="宋体" w:cs="宋体"/>
          <w:b/>
          <w:bCs/>
          <w:sz w:val="21"/>
          <w:szCs w:val="21"/>
        </w:rPr>
        <w:t>法定代表人（负责人）授权委托书</w:t>
      </w:r>
    </w:p>
    <w:p>
      <w:pPr>
        <w:pStyle w:val="14"/>
        <w:spacing w:line="500" w:lineRule="exact"/>
        <w:ind w:firstLine="420" w:firstLineChars="200"/>
        <w:rPr>
          <w:rFonts w:hAnsi="宋体" w:cs="宋体"/>
          <w:sz w:val="21"/>
          <w:szCs w:val="21"/>
          <w:u w:val="single"/>
        </w:rPr>
      </w:pPr>
    </w:p>
    <w:p>
      <w:pPr>
        <w:pStyle w:val="14"/>
        <w:spacing w:line="360" w:lineRule="auto"/>
        <w:ind w:firstLine="435"/>
        <w:rPr>
          <w:rFonts w:hAnsi="宋体" w:cs="宋体"/>
          <w:sz w:val="21"/>
          <w:szCs w:val="21"/>
        </w:rPr>
      </w:pPr>
      <w:r>
        <w:rPr>
          <w:rFonts w:hint="eastAsia" w:hAnsi="宋体" w:cs="宋体"/>
          <w:sz w:val="21"/>
          <w:szCs w:val="21"/>
        </w:rPr>
        <w:t>致：</w:t>
      </w:r>
      <w:r>
        <w:rPr>
          <w:rFonts w:hint="eastAsia" w:hAnsi="宋体" w:cs="宋体"/>
          <w:sz w:val="21"/>
          <w:szCs w:val="21"/>
          <w:u w:val="single"/>
        </w:rPr>
        <w:t xml:space="preserve">                       </w:t>
      </w:r>
      <w:r>
        <w:rPr>
          <w:rFonts w:hint="eastAsia" w:hAnsi="宋体" w:cs="宋体"/>
          <w:sz w:val="21"/>
          <w:szCs w:val="21"/>
        </w:rPr>
        <w:t>（采购代理机构名称）</w:t>
      </w:r>
    </w:p>
    <w:p>
      <w:pPr>
        <w:pStyle w:val="14"/>
        <w:spacing w:line="360" w:lineRule="auto"/>
        <w:ind w:firstLine="435"/>
        <w:rPr>
          <w:rFonts w:hAnsi="宋体" w:cs="宋体"/>
          <w:sz w:val="21"/>
          <w:szCs w:val="21"/>
        </w:rPr>
      </w:pPr>
    </w:p>
    <w:p>
      <w:pPr>
        <w:pStyle w:val="14"/>
        <w:spacing w:line="360" w:lineRule="auto"/>
        <w:ind w:firstLine="435"/>
        <w:rPr>
          <w:rFonts w:hAnsi="宋体" w:cs="宋体"/>
          <w:sz w:val="21"/>
          <w:szCs w:val="21"/>
        </w:rPr>
      </w:pPr>
      <w:r>
        <w:rPr>
          <w:rFonts w:hint="eastAsia" w:hAnsi="宋体" w:cs="宋体"/>
          <w:sz w:val="21"/>
          <w:szCs w:val="21"/>
        </w:rPr>
        <w:t>本人</w:t>
      </w:r>
      <w:r>
        <w:rPr>
          <w:rFonts w:hint="eastAsia" w:hAnsi="宋体" w:cs="宋体"/>
          <w:sz w:val="21"/>
          <w:szCs w:val="21"/>
          <w:u w:val="single"/>
        </w:rPr>
        <w:t xml:space="preserve">    （姓名）    </w:t>
      </w:r>
      <w:r>
        <w:rPr>
          <w:rFonts w:hint="eastAsia" w:hAnsi="宋体" w:cs="宋体"/>
          <w:sz w:val="21"/>
          <w:szCs w:val="21"/>
        </w:rPr>
        <w:t>系</w:t>
      </w:r>
      <w:r>
        <w:rPr>
          <w:rFonts w:hint="eastAsia" w:hAnsi="宋体" w:cs="宋体"/>
          <w:sz w:val="21"/>
          <w:szCs w:val="21"/>
          <w:u w:val="single"/>
        </w:rPr>
        <w:t xml:space="preserve">     （投标人名称）     </w:t>
      </w:r>
      <w:r>
        <w:rPr>
          <w:rFonts w:hint="eastAsia" w:hAnsi="宋体" w:cs="宋体"/>
          <w:sz w:val="21"/>
          <w:szCs w:val="21"/>
        </w:rPr>
        <w:t>的法定代表人（负责人），现授权我单位在职正式员工</w:t>
      </w:r>
      <w:r>
        <w:rPr>
          <w:rFonts w:hint="eastAsia" w:hAnsi="宋体" w:cs="宋体"/>
          <w:sz w:val="21"/>
          <w:szCs w:val="21"/>
          <w:u w:val="single"/>
        </w:rPr>
        <w:t xml:space="preserve">    （姓名和职务）    </w:t>
      </w:r>
      <w:r>
        <w:rPr>
          <w:rFonts w:hint="eastAsia" w:hAnsi="宋体" w:cs="宋体"/>
          <w:sz w:val="21"/>
          <w:szCs w:val="21"/>
        </w:rPr>
        <w:t>为我方代理人。代理人根据授权，以我方名义签署、澄清、说明、补正、递交、撤回、修改贵方组织的</w:t>
      </w:r>
      <w:r>
        <w:rPr>
          <w:rFonts w:hint="eastAsia" w:hAnsi="宋体" w:cs="宋体"/>
          <w:sz w:val="21"/>
          <w:szCs w:val="21"/>
          <w:u w:val="single"/>
        </w:rPr>
        <w:t xml:space="preserve">   （项目名称）     </w:t>
      </w:r>
      <w:r>
        <w:rPr>
          <w:rFonts w:hint="eastAsia" w:hAnsi="宋体" w:cs="宋体"/>
          <w:sz w:val="21"/>
          <w:szCs w:val="21"/>
        </w:rPr>
        <w:t>（项目编号：</w:t>
      </w:r>
      <w:r>
        <w:rPr>
          <w:rFonts w:hint="eastAsia" w:hAnsi="宋体" w:cs="宋体"/>
          <w:sz w:val="21"/>
          <w:szCs w:val="21"/>
          <w:u w:val="single"/>
        </w:rPr>
        <w:t xml:space="preserve">           </w:t>
      </w:r>
      <w:r>
        <w:rPr>
          <w:rFonts w:hint="eastAsia" w:hAnsi="宋体" w:cs="宋体"/>
          <w:sz w:val="21"/>
          <w:szCs w:val="21"/>
        </w:rPr>
        <w:t>）项目的投标文件、签订合同和处理一切有关事宜，其法律后果由我方承担。</w:t>
      </w:r>
    </w:p>
    <w:p>
      <w:pPr>
        <w:pStyle w:val="14"/>
        <w:spacing w:line="360" w:lineRule="auto"/>
        <w:ind w:firstLine="435"/>
        <w:rPr>
          <w:rFonts w:hAnsi="宋体" w:cs="宋体"/>
          <w:sz w:val="21"/>
          <w:szCs w:val="21"/>
        </w:rPr>
      </w:pPr>
      <w:r>
        <w:rPr>
          <w:rFonts w:hint="eastAsia" w:hAnsi="宋体" w:cs="宋体"/>
          <w:sz w:val="21"/>
          <w:szCs w:val="21"/>
        </w:rPr>
        <w:t>本授权书于</w:t>
      </w:r>
      <w:r>
        <w:rPr>
          <w:rFonts w:hint="eastAsia" w:hAnsi="宋体" w:cs="宋体"/>
          <w:spacing w:val="10"/>
          <w:sz w:val="21"/>
          <w:szCs w:val="21"/>
          <w:u w:val="single"/>
        </w:rPr>
        <w:t xml:space="preserve">    </w:t>
      </w:r>
      <w:r>
        <w:rPr>
          <w:rFonts w:hint="eastAsia" w:hAnsi="宋体" w:cs="宋体"/>
          <w:sz w:val="21"/>
          <w:szCs w:val="21"/>
        </w:rPr>
        <w:t>年</w:t>
      </w:r>
      <w:r>
        <w:rPr>
          <w:rFonts w:hint="eastAsia" w:hAnsi="宋体" w:cs="宋体"/>
          <w:spacing w:val="10"/>
          <w:sz w:val="21"/>
          <w:szCs w:val="21"/>
          <w:u w:val="single"/>
        </w:rPr>
        <w:t xml:space="preserve">    </w:t>
      </w:r>
      <w:r>
        <w:rPr>
          <w:rFonts w:hint="eastAsia" w:hAnsi="宋体" w:cs="宋体"/>
          <w:sz w:val="21"/>
          <w:szCs w:val="21"/>
        </w:rPr>
        <w:t>月</w:t>
      </w:r>
      <w:r>
        <w:rPr>
          <w:rFonts w:hint="eastAsia" w:hAnsi="宋体" w:cs="宋体"/>
          <w:spacing w:val="10"/>
          <w:sz w:val="21"/>
          <w:szCs w:val="21"/>
          <w:u w:val="single"/>
        </w:rPr>
        <w:t xml:space="preserve">    </w:t>
      </w:r>
      <w:r>
        <w:rPr>
          <w:rFonts w:hint="eastAsia" w:hAnsi="宋体" w:cs="宋体"/>
          <w:sz w:val="21"/>
          <w:szCs w:val="21"/>
        </w:rPr>
        <w:t>日签字生效，委托期限：</w:t>
      </w:r>
      <w:r>
        <w:rPr>
          <w:rFonts w:hint="eastAsia" w:hAnsi="宋体" w:cs="宋体"/>
          <w:spacing w:val="10"/>
          <w:sz w:val="21"/>
          <w:szCs w:val="21"/>
          <w:u w:val="single"/>
        </w:rPr>
        <w:t xml:space="preserve">    </w:t>
      </w:r>
      <w:r>
        <w:rPr>
          <w:rFonts w:hint="eastAsia" w:hAnsi="宋体" w:cs="宋体"/>
          <w:sz w:val="21"/>
          <w:szCs w:val="21"/>
        </w:rPr>
        <w:t>。</w:t>
      </w:r>
    </w:p>
    <w:p>
      <w:pPr>
        <w:pStyle w:val="14"/>
        <w:spacing w:line="360" w:lineRule="auto"/>
        <w:ind w:firstLine="420"/>
        <w:rPr>
          <w:rFonts w:hAnsi="宋体" w:cs="宋体"/>
          <w:sz w:val="21"/>
          <w:szCs w:val="21"/>
        </w:rPr>
      </w:pPr>
      <w:r>
        <w:rPr>
          <w:rFonts w:hint="eastAsia" w:hAnsi="宋体" w:cs="宋体"/>
          <w:sz w:val="21"/>
          <w:szCs w:val="21"/>
        </w:rPr>
        <w:t>代理人无转委托权。</w:t>
      </w:r>
    </w:p>
    <w:p>
      <w:pPr>
        <w:pStyle w:val="14"/>
        <w:spacing w:line="360" w:lineRule="auto"/>
        <w:ind w:firstLine="420"/>
        <w:rPr>
          <w:rFonts w:hAnsi="宋体" w:cs="宋体"/>
          <w:sz w:val="21"/>
          <w:szCs w:val="21"/>
        </w:rPr>
      </w:pPr>
    </w:p>
    <w:p>
      <w:pPr>
        <w:pStyle w:val="14"/>
        <w:spacing w:line="360" w:lineRule="auto"/>
        <w:ind w:firstLine="420"/>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360" w:lineRule="auto"/>
        <w:ind w:firstLine="420"/>
        <w:rPr>
          <w:rFonts w:hAnsi="宋体" w:cs="宋体"/>
          <w:sz w:val="21"/>
          <w:szCs w:val="21"/>
          <w:u w:val="single"/>
        </w:rPr>
      </w:pPr>
      <w:r>
        <w:rPr>
          <w:rFonts w:hint="eastAsia" w:hAnsi="宋体" w:cs="宋体"/>
          <w:sz w:val="21"/>
          <w:szCs w:val="21"/>
        </w:rPr>
        <w:t>法定代表人（负责人）（签字或盖章）：</w:t>
      </w:r>
      <w:r>
        <w:rPr>
          <w:rFonts w:hint="eastAsia" w:hAnsi="宋体" w:cs="宋体"/>
          <w:sz w:val="21"/>
          <w:szCs w:val="21"/>
          <w:u w:val="single"/>
        </w:rPr>
        <w:t xml:space="preserve">                                </w:t>
      </w:r>
    </w:p>
    <w:p>
      <w:pPr>
        <w:pStyle w:val="14"/>
        <w:spacing w:line="360" w:lineRule="auto"/>
        <w:ind w:firstLine="420"/>
        <w:rPr>
          <w:rFonts w:hAnsi="宋体" w:cs="宋体"/>
          <w:sz w:val="21"/>
          <w:szCs w:val="21"/>
          <w:u w:val="single"/>
        </w:rPr>
      </w:pPr>
      <w:r>
        <w:rPr>
          <w:rFonts w:hint="eastAsia" w:hAnsi="宋体" w:cs="宋体"/>
          <w:sz w:val="21"/>
          <w:szCs w:val="21"/>
        </w:rPr>
        <w:t>法定代表人（负责人）身份证号码：</w:t>
      </w:r>
      <w:r>
        <w:rPr>
          <w:rFonts w:hint="eastAsia" w:hAnsi="宋体" w:cs="宋体"/>
          <w:sz w:val="21"/>
          <w:szCs w:val="21"/>
          <w:u w:val="single"/>
        </w:rPr>
        <w:t xml:space="preserve">                                   </w:t>
      </w:r>
    </w:p>
    <w:p>
      <w:pPr>
        <w:pStyle w:val="14"/>
        <w:spacing w:line="360" w:lineRule="auto"/>
        <w:ind w:firstLine="420" w:firstLineChars="200"/>
        <w:rPr>
          <w:rFonts w:hAnsi="宋体" w:cs="宋体"/>
          <w:sz w:val="21"/>
          <w:szCs w:val="21"/>
        </w:rPr>
      </w:pPr>
      <w:r>
        <w:rPr>
          <w:rFonts w:hint="eastAsia" w:hAnsi="宋体" w:cs="宋体"/>
          <w:sz w:val="21"/>
          <w:szCs w:val="21"/>
        </w:rPr>
        <w:t>委托代理人（签字或盖章）：</w:t>
      </w:r>
      <w:r>
        <w:rPr>
          <w:rFonts w:hint="eastAsia" w:hAnsi="宋体" w:cs="宋体"/>
          <w:sz w:val="21"/>
          <w:szCs w:val="21"/>
          <w:u w:val="single"/>
        </w:rPr>
        <w:t xml:space="preserve">                                </w:t>
      </w:r>
    </w:p>
    <w:p>
      <w:pPr>
        <w:pStyle w:val="14"/>
        <w:spacing w:line="360" w:lineRule="auto"/>
        <w:ind w:firstLine="420"/>
        <w:rPr>
          <w:rFonts w:hAnsi="宋体" w:cs="宋体"/>
          <w:sz w:val="21"/>
          <w:szCs w:val="21"/>
          <w:u w:val="single"/>
        </w:rPr>
      </w:pPr>
      <w:r>
        <w:rPr>
          <w:rFonts w:hint="eastAsia" w:hAnsi="宋体" w:cs="宋体"/>
          <w:sz w:val="21"/>
          <w:szCs w:val="21"/>
        </w:rPr>
        <w:t>委托代理人身份证号码：</w:t>
      </w:r>
      <w:r>
        <w:rPr>
          <w:rFonts w:hint="eastAsia" w:hAnsi="宋体" w:cs="宋体"/>
          <w:sz w:val="21"/>
          <w:szCs w:val="21"/>
          <w:u w:val="single"/>
        </w:rPr>
        <w:t xml:space="preserve">                                   </w:t>
      </w:r>
    </w:p>
    <w:p>
      <w:pPr>
        <w:pStyle w:val="14"/>
        <w:spacing w:line="360" w:lineRule="auto"/>
        <w:ind w:firstLine="420"/>
        <w:rPr>
          <w:rFonts w:hAnsi="宋体" w:cs="宋体"/>
          <w:sz w:val="21"/>
          <w:szCs w:val="21"/>
          <w:u w:val="single"/>
        </w:rPr>
      </w:pPr>
    </w:p>
    <w:p>
      <w:pPr>
        <w:pStyle w:val="14"/>
        <w:spacing w:line="360" w:lineRule="auto"/>
        <w:ind w:firstLine="420"/>
        <w:rPr>
          <w:rFonts w:hAnsi="宋体" w:cs="宋体"/>
          <w:sz w:val="21"/>
          <w:szCs w:val="21"/>
          <w:u w:val="single"/>
        </w:rPr>
      </w:pPr>
    </w:p>
    <w:p>
      <w:pPr>
        <w:pStyle w:val="14"/>
        <w:spacing w:line="360" w:lineRule="auto"/>
        <w:ind w:firstLine="420"/>
        <w:rPr>
          <w:rFonts w:hAnsi="宋体" w:cs="宋体"/>
          <w:sz w:val="21"/>
          <w:szCs w:val="21"/>
          <w:u w:val="single"/>
        </w:rPr>
      </w:pPr>
    </w:p>
    <w:p>
      <w:pPr>
        <w:pStyle w:val="14"/>
        <w:spacing w:line="360" w:lineRule="auto"/>
        <w:ind w:firstLine="420"/>
        <w:rPr>
          <w:rFonts w:hAnsi="宋体" w:cs="宋体"/>
          <w:sz w:val="21"/>
          <w:szCs w:val="21"/>
          <w:u w:val="single"/>
        </w:rPr>
      </w:pPr>
    </w:p>
    <w:p>
      <w:pPr>
        <w:spacing w:line="360" w:lineRule="auto"/>
        <w:rPr>
          <w:rFonts w:ascii="宋体" w:hAnsi="宋体" w:cs="宋体"/>
          <w:sz w:val="21"/>
          <w:szCs w:val="21"/>
        </w:rPr>
      </w:pPr>
      <w:r>
        <w:rPr>
          <w:rFonts w:hint="eastAsia" w:ascii="宋体" w:hAnsi="宋体" w:cs="宋体"/>
          <w:sz w:val="21"/>
          <w:szCs w:val="21"/>
        </w:rPr>
        <w:t>备注：</w:t>
      </w:r>
    </w:p>
    <w:p>
      <w:pPr>
        <w:pStyle w:val="14"/>
        <w:spacing w:line="360" w:lineRule="auto"/>
        <w:ind w:firstLine="420"/>
        <w:rPr>
          <w:rFonts w:hAnsi="宋体" w:cs="宋体"/>
          <w:sz w:val="21"/>
          <w:szCs w:val="21"/>
        </w:rPr>
      </w:pPr>
      <w:r>
        <w:rPr>
          <w:rFonts w:hint="eastAsia" w:hAnsi="宋体" w:cs="宋体"/>
          <w:sz w:val="21"/>
          <w:szCs w:val="21"/>
        </w:rPr>
        <w:t>附法定代表人身份证明及身份证、企业法人（负责人）营业执照或事业单位法人（负责人）证书副本复印件。以上复印件均须加盖投标人单位公章。</w:t>
      </w:r>
    </w:p>
    <w:p>
      <w:pPr>
        <w:pStyle w:val="14"/>
        <w:spacing w:line="360" w:lineRule="auto"/>
        <w:ind w:firstLine="420"/>
        <w:rPr>
          <w:rFonts w:hAnsi="宋体" w:cs="宋体"/>
          <w:sz w:val="21"/>
          <w:szCs w:val="21"/>
          <w:u w:val="single"/>
        </w:rPr>
      </w:pPr>
    </w:p>
    <w:p>
      <w:pPr>
        <w:pStyle w:val="14"/>
        <w:spacing w:line="360" w:lineRule="auto"/>
        <w:ind w:firstLine="420"/>
        <w:rPr>
          <w:rFonts w:hAnsi="宋体" w:cs="宋体"/>
          <w:sz w:val="21"/>
          <w:szCs w:val="21"/>
          <w:u w:val="single"/>
        </w:rPr>
      </w:pPr>
    </w:p>
    <w:p>
      <w:pPr>
        <w:pStyle w:val="14"/>
        <w:spacing w:line="360" w:lineRule="auto"/>
        <w:ind w:firstLine="420"/>
        <w:rPr>
          <w:rFonts w:hAnsi="宋体" w:cs="宋体"/>
          <w:sz w:val="21"/>
          <w:szCs w:val="21"/>
        </w:rPr>
      </w:pPr>
      <w:r>
        <w:rPr>
          <w:rFonts w:hAnsi="宋体" w:cs="宋体"/>
          <w:sz w:val="21"/>
          <w:szCs w:val="21"/>
          <w:u w:val="single"/>
        </w:rPr>
        <w:br w:type="page"/>
      </w:r>
      <w:bookmarkStart w:id="106" w:name="_Toc7360"/>
      <w:bookmarkStart w:id="107" w:name="_Toc29311"/>
      <w:bookmarkStart w:id="108" w:name="_Toc21057"/>
      <w:bookmarkStart w:id="109" w:name="_Toc15035"/>
      <w:r>
        <w:rPr>
          <w:rFonts w:hint="eastAsia" w:hAnsi="宋体" w:cs="宋体"/>
          <w:b/>
          <w:sz w:val="21"/>
          <w:szCs w:val="21"/>
        </w:rPr>
        <w:t>格式1</w:t>
      </w:r>
      <w:r>
        <w:rPr>
          <w:rFonts w:hAnsi="宋体" w:cs="宋体"/>
          <w:b/>
          <w:sz w:val="21"/>
          <w:szCs w:val="21"/>
        </w:rPr>
        <w:t>3</w:t>
      </w:r>
      <w:r>
        <w:rPr>
          <w:rFonts w:hint="eastAsia" w:hAnsi="宋体" w:cs="宋体"/>
          <w:b/>
          <w:sz w:val="21"/>
          <w:szCs w:val="21"/>
        </w:rPr>
        <w:t>：</w:t>
      </w:r>
      <w:bookmarkEnd w:id="106"/>
      <w:bookmarkEnd w:id="107"/>
      <w:bookmarkEnd w:id="108"/>
      <w:bookmarkEnd w:id="109"/>
    </w:p>
    <w:p>
      <w:pPr>
        <w:pStyle w:val="14"/>
        <w:jc w:val="left"/>
        <w:rPr>
          <w:rFonts w:hAnsi="宋体" w:cs="宋体"/>
          <w:b/>
          <w:sz w:val="21"/>
          <w:szCs w:val="21"/>
        </w:rPr>
      </w:pPr>
    </w:p>
    <w:p>
      <w:pPr>
        <w:pStyle w:val="14"/>
        <w:spacing w:line="360" w:lineRule="auto"/>
        <w:jc w:val="center"/>
        <w:rPr>
          <w:rFonts w:hAnsi="宋体" w:cs="宋体"/>
          <w:b/>
          <w:bCs/>
          <w:sz w:val="21"/>
          <w:szCs w:val="21"/>
        </w:rPr>
      </w:pPr>
      <w:r>
        <w:rPr>
          <w:rFonts w:hint="eastAsia" w:hAnsi="宋体" w:cs="宋体"/>
          <w:b/>
          <w:sz w:val="21"/>
          <w:szCs w:val="21"/>
        </w:rPr>
        <w:t>投标人独立承担过的类似项目业绩的相关证明材料</w:t>
      </w:r>
    </w:p>
    <w:p>
      <w:pPr>
        <w:rPr>
          <w:rFonts w:ascii="宋体" w:hAnsi="宋体" w:cs="宋体"/>
          <w:b/>
          <w:bCs/>
          <w:sz w:val="21"/>
          <w:szCs w:val="21"/>
        </w:rPr>
      </w:pPr>
    </w:p>
    <w:p>
      <w:pPr>
        <w:pStyle w:val="21"/>
        <w:snapToGrid w:val="0"/>
        <w:ind w:left="480" w:hanging="480"/>
        <w:rPr>
          <w:rFonts w:ascii="宋体" w:hAnsi="宋体" w:cs="宋体"/>
          <w:sz w:val="21"/>
          <w:szCs w:val="21"/>
        </w:rPr>
      </w:pPr>
      <w:r>
        <w:rPr>
          <w:rFonts w:hint="eastAsia" w:ascii="宋体" w:hAnsi="宋体" w:cs="宋体"/>
          <w:sz w:val="21"/>
          <w:szCs w:val="21"/>
        </w:rPr>
        <w:t xml:space="preserve">投标人独立承担过的类似项目一览表： </w:t>
      </w:r>
    </w:p>
    <w:tbl>
      <w:tblPr>
        <w:tblStyle w:val="2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1559"/>
        <w:gridCol w:w="1984"/>
        <w:gridCol w:w="1887"/>
        <w:gridCol w:w="1183"/>
        <w:gridCol w:w="14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3" w:hRule="atLeast"/>
        </w:trPr>
        <w:tc>
          <w:tcPr>
            <w:tcW w:w="993" w:type="dxa"/>
            <w:tcBorders>
              <w:top w:val="single" w:color="auto" w:sz="4" w:space="0"/>
              <w:left w:val="single" w:color="auto" w:sz="4" w:space="0"/>
              <w:right w:val="single" w:color="auto" w:sz="4" w:space="0"/>
            </w:tcBorders>
            <w:vAlign w:val="center"/>
          </w:tcPr>
          <w:p>
            <w:pPr>
              <w:snapToGrid w:val="0"/>
              <w:spacing w:line="240" w:lineRule="exact"/>
              <w:ind w:firstLine="420"/>
              <w:jc w:val="center"/>
              <w:rPr>
                <w:rFonts w:ascii="宋体" w:hAnsi="宋体" w:cs="宋体"/>
                <w:sz w:val="21"/>
                <w:szCs w:val="21"/>
              </w:rPr>
            </w:pPr>
            <w:r>
              <w:rPr>
                <w:rFonts w:hint="eastAsia" w:ascii="宋体" w:hAnsi="宋体" w:cs="宋体"/>
                <w:sz w:val="21"/>
                <w:szCs w:val="21"/>
              </w:rPr>
              <w:t>序</w:t>
            </w:r>
          </w:p>
          <w:p>
            <w:pPr>
              <w:snapToGrid w:val="0"/>
              <w:spacing w:line="240" w:lineRule="exact"/>
              <w:ind w:firstLine="420"/>
              <w:jc w:val="center"/>
              <w:rPr>
                <w:rFonts w:ascii="宋体" w:hAnsi="宋体" w:cs="宋体"/>
                <w:sz w:val="21"/>
                <w:szCs w:val="21"/>
              </w:rPr>
            </w:pPr>
            <w:r>
              <w:rPr>
                <w:rFonts w:hint="eastAsia" w:ascii="宋体" w:hAnsi="宋体" w:cs="宋体"/>
                <w:sz w:val="21"/>
                <w:szCs w:val="21"/>
              </w:rPr>
              <w:t>号</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31" w:firstLineChars="15"/>
              <w:jc w:val="center"/>
              <w:rPr>
                <w:rFonts w:ascii="宋体" w:hAnsi="宋体" w:cs="宋体"/>
                <w:sz w:val="21"/>
                <w:szCs w:val="21"/>
              </w:rPr>
            </w:pPr>
            <w:r>
              <w:rPr>
                <w:rFonts w:hint="eastAsia" w:ascii="宋体" w:hAnsi="宋体" w:cs="宋体"/>
                <w:sz w:val="21"/>
                <w:szCs w:val="21"/>
              </w:rPr>
              <w:t>采购单位名称</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jc w:val="center"/>
              <w:rPr>
                <w:rFonts w:ascii="宋体" w:hAnsi="宋体" w:cs="宋体"/>
                <w:sz w:val="21"/>
                <w:szCs w:val="21"/>
              </w:rPr>
            </w:pPr>
            <w:r>
              <w:rPr>
                <w:rFonts w:hint="eastAsia" w:ascii="宋体" w:hAnsi="宋体" w:cs="宋体"/>
                <w:sz w:val="21"/>
                <w:szCs w:val="21"/>
              </w:rPr>
              <w:t>项目名称</w:t>
            </w: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jc w:val="center"/>
              <w:rPr>
                <w:rFonts w:ascii="宋体" w:hAnsi="宋体" w:cs="宋体"/>
                <w:sz w:val="21"/>
                <w:szCs w:val="21"/>
              </w:rPr>
            </w:pPr>
            <w:r>
              <w:rPr>
                <w:rFonts w:hint="eastAsia" w:ascii="宋体" w:hAnsi="宋体" w:cs="宋体"/>
                <w:sz w:val="21"/>
                <w:szCs w:val="21"/>
              </w:rPr>
              <w:t>合同</w:t>
            </w:r>
          </w:p>
          <w:p>
            <w:pPr>
              <w:snapToGrid w:val="0"/>
              <w:spacing w:line="240" w:lineRule="exact"/>
              <w:ind w:firstLine="420"/>
              <w:jc w:val="center"/>
              <w:rPr>
                <w:rFonts w:ascii="宋体" w:hAnsi="宋体" w:cs="宋体"/>
                <w:sz w:val="21"/>
                <w:szCs w:val="21"/>
              </w:rPr>
            </w:pPr>
            <w:r>
              <w:rPr>
                <w:rFonts w:hint="eastAsia" w:ascii="宋体" w:hAnsi="宋体" w:cs="宋体"/>
                <w:sz w:val="21"/>
                <w:szCs w:val="21"/>
              </w:rPr>
              <w:t>金额</w:t>
            </w:r>
          </w:p>
          <w:p>
            <w:pPr>
              <w:snapToGrid w:val="0"/>
              <w:spacing w:line="240" w:lineRule="exact"/>
              <w:ind w:firstLine="420"/>
              <w:jc w:val="center"/>
              <w:rPr>
                <w:rFonts w:ascii="宋体" w:hAnsi="宋体" w:cs="宋体"/>
                <w:sz w:val="21"/>
                <w:szCs w:val="21"/>
              </w:rPr>
            </w:pPr>
            <w:r>
              <w:rPr>
                <w:rFonts w:hint="eastAsia" w:ascii="宋体" w:hAnsi="宋体" w:cs="宋体"/>
                <w:sz w:val="21"/>
                <w:szCs w:val="21"/>
              </w:rPr>
              <w:t>（万元）</w:t>
            </w:r>
          </w:p>
        </w:tc>
        <w:tc>
          <w:tcPr>
            <w:tcW w:w="118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1"/>
                <w:szCs w:val="21"/>
              </w:rPr>
            </w:pPr>
            <w:r>
              <w:rPr>
                <w:rFonts w:hint="eastAsia" w:ascii="宋体" w:hAnsi="宋体" w:cs="宋体"/>
                <w:sz w:val="21"/>
                <w:szCs w:val="21"/>
              </w:rPr>
              <w:t>合同签订</w:t>
            </w:r>
          </w:p>
          <w:p>
            <w:pPr>
              <w:snapToGrid w:val="0"/>
              <w:spacing w:line="240" w:lineRule="exact"/>
              <w:jc w:val="center"/>
              <w:rPr>
                <w:rFonts w:ascii="宋体" w:hAnsi="宋体" w:cs="宋体"/>
                <w:sz w:val="21"/>
                <w:szCs w:val="21"/>
              </w:rPr>
            </w:pPr>
            <w:r>
              <w:rPr>
                <w:rFonts w:hint="eastAsia" w:ascii="宋体" w:hAnsi="宋体" w:cs="宋体"/>
                <w:sz w:val="21"/>
                <w:szCs w:val="21"/>
              </w:rPr>
              <w:t>时间</w:t>
            </w:r>
          </w:p>
        </w:tc>
        <w:tc>
          <w:tcPr>
            <w:tcW w:w="140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20"/>
              <w:jc w:val="left"/>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993" w:type="dxa"/>
            <w:tcBorders>
              <w:top w:val="single" w:color="auto" w:sz="4" w:space="0"/>
              <w:left w:val="single" w:color="auto" w:sz="4" w:space="0"/>
              <w:bottom w:val="single" w:color="auto" w:sz="4" w:space="0"/>
              <w:right w:val="single" w:color="auto" w:sz="4" w:space="0"/>
            </w:tcBorders>
          </w:tcPr>
          <w:p>
            <w:pPr>
              <w:snapToGrid w:val="0"/>
              <w:spacing w:line="240" w:lineRule="exact"/>
              <w:ind w:firstLine="360"/>
              <w:jc w:val="left"/>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40" w:lineRule="exact"/>
              <w:ind w:firstLine="360"/>
              <w:jc w:val="left"/>
              <w:rPr>
                <w:rFonts w:ascii="宋体" w:hAnsi="宋体" w:cs="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snapToGrid w:val="0"/>
              <w:spacing w:line="240" w:lineRule="exact"/>
              <w:ind w:firstLine="360"/>
              <w:jc w:val="left"/>
              <w:rPr>
                <w:rFonts w:ascii="宋体" w:hAnsi="宋体" w:cs="宋体"/>
                <w:sz w:val="21"/>
                <w:szCs w:val="21"/>
              </w:rPr>
            </w:pPr>
          </w:p>
        </w:tc>
        <w:tc>
          <w:tcPr>
            <w:tcW w:w="1887" w:type="dxa"/>
            <w:tcBorders>
              <w:top w:val="single" w:color="auto" w:sz="4" w:space="0"/>
              <w:left w:val="single" w:color="auto" w:sz="4" w:space="0"/>
              <w:bottom w:val="single" w:color="auto" w:sz="4" w:space="0"/>
              <w:right w:val="single" w:color="auto" w:sz="4" w:space="0"/>
            </w:tcBorders>
          </w:tcPr>
          <w:p>
            <w:pPr>
              <w:snapToGrid w:val="0"/>
              <w:spacing w:line="240" w:lineRule="exact"/>
              <w:ind w:firstLine="360"/>
              <w:jc w:val="left"/>
              <w:rPr>
                <w:rFonts w:ascii="宋体" w:hAnsi="宋体" w:cs="宋体"/>
                <w:sz w:val="21"/>
                <w:szCs w:val="21"/>
              </w:rPr>
            </w:pPr>
          </w:p>
        </w:tc>
        <w:tc>
          <w:tcPr>
            <w:tcW w:w="1183" w:type="dxa"/>
            <w:tcBorders>
              <w:top w:val="single" w:color="auto" w:sz="4" w:space="0"/>
              <w:left w:val="single" w:color="auto" w:sz="4" w:space="0"/>
              <w:bottom w:val="single" w:color="auto" w:sz="4" w:space="0"/>
              <w:right w:val="single" w:color="auto" w:sz="4" w:space="0"/>
            </w:tcBorders>
          </w:tcPr>
          <w:p>
            <w:pPr>
              <w:snapToGrid w:val="0"/>
              <w:spacing w:line="240" w:lineRule="exact"/>
              <w:ind w:firstLine="360"/>
              <w:jc w:val="left"/>
              <w:rPr>
                <w:rFonts w:ascii="宋体" w:hAnsi="宋体" w:cs="宋体"/>
                <w:sz w:val="21"/>
                <w:szCs w:val="21"/>
              </w:rPr>
            </w:pPr>
          </w:p>
        </w:tc>
        <w:tc>
          <w:tcPr>
            <w:tcW w:w="1407" w:type="dxa"/>
            <w:tcBorders>
              <w:top w:val="single" w:color="auto" w:sz="4" w:space="0"/>
              <w:left w:val="single" w:color="auto" w:sz="4" w:space="0"/>
              <w:bottom w:val="single" w:color="auto" w:sz="4" w:space="0"/>
              <w:right w:val="single" w:color="auto" w:sz="4" w:space="0"/>
            </w:tcBorders>
          </w:tcPr>
          <w:p>
            <w:pPr>
              <w:snapToGrid w:val="0"/>
              <w:spacing w:line="240" w:lineRule="exact"/>
              <w:ind w:firstLine="36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8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18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9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8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18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8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18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88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18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c>
          <w:tcPr>
            <w:tcW w:w="14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sz w:val="21"/>
                <w:szCs w:val="21"/>
              </w:rPr>
            </w:pPr>
          </w:p>
        </w:tc>
      </w:tr>
    </w:tbl>
    <w:p>
      <w:pPr>
        <w:pStyle w:val="9"/>
        <w:snapToGrid w:val="0"/>
        <w:ind w:firstLine="480"/>
        <w:rPr>
          <w:rFonts w:ascii="宋体" w:hAnsi="宋体" w:eastAsia="宋体" w:cs="宋体"/>
          <w:sz w:val="21"/>
          <w:szCs w:val="21"/>
        </w:rPr>
      </w:pPr>
      <w:r>
        <w:rPr>
          <w:rFonts w:hint="eastAsia" w:ascii="宋体" w:hAnsi="宋体" w:eastAsia="宋体" w:cs="宋体"/>
          <w:sz w:val="21"/>
          <w:szCs w:val="21"/>
        </w:rPr>
        <w:t>附：</w:t>
      </w:r>
      <w:r>
        <w:rPr>
          <w:rFonts w:hint="eastAsia" w:ascii="宋体" w:hAnsi="宋体" w:eastAsia="宋体" w:cs="宋体"/>
          <w:spacing w:val="-6"/>
          <w:sz w:val="21"/>
          <w:szCs w:val="21"/>
        </w:rPr>
        <w:t>项目合同复印件</w:t>
      </w:r>
    </w:p>
    <w:p>
      <w:pPr>
        <w:pStyle w:val="14"/>
        <w:jc w:val="left"/>
        <w:rPr>
          <w:rFonts w:hAnsi="宋体" w:cs="宋体"/>
          <w:b/>
          <w:sz w:val="21"/>
          <w:szCs w:val="21"/>
        </w:rPr>
      </w:pPr>
    </w:p>
    <w:p>
      <w:pPr>
        <w:pStyle w:val="14"/>
        <w:jc w:val="left"/>
        <w:rPr>
          <w:rFonts w:hAnsi="宋体" w:cs="宋体"/>
          <w:b/>
          <w:sz w:val="21"/>
          <w:szCs w:val="21"/>
        </w:rPr>
      </w:pPr>
    </w:p>
    <w:p>
      <w:pPr>
        <w:pStyle w:val="14"/>
        <w:jc w:val="left"/>
        <w:rPr>
          <w:rFonts w:hAnsi="宋体" w:cs="宋体"/>
          <w:b/>
          <w:sz w:val="21"/>
          <w:szCs w:val="21"/>
        </w:rPr>
      </w:pPr>
    </w:p>
    <w:p>
      <w:pPr>
        <w:pStyle w:val="14"/>
        <w:jc w:val="left"/>
        <w:rPr>
          <w:rFonts w:hAnsi="宋体" w:cs="宋体"/>
          <w:b/>
          <w:sz w:val="21"/>
          <w:szCs w:val="21"/>
        </w:rPr>
      </w:pPr>
    </w:p>
    <w:p>
      <w:pPr>
        <w:pStyle w:val="14"/>
        <w:jc w:val="left"/>
        <w:rPr>
          <w:rFonts w:hAnsi="宋体" w:cs="宋体"/>
          <w:b/>
          <w:sz w:val="21"/>
          <w:szCs w:val="21"/>
        </w:rPr>
      </w:pPr>
    </w:p>
    <w:p>
      <w:pPr>
        <w:pStyle w:val="14"/>
        <w:jc w:val="left"/>
        <w:rPr>
          <w:rFonts w:hAnsi="宋体" w:cs="宋体"/>
          <w:b/>
          <w:sz w:val="21"/>
          <w:szCs w:val="21"/>
        </w:rPr>
      </w:pPr>
    </w:p>
    <w:p>
      <w:pPr>
        <w:pStyle w:val="14"/>
        <w:jc w:val="left"/>
        <w:rPr>
          <w:rFonts w:hAnsi="宋体" w:cs="宋体"/>
          <w:b/>
          <w:sz w:val="21"/>
          <w:szCs w:val="21"/>
        </w:rPr>
      </w:pPr>
    </w:p>
    <w:p>
      <w:pPr>
        <w:pStyle w:val="14"/>
        <w:spacing w:line="600" w:lineRule="exact"/>
        <w:rPr>
          <w:rFonts w:hAnsi="宋体" w:cs="宋体"/>
          <w:sz w:val="21"/>
          <w:szCs w:val="21"/>
          <w:u w:val="single"/>
        </w:rPr>
      </w:pP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600" w:lineRule="exact"/>
        <w:rPr>
          <w:rFonts w:hAnsi="宋体" w:cs="宋体"/>
          <w:sz w:val="21"/>
          <w:szCs w:val="21"/>
          <w:u w:val="single"/>
        </w:rPr>
      </w:pPr>
    </w:p>
    <w:p>
      <w:pPr>
        <w:pStyle w:val="14"/>
        <w:spacing w:line="600" w:lineRule="exact"/>
        <w:rPr>
          <w:rFonts w:hAnsi="宋体" w:cs="宋体"/>
          <w:sz w:val="21"/>
          <w:szCs w:val="21"/>
          <w:u w:val="single"/>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p>
    <w:p>
      <w:pPr>
        <w:pStyle w:val="14"/>
        <w:jc w:val="left"/>
        <w:rPr>
          <w:rFonts w:hAnsi="宋体" w:cs="宋体"/>
          <w:b/>
          <w:sz w:val="21"/>
          <w:szCs w:val="21"/>
        </w:rPr>
      </w:pPr>
    </w:p>
    <w:p>
      <w:pPr>
        <w:pStyle w:val="14"/>
        <w:jc w:val="left"/>
        <w:rPr>
          <w:rFonts w:hAnsi="宋体" w:cs="宋体"/>
          <w:bCs/>
          <w:sz w:val="21"/>
          <w:szCs w:val="21"/>
        </w:rPr>
      </w:pPr>
    </w:p>
    <w:p>
      <w:pPr>
        <w:pStyle w:val="14"/>
        <w:jc w:val="left"/>
        <w:rPr>
          <w:rFonts w:hAnsi="宋体" w:cs="宋体"/>
          <w:bCs/>
          <w:sz w:val="21"/>
          <w:szCs w:val="21"/>
        </w:rPr>
      </w:pPr>
      <w:r>
        <w:rPr>
          <w:rFonts w:hint="eastAsia" w:hAnsi="宋体" w:cs="宋体"/>
          <w:bCs/>
          <w:sz w:val="21"/>
          <w:szCs w:val="21"/>
        </w:rPr>
        <w:t>日期 ：   年   月   日</w:t>
      </w:r>
    </w:p>
    <w:p>
      <w:pPr>
        <w:pStyle w:val="14"/>
        <w:jc w:val="left"/>
        <w:rPr>
          <w:rFonts w:hAnsi="宋体" w:cs="宋体"/>
          <w:b/>
          <w:sz w:val="21"/>
          <w:szCs w:val="21"/>
        </w:rPr>
      </w:pPr>
    </w:p>
    <w:p>
      <w:pPr>
        <w:pStyle w:val="14"/>
        <w:jc w:val="left"/>
        <w:rPr>
          <w:rFonts w:hAnsi="宋体" w:cs="宋体"/>
          <w:b/>
          <w:sz w:val="21"/>
          <w:szCs w:val="21"/>
        </w:rPr>
      </w:pPr>
    </w:p>
    <w:p>
      <w:pPr>
        <w:pStyle w:val="14"/>
        <w:spacing w:line="360" w:lineRule="auto"/>
        <w:outlineLvl w:val="0"/>
        <w:rPr>
          <w:rFonts w:hint="eastAsia" w:hAnsi="宋体" w:cs="宋体"/>
          <w:b/>
          <w:sz w:val="21"/>
          <w:szCs w:val="21"/>
        </w:rPr>
      </w:pPr>
      <w:bookmarkStart w:id="110" w:name="_Toc20184"/>
      <w:bookmarkStart w:id="111" w:name="_Toc19696"/>
      <w:bookmarkStart w:id="112" w:name="_Toc16327"/>
      <w:bookmarkStart w:id="113" w:name="_Toc21875"/>
    </w:p>
    <w:p>
      <w:pPr>
        <w:pStyle w:val="14"/>
        <w:spacing w:line="360" w:lineRule="auto"/>
        <w:outlineLvl w:val="0"/>
        <w:rPr>
          <w:rFonts w:hint="eastAsia" w:hAnsi="宋体" w:cs="宋体"/>
          <w:b/>
          <w:sz w:val="21"/>
          <w:szCs w:val="21"/>
        </w:rPr>
      </w:pPr>
    </w:p>
    <w:p>
      <w:pPr>
        <w:pStyle w:val="14"/>
        <w:spacing w:line="360" w:lineRule="auto"/>
        <w:outlineLvl w:val="0"/>
        <w:rPr>
          <w:rFonts w:hint="eastAsia" w:hAnsi="宋体" w:cs="宋体"/>
          <w:b/>
          <w:sz w:val="21"/>
          <w:szCs w:val="21"/>
        </w:rPr>
      </w:pPr>
    </w:p>
    <w:p>
      <w:pPr>
        <w:pStyle w:val="14"/>
        <w:spacing w:line="360" w:lineRule="auto"/>
        <w:outlineLvl w:val="0"/>
        <w:rPr>
          <w:rFonts w:hAnsi="宋体" w:cs="宋体"/>
          <w:sz w:val="21"/>
          <w:szCs w:val="21"/>
        </w:rPr>
      </w:pPr>
      <w:r>
        <w:rPr>
          <w:rFonts w:hint="eastAsia" w:hAnsi="宋体" w:cs="宋体"/>
          <w:b/>
          <w:sz w:val="21"/>
          <w:szCs w:val="21"/>
        </w:rPr>
        <w:t>格式1</w:t>
      </w:r>
      <w:r>
        <w:rPr>
          <w:rFonts w:hAnsi="宋体" w:cs="宋体"/>
          <w:b/>
          <w:sz w:val="21"/>
          <w:szCs w:val="21"/>
        </w:rPr>
        <w:t>4</w:t>
      </w:r>
      <w:r>
        <w:rPr>
          <w:rFonts w:hint="eastAsia" w:hAnsi="宋体" w:cs="宋体"/>
          <w:b/>
          <w:sz w:val="21"/>
          <w:szCs w:val="21"/>
        </w:rPr>
        <w:t>：</w:t>
      </w:r>
      <w:bookmarkEnd w:id="110"/>
      <w:bookmarkEnd w:id="111"/>
      <w:bookmarkEnd w:id="112"/>
      <w:bookmarkEnd w:id="113"/>
    </w:p>
    <w:p>
      <w:pPr>
        <w:pStyle w:val="14"/>
        <w:jc w:val="center"/>
        <w:rPr>
          <w:rFonts w:hAnsi="宋体" w:cs="宋体"/>
          <w:b/>
          <w:sz w:val="21"/>
          <w:szCs w:val="21"/>
        </w:rPr>
      </w:pPr>
      <w:r>
        <w:rPr>
          <w:rFonts w:hint="eastAsia" w:hAnsi="宋体" w:cs="宋体"/>
          <w:b/>
          <w:sz w:val="21"/>
          <w:szCs w:val="21"/>
        </w:rPr>
        <w:t>信用声明函</w:t>
      </w:r>
    </w:p>
    <w:p>
      <w:pPr>
        <w:tabs>
          <w:tab w:val="left" w:pos="7200"/>
        </w:tabs>
        <w:spacing w:line="360" w:lineRule="auto"/>
        <w:rPr>
          <w:rFonts w:ascii="宋体" w:hAnsi="宋体" w:cs="宋体"/>
          <w:sz w:val="21"/>
          <w:szCs w:val="21"/>
        </w:rPr>
      </w:pPr>
      <w:r>
        <w:rPr>
          <w:rFonts w:hint="eastAsia" w:ascii="宋体" w:hAnsi="宋体" w:cs="宋体"/>
          <w:sz w:val="21"/>
          <w:szCs w:val="21"/>
        </w:rPr>
        <w:t>致：_</w:t>
      </w:r>
      <w:r>
        <w:rPr>
          <w:rFonts w:hint="eastAsia" w:ascii="宋体" w:hAnsi="宋体" w:cs="宋体"/>
          <w:sz w:val="21"/>
          <w:szCs w:val="21"/>
          <w:u w:val="single"/>
        </w:rPr>
        <w:t xml:space="preserve">                      </w:t>
      </w:r>
      <w:r>
        <w:rPr>
          <w:rFonts w:hint="eastAsia" w:ascii="宋体" w:hAnsi="宋体" w:cs="宋体"/>
          <w:sz w:val="21"/>
          <w:szCs w:val="21"/>
        </w:rPr>
        <w:t>（采购代理机构名称）</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 xml:space="preserve">我方愿意参加贵方组织的(项目名称) </w:t>
      </w:r>
      <w:r>
        <w:rPr>
          <w:rFonts w:hint="eastAsia" w:ascii="宋体" w:hAnsi="宋体" w:cs="宋体"/>
          <w:sz w:val="21"/>
          <w:szCs w:val="21"/>
          <w:u w:val="single"/>
        </w:rPr>
        <w:t>_      _</w:t>
      </w:r>
      <w:r>
        <w:rPr>
          <w:rFonts w:hint="eastAsia" w:ascii="宋体" w:hAnsi="宋体" w:cs="宋体"/>
          <w:sz w:val="21"/>
          <w:szCs w:val="21"/>
        </w:rPr>
        <w:t>_（项目编号：</w:t>
      </w:r>
      <w:r>
        <w:rPr>
          <w:rFonts w:hint="eastAsia" w:ascii="宋体" w:hAnsi="宋体" w:cs="宋体"/>
          <w:sz w:val="21"/>
          <w:szCs w:val="21"/>
          <w:u w:val="single"/>
        </w:rPr>
        <w:t xml:space="preserve">       </w:t>
      </w:r>
      <w:r>
        <w:rPr>
          <w:rFonts w:hint="eastAsia" w:ascii="宋体" w:hAnsi="宋体" w:cs="宋体"/>
          <w:sz w:val="21"/>
          <w:szCs w:val="21"/>
        </w:rPr>
        <w:t>）项目的投标。为便于贵方公正、择优地确定中标人及其投标服务成果和服务，我方就本次投标有关事项郑重声明如下：</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1、我方承诺已经符合《中华人民共和国政府采购法》中规定的参加政府采购活动的供应商应当具备的条件：</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（1）具有独立承担民事责任的能力；</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（2）具有良好的商业信誉和健全的财务会计制度；</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（3）具有履行合同所必需的设备和专业技术能力；</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（4）有依法缴纳税收和社会保障资金的良好记录；</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（5）参加政府采购活动前三年内，在经营活动中没有重大违法记录；</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（6）法律、行政法规规定的其他条件。</w:t>
      </w:r>
    </w:p>
    <w:p>
      <w:pPr>
        <w:tabs>
          <w:tab w:val="left" w:pos="7200"/>
        </w:tabs>
        <w:spacing w:line="360" w:lineRule="auto"/>
        <w:ind w:firstLine="420" w:firstLineChars="200"/>
        <w:rPr>
          <w:rFonts w:ascii="宋体" w:hAnsi="宋体" w:cs="宋体"/>
          <w:sz w:val="21"/>
          <w:szCs w:val="21"/>
        </w:rPr>
      </w:pPr>
      <w:r>
        <w:rPr>
          <w:rFonts w:hint="eastAsia" w:ascii="宋体" w:hAnsi="宋体" w:cs="宋体"/>
          <w:sz w:val="21"/>
          <w:szCs w:val="21"/>
        </w:rPr>
        <w:t>2. 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ascii="宋体" w:hAnsi="宋体" w:cs="宋体"/>
          <w:b/>
          <w:sz w:val="21"/>
          <w:szCs w:val="21"/>
        </w:rPr>
      </w:pPr>
      <w:r>
        <w:rPr>
          <w:rFonts w:hint="eastAsia" w:ascii="宋体" w:hAnsi="宋体" w:cs="宋体"/>
          <w:sz w:val="21"/>
          <w:szCs w:val="21"/>
        </w:rPr>
        <w:t>以上事项如有虚假或隐瞒，我方愿意承担一切后果，并不再寻求任何旨在减轻或免除法律责任的辩解。</w:t>
      </w:r>
    </w:p>
    <w:p>
      <w:pPr>
        <w:tabs>
          <w:tab w:val="left" w:pos="7200"/>
        </w:tabs>
        <w:spacing w:line="360" w:lineRule="auto"/>
        <w:ind w:firstLine="835" w:firstLineChars="398"/>
        <w:rPr>
          <w:rFonts w:ascii="宋体" w:hAnsi="宋体" w:cs="宋体"/>
          <w:sz w:val="21"/>
          <w:szCs w:val="21"/>
        </w:rPr>
      </w:pPr>
    </w:p>
    <w:p>
      <w:pPr>
        <w:pStyle w:val="14"/>
        <w:spacing w:line="600" w:lineRule="exact"/>
        <w:rPr>
          <w:rFonts w:hAnsi="宋体" w:cs="宋体"/>
          <w:sz w:val="21"/>
          <w:szCs w:val="21"/>
          <w:u w:val="single"/>
        </w:rPr>
      </w:pPr>
      <w:r>
        <w:rPr>
          <w:rFonts w:hint="eastAsia" w:hAnsi="宋体" w:cs="宋体"/>
          <w:b/>
          <w:sz w:val="21"/>
          <w:szCs w:val="21"/>
        </w:rPr>
        <w:t xml:space="preserve">                                 </w:t>
      </w:r>
      <w:r>
        <w:rPr>
          <w:rFonts w:hint="eastAsia" w:hAnsi="宋体" w:cs="宋体"/>
          <w:sz w:val="21"/>
          <w:szCs w:val="21"/>
        </w:rPr>
        <w:t>投标人名称（盖单位公章）：</w:t>
      </w:r>
      <w:r>
        <w:rPr>
          <w:rFonts w:hint="eastAsia" w:hAnsi="宋体" w:cs="宋体"/>
          <w:sz w:val="21"/>
          <w:szCs w:val="21"/>
          <w:u w:val="single"/>
        </w:rPr>
        <w:t xml:space="preserve">                                    </w:t>
      </w:r>
    </w:p>
    <w:p>
      <w:pPr>
        <w:pStyle w:val="14"/>
        <w:spacing w:line="600" w:lineRule="exact"/>
        <w:ind w:firstLine="3570" w:firstLineChars="1700"/>
        <w:jc w:val="left"/>
        <w:rPr>
          <w:rFonts w:hAnsi="宋体" w:cs="宋体"/>
          <w:b/>
          <w:sz w:val="21"/>
          <w:szCs w:val="21"/>
        </w:rPr>
      </w:pPr>
      <w:r>
        <w:rPr>
          <w:rFonts w:hint="eastAsia" w:hAnsi="宋体" w:cs="宋体"/>
          <w:sz w:val="21"/>
          <w:szCs w:val="21"/>
        </w:rPr>
        <w:t>法定代表人（负责人）或其委托代理人（签字或盖章）：</w:t>
      </w:r>
      <w:r>
        <w:rPr>
          <w:rFonts w:hint="eastAsia" w:hAnsi="宋体" w:cs="宋体"/>
          <w:sz w:val="21"/>
          <w:szCs w:val="21"/>
          <w:u w:val="single"/>
        </w:rPr>
        <w:t xml:space="preserve">                  </w:t>
      </w:r>
      <w:r>
        <w:rPr>
          <w:rFonts w:hint="eastAsia" w:hAnsi="宋体" w:cs="宋体"/>
          <w:b/>
          <w:sz w:val="21"/>
          <w:szCs w:val="21"/>
        </w:rPr>
        <w:t xml:space="preserve">                    </w:t>
      </w:r>
    </w:p>
    <w:p>
      <w:pPr>
        <w:pStyle w:val="14"/>
        <w:jc w:val="center"/>
        <w:outlineLvl w:val="0"/>
        <w:rPr>
          <w:rFonts w:hAnsi="宋体" w:cs="宋体"/>
          <w:b/>
          <w:sz w:val="21"/>
          <w:szCs w:val="21"/>
        </w:rPr>
      </w:pPr>
      <w:r>
        <w:rPr>
          <w:rFonts w:hint="eastAsia" w:hAnsi="宋体" w:cs="宋体"/>
          <w:bCs/>
          <w:sz w:val="21"/>
          <w:szCs w:val="21"/>
          <w:u w:val="single"/>
        </w:rPr>
        <w:t xml:space="preserve">    </w:t>
      </w:r>
      <w:bookmarkStart w:id="114" w:name="_Toc13452"/>
      <w:bookmarkStart w:id="115" w:name="_Toc24348"/>
      <w:bookmarkStart w:id="116" w:name="_Toc9986"/>
      <w:bookmarkStart w:id="117" w:name="_Toc6864"/>
      <w:r>
        <w:rPr>
          <w:rFonts w:hint="eastAsia" w:hAnsi="宋体" w:cs="宋体"/>
          <w:bCs/>
          <w:sz w:val="21"/>
          <w:szCs w:val="21"/>
        </w:rPr>
        <w:t>年</w:t>
      </w:r>
      <w:r>
        <w:rPr>
          <w:rFonts w:hint="eastAsia" w:hAnsi="宋体" w:cs="宋体"/>
          <w:bCs/>
          <w:sz w:val="21"/>
          <w:szCs w:val="21"/>
          <w:u w:val="single"/>
        </w:rPr>
        <w:t xml:space="preserve">    </w:t>
      </w:r>
      <w:r>
        <w:rPr>
          <w:rFonts w:hint="eastAsia" w:hAnsi="宋体" w:cs="宋体"/>
          <w:bCs/>
          <w:sz w:val="21"/>
          <w:szCs w:val="21"/>
        </w:rPr>
        <w:t>月</w:t>
      </w:r>
      <w:r>
        <w:rPr>
          <w:rFonts w:hint="eastAsia" w:hAnsi="宋体" w:cs="宋体"/>
          <w:bCs/>
          <w:sz w:val="21"/>
          <w:szCs w:val="21"/>
          <w:u w:val="single"/>
        </w:rPr>
        <w:t xml:space="preserve">    </w:t>
      </w:r>
      <w:r>
        <w:rPr>
          <w:rFonts w:hint="eastAsia" w:hAnsi="宋体" w:cs="宋体"/>
          <w:bCs/>
          <w:sz w:val="21"/>
          <w:szCs w:val="21"/>
        </w:rPr>
        <w:t>日</w:t>
      </w:r>
      <w:bookmarkEnd w:id="114"/>
      <w:bookmarkEnd w:id="115"/>
      <w:bookmarkEnd w:id="116"/>
      <w:bookmarkEnd w:id="117"/>
    </w:p>
    <w:p>
      <w:pPr>
        <w:pStyle w:val="14"/>
        <w:jc w:val="center"/>
        <w:rPr>
          <w:rFonts w:hAnsi="宋体" w:cs="宋体"/>
          <w:b/>
          <w:sz w:val="21"/>
          <w:szCs w:val="21"/>
        </w:rPr>
      </w:pPr>
    </w:p>
    <w:p>
      <w:pPr>
        <w:widowControl/>
        <w:jc w:val="left"/>
        <w:rPr>
          <w:rFonts w:ascii="宋体" w:hAnsi="宋体" w:cs="宋体"/>
          <w:b/>
          <w:sz w:val="21"/>
          <w:szCs w:val="21"/>
        </w:rPr>
      </w:pPr>
      <w:r>
        <w:rPr>
          <w:rFonts w:hAnsi="宋体" w:cs="宋体"/>
          <w:b/>
          <w:sz w:val="21"/>
          <w:szCs w:val="21"/>
        </w:rPr>
        <w:br w:type="page"/>
      </w:r>
    </w:p>
    <w:p>
      <w:pPr>
        <w:pStyle w:val="14"/>
        <w:spacing w:line="600" w:lineRule="exact"/>
        <w:jc w:val="center"/>
        <w:outlineLvl w:val="0"/>
        <w:rPr>
          <w:rFonts w:hint="eastAsia" w:hAnsi="宋体" w:cs="宋体"/>
          <w:b/>
          <w:sz w:val="21"/>
          <w:szCs w:val="21"/>
        </w:rPr>
      </w:pPr>
      <w:bookmarkStart w:id="118" w:name="_Toc4025"/>
      <w:bookmarkStart w:id="119" w:name="_Toc19469"/>
      <w:bookmarkStart w:id="120" w:name="_Toc5771"/>
      <w:bookmarkStart w:id="121" w:name="_Toc26"/>
    </w:p>
    <w:p>
      <w:pPr>
        <w:pStyle w:val="14"/>
        <w:spacing w:line="600" w:lineRule="exact"/>
        <w:jc w:val="center"/>
        <w:outlineLvl w:val="0"/>
        <w:rPr>
          <w:rFonts w:hint="eastAsia" w:hAnsi="宋体" w:cs="宋体"/>
          <w:b/>
          <w:sz w:val="21"/>
          <w:szCs w:val="21"/>
        </w:rPr>
      </w:pPr>
    </w:p>
    <w:p>
      <w:pPr>
        <w:pStyle w:val="14"/>
        <w:spacing w:line="360" w:lineRule="auto"/>
        <w:outlineLvl w:val="0"/>
        <w:rPr>
          <w:rFonts w:hint="eastAsia" w:hAnsi="宋体" w:cs="宋体"/>
          <w:b/>
          <w:sz w:val="21"/>
          <w:szCs w:val="21"/>
        </w:rPr>
      </w:pPr>
      <w:r>
        <w:rPr>
          <w:rFonts w:hint="eastAsia" w:hAnsi="宋体" w:cs="宋体"/>
          <w:b/>
          <w:sz w:val="21"/>
          <w:szCs w:val="21"/>
        </w:rPr>
        <w:t>附件1</w:t>
      </w:r>
    </w:p>
    <w:p>
      <w:pPr>
        <w:widowControl/>
        <w:jc w:val="center"/>
        <w:rPr>
          <w:rFonts w:ascii="黑体" w:hAnsi="黑体" w:eastAsia="黑体" w:cs="宋体"/>
          <w:bCs/>
          <w:kern w:val="0"/>
          <w:sz w:val="21"/>
          <w:szCs w:val="21"/>
        </w:rPr>
      </w:pPr>
      <w:r>
        <w:rPr>
          <w:rFonts w:hint="eastAsia" w:ascii="黑体" w:hAnsi="黑体" w:eastAsia="黑体" w:cs="宋体"/>
          <w:bCs/>
          <w:kern w:val="0"/>
          <w:sz w:val="21"/>
          <w:szCs w:val="21"/>
        </w:rPr>
        <w:t>投标人（供应商）承诺书</w:t>
      </w:r>
    </w:p>
    <w:p>
      <w:pPr>
        <w:widowControl/>
        <w:jc w:val="center"/>
        <w:rPr>
          <w:rFonts w:ascii="黑体" w:hAnsi="黑体" w:eastAsia="黑体" w:cs="宋体"/>
          <w:bCs/>
          <w:kern w:val="0"/>
          <w:sz w:val="21"/>
          <w:szCs w:val="21"/>
        </w:rPr>
      </w:pPr>
    </w:p>
    <w:p>
      <w:pPr>
        <w:snapToGrid w:val="0"/>
        <w:spacing w:line="500" w:lineRule="exact"/>
        <w:ind w:firstLine="420" w:firstLineChars="200"/>
        <w:rPr>
          <w:rFonts w:ascii="仿宋" w:hAnsi="仿宋" w:eastAsia="仿宋" w:cs="宋体"/>
          <w:kern w:val="0"/>
          <w:sz w:val="21"/>
          <w:szCs w:val="21"/>
        </w:rPr>
      </w:pPr>
      <w:r>
        <w:rPr>
          <w:rFonts w:hint="eastAsia" w:ascii="仿宋" w:hAnsi="仿宋" w:eastAsia="仿宋" w:cs="宋体"/>
          <w:kern w:val="0"/>
          <w:sz w:val="21"/>
          <w:szCs w:val="21"/>
        </w:rPr>
        <w:t>本单位</w:t>
      </w:r>
      <w:r>
        <w:rPr>
          <w:rFonts w:ascii="仿宋" w:hAnsi="仿宋" w:eastAsia="仿宋" w:cs="宋体"/>
          <w:kern w:val="0"/>
          <w:sz w:val="21"/>
          <w:szCs w:val="21"/>
        </w:rPr>
        <w:t>____________________</w:t>
      </w:r>
      <w:r>
        <w:rPr>
          <w:rFonts w:hint="eastAsia" w:ascii="仿宋" w:hAnsi="仿宋" w:eastAsia="仿宋" w:cs="宋体"/>
          <w:kern w:val="0"/>
          <w:sz w:val="21"/>
          <w:szCs w:val="21"/>
        </w:rPr>
        <w:t>承诺严格落实党中央、国务院以及广西壮族自治区政府和百色市委、市人民政府相关疫情防控工作部署，遵守《中华人民共和国传染病防治法》及其他疫情防控相关要求。本单位于</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月</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日参加</w:t>
      </w:r>
      <w:r>
        <w:rPr>
          <w:rFonts w:ascii="仿宋" w:hAnsi="仿宋" w:eastAsia="仿宋" w:cs="宋体"/>
          <w:kern w:val="0"/>
          <w:sz w:val="21"/>
          <w:szCs w:val="21"/>
        </w:rPr>
        <w:t>_______</w:t>
      </w:r>
      <w:r>
        <w:rPr>
          <w:rFonts w:ascii="仿宋" w:hAnsi="仿宋" w:eastAsia="仿宋" w:cs="宋体"/>
          <w:kern w:val="0"/>
          <w:sz w:val="21"/>
          <w:szCs w:val="21"/>
          <w:u w:val="single"/>
        </w:rPr>
        <w:t xml:space="preserve">    </w:t>
      </w:r>
      <w:r>
        <w:rPr>
          <w:rFonts w:ascii="仿宋" w:hAnsi="仿宋" w:eastAsia="仿宋" w:cs="宋体"/>
          <w:kern w:val="0"/>
          <w:sz w:val="21"/>
          <w:szCs w:val="21"/>
        </w:rPr>
        <w:t>__________</w:t>
      </w:r>
      <w:r>
        <w:rPr>
          <w:rFonts w:hint="eastAsia" w:ascii="仿宋" w:hAnsi="仿宋" w:eastAsia="仿宋" w:cs="宋体"/>
          <w:kern w:val="0"/>
          <w:sz w:val="21"/>
          <w:szCs w:val="21"/>
        </w:rPr>
        <w:t>项目的开标活动。本单位承诺在开标过程中做到以下几点：</w:t>
      </w:r>
    </w:p>
    <w:p>
      <w:pPr>
        <w:snapToGrid w:val="0"/>
        <w:spacing w:line="500" w:lineRule="exact"/>
        <w:ind w:firstLine="420" w:firstLineChars="200"/>
        <w:rPr>
          <w:rFonts w:ascii="仿宋" w:hAnsi="仿宋" w:eastAsia="仿宋" w:cs="宋体"/>
          <w:kern w:val="0"/>
          <w:sz w:val="21"/>
          <w:szCs w:val="21"/>
        </w:rPr>
      </w:pPr>
      <w:r>
        <w:rPr>
          <w:rFonts w:ascii="仿宋" w:hAnsi="仿宋" w:eastAsia="仿宋" w:cs="宋体"/>
          <w:kern w:val="0"/>
          <w:sz w:val="21"/>
          <w:szCs w:val="21"/>
        </w:rPr>
        <w:t>1</w:t>
      </w:r>
      <w:r>
        <w:rPr>
          <w:rFonts w:hint="eastAsia" w:ascii="仿宋" w:hAnsi="仿宋" w:eastAsia="仿宋" w:cs="宋体"/>
          <w:kern w:val="0"/>
          <w:sz w:val="21"/>
          <w:szCs w:val="21"/>
        </w:rPr>
        <w:t>．参与投标人员积极配合交易场所工作人员进行体温检测和人员信息登记。不符合防控管理要求的人员，不进入交易场所，并于必要时积极配合交易场所工作人员做好现场临时隔离工作。</w:t>
      </w:r>
    </w:p>
    <w:p>
      <w:pPr>
        <w:snapToGrid w:val="0"/>
        <w:spacing w:line="500" w:lineRule="exact"/>
        <w:ind w:firstLine="420" w:firstLineChars="200"/>
        <w:rPr>
          <w:rFonts w:ascii="仿宋" w:hAnsi="仿宋" w:eastAsia="仿宋" w:cs="宋体"/>
          <w:kern w:val="0"/>
          <w:sz w:val="21"/>
          <w:szCs w:val="21"/>
        </w:rPr>
      </w:pPr>
      <w:r>
        <w:rPr>
          <w:rFonts w:ascii="仿宋" w:hAnsi="仿宋" w:eastAsia="仿宋" w:cs="宋体"/>
          <w:kern w:val="0"/>
          <w:sz w:val="21"/>
          <w:szCs w:val="21"/>
        </w:rPr>
        <w:t>2</w:t>
      </w:r>
      <w:r>
        <w:rPr>
          <w:rFonts w:hint="eastAsia" w:ascii="仿宋" w:hAnsi="仿宋" w:eastAsia="仿宋" w:cs="宋体"/>
          <w:kern w:val="0"/>
          <w:sz w:val="21"/>
          <w:szCs w:val="21"/>
        </w:rPr>
        <w:t>．参加投标人员自觉做好个人防护，全程正确佩戴口罩，听从交易场所工作人员的引导。</w:t>
      </w:r>
    </w:p>
    <w:p>
      <w:pPr>
        <w:snapToGrid w:val="0"/>
        <w:spacing w:line="500" w:lineRule="exact"/>
        <w:ind w:firstLine="420" w:firstLineChars="200"/>
        <w:rPr>
          <w:rFonts w:ascii="仿宋" w:hAnsi="仿宋" w:eastAsia="仿宋" w:cs="宋体"/>
          <w:kern w:val="0"/>
          <w:sz w:val="21"/>
          <w:szCs w:val="21"/>
        </w:rPr>
      </w:pPr>
      <w:r>
        <w:rPr>
          <w:rFonts w:ascii="仿宋" w:hAnsi="仿宋" w:eastAsia="仿宋" w:cs="宋体"/>
          <w:kern w:val="0"/>
          <w:sz w:val="21"/>
          <w:szCs w:val="21"/>
        </w:rPr>
        <w:t>3</w:t>
      </w:r>
      <w:r>
        <w:rPr>
          <w:rFonts w:hint="eastAsia" w:ascii="仿宋" w:hAnsi="仿宋" w:eastAsia="仿宋" w:cs="宋体"/>
          <w:kern w:val="0"/>
          <w:sz w:val="21"/>
          <w:szCs w:val="21"/>
        </w:rPr>
        <w:t>．本单位派出的投标人员</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（姓名），</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（身份证号码），</w:t>
      </w:r>
      <w:r>
        <w:rPr>
          <w:rFonts w:ascii="仿宋" w:hAnsi="仿宋" w:eastAsia="仿宋" w:cs="宋体"/>
          <w:kern w:val="0"/>
          <w:sz w:val="21"/>
          <w:szCs w:val="21"/>
        </w:rPr>
        <w:t xml:space="preserve"> </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（联系电话），在</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（省、市）居住，无疫情接触史、身体健康。</w:t>
      </w:r>
    </w:p>
    <w:p>
      <w:pPr>
        <w:snapToGrid w:val="0"/>
        <w:spacing w:line="500" w:lineRule="exact"/>
        <w:ind w:firstLine="420" w:firstLineChars="200"/>
        <w:rPr>
          <w:rFonts w:ascii="仿宋" w:hAnsi="仿宋" w:eastAsia="仿宋" w:cs="宋体"/>
          <w:kern w:val="0"/>
          <w:sz w:val="21"/>
          <w:szCs w:val="21"/>
        </w:rPr>
      </w:pPr>
      <w:r>
        <w:rPr>
          <w:rFonts w:ascii="仿宋" w:hAnsi="仿宋" w:eastAsia="仿宋" w:cs="宋体"/>
          <w:kern w:val="0"/>
          <w:sz w:val="21"/>
          <w:szCs w:val="21"/>
        </w:rPr>
        <w:t>4</w:t>
      </w:r>
      <w:r>
        <w:rPr>
          <w:rFonts w:hint="eastAsia" w:ascii="仿宋" w:hAnsi="仿宋" w:eastAsia="仿宋" w:cs="宋体"/>
          <w:kern w:val="0"/>
          <w:sz w:val="21"/>
          <w:szCs w:val="21"/>
        </w:rPr>
        <w:t>．本单位保证做好投标期的各项准备工作，并提前到达交易场所的开标区域，避免因工作疏忽导致时间拖延和人员聚集。</w:t>
      </w:r>
    </w:p>
    <w:p>
      <w:pPr>
        <w:snapToGrid w:val="0"/>
        <w:spacing w:line="500" w:lineRule="exact"/>
        <w:ind w:firstLine="420" w:firstLineChars="200"/>
        <w:rPr>
          <w:rFonts w:ascii="仿宋" w:hAnsi="仿宋" w:eastAsia="仿宋" w:cs="宋体"/>
          <w:kern w:val="0"/>
          <w:sz w:val="21"/>
          <w:szCs w:val="21"/>
        </w:rPr>
      </w:pPr>
      <w:r>
        <w:rPr>
          <w:rFonts w:ascii="仿宋" w:hAnsi="仿宋" w:eastAsia="仿宋" w:cs="宋体"/>
          <w:kern w:val="0"/>
          <w:sz w:val="21"/>
          <w:szCs w:val="21"/>
        </w:rPr>
        <w:t>5</w:t>
      </w:r>
      <w:r>
        <w:rPr>
          <w:rFonts w:hint="eastAsia" w:ascii="仿宋" w:hAnsi="仿宋" w:eastAsia="仿宋" w:cs="宋体"/>
          <w:kern w:val="0"/>
          <w:sz w:val="21"/>
          <w:szCs w:val="21"/>
        </w:rPr>
        <w:t>．开标活动结束后，本单位人员迅速离场，不在交易场所公共区域停留。</w:t>
      </w:r>
    </w:p>
    <w:p>
      <w:pPr>
        <w:snapToGrid w:val="0"/>
        <w:spacing w:line="500" w:lineRule="exact"/>
        <w:ind w:firstLine="420" w:firstLineChars="200"/>
        <w:rPr>
          <w:rFonts w:ascii="仿宋" w:hAnsi="仿宋" w:eastAsia="仿宋" w:cs="宋体"/>
          <w:kern w:val="0"/>
          <w:sz w:val="21"/>
          <w:szCs w:val="21"/>
        </w:rPr>
      </w:pPr>
    </w:p>
    <w:p>
      <w:pPr>
        <w:snapToGrid w:val="0"/>
        <w:spacing w:line="500" w:lineRule="exact"/>
        <w:ind w:firstLine="420" w:firstLineChars="200"/>
        <w:rPr>
          <w:rFonts w:ascii="仿宋" w:hAnsi="仿宋" w:eastAsia="仿宋" w:cs="宋体"/>
          <w:kern w:val="0"/>
          <w:sz w:val="21"/>
          <w:szCs w:val="21"/>
        </w:rPr>
      </w:pPr>
    </w:p>
    <w:p>
      <w:pPr>
        <w:snapToGrid w:val="0"/>
        <w:spacing w:line="500" w:lineRule="exact"/>
        <w:ind w:firstLine="3093" w:firstLineChars="1473"/>
        <w:jc w:val="left"/>
        <w:rPr>
          <w:rFonts w:ascii="仿宋" w:hAnsi="仿宋" w:eastAsia="仿宋" w:cs="宋体"/>
          <w:kern w:val="0"/>
          <w:sz w:val="21"/>
          <w:szCs w:val="21"/>
        </w:rPr>
      </w:pPr>
      <w:r>
        <w:rPr>
          <w:rFonts w:hint="eastAsia" w:ascii="仿宋" w:hAnsi="仿宋" w:eastAsia="仿宋" w:cs="宋体"/>
          <w:kern w:val="0"/>
          <w:sz w:val="21"/>
          <w:szCs w:val="21"/>
        </w:rPr>
        <w:t>承诺人（公章）：</w:t>
      </w:r>
    </w:p>
    <w:p>
      <w:pPr>
        <w:snapToGrid w:val="0"/>
        <w:spacing w:line="500" w:lineRule="exact"/>
        <w:ind w:firstLine="3990" w:firstLineChars="1900"/>
        <w:rPr>
          <w:rFonts w:cs="Times New Roman"/>
          <w:sz w:val="21"/>
          <w:szCs w:val="21"/>
        </w:rPr>
      </w:pPr>
      <w:r>
        <w:rPr>
          <w:rFonts w:hint="eastAsia" w:ascii="仿宋" w:hAnsi="仿宋" w:eastAsia="仿宋" w:cs="宋体"/>
          <w:kern w:val="0"/>
          <w:sz w:val="21"/>
          <w:szCs w:val="21"/>
        </w:rPr>
        <w:t>年</w:t>
      </w:r>
      <w:r>
        <w:rPr>
          <w:rFonts w:ascii="仿宋" w:hAnsi="仿宋" w:eastAsia="仿宋" w:cs="宋体"/>
          <w:kern w:val="0"/>
          <w:sz w:val="21"/>
          <w:szCs w:val="21"/>
        </w:rPr>
        <w:t xml:space="preserve"> </w:t>
      </w:r>
      <w:r>
        <w:rPr>
          <w:rFonts w:ascii="宋体" w:hAnsi="宋体" w:eastAsia="仿宋" w:cs="宋体"/>
          <w:kern w:val="0"/>
          <w:sz w:val="21"/>
          <w:szCs w:val="21"/>
        </w:rPr>
        <w:t>  </w:t>
      </w:r>
      <w:r>
        <w:rPr>
          <w:rFonts w:hint="eastAsia" w:ascii="仿宋" w:hAnsi="仿宋" w:eastAsia="仿宋" w:cs="宋体"/>
          <w:kern w:val="0"/>
          <w:sz w:val="21"/>
          <w:szCs w:val="21"/>
        </w:rPr>
        <w:t>月</w:t>
      </w:r>
      <w:r>
        <w:rPr>
          <w:rFonts w:ascii="仿宋" w:hAnsi="仿宋" w:eastAsia="仿宋" w:cs="宋体"/>
          <w:kern w:val="0"/>
          <w:sz w:val="21"/>
          <w:szCs w:val="21"/>
        </w:rPr>
        <w:t xml:space="preserve"> </w:t>
      </w:r>
      <w:r>
        <w:rPr>
          <w:rFonts w:ascii="宋体" w:hAnsi="宋体" w:eastAsia="仿宋" w:cs="宋体"/>
          <w:kern w:val="0"/>
          <w:sz w:val="21"/>
          <w:szCs w:val="21"/>
        </w:rPr>
        <w:t>  </w:t>
      </w:r>
      <w:r>
        <w:rPr>
          <w:rFonts w:hint="eastAsia" w:ascii="仿宋" w:hAnsi="仿宋" w:eastAsia="仿宋" w:cs="宋体"/>
          <w:kern w:val="0"/>
          <w:sz w:val="21"/>
          <w:szCs w:val="21"/>
        </w:rPr>
        <w:t>日</w:t>
      </w:r>
    </w:p>
    <w:p>
      <w:pPr>
        <w:rPr>
          <w:rFonts w:cs="Times New Roman"/>
          <w:sz w:val="21"/>
          <w:szCs w:val="21"/>
        </w:rPr>
      </w:pPr>
    </w:p>
    <w:p>
      <w:pPr>
        <w:rPr>
          <w:rFonts w:cs="Times New Roman"/>
          <w:sz w:val="21"/>
          <w:szCs w:val="21"/>
        </w:rPr>
      </w:pPr>
    </w:p>
    <w:p>
      <w:pPr>
        <w:rPr>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rPr>
          <w:rFonts w:hint="eastAsia" w:ascii="黑体" w:hAnsi="黑体" w:eastAsia="黑体" w:cs="宋体"/>
          <w:bCs/>
          <w:kern w:val="0"/>
          <w:sz w:val="21"/>
          <w:szCs w:val="21"/>
        </w:rPr>
      </w:pPr>
    </w:p>
    <w:p>
      <w:pPr>
        <w:rPr>
          <w:rFonts w:hint="eastAsia" w:ascii="黑体" w:hAnsi="黑体" w:eastAsia="黑体" w:cs="宋体"/>
          <w:bCs/>
          <w:kern w:val="0"/>
          <w:sz w:val="21"/>
          <w:szCs w:val="21"/>
        </w:rPr>
      </w:pPr>
    </w:p>
    <w:p>
      <w:pPr>
        <w:rPr>
          <w:rFonts w:hint="eastAsia" w:ascii="黑体" w:hAnsi="黑体" w:eastAsia="黑体" w:cs="宋体"/>
          <w:bCs/>
          <w:kern w:val="0"/>
          <w:sz w:val="21"/>
          <w:szCs w:val="21"/>
        </w:rPr>
      </w:pPr>
    </w:p>
    <w:p>
      <w:pPr>
        <w:rPr>
          <w:rFonts w:ascii="黑体" w:hAnsi="黑体" w:eastAsia="黑体" w:cs="宋体"/>
          <w:bCs/>
          <w:kern w:val="0"/>
          <w:sz w:val="21"/>
          <w:szCs w:val="21"/>
        </w:rPr>
      </w:pPr>
      <w:r>
        <w:rPr>
          <w:rFonts w:hint="eastAsia" w:ascii="黑体" w:hAnsi="黑体" w:eastAsia="黑体" w:cs="宋体"/>
          <w:bCs/>
          <w:kern w:val="0"/>
          <w:sz w:val="21"/>
          <w:szCs w:val="21"/>
        </w:rPr>
        <w:t>附件</w:t>
      </w:r>
      <w:r>
        <w:rPr>
          <w:rFonts w:ascii="黑体" w:hAnsi="黑体" w:eastAsia="黑体" w:cs="宋体"/>
          <w:bCs/>
          <w:kern w:val="0"/>
          <w:sz w:val="21"/>
          <w:szCs w:val="21"/>
        </w:rPr>
        <w:t>2</w:t>
      </w:r>
    </w:p>
    <w:p>
      <w:pPr>
        <w:widowControl/>
        <w:jc w:val="center"/>
        <w:rPr>
          <w:rFonts w:ascii="黑体" w:hAnsi="黑体" w:eastAsia="黑体" w:cs="宋体"/>
          <w:bCs/>
          <w:kern w:val="0"/>
          <w:sz w:val="21"/>
          <w:szCs w:val="21"/>
        </w:rPr>
      </w:pPr>
    </w:p>
    <w:p>
      <w:pPr>
        <w:widowControl/>
        <w:jc w:val="center"/>
        <w:rPr>
          <w:rFonts w:ascii="黑体" w:hAnsi="黑体" w:eastAsia="黑体" w:cs="宋体"/>
          <w:bCs/>
          <w:kern w:val="0"/>
          <w:sz w:val="21"/>
          <w:szCs w:val="21"/>
        </w:rPr>
      </w:pPr>
      <w:r>
        <w:rPr>
          <w:rFonts w:hint="eastAsia" w:ascii="黑体" w:hAnsi="黑体" w:eastAsia="黑体" w:cs="宋体"/>
          <w:bCs/>
          <w:kern w:val="0"/>
          <w:sz w:val="21"/>
          <w:szCs w:val="21"/>
        </w:rPr>
        <w:t>招标人（采购）人/代理机构承诺书</w:t>
      </w:r>
    </w:p>
    <w:p>
      <w:pPr>
        <w:snapToGrid w:val="0"/>
        <w:spacing w:line="500" w:lineRule="exact"/>
        <w:ind w:firstLine="420" w:firstLineChars="200"/>
        <w:jc w:val="left"/>
        <w:rPr>
          <w:rFonts w:ascii="仿宋" w:hAnsi="仿宋" w:eastAsia="仿宋" w:cs="宋体"/>
          <w:kern w:val="0"/>
          <w:sz w:val="21"/>
          <w:szCs w:val="21"/>
        </w:rPr>
      </w:pPr>
    </w:p>
    <w:p>
      <w:pPr>
        <w:snapToGrid w:val="0"/>
        <w:spacing w:line="500" w:lineRule="exact"/>
        <w:ind w:firstLine="420" w:firstLineChars="200"/>
        <w:jc w:val="left"/>
        <w:rPr>
          <w:rFonts w:ascii="仿宋" w:hAnsi="仿宋" w:eastAsia="仿宋" w:cs="宋体"/>
          <w:kern w:val="0"/>
          <w:sz w:val="21"/>
          <w:szCs w:val="21"/>
        </w:rPr>
      </w:pPr>
      <w:r>
        <w:rPr>
          <w:rFonts w:hint="eastAsia" w:ascii="仿宋" w:hAnsi="仿宋" w:eastAsia="仿宋" w:cs="宋体"/>
          <w:kern w:val="0"/>
          <w:sz w:val="21"/>
          <w:szCs w:val="21"/>
        </w:rPr>
        <w:t>本单位</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承诺严格落实党中央、国务院以及广西壮族自治区政府和百色市委、市人民政府相关疫情防控工作部署，遵守《中华人民共和国传染病防治法》及其他疫情防控相关要求。本单位于</w:t>
      </w:r>
      <w:r>
        <w:rPr>
          <w:rFonts w:ascii="宋体" w:hAnsi="宋体" w:eastAsia="仿宋" w:cs="宋体"/>
          <w:kern w:val="0"/>
          <w:sz w:val="21"/>
          <w:szCs w:val="21"/>
          <w:u w:val="single"/>
        </w:rPr>
        <w:t>  </w:t>
      </w:r>
      <w:r>
        <w:rPr>
          <w:rFonts w:hint="eastAsia" w:ascii="仿宋" w:hAnsi="仿宋" w:eastAsia="仿宋" w:cs="宋体"/>
          <w:kern w:val="0"/>
          <w:sz w:val="21"/>
          <w:szCs w:val="21"/>
        </w:rPr>
        <w:t>年</w:t>
      </w:r>
      <w:r>
        <w:rPr>
          <w:rFonts w:ascii="宋体" w:hAnsi="宋体" w:eastAsia="仿宋" w:cs="宋体"/>
          <w:kern w:val="0"/>
          <w:sz w:val="21"/>
          <w:szCs w:val="21"/>
          <w:u w:val="single"/>
        </w:rPr>
        <w:t> </w:t>
      </w:r>
      <w:r>
        <w:rPr>
          <w:rFonts w:hint="eastAsia" w:ascii="仿宋" w:hAnsi="仿宋" w:eastAsia="仿宋" w:cs="宋体"/>
          <w:kern w:val="0"/>
          <w:sz w:val="21"/>
          <w:szCs w:val="21"/>
        </w:rPr>
        <w:t>月</w:t>
      </w:r>
      <w:r>
        <w:rPr>
          <w:rFonts w:ascii="宋体" w:hAnsi="宋体" w:eastAsia="仿宋" w:cs="宋体"/>
          <w:kern w:val="0"/>
          <w:sz w:val="21"/>
          <w:szCs w:val="21"/>
          <w:u w:val="single"/>
        </w:rPr>
        <w:t> </w:t>
      </w:r>
      <w:r>
        <w:rPr>
          <w:rFonts w:hint="eastAsia" w:ascii="仿宋" w:hAnsi="仿宋" w:eastAsia="仿宋" w:cs="宋体"/>
          <w:kern w:val="0"/>
          <w:sz w:val="21"/>
          <w:szCs w:val="21"/>
        </w:rPr>
        <w:t>日组织</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项目的开标活动。本单位承诺在开标过程中做到以下几点：</w:t>
      </w:r>
    </w:p>
    <w:p>
      <w:pPr>
        <w:snapToGrid w:val="0"/>
        <w:spacing w:line="500" w:lineRule="exact"/>
        <w:ind w:firstLine="420" w:firstLineChars="200"/>
        <w:jc w:val="left"/>
        <w:rPr>
          <w:rFonts w:ascii="仿宋" w:hAnsi="仿宋" w:eastAsia="仿宋" w:cs="宋体"/>
          <w:kern w:val="0"/>
          <w:sz w:val="21"/>
          <w:szCs w:val="21"/>
        </w:rPr>
      </w:pPr>
      <w:r>
        <w:rPr>
          <w:rFonts w:ascii="仿宋" w:hAnsi="仿宋" w:eastAsia="仿宋" w:cs="宋体"/>
          <w:kern w:val="0"/>
          <w:sz w:val="21"/>
          <w:szCs w:val="21"/>
        </w:rPr>
        <w:t>1</w:t>
      </w:r>
      <w:r>
        <w:rPr>
          <w:rFonts w:hint="eastAsia" w:ascii="仿宋" w:hAnsi="仿宋" w:eastAsia="仿宋" w:cs="宋体"/>
          <w:kern w:val="0"/>
          <w:sz w:val="21"/>
          <w:szCs w:val="21"/>
        </w:rPr>
        <w:t>．积极配合交易场所工作人员进行体温检测和人员信息登记。不符合防控管理要求的人员，不进入交易场所，并于必要时积极配合交易场所工作人员做好现场临时隔离工作。</w:t>
      </w:r>
    </w:p>
    <w:p>
      <w:pPr>
        <w:snapToGrid w:val="0"/>
        <w:spacing w:line="500" w:lineRule="exact"/>
        <w:ind w:firstLine="420" w:firstLineChars="200"/>
        <w:jc w:val="left"/>
        <w:rPr>
          <w:rFonts w:ascii="仿宋" w:hAnsi="仿宋" w:eastAsia="仿宋" w:cs="宋体"/>
          <w:kern w:val="0"/>
          <w:sz w:val="21"/>
          <w:szCs w:val="21"/>
        </w:rPr>
      </w:pPr>
      <w:r>
        <w:rPr>
          <w:rFonts w:ascii="仿宋" w:hAnsi="仿宋" w:eastAsia="仿宋" w:cs="宋体"/>
          <w:kern w:val="0"/>
          <w:sz w:val="21"/>
          <w:szCs w:val="21"/>
        </w:rPr>
        <w:t>2</w:t>
      </w:r>
      <w:r>
        <w:rPr>
          <w:rFonts w:hint="eastAsia" w:ascii="仿宋" w:hAnsi="仿宋" w:eastAsia="仿宋" w:cs="宋体"/>
          <w:kern w:val="0"/>
          <w:sz w:val="21"/>
          <w:szCs w:val="21"/>
        </w:rPr>
        <w:t>．自觉做好个人防护，全程正确佩戴口罩，严格遵守交易现场管理规定，听从交易场所工作人员的引导。</w:t>
      </w:r>
    </w:p>
    <w:p>
      <w:pPr>
        <w:snapToGrid w:val="0"/>
        <w:spacing w:line="500" w:lineRule="exact"/>
        <w:ind w:firstLine="420" w:firstLineChars="200"/>
        <w:jc w:val="left"/>
        <w:rPr>
          <w:rFonts w:ascii="仿宋" w:hAnsi="仿宋" w:eastAsia="仿宋" w:cs="宋体"/>
          <w:kern w:val="0"/>
          <w:sz w:val="21"/>
          <w:szCs w:val="21"/>
        </w:rPr>
      </w:pPr>
      <w:r>
        <w:rPr>
          <w:rFonts w:ascii="仿宋" w:hAnsi="仿宋" w:eastAsia="仿宋" w:cs="宋体"/>
          <w:kern w:val="0"/>
          <w:sz w:val="21"/>
          <w:szCs w:val="21"/>
        </w:rPr>
        <w:t>3</w:t>
      </w:r>
      <w:r>
        <w:rPr>
          <w:rFonts w:hint="eastAsia" w:ascii="仿宋" w:hAnsi="仿宋" w:eastAsia="仿宋" w:cs="宋体"/>
          <w:kern w:val="0"/>
          <w:sz w:val="21"/>
          <w:szCs w:val="21"/>
        </w:rPr>
        <w:t>．本单位所派现场工作人员</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（姓名），</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（身份证号码），</w:t>
      </w:r>
      <w:r>
        <w:rPr>
          <w:rFonts w:ascii="仿宋" w:hAnsi="仿宋" w:eastAsia="仿宋" w:cs="宋体"/>
          <w:kern w:val="0"/>
          <w:sz w:val="21"/>
          <w:szCs w:val="21"/>
          <w:u w:val="single"/>
        </w:rPr>
        <w:t xml:space="preserve">           </w:t>
      </w:r>
      <w:r>
        <w:rPr>
          <w:rFonts w:hint="eastAsia" w:ascii="仿宋" w:hAnsi="仿宋" w:eastAsia="仿宋" w:cs="宋体"/>
          <w:kern w:val="0"/>
          <w:sz w:val="21"/>
          <w:szCs w:val="21"/>
        </w:rPr>
        <w:t>（联系电话），在</w:t>
      </w:r>
      <w:r>
        <w:rPr>
          <w:rFonts w:ascii="宋体" w:hAnsi="宋体" w:eastAsia="仿宋" w:cs="宋体"/>
          <w:kern w:val="0"/>
          <w:sz w:val="21"/>
          <w:szCs w:val="21"/>
          <w:u w:val="single"/>
        </w:rPr>
        <w:t>        </w:t>
      </w:r>
      <w:r>
        <w:rPr>
          <w:rFonts w:hint="eastAsia" w:ascii="仿宋" w:hAnsi="仿宋" w:eastAsia="仿宋" w:cs="宋体"/>
          <w:kern w:val="0"/>
          <w:sz w:val="21"/>
          <w:szCs w:val="21"/>
        </w:rPr>
        <w:t>（省、市）居住，</w:t>
      </w:r>
      <w:r>
        <w:rPr>
          <w:rFonts w:hint="eastAsia" w:ascii="仿宋" w:hAnsi="仿宋" w:eastAsia="仿宋" w:cs="Times New Roman"/>
          <w:spacing w:val="23"/>
          <w:sz w:val="21"/>
          <w:szCs w:val="21"/>
          <w:shd w:val="clear" w:color="auto" w:fill="FFFFFF"/>
        </w:rPr>
        <w:t>无疫情接触史、</w:t>
      </w:r>
      <w:r>
        <w:rPr>
          <w:rFonts w:hint="eastAsia" w:ascii="仿宋" w:hAnsi="仿宋" w:eastAsia="仿宋" w:cs="宋体"/>
          <w:kern w:val="0"/>
          <w:sz w:val="21"/>
          <w:szCs w:val="21"/>
        </w:rPr>
        <w:t>身体健康。</w:t>
      </w:r>
    </w:p>
    <w:p>
      <w:pPr>
        <w:snapToGrid w:val="0"/>
        <w:spacing w:line="500" w:lineRule="exact"/>
        <w:ind w:firstLine="420" w:firstLineChars="200"/>
        <w:jc w:val="left"/>
        <w:rPr>
          <w:rFonts w:ascii="仿宋" w:hAnsi="仿宋" w:eastAsia="仿宋" w:cs="宋体"/>
          <w:kern w:val="0"/>
          <w:sz w:val="21"/>
          <w:szCs w:val="21"/>
        </w:rPr>
      </w:pPr>
      <w:r>
        <w:rPr>
          <w:rFonts w:ascii="仿宋" w:hAnsi="仿宋" w:eastAsia="仿宋" w:cs="宋体"/>
          <w:kern w:val="0"/>
          <w:sz w:val="21"/>
          <w:szCs w:val="21"/>
        </w:rPr>
        <w:t>4</w:t>
      </w:r>
      <w:r>
        <w:rPr>
          <w:rFonts w:hint="eastAsia" w:ascii="仿宋" w:hAnsi="仿宋" w:eastAsia="仿宋" w:cs="宋体"/>
          <w:kern w:val="0"/>
          <w:sz w:val="21"/>
          <w:szCs w:val="21"/>
        </w:rPr>
        <w:t>．本单位保证做好开标前准备工作，并提前到达交易场所的开标区域，必要时</w:t>
      </w:r>
      <w:r>
        <w:rPr>
          <w:rFonts w:hint="eastAsia" w:ascii="仿宋" w:hAnsi="仿宋" w:eastAsia="仿宋" w:cs="宋体"/>
          <w:spacing w:val="8"/>
          <w:kern w:val="0"/>
          <w:sz w:val="21"/>
          <w:szCs w:val="21"/>
        </w:rPr>
        <w:t>配合交易场所工作人员做好开标场地临时调配和现场人员引导工作，</w:t>
      </w:r>
      <w:r>
        <w:rPr>
          <w:rFonts w:hint="eastAsia" w:ascii="仿宋" w:hAnsi="仿宋" w:eastAsia="仿宋" w:cs="宋体"/>
          <w:kern w:val="0"/>
          <w:sz w:val="21"/>
          <w:szCs w:val="21"/>
        </w:rPr>
        <w:t>避免因工作疏忽导致时间拖延、人员聚集和混乱。</w:t>
      </w:r>
    </w:p>
    <w:p>
      <w:pPr>
        <w:snapToGrid w:val="0"/>
        <w:spacing w:line="500" w:lineRule="exact"/>
        <w:ind w:firstLine="420" w:firstLineChars="200"/>
        <w:jc w:val="left"/>
        <w:rPr>
          <w:rFonts w:ascii="仿宋" w:hAnsi="仿宋" w:eastAsia="仿宋" w:cs="宋体"/>
          <w:kern w:val="0"/>
          <w:sz w:val="21"/>
          <w:szCs w:val="21"/>
        </w:rPr>
      </w:pPr>
      <w:r>
        <w:rPr>
          <w:rFonts w:ascii="仿宋" w:hAnsi="仿宋" w:eastAsia="仿宋" w:cs="宋体"/>
          <w:kern w:val="0"/>
          <w:sz w:val="21"/>
          <w:szCs w:val="21"/>
        </w:rPr>
        <w:t>5</w:t>
      </w:r>
      <w:r>
        <w:rPr>
          <w:rFonts w:hint="eastAsia" w:ascii="仿宋" w:hAnsi="仿宋" w:eastAsia="仿宋" w:cs="宋体"/>
          <w:kern w:val="0"/>
          <w:sz w:val="21"/>
          <w:szCs w:val="21"/>
        </w:rPr>
        <w:t>．交易活动结束后，本单位人员迅速离场，不在交易场所公共区域内停留。</w:t>
      </w:r>
    </w:p>
    <w:p>
      <w:pPr>
        <w:snapToGrid w:val="0"/>
        <w:spacing w:line="500" w:lineRule="exact"/>
        <w:ind w:firstLine="420" w:firstLineChars="200"/>
        <w:jc w:val="center"/>
        <w:rPr>
          <w:rFonts w:ascii="仿宋" w:hAnsi="仿宋" w:eastAsia="仿宋" w:cs="宋体"/>
          <w:kern w:val="0"/>
          <w:sz w:val="21"/>
          <w:szCs w:val="21"/>
        </w:rPr>
      </w:pPr>
    </w:p>
    <w:p>
      <w:pPr>
        <w:snapToGrid w:val="0"/>
        <w:spacing w:line="500" w:lineRule="exact"/>
        <w:ind w:firstLine="420" w:firstLineChars="200"/>
        <w:jc w:val="center"/>
        <w:rPr>
          <w:rFonts w:ascii="仿宋" w:hAnsi="仿宋" w:eastAsia="仿宋" w:cs="宋体"/>
          <w:kern w:val="0"/>
          <w:sz w:val="21"/>
          <w:szCs w:val="21"/>
        </w:rPr>
      </w:pPr>
      <w:r>
        <w:rPr>
          <w:rFonts w:hint="eastAsia" w:ascii="仿宋" w:hAnsi="仿宋" w:eastAsia="仿宋" w:cs="宋体"/>
          <w:kern w:val="0"/>
          <w:sz w:val="21"/>
          <w:szCs w:val="21"/>
        </w:rPr>
        <w:t>承诺人（公章）：</w:t>
      </w:r>
    </w:p>
    <w:p>
      <w:pPr>
        <w:snapToGrid w:val="0"/>
        <w:spacing w:line="500" w:lineRule="exact"/>
        <w:ind w:firstLine="2730" w:firstLineChars="1300"/>
        <w:jc w:val="center"/>
        <w:rPr>
          <w:rFonts w:ascii="仿宋" w:hAnsi="仿宋" w:eastAsia="仿宋" w:cs="宋体"/>
          <w:kern w:val="0"/>
          <w:sz w:val="21"/>
          <w:szCs w:val="21"/>
        </w:rPr>
      </w:pPr>
      <w:r>
        <w:rPr>
          <w:rFonts w:hint="eastAsia" w:ascii="仿宋" w:hAnsi="仿宋" w:eastAsia="仿宋" w:cs="宋体"/>
          <w:kern w:val="0"/>
          <w:sz w:val="21"/>
          <w:szCs w:val="21"/>
        </w:rPr>
        <w:t>年</w:t>
      </w:r>
      <w:r>
        <w:rPr>
          <w:rFonts w:ascii="仿宋" w:hAnsi="仿宋" w:eastAsia="仿宋" w:cs="宋体"/>
          <w:kern w:val="0"/>
          <w:sz w:val="21"/>
          <w:szCs w:val="21"/>
        </w:rPr>
        <w:t xml:space="preserve"> </w:t>
      </w:r>
      <w:r>
        <w:rPr>
          <w:rFonts w:ascii="宋体" w:hAnsi="宋体" w:eastAsia="仿宋" w:cs="宋体"/>
          <w:kern w:val="0"/>
          <w:sz w:val="21"/>
          <w:szCs w:val="21"/>
        </w:rPr>
        <w:t>  </w:t>
      </w:r>
      <w:r>
        <w:rPr>
          <w:rFonts w:hint="eastAsia" w:ascii="仿宋" w:hAnsi="仿宋" w:eastAsia="仿宋" w:cs="宋体"/>
          <w:kern w:val="0"/>
          <w:sz w:val="21"/>
          <w:szCs w:val="21"/>
        </w:rPr>
        <w:t>月</w:t>
      </w:r>
      <w:r>
        <w:rPr>
          <w:rFonts w:ascii="仿宋" w:hAnsi="仿宋" w:eastAsia="仿宋" w:cs="宋体"/>
          <w:kern w:val="0"/>
          <w:sz w:val="21"/>
          <w:szCs w:val="21"/>
        </w:rPr>
        <w:t xml:space="preserve"> </w:t>
      </w:r>
      <w:r>
        <w:rPr>
          <w:rFonts w:ascii="宋体" w:hAnsi="宋体" w:eastAsia="仿宋" w:cs="宋体"/>
          <w:kern w:val="0"/>
          <w:sz w:val="21"/>
          <w:szCs w:val="21"/>
        </w:rPr>
        <w:t>  </w:t>
      </w:r>
      <w:r>
        <w:rPr>
          <w:rFonts w:hint="eastAsia" w:ascii="仿宋" w:hAnsi="仿宋" w:eastAsia="仿宋" w:cs="宋体"/>
          <w:kern w:val="0"/>
          <w:sz w:val="21"/>
          <w:szCs w:val="21"/>
        </w:rPr>
        <w:t>日</w:t>
      </w:r>
    </w:p>
    <w:p>
      <w:pPr>
        <w:rPr>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int="eastAsia" w:hAnsi="宋体" w:cs="宋体"/>
          <w:b/>
          <w:sz w:val="21"/>
          <w:szCs w:val="21"/>
        </w:rPr>
      </w:pPr>
    </w:p>
    <w:p>
      <w:pPr>
        <w:pStyle w:val="14"/>
        <w:spacing w:line="600" w:lineRule="exact"/>
        <w:jc w:val="center"/>
        <w:outlineLvl w:val="0"/>
        <w:rPr>
          <w:rFonts w:hAnsi="宋体" w:cs="宋体"/>
          <w:sz w:val="32"/>
          <w:szCs w:val="32"/>
          <w:u w:val="single"/>
        </w:rPr>
      </w:pPr>
      <w:r>
        <w:rPr>
          <w:rFonts w:hint="eastAsia" w:hAnsi="宋体" w:cs="宋体"/>
          <w:b/>
          <w:sz w:val="32"/>
          <w:szCs w:val="32"/>
        </w:rPr>
        <w:t>第五章  合同条款及格式</w:t>
      </w:r>
      <w:bookmarkEnd w:id="118"/>
      <w:bookmarkEnd w:id="119"/>
      <w:bookmarkEnd w:id="120"/>
      <w:bookmarkEnd w:id="121"/>
    </w:p>
    <w:p>
      <w:pPr>
        <w:spacing w:line="360" w:lineRule="auto"/>
        <w:ind w:firstLine="420" w:firstLineChars="200"/>
        <w:rPr>
          <w:rFonts w:ascii="宋体" w:hAnsi="宋体" w:cs="宋体"/>
          <w:sz w:val="21"/>
          <w:szCs w:val="21"/>
        </w:rPr>
      </w:pPr>
    </w:p>
    <w:p>
      <w:pPr>
        <w:spacing w:line="360" w:lineRule="auto"/>
        <w:ind w:firstLine="420" w:firstLineChars="200"/>
        <w:rPr>
          <w:rFonts w:ascii="宋体" w:hAnsi="宋体" w:cs="宋体"/>
          <w:sz w:val="21"/>
          <w:szCs w:val="21"/>
        </w:rPr>
      </w:pPr>
    </w:p>
    <w:p>
      <w:pPr>
        <w:spacing w:line="360" w:lineRule="auto"/>
        <w:ind w:firstLine="420" w:firstLineChars="200"/>
        <w:rPr>
          <w:rFonts w:ascii="宋体" w:hAnsi="宋体" w:cs="宋体"/>
          <w:sz w:val="21"/>
          <w:szCs w:val="21"/>
        </w:rPr>
      </w:pPr>
      <w:r>
        <w:rPr>
          <w:rFonts w:hint="eastAsia" w:ascii="宋体" w:hAnsi="宋体" w:cs="宋体"/>
          <w:sz w:val="21"/>
          <w:szCs w:val="21"/>
        </w:rPr>
        <w:t xml:space="preserve">                                                 </w:t>
      </w:r>
    </w:p>
    <w:p>
      <w:pPr>
        <w:spacing w:line="360" w:lineRule="auto"/>
        <w:jc w:val="center"/>
        <w:rPr>
          <w:rFonts w:ascii="宋体" w:hAnsi="宋体" w:cs="宋体"/>
          <w:b/>
          <w:bCs/>
          <w:sz w:val="21"/>
          <w:szCs w:val="21"/>
        </w:rPr>
      </w:pPr>
      <w:r>
        <w:rPr>
          <w:rFonts w:hint="eastAsia" w:ascii="宋体" w:hAnsi="宋体" w:cs="宋体"/>
          <w:b/>
          <w:bCs/>
          <w:sz w:val="21"/>
          <w:szCs w:val="21"/>
          <w:u w:val="single"/>
        </w:rPr>
        <w:t xml:space="preserve">         （项目名称）         </w:t>
      </w:r>
      <w:r>
        <w:rPr>
          <w:rFonts w:hint="eastAsia" w:ascii="宋体" w:hAnsi="宋体" w:cs="宋体"/>
          <w:b/>
          <w:bCs/>
          <w:sz w:val="21"/>
          <w:szCs w:val="21"/>
        </w:rPr>
        <w:t>合同</w:t>
      </w:r>
    </w:p>
    <w:p>
      <w:pPr>
        <w:spacing w:line="360" w:lineRule="auto"/>
        <w:ind w:firstLine="420" w:firstLineChars="200"/>
        <w:rPr>
          <w:rFonts w:ascii="宋体" w:hAnsi="宋体" w:cs="宋体"/>
          <w:sz w:val="21"/>
          <w:szCs w:val="21"/>
        </w:rPr>
      </w:pPr>
    </w:p>
    <w:p>
      <w:pPr>
        <w:spacing w:line="360" w:lineRule="auto"/>
        <w:ind w:firstLine="1674" w:firstLineChars="794"/>
        <w:rPr>
          <w:rFonts w:ascii="宋体" w:hAnsi="宋体" w:cs="宋体"/>
          <w:b/>
          <w:bCs/>
          <w:sz w:val="21"/>
          <w:szCs w:val="21"/>
        </w:rPr>
      </w:pPr>
    </w:p>
    <w:p>
      <w:pPr>
        <w:ind w:firstLine="1476" w:firstLineChars="700"/>
        <w:rPr>
          <w:rFonts w:ascii="宋体" w:hAnsi="宋体" w:cs="宋体"/>
          <w:b/>
          <w:sz w:val="21"/>
          <w:szCs w:val="21"/>
          <w:u w:val="single"/>
        </w:rPr>
      </w:pPr>
      <w:r>
        <w:rPr>
          <w:rFonts w:hint="eastAsia" w:ascii="宋体" w:hAnsi="宋体" w:cs="宋体"/>
          <w:b/>
          <w:sz w:val="21"/>
          <w:szCs w:val="21"/>
        </w:rPr>
        <w:t>项目编号：</w:t>
      </w:r>
      <w:r>
        <w:rPr>
          <w:rFonts w:hint="eastAsia" w:ascii="宋体" w:hAnsi="宋体" w:cs="宋体"/>
          <w:b/>
          <w:sz w:val="21"/>
          <w:szCs w:val="21"/>
          <w:u w:val="single"/>
        </w:rPr>
        <w:t xml:space="preserve">                 </w:t>
      </w:r>
    </w:p>
    <w:p>
      <w:pPr>
        <w:rPr>
          <w:rFonts w:ascii="宋体" w:hAnsi="宋体" w:cs="宋体"/>
          <w:b/>
          <w:sz w:val="21"/>
          <w:szCs w:val="21"/>
          <w:u w:val="single"/>
        </w:rPr>
      </w:pPr>
      <w:r>
        <w:rPr>
          <w:rFonts w:hint="eastAsia" w:ascii="宋体" w:hAnsi="宋体" w:cs="宋体"/>
          <w:b/>
          <w:sz w:val="21"/>
          <w:szCs w:val="21"/>
        </w:rPr>
        <w:t xml:space="preserve">       </w:t>
      </w:r>
    </w:p>
    <w:p>
      <w:pPr>
        <w:spacing w:line="360" w:lineRule="auto"/>
        <w:ind w:firstLine="420" w:firstLineChars="200"/>
        <w:rPr>
          <w:rFonts w:ascii="宋体" w:hAnsi="宋体" w:cs="宋体"/>
          <w:sz w:val="21"/>
          <w:szCs w:val="21"/>
        </w:rPr>
      </w:pPr>
    </w:p>
    <w:p>
      <w:pPr>
        <w:spacing w:line="360" w:lineRule="auto"/>
        <w:ind w:firstLine="420" w:firstLineChars="200"/>
        <w:rPr>
          <w:rFonts w:ascii="宋体" w:hAnsi="宋体" w:cs="宋体"/>
          <w:sz w:val="21"/>
          <w:szCs w:val="21"/>
        </w:rPr>
      </w:pPr>
    </w:p>
    <w:p>
      <w:pPr>
        <w:pStyle w:val="48"/>
        <w:spacing w:line="460" w:lineRule="exact"/>
        <w:ind w:firstLine="1050" w:firstLineChars="500"/>
        <w:rPr>
          <w:rFonts w:hAnsi="宋体" w:cs="宋体"/>
          <w:color w:val="auto"/>
          <w:sz w:val="21"/>
          <w:szCs w:val="21"/>
          <w:lang w:val="en-US"/>
        </w:rPr>
      </w:pPr>
      <w:r>
        <w:rPr>
          <w:rFonts w:hint="eastAsia" w:hAnsi="宋体" w:cs="宋体"/>
          <w:color w:val="auto"/>
          <w:sz w:val="21"/>
          <w:szCs w:val="21"/>
          <w:lang w:val="en-US"/>
        </w:rPr>
        <w:t>甲    方：</w:t>
      </w:r>
    </w:p>
    <w:p>
      <w:pPr>
        <w:pStyle w:val="48"/>
        <w:spacing w:line="460" w:lineRule="exact"/>
        <w:ind w:firstLine="1050" w:firstLineChars="500"/>
        <w:rPr>
          <w:rFonts w:hAnsi="宋体" w:cs="宋体"/>
          <w:color w:val="auto"/>
          <w:sz w:val="21"/>
          <w:szCs w:val="21"/>
          <w:lang w:val="en-US"/>
        </w:rPr>
      </w:pPr>
    </w:p>
    <w:p>
      <w:pPr>
        <w:pStyle w:val="48"/>
        <w:spacing w:line="460" w:lineRule="exact"/>
        <w:ind w:firstLine="1035" w:firstLineChars="493"/>
        <w:rPr>
          <w:rFonts w:hAnsi="宋体" w:cs="宋体"/>
          <w:color w:val="auto"/>
          <w:sz w:val="21"/>
          <w:szCs w:val="21"/>
        </w:rPr>
      </w:pPr>
      <w:r>
        <w:rPr>
          <w:rFonts w:hint="eastAsia" w:hAnsi="宋体" w:cs="宋体"/>
          <w:color w:val="auto"/>
          <w:sz w:val="21"/>
          <w:szCs w:val="21"/>
        </w:rPr>
        <w:t>乙</w:t>
      </w:r>
      <w:r>
        <w:rPr>
          <w:rFonts w:hint="eastAsia" w:hAnsi="宋体" w:cs="宋体"/>
          <w:color w:val="auto"/>
          <w:sz w:val="21"/>
          <w:szCs w:val="21"/>
          <w:lang w:val="en-US"/>
        </w:rPr>
        <w:t xml:space="preserve">    </w:t>
      </w:r>
      <w:r>
        <w:rPr>
          <w:rFonts w:hint="eastAsia" w:hAnsi="宋体" w:cs="宋体"/>
          <w:color w:val="auto"/>
          <w:sz w:val="21"/>
          <w:szCs w:val="21"/>
        </w:rPr>
        <w:t>方：</w:t>
      </w:r>
    </w:p>
    <w:p>
      <w:pPr>
        <w:pStyle w:val="48"/>
        <w:spacing w:line="460" w:lineRule="exact"/>
        <w:ind w:firstLine="1035" w:firstLineChars="493"/>
        <w:rPr>
          <w:rFonts w:hAnsi="宋体" w:cs="宋体"/>
          <w:color w:val="auto"/>
          <w:sz w:val="21"/>
          <w:szCs w:val="21"/>
          <w:lang w:val="en-US"/>
        </w:rPr>
      </w:pPr>
    </w:p>
    <w:p>
      <w:pPr>
        <w:pStyle w:val="48"/>
        <w:spacing w:line="460" w:lineRule="exact"/>
        <w:outlineLvl w:val="0"/>
        <w:rPr>
          <w:rFonts w:hAnsi="宋体" w:cs="宋体"/>
          <w:color w:val="auto"/>
          <w:sz w:val="21"/>
          <w:szCs w:val="21"/>
          <w:lang w:val="en-US"/>
        </w:rPr>
      </w:pPr>
      <w:r>
        <w:rPr>
          <w:rFonts w:hint="eastAsia" w:hAnsi="宋体" w:cs="宋体"/>
          <w:color w:val="auto"/>
          <w:sz w:val="21"/>
          <w:szCs w:val="21"/>
          <w:lang w:val="en-US"/>
        </w:rPr>
        <w:t xml:space="preserve">          </w:t>
      </w:r>
      <w:bookmarkStart w:id="122" w:name="_Toc3656"/>
      <w:bookmarkStart w:id="123" w:name="_Toc15688"/>
      <w:bookmarkStart w:id="124" w:name="_Toc24803"/>
      <w:bookmarkStart w:id="125" w:name="_Toc14303"/>
      <w:r>
        <w:rPr>
          <w:rFonts w:hint="eastAsia" w:hAnsi="宋体" w:cs="宋体"/>
          <w:color w:val="auto"/>
          <w:sz w:val="21"/>
          <w:szCs w:val="21"/>
          <w:lang w:val="en-US"/>
        </w:rPr>
        <w:t>时    间：  年  月       日</w:t>
      </w:r>
      <w:bookmarkEnd w:id="122"/>
      <w:bookmarkEnd w:id="123"/>
      <w:bookmarkEnd w:id="124"/>
      <w:bookmarkEnd w:id="125"/>
    </w:p>
    <w:p>
      <w:pPr>
        <w:tabs>
          <w:tab w:val="left" w:pos="7200"/>
        </w:tabs>
        <w:spacing w:line="360" w:lineRule="auto"/>
        <w:ind w:firstLine="839" w:firstLineChars="398"/>
        <w:rPr>
          <w:rFonts w:ascii="宋体" w:hAnsi="宋体" w:cs="宋体"/>
          <w:b/>
          <w:sz w:val="21"/>
          <w:szCs w:val="21"/>
        </w:rPr>
      </w:pPr>
    </w:p>
    <w:p>
      <w:pPr>
        <w:tabs>
          <w:tab w:val="left" w:pos="7200"/>
        </w:tabs>
        <w:spacing w:line="360" w:lineRule="auto"/>
        <w:ind w:firstLine="839" w:firstLineChars="398"/>
        <w:rPr>
          <w:rFonts w:ascii="宋体" w:hAnsi="宋体" w:cs="宋体"/>
          <w:b/>
          <w:sz w:val="21"/>
          <w:szCs w:val="21"/>
        </w:rPr>
      </w:pPr>
    </w:p>
    <w:p>
      <w:pPr>
        <w:tabs>
          <w:tab w:val="left" w:pos="7200"/>
        </w:tabs>
        <w:spacing w:line="360" w:lineRule="auto"/>
        <w:ind w:firstLine="839" w:firstLineChars="398"/>
        <w:rPr>
          <w:rFonts w:ascii="宋体" w:hAnsi="宋体" w:cs="宋体"/>
          <w:b/>
          <w:sz w:val="21"/>
          <w:szCs w:val="21"/>
        </w:rPr>
      </w:pPr>
    </w:p>
    <w:p>
      <w:pPr>
        <w:snapToGrid w:val="0"/>
        <w:spacing w:line="276" w:lineRule="auto"/>
        <w:rPr>
          <w:rFonts w:ascii="宋体" w:hAnsi="宋体" w:cs="宋体"/>
          <w:sz w:val="21"/>
          <w:szCs w:val="21"/>
        </w:rPr>
      </w:pPr>
    </w:p>
    <w:p>
      <w:pPr>
        <w:snapToGrid w:val="0"/>
        <w:spacing w:line="500" w:lineRule="exact"/>
        <w:rPr>
          <w:rFonts w:ascii="宋体" w:hAnsi="宋体" w:cs="宋体"/>
          <w:sz w:val="21"/>
          <w:szCs w:val="21"/>
        </w:rPr>
      </w:pPr>
    </w:p>
    <w:p>
      <w:pPr>
        <w:snapToGrid w:val="0"/>
        <w:spacing w:line="500" w:lineRule="exact"/>
        <w:rPr>
          <w:rFonts w:ascii="宋体" w:hAnsi="宋体" w:cs="宋体"/>
          <w:sz w:val="21"/>
          <w:szCs w:val="21"/>
          <w:u w:val="single"/>
        </w:rPr>
      </w:pPr>
      <w:r>
        <w:rPr>
          <w:rFonts w:hint="eastAsia" w:ascii="宋体" w:hAnsi="宋体" w:cs="宋体"/>
          <w:sz w:val="21"/>
          <w:szCs w:val="21"/>
        </w:rPr>
        <w:t xml:space="preserve">采购单位（甲方）                                    </w:t>
      </w:r>
      <w:r>
        <w:rPr>
          <w:rFonts w:hint="eastAsia" w:ascii="宋体" w:hAnsi="宋体" w:cs="宋体"/>
          <w:spacing w:val="-20"/>
          <w:sz w:val="21"/>
          <w:szCs w:val="21"/>
        </w:rPr>
        <w:t>采 购 计 划 号</w:t>
      </w:r>
    </w:p>
    <w:p>
      <w:pPr>
        <w:snapToGrid w:val="0"/>
        <w:spacing w:line="500" w:lineRule="exact"/>
        <w:rPr>
          <w:rFonts w:ascii="宋体" w:hAnsi="宋体" w:cs="宋体"/>
          <w:sz w:val="21"/>
          <w:szCs w:val="21"/>
          <w:u w:val="single"/>
        </w:rPr>
      </w:pPr>
      <w:r>
        <w:rPr>
          <w:rFonts w:hint="eastAsia" w:ascii="宋体" w:hAnsi="宋体" w:cs="宋体"/>
          <w:sz w:val="21"/>
          <w:szCs w:val="21"/>
        </w:rPr>
        <w:t xml:space="preserve">供 应 商（乙方）                                    </w:t>
      </w:r>
      <w:r>
        <w:rPr>
          <w:rFonts w:hint="eastAsia" w:ascii="宋体" w:hAnsi="宋体" w:cs="宋体"/>
          <w:spacing w:val="-20"/>
          <w:sz w:val="21"/>
          <w:szCs w:val="21"/>
        </w:rPr>
        <w:t>招  标  编  号</w:t>
      </w:r>
    </w:p>
    <w:p>
      <w:pPr>
        <w:snapToGrid w:val="0"/>
        <w:spacing w:line="500" w:lineRule="exact"/>
        <w:rPr>
          <w:rFonts w:ascii="宋体" w:hAnsi="宋体" w:cs="宋体"/>
          <w:sz w:val="21"/>
          <w:szCs w:val="21"/>
          <w:u w:val="single"/>
        </w:rPr>
      </w:pPr>
      <w:r>
        <w:rPr>
          <w:rFonts w:hint="eastAsia" w:ascii="宋体" w:hAnsi="宋体" w:cs="宋体"/>
          <w:sz w:val="21"/>
          <w:szCs w:val="21"/>
        </w:rPr>
        <w:t>签  订  地  点                                      签 订 时 间</w:t>
      </w:r>
    </w:p>
    <w:p>
      <w:pPr>
        <w:snapToGrid w:val="0"/>
        <w:spacing w:line="500" w:lineRule="exact"/>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根据《中华人民共和国政府采购法》、《中华人民共和国合同法》等法律、法规规定，按照招投标文件（采购文件）规定条款和中标（成交）中标人承诺，甲乙双方签订本合同。</w:t>
      </w:r>
    </w:p>
    <w:p>
      <w:pPr>
        <w:snapToGrid w:val="0"/>
        <w:spacing w:line="360" w:lineRule="auto"/>
        <w:ind w:firstLine="422" w:firstLineChars="200"/>
        <w:outlineLvl w:val="0"/>
        <w:rPr>
          <w:rFonts w:ascii="宋体" w:hAnsi="宋体" w:cs="宋体"/>
          <w:b/>
          <w:sz w:val="21"/>
          <w:szCs w:val="21"/>
        </w:rPr>
      </w:pPr>
      <w:bookmarkStart w:id="126" w:name="_Toc20237"/>
      <w:bookmarkStart w:id="127" w:name="_Toc25128"/>
      <w:bookmarkStart w:id="128" w:name="_Toc2949"/>
      <w:bookmarkStart w:id="129" w:name="_Toc16495"/>
      <w:r>
        <w:rPr>
          <w:rFonts w:hint="eastAsia" w:ascii="宋体" w:hAnsi="宋体" w:cs="宋体"/>
          <w:b/>
          <w:sz w:val="21"/>
          <w:szCs w:val="21"/>
        </w:rPr>
        <w:t>第一条　合同标的</w:t>
      </w:r>
      <w:bookmarkEnd w:id="126"/>
      <w:bookmarkEnd w:id="127"/>
      <w:bookmarkEnd w:id="128"/>
      <w:bookmarkEnd w:id="129"/>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1、本合同所涉及乙方应提供的服务内容详见《招标项目采购需求》中所列内容。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2、合同合计金额为人民币大写</w:t>
      </w:r>
      <w:r>
        <w:rPr>
          <w:rFonts w:hint="eastAsia" w:ascii="宋体" w:hAnsi="宋体" w:cs="宋体"/>
          <w:sz w:val="21"/>
          <w:szCs w:val="21"/>
          <w:u w:val="single"/>
        </w:rPr>
        <w:t xml:space="preserve">                 </w:t>
      </w:r>
      <w:r>
        <w:rPr>
          <w:rFonts w:hint="eastAsia" w:ascii="宋体" w:hAnsi="宋体" w:cs="宋体"/>
          <w:sz w:val="21"/>
          <w:szCs w:val="21"/>
        </w:rPr>
        <w:t xml:space="preserve"> 元整(￥ </w:t>
      </w:r>
      <w:r>
        <w:rPr>
          <w:rFonts w:hint="eastAsia" w:ascii="宋体" w:hAnsi="宋体" w:cs="宋体"/>
          <w:sz w:val="21"/>
          <w:szCs w:val="21"/>
          <w:u w:val="single"/>
        </w:rPr>
        <w:t xml:space="preserve">            </w:t>
      </w:r>
      <w:r>
        <w:rPr>
          <w:rFonts w:hint="eastAsia" w:ascii="宋体" w:hAnsi="宋体" w:cs="宋体"/>
          <w:sz w:val="21"/>
          <w:szCs w:val="21"/>
        </w:rPr>
        <w:t>元)。</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3、合同合计金额应包含完成本项工作所需的人工、材料、器材、管理、维护、保险、利润、税金、通讯器材、办公设备、政策性文件规定及合同包含的所有风险、责任等各项应有费用。</w:t>
      </w:r>
    </w:p>
    <w:p>
      <w:pPr>
        <w:snapToGrid w:val="0"/>
        <w:spacing w:line="360" w:lineRule="auto"/>
        <w:ind w:firstLine="422" w:firstLineChars="200"/>
        <w:outlineLvl w:val="0"/>
        <w:rPr>
          <w:rFonts w:ascii="宋体" w:hAnsi="宋体" w:cs="宋体"/>
          <w:sz w:val="21"/>
          <w:szCs w:val="21"/>
        </w:rPr>
      </w:pPr>
      <w:bookmarkStart w:id="130" w:name="_Toc8064"/>
      <w:bookmarkStart w:id="131" w:name="_Toc2492"/>
      <w:bookmarkStart w:id="132" w:name="_Toc6782"/>
      <w:bookmarkStart w:id="133" w:name="_Toc18688"/>
      <w:r>
        <w:rPr>
          <w:rFonts w:hint="eastAsia" w:ascii="宋体" w:hAnsi="宋体" w:cs="宋体"/>
          <w:b/>
          <w:sz w:val="21"/>
          <w:szCs w:val="21"/>
        </w:rPr>
        <w:t>第二条　甲方责任和义务</w:t>
      </w:r>
      <w:bookmarkEnd w:id="130"/>
      <w:bookmarkEnd w:id="131"/>
      <w:bookmarkEnd w:id="132"/>
      <w:bookmarkEnd w:id="133"/>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1、负责成立工作组织机构，专人参与、协调和配合乙方开展规划编制工作。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2、负责提供规划编制工作所需的有关资料，并配合乙方做好各相关部门的资料收集及外业调查工作。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3、负责做划编制过程中的重大问题协调工作。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4、及时对乙方提交的有关成果进行审查，并提出修改完善的具体意见。</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5、负责各级审查论证会等有关会议的组织、协调工作。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6、按约定向乙方支付服务工作委托服务费。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 xml:space="preserve">7、因国家国土空间规划政策变化，国家或自治区国土空间总体规划编制计费指导意见出台后，计费标准高于本报价30%，甲方与乙方可根据工作量增加协商追加合理费用。    </w:t>
      </w:r>
    </w:p>
    <w:p>
      <w:pPr>
        <w:snapToGrid w:val="0"/>
        <w:spacing w:line="360" w:lineRule="auto"/>
        <w:ind w:firstLine="422" w:firstLineChars="200"/>
        <w:outlineLvl w:val="0"/>
        <w:rPr>
          <w:rFonts w:ascii="宋体" w:hAnsi="宋体" w:cs="宋体"/>
          <w:sz w:val="21"/>
          <w:szCs w:val="21"/>
        </w:rPr>
      </w:pPr>
      <w:bookmarkStart w:id="134" w:name="_Toc7465"/>
      <w:bookmarkStart w:id="135" w:name="_Toc24542"/>
      <w:bookmarkStart w:id="136" w:name="_Toc19188"/>
      <w:bookmarkStart w:id="137" w:name="_Toc5774"/>
      <w:r>
        <w:rPr>
          <w:rFonts w:hint="eastAsia" w:ascii="宋体" w:hAnsi="宋体" w:cs="宋体"/>
          <w:b/>
          <w:sz w:val="21"/>
          <w:szCs w:val="21"/>
        </w:rPr>
        <w:t>第三条　乙方责任和义务</w:t>
      </w:r>
      <w:bookmarkEnd w:id="134"/>
      <w:bookmarkEnd w:id="135"/>
      <w:bookmarkEnd w:id="136"/>
      <w:bookmarkEnd w:id="137"/>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1、成立专门的项目工作组，配备熟悉业务的专业技术骨干和相关技术人员，保障各项工作顺利开展。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2、开展规划编制工作，做好基础资料的收集和外业调查工作，需要甲方协助的，提前告知甲方。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3、负责完成项目编制工作。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4、按要求做好各级协调会、评审会的汇报工作，并负责根据评审论证意见，按时做好成果的修改完善。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5、按约定向甲方提交符合相关技术规程、规范及要求的规划成果。</w:t>
      </w:r>
    </w:p>
    <w:p>
      <w:pPr>
        <w:snapToGrid w:val="0"/>
        <w:spacing w:line="360" w:lineRule="auto"/>
        <w:ind w:firstLine="422" w:firstLineChars="200"/>
        <w:outlineLvl w:val="0"/>
        <w:rPr>
          <w:rFonts w:ascii="宋体" w:hAnsi="宋体" w:cs="宋体"/>
          <w:b/>
          <w:sz w:val="21"/>
          <w:szCs w:val="21"/>
        </w:rPr>
      </w:pPr>
      <w:bookmarkStart w:id="138" w:name="_Toc26071"/>
      <w:bookmarkStart w:id="139" w:name="_Toc28960"/>
      <w:bookmarkStart w:id="140" w:name="_Toc5709"/>
      <w:bookmarkStart w:id="141" w:name="_Toc19985"/>
      <w:r>
        <w:rPr>
          <w:rFonts w:hint="eastAsia" w:ascii="宋体" w:hAnsi="宋体" w:cs="宋体"/>
          <w:b/>
          <w:sz w:val="21"/>
          <w:szCs w:val="21"/>
        </w:rPr>
        <w:t>第四条　乙方提交成果内容</w:t>
      </w:r>
      <w:bookmarkEnd w:id="138"/>
      <w:bookmarkEnd w:id="139"/>
      <w:bookmarkEnd w:id="140"/>
      <w:bookmarkEnd w:id="141"/>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本合同所涉及乙方应提交的成果内容按照招标文件的相应要求。</w:t>
      </w:r>
    </w:p>
    <w:p>
      <w:pPr>
        <w:snapToGrid w:val="0"/>
        <w:spacing w:line="360" w:lineRule="auto"/>
        <w:ind w:firstLine="422" w:firstLineChars="200"/>
        <w:outlineLvl w:val="0"/>
        <w:rPr>
          <w:rFonts w:ascii="宋体" w:hAnsi="宋体" w:cs="宋体"/>
          <w:sz w:val="21"/>
          <w:szCs w:val="21"/>
        </w:rPr>
      </w:pPr>
      <w:bookmarkStart w:id="142" w:name="_Toc14260"/>
      <w:bookmarkStart w:id="143" w:name="_Toc15761"/>
      <w:bookmarkStart w:id="144" w:name="_Toc10762"/>
      <w:bookmarkStart w:id="145" w:name="_Toc5045"/>
      <w:r>
        <w:rPr>
          <w:rFonts w:hint="eastAsia" w:ascii="宋体" w:hAnsi="宋体" w:cs="宋体"/>
          <w:b/>
          <w:sz w:val="21"/>
          <w:szCs w:val="21"/>
        </w:rPr>
        <w:t>第五条　交付和验收</w:t>
      </w:r>
      <w:bookmarkEnd w:id="142"/>
      <w:bookmarkEnd w:id="143"/>
      <w:bookmarkEnd w:id="144"/>
      <w:bookmarkEnd w:id="145"/>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1、项目完成时间</w:t>
      </w:r>
      <w:r>
        <w:rPr>
          <w:rFonts w:hint="eastAsia" w:ascii="宋体" w:hAnsi="宋体" w:cs="宋体"/>
          <w:sz w:val="21"/>
          <w:szCs w:val="21"/>
          <w:u w:val="single"/>
        </w:rPr>
        <w:t xml:space="preserve">：                 </w:t>
      </w:r>
      <w:r>
        <w:rPr>
          <w:rFonts w:hint="eastAsia" w:ascii="宋体" w:hAnsi="宋体" w:cs="宋体"/>
          <w:sz w:val="21"/>
          <w:szCs w:val="21"/>
        </w:rPr>
        <w:t>地点</w:t>
      </w:r>
      <w:r>
        <w:rPr>
          <w:rFonts w:hint="eastAsia" w:ascii="宋体" w:hAnsi="宋体" w:cs="宋体"/>
          <w:sz w:val="21"/>
          <w:szCs w:val="21"/>
          <w:u w:val="single"/>
        </w:rPr>
        <w:t xml:space="preserve">：                          </w:t>
      </w:r>
      <w:r>
        <w:rPr>
          <w:rFonts w:hint="eastAsia" w:ascii="宋体" w:hAnsi="宋体" w:cs="宋体"/>
          <w:sz w:val="21"/>
          <w:szCs w:val="21"/>
        </w:rPr>
        <w:t>。</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2、乙方提供不符合招投标文件和本合同规定的服务内容，甲方有权拒绝接受。</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3、按自然资源部和自治区自然资源厅的要求提交各阶段工作成果。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4、如由于甲方未能按期提供有关数据、资料和基础图件导致项目不能按计划实施的，乙方提交成果的时间相应往后顺延。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5、如遇不可抗力原因（如自然灾害、国家和自治区法律法规及政策调整等）导致项目不能按计划实施的，乙方提交成果的时间相应往后顺延。</w:t>
      </w:r>
    </w:p>
    <w:p>
      <w:pPr>
        <w:snapToGrid w:val="0"/>
        <w:spacing w:line="360" w:lineRule="auto"/>
        <w:ind w:firstLine="422" w:firstLineChars="200"/>
        <w:outlineLvl w:val="0"/>
        <w:rPr>
          <w:rFonts w:ascii="宋体" w:hAnsi="宋体" w:cs="宋体"/>
          <w:sz w:val="21"/>
          <w:szCs w:val="21"/>
          <w:u w:val="single"/>
        </w:rPr>
      </w:pPr>
      <w:bookmarkStart w:id="146" w:name="_Toc17271"/>
      <w:bookmarkStart w:id="147" w:name="_Toc22577"/>
      <w:bookmarkStart w:id="148" w:name="_Toc26134"/>
      <w:bookmarkStart w:id="149" w:name="_Toc4553"/>
      <w:r>
        <w:rPr>
          <w:rFonts w:hint="eastAsia" w:ascii="宋体" w:hAnsi="宋体" w:cs="宋体"/>
          <w:b/>
          <w:sz w:val="21"/>
          <w:szCs w:val="21"/>
        </w:rPr>
        <w:t>第六条　付款方式和保证金</w:t>
      </w:r>
      <w:bookmarkEnd w:id="146"/>
      <w:bookmarkEnd w:id="147"/>
      <w:bookmarkEnd w:id="148"/>
      <w:bookmarkEnd w:id="149"/>
    </w:p>
    <w:p>
      <w:pPr>
        <w:pStyle w:val="14"/>
        <w:snapToGrid w:val="0"/>
        <w:spacing w:line="360" w:lineRule="auto"/>
        <w:ind w:firstLine="420" w:firstLineChars="200"/>
        <w:rPr>
          <w:rFonts w:hAnsi="宋体" w:cs="宋体"/>
          <w:sz w:val="21"/>
          <w:szCs w:val="21"/>
        </w:rPr>
      </w:pPr>
      <w:r>
        <w:rPr>
          <w:rFonts w:hint="eastAsia" w:hAnsi="宋体" w:cs="宋体"/>
          <w:bCs/>
          <w:sz w:val="21"/>
          <w:szCs w:val="21"/>
        </w:rPr>
        <w:t>1、</w:t>
      </w:r>
      <w:r>
        <w:rPr>
          <w:rFonts w:hint="eastAsia" w:hAnsi="宋体" w:cs="宋体"/>
          <w:sz w:val="21"/>
          <w:szCs w:val="21"/>
        </w:rPr>
        <w:t>资金性质：财政资金。</w:t>
      </w:r>
    </w:p>
    <w:p>
      <w:pPr>
        <w:pStyle w:val="14"/>
        <w:snapToGrid w:val="0"/>
        <w:spacing w:line="360" w:lineRule="auto"/>
        <w:ind w:firstLine="420" w:firstLineChars="200"/>
        <w:rPr>
          <w:rFonts w:hAnsi="宋体" w:cs="宋体"/>
          <w:sz w:val="21"/>
          <w:szCs w:val="21"/>
        </w:rPr>
      </w:pPr>
      <w:r>
        <w:rPr>
          <w:rFonts w:hint="eastAsia" w:hAnsi="宋体" w:cs="宋体"/>
          <w:sz w:val="21"/>
          <w:szCs w:val="21"/>
        </w:rPr>
        <w:t>2、付款方式：</w:t>
      </w:r>
    </w:p>
    <w:p>
      <w:pPr>
        <w:spacing w:after="156"/>
        <w:ind w:firstLine="560"/>
        <w:rPr>
          <w:sz w:val="21"/>
          <w:szCs w:val="21"/>
          <w:highlight w:val="none"/>
        </w:rPr>
      </w:pPr>
      <w:r>
        <w:rPr>
          <w:rFonts w:hint="eastAsia"/>
          <w:sz w:val="21"/>
          <w:szCs w:val="21"/>
        </w:rPr>
        <w:t>（1）</w:t>
      </w:r>
      <w:r>
        <w:rPr>
          <w:rFonts w:hint="eastAsia"/>
          <w:sz w:val="21"/>
          <w:szCs w:val="21"/>
          <w:highlight w:val="none"/>
        </w:rPr>
        <w:t>合同签订后10个工作日内，支付合同总价款的</w:t>
      </w:r>
      <w:r>
        <w:rPr>
          <w:rFonts w:hint="eastAsia"/>
          <w:sz w:val="21"/>
          <w:szCs w:val="21"/>
          <w:highlight w:val="none"/>
          <w:lang w:val="en-US" w:eastAsia="zh-CN"/>
        </w:rPr>
        <w:t>1</w:t>
      </w:r>
      <w:r>
        <w:rPr>
          <w:rFonts w:hint="eastAsia"/>
          <w:sz w:val="21"/>
          <w:szCs w:val="21"/>
          <w:highlight w:val="none"/>
        </w:rPr>
        <w:t>0%;</w:t>
      </w:r>
    </w:p>
    <w:p>
      <w:pPr>
        <w:spacing w:after="156"/>
        <w:ind w:firstLine="560"/>
        <w:rPr>
          <w:sz w:val="21"/>
          <w:szCs w:val="21"/>
          <w:highlight w:val="none"/>
        </w:rPr>
      </w:pPr>
      <w:r>
        <w:rPr>
          <w:rFonts w:hint="eastAsia"/>
          <w:sz w:val="21"/>
          <w:szCs w:val="21"/>
          <w:highlight w:val="none"/>
        </w:rPr>
        <w:t>（2）中标人提交规划初步成果后10个工作日内支付合同总价款的</w:t>
      </w:r>
      <w:r>
        <w:rPr>
          <w:sz w:val="21"/>
          <w:szCs w:val="21"/>
          <w:highlight w:val="none"/>
        </w:rPr>
        <w:t>3</w:t>
      </w:r>
      <w:r>
        <w:rPr>
          <w:rFonts w:hint="eastAsia"/>
          <w:sz w:val="21"/>
          <w:szCs w:val="21"/>
          <w:highlight w:val="none"/>
        </w:rPr>
        <w:t>0%;</w:t>
      </w:r>
    </w:p>
    <w:p>
      <w:pPr>
        <w:spacing w:after="156"/>
        <w:ind w:firstLine="560"/>
        <w:rPr>
          <w:sz w:val="21"/>
          <w:szCs w:val="21"/>
          <w:highlight w:val="none"/>
        </w:rPr>
      </w:pPr>
      <w:r>
        <w:rPr>
          <w:rFonts w:hint="eastAsia"/>
          <w:sz w:val="21"/>
          <w:szCs w:val="21"/>
          <w:highlight w:val="none"/>
        </w:rPr>
        <w:t>（3）中标人提交的规划成果通过专家评审后10个工作日内，支付合同总价款的</w:t>
      </w:r>
      <w:r>
        <w:rPr>
          <w:rFonts w:hint="eastAsia"/>
          <w:sz w:val="21"/>
          <w:szCs w:val="21"/>
          <w:highlight w:val="none"/>
          <w:lang w:val="en-US" w:eastAsia="zh-CN"/>
        </w:rPr>
        <w:t>4</w:t>
      </w:r>
      <w:r>
        <w:rPr>
          <w:rFonts w:hint="eastAsia"/>
          <w:sz w:val="21"/>
          <w:szCs w:val="21"/>
          <w:highlight w:val="none"/>
        </w:rPr>
        <w:t>0%;</w:t>
      </w:r>
    </w:p>
    <w:p>
      <w:pPr>
        <w:spacing w:after="156"/>
        <w:ind w:firstLine="560"/>
        <w:rPr>
          <w:sz w:val="21"/>
          <w:szCs w:val="21"/>
        </w:rPr>
      </w:pPr>
      <w:r>
        <w:rPr>
          <w:rFonts w:hint="eastAsia"/>
          <w:sz w:val="21"/>
          <w:szCs w:val="21"/>
          <w:highlight w:val="none"/>
        </w:rPr>
        <w:t>（4）中标人配合采购方取得项目批复后10个工作日内，</w:t>
      </w:r>
      <w:r>
        <w:rPr>
          <w:rFonts w:hint="eastAsia"/>
          <w:sz w:val="21"/>
          <w:szCs w:val="21"/>
        </w:rPr>
        <w:t>支付剩余合同总价款的</w:t>
      </w:r>
      <w:r>
        <w:rPr>
          <w:rFonts w:hint="eastAsia"/>
          <w:sz w:val="21"/>
          <w:szCs w:val="21"/>
          <w:lang w:val="en-US" w:eastAsia="zh-CN"/>
        </w:rPr>
        <w:t>2</w:t>
      </w:r>
      <w:r>
        <w:rPr>
          <w:rFonts w:hint="eastAsia"/>
          <w:sz w:val="21"/>
          <w:szCs w:val="21"/>
        </w:rPr>
        <w:t>0%。</w:t>
      </w:r>
    </w:p>
    <w:p>
      <w:pPr>
        <w:spacing w:after="156"/>
        <w:ind w:firstLine="560"/>
        <w:rPr>
          <w:rFonts w:ascii="宋体" w:hAnsi="宋体" w:cs="宋体"/>
          <w:sz w:val="21"/>
          <w:szCs w:val="21"/>
        </w:rPr>
      </w:pPr>
      <w:r>
        <w:rPr>
          <w:rFonts w:hint="eastAsia" w:ascii="宋体" w:hAnsi="宋体" w:cs="宋体"/>
          <w:sz w:val="21"/>
          <w:szCs w:val="21"/>
        </w:rPr>
        <w:t>（5）中标人凭以下有效文件与采购人结算:</w:t>
      </w:r>
    </w:p>
    <w:p>
      <w:pPr>
        <w:spacing w:after="156"/>
        <w:ind w:firstLine="976" w:firstLineChars="465"/>
        <w:rPr>
          <w:rFonts w:ascii="宋体" w:hAnsi="宋体" w:cs="宋体"/>
          <w:sz w:val="21"/>
          <w:szCs w:val="21"/>
        </w:rPr>
      </w:pPr>
      <w:r>
        <w:rPr>
          <w:rFonts w:hint="eastAsia" w:ascii="宋体" w:hAnsi="宋体" w:cs="宋体"/>
          <w:sz w:val="21"/>
          <w:szCs w:val="21"/>
        </w:rPr>
        <w:t>1）合同;2）中标人开具的正式发票;3）中标通知书。</w:t>
      </w:r>
    </w:p>
    <w:p>
      <w:pPr>
        <w:spacing w:after="156"/>
        <w:ind w:firstLine="560"/>
        <w:rPr>
          <w:rFonts w:ascii="宋体" w:hAnsi="宋体" w:cs="宋体"/>
          <w:sz w:val="21"/>
          <w:szCs w:val="21"/>
        </w:rPr>
      </w:pPr>
      <w:r>
        <w:rPr>
          <w:rFonts w:hint="eastAsia" w:ascii="宋体" w:hAnsi="宋体" w:cs="宋体"/>
          <w:sz w:val="21"/>
          <w:szCs w:val="21"/>
        </w:rPr>
        <w:t>（6）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napToGrid w:val="0"/>
        <w:spacing w:line="360" w:lineRule="auto"/>
        <w:ind w:firstLine="422" w:firstLineChars="200"/>
        <w:rPr>
          <w:rFonts w:ascii="宋体" w:hAnsi="宋体" w:cs="宋体"/>
          <w:sz w:val="21"/>
          <w:szCs w:val="21"/>
        </w:rPr>
      </w:pPr>
      <w:r>
        <w:rPr>
          <w:rFonts w:hint="eastAsia" w:ascii="宋体" w:hAnsi="宋体" w:cs="宋体"/>
          <w:b/>
          <w:sz w:val="21"/>
          <w:szCs w:val="21"/>
        </w:rPr>
        <w:t>第七条　履约保证金：</w:t>
      </w:r>
      <w:r>
        <w:rPr>
          <w:rFonts w:hint="eastAsia" w:ascii="宋体" w:hAnsi="宋体" w:cs="宋体"/>
          <w:bCs/>
          <w:sz w:val="21"/>
          <w:szCs w:val="21"/>
        </w:rPr>
        <w:t>无。</w:t>
      </w:r>
    </w:p>
    <w:p>
      <w:pPr>
        <w:pStyle w:val="14"/>
        <w:snapToGrid w:val="0"/>
        <w:spacing w:line="360" w:lineRule="auto"/>
        <w:ind w:firstLine="422" w:firstLineChars="200"/>
        <w:rPr>
          <w:rFonts w:hAnsi="宋体" w:cs="宋体"/>
          <w:b/>
          <w:sz w:val="21"/>
          <w:szCs w:val="21"/>
        </w:rPr>
      </w:pPr>
      <w:r>
        <w:rPr>
          <w:rFonts w:hint="eastAsia" w:hAnsi="宋体" w:cs="宋体"/>
          <w:b/>
          <w:sz w:val="21"/>
          <w:szCs w:val="21"/>
        </w:rPr>
        <w:t>第八条  税费</w:t>
      </w:r>
    </w:p>
    <w:p>
      <w:pPr>
        <w:snapToGrid w:val="0"/>
        <w:spacing w:line="360" w:lineRule="auto"/>
        <w:ind w:left="-61" w:firstLine="514"/>
        <w:rPr>
          <w:rFonts w:ascii="宋体" w:hAnsi="宋体" w:cs="宋体"/>
          <w:sz w:val="21"/>
          <w:szCs w:val="21"/>
        </w:rPr>
      </w:pPr>
      <w:r>
        <w:rPr>
          <w:rFonts w:hint="eastAsia" w:ascii="宋体" w:hAnsi="宋体" w:cs="宋体"/>
          <w:sz w:val="21"/>
          <w:szCs w:val="21"/>
        </w:rPr>
        <w:t>本合同执行中相关的一切税费均由乙方负担。</w:t>
      </w:r>
    </w:p>
    <w:p>
      <w:pPr>
        <w:snapToGrid w:val="0"/>
        <w:spacing w:line="360" w:lineRule="auto"/>
        <w:ind w:left="-61" w:firstLine="514"/>
        <w:rPr>
          <w:rFonts w:ascii="宋体" w:hAnsi="宋体" w:cs="宋体"/>
          <w:sz w:val="21"/>
          <w:szCs w:val="21"/>
        </w:rPr>
      </w:pPr>
      <w:r>
        <w:rPr>
          <w:rFonts w:hint="eastAsia" w:ascii="宋体" w:hAnsi="宋体" w:cs="宋体"/>
          <w:b/>
          <w:sz w:val="21"/>
          <w:szCs w:val="21"/>
        </w:rPr>
        <w:t>第九条  成果的知识产权及保密</w:t>
      </w:r>
    </w:p>
    <w:p>
      <w:pPr>
        <w:snapToGrid w:val="0"/>
        <w:spacing w:line="360" w:lineRule="auto"/>
        <w:ind w:left="-61" w:firstLine="514"/>
        <w:rPr>
          <w:rFonts w:ascii="宋体" w:hAnsi="宋体" w:cs="宋体"/>
          <w:sz w:val="21"/>
          <w:szCs w:val="21"/>
        </w:rPr>
      </w:pPr>
      <w:r>
        <w:rPr>
          <w:rFonts w:hint="eastAsia" w:ascii="宋体" w:hAnsi="宋体" w:cs="宋体"/>
          <w:sz w:val="21"/>
          <w:szCs w:val="21"/>
        </w:rPr>
        <w:t>乙方依据本合同向甲方提供的成果，其知识产权属于乙方。甲方应妥善保管上述成果，除可用于本合同约定的用途外，未经乙方同意的，不得向第三方泄露。</w:t>
      </w:r>
    </w:p>
    <w:p>
      <w:pPr>
        <w:snapToGrid w:val="0"/>
        <w:spacing w:line="360" w:lineRule="auto"/>
        <w:ind w:firstLine="422" w:firstLineChars="200"/>
        <w:rPr>
          <w:rFonts w:ascii="宋体" w:hAnsi="宋体" w:cs="宋体"/>
          <w:b/>
          <w:sz w:val="21"/>
          <w:szCs w:val="21"/>
        </w:rPr>
      </w:pPr>
      <w:r>
        <w:rPr>
          <w:rFonts w:hint="eastAsia" w:ascii="宋体" w:hAnsi="宋体" w:cs="宋体"/>
          <w:b/>
          <w:sz w:val="21"/>
          <w:szCs w:val="21"/>
        </w:rPr>
        <w:t>第十条　违约责任</w:t>
      </w:r>
    </w:p>
    <w:p>
      <w:pPr>
        <w:pStyle w:val="14"/>
        <w:snapToGrid w:val="0"/>
        <w:spacing w:line="360" w:lineRule="auto"/>
        <w:ind w:firstLine="420" w:firstLineChars="200"/>
        <w:rPr>
          <w:rFonts w:hAnsi="宋体" w:cs="宋体"/>
          <w:sz w:val="21"/>
          <w:szCs w:val="21"/>
        </w:rPr>
      </w:pPr>
      <w:r>
        <w:rPr>
          <w:rFonts w:hint="eastAsia" w:hAnsi="宋体" w:cs="宋体"/>
          <w:sz w:val="21"/>
          <w:szCs w:val="21"/>
        </w:rPr>
        <w:t>1、乙方对提供的成果质量负责，如成果因质量方面原因造成不能通过审查而发生返工的，返工的费用由乙方负责。</w:t>
      </w:r>
    </w:p>
    <w:p>
      <w:pPr>
        <w:pStyle w:val="14"/>
        <w:snapToGrid w:val="0"/>
        <w:spacing w:line="360" w:lineRule="auto"/>
        <w:ind w:firstLine="420" w:firstLineChars="200"/>
        <w:rPr>
          <w:rFonts w:hAnsi="宋体" w:cs="宋体"/>
          <w:sz w:val="21"/>
          <w:szCs w:val="21"/>
        </w:rPr>
      </w:pPr>
      <w:r>
        <w:rPr>
          <w:rFonts w:hint="eastAsia" w:hAnsi="宋体" w:cs="宋体"/>
          <w:sz w:val="21"/>
          <w:szCs w:val="21"/>
        </w:rPr>
        <w:t>2、非乙方责任造成返工的，返工的费用由甲方负责。</w:t>
      </w:r>
    </w:p>
    <w:p>
      <w:pPr>
        <w:pStyle w:val="14"/>
        <w:snapToGrid w:val="0"/>
        <w:spacing w:line="360" w:lineRule="auto"/>
        <w:ind w:firstLine="420" w:firstLineChars="200"/>
        <w:rPr>
          <w:rFonts w:hAnsi="宋体" w:cs="宋体"/>
          <w:sz w:val="21"/>
          <w:szCs w:val="21"/>
        </w:rPr>
      </w:pPr>
      <w:r>
        <w:rPr>
          <w:rFonts w:hint="eastAsia" w:hAnsi="宋体" w:cs="宋体"/>
          <w:sz w:val="21"/>
          <w:szCs w:val="21"/>
        </w:rPr>
        <w:t>3、因乙方原因未能按照约定期限完成相关工作，每延期一天按合同总金额的万分之五支付违约金，直至工作全部完成为止。</w:t>
      </w:r>
    </w:p>
    <w:p>
      <w:pPr>
        <w:pStyle w:val="14"/>
        <w:snapToGrid w:val="0"/>
        <w:spacing w:line="360" w:lineRule="auto"/>
        <w:ind w:firstLine="420" w:firstLineChars="200"/>
        <w:rPr>
          <w:rFonts w:hAnsi="宋体" w:cs="宋体"/>
          <w:sz w:val="21"/>
          <w:szCs w:val="21"/>
        </w:rPr>
      </w:pPr>
      <w:r>
        <w:rPr>
          <w:rFonts w:hint="eastAsia" w:hAnsi="宋体" w:cs="宋体"/>
          <w:sz w:val="21"/>
          <w:szCs w:val="21"/>
        </w:rPr>
        <w:t>4、甲方未按照合同约定支付委托服务费，每延期一天，按应付未付款的万分之五向乙方支付违约金。</w:t>
      </w:r>
    </w:p>
    <w:p>
      <w:pPr>
        <w:pStyle w:val="14"/>
        <w:snapToGrid w:val="0"/>
        <w:spacing w:line="360" w:lineRule="auto"/>
        <w:ind w:firstLine="420" w:firstLineChars="200"/>
        <w:rPr>
          <w:rFonts w:hAnsi="宋体" w:cs="宋体"/>
          <w:sz w:val="21"/>
          <w:szCs w:val="21"/>
        </w:rPr>
      </w:pPr>
      <w:r>
        <w:rPr>
          <w:rFonts w:hint="eastAsia" w:hAnsi="宋体" w:cs="宋体"/>
          <w:sz w:val="21"/>
          <w:szCs w:val="21"/>
        </w:rPr>
        <w:t>5、任何一方不按约定履行本合同，给对方造成损失的，应赔偿对方相应的损失。</w:t>
      </w:r>
    </w:p>
    <w:p>
      <w:pPr>
        <w:pStyle w:val="14"/>
        <w:snapToGrid w:val="0"/>
        <w:spacing w:line="360" w:lineRule="auto"/>
        <w:ind w:firstLine="413" w:firstLineChars="196"/>
        <w:rPr>
          <w:rFonts w:hAnsi="宋体" w:cs="宋体"/>
          <w:b/>
          <w:sz w:val="21"/>
          <w:szCs w:val="21"/>
        </w:rPr>
      </w:pPr>
      <w:r>
        <w:rPr>
          <w:rFonts w:hint="eastAsia" w:hAnsi="宋体" w:cs="宋体"/>
          <w:b/>
          <w:sz w:val="21"/>
          <w:szCs w:val="21"/>
        </w:rPr>
        <w:t>第十一条  不可抗力事件处理</w:t>
      </w:r>
    </w:p>
    <w:p>
      <w:pPr>
        <w:pStyle w:val="14"/>
        <w:snapToGrid w:val="0"/>
        <w:spacing w:line="360" w:lineRule="auto"/>
        <w:ind w:firstLine="420" w:firstLineChars="200"/>
        <w:rPr>
          <w:rFonts w:hAnsi="宋体" w:cs="宋体"/>
          <w:sz w:val="21"/>
          <w:szCs w:val="21"/>
        </w:rPr>
      </w:pPr>
      <w:r>
        <w:rPr>
          <w:rFonts w:hint="eastAsia" w:hAnsi="宋体" w:cs="宋体"/>
          <w:sz w:val="21"/>
          <w:szCs w:val="21"/>
        </w:rPr>
        <w:t>1、 在合同有效期内，任何一方因不可抗力事件导致不能履行合同，则合同履行期可延长，其延长期与不可抗力影响期相同。</w:t>
      </w:r>
    </w:p>
    <w:p>
      <w:pPr>
        <w:pStyle w:val="14"/>
        <w:snapToGrid w:val="0"/>
        <w:spacing w:line="360" w:lineRule="auto"/>
        <w:ind w:firstLine="420" w:firstLineChars="200"/>
        <w:rPr>
          <w:rFonts w:hAnsi="宋体" w:cs="宋体"/>
          <w:sz w:val="21"/>
          <w:szCs w:val="21"/>
        </w:rPr>
      </w:pPr>
      <w:r>
        <w:rPr>
          <w:rFonts w:hint="eastAsia" w:hAnsi="宋体" w:cs="宋体"/>
          <w:sz w:val="21"/>
          <w:szCs w:val="21"/>
        </w:rPr>
        <w:t>2、 不可抗力事件发生后，应立即通知对方，并寄送有关权威机构出具的证明。</w:t>
      </w:r>
    </w:p>
    <w:p>
      <w:pPr>
        <w:pStyle w:val="14"/>
        <w:snapToGrid w:val="0"/>
        <w:spacing w:line="360" w:lineRule="auto"/>
        <w:ind w:firstLine="420" w:firstLineChars="200"/>
        <w:rPr>
          <w:rFonts w:hAnsi="宋体" w:cs="宋体"/>
          <w:sz w:val="21"/>
          <w:szCs w:val="21"/>
        </w:rPr>
      </w:pPr>
      <w:r>
        <w:rPr>
          <w:rFonts w:hint="eastAsia" w:hAnsi="宋体" w:cs="宋体"/>
          <w:sz w:val="21"/>
          <w:szCs w:val="21"/>
        </w:rPr>
        <w:t>3、 不可抗力事件延续一百二十天以上，双方应通过友好协商，确定是否继续履行合同。</w:t>
      </w:r>
    </w:p>
    <w:p>
      <w:pPr>
        <w:snapToGrid w:val="0"/>
        <w:spacing w:line="360" w:lineRule="auto"/>
        <w:ind w:firstLine="422" w:firstLineChars="200"/>
        <w:rPr>
          <w:rFonts w:ascii="宋体" w:hAnsi="宋体" w:cs="宋体"/>
          <w:sz w:val="21"/>
          <w:szCs w:val="21"/>
        </w:rPr>
      </w:pPr>
      <w:r>
        <w:rPr>
          <w:rFonts w:hint="eastAsia" w:ascii="宋体" w:hAnsi="宋体" w:cs="宋体"/>
          <w:b/>
          <w:sz w:val="21"/>
          <w:szCs w:val="21"/>
        </w:rPr>
        <w:t>第十二条  合同争议解决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 因履行本合同引起的或与本合同有关的争议，甲乙双方应首先通过友好协商解决，如果协商不能解决，可向仲裁委员会申请仲裁或向人民法院提起诉讼。</w:t>
      </w:r>
    </w:p>
    <w:p>
      <w:pPr>
        <w:snapToGrid w:val="0"/>
        <w:spacing w:line="360" w:lineRule="auto"/>
        <w:ind w:left="-61" w:firstLine="514"/>
        <w:rPr>
          <w:rFonts w:ascii="宋体" w:hAnsi="宋体" w:cs="宋体"/>
          <w:sz w:val="21"/>
          <w:szCs w:val="21"/>
        </w:rPr>
      </w:pPr>
      <w:r>
        <w:rPr>
          <w:rFonts w:hint="eastAsia" w:ascii="宋体" w:hAnsi="宋体" w:cs="宋体"/>
          <w:sz w:val="21"/>
          <w:szCs w:val="21"/>
        </w:rPr>
        <w:t>2、 诉讼期间，本合同继续履行。</w:t>
      </w:r>
    </w:p>
    <w:p>
      <w:pPr>
        <w:pStyle w:val="14"/>
        <w:snapToGrid w:val="0"/>
        <w:spacing w:line="360" w:lineRule="auto"/>
        <w:ind w:firstLine="413" w:firstLineChars="196"/>
        <w:rPr>
          <w:rFonts w:hAnsi="宋体" w:cs="宋体"/>
          <w:b/>
          <w:sz w:val="21"/>
          <w:szCs w:val="21"/>
        </w:rPr>
      </w:pPr>
      <w:r>
        <w:rPr>
          <w:rFonts w:hint="eastAsia" w:hAnsi="宋体" w:cs="宋体"/>
          <w:b/>
          <w:sz w:val="21"/>
          <w:szCs w:val="21"/>
        </w:rPr>
        <w:t>第十三条  诉讼</w:t>
      </w:r>
    </w:p>
    <w:p>
      <w:pPr>
        <w:snapToGrid w:val="0"/>
        <w:spacing w:line="360" w:lineRule="auto"/>
        <w:ind w:left="-61" w:firstLine="514"/>
        <w:rPr>
          <w:rFonts w:ascii="宋体" w:hAnsi="宋体" w:cs="宋体"/>
          <w:sz w:val="21"/>
          <w:szCs w:val="21"/>
        </w:rPr>
      </w:pPr>
      <w:r>
        <w:rPr>
          <w:rFonts w:hint="eastAsia" w:ascii="宋体" w:hAnsi="宋体" w:cs="宋体"/>
          <w:sz w:val="21"/>
          <w:szCs w:val="21"/>
        </w:rPr>
        <w:t>双方在执行合同中所发生的一切争议，应通过协商解决。如协商不能解决，可向仲裁委员会申请仲裁或向人民法院提起诉讼。</w:t>
      </w:r>
    </w:p>
    <w:p>
      <w:pPr>
        <w:pStyle w:val="14"/>
        <w:snapToGrid w:val="0"/>
        <w:spacing w:line="360" w:lineRule="auto"/>
        <w:ind w:firstLine="413" w:firstLineChars="196"/>
        <w:rPr>
          <w:rFonts w:hAnsi="宋体" w:cs="宋体"/>
          <w:b/>
          <w:sz w:val="21"/>
          <w:szCs w:val="21"/>
        </w:rPr>
      </w:pPr>
      <w:r>
        <w:rPr>
          <w:rFonts w:hint="eastAsia" w:hAnsi="宋体" w:cs="宋体"/>
          <w:b/>
          <w:sz w:val="21"/>
          <w:szCs w:val="21"/>
        </w:rPr>
        <w:t>第十四条  合同生效及其它</w:t>
      </w:r>
    </w:p>
    <w:p>
      <w:pPr>
        <w:snapToGrid w:val="0"/>
        <w:spacing w:line="360" w:lineRule="auto"/>
        <w:ind w:left="-61" w:firstLine="514"/>
        <w:rPr>
          <w:rFonts w:ascii="宋体" w:hAnsi="宋体" w:cs="宋体"/>
          <w:sz w:val="21"/>
          <w:szCs w:val="21"/>
        </w:rPr>
      </w:pPr>
      <w:r>
        <w:rPr>
          <w:rFonts w:hint="eastAsia" w:ascii="宋体" w:hAnsi="宋体" w:cs="宋体"/>
          <w:sz w:val="21"/>
          <w:szCs w:val="21"/>
        </w:rPr>
        <w:t>1、 合同经双方法定代表人或被授权代表签字并加盖单位公章后生效。</w:t>
      </w:r>
    </w:p>
    <w:p>
      <w:pPr>
        <w:snapToGrid w:val="0"/>
        <w:spacing w:line="360" w:lineRule="auto"/>
        <w:ind w:left="-61" w:firstLine="514"/>
        <w:rPr>
          <w:rFonts w:ascii="宋体" w:hAnsi="宋体" w:cs="宋体"/>
          <w:sz w:val="21"/>
          <w:szCs w:val="21"/>
        </w:rPr>
      </w:pPr>
      <w:r>
        <w:rPr>
          <w:rFonts w:hint="eastAsia" w:ascii="宋体" w:hAnsi="宋体" w:cs="宋体"/>
          <w:sz w:val="21"/>
          <w:szCs w:val="21"/>
        </w:rPr>
        <w:t>2、本合同未尽事宜，遵照《合同法》有关条文执行。</w:t>
      </w:r>
    </w:p>
    <w:p>
      <w:pPr>
        <w:snapToGrid w:val="0"/>
        <w:spacing w:line="360" w:lineRule="auto"/>
        <w:ind w:firstLine="422" w:firstLineChars="200"/>
        <w:rPr>
          <w:rFonts w:ascii="宋体" w:hAnsi="宋体" w:cs="宋体"/>
          <w:b/>
          <w:sz w:val="21"/>
          <w:szCs w:val="21"/>
        </w:rPr>
      </w:pPr>
      <w:r>
        <w:rPr>
          <w:rFonts w:hint="eastAsia" w:ascii="宋体" w:hAnsi="宋体" w:cs="宋体"/>
          <w:b/>
          <w:sz w:val="21"/>
          <w:szCs w:val="21"/>
        </w:rPr>
        <w:t>第十五条　合同的变更、终止与转让</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 除《中华人民共和国政府采购法》第五十条规定的情形外，本合同一经签订，甲乙双方不得擅自变更、中止或终止。</w:t>
      </w:r>
    </w:p>
    <w:p>
      <w:pPr>
        <w:snapToGrid w:val="0"/>
        <w:spacing w:line="360" w:lineRule="auto"/>
        <w:ind w:left="-61" w:firstLine="514"/>
        <w:rPr>
          <w:rFonts w:ascii="宋体" w:hAnsi="宋体" w:cs="宋体"/>
          <w:sz w:val="21"/>
          <w:szCs w:val="21"/>
        </w:rPr>
      </w:pPr>
      <w:r>
        <w:rPr>
          <w:rFonts w:hint="eastAsia" w:ascii="宋体" w:hAnsi="宋体" w:cs="宋体"/>
          <w:sz w:val="21"/>
          <w:szCs w:val="21"/>
        </w:rPr>
        <w:t>2、 乙方不得擅自转让（无进口资格的中标人委托进口货物除外）其应履行的合同义务。</w:t>
      </w:r>
    </w:p>
    <w:p>
      <w:pPr>
        <w:snapToGrid w:val="0"/>
        <w:spacing w:line="360" w:lineRule="auto"/>
        <w:ind w:left="-61" w:firstLine="514"/>
        <w:rPr>
          <w:rFonts w:ascii="宋体" w:hAnsi="宋体" w:cs="宋体"/>
          <w:sz w:val="21"/>
          <w:szCs w:val="21"/>
        </w:rPr>
      </w:pPr>
      <w:r>
        <w:rPr>
          <w:rFonts w:hint="eastAsia" w:ascii="宋体" w:hAnsi="宋体" w:cs="宋体"/>
          <w:sz w:val="21"/>
          <w:szCs w:val="21"/>
        </w:rPr>
        <w:t>3、合同经双方法定代表人或授权代表签字并加盖单位公章后生效。</w:t>
      </w:r>
    </w:p>
    <w:p>
      <w:pPr>
        <w:snapToGrid w:val="0"/>
        <w:spacing w:line="360" w:lineRule="auto"/>
        <w:ind w:left="-61" w:firstLine="514"/>
        <w:rPr>
          <w:rFonts w:ascii="宋体" w:hAnsi="宋体" w:cs="宋体"/>
          <w:sz w:val="21"/>
          <w:szCs w:val="21"/>
        </w:rPr>
      </w:pPr>
      <w:r>
        <w:rPr>
          <w:rFonts w:hint="eastAsia" w:ascii="宋体" w:hAnsi="宋体" w:cs="宋体"/>
          <w:sz w:val="21"/>
          <w:szCs w:val="21"/>
        </w:rPr>
        <w:t>4、合同执行中涉及采购资金和采购内容修改或补充的，须经财政部门审批，并签书面补充协议报财政部门备案，方可作为主合同不可分割的一部分。</w:t>
      </w:r>
    </w:p>
    <w:p>
      <w:pPr>
        <w:snapToGrid w:val="0"/>
        <w:spacing w:line="360" w:lineRule="auto"/>
        <w:ind w:left="-61" w:firstLine="514"/>
        <w:rPr>
          <w:rFonts w:ascii="宋体" w:hAnsi="宋体" w:cs="宋体"/>
          <w:sz w:val="21"/>
          <w:szCs w:val="21"/>
        </w:rPr>
      </w:pPr>
      <w:r>
        <w:rPr>
          <w:rFonts w:hint="eastAsia" w:ascii="宋体" w:hAnsi="宋体" w:cs="宋体"/>
          <w:sz w:val="21"/>
          <w:szCs w:val="21"/>
        </w:rPr>
        <w:t>5、本合同未尽事宜，遵照《合同法》有关条文执行。</w:t>
      </w:r>
    </w:p>
    <w:p>
      <w:pPr>
        <w:snapToGrid w:val="0"/>
        <w:spacing w:line="360" w:lineRule="auto"/>
        <w:ind w:firstLine="422" w:firstLineChars="200"/>
        <w:rPr>
          <w:rFonts w:ascii="宋体" w:hAnsi="宋体" w:cs="宋体"/>
          <w:b/>
          <w:sz w:val="21"/>
          <w:szCs w:val="21"/>
        </w:rPr>
      </w:pPr>
      <w:r>
        <w:rPr>
          <w:rFonts w:hint="eastAsia" w:ascii="宋体" w:hAnsi="宋体" w:cs="宋体"/>
          <w:b/>
          <w:sz w:val="21"/>
          <w:szCs w:val="21"/>
        </w:rPr>
        <w:t>第十六条　签订本合同依据</w:t>
      </w:r>
    </w:p>
    <w:p>
      <w:pPr>
        <w:snapToGrid w:val="0"/>
        <w:spacing w:line="360" w:lineRule="auto"/>
        <w:ind w:left="-61" w:firstLine="514"/>
        <w:rPr>
          <w:rFonts w:ascii="宋体" w:hAnsi="宋体" w:cs="宋体"/>
          <w:sz w:val="21"/>
          <w:szCs w:val="21"/>
        </w:rPr>
      </w:pPr>
      <w:r>
        <w:rPr>
          <w:rFonts w:hint="eastAsia" w:ascii="宋体" w:hAnsi="宋体" w:cs="宋体"/>
          <w:sz w:val="21"/>
          <w:szCs w:val="21"/>
        </w:rPr>
        <w:t>1、 政府采购招标文件；</w:t>
      </w:r>
    </w:p>
    <w:p>
      <w:pPr>
        <w:snapToGrid w:val="0"/>
        <w:spacing w:line="360" w:lineRule="auto"/>
        <w:ind w:left="-61" w:firstLine="514"/>
        <w:rPr>
          <w:rFonts w:ascii="宋体" w:hAnsi="宋体" w:cs="宋体"/>
          <w:sz w:val="21"/>
          <w:szCs w:val="21"/>
        </w:rPr>
      </w:pPr>
      <w:r>
        <w:rPr>
          <w:rFonts w:hint="eastAsia" w:ascii="宋体" w:hAnsi="宋体" w:cs="宋体"/>
          <w:sz w:val="21"/>
          <w:szCs w:val="21"/>
        </w:rPr>
        <w:t>2、 乙方提供的采购投标（或应答）文件；</w:t>
      </w:r>
    </w:p>
    <w:p>
      <w:pPr>
        <w:snapToGrid w:val="0"/>
        <w:spacing w:line="360" w:lineRule="auto"/>
        <w:ind w:left="-61" w:firstLine="514"/>
        <w:rPr>
          <w:rFonts w:ascii="宋体" w:hAnsi="宋体" w:cs="宋体"/>
          <w:sz w:val="21"/>
          <w:szCs w:val="21"/>
        </w:rPr>
      </w:pPr>
      <w:r>
        <w:rPr>
          <w:rFonts w:hint="eastAsia" w:ascii="宋体" w:hAnsi="宋体" w:cs="宋体"/>
          <w:sz w:val="21"/>
          <w:szCs w:val="21"/>
        </w:rPr>
        <w:t>3、 投标承诺书；</w:t>
      </w:r>
    </w:p>
    <w:p>
      <w:pPr>
        <w:snapToGrid w:val="0"/>
        <w:spacing w:line="360" w:lineRule="auto"/>
        <w:ind w:left="-61" w:firstLine="514"/>
        <w:rPr>
          <w:rFonts w:ascii="宋体" w:hAnsi="宋体" w:cs="宋体"/>
          <w:sz w:val="21"/>
          <w:szCs w:val="21"/>
        </w:rPr>
      </w:pPr>
      <w:r>
        <w:rPr>
          <w:rFonts w:hint="eastAsia" w:ascii="宋体" w:hAnsi="宋体" w:cs="宋体"/>
          <w:sz w:val="21"/>
          <w:szCs w:val="21"/>
        </w:rPr>
        <w:t>4、 中标或成交通知书。</w:t>
      </w:r>
    </w:p>
    <w:p>
      <w:pPr>
        <w:snapToGrid w:val="0"/>
        <w:spacing w:line="360" w:lineRule="auto"/>
        <w:ind w:firstLine="422" w:firstLineChars="200"/>
        <w:rPr>
          <w:rFonts w:ascii="宋体" w:hAnsi="宋体" w:cs="宋体"/>
          <w:sz w:val="21"/>
          <w:szCs w:val="21"/>
        </w:rPr>
      </w:pPr>
      <w:r>
        <w:rPr>
          <w:rFonts w:hint="eastAsia" w:ascii="宋体" w:hAnsi="宋体" w:cs="宋体"/>
          <w:b/>
          <w:sz w:val="21"/>
          <w:szCs w:val="21"/>
        </w:rPr>
        <w:t>第十七条　</w:t>
      </w:r>
      <w:r>
        <w:rPr>
          <w:rFonts w:hint="eastAsia" w:ascii="宋体" w:hAnsi="宋体" w:cs="宋体"/>
          <w:sz w:val="21"/>
          <w:szCs w:val="21"/>
        </w:rPr>
        <w:t>本合同一式捌份，具有同等法律效力，财政部门（政府采购监管部门）、采购代理机构各一份，甲方执五份，乙方执五份。</w:t>
      </w:r>
    </w:p>
    <w:p>
      <w:pPr>
        <w:snapToGrid w:val="0"/>
        <w:spacing w:line="360" w:lineRule="auto"/>
        <w:ind w:left="-61" w:firstLine="514"/>
        <w:rPr>
          <w:rFonts w:ascii="宋体" w:hAnsi="宋体" w:cs="宋体"/>
          <w:sz w:val="21"/>
          <w:szCs w:val="21"/>
        </w:rPr>
      </w:pPr>
      <w:r>
        <w:rPr>
          <w:rFonts w:hint="eastAsia" w:ascii="宋体" w:hAnsi="宋体" w:cs="宋体"/>
          <w:sz w:val="21"/>
          <w:szCs w:val="21"/>
        </w:rPr>
        <w:t>本合同甲乙双方签字盖章后生效，自签订之日起七个工作日内，采购人或采购代理机构应当将合同副本报同级财政部门备案。</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甲方（章）</w:t>
            </w:r>
          </w:p>
          <w:p>
            <w:pPr>
              <w:snapToGrid w:val="0"/>
              <w:spacing w:line="500" w:lineRule="exact"/>
              <w:rPr>
                <w:rFonts w:ascii="宋体" w:hAnsi="宋体" w:cs="宋体"/>
                <w:sz w:val="21"/>
                <w:szCs w:val="21"/>
              </w:rPr>
            </w:pPr>
          </w:p>
          <w:p>
            <w:pPr>
              <w:snapToGrid w:val="0"/>
              <w:spacing w:line="500" w:lineRule="exact"/>
              <w:ind w:firstLine="945" w:firstLineChars="450"/>
              <w:jc w:val="right"/>
              <w:rPr>
                <w:rFonts w:ascii="宋体" w:hAnsi="宋体" w:cs="宋体"/>
                <w:sz w:val="21"/>
                <w:szCs w:val="21"/>
              </w:rPr>
            </w:pPr>
            <w:r>
              <w:rPr>
                <w:rFonts w:hint="eastAsia" w:ascii="宋体" w:hAnsi="宋体" w:cs="宋体"/>
                <w:sz w:val="21"/>
                <w:szCs w:val="21"/>
              </w:rPr>
              <w:t>年   月   日</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乙方（章）</w:t>
            </w:r>
          </w:p>
          <w:p>
            <w:pPr>
              <w:snapToGrid w:val="0"/>
              <w:spacing w:line="500" w:lineRule="exact"/>
              <w:rPr>
                <w:rFonts w:ascii="宋体" w:hAnsi="宋体" w:cs="宋体"/>
                <w:sz w:val="21"/>
                <w:szCs w:val="21"/>
              </w:rPr>
            </w:pPr>
          </w:p>
          <w:p>
            <w:pPr>
              <w:snapToGrid w:val="0"/>
              <w:spacing w:line="500" w:lineRule="exact"/>
              <w:jc w:val="right"/>
              <w:rPr>
                <w:rFonts w:ascii="宋体" w:hAnsi="宋体" w:cs="宋体"/>
                <w:sz w:val="21"/>
                <w:szCs w:val="21"/>
              </w:rPr>
            </w:pPr>
            <w:r>
              <w:rPr>
                <w:rFonts w:hint="eastAsia" w:ascii="宋体" w:hAnsi="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单位地址：</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法定代表人（负责人）：</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委托代理人：</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电话：</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电子邮箱：</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开户银行：</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账号：</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500" w:lineRule="exact"/>
              <w:rPr>
                <w:rFonts w:ascii="宋体" w:hAnsi="宋体" w:cs="宋体"/>
                <w:sz w:val="21"/>
                <w:szCs w:val="21"/>
              </w:rPr>
            </w:pPr>
            <w:r>
              <w:rPr>
                <w:rFonts w:hint="eastAsia" w:ascii="宋体" w:hAnsi="宋体" w:cs="宋体"/>
                <w:sz w:val="21"/>
                <w:szCs w:val="21"/>
              </w:rPr>
              <w:t>邮政编码：</w:t>
            </w:r>
          </w:p>
        </w:tc>
        <w:tc>
          <w:tcPr>
            <w:tcW w:w="4517" w:type="dxa"/>
            <w:vAlign w:val="center"/>
          </w:tcPr>
          <w:p>
            <w:pPr>
              <w:snapToGrid w:val="0"/>
              <w:spacing w:line="500" w:lineRule="exact"/>
              <w:rPr>
                <w:rFonts w:ascii="宋体" w:hAnsi="宋体" w:cs="宋体"/>
                <w:sz w:val="21"/>
                <w:szCs w:val="21"/>
              </w:rPr>
            </w:pPr>
            <w:r>
              <w:rPr>
                <w:rFonts w:hint="eastAsia" w:ascii="宋体" w:hAnsi="宋体" w:cs="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9033" w:type="dxa"/>
            <w:gridSpan w:val="2"/>
            <w:vAlign w:val="center"/>
          </w:tcPr>
          <w:p>
            <w:pPr>
              <w:snapToGrid w:val="0"/>
              <w:spacing w:line="500" w:lineRule="exact"/>
              <w:rPr>
                <w:rFonts w:ascii="宋体" w:hAnsi="宋体" w:cs="宋体"/>
                <w:sz w:val="21"/>
                <w:szCs w:val="21"/>
              </w:rPr>
            </w:pPr>
            <w:r>
              <w:rPr>
                <w:rFonts w:hint="eastAsia" w:ascii="宋体" w:hAnsi="宋体" w:cs="宋体"/>
                <w:sz w:val="21"/>
                <w:szCs w:val="21"/>
              </w:rPr>
              <w:t>经办人：</w:t>
            </w:r>
          </w:p>
          <w:p>
            <w:pPr>
              <w:snapToGrid w:val="0"/>
              <w:spacing w:line="500" w:lineRule="exact"/>
              <w:rPr>
                <w:rFonts w:ascii="宋体" w:hAnsi="宋体" w:cs="宋体"/>
                <w:sz w:val="21"/>
                <w:szCs w:val="21"/>
              </w:rPr>
            </w:pPr>
          </w:p>
          <w:p>
            <w:pPr>
              <w:snapToGrid w:val="0"/>
              <w:spacing w:line="500" w:lineRule="exact"/>
              <w:ind w:firstLine="630" w:firstLineChars="300"/>
              <w:jc w:val="right"/>
              <w:rPr>
                <w:rFonts w:ascii="宋体" w:hAnsi="宋体" w:cs="宋体"/>
                <w:sz w:val="21"/>
                <w:szCs w:val="21"/>
              </w:rPr>
            </w:pPr>
            <w:r>
              <w:rPr>
                <w:rFonts w:hint="eastAsia" w:ascii="宋体" w:hAnsi="宋体" w:cs="宋体"/>
                <w:sz w:val="21"/>
                <w:szCs w:val="21"/>
              </w:rPr>
              <w:t>年    月    日</w:t>
            </w:r>
          </w:p>
        </w:tc>
      </w:tr>
    </w:tbl>
    <w:p>
      <w:pPr>
        <w:snapToGrid w:val="0"/>
        <w:ind w:left="420" w:hanging="420" w:hangingChars="200"/>
        <w:rPr>
          <w:rFonts w:ascii="宋体" w:hAnsi="宋体" w:cs="宋体"/>
          <w:sz w:val="21"/>
          <w:szCs w:val="21"/>
        </w:rPr>
      </w:pPr>
    </w:p>
    <w:p>
      <w:pPr>
        <w:pStyle w:val="14"/>
        <w:spacing w:line="600" w:lineRule="exact"/>
        <w:jc w:val="center"/>
        <w:rPr>
          <w:rFonts w:hAnsi="宋体" w:cs="宋体"/>
          <w:b/>
          <w:sz w:val="21"/>
          <w:szCs w:val="21"/>
        </w:rPr>
        <w:sectPr>
          <w:footerReference r:id="rId10" w:type="default"/>
          <w:pgSz w:w="11906" w:h="16838"/>
          <w:pgMar w:top="1418" w:right="1020" w:bottom="1418" w:left="1020" w:header="720" w:footer="720" w:gutter="0"/>
          <w:pgNumType w:start="1"/>
          <w:cols w:space="720" w:num="1"/>
          <w:docGrid w:type="lines" w:linePitch="331" w:charSpace="0"/>
        </w:sectPr>
      </w:pPr>
    </w:p>
    <w:p>
      <w:pPr>
        <w:pStyle w:val="14"/>
        <w:spacing w:line="600" w:lineRule="exact"/>
        <w:jc w:val="center"/>
        <w:outlineLvl w:val="0"/>
        <w:rPr>
          <w:rFonts w:hAnsi="宋体" w:cs="宋体"/>
          <w:b/>
          <w:sz w:val="32"/>
          <w:szCs w:val="32"/>
        </w:rPr>
      </w:pPr>
      <w:bookmarkStart w:id="150" w:name="_Toc22904"/>
      <w:bookmarkStart w:id="151" w:name="_Toc19704"/>
      <w:bookmarkStart w:id="152" w:name="_Toc31929"/>
      <w:bookmarkStart w:id="153" w:name="_Toc8945"/>
      <w:r>
        <w:rPr>
          <w:rFonts w:hint="eastAsia" w:hAnsi="宋体" w:cs="宋体"/>
          <w:b/>
          <w:sz w:val="32"/>
          <w:szCs w:val="32"/>
        </w:rPr>
        <w:t>第六章  质疑材料格式</w:t>
      </w:r>
      <w:bookmarkEnd w:id="150"/>
      <w:bookmarkEnd w:id="151"/>
      <w:bookmarkEnd w:id="152"/>
      <w:bookmarkEnd w:id="153"/>
    </w:p>
    <w:p>
      <w:pPr>
        <w:pStyle w:val="14"/>
        <w:jc w:val="center"/>
        <w:rPr>
          <w:rFonts w:hAnsi="宋体" w:cs="宋体"/>
          <w:sz w:val="21"/>
          <w:szCs w:val="21"/>
        </w:rPr>
      </w:pPr>
    </w:p>
    <w:p>
      <w:pPr>
        <w:pStyle w:val="14"/>
        <w:jc w:val="center"/>
        <w:outlineLvl w:val="0"/>
        <w:rPr>
          <w:rFonts w:hAnsi="宋体" w:cs="宋体"/>
          <w:b/>
          <w:bCs/>
          <w:sz w:val="21"/>
          <w:szCs w:val="21"/>
        </w:rPr>
      </w:pPr>
      <w:bookmarkStart w:id="154" w:name="_Toc25245"/>
      <w:bookmarkStart w:id="155" w:name="_Toc29139"/>
      <w:bookmarkStart w:id="156" w:name="_Toc29703"/>
      <w:bookmarkStart w:id="157" w:name="_Toc26961"/>
      <w:r>
        <w:rPr>
          <w:rFonts w:hint="eastAsia" w:hAnsi="宋体" w:cs="宋体"/>
          <w:b/>
          <w:bCs/>
          <w:sz w:val="21"/>
          <w:szCs w:val="21"/>
        </w:rPr>
        <w:t>质疑函（格式）</w:t>
      </w:r>
      <w:bookmarkEnd w:id="154"/>
      <w:bookmarkEnd w:id="155"/>
      <w:bookmarkEnd w:id="156"/>
      <w:bookmarkEnd w:id="157"/>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rPr>
          <w:rFonts w:ascii="宋体" w:hAnsi="宋体" w:cs="宋体"/>
          <w:kern w:val="0"/>
          <w:sz w:val="21"/>
          <w:szCs w:val="21"/>
        </w:rPr>
      </w:pPr>
    </w:p>
    <w:p>
      <w:pPr>
        <w:pStyle w:val="14"/>
        <w:outlineLvl w:val="0"/>
        <w:rPr>
          <w:rFonts w:hAnsi="宋体" w:cs="宋体"/>
          <w:sz w:val="21"/>
          <w:szCs w:val="21"/>
        </w:rPr>
      </w:pPr>
      <w:bookmarkStart w:id="158" w:name="_Toc31274"/>
      <w:bookmarkStart w:id="159" w:name="_Toc22011"/>
      <w:bookmarkStart w:id="160" w:name="_Toc5714"/>
      <w:bookmarkStart w:id="161" w:name="_Toc32461"/>
      <w:r>
        <w:rPr>
          <w:rFonts w:hint="eastAsia" w:hAnsi="宋体" w:cs="宋体"/>
          <w:sz w:val="21"/>
          <w:szCs w:val="21"/>
        </w:rPr>
        <w:t>一、质疑供应商基本信息</w:t>
      </w:r>
      <w:bookmarkEnd w:id="158"/>
      <w:bookmarkEnd w:id="159"/>
      <w:bookmarkEnd w:id="160"/>
      <w:bookmarkEnd w:id="161"/>
    </w:p>
    <w:p>
      <w:pPr>
        <w:pStyle w:val="14"/>
        <w:rPr>
          <w:rFonts w:hAnsi="宋体" w:cs="宋体"/>
          <w:sz w:val="21"/>
          <w:szCs w:val="21"/>
        </w:rPr>
      </w:pPr>
      <w:r>
        <w:rPr>
          <w:rFonts w:hint="eastAsia" w:hAnsi="宋体" w:cs="宋体"/>
          <w:sz w:val="21"/>
          <w:szCs w:val="21"/>
        </w:rPr>
        <w:t>1.质疑供应商名称：</w:t>
      </w:r>
      <w:r>
        <w:rPr>
          <w:rFonts w:hint="eastAsia" w:hAnsi="宋体" w:cs="宋体"/>
          <w:sz w:val="21"/>
          <w:szCs w:val="21"/>
          <w:u w:val="single"/>
        </w:rPr>
        <w:t>            </w:t>
      </w:r>
      <w:r>
        <w:rPr>
          <w:rFonts w:hint="eastAsia" w:hAnsi="宋体" w:cs="宋体"/>
          <w:sz w:val="21"/>
          <w:szCs w:val="21"/>
        </w:rPr>
        <w:t>                    </w:t>
      </w:r>
    </w:p>
    <w:p>
      <w:pPr>
        <w:pStyle w:val="14"/>
        <w:rPr>
          <w:rFonts w:hAnsi="宋体" w:cs="宋体"/>
          <w:sz w:val="21"/>
          <w:szCs w:val="21"/>
        </w:rPr>
      </w:pPr>
      <w:r>
        <w:rPr>
          <w:rFonts w:hint="eastAsia" w:hAnsi="宋体" w:cs="宋体"/>
          <w:sz w:val="21"/>
          <w:szCs w:val="21"/>
        </w:rPr>
        <w:t>地址：</w:t>
      </w:r>
      <w:r>
        <w:rPr>
          <w:rFonts w:hint="eastAsia" w:hAnsi="宋体" w:cs="宋体"/>
          <w:sz w:val="21"/>
          <w:szCs w:val="21"/>
          <w:u w:val="single"/>
        </w:rPr>
        <w:t>           </w:t>
      </w:r>
      <w:r>
        <w:rPr>
          <w:rFonts w:hint="eastAsia" w:hAnsi="宋体" w:cs="宋体"/>
          <w:sz w:val="21"/>
          <w:szCs w:val="21"/>
        </w:rPr>
        <w:t>                          </w:t>
      </w:r>
    </w:p>
    <w:p>
      <w:pPr>
        <w:pStyle w:val="14"/>
        <w:rPr>
          <w:rFonts w:hAnsi="宋体" w:cs="宋体"/>
          <w:sz w:val="21"/>
          <w:szCs w:val="21"/>
        </w:rPr>
      </w:pPr>
      <w:r>
        <w:rPr>
          <w:rFonts w:hint="eastAsia" w:hAnsi="宋体" w:cs="宋体"/>
          <w:sz w:val="21"/>
          <w:szCs w:val="21"/>
        </w:rPr>
        <w:t>邮政编码：</w:t>
      </w:r>
      <w:r>
        <w:rPr>
          <w:rFonts w:hint="eastAsia" w:hAnsi="宋体" w:cs="宋体"/>
          <w:sz w:val="21"/>
          <w:szCs w:val="21"/>
          <w:u w:val="single"/>
        </w:rPr>
        <w:t>         </w:t>
      </w:r>
      <w:r>
        <w:rPr>
          <w:rFonts w:hint="eastAsia" w:hAnsi="宋体" w:cs="宋体"/>
          <w:sz w:val="21"/>
          <w:szCs w:val="21"/>
        </w:rPr>
        <w:t>         </w:t>
      </w:r>
    </w:p>
    <w:p>
      <w:pPr>
        <w:pStyle w:val="14"/>
        <w:rPr>
          <w:rFonts w:hAnsi="宋体" w:cs="宋体"/>
          <w:sz w:val="21"/>
          <w:szCs w:val="21"/>
        </w:rPr>
      </w:pPr>
      <w:r>
        <w:rPr>
          <w:rFonts w:hint="eastAsia" w:hAnsi="宋体" w:cs="宋体"/>
          <w:sz w:val="21"/>
          <w:szCs w:val="21"/>
        </w:rPr>
        <w:t>联系人：</w:t>
      </w:r>
      <w:r>
        <w:rPr>
          <w:rFonts w:hint="eastAsia" w:hAnsi="宋体" w:cs="宋体"/>
          <w:sz w:val="21"/>
          <w:szCs w:val="21"/>
          <w:u w:val="single"/>
        </w:rPr>
        <w:t>          </w:t>
      </w:r>
      <w:r>
        <w:rPr>
          <w:rFonts w:hint="eastAsia" w:hAnsi="宋体" w:cs="宋体"/>
          <w:sz w:val="21"/>
          <w:szCs w:val="21"/>
        </w:rPr>
        <w:t xml:space="preserve">     </w:t>
      </w:r>
    </w:p>
    <w:p>
      <w:pPr>
        <w:pStyle w:val="14"/>
        <w:rPr>
          <w:rFonts w:hAnsi="宋体" w:cs="宋体"/>
          <w:sz w:val="21"/>
          <w:szCs w:val="21"/>
        </w:rPr>
      </w:pPr>
      <w:r>
        <w:rPr>
          <w:rFonts w:hint="eastAsia" w:hAnsi="宋体" w:cs="宋体"/>
          <w:sz w:val="21"/>
          <w:szCs w:val="21"/>
        </w:rPr>
        <w:t>联系电话：</w:t>
      </w:r>
      <w:r>
        <w:rPr>
          <w:rFonts w:hint="eastAsia" w:hAnsi="宋体" w:cs="宋体"/>
          <w:sz w:val="21"/>
          <w:szCs w:val="21"/>
          <w:u w:val="single"/>
        </w:rPr>
        <w:t xml:space="preserve">                    </w:t>
      </w:r>
      <w:r>
        <w:rPr>
          <w:rFonts w:hint="eastAsia" w:hAnsi="宋体" w:cs="宋体"/>
          <w:sz w:val="21"/>
          <w:szCs w:val="21"/>
        </w:rPr>
        <w:t xml:space="preserve">  </w:t>
      </w:r>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outlineLvl w:val="0"/>
        <w:rPr>
          <w:rFonts w:ascii="宋体" w:hAnsi="宋体" w:cs="宋体"/>
          <w:sz w:val="21"/>
          <w:szCs w:val="21"/>
        </w:rPr>
      </w:pPr>
      <w:bookmarkStart w:id="162" w:name="_Toc634"/>
      <w:bookmarkStart w:id="163" w:name="_Toc9779"/>
      <w:bookmarkStart w:id="164" w:name="_Toc19656"/>
      <w:bookmarkStart w:id="165" w:name="_Toc28557"/>
      <w:r>
        <w:rPr>
          <w:rFonts w:hint="eastAsia" w:ascii="宋体" w:hAnsi="宋体" w:cs="宋体"/>
          <w:kern w:val="0"/>
          <w:sz w:val="21"/>
          <w:szCs w:val="21"/>
        </w:rPr>
        <w:t>二、质疑项目基本情况</w:t>
      </w:r>
      <w:bookmarkEnd w:id="162"/>
      <w:bookmarkEnd w:id="163"/>
      <w:bookmarkEnd w:id="164"/>
      <w:bookmarkEnd w:id="165"/>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1.质疑项目的名称</w:t>
      </w:r>
      <w:r>
        <w:rPr>
          <w:rFonts w:hint="eastAsia" w:ascii="宋体" w:hAnsi="宋体" w:cs="宋体"/>
          <w:b/>
          <w:bCs/>
          <w:kern w:val="0"/>
          <w:sz w:val="21"/>
          <w:szCs w:val="21"/>
          <w:u w:val="single"/>
        </w:rPr>
        <w:t> ：                               </w:t>
      </w:r>
    </w:p>
    <w:p>
      <w:pPr>
        <w:widowControl/>
        <w:shd w:val="clear" w:color="auto" w:fill="FFFFFF"/>
        <w:spacing w:line="260" w:lineRule="exact"/>
        <w:jc w:val="left"/>
        <w:rPr>
          <w:rFonts w:ascii="宋体" w:hAnsi="宋体" w:cs="宋体"/>
          <w:b/>
          <w:bCs/>
          <w:kern w:val="0"/>
          <w:sz w:val="21"/>
          <w:szCs w:val="21"/>
          <w:u w:val="single"/>
        </w:rPr>
      </w:pPr>
      <w:r>
        <w:rPr>
          <w:rFonts w:hint="eastAsia" w:ascii="宋体" w:hAnsi="宋体" w:cs="宋体"/>
          <w:kern w:val="0"/>
          <w:sz w:val="21"/>
          <w:szCs w:val="21"/>
        </w:rPr>
        <w:t>2.质疑项目的编号：</w:t>
      </w:r>
      <w:r>
        <w:rPr>
          <w:rFonts w:hint="eastAsia" w:ascii="宋体" w:hAnsi="宋体" w:cs="宋体"/>
          <w:b/>
          <w:bCs/>
          <w:kern w:val="0"/>
          <w:sz w:val="21"/>
          <w:szCs w:val="21"/>
          <w:u w:val="single"/>
        </w:rPr>
        <w:t>                                </w:t>
      </w:r>
    </w:p>
    <w:p>
      <w:pPr>
        <w:widowControl/>
        <w:shd w:val="clear" w:color="auto" w:fill="FFFFFF"/>
        <w:spacing w:line="260" w:lineRule="exact"/>
        <w:jc w:val="left"/>
        <w:rPr>
          <w:rFonts w:ascii="宋体" w:hAnsi="宋体" w:cs="宋体"/>
          <w:kern w:val="0"/>
          <w:sz w:val="21"/>
          <w:szCs w:val="21"/>
        </w:rPr>
      </w:pPr>
      <w:r>
        <w:rPr>
          <w:rFonts w:hint="eastAsia" w:ascii="宋体" w:hAnsi="宋体" w:cs="宋体"/>
          <w:bCs/>
          <w:kern w:val="0"/>
          <w:sz w:val="21"/>
          <w:szCs w:val="21"/>
        </w:rPr>
        <w:t>3.</w:t>
      </w:r>
      <w:r>
        <w:rPr>
          <w:rFonts w:hint="eastAsia" w:ascii="宋体" w:hAnsi="宋体" w:cs="宋体"/>
          <w:kern w:val="0"/>
          <w:sz w:val="21"/>
          <w:szCs w:val="21"/>
        </w:rPr>
        <w:t>质疑项目的分标号：</w:t>
      </w:r>
      <w:r>
        <w:rPr>
          <w:rFonts w:hint="eastAsia" w:ascii="宋体" w:hAnsi="宋体" w:cs="宋体"/>
          <w:b/>
          <w:bCs/>
          <w:kern w:val="0"/>
          <w:sz w:val="21"/>
          <w:szCs w:val="21"/>
          <w:u w:val="single"/>
        </w:rPr>
        <w:t>                               </w:t>
      </w:r>
    </w:p>
    <w:p>
      <w:pPr>
        <w:adjustRightInd w:val="0"/>
        <w:snapToGrid w:val="0"/>
        <w:spacing w:line="260" w:lineRule="exact"/>
        <w:rPr>
          <w:rFonts w:ascii="宋体" w:hAnsi="宋体" w:cs="宋体"/>
          <w:kern w:val="0"/>
          <w:sz w:val="21"/>
          <w:szCs w:val="21"/>
        </w:rPr>
      </w:pPr>
    </w:p>
    <w:p>
      <w:pPr>
        <w:adjustRightInd w:val="0"/>
        <w:snapToGrid w:val="0"/>
        <w:spacing w:line="260" w:lineRule="exact"/>
        <w:outlineLvl w:val="0"/>
        <w:rPr>
          <w:rFonts w:ascii="宋体" w:hAnsi="宋体" w:cs="宋体"/>
          <w:sz w:val="21"/>
          <w:szCs w:val="21"/>
        </w:rPr>
      </w:pPr>
      <w:bookmarkStart w:id="166" w:name="_Toc21346"/>
      <w:bookmarkStart w:id="167" w:name="_Toc14486"/>
      <w:bookmarkStart w:id="168" w:name="_Toc10155"/>
      <w:bookmarkStart w:id="169" w:name="_Toc27211"/>
      <w:r>
        <w:rPr>
          <w:rFonts w:hint="eastAsia" w:ascii="宋体" w:hAnsi="宋体" w:cs="宋体"/>
          <w:kern w:val="0"/>
          <w:sz w:val="21"/>
          <w:szCs w:val="21"/>
        </w:rPr>
        <w:t>三、质疑事项具体内容</w:t>
      </w:r>
      <w:bookmarkEnd w:id="166"/>
      <w:bookmarkEnd w:id="167"/>
      <w:bookmarkEnd w:id="168"/>
      <w:bookmarkEnd w:id="169"/>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质疑事项1：</w:t>
      </w:r>
      <w:r>
        <w:rPr>
          <w:rFonts w:hint="eastAsia" w:ascii="宋体" w:hAnsi="宋体" w:cs="宋体"/>
          <w:bCs/>
          <w:kern w:val="0"/>
          <w:sz w:val="21"/>
          <w:szCs w:val="21"/>
          <w:u w:val="single"/>
        </w:rPr>
        <w:t>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质疑事项1的事实依据：</w:t>
      </w:r>
      <w:r>
        <w:rPr>
          <w:rFonts w:hint="eastAsia" w:ascii="宋体" w:hAnsi="宋体" w:cs="宋体"/>
          <w:bCs/>
          <w:kern w:val="0"/>
          <w:sz w:val="21"/>
          <w:szCs w:val="21"/>
          <w:u w:val="single"/>
        </w:rPr>
        <w:t xml:space="preserve">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质疑事项1的法律依据：</w:t>
      </w:r>
      <w:r>
        <w:rPr>
          <w:rFonts w:hint="eastAsia" w:ascii="宋体" w:hAnsi="宋体" w:cs="宋体"/>
          <w:bCs/>
          <w:kern w:val="0"/>
          <w:sz w:val="21"/>
          <w:szCs w:val="21"/>
          <w:u w:val="single"/>
        </w:rPr>
        <w:t xml:space="preserve">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质疑事项1的相关请求：</w:t>
      </w:r>
      <w:r>
        <w:rPr>
          <w:rFonts w:hint="eastAsia" w:ascii="宋体" w:hAnsi="宋体" w:cs="宋体"/>
          <w:bCs/>
          <w:kern w:val="0"/>
          <w:sz w:val="21"/>
          <w:szCs w:val="21"/>
          <w:u w:val="single"/>
        </w:rPr>
        <w:t xml:space="preserve">                                                                  </w:t>
      </w:r>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质疑事项2：</w:t>
      </w:r>
      <w:r>
        <w:rPr>
          <w:rFonts w:hint="eastAsia" w:ascii="宋体" w:hAnsi="宋体" w:cs="宋体"/>
          <w:bCs/>
          <w:kern w:val="0"/>
          <w:sz w:val="21"/>
          <w:szCs w:val="21"/>
          <w:u w:val="single"/>
        </w:rPr>
        <w:t>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质疑事项2的事实依据：</w:t>
      </w:r>
      <w:r>
        <w:rPr>
          <w:rFonts w:hint="eastAsia" w:ascii="宋体" w:hAnsi="宋体" w:cs="宋体"/>
          <w:bCs/>
          <w:kern w:val="0"/>
          <w:sz w:val="21"/>
          <w:szCs w:val="21"/>
          <w:u w:val="single"/>
        </w:rPr>
        <w:t xml:space="preserve">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质疑事项2的法律依据：</w:t>
      </w:r>
      <w:r>
        <w:rPr>
          <w:rFonts w:hint="eastAsia" w:ascii="宋体" w:hAnsi="宋体" w:cs="宋体"/>
          <w:bCs/>
          <w:kern w:val="0"/>
          <w:sz w:val="21"/>
          <w:szCs w:val="21"/>
          <w:u w:val="single"/>
        </w:rPr>
        <w:t xml:space="preserve">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质疑事项2的相关请求：</w:t>
      </w:r>
      <w:r>
        <w:rPr>
          <w:rFonts w:hint="eastAsia" w:ascii="宋体" w:hAnsi="宋体" w:cs="宋体"/>
          <w:bCs/>
          <w:kern w:val="0"/>
          <w:sz w:val="21"/>
          <w:szCs w:val="21"/>
          <w:u w:val="single"/>
        </w:rPr>
        <w:t xml:space="preserve">                                                                  </w:t>
      </w:r>
    </w:p>
    <w:p>
      <w:pPr>
        <w:shd w:val="clear" w:color="auto" w:fill="FFFFFF"/>
        <w:spacing w:line="260" w:lineRule="exact"/>
        <w:rPr>
          <w:rFonts w:ascii="宋体" w:hAnsi="宋体" w:cs="宋体"/>
          <w:kern w:val="0"/>
          <w:sz w:val="21"/>
          <w:szCs w:val="21"/>
        </w:rPr>
      </w:pPr>
      <w:r>
        <w:rPr>
          <w:rFonts w:hint="eastAsia" w:ascii="宋体" w:hAnsi="宋体" w:cs="宋体"/>
          <w:kern w:val="0"/>
          <w:sz w:val="21"/>
          <w:szCs w:val="21"/>
        </w:rPr>
        <w:t>……</w:t>
      </w:r>
    </w:p>
    <w:p>
      <w:pPr>
        <w:shd w:val="clear" w:color="auto" w:fill="FFFFFF"/>
        <w:spacing w:line="260" w:lineRule="exact"/>
        <w:rPr>
          <w:rFonts w:ascii="宋体" w:hAnsi="宋体" w:cs="宋体"/>
          <w:kern w:val="0"/>
          <w:sz w:val="21"/>
          <w:szCs w:val="21"/>
        </w:rPr>
      </w:pPr>
    </w:p>
    <w:p>
      <w:pPr>
        <w:widowControl/>
        <w:shd w:val="clear" w:color="auto" w:fill="FFFFFF"/>
        <w:spacing w:line="260" w:lineRule="exact"/>
        <w:jc w:val="left"/>
        <w:outlineLvl w:val="0"/>
        <w:rPr>
          <w:rFonts w:ascii="宋体" w:hAnsi="宋体" w:cs="宋体"/>
          <w:kern w:val="0"/>
          <w:sz w:val="21"/>
          <w:szCs w:val="21"/>
        </w:rPr>
      </w:pPr>
      <w:bookmarkStart w:id="170" w:name="_Toc28188"/>
      <w:bookmarkStart w:id="171" w:name="_Toc4320"/>
      <w:bookmarkStart w:id="172" w:name="_Toc2934"/>
      <w:bookmarkStart w:id="173" w:name="_Toc11265"/>
      <w:r>
        <w:rPr>
          <w:rFonts w:hint="eastAsia" w:ascii="宋体" w:hAnsi="宋体" w:cs="宋体"/>
          <w:kern w:val="0"/>
          <w:sz w:val="21"/>
          <w:szCs w:val="21"/>
        </w:rPr>
        <w:t>四、附件材料目录（材料附后）</w:t>
      </w:r>
      <w:bookmarkEnd w:id="170"/>
      <w:bookmarkEnd w:id="171"/>
      <w:bookmarkEnd w:id="172"/>
      <w:bookmarkEnd w:id="173"/>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1.营业执照副本内页复印件（要求证件有效并清晰反映企业法人经营范围）</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2.近期连续三个月依法缴纳税收证明材料（复印件，原件备查）</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3.近期连续三个月在职职工依法缴纳社会保障资金证明材料（复印件，原件备查）</w:t>
      </w:r>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outlineLvl w:val="0"/>
        <w:rPr>
          <w:rFonts w:ascii="宋体" w:hAnsi="宋体" w:cs="宋体"/>
          <w:kern w:val="0"/>
          <w:sz w:val="21"/>
          <w:szCs w:val="21"/>
        </w:rPr>
      </w:pPr>
      <w:bookmarkStart w:id="174" w:name="_Toc14411"/>
      <w:bookmarkStart w:id="175" w:name="_Toc15288"/>
      <w:bookmarkStart w:id="176" w:name="_Toc17520"/>
      <w:bookmarkStart w:id="177" w:name="_Toc10077"/>
      <w:r>
        <w:rPr>
          <w:rFonts w:hint="eastAsia" w:ascii="宋体" w:hAnsi="宋体" w:cs="宋体"/>
          <w:kern w:val="0"/>
          <w:sz w:val="21"/>
          <w:szCs w:val="21"/>
        </w:rPr>
        <w:t>五、委托代理时还应提交的材料目录（材料附后）</w:t>
      </w:r>
      <w:bookmarkEnd w:id="174"/>
      <w:bookmarkEnd w:id="175"/>
      <w:bookmarkEnd w:id="176"/>
      <w:bookmarkEnd w:id="177"/>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1.质疑供应商的授权委托书原件1份</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2.委托代理人身份证明复印件1份</w:t>
      </w:r>
    </w:p>
    <w:p>
      <w:pPr>
        <w:widowControl/>
        <w:shd w:val="clear" w:color="auto" w:fill="FFFFFF"/>
        <w:spacing w:line="260" w:lineRule="exact"/>
        <w:jc w:val="center"/>
        <w:rPr>
          <w:rFonts w:ascii="宋体" w:hAnsi="宋体" w:cs="宋体"/>
          <w:kern w:val="0"/>
          <w:sz w:val="21"/>
          <w:szCs w:val="21"/>
        </w:rPr>
      </w:pPr>
      <w:r>
        <w:rPr>
          <w:rFonts w:hint="eastAsia" w:ascii="宋体" w:hAnsi="宋体" w:cs="宋体"/>
          <w:kern w:val="0"/>
          <w:sz w:val="21"/>
          <w:szCs w:val="21"/>
        </w:rPr>
        <w:t xml:space="preserve">    </w:t>
      </w:r>
    </w:p>
    <w:p>
      <w:pPr>
        <w:widowControl/>
        <w:shd w:val="clear" w:color="auto" w:fill="FFFFFF"/>
        <w:spacing w:line="260" w:lineRule="exact"/>
        <w:jc w:val="center"/>
        <w:rPr>
          <w:rFonts w:ascii="宋体" w:hAnsi="宋体" w:cs="宋体"/>
          <w:kern w:val="0"/>
          <w:sz w:val="21"/>
          <w:szCs w:val="21"/>
        </w:rPr>
      </w:pPr>
      <w:r>
        <w:rPr>
          <w:rFonts w:hint="eastAsia" w:ascii="宋体" w:hAnsi="宋体" w:cs="宋体"/>
          <w:kern w:val="0"/>
          <w:sz w:val="21"/>
          <w:szCs w:val="21"/>
        </w:rPr>
        <w:t xml:space="preserve">           </w:t>
      </w:r>
    </w:p>
    <w:p>
      <w:pPr>
        <w:widowControl/>
        <w:shd w:val="clear" w:color="auto" w:fill="FFFFFF"/>
        <w:spacing w:line="260" w:lineRule="exact"/>
        <w:jc w:val="center"/>
        <w:outlineLvl w:val="0"/>
        <w:rPr>
          <w:rFonts w:ascii="宋体" w:hAnsi="宋体" w:cs="宋体"/>
          <w:kern w:val="0"/>
          <w:sz w:val="21"/>
          <w:szCs w:val="21"/>
        </w:rPr>
      </w:pPr>
      <w:bookmarkStart w:id="178" w:name="_Toc12512"/>
      <w:bookmarkStart w:id="179" w:name="_Toc14824"/>
      <w:bookmarkStart w:id="180" w:name="_Toc22736"/>
      <w:bookmarkStart w:id="181" w:name="_Toc24249"/>
      <w:r>
        <w:rPr>
          <w:rFonts w:hint="eastAsia" w:ascii="宋体" w:hAnsi="宋体" w:cs="宋体"/>
          <w:kern w:val="0"/>
          <w:sz w:val="21"/>
          <w:szCs w:val="21"/>
        </w:rPr>
        <w:t>质疑供应商（公章）：          </w:t>
      </w:r>
      <w:bookmarkEnd w:id="178"/>
      <w:bookmarkEnd w:id="179"/>
      <w:bookmarkEnd w:id="180"/>
      <w:bookmarkEnd w:id="181"/>
    </w:p>
    <w:p>
      <w:pPr>
        <w:widowControl/>
        <w:shd w:val="clear" w:color="auto" w:fill="FFFFFF"/>
        <w:spacing w:line="260" w:lineRule="exact"/>
        <w:jc w:val="center"/>
        <w:outlineLvl w:val="0"/>
        <w:rPr>
          <w:rFonts w:ascii="宋体" w:hAnsi="宋体" w:cs="宋体"/>
          <w:kern w:val="0"/>
          <w:sz w:val="21"/>
          <w:szCs w:val="21"/>
        </w:rPr>
      </w:pPr>
      <w:bookmarkStart w:id="182" w:name="_Toc9087"/>
      <w:bookmarkStart w:id="183" w:name="_Toc2336"/>
      <w:bookmarkStart w:id="184" w:name="_Toc19141"/>
      <w:bookmarkStart w:id="185" w:name="_Toc14906"/>
      <w:r>
        <w:rPr>
          <w:rFonts w:hint="eastAsia" w:ascii="宋体" w:hAnsi="宋体" w:cs="宋体"/>
          <w:kern w:val="0"/>
          <w:sz w:val="21"/>
          <w:szCs w:val="21"/>
        </w:rPr>
        <w:t>法定代表人</w:t>
      </w:r>
      <w:r>
        <w:rPr>
          <w:rFonts w:hint="eastAsia" w:ascii="宋体" w:hAnsi="宋体" w:cs="宋体"/>
          <w:sz w:val="21"/>
          <w:szCs w:val="21"/>
        </w:rPr>
        <w:t>（负责人）</w:t>
      </w:r>
      <w:r>
        <w:rPr>
          <w:rFonts w:hint="eastAsia" w:ascii="宋体" w:hAnsi="宋体" w:cs="宋体"/>
          <w:kern w:val="0"/>
          <w:sz w:val="21"/>
          <w:szCs w:val="21"/>
        </w:rPr>
        <w:t>签字：</w:t>
      </w:r>
      <w:bookmarkEnd w:id="182"/>
      <w:bookmarkEnd w:id="183"/>
      <w:bookmarkEnd w:id="184"/>
      <w:bookmarkEnd w:id="185"/>
    </w:p>
    <w:p>
      <w:pPr>
        <w:widowControl/>
        <w:shd w:val="clear" w:color="auto" w:fill="FFFFFF"/>
        <w:spacing w:line="260" w:lineRule="exact"/>
        <w:jc w:val="center"/>
        <w:outlineLvl w:val="0"/>
        <w:rPr>
          <w:rFonts w:ascii="宋体" w:hAnsi="宋体" w:cs="宋体"/>
          <w:kern w:val="0"/>
          <w:sz w:val="21"/>
          <w:szCs w:val="21"/>
        </w:rPr>
      </w:pPr>
      <w:bookmarkStart w:id="186" w:name="_Toc30869"/>
      <w:bookmarkStart w:id="187" w:name="_Toc19583"/>
      <w:bookmarkStart w:id="188" w:name="_Toc22616"/>
      <w:bookmarkStart w:id="189" w:name="_Toc11350"/>
      <w:r>
        <w:rPr>
          <w:rFonts w:hint="eastAsia" w:ascii="宋体" w:hAnsi="宋体" w:cs="宋体"/>
          <w:kern w:val="0"/>
          <w:sz w:val="21"/>
          <w:szCs w:val="21"/>
        </w:rPr>
        <w:t>委托代理人签字：</w:t>
      </w:r>
      <w:bookmarkEnd w:id="186"/>
      <w:bookmarkEnd w:id="187"/>
      <w:bookmarkEnd w:id="188"/>
      <w:bookmarkEnd w:id="189"/>
    </w:p>
    <w:p>
      <w:pPr>
        <w:widowControl/>
        <w:shd w:val="clear" w:color="auto" w:fill="FFFFFF"/>
        <w:spacing w:line="260" w:lineRule="exact"/>
        <w:jc w:val="center"/>
        <w:rPr>
          <w:rFonts w:ascii="宋体" w:hAnsi="宋体" w:cs="宋体"/>
          <w:kern w:val="0"/>
          <w:sz w:val="21"/>
          <w:szCs w:val="21"/>
        </w:rPr>
      </w:pPr>
    </w:p>
    <w:p>
      <w:pPr>
        <w:widowControl/>
        <w:shd w:val="clear" w:color="auto" w:fill="FFFFFF"/>
        <w:spacing w:line="260" w:lineRule="exact"/>
        <w:ind w:firstLine="3885" w:firstLineChars="1850"/>
        <w:jc w:val="left"/>
        <w:rPr>
          <w:rFonts w:ascii="宋体" w:hAnsi="宋体" w:cs="宋体"/>
          <w:kern w:val="0"/>
          <w:sz w:val="21"/>
          <w:szCs w:val="21"/>
        </w:rPr>
      </w:pPr>
      <w:r>
        <w:rPr>
          <w:rFonts w:hint="eastAsia" w:ascii="宋体" w:hAnsi="宋体" w:cs="宋体"/>
          <w:kern w:val="0"/>
          <w:sz w:val="21"/>
          <w:szCs w:val="21"/>
        </w:rPr>
        <w:t>提起质疑的日期：     年   月   日</w:t>
      </w:r>
    </w:p>
    <w:p>
      <w:pPr>
        <w:widowControl/>
        <w:shd w:val="clear" w:color="auto" w:fill="FFFFFF"/>
        <w:spacing w:line="260" w:lineRule="exact"/>
        <w:rPr>
          <w:rFonts w:ascii="宋体" w:hAnsi="宋体" w:cs="宋体"/>
          <w:kern w:val="0"/>
          <w:sz w:val="21"/>
          <w:szCs w:val="21"/>
        </w:rPr>
      </w:pPr>
    </w:p>
    <w:p>
      <w:pPr>
        <w:widowControl/>
        <w:shd w:val="clear" w:color="auto" w:fill="FFFFFF"/>
        <w:spacing w:line="260" w:lineRule="exact"/>
        <w:rPr>
          <w:rFonts w:ascii="宋体" w:hAnsi="宋体" w:cs="宋体"/>
          <w:sz w:val="21"/>
          <w:szCs w:val="21"/>
        </w:rPr>
      </w:pPr>
      <w:r>
        <w:rPr>
          <w:rFonts w:hint="eastAsia" w:ascii="宋体" w:hAnsi="宋体" w:cs="宋体"/>
          <w:kern w:val="0"/>
          <w:sz w:val="21"/>
          <w:szCs w:val="21"/>
        </w:rPr>
        <w:t>说明：1.质疑事项的事实依据应</w:t>
      </w:r>
      <w:r>
        <w:rPr>
          <w:rFonts w:hint="eastAsia" w:ascii="宋体" w:hAnsi="宋体" w:cs="宋体"/>
          <w:sz w:val="21"/>
          <w:szCs w:val="21"/>
        </w:rPr>
        <w:t>列明权益受到损害的事实和理由；</w:t>
      </w:r>
    </w:p>
    <w:p>
      <w:pPr>
        <w:widowControl/>
        <w:shd w:val="clear" w:color="auto" w:fill="FFFFFF"/>
        <w:spacing w:line="260" w:lineRule="exact"/>
        <w:ind w:firstLine="630" w:firstLineChars="300"/>
        <w:rPr>
          <w:rFonts w:ascii="宋体" w:hAnsi="宋体" w:cs="宋体"/>
          <w:b/>
          <w:bCs/>
          <w:kern w:val="0"/>
          <w:sz w:val="21"/>
          <w:szCs w:val="21"/>
        </w:rPr>
      </w:pPr>
      <w:r>
        <w:rPr>
          <w:rFonts w:hint="eastAsia" w:ascii="宋体" w:hAnsi="宋体" w:cs="宋体"/>
          <w:sz w:val="21"/>
          <w:szCs w:val="21"/>
        </w:rPr>
        <w:t>2.</w:t>
      </w:r>
      <w:r>
        <w:rPr>
          <w:rFonts w:hint="eastAsia" w:ascii="宋体" w:hAnsi="宋体" w:cs="宋体"/>
          <w:kern w:val="0"/>
          <w:sz w:val="21"/>
          <w:szCs w:val="21"/>
        </w:rPr>
        <w:t>质疑事项的法律依据应列明质疑事项违反法律法规的具体条款及内容。</w:t>
      </w:r>
    </w:p>
    <w:p>
      <w:pPr>
        <w:pStyle w:val="14"/>
        <w:jc w:val="center"/>
        <w:rPr>
          <w:rFonts w:hAnsi="宋体" w:cs="宋体"/>
          <w:sz w:val="21"/>
          <w:szCs w:val="21"/>
        </w:rPr>
      </w:pPr>
    </w:p>
    <w:p>
      <w:pPr>
        <w:widowControl/>
        <w:shd w:val="clear" w:color="auto" w:fill="FFFFFF"/>
        <w:spacing w:line="260" w:lineRule="exact"/>
        <w:jc w:val="center"/>
        <w:outlineLvl w:val="0"/>
        <w:rPr>
          <w:rFonts w:ascii="宋体" w:hAnsi="宋体" w:cs="宋体"/>
          <w:b/>
          <w:bCs/>
          <w:kern w:val="0"/>
          <w:sz w:val="21"/>
          <w:szCs w:val="21"/>
        </w:rPr>
      </w:pPr>
      <w:bookmarkStart w:id="190" w:name="_Toc9502"/>
      <w:bookmarkStart w:id="191" w:name="_Toc1415"/>
      <w:bookmarkStart w:id="192" w:name="_Toc13267"/>
      <w:bookmarkStart w:id="193" w:name="_Toc2230"/>
      <w:r>
        <w:rPr>
          <w:rFonts w:hint="eastAsia" w:ascii="宋体" w:hAnsi="宋体" w:cs="宋体"/>
          <w:b/>
          <w:bCs/>
          <w:kern w:val="0"/>
          <w:sz w:val="21"/>
          <w:szCs w:val="21"/>
        </w:rPr>
        <w:t>质疑证明材料（格式）</w:t>
      </w:r>
      <w:bookmarkEnd w:id="190"/>
      <w:bookmarkEnd w:id="191"/>
      <w:bookmarkEnd w:id="192"/>
      <w:bookmarkEnd w:id="193"/>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质疑项目的名称</w:t>
      </w:r>
      <w:r>
        <w:rPr>
          <w:rFonts w:hint="eastAsia" w:ascii="宋体" w:hAnsi="宋体" w:cs="宋体"/>
          <w:b/>
          <w:bCs/>
          <w:kern w:val="0"/>
          <w:sz w:val="21"/>
          <w:szCs w:val="21"/>
          <w:u w:val="single"/>
        </w:rPr>
        <w:t>：                               </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项目编号：</w:t>
      </w:r>
      <w:r>
        <w:rPr>
          <w:rFonts w:hint="eastAsia" w:ascii="宋体" w:hAnsi="宋体" w:cs="宋体"/>
          <w:b/>
          <w:bCs/>
          <w:kern w:val="0"/>
          <w:sz w:val="21"/>
          <w:szCs w:val="21"/>
          <w:u w:val="single"/>
        </w:rPr>
        <w:t>                                </w:t>
      </w:r>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outlineLvl w:val="0"/>
        <w:rPr>
          <w:rFonts w:ascii="宋体" w:hAnsi="宋体" w:cs="宋体"/>
          <w:kern w:val="0"/>
          <w:sz w:val="21"/>
          <w:szCs w:val="21"/>
        </w:rPr>
      </w:pPr>
      <w:bookmarkStart w:id="194" w:name="_Toc4392"/>
      <w:bookmarkStart w:id="195" w:name="_Toc2190"/>
      <w:bookmarkStart w:id="196" w:name="_Toc32082"/>
      <w:bookmarkStart w:id="197" w:name="_Toc7778"/>
      <w:r>
        <w:rPr>
          <w:rFonts w:hint="eastAsia" w:ascii="宋体" w:hAnsi="宋体" w:cs="宋体"/>
          <w:kern w:val="0"/>
          <w:sz w:val="21"/>
          <w:szCs w:val="21"/>
        </w:rPr>
        <w:t>一、质疑事项1证明材料目录（证明材料附后，共</w:t>
      </w:r>
      <w:r>
        <w:rPr>
          <w:rFonts w:hint="eastAsia" w:ascii="宋体" w:hAnsi="宋体" w:cs="宋体"/>
          <w:b/>
          <w:bCs/>
          <w:kern w:val="0"/>
          <w:sz w:val="21"/>
          <w:szCs w:val="21"/>
          <w:u w:val="single"/>
        </w:rPr>
        <w:t>     </w:t>
      </w:r>
      <w:r>
        <w:rPr>
          <w:rFonts w:hint="eastAsia" w:ascii="宋体" w:hAnsi="宋体" w:cs="宋体"/>
          <w:kern w:val="0"/>
          <w:sz w:val="21"/>
          <w:szCs w:val="21"/>
        </w:rPr>
        <w:t>页）</w:t>
      </w:r>
      <w:bookmarkEnd w:id="194"/>
      <w:bookmarkEnd w:id="195"/>
      <w:bookmarkEnd w:id="196"/>
      <w:bookmarkEnd w:id="197"/>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1.</w:t>
      </w:r>
      <w:r>
        <w:rPr>
          <w:rFonts w:hint="eastAsia" w:ascii="宋体" w:hAnsi="宋体" w:cs="宋体"/>
          <w:b/>
          <w:bCs/>
          <w:kern w:val="0"/>
          <w:sz w:val="21"/>
          <w:szCs w:val="21"/>
        </w:rPr>
        <w:t>……</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2.</w:t>
      </w:r>
      <w:r>
        <w:rPr>
          <w:rFonts w:hint="eastAsia" w:ascii="宋体" w:hAnsi="宋体" w:cs="宋体"/>
          <w:b/>
          <w:bCs/>
          <w:kern w:val="0"/>
          <w:sz w:val="21"/>
          <w:szCs w:val="21"/>
        </w:rPr>
        <w:t>……</w:t>
      </w:r>
    </w:p>
    <w:p>
      <w:pPr>
        <w:widowControl/>
        <w:shd w:val="clear" w:color="auto" w:fill="FFFFFF"/>
        <w:spacing w:line="260" w:lineRule="exact"/>
        <w:jc w:val="left"/>
        <w:rPr>
          <w:rFonts w:ascii="宋体" w:hAnsi="宋体" w:cs="宋体"/>
          <w:b/>
          <w:bCs/>
          <w:kern w:val="0"/>
          <w:sz w:val="21"/>
          <w:szCs w:val="21"/>
        </w:rPr>
      </w:pPr>
      <w:r>
        <w:rPr>
          <w:rFonts w:hint="eastAsia" w:ascii="宋体" w:hAnsi="宋体" w:cs="宋体"/>
          <w:b/>
          <w:bCs/>
          <w:kern w:val="0"/>
          <w:sz w:val="21"/>
          <w:szCs w:val="21"/>
        </w:rPr>
        <w:t>……</w:t>
      </w:r>
    </w:p>
    <w:p>
      <w:pPr>
        <w:widowControl/>
        <w:shd w:val="clear" w:color="auto" w:fill="FFFFFF"/>
        <w:spacing w:line="260" w:lineRule="exact"/>
        <w:jc w:val="left"/>
        <w:rPr>
          <w:rFonts w:ascii="宋体" w:hAnsi="宋体" w:cs="宋体"/>
          <w:kern w:val="0"/>
          <w:sz w:val="21"/>
          <w:szCs w:val="21"/>
        </w:rPr>
      </w:pPr>
    </w:p>
    <w:p>
      <w:pPr>
        <w:widowControl/>
        <w:shd w:val="clear" w:color="auto" w:fill="FFFFFF"/>
        <w:spacing w:line="260" w:lineRule="exact"/>
        <w:jc w:val="left"/>
        <w:outlineLvl w:val="0"/>
        <w:rPr>
          <w:rFonts w:ascii="宋体" w:hAnsi="宋体" w:cs="宋体"/>
          <w:kern w:val="0"/>
          <w:sz w:val="21"/>
          <w:szCs w:val="21"/>
        </w:rPr>
      </w:pPr>
      <w:bookmarkStart w:id="198" w:name="_Toc18843"/>
      <w:bookmarkStart w:id="199" w:name="_Toc7029"/>
      <w:bookmarkStart w:id="200" w:name="_Toc19526"/>
      <w:bookmarkStart w:id="201" w:name="_Toc7655"/>
      <w:r>
        <w:rPr>
          <w:rFonts w:hint="eastAsia" w:ascii="宋体" w:hAnsi="宋体" w:cs="宋体"/>
          <w:kern w:val="0"/>
          <w:sz w:val="21"/>
          <w:szCs w:val="21"/>
        </w:rPr>
        <w:t>二、质疑事项2证明材料目录（证明材料附后，共</w:t>
      </w:r>
      <w:r>
        <w:rPr>
          <w:rFonts w:hint="eastAsia" w:ascii="宋体" w:hAnsi="宋体" w:cs="宋体"/>
          <w:b/>
          <w:bCs/>
          <w:kern w:val="0"/>
          <w:sz w:val="21"/>
          <w:szCs w:val="21"/>
          <w:u w:val="single"/>
        </w:rPr>
        <w:t>     </w:t>
      </w:r>
      <w:r>
        <w:rPr>
          <w:rFonts w:hint="eastAsia" w:ascii="宋体" w:hAnsi="宋体" w:cs="宋体"/>
          <w:kern w:val="0"/>
          <w:sz w:val="21"/>
          <w:szCs w:val="21"/>
        </w:rPr>
        <w:t>页）</w:t>
      </w:r>
      <w:bookmarkEnd w:id="198"/>
      <w:bookmarkEnd w:id="199"/>
      <w:bookmarkEnd w:id="200"/>
      <w:bookmarkEnd w:id="201"/>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1.</w:t>
      </w:r>
      <w:r>
        <w:rPr>
          <w:rFonts w:hint="eastAsia" w:ascii="宋体" w:hAnsi="宋体" w:cs="宋体"/>
          <w:b/>
          <w:bCs/>
          <w:kern w:val="0"/>
          <w:sz w:val="21"/>
          <w:szCs w:val="21"/>
        </w:rPr>
        <w:t>……</w:t>
      </w:r>
    </w:p>
    <w:p>
      <w:pPr>
        <w:widowControl/>
        <w:shd w:val="clear" w:color="auto" w:fill="FFFFFF"/>
        <w:spacing w:line="260" w:lineRule="exact"/>
        <w:jc w:val="left"/>
        <w:rPr>
          <w:rFonts w:ascii="宋体" w:hAnsi="宋体" w:cs="宋体"/>
          <w:kern w:val="0"/>
          <w:sz w:val="21"/>
          <w:szCs w:val="21"/>
        </w:rPr>
      </w:pPr>
      <w:r>
        <w:rPr>
          <w:rFonts w:hint="eastAsia" w:ascii="宋体" w:hAnsi="宋体" w:cs="宋体"/>
          <w:kern w:val="0"/>
          <w:sz w:val="21"/>
          <w:szCs w:val="21"/>
        </w:rPr>
        <w:t>2.</w:t>
      </w:r>
      <w:r>
        <w:rPr>
          <w:rFonts w:hint="eastAsia" w:ascii="宋体" w:hAnsi="宋体" w:cs="宋体"/>
          <w:b/>
          <w:bCs/>
          <w:kern w:val="0"/>
          <w:sz w:val="21"/>
          <w:szCs w:val="21"/>
        </w:rPr>
        <w:t>……</w:t>
      </w:r>
    </w:p>
    <w:p>
      <w:pPr>
        <w:shd w:val="clear" w:color="auto" w:fill="FFFFFF"/>
        <w:spacing w:line="260" w:lineRule="exact"/>
        <w:rPr>
          <w:rFonts w:ascii="宋体" w:hAnsi="宋体" w:cs="宋体"/>
          <w:kern w:val="0"/>
          <w:sz w:val="21"/>
          <w:szCs w:val="21"/>
        </w:rPr>
      </w:pPr>
      <w:r>
        <w:rPr>
          <w:rFonts w:hint="eastAsia" w:ascii="宋体" w:hAnsi="宋体" w:cs="宋体"/>
          <w:b/>
          <w:bCs/>
          <w:kern w:val="0"/>
          <w:sz w:val="21"/>
          <w:szCs w:val="21"/>
        </w:rPr>
        <w:t>……</w:t>
      </w:r>
    </w:p>
    <w:p>
      <w:pPr>
        <w:widowControl/>
        <w:shd w:val="clear" w:color="auto" w:fill="FFFFFF"/>
        <w:spacing w:line="260" w:lineRule="exact"/>
        <w:jc w:val="left"/>
        <w:outlineLvl w:val="0"/>
        <w:rPr>
          <w:rFonts w:ascii="宋体" w:hAnsi="宋体" w:cs="宋体"/>
          <w:sz w:val="21"/>
          <w:szCs w:val="21"/>
        </w:rPr>
      </w:pPr>
      <w:bookmarkStart w:id="202" w:name="_Toc27505"/>
      <w:bookmarkStart w:id="203" w:name="_Toc19539"/>
      <w:bookmarkStart w:id="204" w:name="_Toc19545"/>
      <w:bookmarkStart w:id="205" w:name="_Toc2066"/>
      <w:r>
        <w:rPr>
          <w:rFonts w:hint="eastAsia" w:ascii="宋体" w:hAnsi="宋体" w:cs="宋体"/>
          <w:sz w:val="21"/>
          <w:szCs w:val="21"/>
        </w:rPr>
        <w:t>三、……</w:t>
      </w:r>
      <w:bookmarkEnd w:id="202"/>
      <w:bookmarkEnd w:id="203"/>
      <w:bookmarkEnd w:id="204"/>
      <w:bookmarkEnd w:id="205"/>
    </w:p>
    <w:p>
      <w:pPr>
        <w:widowControl/>
        <w:shd w:val="clear" w:color="auto" w:fill="FFFFFF"/>
        <w:spacing w:line="260" w:lineRule="exact"/>
        <w:rPr>
          <w:rFonts w:ascii="宋体" w:hAnsi="宋体" w:cs="宋体"/>
          <w:kern w:val="0"/>
          <w:sz w:val="21"/>
          <w:szCs w:val="21"/>
        </w:rPr>
      </w:pPr>
    </w:p>
    <w:p>
      <w:pPr>
        <w:widowControl/>
        <w:shd w:val="clear" w:color="auto" w:fill="FFFFFF"/>
        <w:spacing w:line="260" w:lineRule="exact"/>
        <w:ind w:firstLine="3418" w:firstLineChars="1628"/>
        <w:rPr>
          <w:rFonts w:ascii="宋体" w:hAnsi="宋体" w:cs="宋体"/>
          <w:kern w:val="0"/>
          <w:sz w:val="21"/>
          <w:szCs w:val="21"/>
        </w:rPr>
      </w:pPr>
      <w:r>
        <w:rPr>
          <w:rFonts w:hint="eastAsia" w:ascii="宋体" w:hAnsi="宋体" w:cs="宋体"/>
          <w:kern w:val="0"/>
          <w:sz w:val="21"/>
          <w:szCs w:val="21"/>
        </w:rPr>
        <w:t>质疑供应商（公章）：           </w:t>
      </w:r>
    </w:p>
    <w:p>
      <w:pPr>
        <w:widowControl/>
        <w:shd w:val="clear" w:color="auto" w:fill="FFFFFF"/>
        <w:spacing w:line="260" w:lineRule="exact"/>
        <w:ind w:firstLine="3418" w:firstLineChars="1628"/>
        <w:rPr>
          <w:rFonts w:ascii="宋体" w:hAnsi="宋体" w:cs="宋体"/>
          <w:kern w:val="0"/>
          <w:sz w:val="21"/>
          <w:szCs w:val="21"/>
        </w:rPr>
      </w:pPr>
    </w:p>
    <w:p>
      <w:pPr>
        <w:widowControl/>
        <w:shd w:val="clear" w:color="auto" w:fill="FFFFFF"/>
        <w:spacing w:line="260" w:lineRule="exact"/>
        <w:ind w:firstLine="3418" w:firstLineChars="1628"/>
        <w:rPr>
          <w:rFonts w:ascii="宋体" w:hAnsi="宋体" w:cs="宋体"/>
          <w:kern w:val="0"/>
          <w:sz w:val="21"/>
          <w:szCs w:val="21"/>
        </w:rPr>
      </w:pPr>
      <w:r>
        <w:rPr>
          <w:rFonts w:hint="eastAsia" w:ascii="宋体" w:hAnsi="宋体" w:cs="宋体"/>
          <w:kern w:val="0"/>
          <w:sz w:val="21"/>
          <w:szCs w:val="21"/>
        </w:rPr>
        <w:t>提起质疑的日期：     年   月   日</w:t>
      </w:r>
    </w:p>
    <w:p>
      <w:pPr>
        <w:widowControl/>
        <w:shd w:val="clear" w:color="auto" w:fill="FFFFFF"/>
        <w:spacing w:line="260" w:lineRule="exact"/>
        <w:jc w:val="left"/>
        <w:rPr>
          <w:rFonts w:ascii="宋体" w:hAnsi="宋体" w:cs="宋体"/>
          <w:sz w:val="21"/>
          <w:szCs w:val="21"/>
        </w:rPr>
      </w:pPr>
    </w:p>
    <w:p>
      <w:pPr>
        <w:widowControl/>
        <w:shd w:val="clear" w:color="auto" w:fill="FFFFFF"/>
        <w:spacing w:line="260" w:lineRule="exact"/>
        <w:jc w:val="left"/>
        <w:rPr>
          <w:rFonts w:ascii="宋体" w:hAnsi="宋体" w:cs="宋体"/>
          <w:sz w:val="21"/>
          <w:szCs w:val="21"/>
        </w:rPr>
      </w:pPr>
      <w:r>
        <w:rPr>
          <w:rFonts w:hint="eastAsia" w:ascii="宋体" w:hAnsi="宋体" w:cs="宋体"/>
          <w:sz w:val="21"/>
          <w:szCs w:val="21"/>
        </w:rPr>
        <w:t>（后附</w:t>
      </w:r>
      <w:r>
        <w:rPr>
          <w:rFonts w:hint="eastAsia" w:ascii="宋体" w:hAnsi="宋体" w:cs="宋体"/>
          <w:kern w:val="0"/>
          <w:sz w:val="21"/>
          <w:szCs w:val="21"/>
        </w:rPr>
        <w:t>质疑事项</w:t>
      </w:r>
      <w:r>
        <w:rPr>
          <w:rFonts w:hint="eastAsia" w:ascii="宋体" w:hAnsi="宋体" w:cs="宋体"/>
          <w:sz w:val="21"/>
          <w:szCs w:val="21"/>
        </w:rPr>
        <w:t>证明材料的具体文件）</w:t>
      </w: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spacing w:line="360" w:lineRule="auto"/>
        <w:rPr>
          <w:rFonts w:hAnsi="宋体" w:cs="宋体"/>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rPr>
          <w:rFonts w:hAnsi="宋体" w:cs="宋体"/>
          <w:b/>
          <w:sz w:val="21"/>
          <w:szCs w:val="21"/>
        </w:rPr>
      </w:pPr>
    </w:p>
    <w:p>
      <w:pPr>
        <w:pStyle w:val="14"/>
        <w:jc w:val="center"/>
        <w:outlineLvl w:val="0"/>
        <w:rPr>
          <w:rFonts w:hint="eastAsia" w:hAnsi="宋体" w:cs="宋体"/>
          <w:b/>
          <w:sz w:val="32"/>
          <w:szCs w:val="32"/>
        </w:rPr>
      </w:pPr>
      <w:bookmarkStart w:id="206" w:name="_Toc30637"/>
      <w:bookmarkStart w:id="207" w:name="_Toc19663"/>
      <w:bookmarkStart w:id="208" w:name="_Toc23092"/>
      <w:bookmarkStart w:id="209" w:name="_Toc20317"/>
    </w:p>
    <w:p>
      <w:pPr>
        <w:pStyle w:val="14"/>
        <w:jc w:val="center"/>
        <w:outlineLvl w:val="0"/>
        <w:rPr>
          <w:rFonts w:hint="eastAsia" w:hAnsi="宋体" w:cs="宋体"/>
          <w:b/>
          <w:sz w:val="32"/>
          <w:szCs w:val="32"/>
        </w:rPr>
      </w:pPr>
    </w:p>
    <w:p>
      <w:pPr>
        <w:pStyle w:val="14"/>
        <w:jc w:val="center"/>
        <w:outlineLvl w:val="0"/>
        <w:rPr>
          <w:rFonts w:hint="eastAsia" w:hAnsi="宋体" w:cs="宋体"/>
          <w:b/>
          <w:sz w:val="32"/>
          <w:szCs w:val="32"/>
        </w:rPr>
      </w:pPr>
    </w:p>
    <w:p>
      <w:pPr>
        <w:pStyle w:val="14"/>
        <w:jc w:val="center"/>
        <w:outlineLvl w:val="0"/>
        <w:rPr>
          <w:rFonts w:hint="eastAsia" w:hAnsi="宋体" w:cs="宋体"/>
          <w:b/>
          <w:sz w:val="32"/>
          <w:szCs w:val="32"/>
        </w:rPr>
      </w:pPr>
    </w:p>
    <w:p>
      <w:pPr>
        <w:pStyle w:val="14"/>
        <w:jc w:val="center"/>
        <w:outlineLvl w:val="0"/>
        <w:rPr>
          <w:rFonts w:hint="eastAsia" w:hAnsi="宋体" w:cs="宋体"/>
          <w:b/>
          <w:sz w:val="32"/>
          <w:szCs w:val="32"/>
        </w:rPr>
      </w:pPr>
    </w:p>
    <w:p>
      <w:pPr>
        <w:pStyle w:val="14"/>
        <w:jc w:val="center"/>
        <w:outlineLvl w:val="0"/>
        <w:rPr>
          <w:rFonts w:hAnsi="宋体" w:cs="宋体"/>
          <w:b/>
          <w:sz w:val="32"/>
          <w:szCs w:val="32"/>
        </w:rPr>
      </w:pPr>
      <w:r>
        <w:rPr>
          <w:rFonts w:hint="eastAsia" w:hAnsi="宋体" w:cs="宋体"/>
          <w:b/>
          <w:sz w:val="32"/>
          <w:szCs w:val="32"/>
        </w:rPr>
        <w:t>第七章  评标方法</w:t>
      </w:r>
      <w:bookmarkEnd w:id="29"/>
      <w:bookmarkEnd w:id="30"/>
      <w:bookmarkEnd w:id="31"/>
      <w:bookmarkEnd w:id="32"/>
      <w:bookmarkEnd w:id="37"/>
      <w:bookmarkEnd w:id="206"/>
      <w:bookmarkEnd w:id="207"/>
      <w:bookmarkEnd w:id="208"/>
      <w:bookmarkEnd w:id="209"/>
      <w:bookmarkStart w:id="210" w:name="_Toc6847"/>
      <w:bookmarkStart w:id="211" w:name="_Toc6854"/>
      <w:bookmarkStart w:id="212" w:name="_Toc22798"/>
      <w:bookmarkStart w:id="213" w:name="_Toc18367"/>
    </w:p>
    <w:p>
      <w:pPr>
        <w:pStyle w:val="14"/>
        <w:jc w:val="left"/>
        <w:outlineLvl w:val="0"/>
        <w:rPr>
          <w:rFonts w:hAnsi="宋体" w:cs="宋体"/>
          <w:b/>
          <w:bCs/>
          <w:sz w:val="21"/>
          <w:szCs w:val="21"/>
        </w:rPr>
      </w:pPr>
      <w:r>
        <w:rPr>
          <w:rFonts w:hint="eastAsia" w:asciiTheme="majorEastAsia" w:hAnsiTheme="majorEastAsia" w:eastAsiaTheme="majorEastAsia"/>
          <w:b/>
          <w:sz w:val="21"/>
          <w:szCs w:val="21"/>
        </w:rPr>
        <w:t>1、</w:t>
      </w:r>
      <w:r>
        <w:rPr>
          <w:rFonts w:asciiTheme="majorEastAsia" w:hAnsiTheme="majorEastAsia" w:eastAsiaTheme="majorEastAsia"/>
          <w:b/>
          <w:sz w:val="21"/>
          <w:szCs w:val="21"/>
        </w:rPr>
        <w:t>报价部分………………………………………………………………10分</w:t>
      </w:r>
      <w:bookmarkEnd w:id="210"/>
      <w:bookmarkEnd w:id="211"/>
      <w:bookmarkEnd w:id="212"/>
      <w:bookmarkEnd w:id="213"/>
    </w:p>
    <w:p>
      <w:pPr>
        <w:spacing w:line="360" w:lineRule="auto"/>
        <w:ind w:firstLine="420" w:firstLineChars="200"/>
        <w:rPr>
          <w:rFonts w:asciiTheme="majorEastAsia" w:hAnsiTheme="majorEastAsia" w:eastAsiaTheme="majorEastAsia"/>
          <w:sz w:val="21"/>
          <w:szCs w:val="21"/>
        </w:rPr>
      </w:pPr>
      <w:bookmarkStart w:id="214" w:name="_Toc13949"/>
      <w:bookmarkStart w:id="215" w:name="_Toc6979"/>
      <w:bookmarkStart w:id="216" w:name="_Toc8466"/>
      <w:bookmarkStart w:id="217" w:name="_Toc19778"/>
      <w:r>
        <w:rPr>
          <w:rFonts w:asciiTheme="majorEastAsia" w:hAnsiTheme="majorEastAsia" w:eastAsiaTheme="majorEastAsia"/>
          <w:sz w:val="21"/>
          <w:szCs w:val="21"/>
        </w:rPr>
        <w:t>（1）对于非专门面向中小企业的项目，对小型和微型企业产品的价格给予10%的价格扣除，扣除后的价格为评标价，即评标价＝投标报价×（1-10%）；（以投标人按第五章“投标文件格式”要求提供的《报价表》和《中小企业声明函》为评分依据）</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五章“投标文件格式”要求提供的《报价表》、《中小企业声明函》和《联合体协议书》为评分依据）</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投标人按第五章“投标文件格式”要求提供的《报价表》和《残疾人福利性单位声明函》为评分依据）。</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（5）除上述情况外，评标价＝投标报价；</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（6）价格分计算公式：</w:t>
      </w:r>
    </w:p>
    <w:p>
      <w:pPr>
        <w:pStyle w:val="13"/>
        <w:spacing w:line="300" w:lineRule="exact"/>
        <w:ind w:firstLine="404"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           　　                投标人最低评标价金额</w:t>
      </w:r>
    </w:p>
    <w:p>
      <w:pPr>
        <w:pStyle w:val="13"/>
        <w:spacing w:line="300" w:lineRule="exact"/>
        <w:ind w:firstLine="1010" w:firstLineChars="500"/>
        <w:rPr>
          <w:rFonts w:asciiTheme="majorEastAsia" w:hAnsiTheme="majorEastAsia" w:eastAsiaTheme="majorEastAsia"/>
          <w:sz w:val="21"/>
          <w:szCs w:val="21"/>
        </w:rPr>
      </w:pPr>
      <w:r>
        <w:rPr>
          <w:rFonts w:asciiTheme="majorEastAsia" w:hAnsiTheme="majorEastAsia" w:eastAsiaTheme="majorEastAsia"/>
          <w:sz w:val="21"/>
          <w:szCs w:val="21"/>
        </w:rPr>
        <w:pict>
          <v:line id="_x0000_s1026" o:spid="_x0000_s1026" o:spt="20" style="position:absolute;left:0pt;margin-left:154.85pt;margin-top:8.4pt;height:0pt;width:131.55pt;z-index:251658240;mso-width-relative:page;mso-height-relative:page;" coordsize="21600,21600" o:gfxdata="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CaMy1gAAAAkBAAAPAAAAAAAAAAEAIAAAACIAAABkcnMvZG93bnJldi54bWxQSwECFAAUAAAA&#10;CACHTuJA3cP5r/ABAADmAwAADgAAAAAAAAABACAAAAAlAQAAZHJzL2Uyb0RvYy54bWxQSwUGAAAA&#10;AAYABgBZAQAAhwUAAAAA&#10;">
            <v:path arrowok="t"/>
            <v:fill focussize="0,0"/>
            <v:stroke/>
            <v:imagedata o:title=""/>
            <o:lock v:ext="edit"/>
          </v:line>
        </w:pict>
      </w:r>
      <w:r>
        <w:rPr>
          <w:rFonts w:asciiTheme="majorEastAsia" w:hAnsiTheme="majorEastAsia" w:eastAsiaTheme="majorEastAsia"/>
          <w:sz w:val="21"/>
          <w:szCs w:val="21"/>
        </w:rPr>
        <w:t>某投标人价格分 ＝                               ×　10分</w:t>
      </w:r>
    </w:p>
    <w:p>
      <w:pPr>
        <w:pStyle w:val="13"/>
        <w:spacing w:line="300" w:lineRule="exact"/>
        <w:ind w:firstLine="404" w:firstLineChars="200"/>
        <w:rPr>
          <w:rFonts w:asciiTheme="majorEastAsia" w:hAnsiTheme="majorEastAsia" w:eastAsiaTheme="majorEastAsia"/>
          <w:kern w:val="0"/>
          <w:sz w:val="21"/>
          <w:szCs w:val="21"/>
        </w:rPr>
      </w:pPr>
      <w:r>
        <w:rPr>
          <w:rFonts w:asciiTheme="majorEastAsia" w:hAnsiTheme="majorEastAsia" w:eastAsiaTheme="majorEastAsia"/>
          <w:sz w:val="21"/>
          <w:szCs w:val="21"/>
        </w:rPr>
        <w:t xml:space="preserve">                   　           某投标人评标价金额</w:t>
      </w:r>
    </w:p>
    <w:p>
      <w:pPr>
        <w:pStyle w:val="3"/>
        <w:spacing w:before="0" w:after="0" w:line="440" w:lineRule="exact"/>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技术与商务部分………………………………………………………………………90分</w:t>
      </w:r>
      <w:bookmarkEnd w:id="214"/>
      <w:bookmarkEnd w:id="215"/>
      <w:bookmarkEnd w:id="216"/>
      <w:bookmarkEnd w:id="217"/>
    </w:p>
    <w:p>
      <w:pPr>
        <w:snapToGrid w:val="0"/>
        <w:spacing w:line="440" w:lineRule="exact"/>
        <w:ind w:firstLine="413" w:firstLineChars="196"/>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sz w:val="21"/>
          <w:szCs w:val="21"/>
        </w:rPr>
        <w:t>（1）技术分评分标准（满分35分）</w:t>
      </w:r>
    </w:p>
    <w:tbl>
      <w:tblPr>
        <w:tblStyle w:val="27"/>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417"/>
        <w:gridCol w:w="5245"/>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846" w:type="dxa"/>
            <w:shd w:val="clear" w:color="auto" w:fill="auto"/>
            <w:vAlign w:val="center"/>
          </w:tcPr>
          <w:p>
            <w:pPr>
              <w:snapToGrid w:val="0"/>
              <w:spacing w:line="320" w:lineRule="exact"/>
              <w:rPr>
                <w:rFonts w:ascii="宋体" w:hAnsi="宋体" w:cs="宋体"/>
                <w:b/>
                <w:kern w:val="0"/>
                <w:sz w:val="21"/>
                <w:szCs w:val="21"/>
              </w:rPr>
            </w:pPr>
            <w:r>
              <w:rPr>
                <w:rFonts w:hint="eastAsia" w:ascii="宋体" w:hAnsi="宋体" w:cs="宋体"/>
                <w:b/>
                <w:kern w:val="0"/>
                <w:sz w:val="21"/>
                <w:szCs w:val="21"/>
              </w:rPr>
              <w:t>序号</w:t>
            </w:r>
          </w:p>
        </w:tc>
        <w:tc>
          <w:tcPr>
            <w:tcW w:w="1417" w:type="dxa"/>
            <w:shd w:val="clear" w:color="auto" w:fill="auto"/>
            <w:vAlign w:val="center"/>
          </w:tcPr>
          <w:p>
            <w:pPr>
              <w:snapToGrid w:val="0"/>
              <w:spacing w:line="320" w:lineRule="exact"/>
              <w:rPr>
                <w:rFonts w:ascii="宋体" w:hAnsi="宋体" w:cs="宋体"/>
                <w:b/>
                <w:kern w:val="0"/>
                <w:sz w:val="21"/>
                <w:szCs w:val="21"/>
              </w:rPr>
            </w:pPr>
            <w:r>
              <w:rPr>
                <w:rFonts w:hint="eastAsia" w:ascii="宋体" w:hAnsi="宋体" w:cs="宋体"/>
                <w:b/>
                <w:kern w:val="0"/>
                <w:sz w:val="21"/>
                <w:szCs w:val="21"/>
              </w:rPr>
              <w:t>评分项目</w:t>
            </w:r>
          </w:p>
        </w:tc>
        <w:tc>
          <w:tcPr>
            <w:tcW w:w="5245" w:type="dxa"/>
            <w:shd w:val="clear" w:color="auto" w:fill="auto"/>
            <w:vAlign w:val="center"/>
          </w:tcPr>
          <w:p>
            <w:pPr>
              <w:snapToGrid w:val="0"/>
              <w:spacing w:line="320" w:lineRule="exact"/>
              <w:ind w:firstLine="482"/>
              <w:jc w:val="center"/>
              <w:rPr>
                <w:rFonts w:ascii="宋体" w:hAnsi="宋体" w:cs="宋体"/>
                <w:b/>
                <w:kern w:val="0"/>
                <w:sz w:val="21"/>
                <w:szCs w:val="21"/>
              </w:rPr>
            </w:pPr>
            <w:r>
              <w:rPr>
                <w:rFonts w:hint="eastAsia" w:ascii="宋体" w:hAnsi="宋体" w:cs="宋体"/>
                <w:b/>
                <w:kern w:val="0"/>
                <w:sz w:val="21"/>
                <w:szCs w:val="21"/>
              </w:rPr>
              <w:t>评分细则</w:t>
            </w:r>
          </w:p>
        </w:tc>
        <w:tc>
          <w:tcPr>
            <w:tcW w:w="788" w:type="dxa"/>
            <w:shd w:val="clear" w:color="auto" w:fill="auto"/>
            <w:vAlign w:val="center"/>
          </w:tcPr>
          <w:p>
            <w:pPr>
              <w:snapToGrid w:val="0"/>
              <w:spacing w:line="320" w:lineRule="exact"/>
              <w:rPr>
                <w:rFonts w:ascii="宋体" w:hAnsi="宋体" w:cs="宋体"/>
                <w:b/>
                <w:kern w:val="0"/>
                <w:sz w:val="21"/>
                <w:szCs w:val="21"/>
              </w:rPr>
            </w:pPr>
            <w:r>
              <w:rPr>
                <w:rFonts w:hint="eastAsia" w:ascii="宋体" w:hAnsi="宋体" w:cs="宋体"/>
                <w:b/>
                <w:kern w:val="0"/>
                <w:sz w:val="21"/>
                <w:szCs w:val="21"/>
              </w:rPr>
              <w:t>单项分</w:t>
            </w:r>
            <w:r>
              <w:rPr>
                <w:rFonts w:hint="eastAsia" w:ascii="宋体" w:hAnsi="宋体" w:cs="宋体"/>
                <w:b/>
                <w:kern w:val="0"/>
                <w:sz w:val="21"/>
                <w:szCs w:val="21"/>
                <w:lang w:val="en-US" w:eastAsia="zh-CN"/>
              </w:rPr>
              <w:t xml:space="preserve"> </w:t>
            </w:r>
            <w:r>
              <w:rPr>
                <w:rFonts w:hint="eastAsia" w:ascii="宋体" w:hAnsi="宋体" w:cs="宋体"/>
                <w:b/>
                <w:kern w:val="0"/>
                <w:sz w:val="21"/>
                <w:szCs w:val="21"/>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shd w:val="clear" w:color="auto" w:fill="auto"/>
            <w:vAlign w:val="center"/>
          </w:tcPr>
          <w:p>
            <w:pPr>
              <w:snapToGrid w:val="0"/>
              <w:spacing w:line="320" w:lineRule="exact"/>
              <w:ind w:firstLine="174" w:firstLineChars="83"/>
              <w:rPr>
                <w:rFonts w:ascii="宋体" w:hAnsi="宋体" w:cs="宋体"/>
                <w:kern w:val="0"/>
                <w:sz w:val="21"/>
                <w:szCs w:val="21"/>
              </w:rPr>
            </w:pPr>
            <w:r>
              <w:rPr>
                <w:rFonts w:hint="eastAsia" w:ascii="宋体" w:hAnsi="宋体" w:cs="宋体"/>
                <w:kern w:val="0"/>
                <w:sz w:val="21"/>
                <w:szCs w:val="21"/>
              </w:rPr>
              <w:t>1</w:t>
            </w:r>
          </w:p>
        </w:tc>
        <w:tc>
          <w:tcPr>
            <w:tcW w:w="1417"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对项目背景的理解</w:t>
            </w:r>
          </w:p>
        </w:tc>
        <w:tc>
          <w:tcPr>
            <w:tcW w:w="5245" w:type="dxa"/>
            <w:shd w:val="clear" w:color="auto" w:fill="auto"/>
            <w:vAlign w:val="center"/>
          </w:tcPr>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对项目背景，对项目意图、发展趋势、上层次相关规划等情况的理解程度。</w:t>
            </w:r>
          </w:p>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（1）了解充分，对项目意图、发展趋势、上层次相关规划等情况理解全面的，得5分。</w:t>
            </w:r>
          </w:p>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（2）了解比较充分，对项目意图、发展趋势、上层次相关规划等情况有基本认识，得3分。</w:t>
            </w:r>
          </w:p>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（3）了解一般，得1分。</w:t>
            </w:r>
          </w:p>
        </w:tc>
        <w:tc>
          <w:tcPr>
            <w:tcW w:w="788"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shd w:val="clear" w:color="auto" w:fill="auto"/>
            <w:vAlign w:val="center"/>
          </w:tcPr>
          <w:p>
            <w:pPr>
              <w:snapToGrid w:val="0"/>
              <w:spacing w:line="320" w:lineRule="exact"/>
              <w:ind w:firstLine="174" w:firstLineChars="83"/>
              <w:rPr>
                <w:rFonts w:ascii="宋体" w:hAnsi="宋体" w:cs="宋体"/>
                <w:kern w:val="0"/>
                <w:sz w:val="21"/>
                <w:szCs w:val="21"/>
              </w:rPr>
            </w:pPr>
            <w:r>
              <w:rPr>
                <w:rFonts w:hint="eastAsia" w:ascii="宋体" w:hAnsi="宋体" w:cs="宋体"/>
                <w:kern w:val="0"/>
                <w:sz w:val="21"/>
                <w:szCs w:val="21"/>
              </w:rPr>
              <w:t>2</w:t>
            </w:r>
          </w:p>
        </w:tc>
        <w:tc>
          <w:tcPr>
            <w:tcW w:w="1417"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对平果市现状情况的认知</w:t>
            </w:r>
          </w:p>
        </w:tc>
        <w:tc>
          <w:tcPr>
            <w:tcW w:w="5245" w:type="dxa"/>
            <w:shd w:val="clear" w:color="auto" w:fill="auto"/>
            <w:vAlign w:val="center"/>
          </w:tcPr>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（1）充分熟悉平果市的现状情况，对平果市的概况、产业、人口、空间、交通现状等相关内容分析到位,得8分；</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（2）有一定认识，现状情况掌握一般的，得5分；</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（3）认识有限，现状情况掌握较差的，得2分。</w:t>
            </w:r>
          </w:p>
        </w:tc>
        <w:tc>
          <w:tcPr>
            <w:tcW w:w="788"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6" w:type="dxa"/>
            <w:shd w:val="clear" w:color="auto" w:fill="auto"/>
            <w:vAlign w:val="center"/>
          </w:tcPr>
          <w:p>
            <w:pPr>
              <w:snapToGrid w:val="0"/>
              <w:spacing w:line="320" w:lineRule="exact"/>
              <w:ind w:firstLine="174" w:firstLineChars="83"/>
              <w:rPr>
                <w:rFonts w:ascii="宋体" w:hAnsi="宋体" w:cs="宋体"/>
                <w:kern w:val="0"/>
                <w:sz w:val="21"/>
                <w:szCs w:val="21"/>
              </w:rPr>
            </w:pPr>
            <w:r>
              <w:rPr>
                <w:rFonts w:hint="eastAsia" w:ascii="宋体" w:hAnsi="宋体" w:cs="宋体"/>
                <w:kern w:val="0"/>
                <w:sz w:val="21"/>
                <w:szCs w:val="21"/>
              </w:rPr>
              <w:t>3</w:t>
            </w:r>
          </w:p>
        </w:tc>
        <w:tc>
          <w:tcPr>
            <w:tcW w:w="1417"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对项目重难点的理解</w:t>
            </w:r>
          </w:p>
        </w:tc>
        <w:tc>
          <w:tcPr>
            <w:tcW w:w="5245" w:type="dxa"/>
            <w:shd w:val="clear" w:color="auto" w:fill="auto"/>
            <w:vAlign w:val="center"/>
          </w:tcPr>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（1）如何加强自然生态文明建设，系统推进山水林田湖生态保护修复，落实自然生态格局构建要求。</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（2）如何科学制定发展战略重点，提升城市竞争力。</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（3）如何传承平果历史文化，塑造城市特色。</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（4）如何建立科学的规划传导机制，落实各类底线管控要求，守住刚性，留足弹性。</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以上4部分内容，理解深刻的得9-12分，理解一般的得5-8分，理解较差的得0-4分。</w:t>
            </w:r>
          </w:p>
        </w:tc>
        <w:tc>
          <w:tcPr>
            <w:tcW w:w="788"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shd w:val="clear" w:color="auto" w:fill="auto"/>
            <w:vAlign w:val="center"/>
          </w:tcPr>
          <w:p>
            <w:pPr>
              <w:snapToGrid w:val="0"/>
              <w:spacing w:line="320" w:lineRule="exact"/>
              <w:ind w:firstLine="174" w:firstLineChars="83"/>
              <w:rPr>
                <w:rFonts w:ascii="宋体" w:hAnsi="宋体" w:cs="宋体"/>
                <w:kern w:val="0"/>
                <w:sz w:val="21"/>
                <w:szCs w:val="21"/>
              </w:rPr>
            </w:pPr>
            <w:r>
              <w:rPr>
                <w:rFonts w:hint="eastAsia" w:ascii="宋体" w:hAnsi="宋体" w:cs="宋体"/>
                <w:kern w:val="0"/>
                <w:sz w:val="21"/>
                <w:szCs w:val="21"/>
              </w:rPr>
              <w:t>4</w:t>
            </w:r>
          </w:p>
        </w:tc>
        <w:tc>
          <w:tcPr>
            <w:tcW w:w="1417"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项目研究思路及技术路线</w:t>
            </w:r>
          </w:p>
        </w:tc>
        <w:tc>
          <w:tcPr>
            <w:tcW w:w="5245" w:type="dxa"/>
            <w:shd w:val="clear" w:color="auto" w:fill="auto"/>
            <w:vAlign w:val="center"/>
          </w:tcPr>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（1）研究思路和技术路线合理可行，得6分。</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（2）研究思路和技术路线基本合理可行，得3分。</w:t>
            </w:r>
          </w:p>
          <w:p>
            <w:pPr>
              <w:widowControl/>
              <w:snapToGrid w:val="0"/>
              <w:spacing w:line="320" w:lineRule="exact"/>
              <w:ind w:firstLine="480"/>
              <w:jc w:val="left"/>
              <w:rPr>
                <w:rFonts w:ascii="宋体" w:hAnsi="宋体" w:cs="宋体"/>
                <w:kern w:val="0"/>
                <w:sz w:val="21"/>
                <w:szCs w:val="21"/>
              </w:rPr>
            </w:pPr>
            <w:r>
              <w:rPr>
                <w:rFonts w:hint="eastAsia" w:ascii="宋体" w:hAnsi="宋体" w:cs="宋体"/>
                <w:kern w:val="0"/>
                <w:sz w:val="21"/>
                <w:szCs w:val="21"/>
              </w:rPr>
              <w:t>（3）研究方法和技术路线一般，得1分。</w:t>
            </w:r>
          </w:p>
        </w:tc>
        <w:tc>
          <w:tcPr>
            <w:tcW w:w="788"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shd w:val="clear" w:color="auto" w:fill="auto"/>
            <w:vAlign w:val="center"/>
          </w:tcPr>
          <w:p>
            <w:pPr>
              <w:snapToGrid w:val="0"/>
              <w:spacing w:line="320" w:lineRule="exact"/>
              <w:ind w:firstLine="480"/>
              <w:jc w:val="center"/>
              <w:rPr>
                <w:rFonts w:ascii="宋体" w:hAnsi="宋体" w:cs="宋体"/>
                <w:kern w:val="0"/>
                <w:sz w:val="21"/>
                <w:szCs w:val="21"/>
              </w:rPr>
            </w:pPr>
            <w:r>
              <w:rPr>
                <w:rFonts w:hint="eastAsia" w:ascii="宋体" w:hAnsi="宋体" w:cs="宋体"/>
                <w:kern w:val="0"/>
                <w:sz w:val="21"/>
                <w:szCs w:val="21"/>
              </w:rPr>
              <w:t>5</w:t>
            </w:r>
          </w:p>
        </w:tc>
        <w:tc>
          <w:tcPr>
            <w:tcW w:w="1417"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工作时间与进度计划、质量和技术保障和后期服务措施</w:t>
            </w:r>
          </w:p>
        </w:tc>
        <w:tc>
          <w:tcPr>
            <w:tcW w:w="5245" w:type="dxa"/>
            <w:shd w:val="clear" w:color="auto" w:fill="auto"/>
            <w:vAlign w:val="center"/>
          </w:tcPr>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（1）工作进度安排合理，质量和技术保障措施可行，承诺提供后期服务，具有对本地区规划长期跟踪研究服务的能力，得4分；</w:t>
            </w:r>
          </w:p>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（2）工作进度安排基本合理，有一定的项目质量和技术保障措施，承诺提供后续服务，服务内容含糊不确定；得2分；</w:t>
            </w:r>
          </w:p>
          <w:p>
            <w:pPr>
              <w:snapToGrid w:val="0"/>
              <w:spacing w:line="320" w:lineRule="exact"/>
              <w:ind w:firstLine="480"/>
              <w:rPr>
                <w:rFonts w:ascii="宋体" w:hAnsi="宋体" w:cs="宋体"/>
                <w:kern w:val="0"/>
                <w:sz w:val="21"/>
                <w:szCs w:val="21"/>
              </w:rPr>
            </w:pPr>
            <w:r>
              <w:rPr>
                <w:rFonts w:hint="eastAsia" w:ascii="宋体" w:hAnsi="宋体" w:cs="宋体"/>
                <w:kern w:val="0"/>
                <w:sz w:val="21"/>
                <w:szCs w:val="21"/>
              </w:rPr>
              <w:t>（3）工作进度安排不合理，没有承诺提供后期服务，得1分。</w:t>
            </w:r>
          </w:p>
        </w:tc>
        <w:tc>
          <w:tcPr>
            <w:tcW w:w="788" w:type="dxa"/>
            <w:shd w:val="clear" w:color="auto" w:fill="auto"/>
            <w:vAlign w:val="center"/>
          </w:tcPr>
          <w:p>
            <w:pPr>
              <w:snapToGrid w:val="0"/>
              <w:spacing w:line="320" w:lineRule="exact"/>
              <w:rPr>
                <w:rFonts w:ascii="宋体" w:hAnsi="宋体" w:cs="宋体"/>
                <w:kern w:val="0"/>
                <w:sz w:val="21"/>
                <w:szCs w:val="21"/>
              </w:rPr>
            </w:pPr>
            <w:r>
              <w:rPr>
                <w:rFonts w:hint="eastAsia" w:ascii="宋体" w:hAnsi="宋体" w:cs="宋体"/>
                <w:kern w:val="0"/>
                <w:sz w:val="21"/>
                <w:szCs w:val="21"/>
              </w:rPr>
              <w:t>4分</w:t>
            </w:r>
          </w:p>
        </w:tc>
      </w:tr>
    </w:tbl>
    <w:p>
      <w:pPr>
        <w:widowControl/>
        <w:spacing w:after="156"/>
        <w:jc w:val="left"/>
        <w:rPr>
          <w:rFonts w:ascii="宋体" w:hAnsi="宋体" w:cs="宋体"/>
          <w:b/>
          <w:sz w:val="21"/>
          <w:szCs w:val="21"/>
        </w:rPr>
      </w:pPr>
    </w:p>
    <w:p>
      <w:pPr>
        <w:widowControl/>
        <w:spacing w:after="156"/>
        <w:jc w:val="left"/>
        <w:rPr>
          <w:rFonts w:ascii="宋体" w:hAnsi="宋体" w:cs="宋体"/>
          <w:b/>
          <w:sz w:val="21"/>
          <w:szCs w:val="21"/>
        </w:rPr>
      </w:pPr>
      <w:r>
        <w:rPr>
          <w:rFonts w:hint="eastAsia" w:ascii="宋体" w:hAnsi="宋体" w:cs="宋体"/>
          <w:b/>
          <w:sz w:val="21"/>
          <w:szCs w:val="21"/>
        </w:rPr>
        <w:t>（2）商务分评分标准（满分55分）</w:t>
      </w:r>
    </w:p>
    <w:tbl>
      <w:tblPr>
        <w:tblStyle w:val="27"/>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992"/>
        <w:gridCol w:w="581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4" w:hRule="atLeast"/>
          <w:jc w:val="center"/>
        </w:trPr>
        <w:tc>
          <w:tcPr>
            <w:tcW w:w="704" w:type="dxa"/>
            <w:shd w:val="clear" w:color="auto" w:fill="auto"/>
            <w:vAlign w:val="center"/>
          </w:tcPr>
          <w:p>
            <w:pPr>
              <w:snapToGrid w:val="0"/>
              <w:spacing w:after="156"/>
              <w:rPr>
                <w:rFonts w:ascii="宋体" w:hAnsi="宋体" w:cs="宋体"/>
                <w:b/>
                <w:kern w:val="0"/>
                <w:sz w:val="21"/>
                <w:szCs w:val="21"/>
              </w:rPr>
            </w:pPr>
            <w:r>
              <w:rPr>
                <w:rFonts w:hint="eastAsia" w:ascii="宋体" w:hAnsi="宋体" w:cs="宋体"/>
                <w:b/>
                <w:kern w:val="0"/>
                <w:sz w:val="21"/>
                <w:szCs w:val="21"/>
              </w:rPr>
              <w:t>序号</w:t>
            </w:r>
          </w:p>
        </w:tc>
        <w:tc>
          <w:tcPr>
            <w:tcW w:w="992" w:type="dxa"/>
            <w:shd w:val="clear" w:color="auto" w:fill="auto"/>
            <w:vAlign w:val="center"/>
          </w:tcPr>
          <w:p>
            <w:pPr>
              <w:snapToGrid w:val="0"/>
              <w:spacing w:after="156"/>
              <w:rPr>
                <w:rFonts w:ascii="宋体" w:hAnsi="宋体" w:cs="宋体"/>
                <w:b/>
                <w:kern w:val="0"/>
                <w:sz w:val="21"/>
                <w:szCs w:val="21"/>
              </w:rPr>
            </w:pPr>
            <w:r>
              <w:rPr>
                <w:rFonts w:hint="eastAsia" w:ascii="宋体" w:hAnsi="宋体" w:cs="宋体"/>
                <w:b/>
                <w:kern w:val="0"/>
                <w:sz w:val="21"/>
                <w:szCs w:val="21"/>
              </w:rPr>
              <w:t>评分项目</w:t>
            </w:r>
          </w:p>
        </w:tc>
        <w:tc>
          <w:tcPr>
            <w:tcW w:w="5812" w:type="dxa"/>
            <w:shd w:val="clear" w:color="auto" w:fill="auto"/>
            <w:vAlign w:val="center"/>
          </w:tcPr>
          <w:p>
            <w:pPr>
              <w:snapToGrid w:val="0"/>
              <w:spacing w:after="156"/>
              <w:ind w:firstLine="480"/>
              <w:jc w:val="center"/>
              <w:rPr>
                <w:rFonts w:ascii="宋体" w:hAnsi="宋体" w:cs="宋体"/>
                <w:b/>
                <w:kern w:val="0"/>
                <w:sz w:val="21"/>
                <w:szCs w:val="21"/>
              </w:rPr>
            </w:pPr>
            <w:r>
              <w:rPr>
                <w:rFonts w:hint="eastAsia" w:ascii="宋体" w:hAnsi="宋体" w:cs="宋体"/>
                <w:b/>
                <w:kern w:val="0"/>
                <w:sz w:val="21"/>
                <w:szCs w:val="21"/>
              </w:rPr>
              <w:t>评分细则</w:t>
            </w:r>
          </w:p>
        </w:tc>
        <w:tc>
          <w:tcPr>
            <w:tcW w:w="851" w:type="dxa"/>
            <w:shd w:val="clear" w:color="auto" w:fill="auto"/>
            <w:vAlign w:val="center"/>
          </w:tcPr>
          <w:p>
            <w:pPr>
              <w:snapToGrid w:val="0"/>
              <w:spacing w:after="156"/>
              <w:rPr>
                <w:rFonts w:ascii="宋体" w:hAnsi="宋体" w:cs="宋体"/>
                <w:b/>
                <w:kern w:val="0"/>
                <w:sz w:val="21"/>
                <w:szCs w:val="21"/>
              </w:rPr>
            </w:pPr>
            <w:r>
              <w:rPr>
                <w:rFonts w:hint="eastAsia" w:ascii="宋体" w:hAnsi="宋体" w:cs="宋体"/>
                <w:b/>
                <w:kern w:val="0"/>
                <w:sz w:val="21"/>
                <w:szCs w:val="21"/>
              </w:rPr>
              <w:t>单项得分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8" w:hRule="atLeast"/>
          <w:jc w:val="center"/>
        </w:trPr>
        <w:tc>
          <w:tcPr>
            <w:tcW w:w="704" w:type="dxa"/>
            <w:vMerge w:val="restart"/>
            <w:shd w:val="clear" w:color="auto" w:fill="auto"/>
            <w:vAlign w:val="center"/>
          </w:tcPr>
          <w:p>
            <w:pPr>
              <w:spacing w:after="156"/>
              <w:ind w:firstLine="174" w:firstLineChars="83"/>
              <w:rPr>
                <w:rFonts w:ascii="宋体" w:hAnsi="宋体" w:cs="宋体"/>
                <w:kern w:val="0"/>
                <w:sz w:val="21"/>
                <w:szCs w:val="21"/>
              </w:rPr>
            </w:pPr>
            <w:r>
              <w:rPr>
                <w:rFonts w:hint="eastAsia" w:ascii="宋体" w:hAnsi="宋体" w:cs="宋体"/>
                <w:kern w:val="0"/>
                <w:sz w:val="21"/>
                <w:szCs w:val="21"/>
              </w:rPr>
              <w:t>1</w:t>
            </w:r>
          </w:p>
        </w:tc>
        <w:tc>
          <w:tcPr>
            <w:tcW w:w="992" w:type="dxa"/>
            <w:vMerge w:val="restart"/>
            <w:shd w:val="clear" w:color="auto" w:fill="auto"/>
            <w:vAlign w:val="center"/>
          </w:tcPr>
          <w:p>
            <w:pPr>
              <w:spacing w:after="156"/>
              <w:rPr>
                <w:rFonts w:ascii="宋体" w:hAnsi="宋体" w:cs="宋体"/>
                <w:kern w:val="0"/>
                <w:sz w:val="21"/>
                <w:szCs w:val="21"/>
              </w:rPr>
            </w:pPr>
            <w:r>
              <w:rPr>
                <w:rFonts w:hint="eastAsia" w:ascii="宋体" w:hAnsi="宋体" w:cs="宋体"/>
                <w:kern w:val="0"/>
                <w:sz w:val="21"/>
                <w:szCs w:val="21"/>
              </w:rPr>
              <w:t>企业实力评价</w:t>
            </w:r>
          </w:p>
          <w:p>
            <w:pPr>
              <w:spacing w:after="156"/>
              <w:rPr>
                <w:rFonts w:ascii="宋体" w:hAnsi="宋体" w:cs="宋体"/>
                <w:kern w:val="0"/>
                <w:sz w:val="21"/>
                <w:szCs w:val="21"/>
              </w:rPr>
            </w:pPr>
            <w:r>
              <w:rPr>
                <w:rFonts w:hint="eastAsia" w:ascii="宋体" w:hAnsi="宋体" w:cs="宋体"/>
                <w:kern w:val="0"/>
                <w:sz w:val="21"/>
                <w:szCs w:val="21"/>
              </w:rPr>
              <w:t>（43分）</w:t>
            </w:r>
          </w:p>
        </w:tc>
        <w:tc>
          <w:tcPr>
            <w:tcW w:w="5812" w:type="dxa"/>
            <w:shd w:val="clear" w:color="auto" w:fill="auto"/>
            <w:vAlign w:val="center"/>
          </w:tcPr>
          <w:p>
            <w:pPr>
              <w:spacing w:after="156"/>
              <w:ind w:firstLine="480"/>
              <w:rPr>
                <w:rFonts w:ascii="宋体" w:hAnsi="宋体" w:cs="宋体"/>
                <w:b/>
                <w:bCs/>
                <w:kern w:val="0"/>
                <w:sz w:val="21"/>
                <w:szCs w:val="21"/>
              </w:rPr>
            </w:pPr>
            <w:r>
              <w:rPr>
                <w:rFonts w:hint="eastAsia" w:ascii="宋体" w:hAnsi="宋体" w:cs="宋体"/>
                <w:kern w:val="0"/>
                <w:sz w:val="21"/>
                <w:szCs w:val="21"/>
              </w:rPr>
              <w:t>（1）供应商具有城乡规划甲级、土地规划甲级、市政行业（给水工程、排水工程、道路工程、桥梁工程、城市隧道工程）专业甲级资质、建筑行业（建筑工程）甲级资质、风景园林工程设计专项甲级资质和测绘甲级资质（含地理信息系统工程）六项资质的，得15分；具有以上4-5项资质的，得7分；具有以上3项资质的，得3分；其他不得分。（城乡规划、土地规划资质，由于机构调整影响，行政主管部门不再受理甲级资质申报，可提供原有规划资质）</w:t>
            </w:r>
          </w:p>
        </w:tc>
        <w:tc>
          <w:tcPr>
            <w:tcW w:w="851" w:type="dxa"/>
            <w:shd w:val="clear" w:color="auto" w:fill="auto"/>
            <w:vAlign w:val="center"/>
          </w:tcPr>
          <w:p>
            <w:pPr>
              <w:spacing w:after="156"/>
              <w:rPr>
                <w:rFonts w:ascii="宋体" w:hAnsi="宋体" w:cs="宋体"/>
                <w:kern w:val="0"/>
                <w:sz w:val="21"/>
                <w:szCs w:val="21"/>
              </w:rPr>
            </w:pPr>
            <w:r>
              <w:rPr>
                <w:rFonts w:hint="eastAsia" w:ascii="宋体" w:hAnsi="宋体" w:cs="宋体"/>
                <w:kern w:val="0"/>
                <w:sz w:val="21"/>
                <w:szCs w:val="21"/>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53" w:hRule="atLeas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5812" w:type="dxa"/>
            <w:shd w:val="clear" w:color="auto" w:fill="auto"/>
            <w:vAlign w:val="center"/>
          </w:tcPr>
          <w:p>
            <w:pPr>
              <w:snapToGrid w:val="0"/>
              <w:spacing w:after="156"/>
              <w:ind w:firstLine="480"/>
              <w:jc w:val="left"/>
              <w:rPr>
                <w:rFonts w:ascii="宋体" w:hAnsi="宋体" w:cs="宋体"/>
                <w:kern w:val="0"/>
                <w:sz w:val="21"/>
                <w:szCs w:val="21"/>
              </w:rPr>
            </w:pPr>
            <w:r>
              <w:rPr>
                <w:rFonts w:hint="eastAsia" w:ascii="宋体" w:hAnsi="宋体" w:cs="宋体"/>
                <w:kern w:val="0"/>
                <w:sz w:val="21"/>
                <w:szCs w:val="21"/>
              </w:rPr>
              <w:t>（2）供应商自2015年1月1日以来（以获奖证书颁发时间为准），获得城乡规划主管部门或相应行业协会颁发的全国城乡规划设计（城市规划类）一等奖，每个得3分，获得二等奖（城市规划类）的，每个得1分，获得三等奖（城市规划类）的，每个得0.5分，累计不超过15分；获得国土资源主管部门或相应行业协会颁发的国土资源科学技术奖省级及以上一等奖的，每个得2分，获得省级及以上二等奖的，每个得1分，三等奖的，每个得0.5分，累计不超过5分。</w:t>
            </w:r>
          </w:p>
        </w:tc>
        <w:tc>
          <w:tcPr>
            <w:tcW w:w="851"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8" w:hRule="atLeas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5812" w:type="dxa"/>
            <w:shd w:val="clear" w:color="auto" w:fill="auto"/>
            <w:vAlign w:val="center"/>
          </w:tcPr>
          <w:p>
            <w:pPr>
              <w:widowControl/>
              <w:snapToGrid w:val="0"/>
              <w:spacing w:after="156"/>
              <w:ind w:firstLine="480"/>
              <w:jc w:val="left"/>
              <w:rPr>
                <w:rFonts w:ascii="宋体" w:hAnsi="宋体" w:cs="宋体"/>
                <w:kern w:val="0"/>
                <w:sz w:val="21"/>
                <w:szCs w:val="21"/>
              </w:rPr>
            </w:pPr>
            <w:r>
              <w:rPr>
                <w:rFonts w:hint="eastAsia" w:ascii="宋体" w:hAnsi="宋体" w:cs="宋体"/>
                <w:kern w:val="0"/>
                <w:sz w:val="21"/>
                <w:szCs w:val="21"/>
              </w:rPr>
              <w:t>（3）同时具有有效的质量管理体系认证证书、环境管理体系认证证书和职业健康安全管理体系认证证书，得2分，否则不得分。</w:t>
            </w:r>
          </w:p>
        </w:tc>
        <w:tc>
          <w:tcPr>
            <w:tcW w:w="851"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7" w:hRule="atLeas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5812" w:type="dxa"/>
            <w:shd w:val="clear" w:color="auto" w:fill="auto"/>
            <w:vAlign w:val="center"/>
          </w:tcPr>
          <w:p>
            <w:pPr>
              <w:widowControl/>
              <w:snapToGrid w:val="0"/>
              <w:spacing w:after="156"/>
              <w:ind w:firstLine="480"/>
              <w:jc w:val="left"/>
              <w:rPr>
                <w:rFonts w:ascii="宋体" w:hAnsi="宋体" w:cs="宋体"/>
                <w:kern w:val="0"/>
                <w:sz w:val="21"/>
                <w:szCs w:val="21"/>
              </w:rPr>
            </w:pPr>
            <w:r>
              <w:rPr>
                <w:rFonts w:hint="eastAsia" w:ascii="宋体" w:hAnsi="宋体" w:cs="宋体"/>
                <w:kern w:val="0"/>
                <w:sz w:val="21"/>
                <w:szCs w:val="21"/>
              </w:rPr>
              <w:t>（4）具有工程勘察设计行业质量管理体系升级版</w:t>
            </w:r>
            <w:r>
              <w:rPr>
                <w:rFonts w:hint="eastAsia" w:ascii="宋体" w:hAnsi="宋体" w:cs="宋体"/>
                <w:bCs/>
                <w:kern w:val="0"/>
                <w:sz w:val="21"/>
                <w:szCs w:val="21"/>
              </w:rPr>
              <w:t>（AAA）认证证书</w:t>
            </w:r>
            <w:r>
              <w:rPr>
                <w:rFonts w:hint="eastAsia" w:ascii="宋体" w:hAnsi="宋体" w:cs="宋体"/>
                <w:kern w:val="0"/>
                <w:sz w:val="21"/>
                <w:szCs w:val="21"/>
              </w:rPr>
              <w:t>的，得2分，否则不得分。</w:t>
            </w:r>
          </w:p>
        </w:tc>
        <w:tc>
          <w:tcPr>
            <w:tcW w:w="851"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0" w:hRule="atLeas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5812" w:type="dxa"/>
            <w:shd w:val="clear" w:color="auto" w:fill="auto"/>
            <w:vAlign w:val="center"/>
          </w:tcPr>
          <w:p>
            <w:pPr>
              <w:snapToGrid w:val="0"/>
              <w:spacing w:after="156"/>
              <w:ind w:firstLine="480"/>
              <w:jc w:val="left"/>
              <w:rPr>
                <w:rFonts w:ascii="宋体" w:hAnsi="宋体" w:cs="宋体"/>
                <w:kern w:val="0"/>
                <w:sz w:val="21"/>
                <w:szCs w:val="21"/>
              </w:rPr>
            </w:pPr>
            <w:r>
              <w:rPr>
                <w:rFonts w:hint="eastAsia" w:ascii="宋体" w:hAnsi="宋体" w:cs="宋体"/>
                <w:kern w:val="0"/>
                <w:sz w:val="21"/>
                <w:szCs w:val="21"/>
              </w:rPr>
              <w:t>（5）供应商参与过</w:t>
            </w:r>
            <w:r>
              <w:rPr>
                <w:rFonts w:hint="eastAsia" w:ascii="宋体" w:hAnsi="宋体" w:cs="宋体"/>
                <w:bCs/>
                <w:kern w:val="0"/>
                <w:sz w:val="21"/>
                <w:szCs w:val="21"/>
              </w:rPr>
              <w:t>国土空间规划国标、行业标准的</w:t>
            </w:r>
            <w:r>
              <w:rPr>
                <w:rFonts w:hint="eastAsia" w:ascii="宋体" w:hAnsi="宋体" w:cs="宋体"/>
                <w:kern w:val="0"/>
                <w:sz w:val="21"/>
                <w:szCs w:val="21"/>
              </w:rPr>
              <w:t>，每一项得1分，最高得分2分。</w:t>
            </w:r>
          </w:p>
        </w:tc>
        <w:tc>
          <w:tcPr>
            <w:tcW w:w="851"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5812" w:type="dxa"/>
            <w:shd w:val="clear" w:color="auto" w:fill="auto"/>
            <w:vAlign w:val="center"/>
          </w:tcPr>
          <w:p>
            <w:pPr>
              <w:widowControl/>
              <w:snapToGrid w:val="0"/>
              <w:spacing w:after="156"/>
              <w:ind w:firstLine="480"/>
              <w:jc w:val="left"/>
              <w:rPr>
                <w:rFonts w:ascii="宋体" w:hAnsi="宋体" w:cs="宋体"/>
                <w:kern w:val="0"/>
                <w:sz w:val="21"/>
                <w:szCs w:val="21"/>
              </w:rPr>
            </w:pPr>
            <w:r>
              <w:rPr>
                <w:rFonts w:hint="eastAsia" w:ascii="宋体" w:hAnsi="宋体" w:cs="宋体"/>
                <w:kern w:val="0"/>
                <w:sz w:val="21"/>
                <w:szCs w:val="21"/>
              </w:rPr>
              <w:t>（6）供应商具有工商行政管理部门颁发的</w:t>
            </w:r>
            <w:r>
              <w:rPr>
                <w:rFonts w:hint="eastAsia" w:ascii="宋体" w:hAnsi="宋体" w:cs="宋体"/>
                <w:bCs/>
                <w:kern w:val="0"/>
                <w:sz w:val="21"/>
                <w:szCs w:val="21"/>
              </w:rPr>
              <w:t>“守合同重信用”证书连续15年或以上</w:t>
            </w:r>
            <w:r>
              <w:rPr>
                <w:rFonts w:hint="eastAsia" w:ascii="宋体" w:hAnsi="宋体" w:cs="宋体"/>
                <w:kern w:val="0"/>
                <w:sz w:val="21"/>
                <w:szCs w:val="21"/>
              </w:rPr>
              <w:t>得2分；连续10-14年得1分；其他不得分。</w:t>
            </w:r>
          </w:p>
        </w:tc>
        <w:tc>
          <w:tcPr>
            <w:tcW w:w="851" w:type="dxa"/>
            <w:shd w:val="clear" w:color="auto" w:fill="auto"/>
            <w:vAlign w:val="center"/>
          </w:tcPr>
          <w:p>
            <w:pPr>
              <w:widowControl/>
              <w:snapToGrid w:val="0"/>
              <w:spacing w:after="156"/>
              <w:rPr>
                <w:rFonts w:ascii="宋体" w:hAnsi="宋体" w:cs="宋体"/>
                <w:kern w:val="0"/>
                <w:sz w:val="21"/>
                <w:szCs w:val="21"/>
              </w:rPr>
            </w:pPr>
            <w:r>
              <w:rPr>
                <w:rFonts w:hint="eastAsia" w:ascii="宋体" w:hAnsi="宋体" w:cs="宋体"/>
                <w:kern w:val="0"/>
                <w:sz w:val="21"/>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0" w:hRule="atLeast"/>
          <w:jc w:val="center"/>
        </w:trPr>
        <w:tc>
          <w:tcPr>
            <w:tcW w:w="704" w:type="dxa"/>
            <w:shd w:val="clear" w:color="auto" w:fill="auto"/>
            <w:vAlign w:val="center"/>
          </w:tcPr>
          <w:p>
            <w:pPr>
              <w:snapToGrid w:val="0"/>
              <w:spacing w:after="156"/>
              <w:ind w:firstLine="174" w:firstLineChars="83"/>
              <w:rPr>
                <w:rFonts w:ascii="宋体" w:hAnsi="宋体" w:cs="宋体"/>
                <w:color w:val="FF0000"/>
                <w:kern w:val="0"/>
                <w:sz w:val="21"/>
                <w:szCs w:val="21"/>
              </w:rPr>
            </w:pPr>
            <w:r>
              <w:rPr>
                <w:rFonts w:hint="eastAsia" w:ascii="宋体" w:hAnsi="宋体" w:cs="宋体"/>
                <w:kern w:val="0"/>
                <w:sz w:val="21"/>
                <w:szCs w:val="21"/>
              </w:rPr>
              <w:t>2</w:t>
            </w:r>
          </w:p>
        </w:tc>
        <w:tc>
          <w:tcPr>
            <w:tcW w:w="992"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类似项目业绩</w:t>
            </w:r>
          </w:p>
          <w:p>
            <w:pPr>
              <w:snapToGrid w:val="0"/>
              <w:spacing w:after="156"/>
              <w:rPr>
                <w:rFonts w:ascii="宋体" w:hAnsi="宋体" w:cs="宋体"/>
                <w:color w:val="FF0000"/>
                <w:kern w:val="0"/>
                <w:sz w:val="21"/>
                <w:szCs w:val="21"/>
              </w:rPr>
            </w:pPr>
            <w:r>
              <w:rPr>
                <w:rFonts w:hint="eastAsia" w:ascii="宋体" w:hAnsi="宋体" w:cs="宋体"/>
                <w:kern w:val="0"/>
                <w:sz w:val="21"/>
                <w:szCs w:val="21"/>
              </w:rPr>
              <w:t>（5分）</w:t>
            </w:r>
          </w:p>
        </w:tc>
        <w:tc>
          <w:tcPr>
            <w:tcW w:w="5812" w:type="dxa"/>
            <w:shd w:val="clear" w:color="auto" w:fill="auto"/>
            <w:vAlign w:val="center"/>
          </w:tcPr>
          <w:p>
            <w:pPr>
              <w:snapToGrid w:val="0"/>
              <w:spacing w:after="156"/>
              <w:ind w:firstLine="480"/>
              <w:rPr>
                <w:rFonts w:ascii="宋体" w:hAnsi="宋体" w:cs="宋体"/>
                <w:color w:val="FF0000"/>
                <w:kern w:val="0"/>
                <w:sz w:val="21"/>
                <w:szCs w:val="21"/>
              </w:rPr>
            </w:pPr>
            <w:r>
              <w:rPr>
                <w:rFonts w:hint="eastAsia" w:ascii="宋体" w:hAnsi="宋体" w:cs="宋体"/>
                <w:kern w:val="0"/>
                <w:sz w:val="21"/>
                <w:szCs w:val="21"/>
              </w:rPr>
              <w:t>（1）供应商能提供区（县）级及以上的国土空间总体规划项目业绩的中标通知书或合同复印件，每有一项目得1分，最高得5分。</w:t>
            </w:r>
          </w:p>
        </w:tc>
        <w:tc>
          <w:tcPr>
            <w:tcW w:w="851" w:type="dxa"/>
            <w:shd w:val="clear" w:color="auto" w:fill="auto"/>
            <w:vAlign w:val="center"/>
          </w:tcPr>
          <w:p>
            <w:pPr>
              <w:snapToGrid w:val="0"/>
              <w:spacing w:after="156"/>
              <w:rPr>
                <w:rFonts w:ascii="宋体" w:hAnsi="宋体" w:cs="宋体"/>
                <w:color w:val="FF0000"/>
                <w:kern w:val="0"/>
                <w:sz w:val="21"/>
                <w:szCs w:val="21"/>
              </w:rPr>
            </w:pPr>
            <w:r>
              <w:rPr>
                <w:rFonts w:hint="eastAsia" w:ascii="宋体" w:hAnsi="宋体" w:cs="宋体"/>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restart"/>
            <w:shd w:val="clear" w:color="auto" w:fill="auto"/>
            <w:vAlign w:val="center"/>
          </w:tcPr>
          <w:p>
            <w:pPr>
              <w:snapToGrid w:val="0"/>
              <w:spacing w:after="156"/>
              <w:ind w:firstLine="210" w:firstLineChars="100"/>
              <w:rPr>
                <w:rFonts w:ascii="宋体" w:hAnsi="宋体" w:cs="宋体"/>
                <w:kern w:val="0"/>
                <w:sz w:val="21"/>
                <w:szCs w:val="21"/>
              </w:rPr>
            </w:pPr>
            <w:r>
              <w:rPr>
                <w:rFonts w:hint="eastAsia" w:ascii="宋体" w:hAnsi="宋体" w:cs="宋体"/>
                <w:kern w:val="0"/>
                <w:sz w:val="21"/>
                <w:szCs w:val="21"/>
              </w:rPr>
              <w:t>3</w:t>
            </w:r>
          </w:p>
        </w:tc>
        <w:tc>
          <w:tcPr>
            <w:tcW w:w="992" w:type="dxa"/>
            <w:vMerge w:val="restart"/>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人员配置</w:t>
            </w:r>
          </w:p>
          <w:p>
            <w:pPr>
              <w:snapToGrid w:val="0"/>
              <w:spacing w:after="156"/>
              <w:rPr>
                <w:rFonts w:ascii="宋体" w:hAnsi="宋体" w:cs="宋体"/>
                <w:kern w:val="0"/>
                <w:sz w:val="21"/>
                <w:szCs w:val="21"/>
              </w:rPr>
            </w:pPr>
            <w:r>
              <w:rPr>
                <w:rFonts w:hint="eastAsia" w:ascii="宋体" w:hAnsi="宋体" w:cs="宋体"/>
                <w:kern w:val="0"/>
                <w:sz w:val="21"/>
                <w:szCs w:val="21"/>
              </w:rPr>
              <w:t>（7分）</w:t>
            </w:r>
          </w:p>
        </w:tc>
        <w:tc>
          <w:tcPr>
            <w:tcW w:w="5812" w:type="dxa"/>
            <w:shd w:val="clear" w:color="auto" w:fill="auto"/>
            <w:vAlign w:val="center"/>
          </w:tcPr>
          <w:p>
            <w:pPr>
              <w:widowControl/>
              <w:snapToGrid w:val="0"/>
              <w:spacing w:after="156"/>
              <w:ind w:firstLine="480"/>
              <w:jc w:val="left"/>
              <w:rPr>
                <w:rFonts w:ascii="宋体" w:hAnsi="宋体" w:cs="宋体"/>
                <w:kern w:val="0"/>
                <w:sz w:val="21"/>
                <w:szCs w:val="21"/>
              </w:rPr>
            </w:pPr>
            <w:r>
              <w:rPr>
                <w:rFonts w:hint="eastAsia" w:ascii="宋体" w:hAnsi="宋体" w:cs="宋体"/>
                <w:kern w:val="0"/>
                <w:sz w:val="21"/>
                <w:szCs w:val="21"/>
              </w:rPr>
              <w:t>（1）项目负责人同时具备</w:t>
            </w:r>
            <w:r>
              <w:rPr>
                <w:rFonts w:hint="eastAsia" w:ascii="宋体" w:hAnsi="宋体" w:cs="宋体"/>
                <w:bCs/>
                <w:kern w:val="0"/>
                <w:sz w:val="21"/>
                <w:szCs w:val="21"/>
              </w:rPr>
              <w:t>注册城市（乡）规划师、城市规划（教授级）高级工程师职称或国土专业（教授级）高级工程师职称的，</w:t>
            </w:r>
            <w:r>
              <w:rPr>
                <w:rFonts w:hint="eastAsia" w:ascii="宋体" w:hAnsi="宋体" w:cs="宋体"/>
                <w:kern w:val="0"/>
                <w:sz w:val="21"/>
                <w:szCs w:val="21"/>
              </w:rPr>
              <w:t>得2分，其他不得分。</w:t>
            </w:r>
          </w:p>
        </w:tc>
        <w:tc>
          <w:tcPr>
            <w:tcW w:w="851"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5812" w:type="dxa"/>
            <w:shd w:val="clear" w:color="auto" w:fill="auto"/>
            <w:vAlign w:val="center"/>
          </w:tcPr>
          <w:p>
            <w:pPr>
              <w:widowControl/>
              <w:snapToGrid w:val="0"/>
              <w:spacing w:after="156"/>
              <w:ind w:firstLine="480"/>
              <w:jc w:val="left"/>
              <w:rPr>
                <w:rFonts w:ascii="宋体" w:hAnsi="宋体" w:cs="宋体"/>
                <w:kern w:val="0"/>
                <w:sz w:val="21"/>
                <w:szCs w:val="21"/>
              </w:rPr>
            </w:pPr>
            <w:r>
              <w:rPr>
                <w:rFonts w:hint="eastAsia" w:ascii="宋体" w:hAnsi="宋体" w:cs="宋体"/>
                <w:kern w:val="0"/>
                <w:sz w:val="21"/>
                <w:szCs w:val="21"/>
              </w:rPr>
              <w:t>（2）项目组规划专业技术人员同时具有注册城市（乡）规划师资格、城市规划高级工程师职称或国土专业高级工程师职称，每一人得0.5分，最高得2分。</w:t>
            </w:r>
          </w:p>
        </w:tc>
        <w:tc>
          <w:tcPr>
            <w:tcW w:w="851" w:type="dxa"/>
            <w:shd w:val="clear" w:color="auto" w:fill="auto"/>
            <w:vAlign w:val="center"/>
          </w:tcPr>
          <w:p>
            <w:pPr>
              <w:snapToGrid w:val="0"/>
              <w:spacing w:after="156"/>
              <w:rPr>
                <w:rFonts w:ascii="宋体" w:hAnsi="宋体" w:cs="宋体"/>
                <w:kern w:val="0"/>
                <w:sz w:val="21"/>
                <w:szCs w:val="21"/>
              </w:rPr>
            </w:pPr>
            <w:r>
              <w:rPr>
                <w:rFonts w:hint="eastAsia" w:ascii="宋体" w:hAnsi="宋体" w:cs="宋体"/>
                <w:kern w:val="0"/>
                <w:sz w:val="21"/>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shd w:val="clear" w:color="auto" w:fill="auto"/>
            <w:vAlign w:val="center"/>
          </w:tcPr>
          <w:p>
            <w:pPr>
              <w:keepNext/>
              <w:keepLines/>
              <w:numPr>
                <w:ilvl w:val="0"/>
                <w:numId w:val="3"/>
              </w:numPr>
              <w:snapToGrid w:val="0"/>
              <w:spacing w:before="340" w:after="156" w:line="576" w:lineRule="auto"/>
              <w:ind w:firstLine="480"/>
              <w:jc w:val="center"/>
              <w:outlineLvl w:val="0"/>
              <w:rPr>
                <w:rFonts w:ascii="宋体" w:hAnsi="宋体" w:cs="宋体"/>
                <w:kern w:val="0"/>
                <w:sz w:val="21"/>
                <w:szCs w:val="21"/>
              </w:rPr>
            </w:pPr>
          </w:p>
        </w:tc>
        <w:tc>
          <w:tcPr>
            <w:tcW w:w="992" w:type="dxa"/>
            <w:vMerge w:val="continue"/>
            <w:shd w:val="clear" w:color="auto" w:fill="auto"/>
            <w:vAlign w:val="center"/>
          </w:tcPr>
          <w:p>
            <w:pPr>
              <w:keepNext/>
              <w:keepLines/>
              <w:numPr>
                <w:ilvl w:val="0"/>
                <w:numId w:val="3"/>
              </w:numPr>
              <w:snapToGrid w:val="0"/>
              <w:spacing w:before="340" w:after="156" w:line="576" w:lineRule="auto"/>
              <w:ind w:firstLine="480"/>
              <w:outlineLvl w:val="0"/>
              <w:rPr>
                <w:rFonts w:ascii="宋体" w:hAnsi="宋体" w:cs="宋体"/>
                <w:kern w:val="0"/>
                <w:sz w:val="21"/>
                <w:szCs w:val="21"/>
              </w:rPr>
            </w:pPr>
          </w:p>
        </w:tc>
        <w:tc>
          <w:tcPr>
            <w:tcW w:w="5812" w:type="dxa"/>
            <w:shd w:val="clear" w:color="auto" w:fill="auto"/>
            <w:vAlign w:val="center"/>
          </w:tcPr>
          <w:p>
            <w:pPr>
              <w:widowControl/>
              <w:snapToGrid w:val="0"/>
              <w:spacing w:after="156"/>
              <w:ind w:firstLine="480"/>
              <w:jc w:val="left"/>
              <w:rPr>
                <w:rFonts w:ascii="宋体" w:hAnsi="宋体" w:cs="宋体"/>
                <w:color w:val="FF0000"/>
                <w:kern w:val="0"/>
                <w:sz w:val="21"/>
                <w:szCs w:val="21"/>
              </w:rPr>
            </w:pPr>
            <w:r>
              <w:rPr>
                <w:rFonts w:hint="eastAsia" w:ascii="宋体" w:hAnsi="宋体" w:cs="宋体"/>
                <w:kern w:val="0"/>
                <w:sz w:val="21"/>
                <w:szCs w:val="21"/>
              </w:rPr>
              <w:t>（3）项目组成员配置道路交通、给排水、风景园林、测绘、土地规划和国土资源管理专业，具备相应专业的高级工程师及以上职称，一个技术人员只能按一个专业计算，每一专业得1分，最高得3分。</w:t>
            </w:r>
          </w:p>
        </w:tc>
        <w:tc>
          <w:tcPr>
            <w:tcW w:w="851" w:type="dxa"/>
            <w:shd w:val="clear" w:color="auto" w:fill="auto"/>
            <w:vAlign w:val="center"/>
          </w:tcPr>
          <w:p>
            <w:pPr>
              <w:snapToGrid w:val="0"/>
              <w:spacing w:after="156"/>
              <w:rPr>
                <w:rFonts w:ascii="宋体" w:hAnsi="宋体" w:cs="宋体"/>
                <w:color w:val="FF0000"/>
                <w:kern w:val="0"/>
                <w:sz w:val="21"/>
                <w:szCs w:val="21"/>
              </w:rPr>
            </w:pPr>
            <w:r>
              <w:rPr>
                <w:rFonts w:hint="eastAsia" w:ascii="宋体" w:hAnsi="宋体" w:cs="宋体"/>
                <w:kern w:val="0"/>
                <w:sz w:val="21"/>
                <w:szCs w:val="21"/>
              </w:rPr>
              <w:t>3分</w:t>
            </w:r>
          </w:p>
        </w:tc>
      </w:tr>
    </w:tbl>
    <w:p>
      <w:pPr>
        <w:snapToGrid w:val="0"/>
        <w:spacing w:after="156" w:line="360" w:lineRule="auto"/>
        <w:ind w:firstLine="560"/>
        <w:rPr>
          <w:rFonts w:ascii="宋体" w:hAnsi="宋体" w:cs="宋体"/>
          <w:color w:val="000000"/>
          <w:sz w:val="21"/>
          <w:szCs w:val="21"/>
        </w:rPr>
      </w:pPr>
      <w:r>
        <w:rPr>
          <w:rFonts w:hint="eastAsia" w:ascii="宋体" w:hAnsi="宋体" w:cs="宋体"/>
          <w:color w:val="000000"/>
          <w:sz w:val="21"/>
          <w:szCs w:val="21"/>
        </w:rPr>
        <w:t>注：如以联合体形式投标，商务文件评分以联合体主体方为准。</w:t>
      </w:r>
    </w:p>
    <w:p>
      <w:pPr>
        <w:widowControl/>
        <w:snapToGrid w:val="0"/>
        <w:spacing w:after="156"/>
        <w:ind w:firstLine="480"/>
        <w:jc w:val="left"/>
        <w:rPr>
          <w:rFonts w:ascii="宋体" w:hAnsi="宋体" w:cs="宋体"/>
          <w:kern w:val="0"/>
          <w:sz w:val="21"/>
          <w:szCs w:val="21"/>
        </w:rPr>
      </w:pPr>
      <w:r>
        <w:rPr>
          <w:rFonts w:hint="eastAsia" w:ascii="宋体" w:hAnsi="宋体" w:cs="宋体"/>
          <w:kern w:val="0"/>
          <w:sz w:val="21"/>
          <w:szCs w:val="21"/>
        </w:rPr>
        <w:t>需提供资质证书复印件、合同复印件、获奖证书复印件、任务委托书复印件和在职人员社保证明等材料</w:t>
      </w:r>
      <w:bookmarkEnd w:id="3"/>
      <w:bookmarkEnd w:id="4"/>
      <w:r>
        <w:rPr>
          <w:rFonts w:hint="eastAsia" w:ascii="宋体" w:hAnsi="宋体" w:cs="宋体"/>
          <w:kern w:val="0"/>
          <w:sz w:val="21"/>
          <w:szCs w:val="21"/>
        </w:rPr>
        <w:t>，并加盖公章，否则无效。</w:t>
      </w:r>
    </w:p>
    <w:sectPr>
      <w:footerReference r:id="rId11" w:type="default"/>
      <w:pgSz w:w="11906" w:h="16838"/>
      <w:pgMar w:top="1418" w:right="1418" w:bottom="1418" w:left="1418" w:header="720" w:footer="720" w:gutter="0"/>
      <w:pgNumType w:start="53"/>
      <w:cols w:space="720" w:num="1"/>
      <w:docGrid w:type="lines" w:linePitch="331"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sz w:val="21"/>
      </w:rPr>
    </w:pPr>
    <w:r>
      <w:rPr>
        <w:sz w:val="21"/>
      </w:rPr>
      <w:fldChar w:fldCharType="begin"/>
    </w:r>
    <w:r>
      <w:rPr>
        <w:rStyle w:val="31"/>
        <w:sz w:val="21"/>
      </w:rPr>
      <w:instrText xml:space="preserve">PAGE  </w:instrText>
    </w:r>
    <w:r>
      <w:rPr>
        <w:sz w:val="21"/>
      </w:rPr>
      <w:fldChar w:fldCharType="separate"/>
    </w:r>
    <w:r>
      <w:rPr>
        <w:rStyle w:val="31"/>
        <w:sz w:val="21"/>
      </w:rPr>
      <w:t>0</w:t>
    </w:r>
    <w:r>
      <w:rPr>
        <w:sz w:val="21"/>
      </w:rPr>
      <w:fldChar w:fldCharType="end"/>
    </w:r>
  </w:p>
  <w:p>
    <w:pPr>
      <w:pStyle w:val="18"/>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Text Box 3" o:spid="_x0000_s4098" o:spt="202" type="#_x0000_t202" style="position:absolute;left:0pt;margin-top:0pt;height:10.35pt;width:4.55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w:t>
                </w:r>
                <w:r>
                  <w:fldChar w:fldCharType="end"/>
                </w:r>
              </w:p>
            </w:txbxContent>
          </v:textbox>
        </v:shape>
      </w:pic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Text Box 6" o:spid="_x0000_s4097" o:spt="202" type="#_x0000_t202" style="position:absolute;left:0pt;margin-top:0pt;height:10.35pt;width:9.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57</w:t>
                </w:r>
                <w: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sz w:val="18"/>
        <w:szCs w:val="18"/>
      </w:rPr>
      <w:instrText xml:space="preserve"> HYPERLINK "https://www.zcygov.cn/proj-procurement/project-result-detail/5d870e6134183a2d" \t "https://www.zcygov.cn/proj-procurement/self-project/_blank" </w:instrText>
    </w:r>
    <w:r>
      <w:rPr>
        <w:sz w:val="18"/>
        <w:szCs w:val="18"/>
      </w:rPr>
      <w:fldChar w:fldCharType="separate"/>
    </w:r>
    <w:r>
      <w:rPr>
        <w:rFonts w:hint="eastAsia" w:ascii="宋体" w:hAnsi="宋体" w:cs="宋体"/>
        <w:bCs/>
        <w:sz w:val="18"/>
        <w:szCs w:val="18"/>
      </w:rPr>
      <w:t>平果市国土空间规划报告编制、两个体系研究专题及数据库建设项目</w:t>
    </w:r>
    <w:r>
      <w:rPr>
        <w:rFonts w:hint="eastAsia" w:ascii="宋体" w:hAnsi="宋体" w:cs="宋体"/>
        <w:bCs/>
        <w:sz w:val="18"/>
        <w:szCs w:val="18"/>
      </w:rPr>
      <w:fldChar w:fldCharType="end"/>
    </w:r>
    <w:r>
      <w:rPr>
        <w:rFonts w:hint="eastAsia" w:ascii="宋体" w:hAnsi="宋体" w:cs="宋体"/>
        <w:bCs/>
        <w:sz w:val="18"/>
        <w:szCs w:val="18"/>
        <w:lang w:val="en-US" w:eastAsia="zh-CN"/>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default" w:eastAsia="宋体"/>
        <w:lang w:val="en-US" w:eastAsia="zh-CN"/>
      </w:rPr>
    </w:pPr>
    <w:r>
      <w:rPr>
        <w:sz w:val="18"/>
        <w:szCs w:val="18"/>
      </w:rPr>
      <w:fldChar w:fldCharType="begin"/>
    </w:r>
    <w:r>
      <w:rPr>
        <w:sz w:val="18"/>
        <w:szCs w:val="18"/>
      </w:rPr>
      <w:instrText xml:space="preserve"> HYPERLINK "https://www.zcygov.cn/proj-procurement/project-result-detail/5d870e6134183a2d" \t "https://www.zcygov.cn/proj-procurement/self-project/_blank" </w:instrText>
    </w:r>
    <w:r>
      <w:rPr>
        <w:sz w:val="18"/>
        <w:szCs w:val="18"/>
      </w:rPr>
      <w:fldChar w:fldCharType="separate"/>
    </w:r>
    <w:r>
      <w:rPr>
        <w:rFonts w:hint="eastAsia" w:ascii="宋体" w:hAnsi="宋体" w:cs="宋体"/>
        <w:bCs/>
        <w:sz w:val="18"/>
        <w:szCs w:val="18"/>
      </w:rPr>
      <w:t>平果市国土空间规划报告编制、两个体系研究专题及数据库建设项目</w:t>
    </w:r>
    <w:r>
      <w:rPr>
        <w:rFonts w:hint="eastAsia" w:ascii="宋体" w:hAnsi="宋体" w:cs="宋体"/>
        <w:bCs/>
        <w:sz w:val="18"/>
        <w:szCs w:val="18"/>
      </w:rPr>
      <w:fldChar w:fldCharType="end"/>
    </w:r>
    <w:r>
      <w:rPr>
        <w:rFonts w:hint="eastAsia" w:ascii="宋体" w:hAnsi="宋体" w:cs="宋体"/>
        <w:bCs/>
        <w:sz w:val="18"/>
        <w:szCs w:val="18"/>
        <w:lang w:val="en-US" w:eastAsia="zh-CN"/>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7E8F04B3"/>
    <w:multiLevelType w:val="multilevel"/>
    <w:tmpl w:val="7E8F04B3"/>
    <w:lvl w:ilvl="0" w:tentative="0">
      <w:start w:val="0"/>
      <w:numFmt w:val="decimal"/>
      <w:lvlText w:val=""/>
      <w:lvlJc w:val="left"/>
      <w:pPr>
        <w:tabs>
          <w:tab w:val="left" w:pos="0"/>
        </w:tabs>
      </w:pPr>
      <w:rPr>
        <w:rFonts w:cs="Times New Roman"/>
      </w:rPr>
    </w:lvl>
    <w:lvl w:ilvl="1" w:tentative="0">
      <w:start w:val="0"/>
      <w:numFmt w:val="decimal"/>
      <w:lvlText w:val=""/>
      <w:lvlJc w:val="left"/>
      <w:pPr>
        <w:tabs>
          <w:tab w:val="left" w:pos="0"/>
        </w:tabs>
      </w:pPr>
      <w:rPr>
        <w:rFonts w:cs="Times New Roman"/>
      </w:rPr>
    </w:lvl>
    <w:lvl w:ilvl="2" w:tentative="0">
      <w:start w:val="0"/>
      <w:numFmt w:val="decimal"/>
      <w:lvlText w:val=""/>
      <w:lvlJc w:val="left"/>
      <w:pPr>
        <w:tabs>
          <w:tab w:val="left" w:pos="0"/>
        </w:tabs>
      </w:pPr>
      <w:rPr>
        <w:rFonts w:cs="Times New Roman"/>
      </w:rPr>
    </w:lvl>
    <w:lvl w:ilvl="3" w:tentative="0">
      <w:start w:val="0"/>
      <w:numFmt w:val="decimal"/>
      <w:lvlText w:val=""/>
      <w:lvlJc w:val="left"/>
      <w:pPr>
        <w:tabs>
          <w:tab w:val="left" w:pos="0"/>
        </w:tabs>
      </w:pPr>
      <w:rPr>
        <w:rFonts w:cs="Times New Roman"/>
      </w:rPr>
    </w:lvl>
    <w:lvl w:ilvl="4" w:tentative="0">
      <w:start w:val="0"/>
      <w:numFmt w:val="decimal"/>
      <w:lvlText w:val=""/>
      <w:lvlJc w:val="left"/>
      <w:pPr>
        <w:tabs>
          <w:tab w:val="left" w:pos="0"/>
        </w:tabs>
      </w:pPr>
      <w:rPr>
        <w:rFonts w:cs="Times New Roman"/>
      </w:rPr>
    </w:lvl>
    <w:lvl w:ilvl="5" w:tentative="0">
      <w:start w:val="0"/>
      <w:numFmt w:val="decimal"/>
      <w:lvlText w:val=""/>
      <w:lvlJc w:val="left"/>
      <w:pPr>
        <w:tabs>
          <w:tab w:val="left" w:pos="0"/>
        </w:tabs>
      </w:pPr>
      <w:rPr>
        <w:rFonts w:cs="Times New Roman"/>
      </w:rPr>
    </w:lvl>
    <w:lvl w:ilvl="6" w:tentative="0">
      <w:start w:val="0"/>
      <w:numFmt w:val="decimal"/>
      <w:lvlText w:val=""/>
      <w:lvlJc w:val="left"/>
      <w:pPr>
        <w:tabs>
          <w:tab w:val="left" w:pos="0"/>
        </w:tabs>
      </w:pPr>
      <w:rPr>
        <w:rFonts w:cs="Times New Roman"/>
      </w:rPr>
    </w:lvl>
    <w:lvl w:ilvl="7" w:tentative="0">
      <w:start w:val="0"/>
      <w:numFmt w:val="decimal"/>
      <w:lvlText w:val=""/>
      <w:lvlJc w:val="left"/>
      <w:pPr>
        <w:tabs>
          <w:tab w:val="left" w:pos="0"/>
        </w:tabs>
      </w:pPr>
      <w:rPr>
        <w:rFonts w:cs="Times New Roman"/>
      </w:rPr>
    </w:lvl>
    <w:lvl w:ilvl="8" w:tentative="0">
      <w:start w:val="0"/>
      <w:numFmt w:val="decimal"/>
      <w:lvlText w:val=""/>
      <w:lvlJc w:val="left"/>
      <w:pPr>
        <w:tabs>
          <w:tab w:val="left" w:pos="0"/>
        </w:tabs>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31"/>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190"/>
    <w:rsid w:val="00003718"/>
    <w:rsid w:val="00003AE3"/>
    <w:rsid w:val="0000465B"/>
    <w:rsid w:val="00005E25"/>
    <w:rsid w:val="0000620B"/>
    <w:rsid w:val="00006EEA"/>
    <w:rsid w:val="0000712F"/>
    <w:rsid w:val="00010D88"/>
    <w:rsid w:val="000113DB"/>
    <w:rsid w:val="00011F71"/>
    <w:rsid w:val="00012A46"/>
    <w:rsid w:val="00012B80"/>
    <w:rsid w:val="0001308D"/>
    <w:rsid w:val="000135AA"/>
    <w:rsid w:val="00013658"/>
    <w:rsid w:val="000143AD"/>
    <w:rsid w:val="00014667"/>
    <w:rsid w:val="00015278"/>
    <w:rsid w:val="000152B0"/>
    <w:rsid w:val="00015D9D"/>
    <w:rsid w:val="00015E98"/>
    <w:rsid w:val="000169F3"/>
    <w:rsid w:val="00017AC4"/>
    <w:rsid w:val="000200A4"/>
    <w:rsid w:val="000201F9"/>
    <w:rsid w:val="00020592"/>
    <w:rsid w:val="0002168B"/>
    <w:rsid w:val="00022056"/>
    <w:rsid w:val="00022520"/>
    <w:rsid w:val="00022634"/>
    <w:rsid w:val="00023D71"/>
    <w:rsid w:val="00024E95"/>
    <w:rsid w:val="00025286"/>
    <w:rsid w:val="000253F0"/>
    <w:rsid w:val="000254FE"/>
    <w:rsid w:val="00025B62"/>
    <w:rsid w:val="00025E9B"/>
    <w:rsid w:val="0002664F"/>
    <w:rsid w:val="00026719"/>
    <w:rsid w:val="0002775B"/>
    <w:rsid w:val="00030BF8"/>
    <w:rsid w:val="0003155B"/>
    <w:rsid w:val="00032A0E"/>
    <w:rsid w:val="0003336F"/>
    <w:rsid w:val="0003379A"/>
    <w:rsid w:val="00033E5D"/>
    <w:rsid w:val="00033E7A"/>
    <w:rsid w:val="00034B24"/>
    <w:rsid w:val="0003567C"/>
    <w:rsid w:val="00035CE9"/>
    <w:rsid w:val="000368BA"/>
    <w:rsid w:val="00037346"/>
    <w:rsid w:val="000400A1"/>
    <w:rsid w:val="0004016A"/>
    <w:rsid w:val="00040934"/>
    <w:rsid w:val="0004266B"/>
    <w:rsid w:val="00043368"/>
    <w:rsid w:val="00043E91"/>
    <w:rsid w:val="00044AEA"/>
    <w:rsid w:val="00045110"/>
    <w:rsid w:val="00045CA5"/>
    <w:rsid w:val="00045CAB"/>
    <w:rsid w:val="0004610C"/>
    <w:rsid w:val="0004634D"/>
    <w:rsid w:val="00046E00"/>
    <w:rsid w:val="00047386"/>
    <w:rsid w:val="000475AE"/>
    <w:rsid w:val="00050043"/>
    <w:rsid w:val="00050793"/>
    <w:rsid w:val="00050CB9"/>
    <w:rsid w:val="0005176D"/>
    <w:rsid w:val="00051CB7"/>
    <w:rsid w:val="000524E2"/>
    <w:rsid w:val="0005446D"/>
    <w:rsid w:val="00054B8E"/>
    <w:rsid w:val="000550CC"/>
    <w:rsid w:val="00055CC7"/>
    <w:rsid w:val="0005714E"/>
    <w:rsid w:val="00057B1E"/>
    <w:rsid w:val="00057D90"/>
    <w:rsid w:val="00062016"/>
    <w:rsid w:val="00063147"/>
    <w:rsid w:val="00065637"/>
    <w:rsid w:val="0006605A"/>
    <w:rsid w:val="0006733F"/>
    <w:rsid w:val="00067429"/>
    <w:rsid w:val="000714D8"/>
    <w:rsid w:val="00071526"/>
    <w:rsid w:val="000720A0"/>
    <w:rsid w:val="000721F5"/>
    <w:rsid w:val="00072778"/>
    <w:rsid w:val="00072B30"/>
    <w:rsid w:val="00074274"/>
    <w:rsid w:val="00074E5E"/>
    <w:rsid w:val="00075F20"/>
    <w:rsid w:val="0007600F"/>
    <w:rsid w:val="0007644B"/>
    <w:rsid w:val="00076EBB"/>
    <w:rsid w:val="000776CF"/>
    <w:rsid w:val="00077C1E"/>
    <w:rsid w:val="000801FB"/>
    <w:rsid w:val="00080942"/>
    <w:rsid w:val="0008109A"/>
    <w:rsid w:val="000812CF"/>
    <w:rsid w:val="000823E0"/>
    <w:rsid w:val="000833E8"/>
    <w:rsid w:val="00083C07"/>
    <w:rsid w:val="00083ECD"/>
    <w:rsid w:val="00083F8F"/>
    <w:rsid w:val="000846B7"/>
    <w:rsid w:val="00085025"/>
    <w:rsid w:val="0008504B"/>
    <w:rsid w:val="00085CB5"/>
    <w:rsid w:val="000869CD"/>
    <w:rsid w:val="00086E11"/>
    <w:rsid w:val="0008737A"/>
    <w:rsid w:val="000917CC"/>
    <w:rsid w:val="0009190E"/>
    <w:rsid w:val="00092280"/>
    <w:rsid w:val="000922D4"/>
    <w:rsid w:val="00092749"/>
    <w:rsid w:val="0009318B"/>
    <w:rsid w:val="000950B8"/>
    <w:rsid w:val="00095519"/>
    <w:rsid w:val="000957C3"/>
    <w:rsid w:val="00095C52"/>
    <w:rsid w:val="000960EC"/>
    <w:rsid w:val="00096BB3"/>
    <w:rsid w:val="0009793C"/>
    <w:rsid w:val="000A01F1"/>
    <w:rsid w:val="000A078C"/>
    <w:rsid w:val="000A085B"/>
    <w:rsid w:val="000A35E6"/>
    <w:rsid w:val="000A4368"/>
    <w:rsid w:val="000A459F"/>
    <w:rsid w:val="000A68FD"/>
    <w:rsid w:val="000A7C64"/>
    <w:rsid w:val="000B0371"/>
    <w:rsid w:val="000B06A2"/>
    <w:rsid w:val="000B1E4A"/>
    <w:rsid w:val="000B3318"/>
    <w:rsid w:val="000B4183"/>
    <w:rsid w:val="000B49DD"/>
    <w:rsid w:val="000B4BE9"/>
    <w:rsid w:val="000B7C4F"/>
    <w:rsid w:val="000C090E"/>
    <w:rsid w:val="000C1F7E"/>
    <w:rsid w:val="000C35D5"/>
    <w:rsid w:val="000C3D81"/>
    <w:rsid w:val="000C442A"/>
    <w:rsid w:val="000C5424"/>
    <w:rsid w:val="000C5F01"/>
    <w:rsid w:val="000D04D2"/>
    <w:rsid w:val="000D101B"/>
    <w:rsid w:val="000D1365"/>
    <w:rsid w:val="000D13A2"/>
    <w:rsid w:val="000D1D02"/>
    <w:rsid w:val="000D4035"/>
    <w:rsid w:val="000D46ED"/>
    <w:rsid w:val="000D5F31"/>
    <w:rsid w:val="000D6D86"/>
    <w:rsid w:val="000D79DE"/>
    <w:rsid w:val="000E0950"/>
    <w:rsid w:val="000E0A6F"/>
    <w:rsid w:val="000E10CE"/>
    <w:rsid w:val="000E2B3E"/>
    <w:rsid w:val="000E308D"/>
    <w:rsid w:val="000E50F2"/>
    <w:rsid w:val="000E756F"/>
    <w:rsid w:val="000F0203"/>
    <w:rsid w:val="000F02ED"/>
    <w:rsid w:val="000F0973"/>
    <w:rsid w:val="000F1C15"/>
    <w:rsid w:val="000F1C36"/>
    <w:rsid w:val="000F22DD"/>
    <w:rsid w:val="000F2331"/>
    <w:rsid w:val="000F25A5"/>
    <w:rsid w:val="000F2D4F"/>
    <w:rsid w:val="000F3195"/>
    <w:rsid w:val="000F4375"/>
    <w:rsid w:val="000F4626"/>
    <w:rsid w:val="000F5D1A"/>
    <w:rsid w:val="000F6575"/>
    <w:rsid w:val="000F65D7"/>
    <w:rsid w:val="000F697C"/>
    <w:rsid w:val="000F6D9E"/>
    <w:rsid w:val="000F79D5"/>
    <w:rsid w:val="00100550"/>
    <w:rsid w:val="001015AB"/>
    <w:rsid w:val="0010237C"/>
    <w:rsid w:val="00102746"/>
    <w:rsid w:val="00102E50"/>
    <w:rsid w:val="00103019"/>
    <w:rsid w:val="00103763"/>
    <w:rsid w:val="0010395E"/>
    <w:rsid w:val="001041BC"/>
    <w:rsid w:val="00104927"/>
    <w:rsid w:val="0010524C"/>
    <w:rsid w:val="00105895"/>
    <w:rsid w:val="001059C3"/>
    <w:rsid w:val="00105CD9"/>
    <w:rsid w:val="001060C8"/>
    <w:rsid w:val="001063E1"/>
    <w:rsid w:val="001067BD"/>
    <w:rsid w:val="001068BE"/>
    <w:rsid w:val="00106B28"/>
    <w:rsid w:val="0010750C"/>
    <w:rsid w:val="00110145"/>
    <w:rsid w:val="00110573"/>
    <w:rsid w:val="00110811"/>
    <w:rsid w:val="00111913"/>
    <w:rsid w:val="00112136"/>
    <w:rsid w:val="001125C6"/>
    <w:rsid w:val="00112CCE"/>
    <w:rsid w:val="00113C65"/>
    <w:rsid w:val="00114033"/>
    <w:rsid w:val="001140EF"/>
    <w:rsid w:val="00115169"/>
    <w:rsid w:val="001158CF"/>
    <w:rsid w:val="00117577"/>
    <w:rsid w:val="001201A2"/>
    <w:rsid w:val="0012121C"/>
    <w:rsid w:val="00122550"/>
    <w:rsid w:val="0012278F"/>
    <w:rsid w:val="00122EE5"/>
    <w:rsid w:val="001236A8"/>
    <w:rsid w:val="001236A9"/>
    <w:rsid w:val="00123BDE"/>
    <w:rsid w:val="00124539"/>
    <w:rsid w:val="001251CF"/>
    <w:rsid w:val="001256F9"/>
    <w:rsid w:val="0012622D"/>
    <w:rsid w:val="0012657A"/>
    <w:rsid w:val="00126A0B"/>
    <w:rsid w:val="00127836"/>
    <w:rsid w:val="00130127"/>
    <w:rsid w:val="001308E4"/>
    <w:rsid w:val="00130A7A"/>
    <w:rsid w:val="00130E82"/>
    <w:rsid w:val="00131771"/>
    <w:rsid w:val="00132F15"/>
    <w:rsid w:val="0013347F"/>
    <w:rsid w:val="00134E66"/>
    <w:rsid w:val="00134FE3"/>
    <w:rsid w:val="001364C1"/>
    <w:rsid w:val="0013725A"/>
    <w:rsid w:val="0013776D"/>
    <w:rsid w:val="00141379"/>
    <w:rsid w:val="0014256B"/>
    <w:rsid w:val="00142EE3"/>
    <w:rsid w:val="0014310F"/>
    <w:rsid w:val="0014390B"/>
    <w:rsid w:val="00143F5C"/>
    <w:rsid w:val="00144918"/>
    <w:rsid w:val="00145325"/>
    <w:rsid w:val="00147253"/>
    <w:rsid w:val="00147C44"/>
    <w:rsid w:val="00147E37"/>
    <w:rsid w:val="001502F9"/>
    <w:rsid w:val="001503FE"/>
    <w:rsid w:val="00150A4C"/>
    <w:rsid w:val="00150A56"/>
    <w:rsid w:val="00151892"/>
    <w:rsid w:val="00152010"/>
    <w:rsid w:val="001538FE"/>
    <w:rsid w:val="001539B8"/>
    <w:rsid w:val="00153C6D"/>
    <w:rsid w:val="001541A3"/>
    <w:rsid w:val="00154769"/>
    <w:rsid w:val="00154E37"/>
    <w:rsid w:val="001554F4"/>
    <w:rsid w:val="001556F5"/>
    <w:rsid w:val="00155A45"/>
    <w:rsid w:val="00157922"/>
    <w:rsid w:val="00157D18"/>
    <w:rsid w:val="001603E0"/>
    <w:rsid w:val="00161B8F"/>
    <w:rsid w:val="00162027"/>
    <w:rsid w:val="00162084"/>
    <w:rsid w:val="0016243D"/>
    <w:rsid w:val="0016245E"/>
    <w:rsid w:val="00163B31"/>
    <w:rsid w:val="00164ED1"/>
    <w:rsid w:val="0016544F"/>
    <w:rsid w:val="00167727"/>
    <w:rsid w:val="00171D80"/>
    <w:rsid w:val="00172701"/>
    <w:rsid w:val="00172A27"/>
    <w:rsid w:val="00172D9F"/>
    <w:rsid w:val="00173071"/>
    <w:rsid w:val="00173DDE"/>
    <w:rsid w:val="00173E58"/>
    <w:rsid w:val="001752F1"/>
    <w:rsid w:val="00175D0F"/>
    <w:rsid w:val="0017614D"/>
    <w:rsid w:val="00180468"/>
    <w:rsid w:val="00181DC3"/>
    <w:rsid w:val="001832EC"/>
    <w:rsid w:val="001839FB"/>
    <w:rsid w:val="00184ED8"/>
    <w:rsid w:val="001852ED"/>
    <w:rsid w:val="001868DE"/>
    <w:rsid w:val="00186ED9"/>
    <w:rsid w:val="0018766C"/>
    <w:rsid w:val="00187F51"/>
    <w:rsid w:val="00190616"/>
    <w:rsid w:val="00190C8C"/>
    <w:rsid w:val="00193FED"/>
    <w:rsid w:val="00194B88"/>
    <w:rsid w:val="00195763"/>
    <w:rsid w:val="00195B5A"/>
    <w:rsid w:val="00196733"/>
    <w:rsid w:val="0019708C"/>
    <w:rsid w:val="0019713B"/>
    <w:rsid w:val="0019796B"/>
    <w:rsid w:val="00197E02"/>
    <w:rsid w:val="00197F6D"/>
    <w:rsid w:val="001A051E"/>
    <w:rsid w:val="001A1BFC"/>
    <w:rsid w:val="001A2A56"/>
    <w:rsid w:val="001A3594"/>
    <w:rsid w:val="001A3BA1"/>
    <w:rsid w:val="001A3D51"/>
    <w:rsid w:val="001A535D"/>
    <w:rsid w:val="001A56A4"/>
    <w:rsid w:val="001A575D"/>
    <w:rsid w:val="001A6110"/>
    <w:rsid w:val="001A6A43"/>
    <w:rsid w:val="001A74E7"/>
    <w:rsid w:val="001B074A"/>
    <w:rsid w:val="001B0E36"/>
    <w:rsid w:val="001B1223"/>
    <w:rsid w:val="001B127C"/>
    <w:rsid w:val="001B3328"/>
    <w:rsid w:val="001B3D8F"/>
    <w:rsid w:val="001B3FC4"/>
    <w:rsid w:val="001B4376"/>
    <w:rsid w:val="001B46BA"/>
    <w:rsid w:val="001B4C97"/>
    <w:rsid w:val="001B4F9C"/>
    <w:rsid w:val="001B51E3"/>
    <w:rsid w:val="001B5353"/>
    <w:rsid w:val="001B5BE7"/>
    <w:rsid w:val="001B5DE0"/>
    <w:rsid w:val="001B7432"/>
    <w:rsid w:val="001B76A9"/>
    <w:rsid w:val="001C0D9D"/>
    <w:rsid w:val="001C15C6"/>
    <w:rsid w:val="001C1F52"/>
    <w:rsid w:val="001C2813"/>
    <w:rsid w:val="001C2A53"/>
    <w:rsid w:val="001C2D00"/>
    <w:rsid w:val="001C39F9"/>
    <w:rsid w:val="001C3EE1"/>
    <w:rsid w:val="001C535F"/>
    <w:rsid w:val="001C56D6"/>
    <w:rsid w:val="001C64E1"/>
    <w:rsid w:val="001C6BC1"/>
    <w:rsid w:val="001C7349"/>
    <w:rsid w:val="001D02CD"/>
    <w:rsid w:val="001D0731"/>
    <w:rsid w:val="001D1A67"/>
    <w:rsid w:val="001D26B6"/>
    <w:rsid w:val="001D45FE"/>
    <w:rsid w:val="001D6048"/>
    <w:rsid w:val="001E180F"/>
    <w:rsid w:val="001E1D09"/>
    <w:rsid w:val="001E1DC5"/>
    <w:rsid w:val="001E1F69"/>
    <w:rsid w:val="001E26BC"/>
    <w:rsid w:val="001E28AC"/>
    <w:rsid w:val="001E2B3D"/>
    <w:rsid w:val="001E39D2"/>
    <w:rsid w:val="001E4F07"/>
    <w:rsid w:val="001E55C5"/>
    <w:rsid w:val="001E574F"/>
    <w:rsid w:val="001E642F"/>
    <w:rsid w:val="001E7443"/>
    <w:rsid w:val="001E7B8D"/>
    <w:rsid w:val="001F0A31"/>
    <w:rsid w:val="001F1842"/>
    <w:rsid w:val="001F19C1"/>
    <w:rsid w:val="001F1BFA"/>
    <w:rsid w:val="001F24F8"/>
    <w:rsid w:val="001F28FD"/>
    <w:rsid w:val="001F29C1"/>
    <w:rsid w:val="001F4949"/>
    <w:rsid w:val="001F4E90"/>
    <w:rsid w:val="001F53D6"/>
    <w:rsid w:val="001F5AF9"/>
    <w:rsid w:val="001F7EFB"/>
    <w:rsid w:val="00200B6B"/>
    <w:rsid w:val="00200DD0"/>
    <w:rsid w:val="00201B3B"/>
    <w:rsid w:val="00202580"/>
    <w:rsid w:val="00203707"/>
    <w:rsid w:val="002040F9"/>
    <w:rsid w:val="00204303"/>
    <w:rsid w:val="002048ED"/>
    <w:rsid w:val="00204A51"/>
    <w:rsid w:val="00204B6B"/>
    <w:rsid w:val="00205980"/>
    <w:rsid w:val="00205B0D"/>
    <w:rsid w:val="00205D8B"/>
    <w:rsid w:val="00205DA4"/>
    <w:rsid w:val="002061DC"/>
    <w:rsid w:val="00206494"/>
    <w:rsid w:val="00206A1E"/>
    <w:rsid w:val="002075C1"/>
    <w:rsid w:val="002076E5"/>
    <w:rsid w:val="00207D6E"/>
    <w:rsid w:val="002108ED"/>
    <w:rsid w:val="00210C73"/>
    <w:rsid w:val="0021106C"/>
    <w:rsid w:val="00211CA4"/>
    <w:rsid w:val="00211E87"/>
    <w:rsid w:val="00212368"/>
    <w:rsid w:val="00212EA8"/>
    <w:rsid w:val="00213795"/>
    <w:rsid w:val="00213E27"/>
    <w:rsid w:val="00214BBE"/>
    <w:rsid w:val="0021544A"/>
    <w:rsid w:val="00215D9C"/>
    <w:rsid w:val="00215EA3"/>
    <w:rsid w:val="00216AB3"/>
    <w:rsid w:val="00216E60"/>
    <w:rsid w:val="00216F01"/>
    <w:rsid w:val="00220D75"/>
    <w:rsid w:val="00220EFC"/>
    <w:rsid w:val="00221698"/>
    <w:rsid w:val="002218B2"/>
    <w:rsid w:val="00221DC5"/>
    <w:rsid w:val="00221FEE"/>
    <w:rsid w:val="0022234F"/>
    <w:rsid w:val="00222408"/>
    <w:rsid w:val="00223CDC"/>
    <w:rsid w:val="00224737"/>
    <w:rsid w:val="00224B6E"/>
    <w:rsid w:val="00224D54"/>
    <w:rsid w:val="00226FE9"/>
    <w:rsid w:val="00227068"/>
    <w:rsid w:val="00227CE0"/>
    <w:rsid w:val="002306AB"/>
    <w:rsid w:val="00231266"/>
    <w:rsid w:val="002320C1"/>
    <w:rsid w:val="002323EB"/>
    <w:rsid w:val="00232CC9"/>
    <w:rsid w:val="00233155"/>
    <w:rsid w:val="00233483"/>
    <w:rsid w:val="0023385F"/>
    <w:rsid w:val="00233BDB"/>
    <w:rsid w:val="00235131"/>
    <w:rsid w:val="0023587C"/>
    <w:rsid w:val="00235A9D"/>
    <w:rsid w:val="00235B8D"/>
    <w:rsid w:val="00235D06"/>
    <w:rsid w:val="00236148"/>
    <w:rsid w:val="002368A2"/>
    <w:rsid w:val="0023725F"/>
    <w:rsid w:val="0023733D"/>
    <w:rsid w:val="0024130A"/>
    <w:rsid w:val="00241940"/>
    <w:rsid w:val="002427C0"/>
    <w:rsid w:val="002428B0"/>
    <w:rsid w:val="002438F9"/>
    <w:rsid w:val="00243F8D"/>
    <w:rsid w:val="0024427C"/>
    <w:rsid w:val="002442A1"/>
    <w:rsid w:val="00244839"/>
    <w:rsid w:val="00245336"/>
    <w:rsid w:val="0024607F"/>
    <w:rsid w:val="002467B5"/>
    <w:rsid w:val="00250D37"/>
    <w:rsid w:val="002512A4"/>
    <w:rsid w:val="002513D7"/>
    <w:rsid w:val="00252065"/>
    <w:rsid w:val="00252565"/>
    <w:rsid w:val="00252623"/>
    <w:rsid w:val="00253C5A"/>
    <w:rsid w:val="002549C2"/>
    <w:rsid w:val="002558EB"/>
    <w:rsid w:val="0025591F"/>
    <w:rsid w:val="00256349"/>
    <w:rsid w:val="00256632"/>
    <w:rsid w:val="00256CE5"/>
    <w:rsid w:val="0025703D"/>
    <w:rsid w:val="00262960"/>
    <w:rsid w:val="002637E3"/>
    <w:rsid w:val="00264C74"/>
    <w:rsid w:val="00265276"/>
    <w:rsid w:val="00265BA5"/>
    <w:rsid w:val="00265E1F"/>
    <w:rsid w:val="00266567"/>
    <w:rsid w:val="00266D91"/>
    <w:rsid w:val="00266FD1"/>
    <w:rsid w:val="00267D35"/>
    <w:rsid w:val="00267DC3"/>
    <w:rsid w:val="0027013F"/>
    <w:rsid w:val="00270523"/>
    <w:rsid w:val="00270EA6"/>
    <w:rsid w:val="00271451"/>
    <w:rsid w:val="0027180C"/>
    <w:rsid w:val="00272293"/>
    <w:rsid w:val="002736B9"/>
    <w:rsid w:val="00273E64"/>
    <w:rsid w:val="00274674"/>
    <w:rsid w:val="0027769A"/>
    <w:rsid w:val="00277BC4"/>
    <w:rsid w:val="0028114B"/>
    <w:rsid w:val="00281A72"/>
    <w:rsid w:val="00281D48"/>
    <w:rsid w:val="00283680"/>
    <w:rsid w:val="00283FCC"/>
    <w:rsid w:val="00284FC7"/>
    <w:rsid w:val="0028524F"/>
    <w:rsid w:val="0029110B"/>
    <w:rsid w:val="00291FD2"/>
    <w:rsid w:val="002932D3"/>
    <w:rsid w:val="00294B03"/>
    <w:rsid w:val="002962FF"/>
    <w:rsid w:val="002A0768"/>
    <w:rsid w:val="002A0EE2"/>
    <w:rsid w:val="002A328A"/>
    <w:rsid w:val="002A34EE"/>
    <w:rsid w:val="002A5B42"/>
    <w:rsid w:val="002A7494"/>
    <w:rsid w:val="002B0114"/>
    <w:rsid w:val="002B0F62"/>
    <w:rsid w:val="002B137D"/>
    <w:rsid w:val="002B18A8"/>
    <w:rsid w:val="002B1BB1"/>
    <w:rsid w:val="002B235A"/>
    <w:rsid w:val="002B295A"/>
    <w:rsid w:val="002B37E2"/>
    <w:rsid w:val="002B385D"/>
    <w:rsid w:val="002B432C"/>
    <w:rsid w:val="002B4493"/>
    <w:rsid w:val="002B62D1"/>
    <w:rsid w:val="002B6462"/>
    <w:rsid w:val="002B6888"/>
    <w:rsid w:val="002C24A6"/>
    <w:rsid w:val="002C2C89"/>
    <w:rsid w:val="002C3606"/>
    <w:rsid w:val="002C371C"/>
    <w:rsid w:val="002C3A7A"/>
    <w:rsid w:val="002C48A8"/>
    <w:rsid w:val="002C50A9"/>
    <w:rsid w:val="002C5C0C"/>
    <w:rsid w:val="002C5DE8"/>
    <w:rsid w:val="002C5FF5"/>
    <w:rsid w:val="002C6559"/>
    <w:rsid w:val="002C6C2B"/>
    <w:rsid w:val="002C76A4"/>
    <w:rsid w:val="002C7B75"/>
    <w:rsid w:val="002D1948"/>
    <w:rsid w:val="002D245D"/>
    <w:rsid w:val="002D3132"/>
    <w:rsid w:val="002D32FC"/>
    <w:rsid w:val="002D33B1"/>
    <w:rsid w:val="002D3447"/>
    <w:rsid w:val="002D36D7"/>
    <w:rsid w:val="002D391F"/>
    <w:rsid w:val="002D3A5F"/>
    <w:rsid w:val="002D3FBE"/>
    <w:rsid w:val="002D410C"/>
    <w:rsid w:val="002D435D"/>
    <w:rsid w:val="002D4BEB"/>
    <w:rsid w:val="002D5E47"/>
    <w:rsid w:val="002D6482"/>
    <w:rsid w:val="002D71ED"/>
    <w:rsid w:val="002D7923"/>
    <w:rsid w:val="002D7CFC"/>
    <w:rsid w:val="002E16A1"/>
    <w:rsid w:val="002E2921"/>
    <w:rsid w:val="002E444D"/>
    <w:rsid w:val="002E5334"/>
    <w:rsid w:val="002E53F2"/>
    <w:rsid w:val="002E5A1B"/>
    <w:rsid w:val="002E5D68"/>
    <w:rsid w:val="002E5E6F"/>
    <w:rsid w:val="002E6DBE"/>
    <w:rsid w:val="002F1377"/>
    <w:rsid w:val="002F24DA"/>
    <w:rsid w:val="002F325A"/>
    <w:rsid w:val="002F488B"/>
    <w:rsid w:val="002F50AF"/>
    <w:rsid w:val="002F5631"/>
    <w:rsid w:val="002F68F6"/>
    <w:rsid w:val="002F6C84"/>
    <w:rsid w:val="00301590"/>
    <w:rsid w:val="00301820"/>
    <w:rsid w:val="003024EE"/>
    <w:rsid w:val="00302E3C"/>
    <w:rsid w:val="0030341F"/>
    <w:rsid w:val="003035F0"/>
    <w:rsid w:val="003039B5"/>
    <w:rsid w:val="00303C4B"/>
    <w:rsid w:val="00304495"/>
    <w:rsid w:val="003045F0"/>
    <w:rsid w:val="003049E0"/>
    <w:rsid w:val="00306648"/>
    <w:rsid w:val="003075BA"/>
    <w:rsid w:val="0031071D"/>
    <w:rsid w:val="00311682"/>
    <w:rsid w:val="0031209D"/>
    <w:rsid w:val="0031351B"/>
    <w:rsid w:val="00313886"/>
    <w:rsid w:val="00313D4A"/>
    <w:rsid w:val="0031427A"/>
    <w:rsid w:val="0031639A"/>
    <w:rsid w:val="0031702B"/>
    <w:rsid w:val="003173FB"/>
    <w:rsid w:val="003175FC"/>
    <w:rsid w:val="003177BC"/>
    <w:rsid w:val="00317976"/>
    <w:rsid w:val="00317C9C"/>
    <w:rsid w:val="00317DF9"/>
    <w:rsid w:val="003203CB"/>
    <w:rsid w:val="00320500"/>
    <w:rsid w:val="003207FF"/>
    <w:rsid w:val="003223B8"/>
    <w:rsid w:val="0032285D"/>
    <w:rsid w:val="003231AE"/>
    <w:rsid w:val="003251DD"/>
    <w:rsid w:val="00325ECC"/>
    <w:rsid w:val="0032690E"/>
    <w:rsid w:val="00326DB9"/>
    <w:rsid w:val="00330349"/>
    <w:rsid w:val="003312C0"/>
    <w:rsid w:val="0033178B"/>
    <w:rsid w:val="003322FD"/>
    <w:rsid w:val="00332B8C"/>
    <w:rsid w:val="003335C0"/>
    <w:rsid w:val="0033423A"/>
    <w:rsid w:val="00334648"/>
    <w:rsid w:val="00334899"/>
    <w:rsid w:val="0033546A"/>
    <w:rsid w:val="003358B3"/>
    <w:rsid w:val="00335EEA"/>
    <w:rsid w:val="00336780"/>
    <w:rsid w:val="0033791D"/>
    <w:rsid w:val="00337C79"/>
    <w:rsid w:val="0034090B"/>
    <w:rsid w:val="00340AC2"/>
    <w:rsid w:val="00340CB3"/>
    <w:rsid w:val="003410D4"/>
    <w:rsid w:val="003417BA"/>
    <w:rsid w:val="003417FB"/>
    <w:rsid w:val="0034255E"/>
    <w:rsid w:val="003440D4"/>
    <w:rsid w:val="003451DE"/>
    <w:rsid w:val="00345C7E"/>
    <w:rsid w:val="00346900"/>
    <w:rsid w:val="00346CF4"/>
    <w:rsid w:val="00347206"/>
    <w:rsid w:val="003510F6"/>
    <w:rsid w:val="00351B34"/>
    <w:rsid w:val="00352BB8"/>
    <w:rsid w:val="003543FB"/>
    <w:rsid w:val="00354702"/>
    <w:rsid w:val="00354A4B"/>
    <w:rsid w:val="00354A8F"/>
    <w:rsid w:val="00354DCA"/>
    <w:rsid w:val="003553A8"/>
    <w:rsid w:val="00355868"/>
    <w:rsid w:val="0035663D"/>
    <w:rsid w:val="00356DB8"/>
    <w:rsid w:val="00356EAD"/>
    <w:rsid w:val="003574F7"/>
    <w:rsid w:val="00357EE2"/>
    <w:rsid w:val="003615C8"/>
    <w:rsid w:val="003615F4"/>
    <w:rsid w:val="00361AF8"/>
    <w:rsid w:val="003623E8"/>
    <w:rsid w:val="00363AE7"/>
    <w:rsid w:val="00363C81"/>
    <w:rsid w:val="003665D2"/>
    <w:rsid w:val="0036695F"/>
    <w:rsid w:val="00367B9F"/>
    <w:rsid w:val="00367C0C"/>
    <w:rsid w:val="00370B26"/>
    <w:rsid w:val="00370B42"/>
    <w:rsid w:val="00370E7B"/>
    <w:rsid w:val="003715DF"/>
    <w:rsid w:val="00371883"/>
    <w:rsid w:val="003722CB"/>
    <w:rsid w:val="00372A05"/>
    <w:rsid w:val="00372D67"/>
    <w:rsid w:val="00374EB2"/>
    <w:rsid w:val="00375595"/>
    <w:rsid w:val="00376847"/>
    <w:rsid w:val="0037712E"/>
    <w:rsid w:val="003779BE"/>
    <w:rsid w:val="0038007E"/>
    <w:rsid w:val="0038111C"/>
    <w:rsid w:val="00382F94"/>
    <w:rsid w:val="00383362"/>
    <w:rsid w:val="00385485"/>
    <w:rsid w:val="00385500"/>
    <w:rsid w:val="00390C12"/>
    <w:rsid w:val="00390F18"/>
    <w:rsid w:val="00391BBA"/>
    <w:rsid w:val="00393DE8"/>
    <w:rsid w:val="0039492C"/>
    <w:rsid w:val="003953DF"/>
    <w:rsid w:val="00395499"/>
    <w:rsid w:val="00395A4D"/>
    <w:rsid w:val="00395AAE"/>
    <w:rsid w:val="00397D7F"/>
    <w:rsid w:val="003A452B"/>
    <w:rsid w:val="003A47D0"/>
    <w:rsid w:val="003A4973"/>
    <w:rsid w:val="003A5942"/>
    <w:rsid w:val="003A6196"/>
    <w:rsid w:val="003A6FD2"/>
    <w:rsid w:val="003A7E0A"/>
    <w:rsid w:val="003B021F"/>
    <w:rsid w:val="003B04AD"/>
    <w:rsid w:val="003B0FC9"/>
    <w:rsid w:val="003B14BA"/>
    <w:rsid w:val="003B28E9"/>
    <w:rsid w:val="003B2FCE"/>
    <w:rsid w:val="003B3442"/>
    <w:rsid w:val="003B4743"/>
    <w:rsid w:val="003B486B"/>
    <w:rsid w:val="003B5662"/>
    <w:rsid w:val="003B5922"/>
    <w:rsid w:val="003B6542"/>
    <w:rsid w:val="003B6851"/>
    <w:rsid w:val="003B68B7"/>
    <w:rsid w:val="003B69B6"/>
    <w:rsid w:val="003B70B0"/>
    <w:rsid w:val="003B7519"/>
    <w:rsid w:val="003B7E2B"/>
    <w:rsid w:val="003C03AA"/>
    <w:rsid w:val="003C1E4B"/>
    <w:rsid w:val="003C2E8C"/>
    <w:rsid w:val="003C333B"/>
    <w:rsid w:val="003C3754"/>
    <w:rsid w:val="003C6971"/>
    <w:rsid w:val="003C72E2"/>
    <w:rsid w:val="003C774D"/>
    <w:rsid w:val="003D02C5"/>
    <w:rsid w:val="003D0882"/>
    <w:rsid w:val="003D1AEC"/>
    <w:rsid w:val="003D1DC7"/>
    <w:rsid w:val="003D2A6A"/>
    <w:rsid w:val="003D4A45"/>
    <w:rsid w:val="003D4DC1"/>
    <w:rsid w:val="003D4EF4"/>
    <w:rsid w:val="003D5532"/>
    <w:rsid w:val="003D675C"/>
    <w:rsid w:val="003D69BD"/>
    <w:rsid w:val="003D69D6"/>
    <w:rsid w:val="003D72EF"/>
    <w:rsid w:val="003D76E5"/>
    <w:rsid w:val="003D7892"/>
    <w:rsid w:val="003D7C55"/>
    <w:rsid w:val="003E08E2"/>
    <w:rsid w:val="003E15E0"/>
    <w:rsid w:val="003E1927"/>
    <w:rsid w:val="003E28F4"/>
    <w:rsid w:val="003E2998"/>
    <w:rsid w:val="003E3C13"/>
    <w:rsid w:val="003E48F0"/>
    <w:rsid w:val="003E5834"/>
    <w:rsid w:val="003F1027"/>
    <w:rsid w:val="003F13AB"/>
    <w:rsid w:val="003F1A0B"/>
    <w:rsid w:val="003F2353"/>
    <w:rsid w:val="003F25F6"/>
    <w:rsid w:val="003F2BA9"/>
    <w:rsid w:val="003F2BB2"/>
    <w:rsid w:val="003F398A"/>
    <w:rsid w:val="003F3DBE"/>
    <w:rsid w:val="003F4153"/>
    <w:rsid w:val="003F4DBA"/>
    <w:rsid w:val="003F4FFE"/>
    <w:rsid w:val="003F5936"/>
    <w:rsid w:val="003F59A7"/>
    <w:rsid w:val="003F6D59"/>
    <w:rsid w:val="003F6DC7"/>
    <w:rsid w:val="003F75EF"/>
    <w:rsid w:val="003F7C35"/>
    <w:rsid w:val="0040007C"/>
    <w:rsid w:val="00401EE3"/>
    <w:rsid w:val="00402EA3"/>
    <w:rsid w:val="004032D5"/>
    <w:rsid w:val="00403437"/>
    <w:rsid w:val="00403559"/>
    <w:rsid w:val="00403D4D"/>
    <w:rsid w:val="0040448F"/>
    <w:rsid w:val="00404818"/>
    <w:rsid w:val="004048A2"/>
    <w:rsid w:val="0040563D"/>
    <w:rsid w:val="004060B7"/>
    <w:rsid w:val="0040618C"/>
    <w:rsid w:val="004069D2"/>
    <w:rsid w:val="004071E7"/>
    <w:rsid w:val="004073F4"/>
    <w:rsid w:val="00407556"/>
    <w:rsid w:val="0041047C"/>
    <w:rsid w:val="0041155B"/>
    <w:rsid w:val="00411A2A"/>
    <w:rsid w:val="00411A68"/>
    <w:rsid w:val="00411DCE"/>
    <w:rsid w:val="00411EBD"/>
    <w:rsid w:val="0041257D"/>
    <w:rsid w:val="0041388D"/>
    <w:rsid w:val="00413C89"/>
    <w:rsid w:val="00413F40"/>
    <w:rsid w:val="004147D7"/>
    <w:rsid w:val="0041482D"/>
    <w:rsid w:val="00414A6D"/>
    <w:rsid w:val="004156DD"/>
    <w:rsid w:val="00417F00"/>
    <w:rsid w:val="0042016E"/>
    <w:rsid w:val="00420730"/>
    <w:rsid w:val="004209F3"/>
    <w:rsid w:val="00420B20"/>
    <w:rsid w:val="00420E8C"/>
    <w:rsid w:val="004229EA"/>
    <w:rsid w:val="00423190"/>
    <w:rsid w:val="004257E7"/>
    <w:rsid w:val="00425F07"/>
    <w:rsid w:val="0042609D"/>
    <w:rsid w:val="004274C7"/>
    <w:rsid w:val="0042777B"/>
    <w:rsid w:val="00427B8B"/>
    <w:rsid w:val="00430D9F"/>
    <w:rsid w:val="00431C3C"/>
    <w:rsid w:val="00431C85"/>
    <w:rsid w:val="00432B77"/>
    <w:rsid w:val="00434351"/>
    <w:rsid w:val="00434EE8"/>
    <w:rsid w:val="004354E2"/>
    <w:rsid w:val="00435A93"/>
    <w:rsid w:val="00435F5A"/>
    <w:rsid w:val="00436116"/>
    <w:rsid w:val="00436736"/>
    <w:rsid w:val="00436E36"/>
    <w:rsid w:val="0043791D"/>
    <w:rsid w:val="00440A91"/>
    <w:rsid w:val="00441543"/>
    <w:rsid w:val="00441AB6"/>
    <w:rsid w:val="00441DEE"/>
    <w:rsid w:val="004424C1"/>
    <w:rsid w:val="004429C9"/>
    <w:rsid w:val="00442A3D"/>
    <w:rsid w:val="004437F8"/>
    <w:rsid w:val="00443CA4"/>
    <w:rsid w:val="0044446B"/>
    <w:rsid w:val="00444FC0"/>
    <w:rsid w:val="004450AE"/>
    <w:rsid w:val="004454F8"/>
    <w:rsid w:val="004474FF"/>
    <w:rsid w:val="00450CBC"/>
    <w:rsid w:val="00450F9B"/>
    <w:rsid w:val="00451015"/>
    <w:rsid w:val="004513C5"/>
    <w:rsid w:val="00451C3B"/>
    <w:rsid w:val="004539E9"/>
    <w:rsid w:val="0045711F"/>
    <w:rsid w:val="004578F9"/>
    <w:rsid w:val="00457F19"/>
    <w:rsid w:val="00460102"/>
    <w:rsid w:val="00460A8E"/>
    <w:rsid w:val="00461885"/>
    <w:rsid w:val="00461EEB"/>
    <w:rsid w:val="00462122"/>
    <w:rsid w:val="0046258F"/>
    <w:rsid w:val="00462D28"/>
    <w:rsid w:val="00464747"/>
    <w:rsid w:val="0046636A"/>
    <w:rsid w:val="00466AC2"/>
    <w:rsid w:val="00466AC5"/>
    <w:rsid w:val="004701A5"/>
    <w:rsid w:val="00470290"/>
    <w:rsid w:val="004708F6"/>
    <w:rsid w:val="004712A7"/>
    <w:rsid w:val="00471CCB"/>
    <w:rsid w:val="00471F82"/>
    <w:rsid w:val="00471FB9"/>
    <w:rsid w:val="004745D7"/>
    <w:rsid w:val="004767E8"/>
    <w:rsid w:val="00476F28"/>
    <w:rsid w:val="00480ED0"/>
    <w:rsid w:val="00481224"/>
    <w:rsid w:val="0048176D"/>
    <w:rsid w:val="00481BD6"/>
    <w:rsid w:val="00481C30"/>
    <w:rsid w:val="00481CB0"/>
    <w:rsid w:val="00483A01"/>
    <w:rsid w:val="004843CC"/>
    <w:rsid w:val="00484F38"/>
    <w:rsid w:val="00485591"/>
    <w:rsid w:val="00485BE7"/>
    <w:rsid w:val="004903D9"/>
    <w:rsid w:val="004906BC"/>
    <w:rsid w:val="00490C41"/>
    <w:rsid w:val="00491114"/>
    <w:rsid w:val="004918CE"/>
    <w:rsid w:val="004920D9"/>
    <w:rsid w:val="0049277B"/>
    <w:rsid w:val="00493119"/>
    <w:rsid w:val="00493863"/>
    <w:rsid w:val="0049476B"/>
    <w:rsid w:val="00494BCE"/>
    <w:rsid w:val="00495D5B"/>
    <w:rsid w:val="004964A6"/>
    <w:rsid w:val="004964E2"/>
    <w:rsid w:val="00496F56"/>
    <w:rsid w:val="004977D7"/>
    <w:rsid w:val="00497FC2"/>
    <w:rsid w:val="004A0A23"/>
    <w:rsid w:val="004A1F1A"/>
    <w:rsid w:val="004A2A1B"/>
    <w:rsid w:val="004A3B57"/>
    <w:rsid w:val="004A3B7D"/>
    <w:rsid w:val="004A3CFF"/>
    <w:rsid w:val="004A3D5D"/>
    <w:rsid w:val="004A44BE"/>
    <w:rsid w:val="004A4538"/>
    <w:rsid w:val="004A5938"/>
    <w:rsid w:val="004A5EAB"/>
    <w:rsid w:val="004A68F0"/>
    <w:rsid w:val="004A6B3B"/>
    <w:rsid w:val="004B091C"/>
    <w:rsid w:val="004B1848"/>
    <w:rsid w:val="004B2890"/>
    <w:rsid w:val="004B2AD7"/>
    <w:rsid w:val="004B335D"/>
    <w:rsid w:val="004B3C77"/>
    <w:rsid w:val="004B3DA1"/>
    <w:rsid w:val="004B3F55"/>
    <w:rsid w:val="004B480D"/>
    <w:rsid w:val="004B5F28"/>
    <w:rsid w:val="004C0097"/>
    <w:rsid w:val="004C0471"/>
    <w:rsid w:val="004C06F3"/>
    <w:rsid w:val="004C1DDC"/>
    <w:rsid w:val="004C2F00"/>
    <w:rsid w:val="004C3D5F"/>
    <w:rsid w:val="004C52C9"/>
    <w:rsid w:val="004C64A2"/>
    <w:rsid w:val="004C7B9A"/>
    <w:rsid w:val="004D297D"/>
    <w:rsid w:val="004D2CB2"/>
    <w:rsid w:val="004D2CCA"/>
    <w:rsid w:val="004D37ED"/>
    <w:rsid w:val="004D492D"/>
    <w:rsid w:val="004D6596"/>
    <w:rsid w:val="004D7922"/>
    <w:rsid w:val="004E01BE"/>
    <w:rsid w:val="004E1E23"/>
    <w:rsid w:val="004E66B5"/>
    <w:rsid w:val="004E6F92"/>
    <w:rsid w:val="004E7A2E"/>
    <w:rsid w:val="004F088E"/>
    <w:rsid w:val="004F0BF4"/>
    <w:rsid w:val="004F1C39"/>
    <w:rsid w:val="004F1E22"/>
    <w:rsid w:val="004F3171"/>
    <w:rsid w:val="004F36D7"/>
    <w:rsid w:val="004F378E"/>
    <w:rsid w:val="004F45D0"/>
    <w:rsid w:val="004F4AD1"/>
    <w:rsid w:val="004F571B"/>
    <w:rsid w:val="004F5D3E"/>
    <w:rsid w:val="004F6079"/>
    <w:rsid w:val="004F609E"/>
    <w:rsid w:val="004F66FB"/>
    <w:rsid w:val="004F77DF"/>
    <w:rsid w:val="00501986"/>
    <w:rsid w:val="0050355E"/>
    <w:rsid w:val="00503686"/>
    <w:rsid w:val="00503B45"/>
    <w:rsid w:val="00503D09"/>
    <w:rsid w:val="00503F1B"/>
    <w:rsid w:val="00504EE1"/>
    <w:rsid w:val="005058F1"/>
    <w:rsid w:val="00505DD1"/>
    <w:rsid w:val="00505FF8"/>
    <w:rsid w:val="00507121"/>
    <w:rsid w:val="00507BAD"/>
    <w:rsid w:val="005108A3"/>
    <w:rsid w:val="00510F29"/>
    <w:rsid w:val="0051193F"/>
    <w:rsid w:val="00511FD2"/>
    <w:rsid w:val="00512840"/>
    <w:rsid w:val="00512C20"/>
    <w:rsid w:val="0051351A"/>
    <w:rsid w:val="00513BD6"/>
    <w:rsid w:val="00513D9C"/>
    <w:rsid w:val="00513FA7"/>
    <w:rsid w:val="00514D74"/>
    <w:rsid w:val="0051669D"/>
    <w:rsid w:val="005167AC"/>
    <w:rsid w:val="005174E9"/>
    <w:rsid w:val="00517746"/>
    <w:rsid w:val="00517A91"/>
    <w:rsid w:val="00520188"/>
    <w:rsid w:val="005201EE"/>
    <w:rsid w:val="005205F3"/>
    <w:rsid w:val="00520D1D"/>
    <w:rsid w:val="00520F96"/>
    <w:rsid w:val="00521835"/>
    <w:rsid w:val="00521FBB"/>
    <w:rsid w:val="00522872"/>
    <w:rsid w:val="0052293D"/>
    <w:rsid w:val="00522BB7"/>
    <w:rsid w:val="00524223"/>
    <w:rsid w:val="0052474F"/>
    <w:rsid w:val="005257E9"/>
    <w:rsid w:val="0052592B"/>
    <w:rsid w:val="00526A58"/>
    <w:rsid w:val="00526D98"/>
    <w:rsid w:val="00526D99"/>
    <w:rsid w:val="005273FA"/>
    <w:rsid w:val="0052759C"/>
    <w:rsid w:val="005301DE"/>
    <w:rsid w:val="005307CE"/>
    <w:rsid w:val="00530FFE"/>
    <w:rsid w:val="00531889"/>
    <w:rsid w:val="0053211F"/>
    <w:rsid w:val="005328C3"/>
    <w:rsid w:val="0053564E"/>
    <w:rsid w:val="00536092"/>
    <w:rsid w:val="00536232"/>
    <w:rsid w:val="00536862"/>
    <w:rsid w:val="00536A99"/>
    <w:rsid w:val="00536FD8"/>
    <w:rsid w:val="00537147"/>
    <w:rsid w:val="0053781C"/>
    <w:rsid w:val="00537E2F"/>
    <w:rsid w:val="0054057C"/>
    <w:rsid w:val="005405DC"/>
    <w:rsid w:val="00540CEE"/>
    <w:rsid w:val="00541867"/>
    <w:rsid w:val="00541E77"/>
    <w:rsid w:val="00542A64"/>
    <w:rsid w:val="00542FE9"/>
    <w:rsid w:val="005431EC"/>
    <w:rsid w:val="005437C8"/>
    <w:rsid w:val="005438BD"/>
    <w:rsid w:val="00543C9A"/>
    <w:rsid w:val="00544D2D"/>
    <w:rsid w:val="00545B45"/>
    <w:rsid w:val="00546A39"/>
    <w:rsid w:val="00547430"/>
    <w:rsid w:val="005475C8"/>
    <w:rsid w:val="005500F6"/>
    <w:rsid w:val="00550908"/>
    <w:rsid w:val="00552983"/>
    <w:rsid w:val="005530C4"/>
    <w:rsid w:val="00556660"/>
    <w:rsid w:val="00557AB8"/>
    <w:rsid w:val="005600F3"/>
    <w:rsid w:val="00560FA3"/>
    <w:rsid w:val="005615E4"/>
    <w:rsid w:val="0056273E"/>
    <w:rsid w:val="00562BA4"/>
    <w:rsid w:val="00563B3A"/>
    <w:rsid w:val="00563E37"/>
    <w:rsid w:val="00564C0E"/>
    <w:rsid w:val="00564C4E"/>
    <w:rsid w:val="00567387"/>
    <w:rsid w:val="00570E1E"/>
    <w:rsid w:val="00570F28"/>
    <w:rsid w:val="0057115F"/>
    <w:rsid w:val="00571844"/>
    <w:rsid w:val="005719DC"/>
    <w:rsid w:val="00571E52"/>
    <w:rsid w:val="00572641"/>
    <w:rsid w:val="00575CB5"/>
    <w:rsid w:val="0057664A"/>
    <w:rsid w:val="00576994"/>
    <w:rsid w:val="0057776D"/>
    <w:rsid w:val="00577D53"/>
    <w:rsid w:val="00580360"/>
    <w:rsid w:val="00581214"/>
    <w:rsid w:val="0058246C"/>
    <w:rsid w:val="005825E3"/>
    <w:rsid w:val="00582DF9"/>
    <w:rsid w:val="005831CD"/>
    <w:rsid w:val="00583503"/>
    <w:rsid w:val="00583FF1"/>
    <w:rsid w:val="00584445"/>
    <w:rsid w:val="005845E8"/>
    <w:rsid w:val="00584882"/>
    <w:rsid w:val="00584995"/>
    <w:rsid w:val="00585C9A"/>
    <w:rsid w:val="00585DAC"/>
    <w:rsid w:val="00586602"/>
    <w:rsid w:val="005868D9"/>
    <w:rsid w:val="0059009C"/>
    <w:rsid w:val="00590F41"/>
    <w:rsid w:val="005910D6"/>
    <w:rsid w:val="00591BEC"/>
    <w:rsid w:val="00591D76"/>
    <w:rsid w:val="00591E1F"/>
    <w:rsid w:val="00592106"/>
    <w:rsid w:val="00592375"/>
    <w:rsid w:val="00592B08"/>
    <w:rsid w:val="00592B88"/>
    <w:rsid w:val="005956CF"/>
    <w:rsid w:val="00596E65"/>
    <w:rsid w:val="00596F5A"/>
    <w:rsid w:val="00597B76"/>
    <w:rsid w:val="005A066C"/>
    <w:rsid w:val="005A11A5"/>
    <w:rsid w:val="005A1ADC"/>
    <w:rsid w:val="005A20EC"/>
    <w:rsid w:val="005A2FC4"/>
    <w:rsid w:val="005A3219"/>
    <w:rsid w:val="005A33D6"/>
    <w:rsid w:val="005A3F15"/>
    <w:rsid w:val="005A4548"/>
    <w:rsid w:val="005A6058"/>
    <w:rsid w:val="005A71DB"/>
    <w:rsid w:val="005A7BBF"/>
    <w:rsid w:val="005B09C7"/>
    <w:rsid w:val="005B1FA7"/>
    <w:rsid w:val="005B2299"/>
    <w:rsid w:val="005B34CA"/>
    <w:rsid w:val="005B3592"/>
    <w:rsid w:val="005B365E"/>
    <w:rsid w:val="005B36B7"/>
    <w:rsid w:val="005B3C1F"/>
    <w:rsid w:val="005B419B"/>
    <w:rsid w:val="005B4F39"/>
    <w:rsid w:val="005B5455"/>
    <w:rsid w:val="005B563A"/>
    <w:rsid w:val="005B604E"/>
    <w:rsid w:val="005B60D8"/>
    <w:rsid w:val="005B71C9"/>
    <w:rsid w:val="005B7363"/>
    <w:rsid w:val="005B7388"/>
    <w:rsid w:val="005C0813"/>
    <w:rsid w:val="005C0F63"/>
    <w:rsid w:val="005C1C64"/>
    <w:rsid w:val="005C4A70"/>
    <w:rsid w:val="005C545C"/>
    <w:rsid w:val="005C64A1"/>
    <w:rsid w:val="005C6D81"/>
    <w:rsid w:val="005C734C"/>
    <w:rsid w:val="005D04B2"/>
    <w:rsid w:val="005D0F4A"/>
    <w:rsid w:val="005D1005"/>
    <w:rsid w:val="005D14EB"/>
    <w:rsid w:val="005D17B9"/>
    <w:rsid w:val="005D19C8"/>
    <w:rsid w:val="005D26F2"/>
    <w:rsid w:val="005D3C12"/>
    <w:rsid w:val="005D40E0"/>
    <w:rsid w:val="005D43D2"/>
    <w:rsid w:val="005D5B8F"/>
    <w:rsid w:val="005D76C2"/>
    <w:rsid w:val="005D7FE4"/>
    <w:rsid w:val="005E080F"/>
    <w:rsid w:val="005E0BC3"/>
    <w:rsid w:val="005E0E66"/>
    <w:rsid w:val="005E1215"/>
    <w:rsid w:val="005E2190"/>
    <w:rsid w:val="005E2782"/>
    <w:rsid w:val="005E28C4"/>
    <w:rsid w:val="005E2BEF"/>
    <w:rsid w:val="005E30E4"/>
    <w:rsid w:val="005E3F48"/>
    <w:rsid w:val="005E533A"/>
    <w:rsid w:val="005E5514"/>
    <w:rsid w:val="005E58C6"/>
    <w:rsid w:val="005E5CA5"/>
    <w:rsid w:val="005E7C54"/>
    <w:rsid w:val="005F063A"/>
    <w:rsid w:val="005F20C8"/>
    <w:rsid w:val="005F22E2"/>
    <w:rsid w:val="005F2D3C"/>
    <w:rsid w:val="005F3361"/>
    <w:rsid w:val="005F4B77"/>
    <w:rsid w:val="005F570C"/>
    <w:rsid w:val="005F695F"/>
    <w:rsid w:val="005F74B4"/>
    <w:rsid w:val="00600EF6"/>
    <w:rsid w:val="00600FD0"/>
    <w:rsid w:val="0060100B"/>
    <w:rsid w:val="00602530"/>
    <w:rsid w:val="00602A97"/>
    <w:rsid w:val="00603CC4"/>
    <w:rsid w:val="006051A2"/>
    <w:rsid w:val="006062D0"/>
    <w:rsid w:val="00606D46"/>
    <w:rsid w:val="006101E5"/>
    <w:rsid w:val="0061024B"/>
    <w:rsid w:val="00611242"/>
    <w:rsid w:val="0061385F"/>
    <w:rsid w:val="0061473E"/>
    <w:rsid w:val="00615105"/>
    <w:rsid w:val="00615485"/>
    <w:rsid w:val="006158FF"/>
    <w:rsid w:val="00616448"/>
    <w:rsid w:val="006172EB"/>
    <w:rsid w:val="0061762B"/>
    <w:rsid w:val="00617DA1"/>
    <w:rsid w:val="0062010F"/>
    <w:rsid w:val="00620E51"/>
    <w:rsid w:val="00621763"/>
    <w:rsid w:val="00621802"/>
    <w:rsid w:val="00621ADE"/>
    <w:rsid w:val="006220B7"/>
    <w:rsid w:val="006220E5"/>
    <w:rsid w:val="00622BA0"/>
    <w:rsid w:val="00622DF0"/>
    <w:rsid w:val="0062405E"/>
    <w:rsid w:val="00624645"/>
    <w:rsid w:val="006254F0"/>
    <w:rsid w:val="00625B45"/>
    <w:rsid w:val="00626645"/>
    <w:rsid w:val="006270E3"/>
    <w:rsid w:val="00627BBA"/>
    <w:rsid w:val="00630ABD"/>
    <w:rsid w:val="00631C60"/>
    <w:rsid w:val="00631C88"/>
    <w:rsid w:val="00631FC8"/>
    <w:rsid w:val="00632797"/>
    <w:rsid w:val="00632A2E"/>
    <w:rsid w:val="00632D7F"/>
    <w:rsid w:val="00633739"/>
    <w:rsid w:val="00633CFD"/>
    <w:rsid w:val="00633DF8"/>
    <w:rsid w:val="006352BB"/>
    <w:rsid w:val="0063660B"/>
    <w:rsid w:val="006373F2"/>
    <w:rsid w:val="00637E98"/>
    <w:rsid w:val="00640924"/>
    <w:rsid w:val="00640F2D"/>
    <w:rsid w:val="0064106F"/>
    <w:rsid w:val="00641355"/>
    <w:rsid w:val="0064260E"/>
    <w:rsid w:val="0064280A"/>
    <w:rsid w:val="006437E3"/>
    <w:rsid w:val="006438CE"/>
    <w:rsid w:val="0064411B"/>
    <w:rsid w:val="006448B2"/>
    <w:rsid w:val="00644F47"/>
    <w:rsid w:val="0064524F"/>
    <w:rsid w:val="0064599E"/>
    <w:rsid w:val="00646869"/>
    <w:rsid w:val="00646B11"/>
    <w:rsid w:val="00651530"/>
    <w:rsid w:val="006516CB"/>
    <w:rsid w:val="006516DF"/>
    <w:rsid w:val="00652116"/>
    <w:rsid w:val="00652935"/>
    <w:rsid w:val="00652B9B"/>
    <w:rsid w:val="0065367D"/>
    <w:rsid w:val="0065397B"/>
    <w:rsid w:val="006540A5"/>
    <w:rsid w:val="006559CB"/>
    <w:rsid w:val="00655E1A"/>
    <w:rsid w:val="0065757C"/>
    <w:rsid w:val="006577C9"/>
    <w:rsid w:val="00660864"/>
    <w:rsid w:val="00660F59"/>
    <w:rsid w:val="006614AA"/>
    <w:rsid w:val="006627B0"/>
    <w:rsid w:val="006636D6"/>
    <w:rsid w:val="006638E2"/>
    <w:rsid w:val="00664B91"/>
    <w:rsid w:val="00665466"/>
    <w:rsid w:val="00665FC0"/>
    <w:rsid w:val="00667AAC"/>
    <w:rsid w:val="006702A0"/>
    <w:rsid w:val="0067148E"/>
    <w:rsid w:val="006724CB"/>
    <w:rsid w:val="006728D9"/>
    <w:rsid w:val="00673C2E"/>
    <w:rsid w:val="00674E9D"/>
    <w:rsid w:val="006752C1"/>
    <w:rsid w:val="006752E4"/>
    <w:rsid w:val="0067556F"/>
    <w:rsid w:val="006756FC"/>
    <w:rsid w:val="00677B08"/>
    <w:rsid w:val="00680026"/>
    <w:rsid w:val="006805A6"/>
    <w:rsid w:val="006816EB"/>
    <w:rsid w:val="006822BE"/>
    <w:rsid w:val="00682E9D"/>
    <w:rsid w:val="006830FE"/>
    <w:rsid w:val="00683161"/>
    <w:rsid w:val="006835FB"/>
    <w:rsid w:val="00684D85"/>
    <w:rsid w:val="006867D7"/>
    <w:rsid w:val="00686B04"/>
    <w:rsid w:val="00690305"/>
    <w:rsid w:val="0069195D"/>
    <w:rsid w:val="00691A83"/>
    <w:rsid w:val="00691DDF"/>
    <w:rsid w:val="006921FA"/>
    <w:rsid w:val="00694588"/>
    <w:rsid w:val="00694A36"/>
    <w:rsid w:val="00694F53"/>
    <w:rsid w:val="0069528A"/>
    <w:rsid w:val="00695660"/>
    <w:rsid w:val="00695C73"/>
    <w:rsid w:val="00696C53"/>
    <w:rsid w:val="006978A4"/>
    <w:rsid w:val="006A0C1B"/>
    <w:rsid w:val="006A0CD4"/>
    <w:rsid w:val="006A1FE0"/>
    <w:rsid w:val="006A3B0E"/>
    <w:rsid w:val="006A7931"/>
    <w:rsid w:val="006A7AC1"/>
    <w:rsid w:val="006A7BAE"/>
    <w:rsid w:val="006B036A"/>
    <w:rsid w:val="006B0E83"/>
    <w:rsid w:val="006B1179"/>
    <w:rsid w:val="006B1B88"/>
    <w:rsid w:val="006B20FA"/>
    <w:rsid w:val="006B319D"/>
    <w:rsid w:val="006B333E"/>
    <w:rsid w:val="006B37F7"/>
    <w:rsid w:val="006B3B89"/>
    <w:rsid w:val="006B3D5A"/>
    <w:rsid w:val="006B4C46"/>
    <w:rsid w:val="006B4EBF"/>
    <w:rsid w:val="006B5054"/>
    <w:rsid w:val="006B5492"/>
    <w:rsid w:val="006B6429"/>
    <w:rsid w:val="006B6AA4"/>
    <w:rsid w:val="006B6CDE"/>
    <w:rsid w:val="006B7D3E"/>
    <w:rsid w:val="006C0108"/>
    <w:rsid w:val="006C0A40"/>
    <w:rsid w:val="006C0F1E"/>
    <w:rsid w:val="006C0FE8"/>
    <w:rsid w:val="006C1992"/>
    <w:rsid w:val="006C340D"/>
    <w:rsid w:val="006C3F0C"/>
    <w:rsid w:val="006C3FE3"/>
    <w:rsid w:val="006C484A"/>
    <w:rsid w:val="006C5173"/>
    <w:rsid w:val="006C550A"/>
    <w:rsid w:val="006C6422"/>
    <w:rsid w:val="006C6B83"/>
    <w:rsid w:val="006D0CC6"/>
    <w:rsid w:val="006D10EB"/>
    <w:rsid w:val="006D3778"/>
    <w:rsid w:val="006D38BC"/>
    <w:rsid w:val="006D45F4"/>
    <w:rsid w:val="006D4EA2"/>
    <w:rsid w:val="006D69CB"/>
    <w:rsid w:val="006D7652"/>
    <w:rsid w:val="006D7A30"/>
    <w:rsid w:val="006D7C4B"/>
    <w:rsid w:val="006E2633"/>
    <w:rsid w:val="006E3891"/>
    <w:rsid w:val="006E3A14"/>
    <w:rsid w:val="006E3BE0"/>
    <w:rsid w:val="006E4039"/>
    <w:rsid w:val="006E468B"/>
    <w:rsid w:val="006E4BAF"/>
    <w:rsid w:val="006E4D6C"/>
    <w:rsid w:val="006E5020"/>
    <w:rsid w:val="006E52A8"/>
    <w:rsid w:val="006E598C"/>
    <w:rsid w:val="006E5C39"/>
    <w:rsid w:val="006E6BD4"/>
    <w:rsid w:val="006E7021"/>
    <w:rsid w:val="006E71EC"/>
    <w:rsid w:val="006E7D99"/>
    <w:rsid w:val="006F053D"/>
    <w:rsid w:val="006F0653"/>
    <w:rsid w:val="006F0A8E"/>
    <w:rsid w:val="006F1089"/>
    <w:rsid w:val="006F14D0"/>
    <w:rsid w:val="006F235C"/>
    <w:rsid w:val="006F2ED3"/>
    <w:rsid w:val="006F311D"/>
    <w:rsid w:val="006F32B2"/>
    <w:rsid w:val="006F400D"/>
    <w:rsid w:val="006F41DF"/>
    <w:rsid w:val="006F4206"/>
    <w:rsid w:val="006F4511"/>
    <w:rsid w:val="006F4AA3"/>
    <w:rsid w:val="006F5AE3"/>
    <w:rsid w:val="006F6AE0"/>
    <w:rsid w:val="006F7551"/>
    <w:rsid w:val="006F7810"/>
    <w:rsid w:val="006F7955"/>
    <w:rsid w:val="0070280F"/>
    <w:rsid w:val="00704584"/>
    <w:rsid w:val="00704F41"/>
    <w:rsid w:val="007051BF"/>
    <w:rsid w:val="007143E3"/>
    <w:rsid w:val="00714FEC"/>
    <w:rsid w:val="00715C19"/>
    <w:rsid w:val="00716046"/>
    <w:rsid w:val="0072010D"/>
    <w:rsid w:val="007209DF"/>
    <w:rsid w:val="00720A8C"/>
    <w:rsid w:val="00720C71"/>
    <w:rsid w:val="007215C9"/>
    <w:rsid w:val="00721791"/>
    <w:rsid w:val="007232D4"/>
    <w:rsid w:val="007259E3"/>
    <w:rsid w:val="00725FB9"/>
    <w:rsid w:val="0072628A"/>
    <w:rsid w:val="00726338"/>
    <w:rsid w:val="00727BBC"/>
    <w:rsid w:val="00727FA0"/>
    <w:rsid w:val="00730B02"/>
    <w:rsid w:val="00730B7F"/>
    <w:rsid w:val="007314D2"/>
    <w:rsid w:val="007319EF"/>
    <w:rsid w:val="00732729"/>
    <w:rsid w:val="00732F97"/>
    <w:rsid w:val="00735525"/>
    <w:rsid w:val="007355C1"/>
    <w:rsid w:val="0073560A"/>
    <w:rsid w:val="00735B78"/>
    <w:rsid w:val="0073668C"/>
    <w:rsid w:val="00736C2C"/>
    <w:rsid w:val="00737F51"/>
    <w:rsid w:val="00741FD6"/>
    <w:rsid w:val="0074246D"/>
    <w:rsid w:val="00742ECD"/>
    <w:rsid w:val="0074372E"/>
    <w:rsid w:val="00743C12"/>
    <w:rsid w:val="00744475"/>
    <w:rsid w:val="00744BDF"/>
    <w:rsid w:val="0074576D"/>
    <w:rsid w:val="00746DDC"/>
    <w:rsid w:val="00747817"/>
    <w:rsid w:val="00747FC7"/>
    <w:rsid w:val="0075114E"/>
    <w:rsid w:val="0075538F"/>
    <w:rsid w:val="007555D0"/>
    <w:rsid w:val="007560C1"/>
    <w:rsid w:val="007561EA"/>
    <w:rsid w:val="00756F12"/>
    <w:rsid w:val="00757800"/>
    <w:rsid w:val="0076005A"/>
    <w:rsid w:val="00760149"/>
    <w:rsid w:val="00762073"/>
    <w:rsid w:val="007627A3"/>
    <w:rsid w:val="00762E8D"/>
    <w:rsid w:val="007640BF"/>
    <w:rsid w:val="00764DD1"/>
    <w:rsid w:val="00765293"/>
    <w:rsid w:val="00765A79"/>
    <w:rsid w:val="00766FAB"/>
    <w:rsid w:val="007717AF"/>
    <w:rsid w:val="00771D33"/>
    <w:rsid w:val="00772408"/>
    <w:rsid w:val="00772B41"/>
    <w:rsid w:val="00772B52"/>
    <w:rsid w:val="00772F67"/>
    <w:rsid w:val="007734FA"/>
    <w:rsid w:val="00773795"/>
    <w:rsid w:val="007754C9"/>
    <w:rsid w:val="007756D8"/>
    <w:rsid w:val="00781BC6"/>
    <w:rsid w:val="007820CE"/>
    <w:rsid w:val="00783304"/>
    <w:rsid w:val="00784DFA"/>
    <w:rsid w:val="00784E3E"/>
    <w:rsid w:val="00785BE5"/>
    <w:rsid w:val="00786A2F"/>
    <w:rsid w:val="00786AE5"/>
    <w:rsid w:val="00786DC9"/>
    <w:rsid w:val="00787245"/>
    <w:rsid w:val="0078742D"/>
    <w:rsid w:val="007878E9"/>
    <w:rsid w:val="00787EB3"/>
    <w:rsid w:val="0079022F"/>
    <w:rsid w:val="00790813"/>
    <w:rsid w:val="00790903"/>
    <w:rsid w:val="00790CAF"/>
    <w:rsid w:val="0079340E"/>
    <w:rsid w:val="0079394C"/>
    <w:rsid w:val="00793D9B"/>
    <w:rsid w:val="00794765"/>
    <w:rsid w:val="00794834"/>
    <w:rsid w:val="00795A83"/>
    <w:rsid w:val="007966E3"/>
    <w:rsid w:val="007966F4"/>
    <w:rsid w:val="00797294"/>
    <w:rsid w:val="0079749B"/>
    <w:rsid w:val="007A00FF"/>
    <w:rsid w:val="007A0EA4"/>
    <w:rsid w:val="007A198C"/>
    <w:rsid w:val="007A1A79"/>
    <w:rsid w:val="007A1E49"/>
    <w:rsid w:val="007A25A8"/>
    <w:rsid w:val="007A2DC3"/>
    <w:rsid w:val="007A30D0"/>
    <w:rsid w:val="007A40E7"/>
    <w:rsid w:val="007A5699"/>
    <w:rsid w:val="007A6300"/>
    <w:rsid w:val="007A64D6"/>
    <w:rsid w:val="007A68E6"/>
    <w:rsid w:val="007A7A6F"/>
    <w:rsid w:val="007A7DB9"/>
    <w:rsid w:val="007A7F98"/>
    <w:rsid w:val="007B174A"/>
    <w:rsid w:val="007B24A7"/>
    <w:rsid w:val="007B34C6"/>
    <w:rsid w:val="007B356C"/>
    <w:rsid w:val="007B3CA3"/>
    <w:rsid w:val="007B4836"/>
    <w:rsid w:val="007B5C62"/>
    <w:rsid w:val="007B5D8F"/>
    <w:rsid w:val="007B70A1"/>
    <w:rsid w:val="007B741E"/>
    <w:rsid w:val="007C000B"/>
    <w:rsid w:val="007C0527"/>
    <w:rsid w:val="007C3C7A"/>
    <w:rsid w:val="007C4416"/>
    <w:rsid w:val="007C59DA"/>
    <w:rsid w:val="007C65F6"/>
    <w:rsid w:val="007C6B47"/>
    <w:rsid w:val="007C6DDA"/>
    <w:rsid w:val="007C745E"/>
    <w:rsid w:val="007C751C"/>
    <w:rsid w:val="007D12B1"/>
    <w:rsid w:val="007D1870"/>
    <w:rsid w:val="007D1C31"/>
    <w:rsid w:val="007D22E3"/>
    <w:rsid w:val="007D2382"/>
    <w:rsid w:val="007D27FC"/>
    <w:rsid w:val="007D4116"/>
    <w:rsid w:val="007D44C0"/>
    <w:rsid w:val="007D44F9"/>
    <w:rsid w:val="007D6DFF"/>
    <w:rsid w:val="007D757C"/>
    <w:rsid w:val="007E042A"/>
    <w:rsid w:val="007E2184"/>
    <w:rsid w:val="007E2C27"/>
    <w:rsid w:val="007E3294"/>
    <w:rsid w:val="007E3BE1"/>
    <w:rsid w:val="007E4EE2"/>
    <w:rsid w:val="007E5576"/>
    <w:rsid w:val="007E69C9"/>
    <w:rsid w:val="007F0C41"/>
    <w:rsid w:val="007F1057"/>
    <w:rsid w:val="007F21B1"/>
    <w:rsid w:val="007F2883"/>
    <w:rsid w:val="007F2C68"/>
    <w:rsid w:val="007F3F69"/>
    <w:rsid w:val="007F45E1"/>
    <w:rsid w:val="007F4E32"/>
    <w:rsid w:val="007F520E"/>
    <w:rsid w:val="007F546A"/>
    <w:rsid w:val="007F56D7"/>
    <w:rsid w:val="007F5ADA"/>
    <w:rsid w:val="007F6224"/>
    <w:rsid w:val="007F6AB0"/>
    <w:rsid w:val="007F6FA5"/>
    <w:rsid w:val="007F71FA"/>
    <w:rsid w:val="007F7365"/>
    <w:rsid w:val="007F7A6A"/>
    <w:rsid w:val="00801046"/>
    <w:rsid w:val="008011EA"/>
    <w:rsid w:val="008014C1"/>
    <w:rsid w:val="008025BC"/>
    <w:rsid w:val="00802806"/>
    <w:rsid w:val="008056CC"/>
    <w:rsid w:val="00810115"/>
    <w:rsid w:val="008107BB"/>
    <w:rsid w:val="008107BD"/>
    <w:rsid w:val="0081087D"/>
    <w:rsid w:val="0081183D"/>
    <w:rsid w:val="00811C03"/>
    <w:rsid w:val="00811CBB"/>
    <w:rsid w:val="00811D2C"/>
    <w:rsid w:val="00811D6A"/>
    <w:rsid w:val="0081274D"/>
    <w:rsid w:val="00813243"/>
    <w:rsid w:val="0081379D"/>
    <w:rsid w:val="008138CC"/>
    <w:rsid w:val="00813AA6"/>
    <w:rsid w:val="008141BA"/>
    <w:rsid w:val="00815ACC"/>
    <w:rsid w:val="00816C49"/>
    <w:rsid w:val="00816E40"/>
    <w:rsid w:val="00816EA4"/>
    <w:rsid w:val="00817149"/>
    <w:rsid w:val="00817FB8"/>
    <w:rsid w:val="00820D5D"/>
    <w:rsid w:val="00821721"/>
    <w:rsid w:val="00822440"/>
    <w:rsid w:val="008226C3"/>
    <w:rsid w:val="008235AA"/>
    <w:rsid w:val="00823D06"/>
    <w:rsid w:val="00824A5B"/>
    <w:rsid w:val="00825353"/>
    <w:rsid w:val="008256C7"/>
    <w:rsid w:val="00826967"/>
    <w:rsid w:val="008269DF"/>
    <w:rsid w:val="00830AE3"/>
    <w:rsid w:val="00830EA1"/>
    <w:rsid w:val="00830F00"/>
    <w:rsid w:val="00832318"/>
    <w:rsid w:val="0083271C"/>
    <w:rsid w:val="00833212"/>
    <w:rsid w:val="00833EEB"/>
    <w:rsid w:val="00834751"/>
    <w:rsid w:val="00835278"/>
    <w:rsid w:val="008368E6"/>
    <w:rsid w:val="008410EF"/>
    <w:rsid w:val="00842025"/>
    <w:rsid w:val="008427A1"/>
    <w:rsid w:val="00842A7D"/>
    <w:rsid w:val="00842BF2"/>
    <w:rsid w:val="0084430B"/>
    <w:rsid w:val="0084503A"/>
    <w:rsid w:val="00845725"/>
    <w:rsid w:val="00845D01"/>
    <w:rsid w:val="008469C5"/>
    <w:rsid w:val="00847F0A"/>
    <w:rsid w:val="0085038C"/>
    <w:rsid w:val="008503FB"/>
    <w:rsid w:val="0085053B"/>
    <w:rsid w:val="008505A7"/>
    <w:rsid w:val="008506CA"/>
    <w:rsid w:val="00851AE8"/>
    <w:rsid w:val="00852951"/>
    <w:rsid w:val="00852B86"/>
    <w:rsid w:val="00852CB4"/>
    <w:rsid w:val="00855726"/>
    <w:rsid w:val="008559D0"/>
    <w:rsid w:val="00855A6F"/>
    <w:rsid w:val="00856059"/>
    <w:rsid w:val="008563A1"/>
    <w:rsid w:val="008565F1"/>
    <w:rsid w:val="00856B92"/>
    <w:rsid w:val="00860565"/>
    <w:rsid w:val="00860EB4"/>
    <w:rsid w:val="00860EF6"/>
    <w:rsid w:val="00862565"/>
    <w:rsid w:val="0086395B"/>
    <w:rsid w:val="00864640"/>
    <w:rsid w:val="0086560A"/>
    <w:rsid w:val="00866BBA"/>
    <w:rsid w:val="00866C0B"/>
    <w:rsid w:val="00866C24"/>
    <w:rsid w:val="00866D41"/>
    <w:rsid w:val="00867A34"/>
    <w:rsid w:val="00870697"/>
    <w:rsid w:val="00870A39"/>
    <w:rsid w:val="008717DA"/>
    <w:rsid w:val="00871AC9"/>
    <w:rsid w:val="00872171"/>
    <w:rsid w:val="0087415E"/>
    <w:rsid w:val="00874BBE"/>
    <w:rsid w:val="00874C44"/>
    <w:rsid w:val="00875AAB"/>
    <w:rsid w:val="00875BE6"/>
    <w:rsid w:val="00875D72"/>
    <w:rsid w:val="00880CED"/>
    <w:rsid w:val="00880E1C"/>
    <w:rsid w:val="0088283A"/>
    <w:rsid w:val="00882A7F"/>
    <w:rsid w:val="00882F45"/>
    <w:rsid w:val="00883CEB"/>
    <w:rsid w:val="0088484F"/>
    <w:rsid w:val="00884BE8"/>
    <w:rsid w:val="00884BEF"/>
    <w:rsid w:val="00885B33"/>
    <w:rsid w:val="00886864"/>
    <w:rsid w:val="00886D50"/>
    <w:rsid w:val="00887275"/>
    <w:rsid w:val="0088797E"/>
    <w:rsid w:val="008879D1"/>
    <w:rsid w:val="00890649"/>
    <w:rsid w:val="008906FF"/>
    <w:rsid w:val="0089286F"/>
    <w:rsid w:val="00893C63"/>
    <w:rsid w:val="0089401C"/>
    <w:rsid w:val="008952C0"/>
    <w:rsid w:val="00895531"/>
    <w:rsid w:val="0089581F"/>
    <w:rsid w:val="00895B54"/>
    <w:rsid w:val="00895B87"/>
    <w:rsid w:val="00895C9B"/>
    <w:rsid w:val="008968D3"/>
    <w:rsid w:val="00897233"/>
    <w:rsid w:val="00897E56"/>
    <w:rsid w:val="008A0F07"/>
    <w:rsid w:val="008A1AEB"/>
    <w:rsid w:val="008A1E37"/>
    <w:rsid w:val="008A3E39"/>
    <w:rsid w:val="008A4DA2"/>
    <w:rsid w:val="008A66CA"/>
    <w:rsid w:val="008A670C"/>
    <w:rsid w:val="008A7254"/>
    <w:rsid w:val="008B0D9F"/>
    <w:rsid w:val="008B1511"/>
    <w:rsid w:val="008B189C"/>
    <w:rsid w:val="008B19B4"/>
    <w:rsid w:val="008B1EAE"/>
    <w:rsid w:val="008B1F1E"/>
    <w:rsid w:val="008B2224"/>
    <w:rsid w:val="008B29B6"/>
    <w:rsid w:val="008B2AA1"/>
    <w:rsid w:val="008B2BFC"/>
    <w:rsid w:val="008B2D80"/>
    <w:rsid w:val="008B3159"/>
    <w:rsid w:val="008B3315"/>
    <w:rsid w:val="008B3438"/>
    <w:rsid w:val="008B3BB8"/>
    <w:rsid w:val="008B3C36"/>
    <w:rsid w:val="008B3FFF"/>
    <w:rsid w:val="008B5F35"/>
    <w:rsid w:val="008B5FD4"/>
    <w:rsid w:val="008B6391"/>
    <w:rsid w:val="008B674A"/>
    <w:rsid w:val="008B7103"/>
    <w:rsid w:val="008B711D"/>
    <w:rsid w:val="008C2391"/>
    <w:rsid w:val="008C3289"/>
    <w:rsid w:val="008C37AD"/>
    <w:rsid w:val="008C3926"/>
    <w:rsid w:val="008C3E81"/>
    <w:rsid w:val="008C4C72"/>
    <w:rsid w:val="008C5737"/>
    <w:rsid w:val="008C73EC"/>
    <w:rsid w:val="008C75F8"/>
    <w:rsid w:val="008D0F9E"/>
    <w:rsid w:val="008D10FC"/>
    <w:rsid w:val="008D1702"/>
    <w:rsid w:val="008D2568"/>
    <w:rsid w:val="008D2C75"/>
    <w:rsid w:val="008D33E9"/>
    <w:rsid w:val="008D342A"/>
    <w:rsid w:val="008D3AA4"/>
    <w:rsid w:val="008D4181"/>
    <w:rsid w:val="008D4FE7"/>
    <w:rsid w:val="008D5A19"/>
    <w:rsid w:val="008D6B51"/>
    <w:rsid w:val="008E010D"/>
    <w:rsid w:val="008E02B1"/>
    <w:rsid w:val="008E0901"/>
    <w:rsid w:val="008E1E0F"/>
    <w:rsid w:val="008E1E2C"/>
    <w:rsid w:val="008E1E65"/>
    <w:rsid w:val="008E3115"/>
    <w:rsid w:val="008E33E8"/>
    <w:rsid w:val="008E38BF"/>
    <w:rsid w:val="008E3E9E"/>
    <w:rsid w:val="008E4243"/>
    <w:rsid w:val="008E465E"/>
    <w:rsid w:val="008E5249"/>
    <w:rsid w:val="008E598B"/>
    <w:rsid w:val="008E6FD6"/>
    <w:rsid w:val="008E7299"/>
    <w:rsid w:val="008E7A4D"/>
    <w:rsid w:val="008F0B57"/>
    <w:rsid w:val="008F0F88"/>
    <w:rsid w:val="008F1C5F"/>
    <w:rsid w:val="008F349C"/>
    <w:rsid w:val="008F56AB"/>
    <w:rsid w:val="008F6742"/>
    <w:rsid w:val="008F6AA3"/>
    <w:rsid w:val="008F7F2A"/>
    <w:rsid w:val="008F7FE5"/>
    <w:rsid w:val="00900BC1"/>
    <w:rsid w:val="00900D39"/>
    <w:rsid w:val="00901B55"/>
    <w:rsid w:val="00901EEC"/>
    <w:rsid w:val="00903355"/>
    <w:rsid w:val="00903F73"/>
    <w:rsid w:val="0090469B"/>
    <w:rsid w:val="00905E19"/>
    <w:rsid w:val="00906A61"/>
    <w:rsid w:val="00906CE3"/>
    <w:rsid w:val="00907CDA"/>
    <w:rsid w:val="00907D13"/>
    <w:rsid w:val="00911B9F"/>
    <w:rsid w:val="00912ECB"/>
    <w:rsid w:val="00913B00"/>
    <w:rsid w:val="00915965"/>
    <w:rsid w:val="009170AE"/>
    <w:rsid w:val="00917F61"/>
    <w:rsid w:val="00922275"/>
    <w:rsid w:val="0092231D"/>
    <w:rsid w:val="00922394"/>
    <w:rsid w:val="00922A1A"/>
    <w:rsid w:val="0092387E"/>
    <w:rsid w:val="00923FA8"/>
    <w:rsid w:val="0092404C"/>
    <w:rsid w:val="00924E0F"/>
    <w:rsid w:val="00925676"/>
    <w:rsid w:val="00925E21"/>
    <w:rsid w:val="009261A5"/>
    <w:rsid w:val="00926937"/>
    <w:rsid w:val="00926B17"/>
    <w:rsid w:val="00930C11"/>
    <w:rsid w:val="00931CF2"/>
    <w:rsid w:val="009337E2"/>
    <w:rsid w:val="0093383B"/>
    <w:rsid w:val="0093396E"/>
    <w:rsid w:val="00933DB4"/>
    <w:rsid w:val="00934EEE"/>
    <w:rsid w:val="0093522C"/>
    <w:rsid w:val="0093599B"/>
    <w:rsid w:val="00936557"/>
    <w:rsid w:val="00937E3B"/>
    <w:rsid w:val="009400E3"/>
    <w:rsid w:val="0094125F"/>
    <w:rsid w:val="00941613"/>
    <w:rsid w:val="00941F19"/>
    <w:rsid w:val="00942305"/>
    <w:rsid w:val="00942625"/>
    <w:rsid w:val="009428D9"/>
    <w:rsid w:val="009429B0"/>
    <w:rsid w:val="00942EAB"/>
    <w:rsid w:val="009435E3"/>
    <w:rsid w:val="00944747"/>
    <w:rsid w:val="00944FF9"/>
    <w:rsid w:val="009470D8"/>
    <w:rsid w:val="009470F0"/>
    <w:rsid w:val="00947319"/>
    <w:rsid w:val="00947355"/>
    <w:rsid w:val="0094797B"/>
    <w:rsid w:val="00950081"/>
    <w:rsid w:val="00950D63"/>
    <w:rsid w:val="009516CD"/>
    <w:rsid w:val="00951DA4"/>
    <w:rsid w:val="0095322A"/>
    <w:rsid w:val="00953CEA"/>
    <w:rsid w:val="009548E3"/>
    <w:rsid w:val="009550ED"/>
    <w:rsid w:val="009553A6"/>
    <w:rsid w:val="00955AE6"/>
    <w:rsid w:val="00955D25"/>
    <w:rsid w:val="00955EDF"/>
    <w:rsid w:val="009563EA"/>
    <w:rsid w:val="00956697"/>
    <w:rsid w:val="009569EA"/>
    <w:rsid w:val="00957601"/>
    <w:rsid w:val="00962B72"/>
    <w:rsid w:val="009630DB"/>
    <w:rsid w:val="0096322E"/>
    <w:rsid w:val="00963710"/>
    <w:rsid w:val="00964E92"/>
    <w:rsid w:val="0096509C"/>
    <w:rsid w:val="009656CD"/>
    <w:rsid w:val="009664E9"/>
    <w:rsid w:val="00966CBE"/>
    <w:rsid w:val="009678FA"/>
    <w:rsid w:val="009707C3"/>
    <w:rsid w:val="00971258"/>
    <w:rsid w:val="00973430"/>
    <w:rsid w:val="0097424E"/>
    <w:rsid w:val="00974721"/>
    <w:rsid w:val="0097488E"/>
    <w:rsid w:val="00975450"/>
    <w:rsid w:val="009767AE"/>
    <w:rsid w:val="00976B6E"/>
    <w:rsid w:val="00980628"/>
    <w:rsid w:val="00981AD6"/>
    <w:rsid w:val="00981B7A"/>
    <w:rsid w:val="00981F1D"/>
    <w:rsid w:val="0098210D"/>
    <w:rsid w:val="00982E96"/>
    <w:rsid w:val="009836BA"/>
    <w:rsid w:val="00983CFE"/>
    <w:rsid w:val="00983DBD"/>
    <w:rsid w:val="0098434B"/>
    <w:rsid w:val="0098548F"/>
    <w:rsid w:val="00986023"/>
    <w:rsid w:val="00986227"/>
    <w:rsid w:val="009868D6"/>
    <w:rsid w:val="00986E4B"/>
    <w:rsid w:val="00990C4B"/>
    <w:rsid w:val="00990F67"/>
    <w:rsid w:val="00991010"/>
    <w:rsid w:val="00991F3C"/>
    <w:rsid w:val="00992934"/>
    <w:rsid w:val="00992F08"/>
    <w:rsid w:val="00994A3B"/>
    <w:rsid w:val="00995045"/>
    <w:rsid w:val="009956D0"/>
    <w:rsid w:val="00995CE1"/>
    <w:rsid w:val="00997A25"/>
    <w:rsid w:val="009A1B71"/>
    <w:rsid w:val="009A1D92"/>
    <w:rsid w:val="009A24F4"/>
    <w:rsid w:val="009A27A0"/>
    <w:rsid w:val="009A3213"/>
    <w:rsid w:val="009A34E0"/>
    <w:rsid w:val="009A4B0A"/>
    <w:rsid w:val="009A5471"/>
    <w:rsid w:val="009A577D"/>
    <w:rsid w:val="009A5855"/>
    <w:rsid w:val="009A5C2E"/>
    <w:rsid w:val="009A5C47"/>
    <w:rsid w:val="009A6F7D"/>
    <w:rsid w:val="009A71A3"/>
    <w:rsid w:val="009A7283"/>
    <w:rsid w:val="009A7364"/>
    <w:rsid w:val="009A7E68"/>
    <w:rsid w:val="009B065C"/>
    <w:rsid w:val="009B0B00"/>
    <w:rsid w:val="009B10F7"/>
    <w:rsid w:val="009B167A"/>
    <w:rsid w:val="009B1B0E"/>
    <w:rsid w:val="009B24BE"/>
    <w:rsid w:val="009B29A0"/>
    <w:rsid w:val="009B2CB8"/>
    <w:rsid w:val="009B3234"/>
    <w:rsid w:val="009B329D"/>
    <w:rsid w:val="009B35A6"/>
    <w:rsid w:val="009B3633"/>
    <w:rsid w:val="009B3A52"/>
    <w:rsid w:val="009B3C82"/>
    <w:rsid w:val="009B4519"/>
    <w:rsid w:val="009B4690"/>
    <w:rsid w:val="009B4705"/>
    <w:rsid w:val="009B5353"/>
    <w:rsid w:val="009B54A4"/>
    <w:rsid w:val="009B5750"/>
    <w:rsid w:val="009B6826"/>
    <w:rsid w:val="009B7046"/>
    <w:rsid w:val="009B7F65"/>
    <w:rsid w:val="009B7F73"/>
    <w:rsid w:val="009C0315"/>
    <w:rsid w:val="009C03AE"/>
    <w:rsid w:val="009C22AA"/>
    <w:rsid w:val="009C2866"/>
    <w:rsid w:val="009C3FB8"/>
    <w:rsid w:val="009C43A4"/>
    <w:rsid w:val="009C4B53"/>
    <w:rsid w:val="009C5067"/>
    <w:rsid w:val="009C50E7"/>
    <w:rsid w:val="009C5B67"/>
    <w:rsid w:val="009C6111"/>
    <w:rsid w:val="009C6620"/>
    <w:rsid w:val="009C664D"/>
    <w:rsid w:val="009C6DD7"/>
    <w:rsid w:val="009C743E"/>
    <w:rsid w:val="009D0F58"/>
    <w:rsid w:val="009D16CE"/>
    <w:rsid w:val="009D1DB3"/>
    <w:rsid w:val="009D242D"/>
    <w:rsid w:val="009D2E52"/>
    <w:rsid w:val="009D4B40"/>
    <w:rsid w:val="009D5257"/>
    <w:rsid w:val="009D6567"/>
    <w:rsid w:val="009D66D1"/>
    <w:rsid w:val="009D6BA9"/>
    <w:rsid w:val="009D71C0"/>
    <w:rsid w:val="009D7B7A"/>
    <w:rsid w:val="009E03E7"/>
    <w:rsid w:val="009E05B8"/>
    <w:rsid w:val="009E0991"/>
    <w:rsid w:val="009E216F"/>
    <w:rsid w:val="009E37B9"/>
    <w:rsid w:val="009E6759"/>
    <w:rsid w:val="009E69DF"/>
    <w:rsid w:val="009E7A37"/>
    <w:rsid w:val="009F04E9"/>
    <w:rsid w:val="009F0B10"/>
    <w:rsid w:val="009F0E3F"/>
    <w:rsid w:val="009F25C4"/>
    <w:rsid w:val="009F2BEB"/>
    <w:rsid w:val="009F3332"/>
    <w:rsid w:val="009F3635"/>
    <w:rsid w:val="009F4064"/>
    <w:rsid w:val="009F50AA"/>
    <w:rsid w:val="009F52B1"/>
    <w:rsid w:val="009F5890"/>
    <w:rsid w:val="009F5A61"/>
    <w:rsid w:val="009F5AEC"/>
    <w:rsid w:val="009F6309"/>
    <w:rsid w:val="009F6F1E"/>
    <w:rsid w:val="009F73A9"/>
    <w:rsid w:val="009F7F9F"/>
    <w:rsid w:val="00A00242"/>
    <w:rsid w:val="00A007FA"/>
    <w:rsid w:val="00A02026"/>
    <w:rsid w:val="00A02AF7"/>
    <w:rsid w:val="00A03E02"/>
    <w:rsid w:val="00A0437B"/>
    <w:rsid w:val="00A045A1"/>
    <w:rsid w:val="00A04A4E"/>
    <w:rsid w:val="00A0545C"/>
    <w:rsid w:val="00A06841"/>
    <w:rsid w:val="00A068B1"/>
    <w:rsid w:val="00A07D8C"/>
    <w:rsid w:val="00A1083D"/>
    <w:rsid w:val="00A11671"/>
    <w:rsid w:val="00A116D5"/>
    <w:rsid w:val="00A122E6"/>
    <w:rsid w:val="00A137A1"/>
    <w:rsid w:val="00A13819"/>
    <w:rsid w:val="00A13A8A"/>
    <w:rsid w:val="00A14337"/>
    <w:rsid w:val="00A14AA2"/>
    <w:rsid w:val="00A1526B"/>
    <w:rsid w:val="00A15879"/>
    <w:rsid w:val="00A1589A"/>
    <w:rsid w:val="00A1679F"/>
    <w:rsid w:val="00A1682B"/>
    <w:rsid w:val="00A17753"/>
    <w:rsid w:val="00A2124C"/>
    <w:rsid w:val="00A21B9B"/>
    <w:rsid w:val="00A21C34"/>
    <w:rsid w:val="00A23569"/>
    <w:rsid w:val="00A2368D"/>
    <w:rsid w:val="00A23B8F"/>
    <w:rsid w:val="00A24825"/>
    <w:rsid w:val="00A24E65"/>
    <w:rsid w:val="00A25388"/>
    <w:rsid w:val="00A27710"/>
    <w:rsid w:val="00A27A2A"/>
    <w:rsid w:val="00A27D12"/>
    <w:rsid w:val="00A30006"/>
    <w:rsid w:val="00A303FF"/>
    <w:rsid w:val="00A322DD"/>
    <w:rsid w:val="00A33308"/>
    <w:rsid w:val="00A33BBA"/>
    <w:rsid w:val="00A36A1D"/>
    <w:rsid w:val="00A378F6"/>
    <w:rsid w:val="00A379D5"/>
    <w:rsid w:val="00A40313"/>
    <w:rsid w:val="00A4039B"/>
    <w:rsid w:val="00A40584"/>
    <w:rsid w:val="00A41942"/>
    <w:rsid w:val="00A4201F"/>
    <w:rsid w:val="00A42022"/>
    <w:rsid w:val="00A44078"/>
    <w:rsid w:val="00A4417E"/>
    <w:rsid w:val="00A4486A"/>
    <w:rsid w:val="00A44CFF"/>
    <w:rsid w:val="00A45B2B"/>
    <w:rsid w:val="00A47490"/>
    <w:rsid w:val="00A47750"/>
    <w:rsid w:val="00A47D6B"/>
    <w:rsid w:val="00A500C2"/>
    <w:rsid w:val="00A50F96"/>
    <w:rsid w:val="00A5154D"/>
    <w:rsid w:val="00A5411D"/>
    <w:rsid w:val="00A542BC"/>
    <w:rsid w:val="00A5442D"/>
    <w:rsid w:val="00A546FB"/>
    <w:rsid w:val="00A550FD"/>
    <w:rsid w:val="00A558FE"/>
    <w:rsid w:val="00A56066"/>
    <w:rsid w:val="00A56DF8"/>
    <w:rsid w:val="00A570BE"/>
    <w:rsid w:val="00A573B1"/>
    <w:rsid w:val="00A57B7C"/>
    <w:rsid w:val="00A57BF7"/>
    <w:rsid w:val="00A60B9A"/>
    <w:rsid w:val="00A62344"/>
    <w:rsid w:val="00A626DB"/>
    <w:rsid w:val="00A64837"/>
    <w:rsid w:val="00A64A0B"/>
    <w:rsid w:val="00A64F3C"/>
    <w:rsid w:val="00A65B44"/>
    <w:rsid w:val="00A65B73"/>
    <w:rsid w:val="00A65C23"/>
    <w:rsid w:val="00A66102"/>
    <w:rsid w:val="00A675D1"/>
    <w:rsid w:val="00A67CE4"/>
    <w:rsid w:val="00A7180E"/>
    <w:rsid w:val="00A72DB6"/>
    <w:rsid w:val="00A739AD"/>
    <w:rsid w:val="00A73A9E"/>
    <w:rsid w:val="00A74439"/>
    <w:rsid w:val="00A74513"/>
    <w:rsid w:val="00A74C43"/>
    <w:rsid w:val="00A74E1B"/>
    <w:rsid w:val="00A74EA5"/>
    <w:rsid w:val="00A757E4"/>
    <w:rsid w:val="00A77D34"/>
    <w:rsid w:val="00A81565"/>
    <w:rsid w:val="00A82C4E"/>
    <w:rsid w:val="00A842B8"/>
    <w:rsid w:val="00A84FF8"/>
    <w:rsid w:val="00A85734"/>
    <w:rsid w:val="00A85F03"/>
    <w:rsid w:val="00A85F18"/>
    <w:rsid w:val="00A9040F"/>
    <w:rsid w:val="00A91ECF"/>
    <w:rsid w:val="00A91F99"/>
    <w:rsid w:val="00A923C9"/>
    <w:rsid w:val="00A94DD3"/>
    <w:rsid w:val="00A95A3D"/>
    <w:rsid w:val="00A95B79"/>
    <w:rsid w:val="00A96147"/>
    <w:rsid w:val="00A96D51"/>
    <w:rsid w:val="00A97C8E"/>
    <w:rsid w:val="00A97FF6"/>
    <w:rsid w:val="00AA24EC"/>
    <w:rsid w:val="00AA2869"/>
    <w:rsid w:val="00AA2DFB"/>
    <w:rsid w:val="00AA30A3"/>
    <w:rsid w:val="00AA44A3"/>
    <w:rsid w:val="00AA4A57"/>
    <w:rsid w:val="00AA5120"/>
    <w:rsid w:val="00AA53D7"/>
    <w:rsid w:val="00AA5D1C"/>
    <w:rsid w:val="00AA6ACB"/>
    <w:rsid w:val="00AA7121"/>
    <w:rsid w:val="00AA7175"/>
    <w:rsid w:val="00AA71D5"/>
    <w:rsid w:val="00AA7A9E"/>
    <w:rsid w:val="00AB0C5E"/>
    <w:rsid w:val="00AB1200"/>
    <w:rsid w:val="00AB1A61"/>
    <w:rsid w:val="00AB2A08"/>
    <w:rsid w:val="00AB2DEB"/>
    <w:rsid w:val="00AB3429"/>
    <w:rsid w:val="00AB3626"/>
    <w:rsid w:val="00AB39A3"/>
    <w:rsid w:val="00AB5D76"/>
    <w:rsid w:val="00AB692C"/>
    <w:rsid w:val="00AC05AF"/>
    <w:rsid w:val="00AC0B49"/>
    <w:rsid w:val="00AC261E"/>
    <w:rsid w:val="00AC3B9C"/>
    <w:rsid w:val="00AC4250"/>
    <w:rsid w:val="00AC4ED3"/>
    <w:rsid w:val="00AC54F2"/>
    <w:rsid w:val="00AC6CAE"/>
    <w:rsid w:val="00AD00B4"/>
    <w:rsid w:val="00AD0293"/>
    <w:rsid w:val="00AD0789"/>
    <w:rsid w:val="00AD0BD3"/>
    <w:rsid w:val="00AD0EAE"/>
    <w:rsid w:val="00AD17FF"/>
    <w:rsid w:val="00AD3E44"/>
    <w:rsid w:val="00AD4490"/>
    <w:rsid w:val="00AD717F"/>
    <w:rsid w:val="00AD785B"/>
    <w:rsid w:val="00AE0FAF"/>
    <w:rsid w:val="00AE145A"/>
    <w:rsid w:val="00AE2BFE"/>
    <w:rsid w:val="00AE454A"/>
    <w:rsid w:val="00AE478E"/>
    <w:rsid w:val="00AE5476"/>
    <w:rsid w:val="00AE5DB2"/>
    <w:rsid w:val="00AE66B1"/>
    <w:rsid w:val="00AE70F8"/>
    <w:rsid w:val="00AE7E4C"/>
    <w:rsid w:val="00AF14C2"/>
    <w:rsid w:val="00AF1FFB"/>
    <w:rsid w:val="00AF2080"/>
    <w:rsid w:val="00AF24DF"/>
    <w:rsid w:val="00AF40F6"/>
    <w:rsid w:val="00AF53B0"/>
    <w:rsid w:val="00AF6740"/>
    <w:rsid w:val="00AF7205"/>
    <w:rsid w:val="00B0114E"/>
    <w:rsid w:val="00B01E81"/>
    <w:rsid w:val="00B0205B"/>
    <w:rsid w:val="00B03DEA"/>
    <w:rsid w:val="00B04E39"/>
    <w:rsid w:val="00B0537E"/>
    <w:rsid w:val="00B06737"/>
    <w:rsid w:val="00B07070"/>
    <w:rsid w:val="00B0715D"/>
    <w:rsid w:val="00B07CB6"/>
    <w:rsid w:val="00B10443"/>
    <w:rsid w:val="00B10617"/>
    <w:rsid w:val="00B11006"/>
    <w:rsid w:val="00B1282E"/>
    <w:rsid w:val="00B12BD5"/>
    <w:rsid w:val="00B13185"/>
    <w:rsid w:val="00B13F1E"/>
    <w:rsid w:val="00B14135"/>
    <w:rsid w:val="00B146F6"/>
    <w:rsid w:val="00B14C35"/>
    <w:rsid w:val="00B155B0"/>
    <w:rsid w:val="00B165BE"/>
    <w:rsid w:val="00B16A9A"/>
    <w:rsid w:val="00B17D6F"/>
    <w:rsid w:val="00B20195"/>
    <w:rsid w:val="00B20414"/>
    <w:rsid w:val="00B20780"/>
    <w:rsid w:val="00B24AD3"/>
    <w:rsid w:val="00B24C0C"/>
    <w:rsid w:val="00B24ED6"/>
    <w:rsid w:val="00B25559"/>
    <w:rsid w:val="00B27059"/>
    <w:rsid w:val="00B27150"/>
    <w:rsid w:val="00B27225"/>
    <w:rsid w:val="00B278B1"/>
    <w:rsid w:val="00B308A2"/>
    <w:rsid w:val="00B30A76"/>
    <w:rsid w:val="00B31AD1"/>
    <w:rsid w:val="00B31DCD"/>
    <w:rsid w:val="00B32F56"/>
    <w:rsid w:val="00B33018"/>
    <w:rsid w:val="00B33C12"/>
    <w:rsid w:val="00B34E1F"/>
    <w:rsid w:val="00B359BE"/>
    <w:rsid w:val="00B359D6"/>
    <w:rsid w:val="00B35B4B"/>
    <w:rsid w:val="00B36888"/>
    <w:rsid w:val="00B37738"/>
    <w:rsid w:val="00B37E67"/>
    <w:rsid w:val="00B4045E"/>
    <w:rsid w:val="00B40AD6"/>
    <w:rsid w:val="00B40EBE"/>
    <w:rsid w:val="00B4132A"/>
    <w:rsid w:val="00B416DD"/>
    <w:rsid w:val="00B41815"/>
    <w:rsid w:val="00B41999"/>
    <w:rsid w:val="00B42048"/>
    <w:rsid w:val="00B42337"/>
    <w:rsid w:val="00B42E2A"/>
    <w:rsid w:val="00B43E35"/>
    <w:rsid w:val="00B46244"/>
    <w:rsid w:val="00B4658D"/>
    <w:rsid w:val="00B46A2B"/>
    <w:rsid w:val="00B471B1"/>
    <w:rsid w:val="00B47943"/>
    <w:rsid w:val="00B47AEE"/>
    <w:rsid w:val="00B5009B"/>
    <w:rsid w:val="00B50745"/>
    <w:rsid w:val="00B51660"/>
    <w:rsid w:val="00B52327"/>
    <w:rsid w:val="00B5412A"/>
    <w:rsid w:val="00B54A07"/>
    <w:rsid w:val="00B553D8"/>
    <w:rsid w:val="00B55713"/>
    <w:rsid w:val="00B56848"/>
    <w:rsid w:val="00B60742"/>
    <w:rsid w:val="00B608FA"/>
    <w:rsid w:val="00B636D7"/>
    <w:rsid w:val="00B65A57"/>
    <w:rsid w:val="00B660AA"/>
    <w:rsid w:val="00B671D4"/>
    <w:rsid w:val="00B672C5"/>
    <w:rsid w:val="00B70585"/>
    <w:rsid w:val="00B70B0E"/>
    <w:rsid w:val="00B720D4"/>
    <w:rsid w:val="00B7263C"/>
    <w:rsid w:val="00B72E29"/>
    <w:rsid w:val="00B73653"/>
    <w:rsid w:val="00B74272"/>
    <w:rsid w:val="00B75268"/>
    <w:rsid w:val="00B772F6"/>
    <w:rsid w:val="00B7775F"/>
    <w:rsid w:val="00B81F21"/>
    <w:rsid w:val="00B82046"/>
    <w:rsid w:val="00B825A7"/>
    <w:rsid w:val="00B827FB"/>
    <w:rsid w:val="00B82B83"/>
    <w:rsid w:val="00B82D3C"/>
    <w:rsid w:val="00B83309"/>
    <w:rsid w:val="00B84088"/>
    <w:rsid w:val="00B84FF7"/>
    <w:rsid w:val="00B86D83"/>
    <w:rsid w:val="00B907DC"/>
    <w:rsid w:val="00B91524"/>
    <w:rsid w:val="00B91748"/>
    <w:rsid w:val="00B91940"/>
    <w:rsid w:val="00B92B31"/>
    <w:rsid w:val="00B92CFF"/>
    <w:rsid w:val="00B934C3"/>
    <w:rsid w:val="00B93A9F"/>
    <w:rsid w:val="00B9494C"/>
    <w:rsid w:val="00B9556D"/>
    <w:rsid w:val="00B95FCD"/>
    <w:rsid w:val="00B96891"/>
    <w:rsid w:val="00B9691A"/>
    <w:rsid w:val="00B96F9A"/>
    <w:rsid w:val="00BA0A92"/>
    <w:rsid w:val="00BA205D"/>
    <w:rsid w:val="00BA23D1"/>
    <w:rsid w:val="00BA26B7"/>
    <w:rsid w:val="00BA6A3D"/>
    <w:rsid w:val="00BA7070"/>
    <w:rsid w:val="00BA70B7"/>
    <w:rsid w:val="00BA7890"/>
    <w:rsid w:val="00BB05AE"/>
    <w:rsid w:val="00BB0E23"/>
    <w:rsid w:val="00BB1A1F"/>
    <w:rsid w:val="00BB30E2"/>
    <w:rsid w:val="00BB31C6"/>
    <w:rsid w:val="00BB35EA"/>
    <w:rsid w:val="00BB3E88"/>
    <w:rsid w:val="00BB40DD"/>
    <w:rsid w:val="00BB4494"/>
    <w:rsid w:val="00BB4B19"/>
    <w:rsid w:val="00BB7261"/>
    <w:rsid w:val="00BB73B5"/>
    <w:rsid w:val="00BB7529"/>
    <w:rsid w:val="00BB77D9"/>
    <w:rsid w:val="00BB77F8"/>
    <w:rsid w:val="00BB79C6"/>
    <w:rsid w:val="00BC0799"/>
    <w:rsid w:val="00BC08D9"/>
    <w:rsid w:val="00BC12D0"/>
    <w:rsid w:val="00BC1D70"/>
    <w:rsid w:val="00BC3105"/>
    <w:rsid w:val="00BC3B02"/>
    <w:rsid w:val="00BC424E"/>
    <w:rsid w:val="00BC46F0"/>
    <w:rsid w:val="00BC5959"/>
    <w:rsid w:val="00BC5DB6"/>
    <w:rsid w:val="00BC6265"/>
    <w:rsid w:val="00BC7324"/>
    <w:rsid w:val="00BC783E"/>
    <w:rsid w:val="00BD0D07"/>
    <w:rsid w:val="00BD0E6A"/>
    <w:rsid w:val="00BD1E5C"/>
    <w:rsid w:val="00BD23DE"/>
    <w:rsid w:val="00BD2D70"/>
    <w:rsid w:val="00BD2F78"/>
    <w:rsid w:val="00BD3615"/>
    <w:rsid w:val="00BD3ECA"/>
    <w:rsid w:val="00BD3F63"/>
    <w:rsid w:val="00BD40C3"/>
    <w:rsid w:val="00BD43BC"/>
    <w:rsid w:val="00BD5544"/>
    <w:rsid w:val="00BD5BAB"/>
    <w:rsid w:val="00BD5C61"/>
    <w:rsid w:val="00BD68CD"/>
    <w:rsid w:val="00BD697D"/>
    <w:rsid w:val="00BD6AB1"/>
    <w:rsid w:val="00BD7F2D"/>
    <w:rsid w:val="00BE066D"/>
    <w:rsid w:val="00BE0C46"/>
    <w:rsid w:val="00BE0D9A"/>
    <w:rsid w:val="00BE176C"/>
    <w:rsid w:val="00BE17DA"/>
    <w:rsid w:val="00BE289E"/>
    <w:rsid w:val="00BE2BD6"/>
    <w:rsid w:val="00BE33D6"/>
    <w:rsid w:val="00BE3DCE"/>
    <w:rsid w:val="00BE424C"/>
    <w:rsid w:val="00BE44E3"/>
    <w:rsid w:val="00BE4931"/>
    <w:rsid w:val="00BE4A9C"/>
    <w:rsid w:val="00BE50A0"/>
    <w:rsid w:val="00BE5493"/>
    <w:rsid w:val="00BE70AD"/>
    <w:rsid w:val="00BF01CD"/>
    <w:rsid w:val="00BF0941"/>
    <w:rsid w:val="00BF2A71"/>
    <w:rsid w:val="00BF3693"/>
    <w:rsid w:val="00BF3925"/>
    <w:rsid w:val="00BF448E"/>
    <w:rsid w:val="00BF542E"/>
    <w:rsid w:val="00BF59F9"/>
    <w:rsid w:val="00C00813"/>
    <w:rsid w:val="00C0099A"/>
    <w:rsid w:val="00C01C9B"/>
    <w:rsid w:val="00C02A47"/>
    <w:rsid w:val="00C02B8F"/>
    <w:rsid w:val="00C03C29"/>
    <w:rsid w:val="00C0522F"/>
    <w:rsid w:val="00C055B8"/>
    <w:rsid w:val="00C0751C"/>
    <w:rsid w:val="00C07C34"/>
    <w:rsid w:val="00C101EE"/>
    <w:rsid w:val="00C1153E"/>
    <w:rsid w:val="00C11568"/>
    <w:rsid w:val="00C1165B"/>
    <w:rsid w:val="00C1224C"/>
    <w:rsid w:val="00C123F4"/>
    <w:rsid w:val="00C127D6"/>
    <w:rsid w:val="00C1288D"/>
    <w:rsid w:val="00C1295D"/>
    <w:rsid w:val="00C136B3"/>
    <w:rsid w:val="00C145AA"/>
    <w:rsid w:val="00C155A4"/>
    <w:rsid w:val="00C169DD"/>
    <w:rsid w:val="00C1711B"/>
    <w:rsid w:val="00C17610"/>
    <w:rsid w:val="00C21744"/>
    <w:rsid w:val="00C2191A"/>
    <w:rsid w:val="00C22A6C"/>
    <w:rsid w:val="00C231DA"/>
    <w:rsid w:val="00C23757"/>
    <w:rsid w:val="00C23BD2"/>
    <w:rsid w:val="00C240EE"/>
    <w:rsid w:val="00C24248"/>
    <w:rsid w:val="00C24A92"/>
    <w:rsid w:val="00C25202"/>
    <w:rsid w:val="00C2549B"/>
    <w:rsid w:val="00C25894"/>
    <w:rsid w:val="00C27154"/>
    <w:rsid w:val="00C2754D"/>
    <w:rsid w:val="00C276FE"/>
    <w:rsid w:val="00C27C89"/>
    <w:rsid w:val="00C27DF7"/>
    <w:rsid w:val="00C30308"/>
    <w:rsid w:val="00C3107B"/>
    <w:rsid w:val="00C31F6F"/>
    <w:rsid w:val="00C321A8"/>
    <w:rsid w:val="00C32C13"/>
    <w:rsid w:val="00C337EB"/>
    <w:rsid w:val="00C34D42"/>
    <w:rsid w:val="00C36322"/>
    <w:rsid w:val="00C365DF"/>
    <w:rsid w:val="00C36998"/>
    <w:rsid w:val="00C36DB4"/>
    <w:rsid w:val="00C40E6E"/>
    <w:rsid w:val="00C42D4B"/>
    <w:rsid w:val="00C432B0"/>
    <w:rsid w:val="00C433B7"/>
    <w:rsid w:val="00C4459E"/>
    <w:rsid w:val="00C44627"/>
    <w:rsid w:val="00C44C76"/>
    <w:rsid w:val="00C45E51"/>
    <w:rsid w:val="00C45F34"/>
    <w:rsid w:val="00C467FD"/>
    <w:rsid w:val="00C46867"/>
    <w:rsid w:val="00C46990"/>
    <w:rsid w:val="00C502B1"/>
    <w:rsid w:val="00C502F8"/>
    <w:rsid w:val="00C517A9"/>
    <w:rsid w:val="00C51937"/>
    <w:rsid w:val="00C52101"/>
    <w:rsid w:val="00C5255B"/>
    <w:rsid w:val="00C52E12"/>
    <w:rsid w:val="00C538FA"/>
    <w:rsid w:val="00C56810"/>
    <w:rsid w:val="00C601DD"/>
    <w:rsid w:val="00C6076F"/>
    <w:rsid w:val="00C609F9"/>
    <w:rsid w:val="00C61F1C"/>
    <w:rsid w:val="00C62EA3"/>
    <w:rsid w:val="00C6344C"/>
    <w:rsid w:val="00C647CF"/>
    <w:rsid w:val="00C65671"/>
    <w:rsid w:val="00C65B77"/>
    <w:rsid w:val="00C66A3F"/>
    <w:rsid w:val="00C66CE8"/>
    <w:rsid w:val="00C67C02"/>
    <w:rsid w:val="00C67DEA"/>
    <w:rsid w:val="00C71ED3"/>
    <w:rsid w:val="00C72AB3"/>
    <w:rsid w:val="00C72C93"/>
    <w:rsid w:val="00C74B80"/>
    <w:rsid w:val="00C74DC1"/>
    <w:rsid w:val="00C762D4"/>
    <w:rsid w:val="00C767FE"/>
    <w:rsid w:val="00C77364"/>
    <w:rsid w:val="00C774D6"/>
    <w:rsid w:val="00C77581"/>
    <w:rsid w:val="00C77B16"/>
    <w:rsid w:val="00C77CE9"/>
    <w:rsid w:val="00C8036E"/>
    <w:rsid w:val="00C8126D"/>
    <w:rsid w:val="00C8171A"/>
    <w:rsid w:val="00C82A40"/>
    <w:rsid w:val="00C8462C"/>
    <w:rsid w:val="00C84705"/>
    <w:rsid w:val="00C85960"/>
    <w:rsid w:val="00C86063"/>
    <w:rsid w:val="00C860F3"/>
    <w:rsid w:val="00C87540"/>
    <w:rsid w:val="00C90241"/>
    <w:rsid w:val="00C9072D"/>
    <w:rsid w:val="00C910BB"/>
    <w:rsid w:val="00C915A1"/>
    <w:rsid w:val="00C919F9"/>
    <w:rsid w:val="00C923F6"/>
    <w:rsid w:val="00C92474"/>
    <w:rsid w:val="00C92B25"/>
    <w:rsid w:val="00C940CA"/>
    <w:rsid w:val="00C941B7"/>
    <w:rsid w:val="00C946D6"/>
    <w:rsid w:val="00C94E7A"/>
    <w:rsid w:val="00C96391"/>
    <w:rsid w:val="00C965F3"/>
    <w:rsid w:val="00C967DB"/>
    <w:rsid w:val="00C96805"/>
    <w:rsid w:val="00C976C1"/>
    <w:rsid w:val="00C9793E"/>
    <w:rsid w:val="00C9797B"/>
    <w:rsid w:val="00CA0453"/>
    <w:rsid w:val="00CA0ADF"/>
    <w:rsid w:val="00CA0B66"/>
    <w:rsid w:val="00CA11C7"/>
    <w:rsid w:val="00CA1353"/>
    <w:rsid w:val="00CA2767"/>
    <w:rsid w:val="00CA3B81"/>
    <w:rsid w:val="00CA3BF6"/>
    <w:rsid w:val="00CA3EC8"/>
    <w:rsid w:val="00CA4CC1"/>
    <w:rsid w:val="00CA56F0"/>
    <w:rsid w:val="00CA5732"/>
    <w:rsid w:val="00CA5835"/>
    <w:rsid w:val="00CA58AE"/>
    <w:rsid w:val="00CA5FFC"/>
    <w:rsid w:val="00CA6B11"/>
    <w:rsid w:val="00CA7008"/>
    <w:rsid w:val="00CA70D1"/>
    <w:rsid w:val="00CA7240"/>
    <w:rsid w:val="00CA7762"/>
    <w:rsid w:val="00CB1C3A"/>
    <w:rsid w:val="00CB215D"/>
    <w:rsid w:val="00CB27B0"/>
    <w:rsid w:val="00CB29F9"/>
    <w:rsid w:val="00CB5642"/>
    <w:rsid w:val="00CB5BE2"/>
    <w:rsid w:val="00CB6AA2"/>
    <w:rsid w:val="00CB6F31"/>
    <w:rsid w:val="00CC0181"/>
    <w:rsid w:val="00CC1398"/>
    <w:rsid w:val="00CC1CB1"/>
    <w:rsid w:val="00CC207D"/>
    <w:rsid w:val="00CC3EA1"/>
    <w:rsid w:val="00CC4300"/>
    <w:rsid w:val="00CC5A84"/>
    <w:rsid w:val="00CC5B0C"/>
    <w:rsid w:val="00CC705E"/>
    <w:rsid w:val="00CD0604"/>
    <w:rsid w:val="00CD1426"/>
    <w:rsid w:val="00CD2905"/>
    <w:rsid w:val="00CD2A6D"/>
    <w:rsid w:val="00CD2F37"/>
    <w:rsid w:val="00CD398B"/>
    <w:rsid w:val="00CD5815"/>
    <w:rsid w:val="00CD6261"/>
    <w:rsid w:val="00CD631F"/>
    <w:rsid w:val="00CE06BC"/>
    <w:rsid w:val="00CE142E"/>
    <w:rsid w:val="00CE14D1"/>
    <w:rsid w:val="00CE26E2"/>
    <w:rsid w:val="00CE312B"/>
    <w:rsid w:val="00CE5268"/>
    <w:rsid w:val="00CE582B"/>
    <w:rsid w:val="00CE5977"/>
    <w:rsid w:val="00CE59BC"/>
    <w:rsid w:val="00CE5A3E"/>
    <w:rsid w:val="00CE5B3F"/>
    <w:rsid w:val="00CE6703"/>
    <w:rsid w:val="00CE6748"/>
    <w:rsid w:val="00CE74C5"/>
    <w:rsid w:val="00CE7595"/>
    <w:rsid w:val="00CE7915"/>
    <w:rsid w:val="00CF2128"/>
    <w:rsid w:val="00CF2560"/>
    <w:rsid w:val="00CF2864"/>
    <w:rsid w:val="00CF2A2B"/>
    <w:rsid w:val="00CF2D89"/>
    <w:rsid w:val="00CF3BEB"/>
    <w:rsid w:val="00CF3FA1"/>
    <w:rsid w:val="00CF41ED"/>
    <w:rsid w:val="00CF43E5"/>
    <w:rsid w:val="00CF462C"/>
    <w:rsid w:val="00CF664C"/>
    <w:rsid w:val="00CF7681"/>
    <w:rsid w:val="00D00D38"/>
    <w:rsid w:val="00D01669"/>
    <w:rsid w:val="00D02EA9"/>
    <w:rsid w:val="00D0300F"/>
    <w:rsid w:val="00D0325D"/>
    <w:rsid w:val="00D04351"/>
    <w:rsid w:val="00D046A9"/>
    <w:rsid w:val="00D04EA6"/>
    <w:rsid w:val="00D05221"/>
    <w:rsid w:val="00D05245"/>
    <w:rsid w:val="00D05477"/>
    <w:rsid w:val="00D06F12"/>
    <w:rsid w:val="00D0777F"/>
    <w:rsid w:val="00D10E0F"/>
    <w:rsid w:val="00D114B4"/>
    <w:rsid w:val="00D11506"/>
    <w:rsid w:val="00D1170E"/>
    <w:rsid w:val="00D11C43"/>
    <w:rsid w:val="00D123A3"/>
    <w:rsid w:val="00D134CA"/>
    <w:rsid w:val="00D13936"/>
    <w:rsid w:val="00D13DAF"/>
    <w:rsid w:val="00D14358"/>
    <w:rsid w:val="00D149FD"/>
    <w:rsid w:val="00D14F5D"/>
    <w:rsid w:val="00D15033"/>
    <w:rsid w:val="00D15EE3"/>
    <w:rsid w:val="00D1687C"/>
    <w:rsid w:val="00D168C6"/>
    <w:rsid w:val="00D177B0"/>
    <w:rsid w:val="00D177D0"/>
    <w:rsid w:val="00D179B1"/>
    <w:rsid w:val="00D20976"/>
    <w:rsid w:val="00D20AC8"/>
    <w:rsid w:val="00D20C03"/>
    <w:rsid w:val="00D2132B"/>
    <w:rsid w:val="00D2143C"/>
    <w:rsid w:val="00D21AC5"/>
    <w:rsid w:val="00D23EB7"/>
    <w:rsid w:val="00D249D6"/>
    <w:rsid w:val="00D25192"/>
    <w:rsid w:val="00D259AA"/>
    <w:rsid w:val="00D26AA9"/>
    <w:rsid w:val="00D277CC"/>
    <w:rsid w:val="00D2799B"/>
    <w:rsid w:val="00D27C63"/>
    <w:rsid w:val="00D30844"/>
    <w:rsid w:val="00D31794"/>
    <w:rsid w:val="00D31F85"/>
    <w:rsid w:val="00D332AB"/>
    <w:rsid w:val="00D340D4"/>
    <w:rsid w:val="00D340EC"/>
    <w:rsid w:val="00D35DBB"/>
    <w:rsid w:val="00D40056"/>
    <w:rsid w:val="00D42EB9"/>
    <w:rsid w:val="00D4381A"/>
    <w:rsid w:val="00D43DDE"/>
    <w:rsid w:val="00D4412D"/>
    <w:rsid w:val="00D44346"/>
    <w:rsid w:val="00D44A5E"/>
    <w:rsid w:val="00D46CF3"/>
    <w:rsid w:val="00D50CF3"/>
    <w:rsid w:val="00D51A8E"/>
    <w:rsid w:val="00D51C94"/>
    <w:rsid w:val="00D51FEF"/>
    <w:rsid w:val="00D52065"/>
    <w:rsid w:val="00D5290C"/>
    <w:rsid w:val="00D54868"/>
    <w:rsid w:val="00D5629F"/>
    <w:rsid w:val="00D57D9A"/>
    <w:rsid w:val="00D6076F"/>
    <w:rsid w:val="00D61044"/>
    <w:rsid w:val="00D6168D"/>
    <w:rsid w:val="00D61BF7"/>
    <w:rsid w:val="00D64657"/>
    <w:rsid w:val="00D649D6"/>
    <w:rsid w:val="00D6542C"/>
    <w:rsid w:val="00D654BB"/>
    <w:rsid w:val="00D65D58"/>
    <w:rsid w:val="00D66830"/>
    <w:rsid w:val="00D672FE"/>
    <w:rsid w:val="00D67F11"/>
    <w:rsid w:val="00D70124"/>
    <w:rsid w:val="00D70A09"/>
    <w:rsid w:val="00D71579"/>
    <w:rsid w:val="00D71BAD"/>
    <w:rsid w:val="00D723FB"/>
    <w:rsid w:val="00D725B0"/>
    <w:rsid w:val="00D72916"/>
    <w:rsid w:val="00D734CE"/>
    <w:rsid w:val="00D73ED6"/>
    <w:rsid w:val="00D73F87"/>
    <w:rsid w:val="00D75C28"/>
    <w:rsid w:val="00D76103"/>
    <w:rsid w:val="00D77177"/>
    <w:rsid w:val="00D7717D"/>
    <w:rsid w:val="00D823B0"/>
    <w:rsid w:val="00D828C8"/>
    <w:rsid w:val="00D834E8"/>
    <w:rsid w:val="00D83FC0"/>
    <w:rsid w:val="00D85D28"/>
    <w:rsid w:val="00D861DC"/>
    <w:rsid w:val="00D86BC3"/>
    <w:rsid w:val="00D86C8A"/>
    <w:rsid w:val="00D87A45"/>
    <w:rsid w:val="00D87C8D"/>
    <w:rsid w:val="00D91C42"/>
    <w:rsid w:val="00D92253"/>
    <w:rsid w:val="00D9241C"/>
    <w:rsid w:val="00D93959"/>
    <w:rsid w:val="00D93C96"/>
    <w:rsid w:val="00D93CBF"/>
    <w:rsid w:val="00D94759"/>
    <w:rsid w:val="00D94C10"/>
    <w:rsid w:val="00D94C82"/>
    <w:rsid w:val="00D94FFD"/>
    <w:rsid w:val="00D95A8E"/>
    <w:rsid w:val="00D95DDA"/>
    <w:rsid w:val="00D966E5"/>
    <w:rsid w:val="00D96816"/>
    <w:rsid w:val="00DA0CA8"/>
    <w:rsid w:val="00DA1664"/>
    <w:rsid w:val="00DA30F5"/>
    <w:rsid w:val="00DA34AD"/>
    <w:rsid w:val="00DA3A1D"/>
    <w:rsid w:val="00DA4565"/>
    <w:rsid w:val="00DA4AE6"/>
    <w:rsid w:val="00DA4E08"/>
    <w:rsid w:val="00DA609F"/>
    <w:rsid w:val="00DA6486"/>
    <w:rsid w:val="00DA6CD2"/>
    <w:rsid w:val="00DA788A"/>
    <w:rsid w:val="00DA7EB0"/>
    <w:rsid w:val="00DB00E5"/>
    <w:rsid w:val="00DB06CA"/>
    <w:rsid w:val="00DB07C6"/>
    <w:rsid w:val="00DB2969"/>
    <w:rsid w:val="00DB309E"/>
    <w:rsid w:val="00DB3999"/>
    <w:rsid w:val="00DB3B43"/>
    <w:rsid w:val="00DB41B2"/>
    <w:rsid w:val="00DB521F"/>
    <w:rsid w:val="00DB6428"/>
    <w:rsid w:val="00DB643B"/>
    <w:rsid w:val="00DC09D0"/>
    <w:rsid w:val="00DC15C3"/>
    <w:rsid w:val="00DC230D"/>
    <w:rsid w:val="00DC30AF"/>
    <w:rsid w:val="00DC37CF"/>
    <w:rsid w:val="00DC3926"/>
    <w:rsid w:val="00DC3A62"/>
    <w:rsid w:val="00DC3B75"/>
    <w:rsid w:val="00DC3BF9"/>
    <w:rsid w:val="00DC4A54"/>
    <w:rsid w:val="00DC4FA1"/>
    <w:rsid w:val="00DC52E8"/>
    <w:rsid w:val="00DC597E"/>
    <w:rsid w:val="00DC59F9"/>
    <w:rsid w:val="00DC63BC"/>
    <w:rsid w:val="00DC6F4A"/>
    <w:rsid w:val="00DC6FB7"/>
    <w:rsid w:val="00DD01E3"/>
    <w:rsid w:val="00DD0B1C"/>
    <w:rsid w:val="00DD10EA"/>
    <w:rsid w:val="00DD1839"/>
    <w:rsid w:val="00DD1B51"/>
    <w:rsid w:val="00DD4AE0"/>
    <w:rsid w:val="00DD4E99"/>
    <w:rsid w:val="00DD5917"/>
    <w:rsid w:val="00DD669C"/>
    <w:rsid w:val="00DD66D2"/>
    <w:rsid w:val="00DD68C2"/>
    <w:rsid w:val="00DD7032"/>
    <w:rsid w:val="00DD77BE"/>
    <w:rsid w:val="00DE2C4C"/>
    <w:rsid w:val="00DE33B4"/>
    <w:rsid w:val="00DE46D3"/>
    <w:rsid w:val="00DE4786"/>
    <w:rsid w:val="00DE4C7C"/>
    <w:rsid w:val="00DE765E"/>
    <w:rsid w:val="00DE7B28"/>
    <w:rsid w:val="00DE7DB2"/>
    <w:rsid w:val="00DF0871"/>
    <w:rsid w:val="00DF1357"/>
    <w:rsid w:val="00DF20C1"/>
    <w:rsid w:val="00DF325B"/>
    <w:rsid w:val="00DF3B9F"/>
    <w:rsid w:val="00DF40B3"/>
    <w:rsid w:val="00DF420D"/>
    <w:rsid w:val="00DF47D3"/>
    <w:rsid w:val="00DF56C8"/>
    <w:rsid w:val="00DF6547"/>
    <w:rsid w:val="00DF72C8"/>
    <w:rsid w:val="00DF7547"/>
    <w:rsid w:val="00DF7F1C"/>
    <w:rsid w:val="00E00BBE"/>
    <w:rsid w:val="00E01001"/>
    <w:rsid w:val="00E018F6"/>
    <w:rsid w:val="00E0229A"/>
    <w:rsid w:val="00E027FB"/>
    <w:rsid w:val="00E02803"/>
    <w:rsid w:val="00E032BE"/>
    <w:rsid w:val="00E04C9D"/>
    <w:rsid w:val="00E051E5"/>
    <w:rsid w:val="00E069AD"/>
    <w:rsid w:val="00E06BD1"/>
    <w:rsid w:val="00E07A91"/>
    <w:rsid w:val="00E07BE9"/>
    <w:rsid w:val="00E10922"/>
    <w:rsid w:val="00E111BC"/>
    <w:rsid w:val="00E115AD"/>
    <w:rsid w:val="00E117B2"/>
    <w:rsid w:val="00E11A36"/>
    <w:rsid w:val="00E11C02"/>
    <w:rsid w:val="00E12D5A"/>
    <w:rsid w:val="00E13101"/>
    <w:rsid w:val="00E1390E"/>
    <w:rsid w:val="00E146C9"/>
    <w:rsid w:val="00E14923"/>
    <w:rsid w:val="00E14D40"/>
    <w:rsid w:val="00E15803"/>
    <w:rsid w:val="00E158CD"/>
    <w:rsid w:val="00E15926"/>
    <w:rsid w:val="00E15A76"/>
    <w:rsid w:val="00E16242"/>
    <w:rsid w:val="00E1634D"/>
    <w:rsid w:val="00E17390"/>
    <w:rsid w:val="00E1766D"/>
    <w:rsid w:val="00E21AFC"/>
    <w:rsid w:val="00E23277"/>
    <w:rsid w:val="00E2328B"/>
    <w:rsid w:val="00E23AED"/>
    <w:rsid w:val="00E23C96"/>
    <w:rsid w:val="00E23D7E"/>
    <w:rsid w:val="00E24A37"/>
    <w:rsid w:val="00E2501D"/>
    <w:rsid w:val="00E25357"/>
    <w:rsid w:val="00E257ED"/>
    <w:rsid w:val="00E25C49"/>
    <w:rsid w:val="00E264E5"/>
    <w:rsid w:val="00E26907"/>
    <w:rsid w:val="00E27760"/>
    <w:rsid w:val="00E300B6"/>
    <w:rsid w:val="00E31117"/>
    <w:rsid w:val="00E31C1F"/>
    <w:rsid w:val="00E31D78"/>
    <w:rsid w:val="00E32E97"/>
    <w:rsid w:val="00E34880"/>
    <w:rsid w:val="00E34B98"/>
    <w:rsid w:val="00E35768"/>
    <w:rsid w:val="00E35E92"/>
    <w:rsid w:val="00E35FFA"/>
    <w:rsid w:val="00E36046"/>
    <w:rsid w:val="00E37415"/>
    <w:rsid w:val="00E406DF"/>
    <w:rsid w:val="00E40990"/>
    <w:rsid w:val="00E40EFA"/>
    <w:rsid w:val="00E4139D"/>
    <w:rsid w:val="00E4219E"/>
    <w:rsid w:val="00E425E5"/>
    <w:rsid w:val="00E428B0"/>
    <w:rsid w:val="00E44143"/>
    <w:rsid w:val="00E4434D"/>
    <w:rsid w:val="00E4457A"/>
    <w:rsid w:val="00E454EB"/>
    <w:rsid w:val="00E45914"/>
    <w:rsid w:val="00E45D7B"/>
    <w:rsid w:val="00E4625F"/>
    <w:rsid w:val="00E46411"/>
    <w:rsid w:val="00E4683B"/>
    <w:rsid w:val="00E46B0C"/>
    <w:rsid w:val="00E46D64"/>
    <w:rsid w:val="00E46F2F"/>
    <w:rsid w:val="00E470BB"/>
    <w:rsid w:val="00E4789C"/>
    <w:rsid w:val="00E47B70"/>
    <w:rsid w:val="00E50594"/>
    <w:rsid w:val="00E50937"/>
    <w:rsid w:val="00E50D25"/>
    <w:rsid w:val="00E5127B"/>
    <w:rsid w:val="00E51C0A"/>
    <w:rsid w:val="00E522BE"/>
    <w:rsid w:val="00E52ADF"/>
    <w:rsid w:val="00E530E3"/>
    <w:rsid w:val="00E543F1"/>
    <w:rsid w:val="00E5491C"/>
    <w:rsid w:val="00E54956"/>
    <w:rsid w:val="00E54CE0"/>
    <w:rsid w:val="00E56196"/>
    <w:rsid w:val="00E56D67"/>
    <w:rsid w:val="00E57AD4"/>
    <w:rsid w:val="00E61366"/>
    <w:rsid w:val="00E613B3"/>
    <w:rsid w:val="00E62A08"/>
    <w:rsid w:val="00E62D31"/>
    <w:rsid w:val="00E63DA0"/>
    <w:rsid w:val="00E646A1"/>
    <w:rsid w:val="00E65AFB"/>
    <w:rsid w:val="00E6654E"/>
    <w:rsid w:val="00E670C6"/>
    <w:rsid w:val="00E674B6"/>
    <w:rsid w:val="00E71088"/>
    <w:rsid w:val="00E71772"/>
    <w:rsid w:val="00E72214"/>
    <w:rsid w:val="00E73526"/>
    <w:rsid w:val="00E736BC"/>
    <w:rsid w:val="00E738BC"/>
    <w:rsid w:val="00E74F94"/>
    <w:rsid w:val="00E7506E"/>
    <w:rsid w:val="00E75735"/>
    <w:rsid w:val="00E76096"/>
    <w:rsid w:val="00E765B2"/>
    <w:rsid w:val="00E76BE1"/>
    <w:rsid w:val="00E7704C"/>
    <w:rsid w:val="00E77123"/>
    <w:rsid w:val="00E77A31"/>
    <w:rsid w:val="00E77FC1"/>
    <w:rsid w:val="00E80131"/>
    <w:rsid w:val="00E819FB"/>
    <w:rsid w:val="00E8288F"/>
    <w:rsid w:val="00E837F7"/>
    <w:rsid w:val="00E83A1A"/>
    <w:rsid w:val="00E8545F"/>
    <w:rsid w:val="00E85A31"/>
    <w:rsid w:val="00E86ACB"/>
    <w:rsid w:val="00E877BC"/>
    <w:rsid w:val="00E87B97"/>
    <w:rsid w:val="00E92388"/>
    <w:rsid w:val="00E925FA"/>
    <w:rsid w:val="00E93B8D"/>
    <w:rsid w:val="00E943EA"/>
    <w:rsid w:val="00E94847"/>
    <w:rsid w:val="00E96ED1"/>
    <w:rsid w:val="00E97345"/>
    <w:rsid w:val="00E97634"/>
    <w:rsid w:val="00EA2702"/>
    <w:rsid w:val="00EA2765"/>
    <w:rsid w:val="00EA38A8"/>
    <w:rsid w:val="00EA3B28"/>
    <w:rsid w:val="00EA475D"/>
    <w:rsid w:val="00EA4966"/>
    <w:rsid w:val="00EA4D82"/>
    <w:rsid w:val="00EA5343"/>
    <w:rsid w:val="00EA53FC"/>
    <w:rsid w:val="00EA68F8"/>
    <w:rsid w:val="00EA777D"/>
    <w:rsid w:val="00EA7B1E"/>
    <w:rsid w:val="00EB0518"/>
    <w:rsid w:val="00EB1AB0"/>
    <w:rsid w:val="00EB2881"/>
    <w:rsid w:val="00EB45EC"/>
    <w:rsid w:val="00EB4BC2"/>
    <w:rsid w:val="00EB504F"/>
    <w:rsid w:val="00EB66FA"/>
    <w:rsid w:val="00EB6A09"/>
    <w:rsid w:val="00EB6CBF"/>
    <w:rsid w:val="00EC01F0"/>
    <w:rsid w:val="00EC1B8B"/>
    <w:rsid w:val="00EC2FD8"/>
    <w:rsid w:val="00EC3FB6"/>
    <w:rsid w:val="00EC5F5F"/>
    <w:rsid w:val="00EC6069"/>
    <w:rsid w:val="00EC6A32"/>
    <w:rsid w:val="00EC6BA0"/>
    <w:rsid w:val="00EC75A5"/>
    <w:rsid w:val="00EC7ACD"/>
    <w:rsid w:val="00EC7AD1"/>
    <w:rsid w:val="00EC7BB5"/>
    <w:rsid w:val="00ED0911"/>
    <w:rsid w:val="00ED0D29"/>
    <w:rsid w:val="00ED21DC"/>
    <w:rsid w:val="00ED2D93"/>
    <w:rsid w:val="00ED34FD"/>
    <w:rsid w:val="00ED42B1"/>
    <w:rsid w:val="00ED42F1"/>
    <w:rsid w:val="00ED47EB"/>
    <w:rsid w:val="00ED64BF"/>
    <w:rsid w:val="00ED77DE"/>
    <w:rsid w:val="00ED7EE3"/>
    <w:rsid w:val="00EE1C5A"/>
    <w:rsid w:val="00EE2690"/>
    <w:rsid w:val="00EE3BF1"/>
    <w:rsid w:val="00EE41BE"/>
    <w:rsid w:val="00EE435F"/>
    <w:rsid w:val="00EE4916"/>
    <w:rsid w:val="00EE4C6C"/>
    <w:rsid w:val="00EE57C6"/>
    <w:rsid w:val="00EE5D08"/>
    <w:rsid w:val="00EE5DEF"/>
    <w:rsid w:val="00EE5FE2"/>
    <w:rsid w:val="00EE70C3"/>
    <w:rsid w:val="00EE76C7"/>
    <w:rsid w:val="00EE7744"/>
    <w:rsid w:val="00EF0410"/>
    <w:rsid w:val="00EF0B3B"/>
    <w:rsid w:val="00EF2246"/>
    <w:rsid w:val="00EF380E"/>
    <w:rsid w:val="00EF4889"/>
    <w:rsid w:val="00EF4A80"/>
    <w:rsid w:val="00EF6589"/>
    <w:rsid w:val="00EF6B6A"/>
    <w:rsid w:val="00EF7C92"/>
    <w:rsid w:val="00EF7D83"/>
    <w:rsid w:val="00F00EE9"/>
    <w:rsid w:val="00F0119C"/>
    <w:rsid w:val="00F01F1A"/>
    <w:rsid w:val="00F039BF"/>
    <w:rsid w:val="00F04B07"/>
    <w:rsid w:val="00F04B52"/>
    <w:rsid w:val="00F052D3"/>
    <w:rsid w:val="00F05C1A"/>
    <w:rsid w:val="00F06191"/>
    <w:rsid w:val="00F07333"/>
    <w:rsid w:val="00F07D40"/>
    <w:rsid w:val="00F1022C"/>
    <w:rsid w:val="00F10C14"/>
    <w:rsid w:val="00F10C69"/>
    <w:rsid w:val="00F12080"/>
    <w:rsid w:val="00F121E5"/>
    <w:rsid w:val="00F1298C"/>
    <w:rsid w:val="00F12D1B"/>
    <w:rsid w:val="00F12E29"/>
    <w:rsid w:val="00F133FD"/>
    <w:rsid w:val="00F13FCB"/>
    <w:rsid w:val="00F14872"/>
    <w:rsid w:val="00F14B46"/>
    <w:rsid w:val="00F153AE"/>
    <w:rsid w:val="00F164A5"/>
    <w:rsid w:val="00F1684E"/>
    <w:rsid w:val="00F17D76"/>
    <w:rsid w:val="00F208D3"/>
    <w:rsid w:val="00F20914"/>
    <w:rsid w:val="00F213A1"/>
    <w:rsid w:val="00F21417"/>
    <w:rsid w:val="00F21C4C"/>
    <w:rsid w:val="00F21C9D"/>
    <w:rsid w:val="00F22EB4"/>
    <w:rsid w:val="00F233E7"/>
    <w:rsid w:val="00F23837"/>
    <w:rsid w:val="00F23BD2"/>
    <w:rsid w:val="00F2473F"/>
    <w:rsid w:val="00F247E1"/>
    <w:rsid w:val="00F24CF3"/>
    <w:rsid w:val="00F25142"/>
    <w:rsid w:val="00F263FE"/>
    <w:rsid w:val="00F2660B"/>
    <w:rsid w:val="00F2725E"/>
    <w:rsid w:val="00F27FB5"/>
    <w:rsid w:val="00F302C9"/>
    <w:rsid w:val="00F3040C"/>
    <w:rsid w:val="00F314C3"/>
    <w:rsid w:val="00F320FB"/>
    <w:rsid w:val="00F32CED"/>
    <w:rsid w:val="00F33763"/>
    <w:rsid w:val="00F34853"/>
    <w:rsid w:val="00F365B0"/>
    <w:rsid w:val="00F36699"/>
    <w:rsid w:val="00F36A4C"/>
    <w:rsid w:val="00F3745D"/>
    <w:rsid w:val="00F379B8"/>
    <w:rsid w:val="00F37A9D"/>
    <w:rsid w:val="00F37F5F"/>
    <w:rsid w:val="00F403EC"/>
    <w:rsid w:val="00F40646"/>
    <w:rsid w:val="00F408D2"/>
    <w:rsid w:val="00F41323"/>
    <w:rsid w:val="00F41ED8"/>
    <w:rsid w:val="00F422C4"/>
    <w:rsid w:val="00F4257D"/>
    <w:rsid w:val="00F4475A"/>
    <w:rsid w:val="00F46862"/>
    <w:rsid w:val="00F46C22"/>
    <w:rsid w:val="00F4795C"/>
    <w:rsid w:val="00F47BFB"/>
    <w:rsid w:val="00F5198D"/>
    <w:rsid w:val="00F52331"/>
    <w:rsid w:val="00F53274"/>
    <w:rsid w:val="00F53C6B"/>
    <w:rsid w:val="00F53D17"/>
    <w:rsid w:val="00F54AEE"/>
    <w:rsid w:val="00F55439"/>
    <w:rsid w:val="00F55CEF"/>
    <w:rsid w:val="00F568DB"/>
    <w:rsid w:val="00F56F4A"/>
    <w:rsid w:val="00F5772E"/>
    <w:rsid w:val="00F5789B"/>
    <w:rsid w:val="00F60226"/>
    <w:rsid w:val="00F602E0"/>
    <w:rsid w:val="00F6052E"/>
    <w:rsid w:val="00F60ACA"/>
    <w:rsid w:val="00F61158"/>
    <w:rsid w:val="00F61688"/>
    <w:rsid w:val="00F62CFD"/>
    <w:rsid w:val="00F6368D"/>
    <w:rsid w:val="00F63AEC"/>
    <w:rsid w:val="00F64172"/>
    <w:rsid w:val="00F6463B"/>
    <w:rsid w:val="00F6540B"/>
    <w:rsid w:val="00F65609"/>
    <w:rsid w:val="00F66D0D"/>
    <w:rsid w:val="00F66D52"/>
    <w:rsid w:val="00F6729A"/>
    <w:rsid w:val="00F70085"/>
    <w:rsid w:val="00F705E1"/>
    <w:rsid w:val="00F70C06"/>
    <w:rsid w:val="00F72C7B"/>
    <w:rsid w:val="00F73542"/>
    <w:rsid w:val="00F73A85"/>
    <w:rsid w:val="00F74624"/>
    <w:rsid w:val="00F74C2C"/>
    <w:rsid w:val="00F757CD"/>
    <w:rsid w:val="00F769CD"/>
    <w:rsid w:val="00F77388"/>
    <w:rsid w:val="00F777DD"/>
    <w:rsid w:val="00F77B1C"/>
    <w:rsid w:val="00F813C5"/>
    <w:rsid w:val="00F8150C"/>
    <w:rsid w:val="00F836C9"/>
    <w:rsid w:val="00F84041"/>
    <w:rsid w:val="00F84880"/>
    <w:rsid w:val="00F85528"/>
    <w:rsid w:val="00F86A37"/>
    <w:rsid w:val="00F8715A"/>
    <w:rsid w:val="00F87D08"/>
    <w:rsid w:val="00F87E65"/>
    <w:rsid w:val="00F9016D"/>
    <w:rsid w:val="00F91AFE"/>
    <w:rsid w:val="00F92127"/>
    <w:rsid w:val="00F94981"/>
    <w:rsid w:val="00F94A27"/>
    <w:rsid w:val="00F95583"/>
    <w:rsid w:val="00F95E13"/>
    <w:rsid w:val="00F96661"/>
    <w:rsid w:val="00F96A7E"/>
    <w:rsid w:val="00F97B26"/>
    <w:rsid w:val="00FA08C9"/>
    <w:rsid w:val="00FA1477"/>
    <w:rsid w:val="00FA1755"/>
    <w:rsid w:val="00FA2DFD"/>
    <w:rsid w:val="00FA46EA"/>
    <w:rsid w:val="00FA4F90"/>
    <w:rsid w:val="00FA61CC"/>
    <w:rsid w:val="00FA7480"/>
    <w:rsid w:val="00FB08F3"/>
    <w:rsid w:val="00FB16E9"/>
    <w:rsid w:val="00FB2C98"/>
    <w:rsid w:val="00FB2F89"/>
    <w:rsid w:val="00FB4672"/>
    <w:rsid w:val="00FB4E51"/>
    <w:rsid w:val="00FB5341"/>
    <w:rsid w:val="00FB5F17"/>
    <w:rsid w:val="00FB7B64"/>
    <w:rsid w:val="00FC0E7D"/>
    <w:rsid w:val="00FC19A4"/>
    <w:rsid w:val="00FC242F"/>
    <w:rsid w:val="00FC3358"/>
    <w:rsid w:val="00FC3B02"/>
    <w:rsid w:val="00FC4973"/>
    <w:rsid w:val="00FC6906"/>
    <w:rsid w:val="00FC6D72"/>
    <w:rsid w:val="00FC6E1A"/>
    <w:rsid w:val="00FC7035"/>
    <w:rsid w:val="00FC7904"/>
    <w:rsid w:val="00FD1ED3"/>
    <w:rsid w:val="00FD2084"/>
    <w:rsid w:val="00FD2936"/>
    <w:rsid w:val="00FD384E"/>
    <w:rsid w:val="00FD3E96"/>
    <w:rsid w:val="00FD4400"/>
    <w:rsid w:val="00FD54EA"/>
    <w:rsid w:val="00FD5C9F"/>
    <w:rsid w:val="00FD6653"/>
    <w:rsid w:val="00FD6A01"/>
    <w:rsid w:val="00FD717A"/>
    <w:rsid w:val="00FE0145"/>
    <w:rsid w:val="00FE1B27"/>
    <w:rsid w:val="00FE310D"/>
    <w:rsid w:val="00FE339B"/>
    <w:rsid w:val="00FE35C2"/>
    <w:rsid w:val="00FE4C77"/>
    <w:rsid w:val="00FE4CEB"/>
    <w:rsid w:val="00FE6A2A"/>
    <w:rsid w:val="00FE6E63"/>
    <w:rsid w:val="00FF0083"/>
    <w:rsid w:val="00FF068B"/>
    <w:rsid w:val="00FF1120"/>
    <w:rsid w:val="00FF2BBF"/>
    <w:rsid w:val="00FF34C6"/>
    <w:rsid w:val="00FF3E0C"/>
    <w:rsid w:val="00FF4961"/>
    <w:rsid w:val="00FF4B15"/>
    <w:rsid w:val="00FF540B"/>
    <w:rsid w:val="00FF56A6"/>
    <w:rsid w:val="00FF5C88"/>
    <w:rsid w:val="00FF6BCD"/>
    <w:rsid w:val="00FF73FB"/>
    <w:rsid w:val="00FF76AF"/>
    <w:rsid w:val="00FF7DA4"/>
    <w:rsid w:val="011E45FB"/>
    <w:rsid w:val="011F0573"/>
    <w:rsid w:val="01307EFD"/>
    <w:rsid w:val="017E1C5D"/>
    <w:rsid w:val="01C7659F"/>
    <w:rsid w:val="01EA0D92"/>
    <w:rsid w:val="01EC730E"/>
    <w:rsid w:val="020A04F0"/>
    <w:rsid w:val="02234555"/>
    <w:rsid w:val="0251725F"/>
    <w:rsid w:val="028119B0"/>
    <w:rsid w:val="02943ECE"/>
    <w:rsid w:val="02A81E79"/>
    <w:rsid w:val="031259EC"/>
    <w:rsid w:val="03220722"/>
    <w:rsid w:val="034A05FB"/>
    <w:rsid w:val="039E1AF6"/>
    <w:rsid w:val="03B24948"/>
    <w:rsid w:val="04215D61"/>
    <w:rsid w:val="04282508"/>
    <w:rsid w:val="04454A29"/>
    <w:rsid w:val="04EE654F"/>
    <w:rsid w:val="05564E6D"/>
    <w:rsid w:val="05585393"/>
    <w:rsid w:val="057F65C0"/>
    <w:rsid w:val="05BA76CD"/>
    <w:rsid w:val="05E52E94"/>
    <w:rsid w:val="05FF12AA"/>
    <w:rsid w:val="06146DA5"/>
    <w:rsid w:val="06521EE8"/>
    <w:rsid w:val="07142FB3"/>
    <w:rsid w:val="07177EAE"/>
    <w:rsid w:val="074572B4"/>
    <w:rsid w:val="0748598C"/>
    <w:rsid w:val="074A48E4"/>
    <w:rsid w:val="07532D37"/>
    <w:rsid w:val="076815F5"/>
    <w:rsid w:val="07801602"/>
    <w:rsid w:val="07886630"/>
    <w:rsid w:val="078A0FBF"/>
    <w:rsid w:val="07A32921"/>
    <w:rsid w:val="080B7561"/>
    <w:rsid w:val="081C1066"/>
    <w:rsid w:val="086B29F8"/>
    <w:rsid w:val="087A0318"/>
    <w:rsid w:val="087F09CF"/>
    <w:rsid w:val="08867DEE"/>
    <w:rsid w:val="08893899"/>
    <w:rsid w:val="08C04B1B"/>
    <w:rsid w:val="08CC4DCC"/>
    <w:rsid w:val="08FB21FF"/>
    <w:rsid w:val="093B1DD1"/>
    <w:rsid w:val="094A537C"/>
    <w:rsid w:val="097F494F"/>
    <w:rsid w:val="09E7132F"/>
    <w:rsid w:val="0A586372"/>
    <w:rsid w:val="0A8455C4"/>
    <w:rsid w:val="0A8823C9"/>
    <w:rsid w:val="0AC922F4"/>
    <w:rsid w:val="0AE50562"/>
    <w:rsid w:val="0AEB1CDA"/>
    <w:rsid w:val="0B096FDF"/>
    <w:rsid w:val="0B2F2FB2"/>
    <w:rsid w:val="0B6605D8"/>
    <w:rsid w:val="0B8360A0"/>
    <w:rsid w:val="0BC42036"/>
    <w:rsid w:val="0BEF4F07"/>
    <w:rsid w:val="0C32698E"/>
    <w:rsid w:val="0C3B56B8"/>
    <w:rsid w:val="0C5D47EC"/>
    <w:rsid w:val="0C8D0487"/>
    <w:rsid w:val="0CA23598"/>
    <w:rsid w:val="0CAD3962"/>
    <w:rsid w:val="0CB31E04"/>
    <w:rsid w:val="0CC622EA"/>
    <w:rsid w:val="0D09502E"/>
    <w:rsid w:val="0D101755"/>
    <w:rsid w:val="0D6C3306"/>
    <w:rsid w:val="0D751AB6"/>
    <w:rsid w:val="0D945401"/>
    <w:rsid w:val="0DAF044F"/>
    <w:rsid w:val="0DB1487A"/>
    <w:rsid w:val="0DBA1A8A"/>
    <w:rsid w:val="0DD15445"/>
    <w:rsid w:val="0DD76599"/>
    <w:rsid w:val="0E0B73FF"/>
    <w:rsid w:val="0E2C29EE"/>
    <w:rsid w:val="0E427BB3"/>
    <w:rsid w:val="0E48561C"/>
    <w:rsid w:val="0E575CC3"/>
    <w:rsid w:val="0E747F20"/>
    <w:rsid w:val="0EA219C9"/>
    <w:rsid w:val="0F5D0CA0"/>
    <w:rsid w:val="0F6A2175"/>
    <w:rsid w:val="1016449F"/>
    <w:rsid w:val="102241B2"/>
    <w:rsid w:val="10343C81"/>
    <w:rsid w:val="1034725C"/>
    <w:rsid w:val="104A5D5A"/>
    <w:rsid w:val="10656C82"/>
    <w:rsid w:val="106F2D75"/>
    <w:rsid w:val="107213E2"/>
    <w:rsid w:val="10C057DE"/>
    <w:rsid w:val="10D808B0"/>
    <w:rsid w:val="10ED078A"/>
    <w:rsid w:val="1186666F"/>
    <w:rsid w:val="11963191"/>
    <w:rsid w:val="11A65ACD"/>
    <w:rsid w:val="11E620DD"/>
    <w:rsid w:val="1221584E"/>
    <w:rsid w:val="122D30AD"/>
    <w:rsid w:val="124F2497"/>
    <w:rsid w:val="12647343"/>
    <w:rsid w:val="126C7CEA"/>
    <w:rsid w:val="12975CC7"/>
    <w:rsid w:val="12C66156"/>
    <w:rsid w:val="12C845B2"/>
    <w:rsid w:val="12EC0978"/>
    <w:rsid w:val="13084E88"/>
    <w:rsid w:val="134A142B"/>
    <w:rsid w:val="134B129E"/>
    <w:rsid w:val="135B44F6"/>
    <w:rsid w:val="13831A61"/>
    <w:rsid w:val="13B8439C"/>
    <w:rsid w:val="141370A7"/>
    <w:rsid w:val="141B46D0"/>
    <w:rsid w:val="144D2895"/>
    <w:rsid w:val="144D4C67"/>
    <w:rsid w:val="147C1A1F"/>
    <w:rsid w:val="14C278C7"/>
    <w:rsid w:val="14C97301"/>
    <w:rsid w:val="14D20309"/>
    <w:rsid w:val="153D1333"/>
    <w:rsid w:val="1574536C"/>
    <w:rsid w:val="15754719"/>
    <w:rsid w:val="158D2D79"/>
    <w:rsid w:val="15986EFA"/>
    <w:rsid w:val="15D807EF"/>
    <w:rsid w:val="160407C3"/>
    <w:rsid w:val="160F140D"/>
    <w:rsid w:val="16314B72"/>
    <w:rsid w:val="165405C1"/>
    <w:rsid w:val="16743B04"/>
    <w:rsid w:val="16DD27B2"/>
    <w:rsid w:val="175B0803"/>
    <w:rsid w:val="17607E26"/>
    <w:rsid w:val="177E4101"/>
    <w:rsid w:val="17BC6DAE"/>
    <w:rsid w:val="17D64A49"/>
    <w:rsid w:val="17EF1062"/>
    <w:rsid w:val="17F27ABF"/>
    <w:rsid w:val="18081924"/>
    <w:rsid w:val="182B0734"/>
    <w:rsid w:val="183C5471"/>
    <w:rsid w:val="188417C9"/>
    <w:rsid w:val="18990647"/>
    <w:rsid w:val="189B2687"/>
    <w:rsid w:val="18BE4D23"/>
    <w:rsid w:val="18DC313B"/>
    <w:rsid w:val="18E06851"/>
    <w:rsid w:val="18F50A11"/>
    <w:rsid w:val="19264FBA"/>
    <w:rsid w:val="197C1052"/>
    <w:rsid w:val="19E70CC5"/>
    <w:rsid w:val="19F56353"/>
    <w:rsid w:val="1A09123A"/>
    <w:rsid w:val="1A2F2A83"/>
    <w:rsid w:val="1A4942EA"/>
    <w:rsid w:val="1A5D5CB1"/>
    <w:rsid w:val="1A7E1EFF"/>
    <w:rsid w:val="1A8E4ABA"/>
    <w:rsid w:val="1AA85C28"/>
    <w:rsid w:val="1AB74376"/>
    <w:rsid w:val="1ACA747D"/>
    <w:rsid w:val="1ADB4BEE"/>
    <w:rsid w:val="1B5204FF"/>
    <w:rsid w:val="1B697C71"/>
    <w:rsid w:val="1B7F3B4B"/>
    <w:rsid w:val="1B853315"/>
    <w:rsid w:val="1B86025D"/>
    <w:rsid w:val="1BA529DC"/>
    <w:rsid w:val="1BB42EA9"/>
    <w:rsid w:val="1BCA7A69"/>
    <w:rsid w:val="1BCB4B04"/>
    <w:rsid w:val="1BE16049"/>
    <w:rsid w:val="1C0B4869"/>
    <w:rsid w:val="1C0C3D8C"/>
    <w:rsid w:val="1C3B334D"/>
    <w:rsid w:val="1C6933C9"/>
    <w:rsid w:val="1D177CF6"/>
    <w:rsid w:val="1D292634"/>
    <w:rsid w:val="1D477E6C"/>
    <w:rsid w:val="1D8247CE"/>
    <w:rsid w:val="1D8E673C"/>
    <w:rsid w:val="1DA27168"/>
    <w:rsid w:val="1DF30F9E"/>
    <w:rsid w:val="1E3B421A"/>
    <w:rsid w:val="1E41013A"/>
    <w:rsid w:val="1E705D3F"/>
    <w:rsid w:val="1E7D668A"/>
    <w:rsid w:val="1E9E2747"/>
    <w:rsid w:val="1EC377FF"/>
    <w:rsid w:val="1F2051C7"/>
    <w:rsid w:val="1F3953D2"/>
    <w:rsid w:val="1F403EC8"/>
    <w:rsid w:val="1F982428"/>
    <w:rsid w:val="203975AA"/>
    <w:rsid w:val="20756602"/>
    <w:rsid w:val="20876562"/>
    <w:rsid w:val="2088336C"/>
    <w:rsid w:val="20A119E7"/>
    <w:rsid w:val="21251A23"/>
    <w:rsid w:val="213D2157"/>
    <w:rsid w:val="215424C3"/>
    <w:rsid w:val="215A0361"/>
    <w:rsid w:val="21606275"/>
    <w:rsid w:val="21701BA7"/>
    <w:rsid w:val="218C76FA"/>
    <w:rsid w:val="21AA2D9D"/>
    <w:rsid w:val="21AF0B6E"/>
    <w:rsid w:val="21B7422B"/>
    <w:rsid w:val="223B6299"/>
    <w:rsid w:val="227F4FF8"/>
    <w:rsid w:val="22E84F9A"/>
    <w:rsid w:val="236D493E"/>
    <w:rsid w:val="236E1EDA"/>
    <w:rsid w:val="23800277"/>
    <w:rsid w:val="239E0662"/>
    <w:rsid w:val="23B509B9"/>
    <w:rsid w:val="23BE733E"/>
    <w:rsid w:val="23DB0873"/>
    <w:rsid w:val="23E564EE"/>
    <w:rsid w:val="23FC1BE6"/>
    <w:rsid w:val="24036E61"/>
    <w:rsid w:val="24055838"/>
    <w:rsid w:val="240E6433"/>
    <w:rsid w:val="24332E7C"/>
    <w:rsid w:val="243D444C"/>
    <w:rsid w:val="243E1A42"/>
    <w:rsid w:val="24EF7A44"/>
    <w:rsid w:val="25131173"/>
    <w:rsid w:val="253A63E6"/>
    <w:rsid w:val="253C1713"/>
    <w:rsid w:val="25840840"/>
    <w:rsid w:val="258D62FF"/>
    <w:rsid w:val="25DF4497"/>
    <w:rsid w:val="26802EC5"/>
    <w:rsid w:val="268557C2"/>
    <w:rsid w:val="26AA41AB"/>
    <w:rsid w:val="26FC34F9"/>
    <w:rsid w:val="2715695F"/>
    <w:rsid w:val="27373FBD"/>
    <w:rsid w:val="27482765"/>
    <w:rsid w:val="27616C86"/>
    <w:rsid w:val="27630104"/>
    <w:rsid w:val="2763560D"/>
    <w:rsid w:val="2778583A"/>
    <w:rsid w:val="27A76F72"/>
    <w:rsid w:val="281D1DAA"/>
    <w:rsid w:val="282E3822"/>
    <w:rsid w:val="283D3413"/>
    <w:rsid w:val="28450728"/>
    <w:rsid w:val="28506B67"/>
    <w:rsid w:val="285E3708"/>
    <w:rsid w:val="28794B48"/>
    <w:rsid w:val="288D4A71"/>
    <w:rsid w:val="28B153C2"/>
    <w:rsid w:val="28F36DA4"/>
    <w:rsid w:val="29282503"/>
    <w:rsid w:val="294318A5"/>
    <w:rsid w:val="29913F1F"/>
    <w:rsid w:val="29D75E5D"/>
    <w:rsid w:val="29E0575A"/>
    <w:rsid w:val="2A154FE0"/>
    <w:rsid w:val="2AAB2520"/>
    <w:rsid w:val="2B1D4BF6"/>
    <w:rsid w:val="2B301056"/>
    <w:rsid w:val="2B597D1C"/>
    <w:rsid w:val="2BE30680"/>
    <w:rsid w:val="2C1104CE"/>
    <w:rsid w:val="2C2F6416"/>
    <w:rsid w:val="2C54760F"/>
    <w:rsid w:val="2C9A4224"/>
    <w:rsid w:val="2D570676"/>
    <w:rsid w:val="2D91028C"/>
    <w:rsid w:val="2DA80D3B"/>
    <w:rsid w:val="2DF85BE6"/>
    <w:rsid w:val="2E3C1643"/>
    <w:rsid w:val="2E3F6BDE"/>
    <w:rsid w:val="2E715095"/>
    <w:rsid w:val="2E765A28"/>
    <w:rsid w:val="2ED97E9D"/>
    <w:rsid w:val="2F0F49AE"/>
    <w:rsid w:val="2F166E3E"/>
    <w:rsid w:val="2F2B25AD"/>
    <w:rsid w:val="2F5A5D91"/>
    <w:rsid w:val="2F5D47F8"/>
    <w:rsid w:val="2F697313"/>
    <w:rsid w:val="2F726E55"/>
    <w:rsid w:val="2F7917E8"/>
    <w:rsid w:val="2F8725B8"/>
    <w:rsid w:val="2F8A722C"/>
    <w:rsid w:val="2FA071F4"/>
    <w:rsid w:val="2FAD7420"/>
    <w:rsid w:val="2FB2412A"/>
    <w:rsid w:val="2FC87FCF"/>
    <w:rsid w:val="2FEF4B7F"/>
    <w:rsid w:val="30352CC2"/>
    <w:rsid w:val="303D54EC"/>
    <w:rsid w:val="306E6165"/>
    <w:rsid w:val="30AD0A0B"/>
    <w:rsid w:val="30DD3304"/>
    <w:rsid w:val="30EE5EC0"/>
    <w:rsid w:val="30FB157D"/>
    <w:rsid w:val="30FD0DA0"/>
    <w:rsid w:val="310D6E0A"/>
    <w:rsid w:val="31204FDC"/>
    <w:rsid w:val="3136062C"/>
    <w:rsid w:val="319244F1"/>
    <w:rsid w:val="31A2297D"/>
    <w:rsid w:val="31E44287"/>
    <w:rsid w:val="31F60DD7"/>
    <w:rsid w:val="32460300"/>
    <w:rsid w:val="3250588E"/>
    <w:rsid w:val="3263728D"/>
    <w:rsid w:val="32690EDB"/>
    <w:rsid w:val="32732690"/>
    <w:rsid w:val="32AC7D19"/>
    <w:rsid w:val="32E528C7"/>
    <w:rsid w:val="32E7168F"/>
    <w:rsid w:val="33345872"/>
    <w:rsid w:val="33892775"/>
    <w:rsid w:val="33BF5251"/>
    <w:rsid w:val="33C11460"/>
    <w:rsid w:val="33F5343A"/>
    <w:rsid w:val="34275713"/>
    <w:rsid w:val="34C81ECE"/>
    <w:rsid w:val="34D146CB"/>
    <w:rsid w:val="35090F49"/>
    <w:rsid w:val="350B2BC1"/>
    <w:rsid w:val="35241C79"/>
    <w:rsid w:val="35A435A8"/>
    <w:rsid w:val="35AC7F8F"/>
    <w:rsid w:val="35B049E6"/>
    <w:rsid w:val="35BD1229"/>
    <w:rsid w:val="35C600EF"/>
    <w:rsid w:val="35EC40D7"/>
    <w:rsid w:val="35F64E89"/>
    <w:rsid w:val="363316C1"/>
    <w:rsid w:val="365D2663"/>
    <w:rsid w:val="36642E35"/>
    <w:rsid w:val="36A9795D"/>
    <w:rsid w:val="370C6B01"/>
    <w:rsid w:val="37496997"/>
    <w:rsid w:val="37615797"/>
    <w:rsid w:val="379D6BFC"/>
    <w:rsid w:val="37A5462D"/>
    <w:rsid w:val="37D27865"/>
    <w:rsid w:val="38490C42"/>
    <w:rsid w:val="386252EF"/>
    <w:rsid w:val="388E3DF4"/>
    <w:rsid w:val="38C54B8E"/>
    <w:rsid w:val="397B5B2F"/>
    <w:rsid w:val="398A7268"/>
    <w:rsid w:val="39B17A29"/>
    <w:rsid w:val="39C27EAC"/>
    <w:rsid w:val="39DD16B8"/>
    <w:rsid w:val="3A264D5F"/>
    <w:rsid w:val="3A81255B"/>
    <w:rsid w:val="3ACF343F"/>
    <w:rsid w:val="3AF90CF3"/>
    <w:rsid w:val="3B01193C"/>
    <w:rsid w:val="3B034B83"/>
    <w:rsid w:val="3B181801"/>
    <w:rsid w:val="3B2D10C0"/>
    <w:rsid w:val="3B4156DA"/>
    <w:rsid w:val="3BC37E05"/>
    <w:rsid w:val="3BC65C18"/>
    <w:rsid w:val="3BDE0123"/>
    <w:rsid w:val="3BFD1230"/>
    <w:rsid w:val="3C0365CF"/>
    <w:rsid w:val="3C0D5307"/>
    <w:rsid w:val="3C5F24D6"/>
    <w:rsid w:val="3C713EDC"/>
    <w:rsid w:val="3CAC71F7"/>
    <w:rsid w:val="3CD24971"/>
    <w:rsid w:val="3CDF11B9"/>
    <w:rsid w:val="3D1B791F"/>
    <w:rsid w:val="3D684162"/>
    <w:rsid w:val="3D8C609C"/>
    <w:rsid w:val="3D926709"/>
    <w:rsid w:val="3DA4303D"/>
    <w:rsid w:val="3DC34881"/>
    <w:rsid w:val="3DFF1109"/>
    <w:rsid w:val="3E031488"/>
    <w:rsid w:val="3E1F1B57"/>
    <w:rsid w:val="3E2F49B0"/>
    <w:rsid w:val="3E5839B3"/>
    <w:rsid w:val="3E8440D8"/>
    <w:rsid w:val="3ECA71E0"/>
    <w:rsid w:val="3EE2412D"/>
    <w:rsid w:val="3EE76608"/>
    <w:rsid w:val="3F3F1F88"/>
    <w:rsid w:val="3F894249"/>
    <w:rsid w:val="3F935B74"/>
    <w:rsid w:val="3FF24B3F"/>
    <w:rsid w:val="40061212"/>
    <w:rsid w:val="404B753C"/>
    <w:rsid w:val="405A4AA8"/>
    <w:rsid w:val="40642976"/>
    <w:rsid w:val="40AF724F"/>
    <w:rsid w:val="40CC23B5"/>
    <w:rsid w:val="40FF51A6"/>
    <w:rsid w:val="410D4AA2"/>
    <w:rsid w:val="419D1C54"/>
    <w:rsid w:val="41B712C0"/>
    <w:rsid w:val="42A26879"/>
    <w:rsid w:val="42FE1705"/>
    <w:rsid w:val="431E10A4"/>
    <w:rsid w:val="43262CE1"/>
    <w:rsid w:val="43905B38"/>
    <w:rsid w:val="43CE6F73"/>
    <w:rsid w:val="43E6020C"/>
    <w:rsid w:val="43FB49E8"/>
    <w:rsid w:val="440F57F0"/>
    <w:rsid w:val="447809F1"/>
    <w:rsid w:val="44DA4181"/>
    <w:rsid w:val="44E94DE0"/>
    <w:rsid w:val="4522680B"/>
    <w:rsid w:val="45373465"/>
    <w:rsid w:val="453E6BEE"/>
    <w:rsid w:val="45526440"/>
    <w:rsid w:val="457B52AB"/>
    <w:rsid w:val="45A635B8"/>
    <w:rsid w:val="45B04408"/>
    <w:rsid w:val="45C5116E"/>
    <w:rsid w:val="45D627CF"/>
    <w:rsid w:val="45E354AC"/>
    <w:rsid w:val="45FA51D7"/>
    <w:rsid w:val="4606229B"/>
    <w:rsid w:val="460D4756"/>
    <w:rsid w:val="465A6263"/>
    <w:rsid w:val="46604037"/>
    <w:rsid w:val="467B6268"/>
    <w:rsid w:val="467F586E"/>
    <w:rsid w:val="46A4304F"/>
    <w:rsid w:val="46AB4A00"/>
    <w:rsid w:val="46DC34AA"/>
    <w:rsid w:val="47340488"/>
    <w:rsid w:val="48286578"/>
    <w:rsid w:val="482F54B2"/>
    <w:rsid w:val="48304468"/>
    <w:rsid w:val="483140CB"/>
    <w:rsid w:val="4837372A"/>
    <w:rsid w:val="488A5A0A"/>
    <w:rsid w:val="489F02CE"/>
    <w:rsid w:val="48A0667F"/>
    <w:rsid w:val="48C42CEC"/>
    <w:rsid w:val="48ED00F3"/>
    <w:rsid w:val="49213347"/>
    <w:rsid w:val="492D78E9"/>
    <w:rsid w:val="49BD294D"/>
    <w:rsid w:val="4A075506"/>
    <w:rsid w:val="4A12090F"/>
    <w:rsid w:val="4A123390"/>
    <w:rsid w:val="4A626727"/>
    <w:rsid w:val="4A6463EE"/>
    <w:rsid w:val="4A667969"/>
    <w:rsid w:val="4A7D49E2"/>
    <w:rsid w:val="4A8134D5"/>
    <w:rsid w:val="4B163A3A"/>
    <w:rsid w:val="4B286DA9"/>
    <w:rsid w:val="4B425B1B"/>
    <w:rsid w:val="4B667BC8"/>
    <w:rsid w:val="4B846504"/>
    <w:rsid w:val="4BA24040"/>
    <w:rsid w:val="4BD65346"/>
    <w:rsid w:val="4BE570F7"/>
    <w:rsid w:val="4C0D4E3D"/>
    <w:rsid w:val="4C385764"/>
    <w:rsid w:val="4C80439B"/>
    <w:rsid w:val="4C845898"/>
    <w:rsid w:val="4C8822E4"/>
    <w:rsid w:val="4C91788F"/>
    <w:rsid w:val="4CA96DD2"/>
    <w:rsid w:val="4CAA3AAB"/>
    <w:rsid w:val="4CD84502"/>
    <w:rsid w:val="4D0020FA"/>
    <w:rsid w:val="4D116368"/>
    <w:rsid w:val="4D4C474D"/>
    <w:rsid w:val="4D680887"/>
    <w:rsid w:val="4D884FAE"/>
    <w:rsid w:val="4D977787"/>
    <w:rsid w:val="4DA90556"/>
    <w:rsid w:val="4DE068EB"/>
    <w:rsid w:val="4E0235E2"/>
    <w:rsid w:val="4E1C391D"/>
    <w:rsid w:val="4E2C32B0"/>
    <w:rsid w:val="4E3667E3"/>
    <w:rsid w:val="4E57399C"/>
    <w:rsid w:val="4E8536E3"/>
    <w:rsid w:val="4EA20201"/>
    <w:rsid w:val="4EAA7787"/>
    <w:rsid w:val="4ED23DB4"/>
    <w:rsid w:val="4EE15AE6"/>
    <w:rsid w:val="4F10750B"/>
    <w:rsid w:val="4F2B180E"/>
    <w:rsid w:val="4F595E38"/>
    <w:rsid w:val="4F6E73DC"/>
    <w:rsid w:val="4FAD6338"/>
    <w:rsid w:val="4FC92CCC"/>
    <w:rsid w:val="50151598"/>
    <w:rsid w:val="502B7B27"/>
    <w:rsid w:val="50333DCC"/>
    <w:rsid w:val="505545BD"/>
    <w:rsid w:val="5063392F"/>
    <w:rsid w:val="50886ABC"/>
    <w:rsid w:val="50B55561"/>
    <w:rsid w:val="510515AC"/>
    <w:rsid w:val="510A6371"/>
    <w:rsid w:val="512B546F"/>
    <w:rsid w:val="513F6F81"/>
    <w:rsid w:val="514318F6"/>
    <w:rsid w:val="51507378"/>
    <w:rsid w:val="516D5C4E"/>
    <w:rsid w:val="51A16CFF"/>
    <w:rsid w:val="51A3449E"/>
    <w:rsid w:val="521577D7"/>
    <w:rsid w:val="52474FE2"/>
    <w:rsid w:val="524A74C2"/>
    <w:rsid w:val="524E058A"/>
    <w:rsid w:val="524E1E53"/>
    <w:rsid w:val="528E0786"/>
    <w:rsid w:val="529338EC"/>
    <w:rsid w:val="52EA2795"/>
    <w:rsid w:val="5352695F"/>
    <w:rsid w:val="53CF718D"/>
    <w:rsid w:val="53E071E5"/>
    <w:rsid w:val="54215DB7"/>
    <w:rsid w:val="544E30A7"/>
    <w:rsid w:val="54EC2A6A"/>
    <w:rsid w:val="55027332"/>
    <w:rsid w:val="550F4498"/>
    <w:rsid w:val="552955FD"/>
    <w:rsid w:val="553F499F"/>
    <w:rsid w:val="55521411"/>
    <w:rsid w:val="555D779B"/>
    <w:rsid w:val="55F61C27"/>
    <w:rsid w:val="56137A9F"/>
    <w:rsid w:val="566006C5"/>
    <w:rsid w:val="56660C48"/>
    <w:rsid w:val="567B765B"/>
    <w:rsid w:val="56DE598E"/>
    <w:rsid w:val="57140FDA"/>
    <w:rsid w:val="571C43E2"/>
    <w:rsid w:val="57305B24"/>
    <w:rsid w:val="576911DA"/>
    <w:rsid w:val="576F087C"/>
    <w:rsid w:val="57A429A8"/>
    <w:rsid w:val="57AA410A"/>
    <w:rsid w:val="583A5DFE"/>
    <w:rsid w:val="5847405D"/>
    <w:rsid w:val="586572DE"/>
    <w:rsid w:val="58D1575A"/>
    <w:rsid w:val="58DE4E24"/>
    <w:rsid w:val="58E43074"/>
    <w:rsid w:val="58EF7FB1"/>
    <w:rsid w:val="593A6C6F"/>
    <w:rsid w:val="59542CC5"/>
    <w:rsid w:val="595A212B"/>
    <w:rsid w:val="5966027A"/>
    <w:rsid w:val="59670786"/>
    <w:rsid w:val="5A107B3D"/>
    <w:rsid w:val="5A39117F"/>
    <w:rsid w:val="5A475367"/>
    <w:rsid w:val="5A57193E"/>
    <w:rsid w:val="5A780256"/>
    <w:rsid w:val="5A920EEA"/>
    <w:rsid w:val="5A9D429A"/>
    <w:rsid w:val="5ADB3719"/>
    <w:rsid w:val="5AE16A27"/>
    <w:rsid w:val="5B910AA6"/>
    <w:rsid w:val="5BDA3185"/>
    <w:rsid w:val="5C3271C7"/>
    <w:rsid w:val="5C3C62ED"/>
    <w:rsid w:val="5C491972"/>
    <w:rsid w:val="5C542599"/>
    <w:rsid w:val="5C82204B"/>
    <w:rsid w:val="5C880418"/>
    <w:rsid w:val="5C943470"/>
    <w:rsid w:val="5C953D46"/>
    <w:rsid w:val="5CC61FAD"/>
    <w:rsid w:val="5CC96F30"/>
    <w:rsid w:val="5CCA5AB0"/>
    <w:rsid w:val="5D31380D"/>
    <w:rsid w:val="5DC85E09"/>
    <w:rsid w:val="5DD54057"/>
    <w:rsid w:val="5DFD3C01"/>
    <w:rsid w:val="5DFF1327"/>
    <w:rsid w:val="5E5D7ED5"/>
    <w:rsid w:val="5F036B67"/>
    <w:rsid w:val="5F7A693B"/>
    <w:rsid w:val="5F941A32"/>
    <w:rsid w:val="5FA75212"/>
    <w:rsid w:val="5FCA4C62"/>
    <w:rsid w:val="5FE504B6"/>
    <w:rsid w:val="602E0F4C"/>
    <w:rsid w:val="604B5B22"/>
    <w:rsid w:val="60593662"/>
    <w:rsid w:val="606561E4"/>
    <w:rsid w:val="60965BC7"/>
    <w:rsid w:val="60CF02E1"/>
    <w:rsid w:val="60E048DE"/>
    <w:rsid w:val="61024246"/>
    <w:rsid w:val="61154554"/>
    <w:rsid w:val="61293E45"/>
    <w:rsid w:val="61867868"/>
    <w:rsid w:val="61A16B8A"/>
    <w:rsid w:val="61AD3AF1"/>
    <w:rsid w:val="621E348D"/>
    <w:rsid w:val="62544BBB"/>
    <w:rsid w:val="62594FDA"/>
    <w:rsid w:val="62D212A9"/>
    <w:rsid w:val="630F61B2"/>
    <w:rsid w:val="6345548A"/>
    <w:rsid w:val="635E7DC4"/>
    <w:rsid w:val="638C4842"/>
    <w:rsid w:val="640623AD"/>
    <w:rsid w:val="64105B49"/>
    <w:rsid w:val="643D31A6"/>
    <w:rsid w:val="6442348D"/>
    <w:rsid w:val="64510297"/>
    <w:rsid w:val="64C070AC"/>
    <w:rsid w:val="65081E20"/>
    <w:rsid w:val="65FC2696"/>
    <w:rsid w:val="66D14776"/>
    <w:rsid w:val="66EF2330"/>
    <w:rsid w:val="67104E6E"/>
    <w:rsid w:val="671D5CAB"/>
    <w:rsid w:val="67225185"/>
    <w:rsid w:val="675A11C2"/>
    <w:rsid w:val="67604C57"/>
    <w:rsid w:val="67703EDC"/>
    <w:rsid w:val="677521C7"/>
    <w:rsid w:val="67BF792D"/>
    <w:rsid w:val="67CE4BEC"/>
    <w:rsid w:val="67D55A01"/>
    <w:rsid w:val="681A2E15"/>
    <w:rsid w:val="689750E5"/>
    <w:rsid w:val="68D1596C"/>
    <w:rsid w:val="68E61E25"/>
    <w:rsid w:val="69097E74"/>
    <w:rsid w:val="691F528F"/>
    <w:rsid w:val="69295BAD"/>
    <w:rsid w:val="694440C2"/>
    <w:rsid w:val="694E7E37"/>
    <w:rsid w:val="695E3690"/>
    <w:rsid w:val="697A0C9F"/>
    <w:rsid w:val="697B3E38"/>
    <w:rsid w:val="697D31CA"/>
    <w:rsid w:val="69975E5E"/>
    <w:rsid w:val="69A10630"/>
    <w:rsid w:val="69A14CFA"/>
    <w:rsid w:val="69C11FF4"/>
    <w:rsid w:val="69C17086"/>
    <w:rsid w:val="69D061BA"/>
    <w:rsid w:val="6A162B5E"/>
    <w:rsid w:val="6A3F7D66"/>
    <w:rsid w:val="6A7519CC"/>
    <w:rsid w:val="6A7962F7"/>
    <w:rsid w:val="6AAB42E8"/>
    <w:rsid w:val="6AAB7D43"/>
    <w:rsid w:val="6AC420B8"/>
    <w:rsid w:val="6AE67363"/>
    <w:rsid w:val="6AEE452C"/>
    <w:rsid w:val="6B6E1378"/>
    <w:rsid w:val="6BDF26D4"/>
    <w:rsid w:val="6C04436B"/>
    <w:rsid w:val="6C321E73"/>
    <w:rsid w:val="6C604051"/>
    <w:rsid w:val="6C782F97"/>
    <w:rsid w:val="6C8762F1"/>
    <w:rsid w:val="6CB03335"/>
    <w:rsid w:val="6D566FA6"/>
    <w:rsid w:val="6D5756F7"/>
    <w:rsid w:val="6DA87A6C"/>
    <w:rsid w:val="6DB42B68"/>
    <w:rsid w:val="6DB6262D"/>
    <w:rsid w:val="6DBA1DE7"/>
    <w:rsid w:val="6DD80883"/>
    <w:rsid w:val="6DE35774"/>
    <w:rsid w:val="6E200F5A"/>
    <w:rsid w:val="6E9C1485"/>
    <w:rsid w:val="6ED02CE7"/>
    <w:rsid w:val="6EE2113A"/>
    <w:rsid w:val="6EEC1BCA"/>
    <w:rsid w:val="6EF3563D"/>
    <w:rsid w:val="6EF42168"/>
    <w:rsid w:val="6F277B26"/>
    <w:rsid w:val="6F307E27"/>
    <w:rsid w:val="6F483FA1"/>
    <w:rsid w:val="6F5A7A8D"/>
    <w:rsid w:val="6F812732"/>
    <w:rsid w:val="70025EB7"/>
    <w:rsid w:val="706B6825"/>
    <w:rsid w:val="7074033D"/>
    <w:rsid w:val="7078648B"/>
    <w:rsid w:val="70D35436"/>
    <w:rsid w:val="70EF3582"/>
    <w:rsid w:val="70FE0D06"/>
    <w:rsid w:val="713D546E"/>
    <w:rsid w:val="7140366A"/>
    <w:rsid w:val="718759D3"/>
    <w:rsid w:val="71A06725"/>
    <w:rsid w:val="71A54977"/>
    <w:rsid w:val="71B4755D"/>
    <w:rsid w:val="71B96E0E"/>
    <w:rsid w:val="71C5041A"/>
    <w:rsid w:val="71E34B6A"/>
    <w:rsid w:val="72005B52"/>
    <w:rsid w:val="721460B4"/>
    <w:rsid w:val="723912A4"/>
    <w:rsid w:val="72BC3458"/>
    <w:rsid w:val="72C47E40"/>
    <w:rsid w:val="734E0C32"/>
    <w:rsid w:val="73613337"/>
    <w:rsid w:val="73955CF7"/>
    <w:rsid w:val="74117C8C"/>
    <w:rsid w:val="75481804"/>
    <w:rsid w:val="75694355"/>
    <w:rsid w:val="7586770B"/>
    <w:rsid w:val="75CB4A64"/>
    <w:rsid w:val="762B51D0"/>
    <w:rsid w:val="765472AD"/>
    <w:rsid w:val="766C7C41"/>
    <w:rsid w:val="76783EC5"/>
    <w:rsid w:val="76790528"/>
    <w:rsid w:val="770C2680"/>
    <w:rsid w:val="77151D26"/>
    <w:rsid w:val="77E1283F"/>
    <w:rsid w:val="77E90C0C"/>
    <w:rsid w:val="77F72FC4"/>
    <w:rsid w:val="77FD4FF2"/>
    <w:rsid w:val="78287615"/>
    <w:rsid w:val="782A211E"/>
    <w:rsid w:val="785F65E5"/>
    <w:rsid w:val="78B43CD5"/>
    <w:rsid w:val="78CC2A20"/>
    <w:rsid w:val="78DD2957"/>
    <w:rsid w:val="78F53DC5"/>
    <w:rsid w:val="78F56AC2"/>
    <w:rsid w:val="792616E7"/>
    <w:rsid w:val="792B1620"/>
    <w:rsid w:val="797F7E82"/>
    <w:rsid w:val="798109B3"/>
    <w:rsid w:val="79B846F0"/>
    <w:rsid w:val="79BC4D98"/>
    <w:rsid w:val="79EB1B74"/>
    <w:rsid w:val="7A5830A8"/>
    <w:rsid w:val="7A6B6C5E"/>
    <w:rsid w:val="7A725C4A"/>
    <w:rsid w:val="7A8C6E82"/>
    <w:rsid w:val="7A8E4FA9"/>
    <w:rsid w:val="7AB4079F"/>
    <w:rsid w:val="7AC22C2F"/>
    <w:rsid w:val="7ADD2DFC"/>
    <w:rsid w:val="7AE43E73"/>
    <w:rsid w:val="7AEA716C"/>
    <w:rsid w:val="7B3303E5"/>
    <w:rsid w:val="7B401B61"/>
    <w:rsid w:val="7B710EA7"/>
    <w:rsid w:val="7B96551C"/>
    <w:rsid w:val="7B9B5153"/>
    <w:rsid w:val="7BAC5653"/>
    <w:rsid w:val="7BB54700"/>
    <w:rsid w:val="7C4E7450"/>
    <w:rsid w:val="7CC26EAA"/>
    <w:rsid w:val="7CD2589A"/>
    <w:rsid w:val="7D1F6492"/>
    <w:rsid w:val="7D210B67"/>
    <w:rsid w:val="7DBF7B0B"/>
    <w:rsid w:val="7DE3674C"/>
    <w:rsid w:val="7E092A09"/>
    <w:rsid w:val="7E0C581B"/>
    <w:rsid w:val="7E0E5728"/>
    <w:rsid w:val="7E317320"/>
    <w:rsid w:val="7E4C696B"/>
    <w:rsid w:val="7E686156"/>
    <w:rsid w:val="7E6E6BE4"/>
    <w:rsid w:val="7E9001A0"/>
    <w:rsid w:val="7ED73E1F"/>
    <w:rsid w:val="7EDE3BFC"/>
    <w:rsid w:val="7F225196"/>
    <w:rsid w:val="7F5C6284"/>
    <w:rsid w:val="7F5E7D01"/>
    <w:rsid w:val="7F8B2C0A"/>
    <w:rsid w:val="7F930305"/>
    <w:rsid w:val="7FD31D51"/>
    <w:rsid w:val="7FF7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83"/>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82"/>
    <w:qFormat/>
    <w:uiPriority w:val="0"/>
    <w:pPr>
      <w:keepNext/>
      <w:keepLines/>
      <w:spacing w:line="600" w:lineRule="exact"/>
      <w:ind w:firstLine="643" w:firstLineChars="200"/>
      <w:outlineLvl w:val="2"/>
    </w:pPr>
    <w:rPr>
      <w:b/>
      <w:bCs/>
      <w:sz w:val="32"/>
      <w:szCs w:val="32"/>
    </w:rPr>
  </w:style>
  <w:style w:type="paragraph" w:styleId="7">
    <w:name w:val="heading 4"/>
    <w:basedOn w:val="1"/>
    <w:next w:val="1"/>
    <w:link w:val="94"/>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Normal Indent"/>
    <w:basedOn w:val="1"/>
    <w:qFormat/>
    <w:uiPriority w:val="0"/>
    <w:pPr>
      <w:ind w:firstLine="420"/>
    </w:pPr>
    <w:rPr>
      <w:szCs w:val="20"/>
    </w:rPr>
  </w:style>
  <w:style w:type="paragraph" w:styleId="8">
    <w:name w:val="index 8"/>
    <w:basedOn w:val="1"/>
    <w:next w:val="1"/>
    <w:qFormat/>
    <w:uiPriority w:val="0"/>
    <w:pPr>
      <w:ind w:left="2940"/>
    </w:pPr>
  </w:style>
  <w:style w:type="paragraph" w:styleId="9">
    <w:name w:val="caption"/>
    <w:basedOn w:val="1"/>
    <w:next w:val="1"/>
    <w:qFormat/>
    <w:uiPriority w:val="0"/>
    <w:pPr>
      <w:spacing w:before="152" w:after="160" w:line="360" w:lineRule="auto"/>
      <w:ind w:firstLine="200" w:firstLineChars="200"/>
    </w:pPr>
    <w:rPr>
      <w:rFonts w:ascii="Arial" w:hAnsi="Arial" w:eastAsia="黑体"/>
      <w:sz w:val="28"/>
      <w:szCs w:val="20"/>
    </w:rPr>
  </w:style>
  <w:style w:type="paragraph" w:styleId="10">
    <w:name w:val="Document Map"/>
    <w:basedOn w:val="1"/>
    <w:link w:val="84"/>
    <w:unhideWhenUsed/>
    <w:qFormat/>
    <w:uiPriority w:val="99"/>
    <w:rPr>
      <w:rFonts w:ascii="宋体"/>
      <w:sz w:val="18"/>
      <w:szCs w:val="18"/>
    </w:rPr>
  </w:style>
  <w:style w:type="paragraph" w:styleId="11">
    <w:name w:val="annotation text"/>
    <w:basedOn w:val="1"/>
    <w:link w:val="70"/>
    <w:qFormat/>
    <w:uiPriority w:val="0"/>
    <w:pPr>
      <w:jc w:val="left"/>
    </w:pPr>
  </w:style>
  <w:style w:type="paragraph" w:styleId="12">
    <w:name w:val="Body Text"/>
    <w:basedOn w:val="1"/>
    <w:link w:val="79"/>
    <w:unhideWhenUsed/>
    <w:qFormat/>
    <w:uiPriority w:val="0"/>
    <w:pPr>
      <w:spacing w:after="120"/>
    </w:pPr>
  </w:style>
  <w:style w:type="paragraph" w:styleId="13">
    <w:name w:val="Body Text Indent"/>
    <w:basedOn w:val="1"/>
    <w:link w:val="68"/>
    <w:qFormat/>
    <w:uiPriority w:val="99"/>
    <w:pPr>
      <w:spacing w:line="200" w:lineRule="exact"/>
      <w:ind w:firstLine="301"/>
    </w:pPr>
    <w:rPr>
      <w:rFonts w:ascii="宋体" w:hAnsi="Courier New"/>
      <w:spacing w:val="-4"/>
      <w:sz w:val="18"/>
      <w:szCs w:val="20"/>
    </w:rPr>
  </w:style>
  <w:style w:type="paragraph" w:styleId="14">
    <w:name w:val="Plain Text"/>
    <w:basedOn w:val="1"/>
    <w:next w:val="8"/>
    <w:link w:val="75"/>
    <w:qFormat/>
    <w:uiPriority w:val="0"/>
    <w:rPr>
      <w:rFonts w:ascii="宋体" w:hAnsi="Courier New"/>
      <w:szCs w:val="20"/>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76"/>
    <w:qFormat/>
    <w:uiPriority w:val="0"/>
    <w:rPr>
      <w:sz w:val="18"/>
      <w:szCs w:val="18"/>
    </w:rPr>
  </w:style>
  <w:style w:type="paragraph" w:styleId="18">
    <w:name w:val="footer"/>
    <w:basedOn w:val="1"/>
    <w:link w:val="86"/>
    <w:qFormat/>
    <w:uiPriority w:val="99"/>
    <w:pPr>
      <w:tabs>
        <w:tab w:val="center" w:pos="4153"/>
        <w:tab w:val="right" w:pos="8306"/>
      </w:tabs>
      <w:snapToGrid w:val="0"/>
      <w:jc w:val="left"/>
    </w:pPr>
    <w:rPr>
      <w:sz w:val="18"/>
      <w:szCs w:val="18"/>
    </w:rPr>
  </w:style>
  <w:style w:type="paragraph" w:styleId="19">
    <w:name w:val="header"/>
    <w:basedOn w:val="1"/>
    <w:link w:val="98"/>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sz w:val="20"/>
      <w:szCs w:val="20"/>
    </w:rPr>
  </w:style>
  <w:style w:type="paragraph" w:styleId="21">
    <w:name w:val="List"/>
    <w:basedOn w:val="1"/>
    <w:qFormat/>
    <w:uiPriority w:val="0"/>
    <w:pPr>
      <w:ind w:left="200" w:hanging="200" w:hangingChars="200"/>
    </w:pPr>
    <w:rPr>
      <w:sz w:val="28"/>
    </w:rPr>
  </w:style>
  <w:style w:type="paragraph" w:styleId="22">
    <w:name w:val="toc 2"/>
    <w:basedOn w:val="1"/>
    <w:next w:val="1"/>
    <w:qFormat/>
    <w:uiPriority w:val="39"/>
    <w:pPr>
      <w:tabs>
        <w:tab w:val="right" w:leader="dot" w:pos="9628"/>
      </w:tabs>
      <w:ind w:left="420" w:firstLine="120"/>
      <w:jc w:val="left"/>
    </w:pPr>
    <w:rPr>
      <w:smallCaps/>
      <w:sz w:val="20"/>
      <w:szCs w:val="20"/>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qFormat/>
    <w:uiPriority w:val="99"/>
    <w:pPr>
      <w:widowControl/>
      <w:spacing w:line="480" w:lineRule="auto"/>
      <w:jc w:val="left"/>
    </w:pPr>
    <w:rPr>
      <w:rFonts w:ascii="宋体" w:hAnsi="宋体" w:cs="宋体"/>
      <w:kern w:val="0"/>
      <w:sz w:val="24"/>
    </w:rPr>
  </w:style>
  <w:style w:type="paragraph" w:styleId="25">
    <w:name w:val="annotation subject"/>
    <w:basedOn w:val="11"/>
    <w:next w:val="11"/>
    <w:semiHidden/>
    <w:qFormat/>
    <w:uiPriority w:val="0"/>
    <w:rPr>
      <w:rFonts w:ascii="Calibri" w:hAnsi="Calibri"/>
      <w:b/>
      <w:bCs/>
      <w:szCs w:val="22"/>
    </w:rPr>
  </w:style>
  <w:style w:type="paragraph" w:styleId="26">
    <w:name w:val="Body Text First Indent"/>
    <w:basedOn w:val="12"/>
    <w:link w:val="85"/>
    <w:qFormat/>
    <w:uiPriority w:val="0"/>
    <w:pPr>
      <w:ind w:firstLine="420" w:firstLineChars="100"/>
    </w:pPr>
  </w:style>
  <w:style w:type="table" w:styleId="28">
    <w:name w:val="Table Grid"/>
    <w:basedOn w:val="27"/>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FollowedHyperlink"/>
    <w:qFormat/>
    <w:uiPriority w:val="0"/>
    <w:rPr>
      <w:color w:val="333333"/>
      <w:u w:val="none"/>
    </w:rPr>
  </w:style>
  <w:style w:type="character" w:styleId="33">
    <w:name w:val="Emphasis"/>
    <w:qFormat/>
    <w:uiPriority w:val="20"/>
  </w:style>
  <w:style w:type="character" w:styleId="34">
    <w:name w:val="HTML Definition"/>
    <w:unhideWhenUsed/>
    <w:qFormat/>
    <w:uiPriority w:val="99"/>
  </w:style>
  <w:style w:type="character" w:styleId="35">
    <w:name w:val="HTML Typewriter"/>
    <w:unhideWhenUsed/>
    <w:qFormat/>
    <w:uiPriority w:val="99"/>
    <w:rPr>
      <w:rFonts w:ascii="monospace" w:hAnsi="monospace" w:eastAsia="monospace" w:cs="monospace"/>
      <w:sz w:val="20"/>
    </w:rPr>
  </w:style>
  <w:style w:type="character" w:styleId="36">
    <w:name w:val="HTML Acronym"/>
    <w:basedOn w:val="29"/>
    <w:unhideWhenUsed/>
    <w:qFormat/>
    <w:uiPriority w:val="99"/>
  </w:style>
  <w:style w:type="character" w:styleId="37">
    <w:name w:val="HTML Variable"/>
    <w:unhideWhenUsed/>
    <w:qFormat/>
    <w:uiPriority w:val="99"/>
  </w:style>
  <w:style w:type="character" w:styleId="38">
    <w:name w:val="Hyperlink"/>
    <w:qFormat/>
    <w:uiPriority w:val="99"/>
    <w:rPr>
      <w:color w:val="333333"/>
      <w:u w:val="none"/>
    </w:rPr>
  </w:style>
  <w:style w:type="character" w:styleId="39">
    <w:name w:val="HTML Code"/>
    <w:unhideWhenUsed/>
    <w:qFormat/>
    <w:uiPriority w:val="99"/>
    <w:rPr>
      <w:rFonts w:ascii="Courier New" w:hAnsi="Courier New"/>
      <w:sz w:val="20"/>
    </w:rPr>
  </w:style>
  <w:style w:type="character" w:styleId="40">
    <w:name w:val="annotation reference"/>
    <w:qFormat/>
    <w:uiPriority w:val="99"/>
    <w:rPr>
      <w:sz w:val="21"/>
      <w:szCs w:val="21"/>
    </w:rPr>
  </w:style>
  <w:style w:type="character" w:styleId="41">
    <w:name w:val="HTML Cite"/>
    <w:unhideWhenUsed/>
    <w:qFormat/>
    <w:uiPriority w:val="99"/>
  </w:style>
  <w:style w:type="character" w:styleId="42">
    <w:name w:val="HTML Keyboard"/>
    <w:unhideWhenUsed/>
    <w:qFormat/>
    <w:uiPriority w:val="99"/>
    <w:rPr>
      <w:rFonts w:hint="default" w:ascii="monospace" w:hAnsi="monospace" w:eastAsia="monospace" w:cs="monospace"/>
      <w:sz w:val="20"/>
    </w:rPr>
  </w:style>
  <w:style w:type="character" w:styleId="43">
    <w:name w:val="HTML Sample"/>
    <w:unhideWhenUsed/>
    <w:qFormat/>
    <w:uiPriority w:val="99"/>
    <w:rPr>
      <w:rFonts w:hint="default" w:ascii="monospace" w:hAnsi="monospace" w:eastAsia="monospace" w:cs="monospace"/>
    </w:rPr>
  </w:style>
  <w:style w:type="paragraph" w:customStyle="1" w:styleId="44">
    <w:name w:val="列出段落3"/>
    <w:basedOn w:val="1"/>
    <w:link w:val="92"/>
    <w:qFormat/>
    <w:uiPriority w:val="0"/>
    <w:pPr>
      <w:ind w:firstLine="420" w:firstLineChars="200"/>
    </w:pPr>
    <w:rPr>
      <w:rFonts w:ascii="Calibri" w:hAnsi="Calibri"/>
      <w:szCs w:val="22"/>
    </w:rPr>
  </w:style>
  <w:style w:type="paragraph" w:customStyle="1" w:styleId="45">
    <w:name w:val="列出段落2"/>
    <w:basedOn w:val="1"/>
    <w:qFormat/>
    <w:uiPriority w:val="0"/>
    <w:pPr>
      <w:ind w:firstLine="420" w:firstLineChars="200"/>
    </w:pPr>
    <w:rPr>
      <w:sz w:val="24"/>
    </w:rPr>
  </w:style>
  <w:style w:type="paragraph" w:customStyle="1" w:styleId="46">
    <w:name w:val="列出段落1"/>
    <w:basedOn w:val="1"/>
    <w:qFormat/>
    <w:uiPriority w:val="34"/>
    <w:pPr>
      <w:ind w:firstLine="420" w:firstLineChars="200"/>
    </w:pPr>
    <w:rPr>
      <w:rFonts w:ascii="Calibri" w:hAnsi="Calibri"/>
      <w:szCs w:val="22"/>
    </w:rPr>
  </w:style>
  <w:style w:type="paragraph" w:customStyle="1" w:styleId="47">
    <w:name w:val="p0"/>
    <w:basedOn w:val="1"/>
    <w:qFormat/>
    <w:uiPriority w:val="0"/>
    <w:pPr>
      <w:widowControl/>
    </w:pPr>
    <w:rPr>
      <w:kern w:val="0"/>
      <w:szCs w:val="21"/>
    </w:rPr>
  </w:style>
  <w:style w:type="paragraph" w:customStyle="1" w:styleId="48">
    <w:name w:val="纯文本1"/>
    <w:basedOn w:val="1"/>
    <w:qFormat/>
    <w:uiPriority w:val="0"/>
    <w:pPr>
      <w:jc w:val="left"/>
    </w:pPr>
    <w:rPr>
      <w:rFonts w:ascii="宋体" w:hAnsi="Courier New" w:cs="Courier New"/>
      <w:color w:val="000000"/>
      <w:kern w:val="0"/>
      <w:sz w:val="24"/>
      <w:szCs w:val="21"/>
      <w:lang w:val="zh-CN"/>
    </w:rPr>
  </w:style>
  <w:style w:type="paragraph" w:customStyle="1" w:styleId="49">
    <w:name w:val="明显引用1"/>
    <w:basedOn w:val="1"/>
    <w:next w:val="1"/>
    <w:qFormat/>
    <w:uiPriority w:val="0"/>
    <w:pPr>
      <w:spacing w:line="360" w:lineRule="auto"/>
      <w:jc w:val="center"/>
    </w:pPr>
    <w:rPr>
      <w:rFonts w:ascii="宋体" w:hAnsi="华文细黑"/>
      <w:bCs/>
      <w:iCs/>
      <w:color w:val="000000"/>
      <w:szCs w:val="20"/>
    </w:rPr>
  </w:style>
  <w:style w:type="paragraph" w:customStyle="1" w:styleId="50">
    <w:name w:val="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1">
    <w:name w:val="正文段"/>
    <w:basedOn w:val="1"/>
    <w:qFormat/>
    <w:uiPriority w:val="0"/>
    <w:pPr>
      <w:widowControl/>
      <w:snapToGrid w:val="0"/>
      <w:spacing w:afterLines="50"/>
      <w:ind w:firstLine="200" w:firstLineChars="200"/>
    </w:pPr>
    <w:rPr>
      <w:kern w:val="0"/>
      <w:sz w:val="24"/>
      <w:szCs w:val="20"/>
    </w:rPr>
  </w:style>
  <w:style w:type="paragraph" w:customStyle="1" w:styleId="52">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53">
    <w:name w:val="Char Char Char"/>
    <w:basedOn w:val="1"/>
    <w:qFormat/>
    <w:uiPriority w:val="0"/>
    <w:rPr>
      <w:rFonts w:ascii="Tahoma" w:hAnsi="Tahoma"/>
      <w:sz w:val="24"/>
      <w:szCs w:val="20"/>
    </w:rPr>
  </w:style>
  <w:style w:type="paragraph" w:customStyle="1" w:styleId="54">
    <w:name w:val="普通(网站)1"/>
    <w:basedOn w:val="1"/>
    <w:qFormat/>
    <w:uiPriority w:val="0"/>
    <w:pPr>
      <w:widowControl/>
      <w:spacing w:before="100" w:beforeAutospacing="1" w:after="100" w:afterAutospacing="1" w:line="384" w:lineRule="auto"/>
      <w:jc w:val="left"/>
    </w:pPr>
    <w:rPr>
      <w:rFonts w:ascii="ˎ̥" w:hAnsi="ˎ̥" w:cs="宋体"/>
      <w:color w:val="000000"/>
      <w:kern w:val="0"/>
      <w:sz w:val="24"/>
      <w:szCs w:val="21"/>
      <w:lang w:val="zh-CN"/>
    </w:rPr>
  </w:style>
  <w:style w:type="paragraph" w:customStyle="1" w:styleId="55">
    <w:name w:val="Char Char Char Char Char Char Char"/>
    <w:basedOn w:val="1"/>
    <w:qFormat/>
    <w:uiPriority w:val="0"/>
  </w:style>
  <w:style w:type="paragraph" w:customStyle="1" w:styleId="56">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57">
    <w:name w:val="Char Char Char Char Char Char Char Char Char Char Char Char"/>
    <w:basedOn w:val="1"/>
    <w:qFormat/>
    <w:uiPriority w:val="0"/>
    <w:pPr>
      <w:widowControl/>
      <w:spacing w:after="160" w:line="240" w:lineRule="exact"/>
      <w:jc w:val="left"/>
    </w:pPr>
  </w:style>
  <w:style w:type="paragraph" w:customStyle="1" w:styleId="58">
    <w:name w:val="Char Char Char1 Char Char Char Char Char Char Char"/>
    <w:basedOn w:val="1"/>
    <w:qFormat/>
    <w:uiPriority w:val="0"/>
  </w:style>
  <w:style w:type="paragraph" w:customStyle="1" w:styleId="59">
    <w:name w:val="彩色列表 - 强调文字颜色 11"/>
    <w:basedOn w:val="1"/>
    <w:qFormat/>
    <w:uiPriority w:val="0"/>
    <w:pPr>
      <w:ind w:firstLine="420" w:firstLineChars="200"/>
    </w:pPr>
    <w:rPr>
      <w:rFonts w:ascii="Calibri" w:hAnsi="Calibri"/>
      <w:szCs w:val="22"/>
    </w:rPr>
  </w:style>
  <w:style w:type="paragraph" w:styleId="60">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61">
    <w:name w:val="List Paragraph"/>
    <w:basedOn w:val="1"/>
    <w:qFormat/>
    <w:uiPriority w:val="34"/>
    <w:pPr>
      <w:ind w:firstLine="420" w:firstLineChars="200"/>
    </w:pPr>
    <w:rPr>
      <w:rFonts w:ascii="Calibri" w:hAnsi="Calibri"/>
      <w:szCs w:val="22"/>
    </w:rPr>
  </w:style>
  <w:style w:type="paragraph" w:customStyle="1" w:styleId="6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63">
    <w:name w:val="_Style 21"/>
    <w:basedOn w:val="1"/>
    <w:qFormat/>
    <w:uiPriority w:val="0"/>
    <w:pPr>
      <w:widowControl/>
      <w:spacing w:after="160" w:line="240" w:lineRule="exact"/>
      <w:jc w:val="left"/>
    </w:pPr>
    <w:rPr>
      <w:rFonts w:ascii="Calibri" w:hAnsi="Calibri"/>
      <w:kern w:val="0"/>
      <w:szCs w:val="20"/>
      <w:lang w:eastAsia="en-US"/>
    </w:rPr>
  </w:style>
  <w:style w:type="paragraph" w:customStyle="1" w:styleId="64">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65">
    <w:name w:val="默认段落字体 Para Char Char Char Char Char Char Char Char Char1 Char Char Char Char"/>
    <w:basedOn w:val="1"/>
    <w:qFormat/>
    <w:uiPriority w:val="0"/>
    <w:rPr>
      <w:rFonts w:ascii="Tahoma" w:hAnsi="Tahoma"/>
      <w:sz w:val="24"/>
      <w:szCs w:val="20"/>
    </w:rPr>
  </w:style>
  <w:style w:type="paragraph" w:customStyle="1" w:styleId="66">
    <w:name w:val="Char1"/>
    <w:basedOn w:val="1"/>
    <w:qFormat/>
    <w:uiPriority w:val="0"/>
  </w:style>
  <w:style w:type="paragraph" w:customStyle="1" w:styleId="67">
    <w:name w:val="Char"/>
    <w:basedOn w:val="1"/>
    <w:qFormat/>
    <w:uiPriority w:val="0"/>
    <w:rPr>
      <w:szCs w:val="21"/>
    </w:rPr>
  </w:style>
  <w:style w:type="character" w:customStyle="1" w:styleId="68">
    <w:name w:val="正文文本缩进 Char"/>
    <w:link w:val="13"/>
    <w:qFormat/>
    <w:locked/>
    <w:uiPriority w:val="0"/>
    <w:rPr>
      <w:rFonts w:ascii="宋体" w:hAnsi="Courier New" w:eastAsia="宋体"/>
      <w:spacing w:val="-4"/>
      <w:kern w:val="2"/>
      <w:sz w:val="18"/>
      <w:lang w:val="en-US" w:eastAsia="zh-CN" w:bidi="ar-SA"/>
    </w:rPr>
  </w:style>
  <w:style w:type="character" w:customStyle="1" w:styleId="69">
    <w:name w:val="first-child"/>
    <w:basedOn w:val="29"/>
    <w:qFormat/>
    <w:uiPriority w:val="0"/>
  </w:style>
  <w:style w:type="character" w:customStyle="1" w:styleId="70">
    <w:name w:val="批注文字 Char"/>
    <w:link w:val="11"/>
    <w:qFormat/>
    <w:locked/>
    <w:uiPriority w:val="0"/>
    <w:rPr>
      <w:rFonts w:eastAsia="宋体"/>
      <w:kern w:val="2"/>
      <w:sz w:val="21"/>
      <w:szCs w:val="24"/>
      <w:lang w:val="en-US" w:eastAsia="zh-CN" w:bidi="ar-SA"/>
    </w:rPr>
  </w:style>
  <w:style w:type="character" w:customStyle="1" w:styleId="71">
    <w:name w:val="apple-converted-space"/>
    <w:basedOn w:val="29"/>
    <w:qFormat/>
    <w:uiPriority w:val="0"/>
  </w:style>
  <w:style w:type="character" w:customStyle="1" w:styleId="72">
    <w:name w:val="unnamed21"/>
    <w:basedOn w:val="29"/>
    <w:qFormat/>
    <w:uiPriority w:val="0"/>
  </w:style>
  <w:style w:type="character" w:customStyle="1" w:styleId="73">
    <w:name w:val="Char Char4"/>
    <w:qFormat/>
    <w:uiPriority w:val="0"/>
    <w:rPr>
      <w:rFonts w:ascii="宋体" w:eastAsia="宋体"/>
      <w:kern w:val="2"/>
      <w:sz w:val="18"/>
      <w:szCs w:val="18"/>
      <w:lang w:val="en-US" w:eastAsia="zh-CN" w:bidi="ar-SA"/>
    </w:rPr>
  </w:style>
  <w:style w:type="character" w:customStyle="1" w:styleId="74">
    <w:name w:val="Char Char3"/>
    <w:semiHidden/>
    <w:qFormat/>
    <w:uiPriority w:val="99"/>
    <w:rPr>
      <w:kern w:val="2"/>
      <w:sz w:val="21"/>
      <w:szCs w:val="24"/>
    </w:rPr>
  </w:style>
  <w:style w:type="character" w:customStyle="1" w:styleId="75">
    <w:name w:val="纯文本 Char"/>
    <w:link w:val="14"/>
    <w:qFormat/>
    <w:uiPriority w:val="0"/>
    <w:rPr>
      <w:rFonts w:ascii="宋体" w:hAnsi="Courier New" w:eastAsia="宋体"/>
      <w:kern w:val="2"/>
      <w:sz w:val="21"/>
      <w:lang w:val="en-US" w:eastAsia="zh-CN" w:bidi="ar-SA"/>
    </w:rPr>
  </w:style>
  <w:style w:type="character" w:customStyle="1" w:styleId="76">
    <w:name w:val="批注框文本 Char"/>
    <w:link w:val="17"/>
    <w:semiHidden/>
    <w:qFormat/>
    <w:locked/>
    <w:uiPriority w:val="0"/>
    <w:rPr>
      <w:rFonts w:eastAsia="宋体"/>
      <w:kern w:val="2"/>
      <w:sz w:val="18"/>
      <w:szCs w:val="18"/>
      <w:lang w:val="en-US" w:eastAsia="zh-CN" w:bidi="ar-SA"/>
    </w:rPr>
  </w:style>
  <w:style w:type="character" w:customStyle="1" w:styleId="77">
    <w:name w:val="纯文本 Char1"/>
    <w:qFormat/>
    <w:uiPriority w:val="0"/>
    <w:rPr>
      <w:rFonts w:ascii="宋体" w:hAnsi="Courier New" w:eastAsia="宋体"/>
      <w:kern w:val="2"/>
      <w:sz w:val="21"/>
      <w:lang w:val="en-US" w:eastAsia="zh-CN" w:bidi="ar-SA"/>
    </w:rPr>
  </w:style>
  <w:style w:type="character" w:customStyle="1" w:styleId="78">
    <w:name w:val="Char Char41"/>
    <w:qFormat/>
    <w:locked/>
    <w:uiPriority w:val="0"/>
    <w:rPr>
      <w:rFonts w:hint="default" w:ascii="Calibri" w:hAnsi="Calibri" w:eastAsia="宋体"/>
      <w:sz w:val="18"/>
      <w:szCs w:val="18"/>
      <w:lang w:bidi="ar-SA"/>
    </w:rPr>
  </w:style>
  <w:style w:type="character" w:customStyle="1" w:styleId="79">
    <w:name w:val="正文文本 Char"/>
    <w:link w:val="12"/>
    <w:qFormat/>
    <w:uiPriority w:val="0"/>
    <w:rPr>
      <w:kern w:val="2"/>
      <w:sz w:val="21"/>
      <w:szCs w:val="24"/>
    </w:rPr>
  </w:style>
  <w:style w:type="character" w:customStyle="1" w:styleId="80">
    <w:name w:val="正文首行缩进 Char"/>
    <w:qFormat/>
    <w:uiPriority w:val="0"/>
    <w:rPr>
      <w:kern w:val="2"/>
      <w:sz w:val="21"/>
      <w:szCs w:val="24"/>
    </w:rPr>
  </w:style>
  <w:style w:type="character" w:customStyle="1" w:styleId="81">
    <w:name w:val="纯文本字符"/>
    <w:qFormat/>
    <w:uiPriority w:val="0"/>
    <w:rPr>
      <w:rFonts w:ascii="宋体" w:hAnsi="Courier New" w:eastAsia="宋体"/>
      <w:kern w:val="2"/>
      <w:sz w:val="21"/>
      <w:lang w:val="en-US" w:eastAsia="zh-CN" w:bidi="ar-SA"/>
    </w:rPr>
  </w:style>
  <w:style w:type="character" w:customStyle="1" w:styleId="82">
    <w:name w:val="标题 3 Char"/>
    <w:link w:val="5"/>
    <w:qFormat/>
    <w:uiPriority w:val="0"/>
    <w:rPr>
      <w:rFonts w:eastAsia="宋体"/>
      <w:b/>
      <w:bCs/>
      <w:kern w:val="2"/>
      <w:sz w:val="32"/>
      <w:szCs w:val="32"/>
      <w:lang w:val="en-US" w:eastAsia="zh-CN" w:bidi="ar-SA"/>
    </w:rPr>
  </w:style>
  <w:style w:type="character" w:customStyle="1" w:styleId="83">
    <w:name w:val="标题 2 Char"/>
    <w:link w:val="4"/>
    <w:qFormat/>
    <w:uiPriority w:val="0"/>
    <w:rPr>
      <w:rFonts w:ascii="Arial" w:hAnsi="Arial" w:eastAsia="黑体"/>
      <w:b/>
      <w:bCs/>
      <w:kern w:val="2"/>
      <w:sz w:val="32"/>
      <w:szCs w:val="32"/>
      <w:lang w:val="en-US" w:eastAsia="zh-CN" w:bidi="ar-SA"/>
    </w:rPr>
  </w:style>
  <w:style w:type="character" w:customStyle="1" w:styleId="84">
    <w:name w:val="文档结构图 Char"/>
    <w:link w:val="10"/>
    <w:semiHidden/>
    <w:qFormat/>
    <w:uiPriority w:val="99"/>
    <w:rPr>
      <w:rFonts w:ascii="宋体"/>
      <w:kern w:val="2"/>
      <w:sz w:val="18"/>
      <w:szCs w:val="18"/>
    </w:rPr>
  </w:style>
  <w:style w:type="character" w:customStyle="1" w:styleId="85">
    <w:name w:val="正文首行缩进 Char1"/>
    <w:link w:val="26"/>
    <w:semiHidden/>
    <w:qFormat/>
    <w:uiPriority w:val="99"/>
    <w:rPr>
      <w:kern w:val="2"/>
      <w:sz w:val="21"/>
      <w:szCs w:val="24"/>
    </w:rPr>
  </w:style>
  <w:style w:type="character" w:customStyle="1" w:styleId="86">
    <w:name w:val="页脚 Char"/>
    <w:link w:val="18"/>
    <w:qFormat/>
    <w:uiPriority w:val="99"/>
    <w:rPr>
      <w:kern w:val="2"/>
      <w:sz w:val="18"/>
      <w:szCs w:val="18"/>
    </w:rPr>
  </w:style>
  <w:style w:type="character" w:customStyle="1" w:styleId="87">
    <w:name w:val="time"/>
    <w:qFormat/>
    <w:uiPriority w:val="0"/>
    <w:rPr>
      <w:color w:val="999999"/>
    </w:rPr>
  </w:style>
  <w:style w:type="character" w:customStyle="1" w:styleId="88">
    <w:name w:val="Char Char13"/>
    <w:qFormat/>
    <w:uiPriority w:val="0"/>
    <w:rPr>
      <w:rFonts w:eastAsia="宋体"/>
      <w:b/>
      <w:bCs/>
      <w:kern w:val="44"/>
      <w:sz w:val="44"/>
      <w:szCs w:val="44"/>
      <w:lang w:val="en-US" w:eastAsia="zh-CN" w:bidi="ar-SA"/>
    </w:rPr>
  </w:style>
  <w:style w:type="character" w:customStyle="1" w:styleId="89">
    <w:name w:val="批注文字 Char1"/>
    <w:qFormat/>
    <w:uiPriority w:val="99"/>
    <w:rPr>
      <w:rFonts w:eastAsia="宋体"/>
      <w:kern w:val="2"/>
      <w:sz w:val="21"/>
      <w:szCs w:val="24"/>
      <w:lang w:val="en-US" w:eastAsia="zh-CN" w:bidi="ar-SA"/>
    </w:rPr>
  </w:style>
  <w:style w:type="character" w:customStyle="1" w:styleId="90">
    <w:name w:val="first-child1"/>
    <w:basedOn w:val="29"/>
    <w:qFormat/>
    <w:uiPriority w:val="0"/>
  </w:style>
  <w:style w:type="character" w:customStyle="1" w:styleId="91">
    <w:name w:val="标题 1 Char"/>
    <w:link w:val="3"/>
    <w:qFormat/>
    <w:uiPriority w:val="0"/>
    <w:rPr>
      <w:rFonts w:eastAsia="宋体"/>
      <w:b/>
      <w:bCs/>
      <w:kern w:val="44"/>
      <w:sz w:val="44"/>
      <w:szCs w:val="44"/>
      <w:lang w:val="en-US" w:eastAsia="zh-CN" w:bidi="ar-SA"/>
    </w:rPr>
  </w:style>
  <w:style w:type="character" w:customStyle="1" w:styleId="92">
    <w:name w:val="List Paragraph Char"/>
    <w:link w:val="44"/>
    <w:qFormat/>
    <w:locked/>
    <w:uiPriority w:val="0"/>
    <w:rPr>
      <w:rFonts w:ascii="Calibri" w:hAnsi="Calibri"/>
      <w:kern w:val="2"/>
      <w:sz w:val="21"/>
      <w:szCs w:val="22"/>
    </w:rPr>
  </w:style>
  <w:style w:type="character" w:customStyle="1" w:styleId="93">
    <w:name w:val="dot"/>
    <w:basedOn w:val="29"/>
    <w:qFormat/>
    <w:uiPriority w:val="0"/>
  </w:style>
  <w:style w:type="character" w:customStyle="1" w:styleId="94">
    <w:name w:val="标题 4 Char"/>
    <w:link w:val="7"/>
    <w:qFormat/>
    <w:uiPriority w:val="0"/>
    <w:rPr>
      <w:rFonts w:ascii="Arial" w:eastAsia="黑体"/>
      <w:sz w:val="28"/>
      <w:lang w:val="en-US" w:eastAsia="zh-CN" w:bidi="ar-SA"/>
    </w:rPr>
  </w:style>
  <w:style w:type="character" w:customStyle="1" w:styleId="95">
    <w:name w:val="H2 Char"/>
    <w:qFormat/>
    <w:uiPriority w:val="0"/>
    <w:rPr>
      <w:rFonts w:ascii="Arial" w:hAnsi="Arial" w:eastAsia="黑体"/>
      <w:b/>
      <w:bCs/>
      <w:kern w:val="2"/>
      <w:sz w:val="32"/>
      <w:szCs w:val="32"/>
      <w:lang w:val="en-US" w:eastAsia="zh-CN" w:bidi="ar-SA"/>
    </w:rPr>
  </w:style>
  <w:style w:type="character" w:customStyle="1" w:styleId="96">
    <w:name w:val="layui-layer-tabnow"/>
    <w:qFormat/>
    <w:uiPriority w:val="0"/>
    <w:rPr>
      <w:bdr w:val="single" w:color="CCCCCC" w:sz="4" w:space="0"/>
      <w:shd w:val="clear" w:color="auto" w:fill="FFFFFF"/>
    </w:rPr>
  </w:style>
  <w:style w:type="character" w:customStyle="1" w:styleId="97">
    <w:name w:val="short_text"/>
    <w:basedOn w:val="29"/>
    <w:qFormat/>
    <w:uiPriority w:val="0"/>
  </w:style>
  <w:style w:type="character" w:customStyle="1" w:styleId="98">
    <w:name w:val="页眉 Char"/>
    <w:link w:val="19"/>
    <w:qFormat/>
    <w:uiPriority w:val="99"/>
    <w:rPr>
      <w:rFonts w:eastAsia="宋体"/>
      <w:kern w:val="2"/>
      <w:sz w:val="18"/>
      <w:szCs w:val="18"/>
      <w:lang w:val="en-US" w:eastAsia="zh-CN" w:bidi="ar-SA"/>
    </w:rPr>
  </w:style>
  <w:style w:type="character" w:customStyle="1" w:styleId="99">
    <w:name w:val="Char Char Char1"/>
    <w:qFormat/>
    <w:uiPriority w:val="0"/>
    <w:rPr>
      <w:rFonts w:ascii="宋体" w:hAnsi="Courier New" w:eastAsia="宋体"/>
      <w:kern w:val="2"/>
      <w:sz w:val="21"/>
      <w:lang w:val="en-US" w:eastAsia="zh-CN" w:bidi="ar-SA"/>
    </w:rPr>
  </w:style>
  <w:style w:type="character" w:customStyle="1" w:styleId="100">
    <w:name w:val="正文文本缩进字符"/>
    <w:qFormat/>
    <w:locked/>
    <w:uiPriority w:val="0"/>
    <w:rPr>
      <w:rFonts w:ascii="宋体" w:hAnsi="Courier New"/>
      <w:spacing w:val="-4"/>
      <w:kern w:val="2"/>
      <w:sz w:val="18"/>
    </w:rPr>
  </w:style>
  <w:style w:type="paragraph" w:customStyle="1" w:styleId="101">
    <w:name w:val="WPSOffice手动目录 1"/>
    <w:qFormat/>
    <w:uiPriority w:val="0"/>
    <w:rPr>
      <w:rFonts w:ascii="Calibri" w:hAnsi="Calibri"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A47D55-AFFA-4351-A68A-BCF25FEC7DA9}">
  <ds:schemaRefs/>
</ds:datastoreItem>
</file>

<file path=docProps/app.xml><?xml version="1.0" encoding="utf-8"?>
<Properties xmlns="http://schemas.openxmlformats.org/officeDocument/2006/extended-properties" xmlns:vt="http://schemas.openxmlformats.org/officeDocument/2006/docPropsVTypes">
  <Template>Normal</Template>
  <Pages>59</Pages>
  <Words>6401</Words>
  <Characters>36486</Characters>
  <Lines>304</Lines>
  <Paragraphs>85</Paragraphs>
  <TotalTime>6</TotalTime>
  <ScaleCrop>false</ScaleCrop>
  <LinksUpToDate>false</LinksUpToDate>
  <CharactersWithSpaces>42802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2020-12-03T12:13:00Z</dcterms:created>
  <dc:creator>丁琳</dc:creator>
  <cp:lastModifiedBy>财神到</cp:lastModifiedBy>
  <cp:lastPrinted>2020-12-04T01:33:00Z</cp:lastPrinted>
  <dcterms:modified xsi:type="dcterms:W3CDTF">2020-12-14T04:34:06Z</dcterms:modified>
  <dc:title>南财采管〔2012〕3号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