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olor w:val="auto"/>
          <w:sz w:val="24"/>
          <w:szCs w:val="24"/>
          <w:highlight w:val="none"/>
          <w:vertAlign w:val="subscript"/>
          <w:lang w:val="en-US" w:eastAsia="zh-CN"/>
        </w:rPr>
      </w:pPr>
      <w:bookmarkStart w:id="134" w:name="_GoBack"/>
      <w:r>
        <w:rPr>
          <w:rFonts w:hint="eastAsia" w:ascii="宋体"/>
          <w:color w:val="auto"/>
          <w:sz w:val="24"/>
          <w:szCs w:val="24"/>
          <w:highlight w:val="none"/>
          <w:vertAlign w:val="subscript"/>
          <w:lang w:val="en-US" w:eastAsia="zh-CN"/>
        </w:rPr>
        <w:t xml:space="preserve">  </w:t>
      </w:r>
    </w:p>
    <w:p>
      <w:pPr>
        <w:jc w:val="center"/>
        <w:rPr>
          <w:rFonts w:ascii="宋体"/>
          <w:b/>
          <w:bCs/>
          <w:color w:val="auto"/>
          <w:sz w:val="76"/>
          <w:szCs w:val="76"/>
          <w:highlight w:val="none"/>
        </w:rPr>
      </w:pPr>
      <w:r>
        <w:rPr>
          <w:rFonts w:hint="eastAsia" w:ascii="宋体" w:hAnsi="宋体" w:cs="宋体"/>
          <w:b/>
          <w:bCs/>
          <w:color w:val="auto"/>
          <w:sz w:val="56"/>
          <w:szCs w:val="56"/>
          <w:highlight w:val="none"/>
        </w:rPr>
        <w:t>南宁政府采购服务</w:t>
      </w:r>
    </w:p>
    <w:p>
      <w:pPr>
        <w:jc w:val="center"/>
        <w:rPr>
          <w:rFonts w:ascii="宋体"/>
          <w:b/>
          <w:bCs/>
          <w:color w:val="auto"/>
          <w:sz w:val="58"/>
          <w:szCs w:val="58"/>
          <w:highlight w:val="none"/>
        </w:rPr>
      </w:pPr>
    </w:p>
    <w:p>
      <w:pPr>
        <w:jc w:val="center"/>
        <w:rPr>
          <w:rFonts w:ascii="宋体"/>
          <w:b/>
          <w:bCs/>
          <w:color w:val="auto"/>
          <w:sz w:val="84"/>
          <w:szCs w:val="84"/>
          <w:highlight w:val="none"/>
        </w:rPr>
      </w:pPr>
      <w:r>
        <w:rPr>
          <w:rFonts w:hint="eastAsia" w:ascii="宋体" w:hAnsi="宋体" w:cs="宋体"/>
          <w:b/>
          <w:bCs/>
          <w:color w:val="auto"/>
          <w:sz w:val="84"/>
          <w:szCs w:val="84"/>
          <w:highlight w:val="none"/>
        </w:rPr>
        <w:t>公开招标文件</w:t>
      </w:r>
    </w:p>
    <w:p>
      <w:pPr>
        <w:jc w:val="center"/>
        <w:rPr>
          <w:rFonts w:ascii="宋体"/>
          <w:b/>
          <w:bCs/>
          <w:color w:val="auto"/>
          <w:sz w:val="56"/>
          <w:szCs w:val="5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snapToGrid w:val="0"/>
        <w:ind w:firstLine="708" w:firstLineChars="196"/>
        <w:jc w:val="center"/>
        <w:rPr>
          <w:rFonts w:hAnsi="宋体" w:cs="Times New Roman"/>
          <w:b/>
          <w:bCs/>
          <w:color w:val="auto"/>
          <w:sz w:val="36"/>
          <w:szCs w:val="36"/>
          <w:highlight w:val="none"/>
        </w:rPr>
      </w:pPr>
    </w:p>
    <w:p>
      <w:pPr>
        <w:pStyle w:val="24"/>
        <w:tabs>
          <w:tab w:val="left" w:pos="5640"/>
        </w:tabs>
        <w:snapToGrid w:val="0"/>
        <w:spacing w:line="360" w:lineRule="auto"/>
        <w:ind w:firstLine="964" w:firstLineChars="400"/>
        <w:rPr>
          <w:rFonts w:hint="eastAsia" w:hAnsi="宋体" w:eastAsia="宋体"/>
          <w:b/>
          <w:bCs/>
          <w:color w:val="auto"/>
          <w:sz w:val="24"/>
          <w:szCs w:val="24"/>
          <w:highlight w:val="none"/>
          <w:lang w:eastAsia="zh-CN"/>
        </w:rPr>
      </w:pPr>
      <w:r>
        <w:rPr>
          <w:rFonts w:hint="eastAsia" w:hAnsi="宋体"/>
          <w:b/>
          <w:bCs/>
          <w:color w:val="auto"/>
          <w:sz w:val="24"/>
          <w:szCs w:val="24"/>
          <w:highlight w:val="none"/>
        </w:rPr>
        <w:t>项目名称：</w:t>
      </w:r>
      <w:r>
        <w:rPr>
          <w:rFonts w:hint="eastAsia" w:hAnsi="宋体"/>
          <w:b/>
          <w:bCs/>
          <w:color w:val="auto"/>
          <w:sz w:val="24"/>
          <w:szCs w:val="24"/>
          <w:highlight w:val="none"/>
          <w:u w:val="single"/>
          <w:lang w:eastAsia="zh-CN"/>
        </w:rPr>
        <w:t>智慧物价——南宁市价格监管平台系统工程标采购</w:t>
      </w:r>
    </w:p>
    <w:p>
      <w:pPr>
        <w:pStyle w:val="24"/>
        <w:tabs>
          <w:tab w:val="left" w:pos="5640"/>
        </w:tabs>
        <w:snapToGrid w:val="0"/>
        <w:spacing w:line="360" w:lineRule="auto"/>
        <w:ind w:firstLine="964" w:firstLineChars="400"/>
        <w:rPr>
          <w:rFonts w:hint="eastAsia" w:hAnsi="宋体" w:eastAsia="宋体"/>
          <w:b/>
          <w:bCs/>
          <w:color w:val="auto"/>
          <w:sz w:val="24"/>
          <w:szCs w:val="24"/>
          <w:highlight w:val="none"/>
          <w:u w:val="single"/>
          <w:lang w:eastAsia="zh-CN"/>
        </w:rPr>
      </w:pPr>
      <w:r>
        <w:rPr>
          <w:rFonts w:hint="eastAsia" w:hAnsi="宋体"/>
          <w:b/>
          <w:bCs/>
          <w:color w:val="auto"/>
          <w:sz w:val="24"/>
          <w:szCs w:val="24"/>
          <w:highlight w:val="none"/>
        </w:rPr>
        <w:t>项目编号</w:t>
      </w:r>
      <w:r>
        <w:rPr>
          <w:rFonts w:hint="eastAsia" w:hAnsi="宋体"/>
          <w:b/>
          <w:bCs/>
          <w:color w:val="auto"/>
          <w:sz w:val="24"/>
          <w:szCs w:val="24"/>
          <w:highlight w:val="none"/>
          <w:u w:val="none"/>
        </w:rPr>
        <w:t>：</w:t>
      </w:r>
      <w:r>
        <w:rPr>
          <w:rFonts w:hint="eastAsia" w:hAnsi="宋体"/>
          <w:b/>
          <w:bCs/>
          <w:color w:val="auto"/>
          <w:sz w:val="24"/>
          <w:szCs w:val="24"/>
          <w:highlight w:val="none"/>
          <w:u w:val="single"/>
          <w:lang w:eastAsia="zh-CN"/>
        </w:rPr>
        <w:t>NNZC2020-G3-990018-JGJD</w:t>
      </w:r>
    </w:p>
    <w:p>
      <w:pPr>
        <w:pStyle w:val="24"/>
        <w:snapToGrid w:val="0"/>
        <w:ind w:firstLine="670" w:firstLineChars="196"/>
        <w:jc w:val="center"/>
        <w:rPr>
          <w:rFonts w:hAnsi="宋体" w:cs="Times New Roman"/>
          <w:color w:val="auto"/>
          <w:w w:val="95"/>
          <w:sz w:val="36"/>
          <w:szCs w:val="36"/>
          <w:highlight w:val="none"/>
        </w:rPr>
      </w:pPr>
    </w:p>
    <w:p>
      <w:pPr>
        <w:pStyle w:val="24"/>
        <w:snapToGrid w:val="0"/>
        <w:ind w:firstLine="673" w:firstLineChars="196"/>
        <w:jc w:val="center"/>
        <w:rPr>
          <w:rFonts w:hAnsi="宋体" w:cs="Times New Roman"/>
          <w:b/>
          <w:bCs/>
          <w:color w:val="auto"/>
          <w:w w:val="95"/>
          <w:sz w:val="36"/>
          <w:szCs w:val="36"/>
          <w:highlight w:val="none"/>
        </w:rPr>
      </w:pPr>
    </w:p>
    <w:p>
      <w:pPr>
        <w:pStyle w:val="24"/>
        <w:snapToGrid w:val="0"/>
        <w:ind w:firstLine="673" w:firstLineChars="196"/>
        <w:jc w:val="center"/>
        <w:rPr>
          <w:rFonts w:hAnsi="宋体" w:cs="Times New Roman"/>
          <w:b/>
          <w:bCs/>
          <w:color w:val="auto"/>
          <w:w w:val="95"/>
          <w:sz w:val="36"/>
          <w:szCs w:val="36"/>
          <w:highlight w:val="none"/>
        </w:rPr>
      </w:pPr>
    </w:p>
    <w:p>
      <w:pPr>
        <w:pStyle w:val="24"/>
        <w:snapToGrid w:val="0"/>
        <w:spacing w:line="360" w:lineRule="auto"/>
        <w:ind w:firstLine="1068" w:firstLineChars="400"/>
        <w:jc w:val="left"/>
        <w:rPr>
          <w:rFonts w:hint="eastAsia" w:hAnsi="宋体" w:eastAsia="宋体" w:cs="Times New Roman"/>
          <w:b/>
          <w:bCs/>
          <w:color w:val="auto"/>
          <w:sz w:val="28"/>
          <w:szCs w:val="28"/>
          <w:highlight w:val="none"/>
          <w:u w:val="single"/>
          <w:lang w:eastAsia="zh-CN"/>
        </w:rPr>
      </w:pPr>
      <w:r>
        <w:rPr>
          <w:rFonts w:hint="eastAsia" w:hAnsi="宋体"/>
          <w:b/>
          <w:bCs/>
          <w:color w:val="auto"/>
          <w:w w:val="95"/>
          <w:sz w:val="28"/>
          <w:szCs w:val="28"/>
          <w:highlight w:val="none"/>
        </w:rPr>
        <w:t>采购单位：</w:t>
      </w:r>
      <w:r>
        <w:rPr>
          <w:rFonts w:hint="eastAsia" w:hAnsi="宋体"/>
          <w:b/>
          <w:bCs/>
          <w:color w:val="auto"/>
          <w:sz w:val="28"/>
          <w:szCs w:val="28"/>
          <w:highlight w:val="none"/>
          <w:u w:val="single"/>
          <w:lang w:eastAsia="zh-CN"/>
        </w:rPr>
        <w:t>南宁市经济信息中心</w:t>
      </w:r>
    </w:p>
    <w:p>
      <w:pPr>
        <w:pStyle w:val="24"/>
        <w:snapToGrid w:val="0"/>
        <w:spacing w:line="360" w:lineRule="auto"/>
        <w:ind w:firstLine="1068" w:firstLineChars="400"/>
        <w:jc w:val="left"/>
        <w:rPr>
          <w:rFonts w:hAnsi="宋体" w:cs="Times New Roman"/>
          <w:b/>
          <w:bCs/>
          <w:color w:val="auto"/>
          <w:sz w:val="28"/>
          <w:szCs w:val="28"/>
          <w:highlight w:val="none"/>
          <w:u w:val="single"/>
        </w:rPr>
      </w:pPr>
      <w:r>
        <w:rPr>
          <w:rFonts w:hint="eastAsia" w:hAnsi="宋体"/>
          <w:b/>
          <w:bCs/>
          <w:color w:val="auto"/>
          <w:w w:val="95"/>
          <w:sz w:val="28"/>
          <w:szCs w:val="28"/>
          <w:highlight w:val="none"/>
        </w:rPr>
        <w:t>代理机构：</w:t>
      </w:r>
      <w:r>
        <w:rPr>
          <w:rFonts w:hint="eastAsia" w:hAnsi="宋体"/>
          <w:b/>
          <w:bCs/>
          <w:color w:val="auto"/>
          <w:sz w:val="28"/>
          <w:szCs w:val="28"/>
          <w:highlight w:val="none"/>
          <w:u w:val="single"/>
        </w:rPr>
        <w:t>广西建设工程机电设备招标中心有限公司</w:t>
      </w:r>
    </w:p>
    <w:p>
      <w:pPr>
        <w:pStyle w:val="24"/>
        <w:snapToGrid w:val="0"/>
        <w:spacing w:line="360" w:lineRule="auto"/>
        <w:ind w:firstLine="3576" w:firstLineChars="1272"/>
        <w:rPr>
          <w:rFonts w:hint="eastAsia" w:hAnsi="宋体" w:eastAsia="宋体" w:cs="Times New Roman"/>
          <w:b/>
          <w:bCs/>
          <w:color w:val="auto"/>
          <w:w w:val="95"/>
          <w:sz w:val="28"/>
          <w:szCs w:val="28"/>
          <w:highlight w:val="none"/>
          <w:lang w:eastAsia="zh-CN"/>
        </w:rPr>
      </w:pPr>
      <w:r>
        <w:rPr>
          <w:rFonts w:hAnsi="宋体"/>
          <w:b/>
          <w:bCs/>
          <w:color w:val="auto"/>
          <w:sz w:val="28"/>
          <w:szCs w:val="28"/>
          <w:highlight w:val="none"/>
          <w:u w:val="single"/>
        </w:rPr>
        <w:t>2020</w:t>
      </w:r>
      <w:r>
        <w:rPr>
          <w:rFonts w:hint="eastAsia" w:hAnsi="宋体"/>
          <w:b/>
          <w:bCs/>
          <w:color w:val="auto"/>
          <w:w w:val="95"/>
          <w:sz w:val="28"/>
          <w:szCs w:val="28"/>
          <w:highlight w:val="none"/>
        </w:rPr>
        <w:t>年</w:t>
      </w:r>
      <w:r>
        <w:rPr>
          <w:rFonts w:hint="eastAsia" w:hAnsi="宋体"/>
          <w:b/>
          <w:bCs/>
          <w:color w:val="auto"/>
          <w:w w:val="95"/>
          <w:sz w:val="28"/>
          <w:szCs w:val="28"/>
          <w:highlight w:val="none"/>
          <w:u w:val="single"/>
          <w:lang w:val="en-US" w:eastAsia="zh-CN"/>
        </w:rPr>
        <w:t xml:space="preserve"> 9 </w:t>
      </w:r>
      <w:r>
        <w:rPr>
          <w:rFonts w:hint="eastAsia" w:hAnsi="宋体"/>
          <w:b/>
          <w:bCs/>
          <w:color w:val="auto"/>
          <w:w w:val="95"/>
          <w:sz w:val="28"/>
          <w:szCs w:val="28"/>
          <w:highlight w:val="none"/>
        </w:rPr>
        <w:t>月</w:t>
      </w:r>
      <w:r>
        <w:rPr>
          <w:rFonts w:hint="eastAsia" w:hAnsi="宋体"/>
          <w:b/>
          <w:bCs/>
          <w:color w:val="auto"/>
          <w:w w:val="95"/>
          <w:sz w:val="28"/>
          <w:szCs w:val="28"/>
          <w:highlight w:val="none"/>
          <w:u w:val="single"/>
          <w:lang w:val="en-US" w:eastAsia="zh-CN"/>
        </w:rPr>
        <w:t xml:space="preserve"> 18 </w:t>
      </w:r>
      <w:r>
        <w:rPr>
          <w:rFonts w:hint="eastAsia" w:hAnsi="宋体"/>
          <w:b/>
          <w:bCs/>
          <w:color w:val="auto"/>
          <w:w w:val="95"/>
          <w:sz w:val="28"/>
          <w:szCs w:val="28"/>
          <w:highlight w:val="none"/>
          <w:lang w:eastAsia="zh-CN"/>
        </w:rPr>
        <w:t>日</w:t>
      </w:r>
    </w:p>
    <w:p>
      <w:pPr>
        <w:pStyle w:val="24"/>
        <w:snapToGrid w:val="0"/>
        <w:rPr>
          <w:rFonts w:hAnsi="宋体" w:cs="Times New Roman"/>
          <w:b/>
          <w:bCs/>
          <w:color w:val="auto"/>
          <w:sz w:val="28"/>
          <w:szCs w:val="28"/>
          <w:highlight w:val="none"/>
        </w:rPr>
      </w:pPr>
    </w:p>
    <w:p>
      <w:pPr>
        <w:rPr>
          <w:color w:val="auto"/>
          <w:highlight w:val="none"/>
        </w:rPr>
      </w:pPr>
    </w:p>
    <w:p>
      <w:pPr>
        <w:rPr>
          <w:color w:val="auto"/>
          <w:highlight w:val="none"/>
        </w:rPr>
      </w:pPr>
    </w:p>
    <w:p>
      <w:pPr>
        <w:rPr>
          <w:color w:val="auto"/>
          <w:highlight w:val="none"/>
        </w:rPr>
      </w:pPr>
    </w:p>
    <w:p>
      <w:pPr>
        <w:pStyle w:val="28"/>
        <w:framePr w:wrap="around" w:vAnchor="text" w:hAnchor="page" w:x="9837" w:y="1"/>
        <w:rPr>
          <w:rStyle w:val="39"/>
          <w:rFonts w:ascii="仿宋" w:hAnsi="仿宋" w:eastAsia="仿宋"/>
          <w:color w:val="auto"/>
          <w:sz w:val="28"/>
          <w:szCs w:val="28"/>
          <w:highlight w:val="none"/>
        </w:rPr>
      </w:pPr>
    </w:p>
    <w:p>
      <w:pPr>
        <w:pStyle w:val="24"/>
        <w:snapToGrid w:val="0"/>
        <w:jc w:val="right"/>
        <w:rPr>
          <w:rFonts w:cs="Times New Roman"/>
          <w:color w:val="auto"/>
          <w:highlight w:val="none"/>
        </w:rPr>
      </w:pPr>
    </w:p>
    <w:p>
      <w:pPr>
        <w:pStyle w:val="24"/>
        <w:snapToGrid w:val="0"/>
        <w:rPr>
          <w:rFonts w:hAnsi="宋体"/>
          <w:b/>
          <w:bCs/>
          <w:color w:val="auto"/>
          <w:sz w:val="28"/>
          <w:szCs w:val="28"/>
          <w:highlight w:val="none"/>
        </w:rPr>
      </w:pPr>
    </w:p>
    <w:p>
      <w:pPr>
        <w:pStyle w:val="24"/>
        <w:snapToGrid w:val="0"/>
        <w:rPr>
          <w:rFonts w:hAnsi="宋体"/>
          <w:b/>
          <w:bCs/>
          <w:color w:val="auto"/>
          <w:sz w:val="28"/>
          <w:szCs w:val="28"/>
          <w:highlight w:val="none"/>
        </w:rPr>
      </w:pPr>
    </w:p>
    <w:p>
      <w:pPr>
        <w:rPr>
          <w:rFonts w:ascii="宋体"/>
          <w:b/>
          <w:bCs/>
          <w:color w:val="auto"/>
          <w:sz w:val="44"/>
          <w:szCs w:val="44"/>
          <w:highlight w:val="none"/>
        </w:rPr>
      </w:pPr>
    </w:p>
    <w:p>
      <w:pPr>
        <w:pStyle w:val="24"/>
        <w:snapToGrid w:val="0"/>
        <w:ind w:right="140"/>
        <w:jc w:val="center"/>
        <w:rPr>
          <w:rFonts w:hAnsi="宋体" w:cs="Times New Roman"/>
          <w:b/>
          <w:bCs/>
          <w:color w:val="auto"/>
          <w:sz w:val="44"/>
          <w:szCs w:val="44"/>
          <w:highlight w:val="none"/>
        </w:rPr>
      </w:pPr>
      <w:r>
        <w:rPr>
          <w:rFonts w:hint="eastAsia" w:hAnsi="宋体"/>
          <w:b/>
          <w:bCs/>
          <w:color w:val="auto"/>
          <w:sz w:val="44"/>
          <w:szCs w:val="44"/>
          <w:highlight w:val="none"/>
        </w:rPr>
        <w:t>目录</w:t>
      </w:r>
    </w:p>
    <w:p>
      <w:pPr>
        <w:pStyle w:val="30"/>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"_Toc31691" </w:instrText>
      </w:r>
      <w:r>
        <w:rPr>
          <w:color w:val="auto"/>
          <w:highlight w:val="none"/>
        </w:rPr>
        <w:fldChar w:fldCharType="separate"/>
      </w:r>
      <w:r>
        <w:rPr>
          <w:rFonts w:hint="eastAsia"/>
          <w:color w:val="auto"/>
          <w:szCs w:val="44"/>
          <w:highlight w:val="none"/>
        </w:rPr>
        <w:t>第一章公开招标公告</w:t>
      </w:r>
      <w:r>
        <w:rPr>
          <w:color w:val="auto"/>
          <w:highlight w:val="none"/>
        </w:rPr>
        <w:tab/>
      </w:r>
      <w:r>
        <w:rPr>
          <w:color w:val="auto"/>
          <w:highlight w:val="none"/>
        </w:rPr>
        <w:fldChar w:fldCharType="begin"/>
      </w:r>
      <w:r>
        <w:rPr>
          <w:color w:val="auto"/>
          <w:highlight w:val="none"/>
        </w:rPr>
        <w:instrText xml:space="preserve"> PAGEREF _Toc31691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"_Toc6659" </w:instrText>
      </w:r>
      <w:r>
        <w:rPr>
          <w:color w:val="auto"/>
          <w:highlight w:val="none"/>
        </w:rPr>
        <w:fldChar w:fldCharType="separate"/>
      </w:r>
      <w:r>
        <w:rPr>
          <w:rFonts w:hint="eastAsia"/>
          <w:color w:val="auto"/>
          <w:szCs w:val="44"/>
          <w:highlight w:val="none"/>
        </w:rPr>
        <w:t>第二章招标项目采购需求</w:t>
      </w:r>
      <w:r>
        <w:rPr>
          <w:color w:val="auto"/>
          <w:highlight w:val="none"/>
        </w:rPr>
        <w:tab/>
      </w:r>
      <w:r>
        <w:rPr>
          <w:color w:val="auto"/>
          <w:highlight w:val="none"/>
        </w:rPr>
        <w:fldChar w:fldCharType="begin"/>
      </w:r>
      <w:r>
        <w:rPr>
          <w:color w:val="auto"/>
          <w:highlight w:val="none"/>
        </w:rPr>
        <w:instrText xml:space="preserve"> PAGEREF _Toc6659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"_Toc20956" </w:instrText>
      </w:r>
      <w:r>
        <w:rPr>
          <w:color w:val="auto"/>
          <w:highlight w:val="none"/>
        </w:rPr>
        <w:fldChar w:fldCharType="separate"/>
      </w:r>
      <w:r>
        <w:rPr>
          <w:rFonts w:hint="eastAsia"/>
          <w:color w:val="auto"/>
          <w:szCs w:val="44"/>
          <w:highlight w:val="none"/>
        </w:rPr>
        <w:t>第三章投标人须知</w:t>
      </w:r>
      <w:r>
        <w:rPr>
          <w:color w:val="auto"/>
          <w:highlight w:val="none"/>
        </w:rPr>
        <w:tab/>
      </w:r>
      <w:r>
        <w:rPr>
          <w:color w:val="auto"/>
          <w:highlight w:val="none"/>
        </w:rPr>
        <w:fldChar w:fldCharType="begin"/>
      </w:r>
      <w:r>
        <w:rPr>
          <w:color w:val="auto"/>
          <w:highlight w:val="none"/>
        </w:rPr>
        <w:instrText xml:space="preserve"> PAGEREF _Toc20956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30"/>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"_Toc26858" </w:instrText>
      </w:r>
      <w:r>
        <w:rPr>
          <w:color w:val="auto"/>
          <w:highlight w:val="none"/>
        </w:rPr>
        <w:fldChar w:fldCharType="separate"/>
      </w:r>
      <w:r>
        <w:rPr>
          <w:rFonts w:hint="eastAsia"/>
          <w:color w:val="auto"/>
          <w:szCs w:val="44"/>
          <w:highlight w:val="none"/>
        </w:rPr>
        <w:t>第四章评标办法及评分标准</w:t>
      </w:r>
      <w:r>
        <w:rPr>
          <w:color w:val="auto"/>
          <w:highlight w:val="none"/>
        </w:rPr>
        <w:tab/>
      </w:r>
      <w:r>
        <w:rPr>
          <w:color w:val="auto"/>
          <w:highlight w:val="none"/>
        </w:rPr>
        <w:fldChar w:fldCharType="begin"/>
      </w:r>
      <w:r>
        <w:rPr>
          <w:color w:val="auto"/>
          <w:highlight w:val="none"/>
        </w:rPr>
        <w:instrText xml:space="preserve"> PAGEREF _Toc26858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0"/>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"_Toc31377" </w:instrText>
      </w:r>
      <w:r>
        <w:rPr>
          <w:color w:val="auto"/>
          <w:highlight w:val="none"/>
        </w:rPr>
        <w:fldChar w:fldCharType="separate"/>
      </w:r>
      <w:r>
        <w:rPr>
          <w:rFonts w:hint="eastAsia"/>
          <w:color w:val="auto"/>
          <w:szCs w:val="44"/>
          <w:highlight w:val="none"/>
        </w:rPr>
        <w:t>第五章合同主要条款格式</w:t>
      </w:r>
      <w:r>
        <w:rPr>
          <w:color w:val="auto"/>
          <w:highlight w:val="none"/>
        </w:rPr>
        <w:tab/>
      </w:r>
      <w:r>
        <w:rPr>
          <w:color w:val="auto"/>
          <w:highlight w:val="none"/>
        </w:rPr>
        <w:fldChar w:fldCharType="begin"/>
      </w:r>
      <w:r>
        <w:rPr>
          <w:color w:val="auto"/>
          <w:highlight w:val="none"/>
        </w:rPr>
        <w:instrText xml:space="preserve"> PAGEREF _Toc31377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30"/>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"_Toc26296" </w:instrText>
      </w:r>
      <w:r>
        <w:rPr>
          <w:color w:val="auto"/>
          <w:highlight w:val="none"/>
        </w:rPr>
        <w:fldChar w:fldCharType="separate"/>
      </w:r>
      <w:r>
        <w:rPr>
          <w:rFonts w:hint="eastAsia"/>
          <w:color w:val="auto"/>
          <w:szCs w:val="44"/>
          <w:highlight w:val="none"/>
        </w:rPr>
        <w:t>第六章投标文件格式</w:t>
      </w:r>
      <w:r>
        <w:rPr>
          <w:color w:val="auto"/>
          <w:highlight w:val="none"/>
        </w:rPr>
        <w:tab/>
      </w:r>
      <w:r>
        <w:rPr>
          <w:color w:val="auto"/>
          <w:highlight w:val="none"/>
        </w:rPr>
        <w:fldChar w:fldCharType="begin"/>
      </w:r>
      <w:r>
        <w:rPr>
          <w:color w:val="auto"/>
          <w:highlight w:val="none"/>
        </w:rPr>
        <w:instrText xml:space="preserve"> PAGEREF _Toc26296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0"/>
        <w:tabs>
          <w:tab w:val="right" w:leader="dot" w:pos="8997"/>
          <w:tab w:val="clear" w:pos="8398"/>
        </w:tabs>
        <w:ind w:firstLine="241"/>
        <w:rPr>
          <w:color w:val="auto"/>
          <w:highlight w:val="none"/>
        </w:rPr>
      </w:pPr>
      <w:r>
        <w:rPr>
          <w:color w:val="auto"/>
          <w:highlight w:val="none"/>
        </w:rPr>
        <w:fldChar w:fldCharType="begin"/>
      </w:r>
      <w:r>
        <w:rPr>
          <w:color w:val="auto"/>
          <w:highlight w:val="none"/>
        </w:rPr>
        <w:instrText xml:space="preserve"> HYPERLINK \l "_Toc27844" </w:instrText>
      </w:r>
      <w:r>
        <w:rPr>
          <w:color w:val="auto"/>
          <w:highlight w:val="none"/>
        </w:rPr>
        <w:fldChar w:fldCharType="separate"/>
      </w:r>
      <w:r>
        <w:rPr>
          <w:rFonts w:hint="eastAsia"/>
          <w:color w:val="auto"/>
          <w:highlight w:val="none"/>
        </w:rPr>
        <w:t>中标通知书</w:t>
      </w:r>
      <w:r>
        <w:rPr>
          <w:color w:val="auto"/>
          <w:highlight w:val="none"/>
        </w:rPr>
        <w:tab/>
      </w:r>
      <w:r>
        <w:rPr>
          <w:color w:val="auto"/>
          <w:highlight w:val="none"/>
        </w:rPr>
        <w:fldChar w:fldCharType="begin"/>
      </w:r>
      <w:r>
        <w:rPr>
          <w:color w:val="auto"/>
          <w:highlight w:val="none"/>
        </w:rPr>
        <w:instrText xml:space="preserve"> PAGEREF _Toc27844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30"/>
        <w:spacing w:line="480" w:lineRule="auto"/>
        <w:ind w:firstLine="241"/>
        <w:rPr>
          <w:color w:val="auto"/>
          <w:highlight w:val="none"/>
        </w:rPr>
      </w:pPr>
      <w:r>
        <w:rPr>
          <w:color w:val="auto"/>
          <w:highlight w:val="none"/>
        </w:rPr>
        <w:fldChar w:fldCharType="end"/>
      </w: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rPr>
          <w:rFonts w:ascii="宋体"/>
          <w:color w:val="auto"/>
          <w:sz w:val="30"/>
          <w:szCs w:val="30"/>
          <w:highlight w:val="none"/>
        </w:rPr>
      </w:pPr>
    </w:p>
    <w:p>
      <w:pPr>
        <w:pStyle w:val="24"/>
        <w:snapToGrid w:val="0"/>
        <w:jc w:val="center"/>
        <w:outlineLvl w:val="0"/>
        <w:rPr>
          <w:rFonts w:hAnsi="宋体" w:cs="Times New Roman"/>
          <w:color w:val="auto"/>
          <w:highlight w:val="none"/>
        </w:rPr>
      </w:pPr>
      <w:bookmarkStart w:id="0" w:name="_Toc254970489"/>
      <w:bookmarkStart w:id="1" w:name="_Toc254970630"/>
      <w:r>
        <w:rPr>
          <w:rFonts w:hAnsi="宋体" w:cs="Times New Roman"/>
          <w:color w:val="auto"/>
          <w:highlight w:val="none"/>
        </w:rPr>
        <w:br w:type="page"/>
      </w: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color w:val="auto"/>
          <w:highlight w:val="none"/>
        </w:rPr>
      </w:pPr>
    </w:p>
    <w:p>
      <w:pPr>
        <w:pStyle w:val="24"/>
        <w:snapToGrid w:val="0"/>
        <w:jc w:val="center"/>
        <w:outlineLvl w:val="0"/>
        <w:rPr>
          <w:rFonts w:hAnsi="宋体" w:cs="Times New Roman"/>
          <w:b/>
          <w:bCs/>
          <w:color w:val="auto"/>
          <w:sz w:val="44"/>
          <w:szCs w:val="44"/>
          <w:highlight w:val="none"/>
        </w:rPr>
      </w:pPr>
      <w:bookmarkStart w:id="2" w:name="_Toc31691"/>
      <w:bookmarkStart w:id="3" w:name="_Toc30585"/>
      <w:r>
        <w:rPr>
          <w:rFonts w:hint="eastAsia" w:hAnsi="宋体"/>
          <w:b/>
          <w:bCs/>
          <w:color w:val="auto"/>
          <w:sz w:val="44"/>
          <w:szCs w:val="44"/>
          <w:highlight w:val="none"/>
        </w:rPr>
        <w:t>第一章公开招标公告</w:t>
      </w:r>
      <w:bookmarkEnd w:id="0"/>
      <w:bookmarkEnd w:id="1"/>
      <w:bookmarkEnd w:id="2"/>
      <w:bookmarkEnd w:id="3"/>
    </w:p>
    <w:p>
      <w:pPr>
        <w:overflowPunct w:val="0"/>
        <w:autoSpaceDE w:val="0"/>
        <w:autoSpaceDN w:val="0"/>
        <w:adjustRightInd w:val="0"/>
        <w:spacing w:line="400" w:lineRule="exact"/>
        <w:ind w:firstLine="420" w:firstLineChars="200"/>
        <w:jc w:val="center"/>
        <w:rPr>
          <w:rFonts w:ascii="宋体"/>
          <w:b/>
          <w:bCs/>
          <w:color w:val="auto"/>
          <w:spacing w:val="-6"/>
          <w:sz w:val="30"/>
          <w:szCs w:val="30"/>
          <w:highlight w:val="none"/>
        </w:rPr>
      </w:pPr>
      <w:r>
        <w:rPr>
          <w:rFonts w:ascii="宋体"/>
          <w:color w:val="auto"/>
          <w:highlight w:val="none"/>
        </w:rPr>
        <w:br w:type="page"/>
      </w:r>
      <w:r>
        <w:rPr>
          <w:rFonts w:hint="eastAsia" w:ascii="宋体" w:hAnsi="宋体" w:cs="宋体"/>
          <w:b/>
          <w:bCs/>
          <w:color w:val="auto"/>
          <w:spacing w:val="-6"/>
          <w:sz w:val="30"/>
          <w:szCs w:val="30"/>
          <w:highlight w:val="none"/>
        </w:rPr>
        <w:t>广西建设工程机电设备招标中心有限公司</w:t>
      </w:r>
    </w:p>
    <w:p>
      <w:pPr>
        <w:overflowPunct w:val="0"/>
        <w:autoSpaceDE w:val="0"/>
        <w:autoSpaceDN w:val="0"/>
        <w:adjustRightInd w:val="0"/>
        <w:spacing w:line="400" w:lineRule="exact"/>
        <w:jc w:val="center"/>
        <w:rPr>
          <w:rFonts w:ascii="宋体"/>
          <w:b/>
          <w:bCs/>
          <w:color w:val="auto"/>
          <w:spacing w:val="-6"/>
          <w:sz w:val="30"/>
          <w:szCs w:val="30"/>
          <w:highlight w:val="none"/>
        </w:rPr>
      </w:pPr>
      <w:r>
        <w:rPr>
          <w:rFonts w:hint="eastAsia" w:ascii="宋体" w:hAnsi="宋体" w:cs="宋体"/>
          <w:b/>
          <w:bCs/>
          <w:color w:val="auto"/>
          <w:spacing w:val="-6"/>
          <w:sz w:val="30"/>
          <w:szCs w:val="30"/>
          <w:highlight w:val="none"/>
          <w:lang w:eastAsia="zh-CN"/>
        </w:rPr>
        <w:t>智慧物价——南宁市价格监管平台系统工程标采购</w:t>
      </w:r>
      <w:r>
        <w:rPr>
          <w:rFonts w:hint="eastAsia" w:ascii="宋体" w:hAnsi="宋体" w:cs="宋体"/>
          <w:b/>
          <w:bCs/>
          <w:color w:val="auto"/>
          <w:spacing w:val="-6"/>
          <w:sz w:val="30"/>
          <w:szCs w:val="30"/>
          <w:highlight w:val="none"/>
          <w:lang w:val="en-US" w:eastAsia="zh-CN"/>
        </w:rPr>
        <w:t xml:space="preserve">                   </w:t>
      </w:r>
      <w:r>
        <w:rPr>
          <w:rFonts w:hint="eastAsia" w:ascii="宋体" w:hAnsi="宋体" w:cs="宋体"/>
          <w:b/>
          <w:bCs/>
          <w:color w:val="auto"/>
          <w:spacing w:val="-6"/>
          <w:sz w:val="30"/>
          <w:szCs w:val="30"/>
          <w:highlight w:val="none"/>
        </w:rPr>
        <w:t>（</w:t>
      </w:r>
      <w:r>
        <w:rPr>
          <w:rFonts w:hint="eastAsia" w:ascii="宋体" w:hAnsi="宋体" w:cs="宋体"/>
          <w:b/>
          <w:bCs/>
          <w:color w:val="auto"/>
          <w:spacing w:val="-6"/>
          <w:sz w:val="30"/>
          <w:szCs w:val="30"/>
          <w:highlight w:val="none"/>
          <w:lang w:eastAsia="zh-CN"/>
        </w:rPr>
        <w:t>NNZC2020-G3-990018-JGJD</w:t>
      </w:r>
      <w:r>
        <w:rPr>
          <w:rFonts w:hint="eastAsia" w:ascii="宋体" w:hAnsi="宋体" w:cs="宋体"/>
          <w:b/>
          <w:bCs/>
          <w:color w:val="auto"/>
          <w:spacing w:val="-6"/>
          <w:sz w:val="30"/>
          <w:szCs w:val="30"/>
          <w:highlight w:val="none"/>
        </w:rPr>
        <w:t>）</w:t>
      </w:r>
    </w:p>
    <w:p>
      <w:pPr>
        <w:overflowPunct w:val="0"/>
        <w:autoSpaceDE w:val="0"/>
        <w:autoSpaceDN w:val="0"/>
        <w:adjustRightInd w:val="0"/>
        <w:spacing w:line="240" w:lineRule="auto"/>
        <w:jc w:val="center"/>
        <w:rPr>
          <w:rFonts w:ascii="宋体"/>
          <w:b/>
          <w:bCs/>
          <w:color w:val="auto"/>
          <w:spacing w:val="-6"/>
          <w:sz w:val="30"/>
          <w:szCs w:val="30"/>
          <w:highlight w:val="none"/>
        </w:rPr>
      </w:pPr>
      <w:r>
        <w:rPr>
          <w:rFonts w:hint="eastAsia" w:ascii="宋体" w:hAnsi="宋体" w:cs="宋体"/>
          <w:b/>
          <w:bCs/>
          <w:color w:val="auto"/>
          <w:spacing w:val="-6"/>
          <w:sz w:val="30"/>
          <w:szCs w:val="30"/>
          <w:highlight w:val="none"/>
        </w:rPr>
        <w:t>公开招标公告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智慧物价——南宁市价格监管平台系统工程标采购</w:t>
      </w:r>
      <w:r>
        <w:rPr>
          <w:rFonts w:hint="eastAsia" w:ascii="宋体" w:hAnsi="宋体" w:cs="宋体"/>
          <w:color w:val="auto"/>
          <w:sz w:val="24"/>
          <w:highlight w:val="none"/>
        </w:rPr>
        <w:t>采购项目的潜在投标人应</w:t>
      </w:r>
      <w:r>
        <w:rPr>
          <w:rFonts w:hint="eastAsia" w:ascii="宋体" w:hAnsi="宋体" w:cs="宋体"/>
          <w:color w:val="auto"/>
          <w:sz w:val="24"/>
          <w:highlight w:val="none"/>
          <w:u w:val="single"/>
        </w:rPr>
        <w:t>登陆南宁市公共资源交易中心网站（网址：</w:t>
      </w: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HYPERLINK "http://www.nnggzy.org.cn），在南宁市公共资源交易中心的采购公告栏内查找相关项目的采购公告，并点击该</w:instrText>
      </w:r>
      <w:r>
        <w:rPr>
          <w:rFonts w:hint="eastAsia" w:ascii="宋体" w:hAnsi="宋体" w:cs="宋体"/>
          <w:color w:val="auto"/>
          <w:sz w:val="24"/>
          <w:highlight w:val="none"/>
        </w:rPr>
        <w:instrText xml:space="preserve">公告的附件，即可免费浏览或下载项目的采购文件，并于2020年" </w:instrText>
      </w:r>
      <w:r>
        <w:rPr>
          <w:rFonts w:hint="eastAsia" w:ascii="宋体" w:hAnsi="宋体" w:cs="宋体"/>
          <w:color w:val="auto"/>
          <w:sz w:val="24"/>
          <w:highlight w:val="none"/>
        </w:rPr>
        <w:fldChar w:fldCharType="separate"/>
      </w:r>
      <w:r>
        <w:rPr>
          <w:rStyle w:val="41"/>
          <w:rFonts w:hint="eastAsia" w:ascii="宋体" w:hAnsi="宋体" w:cs="宋体"/>
          <w:color w:val="auto"/>
          <w:sz w:val="24"/>
          <w:highlight w:val="none"/>
        </w:rPr>
        <w:t>www.nnggzy.org.cn），在南宁市公共资源交易中心的采购公告栏内查找相关项目的采购公告，并点击该公告的附件，即可免费浏览或下载项目的采购文件，并于</w:t>
      </w:r>
      <w:r>
        <w:rPr>
          <w:rStyle w:val="41"/>
          <w:rFonts w:hint="eastAsia" w:ascii="宋体" w:hAnsi="宋体" w:cs="宋体"/>
          <w:bCs/>
          <w:color w:val="auto"/>
          <w:sz w:val="24"/>
          <w:highlight w:val="none"/>
        </w:rPr>
        <w:t>年</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bCs/>
          <w:color w:val="auto"/>
          <w:sz w:val="24"/>
          <w:highlight w:val="none"/>
          <w:u w:val="single"/>
        </w:rPr>
        <w:t>9点30分</w:t>
      </w:r>
      <w:r>
        <w:rPr>
          <w:rFonts w:hint="eastAsia" w:ascii="宋体" w:hAnsi="宋体" w:cs="宋体"/>
          <w:bCs/>
          <w:color w:val="auto"/>
          <w:sz w:val="24"/>
          <w:highlight w:val="none"/>
        </w:rPr>
        <w:t>（</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4"/>
        <w:spacing w:line="240" w:lineRule="auto"/>
        <w:rPr>
          <w:rFonts w:ascii="宋体" w:hAnsi="宋体" w:cs="宋体"/>
          <w:bCs w:val="0"/>
          <w:color w:val="auto"/>
          <w:sz w:val="24"/>
          <w:szCs w:val="24"/>
          <w:highlight w:val="none"/>
        </w:rPr>
      </w:pPr>
      <w:bookmarkStart w:id="4" w:name="_Toc28359089"/>
      <w:bookmarkStart w:id="5" w:name="_Toc35393798"/>
      <w:bookmarkStart w:id="6" w:name="_Toc35393629"/>
      <w:bookmarkStart w:id="7" w:name="_Toc28359012"/>
      <w:r>
        <w:rPr>
          <w:rFonts w:hint="eastAsia" w:ascii="宋体" w:hAnsi="宋体" w:cs="宋体"/>
          <w:bCs w:val="0"/>
          <w:color w:val="auto"/>
          <w:sz w:val="24"/>
          <w:szCs w:val="24"/>
          <w:highlight w:val="none"/>
        </w:rPr>
        <w:t>一、项目基本情况</w:t>
      </w:r>
      <w:bookmarkEnd w:id="4"/>
      <w:bookmarkEnd w:id="5"/>
      <w:bookmarkEnd w:id="6"/>
      <w:bookmarkEnd w:id="7"/>
    </w:p>
    <w:p>
      <w:pPr>
        <w:spacing w:line="24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bCs/>
          <w:color w:val="auto"/>
          <w:sz w:val="24"/>
          <w:highlight w:val="none"/>
          <w:lang w:eastAsia="zh-CN"/>
        </w:rPr>
        <w:t>NNZC2020-G3-990018-JGJD</w:t>
      </w:r>
    </w:p>
    <w:p>
      <w:pPr>
        <w:spacing w:line="24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政府采购计划编号：[2020]NCCJA074    </w:t>
      </w:r>
    </w:p>
    <w:p>
      <w:pPr>
        <w:spacing w:line="24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智慧物价——南宁市价格监管平台系统工程标采购</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238.24万</w:t>
      </w:r>
      <w:r>
        <w:rPr>
          <w:rFonts w:hint="eastAsia" w:ascii="宋体" w:hAnsi="宋体" w:cs="宋体"/>
          <w:color w:val="auto"/>
          <w:sz w:val="24"/>
          <w:highlight w:val="none"/>
        </w:rPr>
        <w:t>元整</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238.24万</w:t>
      </w:r>
      <w:r>
        <w:rPr>
          <w:rFonts w:hint="eastAsia" w:ascii="宋体" w:hAnsi="宋体" w:cs="宋体"/>
          <w:color w:val="auto"/>
          <w:sz w:val="24"/>
          <w:highlight w:val="none"/>
        </w:rPr>
        <w:t>元整</w:t>
      </w:r>
    </w:p>
    <w:p>
      <w:pPr>
        <w:spacing w:line="24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采购需求：</w:t>
      </w:r>
      <w:r>
        <w:rPr>
          <w:rFonts w:hint="eastAsia" w:ascii="宋体" w:hAnsi="宋体"/>
          <w:color w:val="auto"/>
          <w:sz w:val="24"/>
          <w:highlight w:val="none"/>
          <w:lang w:eastAsia="zh-CN"/>
        </w:rPr>
        <w:t>智慧物价——南宁市价格监管平台系统工程标采购</w:t>
      </w:r>
      <w:r>
        <w:rPr>
          <w:rFonts w:hint="eastAsia" w:ascii="宋体" w:hAnsi="宋体"/>
          <w:color w:val="auto"/>
          <w:sz w:val="24"/>
          <w:highlight w:val="none"/>
        </w:rPr>
        <w:t xml:space="preserve">。 </w:t>
      </w:r>
    </w:p>
    <w:p>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一</w:t>
      </w:r>
      <w:r>
        <w:rPr>
          <w:rFonts w:hint="eastAsia" w:ascii="宋体" w:hAnsi="宋体"/>
          <w:color w:val="auto"/>
          <w:sz w:val="24"/>
          <w:highlight w:val="none"/>
          <w:lang w:eastAsia="zh-CN"/>
        </w:rPr>
        <w:t>）</w:t>
      </w:r>
      <w:r>
        <w:rPr>
          <w:rFonts w:hint="eastAsia" w:ascii="宋体" w:hAnsi="宋体"/>
          <w:color w:val="auto"/>
          <w:sz w:val="24"/>
          <w:highlight w:val="none"/>
        </w:rPr>
        <w:t>价格监管平台</w:t>
      </w:r>
    </w:p>
    <w:p>
      <w:pPr>
        <w:pStyle w:val="2"/>
        <w:spacing w:line="240" w:lineRule="auto"/>
        <w:ind w:firstLine="480" w:firstLineChars="200"/>
        <w:rPr>
          <w:rFonts w:hint="eastAsia" w:eastAsia="宋体"/>
          <w:color w:val="auto"/>
          <w:highlight w:val="none"/>
          <w:lang w:eastAsia="zh-CN"/>
        </w:rPr>
      </w:pPr>
      <w:r>
        <w:rPr>
          <w:rFonts w:hint="eastAsia"/>
          <w:color w:val="auto"/>
          <w:highlight w:val="none"/>
        </w:rPr>
        <w:t>1</w:t>
      </w:r>
      <w:r>
        <w:rPr>
          <w:rFonts w:hint="eastAsia"/>
          <w:color w:val="auto"/>
          <w:highlight w:val="none"/>
          <w:lang w:eastAsia="zh-CN"/>
        </w:rPr>
        <w:t>、</w:t>
      </w:r>
      <w:r>
        <w:rPr>
          <w:rFonts w:hint="eastAsia"/>
          <w:color w:val="auto"/>
          <w:highlight w:val="none"/>
        </w:rPr>
        <w:t>互联网数据采集系统</w:t>
      </w: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农本调查系统</w:t>
      </w:r>
      <w:r>
        <w:rPr>
          <w:rFonts w:hint="eastAsia"/>
          <w:color w:val="auto"/>
          <w:highlight w:val="none"/>
          <w:lang w:eastAsia="zh-CN"/>
        </w:rPr>
        <w:t>；</w:t>
      </w:r>
      <w:r>
        <w:rPr>
          <w:rFonts w:hint="eastAsia"/>
          <w:color w:val="auto"/>
          <w:highlight w:val="none"/>
        </w:rPr>
        <w:t>3</w:t>
      </w:r>
      <w:r>
        <w:rPr>
          <w:rFonts w:hint="eastAsia"/>
          <w:color w:val="auto"/>
          <w:highlight w:val="none"/>
          <w:lang w:eastAsia="zh-CN"/>
        </w:rPr>
        <w:t>、</w:t>
      </w:r>
      <w:r>
        <w:rPr>
          <w:rFonts w:hint="eastAsia"/>
          <w:color w:val="auto"/>
          <w:highlight w:val="none"/>
        </w:rPr>
        <w:t>价格监测预警系统</w:t>
      </w:r>
      <w:r>
        <w:rPr>
          <w:rFonts w:hint="eastAsia"/>
          <w:color w:val="auto"/>
          <w:highlight w:val="none"/>
          <w:lang w:eastAsia="zh-CN"/>
        </w:rPr>
        <w:t>；</w:t>
      </w:r>
      <w:r>
        <w:rPr>
          <w:rFonts w:hint="eastAsia"/>
          <w:color w:val="auto"/>
          <w:highlight w:val="none"/>
        </w:rPr>
        <w:t>4</w:t>
      </w:r>
      <w:r>
        <w:rPr>
          <w:rFonts w:hint="eastAsia"/>
          <w:color w:val="auto"/>
          <w:highlight w:val="none"/>
          <w:lang w:eastAsia="zh-CN"/>
        </w:rPr>
        <w:t>、</w:t>
      </w:r>
      <w:r>
        <w:rPr>
          <w:rFonts w:hint="eastAsia"/>
          <w:color w:val="auto"/>
          <w:highlight w:val="none"/>
        </w:rPr>
        <w:t>民生价格公示系统</w:t>
      </w:r>
      <w:r>
        <w:rPr>
          <w:rFonts w:hint="eastAsia"/>
          <w:color w:val="auto"/>
          <w:highlight w:val="none"/>
          <w:lang w:eastAsia="zh-CN"/>
        </w:rPr>
        <w:t>；</w:t>
      </w:r>
      <w:r>
        <w:rPr>
          <w:rFonts w:hint="eastAsia"/>
          <w:color w:val="auto"/>
          <w:highlight w:val="none"/>
        </w:rPr>
        <w:t>5</w:t>
      </w:r>
      <w:r>
        <w:rPr>
          <w:rFonts w:hint="eastAsia"/>
          <w:color w:val="auto"/>
          <w:highlight w:val="none"/>
          <w:lang w:eastAsia="zh-CN"/>
        </w:rPr>
        <w:t>、</w:t>
      </w:r>
      <w:r>
        <w:rPr>
          <w:rFonts w:hint="eastAsia"/>
          <w:color w:val="auto"/>
          <w:highlight w:val="none"/>
        </w:rPr>
        <w:t>价费定调信息系统</w:t>
      </w:r>
      <w:r>
        <w:rPr>
          <w:rFonts w:hint="eastAsia"/>
          <w:color w:val="auto"/>
          <w:highlight w:val="none"/>
          <w:lang w:eastAsia="zh-CN"/>
        </w:rPr>
        <w:t>；</w:t>
      </w:r>
      <w:r>
        <w:rPr>
          <w:rFonts w:hint="eastAsia"/>
          <w:color w:val="auto"/>
          <w:highlight w:val="none"/>
        </w:rPr>
        <w:t>6</w:t>
      </w:r>
      <w:r>
        <w:rPr>
          <w:rFonts w:hint="eastAsia"/>
          <w:color w:val="auto"/>
          <w:highlight w:val="none"/>
          <w:lang w:eastAsia="zh-CN"/>
        </w:rPr>
        <w:t>、</w:t>
      </w:r>
      <w:r>
        <w:rPr>
          <w:rFonts w:hint="eastAsia"/>
          <w:color w:val="auto"/>
          <w:highlight w:val="none"/>
        </w:rPr>
        <w:t>收费动态监管服务系统</w:t>
      </w:r>
      <w:r>
        <w:rPr>
          <w:rFonts w:hint="eastAsia"/>
          <w:color w:val="auto"/>
          <w:highlight w:val="none"/>
          <w:lang w:eastAsia="zh-CN"/>
        </w:rPr>
        <w:t>；</w:t>
      </w:r>
      <w:r>
        <w:rPr>
          <w:rFonts w:hint="eastAsia"/>
          <w:color w:val="auto"/>
          <w:highlight w:val="none"/>
        </w:rPr>
        <w:t>7</w:t>
      </w:r>
      <w:r>
        <w:rPr>
          <w:rFonts w:hint="eastAsia"/>
          <w:color w:val="auto"/>
          <w:highlight w:val="none"/>
          <w:lang w:eastAsia="zh-CN"/>
        </w:rPr>
        <w:t>、</w:t>
      </w:r>
      <w:r>
        <w:rPr>
          <w:rFonts w:hint="eastAsia"/>
          <w:color w:val="auto"/>
          <w:highlight w:val="none"/>
        </w:rPr>
        <w:t>价格服务系统</w:t>
      </w:r>
      <w:r>
        <w:rPr>
          <w:rFonts w:hint="eastAsia"/>
          <w:color w:val="auto"/>
          <w:highlight w:val="none"/>
          <w:lang w:eastAsia="zh-CN"/>
        </w:rPr>
        <w:t>；</w:t>
      </w:r>
      <w:r>
        <w:rPr>
          <w:rFonts w:hint="eastAsia"/>
          <w:color w:val="auto"/>
          <w:highlight w:val="none"/>
        </w:rPr>
        <w:t>8</w:t>
      </w:r>
      <w:r>
        <w:rPr>
          <w:rFonts w:hint="eastAsia"/>
          <w:color w:val="auto"/>
          <w:highlight w:val="none"/>
          <w:lang w:eastAsia="zh-CN"/>
        </w:rPr>
        <w:t>、</w:t>
      </w:r>
      <w:r>
        <w:rPr>
          <w:rFonts w:hint="eastAsia"/>
          <w:color w:val="auto"/>
          <w:highlight w:val="none"/>
        </w:rPr>
        <w:t>平价商店管理系统</w:t>
      </w:r>
      <w:r>
        <w:rPr>
          <w:rFonts w:hint="eastAsia"/>
          <w:color w:val="auto"/>
          <w:highlight w:val="none"/>
          <w:lang w:eastAsia="zh-CN"/>
        </w:rPr>
        <w:t>；</w:t>
      </w:r>
      <w:r>
        <w:rPr>
          <w:rFonts w:hint="eastAsia"/>
          <w:color w:val="auto"/>
          <w:highlight w:val="none"/>
        </w:rPr>
        <w:t>9</w:t>
      </w:r>
      <w:r>
        <w:rPr>
          <w:rFonts w:hint="eastAsia"/>
          <w:color w:val="auto"/>
          <w:highlight w:val="none"/>
          <w:lang w:eastAsia="zh-CN"/>
        </w:rPr>
        <w:t>、</w:t>
      </w:r>
      <w:r>
        <w:rPr>
          <w:rFonts w:hint="eastAsia"/>
          <w:color w:val="auto"/>
          <w:highlight w:val="none"/>
        </w:rPr>
        <w:t>南宁市政府·智慧城市公共服务平台采价模块</w:t>
      </w:r>
      <w:r>
        <w:rPr>
          <w:rFonts w:hint="eastAsia"/>
          <w:color w:val="auto"/>
          <w:highlight w:val="none"/>
          <w:lang w:eastAsia="zh-CN"/>
        </w:rPr>
        <w:t>；</w:t>
      </w:r>
      <w:r>
        <w:rPr>
          <w:rFonts w:hint="eastAsia"/>
          <w:color w:val="auto"/>
          <w:highlight w:val="none"/>
        </w:rPr>
        <w:t>10</w:t>
      </w:r>
      <w:r>
        <w:rPr>
          <w:rFonts w:hint="eastAsia"/>
          <w:color w:val="auto"/>
          <w:highlight w:val="none"/>
          <w:lang w:eastAsia="zh-CN"/>
        </w:rPr>
        <w:t>、</w:t>
      </w:r>
      <w:r>
        <w:rPr>
          <w:rFonts w:hint="eastAsia"/>
          <w:color w:val="auto"/>
          <w:highlight w:val="none"/>
        </w:rPr>
        <w:t>物价数据大屏展示一张图</w:t>
      </w:r>
      <w:r>
        <w:rPr>
          <w:rFonts w:hint="eastAsia"/>
          <w:color w:val="auto"/>
          <w:highlight w:val="none"/>
          <w:lang w:eastAsia="zh-CN"/>
        </w:rPr>
        <w:t>；</w:t>
      </w:r>
      <w:r>
        <w:rPr>
          <w:rFonts w:hint="eastAsia"/>
          <w:color w:val="auto"/>
          <w:highlight w:val="none"/>
        </w:rPr>
        <w:t>11</w:t>
      </w:r>
      <w:r>
        <w:rPr>
          <w:rFonts w:hint="eastAsia"/>
          <w:color w:val="auto"/>
          <w:highlight w:val="none"/>
          <w:lang w:eastAsia="zh-CN"/>
        </w:rPr>
        <w:t>、</w:t>
      </w:r>
      <w:r>
        <w:rPr>
          <w:rFonts w:hint="eastAsia"/>
          <w:color w:val="auto"/>
          <w:highlight w:val="none"/>
        </w:rPr>
        <w:t>接口服务系统</w:t>
      </w:r>
      <w:r>
        <w:rPr>
          <w:rFonts w:hint="eastAsia"/>
          <w:color w:val="auto"/>
          <w:highlight w:val="none"/>
          <w:lang w:eastAsia="zh-CN"/>
        </w:rPr>
        <w:t>。</w:t>
      </w:r>
    </w:p>
    <w:p>
      <w:pPr>
        <w:pStyle w:val="2"/>
        <w:spacing w:line="240" w:lineRule="auto"/>
        <w:ind w:firstLine="480" w:firstLineChars="200"/>
        <w:rPr>
          <w:rFonts w:hint="eastAsia"/>
          <w:color w:val="auto"/>
          <w:highlight w:val="none"/>
        </w:rPr>
      </w:pPr>
      <w:r>
        <w:rPr>
          <w:rFonts w:hint="eastAsia" w:ascii="宋体" w:hAnsi="宋体"/>
          <w:color w:val="auto"/>
          <w:sz w:val="24"/>
          <w:highlight w:val="none"/>
          <w:lang w:eastAsia="zh-CN"/>
        </w:rPr>
        <w:t>（二）</w:t>
      </w:r>
      <w:r>
        <w:rPr>
          <w:rFonts w:hint="eastAsia"/>
          <w:color w:val="auto"/>
          <w:highlight w:val="none"/>
        </w:rPr>
        <w:t>应用支撑平台</w:t>
      </w:r>
    </w:p>
    <w:p>
      <w:pPr>
        <w:pStyle w:val="2"/>
        <w:spacing w:line="240" w:lineRule="auto"/>
        <w:ind w:firstLine="480" w:firstLineChars="200"/>
        <w:rPr>
          <w:rFonts w:hint="eastAsia" w:eastAsia="宋体"/>
          <w:color w:val="auto"/>
          <w:highlight w:val="none"/>
          <w:lang w:eastAsia="zh-CN"/>
        </w:rPr>
      </w:pPr>
      <w:r>
        <w:rPr>
          <w:rFonts w:hint="eastAsia"/>
          <w:color w:val="auto"/>
          <w:highlight w:val="none"/>
        </w:rPr>
        <w:t>1</w:t>
      </w:r>
      <w:r>
        <w:rPr>
          <w:rFonts w:hint="eastAsia"/>
          <w:color w:val="auto"/>
          <w:highlight w:val="none"/>
          <w:lang w:eastAsia="zh-CN"/>
        </w:rPr>
        <w:t>、</w:t>
      </w:r>
      <w:r>
        <w:rPr>
          <w:rFonts w:hint="eastAsia"/>
          <w:color w:val="auto"/>
          <w:highlight w:val="none"/>
        </w:rPr>
        <w:t>价格信息基础数据系统</w:t>
      </w: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单点登录</w:t>
      </w:r>
      <w:r>
        <w:rPr>
          <w:rFonts w:hint="eastAsia"/>
          <w:color w:val="auto"/>
          <w:highlight w:val="none"/>
          <w:lang w:eastAsia="zh-CN"/>
        </w:rPr>
        <w:t>；</w:t>
      </w:r>
      <w:r>
        <w:rPr>
          <w:rFonts w:hint="eastAsia"/>
          <w:color w:val="auto"/>
          <w:highlight w:val="none"/>
        </w:rPr>
        <w:t>3</w:t>
      </w:r>
      <w:r>
        <w:rPr>
          <w:rFonts w:hint="eastAsia"/>
          <w:color w:val="auto"/>
          <w:highlight w:val="none"/>
          <w:lang w:eastAsia="zh-CN"/>
        </w:rPr>
        <w:t>、</w:t>
      </w:r>
      <w:r>
        <w:rPr>
          <w:rFonts w:hint="eastAsia"/>
          <w:color w:val="auto"/>
          <w:highlight w:val="none"/>
        </w:rPr>
        <w:t>统一认证</w:t>
      </w:r>
      <w:r>
        <w:rPr>
          <w:rFonts w:hint="eastAsia"/>
          <w:color w:val="auto"/>
          <w:highlight w:val="none"/>
          <w:lang w:eastAsia="zh-CN"/>
        </w:rPr>
        <w:t>；</w:t>
      </w:r>
      <w:r>
        <w:rPr>
          <w:rFonts w:hint="eastAsia"/>
          <w:color w:val="auto"/>
          <w:highlight w:val="none"/>
        </w:rPr>
        <w:t>4</w:t>
      </w:r>
      <w:r>
        <w:rPr>
          <w:rFonts w:hint="eastAsia"/>
          <w:color w:val="auto"/>
          <w:highlight w:val="none"/>
          <w:lang w:eastAsia="zh-CN"/>
        </w:rPr>
        <w:t>、</w:t>
      </w:r>
      <w:r>
        <w:rPr>
          <w:rFonts w:hint="eastAsia"/>
          <w:color w:val="auto"/>
          <w:highlight w:val="none"/>
        </w:rPr>
        <w:t>国产化数据库软件</w:t>
      </w:r>
      <w:r>
        <w:rPr>
          <w:rFonts w:hint="eastAsia"/>
          <w:color w:val="auto"/>
          <w:highlight w:val="none"/>
          <w:lang w:eastAsia="zh-CN"/>
        </w:rPr>
        <w:t>；</w:t>
      </w:r>
      <w:r>
        <w:rPr>
          <w:rFonts w:hint="eastAsia"/>
          <w:color w:val="auto"/>
          <w:highlight w:val="none"/>
        </w:rPr>
        <w:t>5</w:t>
      </w:r>
      <w:r>
        <w:rPr>
          <w:rFonts w:hint="eastAsia"/>
          <w:color w:val="auto"/>
          <w:highlight w:val="none"/>
          <w:lang w:eastAsia="zh-CN"/>
        </w:rPr>
        <w:t>、</w:t>
      </w:r>
      <w:r>
        <w:rPr>
          <w:rFonts w:hint="eastAsia"/>
          <w:color w:val="auto"/>
          <w:highlight w:val="none"/>
        </w:rPr>
        <w:t>国产化应用中间件</w:t>
      </w:r>
      <w:r>
        <w:rPr>
          <w:rFonts w:hint="eastAsia"/>
          <w:color w:val="auto"/>
          <w:highlight w:val="none"/>
          <w:lang w:eastAsia="zh-CN"/>
        </w:rPr>
        <w:t>；</w:t>
      </w:r>
      <w:r>
        <w:rPr>
          <w:rFonts w:hint="eastAsia"/>
          <w:color w:val="auto"/>
          <w:highlight w:val="none"/>
        </w:rPr>
        <w:t>6</w:t>
      </w:r>
      <w:r>
        <w:rPr>
          <w:rFonts w:hint="eastAsia"/>
          <w:color w:val="auto"/>
          <w:highlight w:val="none"/>
          <w:lang w:eastAsia="zh-CN"/>
        </w:rPr>
        <w:t>、</w:t>
      </w:r>
      <w:r>
        <w:rPr>
          <w:rFonts w:hint="eastAsia"/>
          <w:color w:val="auto"/>
          <w:highlight w:val="none"/>
        </w:rPr>
        <w:t>国产化服务器操作系统</w:t>
      </w:r>
      <w:r>
        <w:rPr>
          <w:rFonts w:hint="eastAsia"/>
          <w:color w:val="auto"/>
          <w:highlight w:val="none"/>
          <w:lang w:eastAsia="zh-CN"/>
        </w:rPr>
        <w:t>。</w:t>
      </w:r>
    </w:p>
    <w:p>
      <w:pPr>
        <w:spacing w:line="240" w:lineRule="auto"/>
        <w:ind w:firstLine="480" w:firstLineChars="200"/>
        <w:rPr>
          <w:rFonts w:ascii="宋体" w:hAnsi="宋体"/>
          <w:color w:val="auto"/>
          <w:sz w:val="24"/>
          <w:highlight w:val="none"/>
        </w:rPr>
      </w:pPr>
      <w:r>
        <w:rPr>
          <w:rFonts w:hint="eastAsia" w:ascii="宋体" w:hAnsi="宋体"/>
          <w:color w:val="auto"/>
          <w:sz w:val="24"/>
          <w:highlight w:val="none"/>
        </w:rPr>
        <w:t>如需进一步了解详细内容，详见竞争性磋商文件。</w:t>
      </w:r>
    </w:p>
    <w:p>
      <w:pPr>
        <w:spacing w:line="24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合同履行期限：自合同签订之日起10天内完成本项目的深化设计方案、项目整体实施计划和方案；自合同签订之日起2个月内完成全部软件开发、部署完成并符合验收条件，提交所有成果。</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4"/>
        <w:spacing w:line="240" w:lineRule="auto"/>
        <w:rPr>
          <w:rFonts w:ascii="宋体" w:hAnsi="宋体" w:cs="宋体"/>
          <w:bCs w:val="0"/>
          <w:color w:val="auto"/>
          <w:sz w:val="24"/>
          <w:szCs w:val="24"/>
          <w:highlight w:val="none"/>
        </w:rPr>
      </w:pPr>
      <w:bookmarkStart w:id="8" w:name="_Toc35393630"/>
      <w:bookmarkStart w:id="9" w:name="_Toc28359013"/>
      <w:bookmarkStart w:id="10" w:name="_Toc35393799"/>
      <w:bookmarkStart w:id="11" w:name="_Toc28359090"/>
      <w:r>
        <w:rPr>
          <w:rFonts w:hint="eastAsia" w:ascii="宋体" w:hAnsi="宋体" w:cs="宋体"/>
          <w:bCs w:val="0"/>
          <w:color w:val="auto"/>
          <w:sz w:val="24"/>
          <w:szCs w:val="24"/>
          <w:highlight w:val="none"/>
        </w:rPr>
        <w:t>二、申请人的资格要求：</w:t>
      </w:r>
      <w:bookmarkEnd w:id="8"/>
      <w:bookmarkEnd w:id="9"/>
      <w:bookmarkEnd w:id="10"/>
      <w:bookmarkEnd w:id="11"/>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240" w:lineRule="auto"/>
        <w:ind w:firstLine="480" w:firstLineChars="200"/>
        <w:rPr>
          <w:rFonts w:ascii="宋体" w:hAnsi="宋体" w:cs="宋体"/>
          <w:color w:val="auto"/>
          <w:sz w:val="24"/>
          <w:highlight w:val="none"/>
        </w:rPr>
      </w:pPr>
      <w:bookmarkStart w:id="12" w:name="_Toc28359014"/>
      <w:bookmarkStart w:id="13" w:name="_Toc28359091"/>
      <w:r>
        <w:rPr>
          <w:rFonts w:hint="eastAsia" w:ascii="宋体" w:hAnsi="宋体" w:cs="宋体"/>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eastAsia="zh-CN"/>
        </w:rPr>
        <w:t>关于印发2020 年广西优化营商环境百日攻坚行动方案的通知（桂政办发〔2020〕59 号）</w:t>
      </w:r>
      <w:r>
        <w:rPr>
          <w:rFonts w:hint="eastAsia" w:ascii="宋体" w:hAnsi="宋体" w:cs="宋体"/>
          <w:color w:val="auto"/>
          <w:sz w:val="24"/>
          <w:highlight w:val="none"/>
        </w:rPr>
        <w:t>，评审时残疾人福利性单位、小型和微型企业产品的价格给予</w:t>
      </w:r>
      <w:r>
        <w:rPr>
          <w:rFonts w:hint="eastAsia" w:ascii="宋体" w:hAnsi="宋体" w:cs="宋体"/>
          <w:color w:val="auto"/>
          <w:sz w:val="24"/>
          <w:highlight w:val="none"/>
          <w:lang w:eastAsia="zh-CN"/>
        </w:rPr>
        <w:t>10%</w:t>
      </w:r>
      <w:r>
        <w:rPr>
          <w:rFonts w:hint="eastAsia" w:ascii="宋体" w:hAnsi="宋体" w:cs="宋体"/>
          <w:color w:val="auto"/>
          <w:sz w:val="24"/>
          <w:highlight w:val="none"/>
        </w:rPr>
        <w:t>的扣除。监狱企业视同小型和微型企业，其产品在评审时给予相同的价格扣除。残疾人福利性单位属于小型、微型企业的，不重复享受政策。</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pPr>
        <w:pStyle w:val="4"/>
        <w:spacing w:line="240" w:lineRule="auto"/>
        <w:rPr>
          <w:rFonts w:ascii="宋体" w:hAnsi="宋体" w:cs="宋体"/>
          <w:bCs w:val="0"/>
          <w:color w:val="auto"/>
          <w:sz w:val="24"/>
          <w:szCs w:val="24"/>
          <w:highlight w:val="none"/>
        </w:rPr>
      </w:pPr>
      <w:bookmarkStart w:id="14" w:name="_Toc35393800"/>
      <w:bookmarkStart w:id="15" w:name="_Toc35393631"/>
      <w:r>
        <w:rPr>
          <w:rFonts w:hint="eastAsia" w:ascii="宋体" w:hAnsi="宋体" w:cs="宋体"/>
          <w:bCs w:val="0"/>
          <w:color w:val="auto"/>
          <w:sz w:val="24"/>
          <w:szCs w:val="24"/>
          <w:highlight w:val="none"/>
        </w:rPr>
        <w:t>三、获取采购文件</w:t>
      </w:r>
      <w:bookmarkEnd w:id="12"/>
      <w:bookmarkEnd w:id="13"/>
      <w:bookmarkEnd w:id="14"/>
      <w:bookmarkEnd w:id="15"/>
    </w:p>
    <w:p>
      <w:pPr>
        <w:spacing w:line="240" w:lineRule="auto"/>
        <w:ind w:firstLine="54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至</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p>
    <w:p>
      <w:pPr>
        <w:spacing w:line="240" w:lineRule="auto"/>
        <w:ind w:firstLine="540"/>
        <w:rPr>
          <w:rFonts w:ascii="宋体" w:hAnsi="宋体" w:cs="宋体"/>
          <w:color w:val="auto"/>
          <w:sz w:val="24"/>
          <w:highlight w:val="none"/>
          <w:u w:val="single"/>
        </w:rPr>
      </w:pPr>
      <w:r>
        <w:rPr>
          <w:rFonts w:hint="eastAsia" w:ascii="宋体" w:hAnsi="宋体" w:cs="宋体"/>
          <w:color w:val="auto"/>
          <w:sz w:val="24"/>
          <w:highlight w:val="none"/>
        </w:rPr>
        <w:t>地点：南宁市公共资源交易中心网站（网址：www.nnggzy.org.cn）</w:t>
      </w:r>
    </w:p>
    <w:p>
      <w:pPr>
        <w:spacing w:line="240" w:lineRule="auto"/>
        <w:ind w:firstLine="540"/>
        <w:rPr>
          <w:rFonts w:ascii="宋体" w:hAnsi="宋体" w:cs="宋体"/>
          <w:color w:val="auto"/>
          <w:sz w:val="24"/>
          <w:highlight w:val="none"/>
          <w:u w:val="single"/>
        </w:rPr>
      </w:pPr>
      <w:r>
        <w:rPr>
          <w:rFonts w:hint="eastAsia" w:ascii="宋体" w:hAnsi="宋体" w:cs="宋体"/>
          <w:color w:val="auto"/>
          <w:sz w:val="24"/>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招标文件。 </w:t>
      </w:r>
    </w:p>
    <w:p>
      <w:pPr>
        <w:spacing w:line="240" w:lineRule="auto"/>
        <w:ind w:firstLine="540"/>
        <w:rPr>
          <w:rFonts w:ascii="宋体" w:hAnsi="宋体" w:cs="宋体"/>
          <w:color w:val="auto"/>
          <w:sz w:val="24"/>
          <w:highlight w:val="none"/>
        </w:rPr>
      </w:pPr>
      <w:r>
        <w:rPr>
          <w:rFonts w:hint="eastAsia" w:ascii="宋体" w:hAnsi="宋体" w:cs="宋体"/>
          <w:color w:val="auto"/>
          <w:sz w:val="24"/>
          <w:highlight w:val="none"/>
        </w:rPr>
        <w:t>售价：0元。</w:t>
      </w:r>
    </w:p>
    <w:p>
      <w:pPr>
        <w:pStyle w:val="4"/>
        <w:spacing w:line="240" w:lineRule="auto"/>
        <w:rPr>
          <w:rFonts w:ascii="宋体" w:hAnsi="宋体" w:cs="宋体"/>
          <w:bCs w:val="0"/>
          <w:color w:val="auto"/>
          <w:sz w:val="24"/>
          <w:szCs w:val="24"/>
          <w:highlight w:val="none"/>
        </w:rPr>
      </w:pPr>
      <w:bookmarkStart w:id="16" w:name="_Toc28359092"/>
      <w:bookmarkStart w:id="17" w:name="_Toc35393632"/>
      <w:bookmarkStart w:id="18" w:name="_Toc35393801"/>
      <w:bookmarkStart w:id="19" w:name="_Toc28359015"/>
      <w:commentRangeStart w:id="0"/>
      <w:r>
        <w:rPr>
          <w:rFonts w:hint="eastAsia" w:ascii="宋体" w:hAnsi="宋体" w:cs="宋体"/>
          <w:bCs w:val="0"/>
          <w:color w:val="auto"/>
          <w:sz w:val="24"/>
          <w:szCs w:val="24"/>
          <w:highlight w:val="none"/>
        </w:rPr>
        <w:t>四、</w:t>
      </w:r>
      <w:bookmarkEnd w:id="16"/>
      <w:bookmarkEnd w:id="17"/>
      <w:bookmarkEnd w:id="18"/>
      <w:bookmarkEnd w:id="19"/>
      <w:r>
        <w:rPr>
          <w:rFonts w:hint="eastAsia" w:ascii="宋体" w:hAnsi="宋体" w:cs="宋体"/>
          <w:bCs w:val="0"/>
          <w:color w:val="auto"/>
          <w:sz w:val="24"/>
          <w:szCs w:val="24"/>
          <w:highlight w:val="none"/>
        </w:rPr>
        <w:t>提交投标文件截止时间、开标时间和地点</w:t>
      </w:r>
    </w:p>
    <w:p>
      <w:pPr>
        <w:spacing w:line="24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bCs/>
          <w:color w:val="auto"/>
          <w:sz w:val="24"/>
          <w:highlight w:val="none"/>
          <w:u w:val="single"/>
        </w:rPr>
        <w:t>9点30分</w:t>
      </w:r>
      <w:r>
        <w:rPr>
          <w:rFonts w:hint="eastAsia" w:ascii="宋体" w:hAnsi="宋体" w:cs="宋体"/>
          <w:bCs/>
          <w:color w:val="auto"/>
          <w:sz w:val="24"/>
          <w:highlight w:val="none"/>
        </w:rPr>
        <w:t>（北京时间）</w:t>
      </w:r>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地点：南宁市良庆区玉洞大道33号（市青少年活动中心旁）南宁市市民中心9楼南宁市公共资源交易中心（具体详见9楼电子显示屏场地安排）。</w:t>
      </w:r>
    </w:p>
    <w:p>
      <w:pPr>
        <w:spacing w:line="24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根据《南宁市机关事务管理局关于疫情防控期间恢复全市公共资源现场交易活动的通知》文件精神，疫情防控期间，按照“不见面、少接触”的原则，投标人不参加现场开标会。</w:t>
      </w:r>
    </w:p>
    <w:p>
      <w:pPr>
        <w:pStyle w:val="2"/>
        <w:spacing w:line="240" w:lineRule="auto"/>
        <w:ind w:firstLine="480" w:firstLineChars="200"/>
        <w:rPr>
          <w:rFonts w:ascii="宋体" w:hAnsi="宋体" w:cs="宋体"/>
          <w:color w:val="auto"/>
          <w:highlight w:val="none"/>
        </w:rPr>
      </w:pPr>
      <w:r>
        <w:rPr>
          <w:rFonts w:hint="eastAsia" w:ascii="宋体" w:hAnsi="宋体" w:cs="宋体"/>
          <w:color w:val="auto"/>
          <w:highlight w:val="none"/>
        </w:rPr>
        <w:t>1、本项目的投标文件通过邮寄快递的方式送达(不接受现场递交)。</w:t>
      </w:r>
    </w:p>
    <w:p>
      <w:pPr>
        <w:pStyle w:val="2"/>
        <w:spacing w:line="240" w:lineRule="auto"/>
        <w:ind w:firstLine="480" w:firstLineChars="200"/>
        <w:rPr>
          <w:rFonts w:ascii="宋体" w:hAnsi="宋体" w:cs="宋体"/>
          <w:color w:val="auto"/>
          <w:highlight w:val="none"/>
        </w:rPr>
      </w:pPr>
      <w:r>
        <w:rPr>
          <w:rFonts w:hint="eastAsia" w:ascii="宋体" w:hAnsi="宋体" w:cs="宋体"/>
          <w:color w:val="auto"/>
          <w:highlight w:val="none"/>
        </w:rPr>
        <w:t>2、响应文件邮寄地址：南宁市青秀区纬武路165号招标中心3楼303室；收件人：</w:t>
      </w:r>
      <w:r>
        <w:rPr>
          <w:rFonts w:hint="eastAsia" w:ascii="宋体" w:hAnsi="宋体" w:cs="宋体"/>
          <w:color w:val="auto"/>
          <w:highlight w:val="none"/>
          <w:lang w:eastAsia="zh-CN"/>
        </w:rPr>
        <w:t>韦吉</w:t>
      </w:r>
      <w:r>
        <w:rPr>
          <w:rFonts w:hint="eastAsia" w:ascii="宋体" w:hAnsi="宋体" w:cs="宋体"/>
          <w:color w:val="auto"/>
          <w:highlight w:val="none"/>
        </w:rPr>
        <w:t>；联系电话：0771-2808057。</w:t>
      </w:r>
    </w:p>
    <w:p>
      <w:pPr>
        <w:pStyle w:val="2"/>
        <w:spacing w:line="240" w:lineRule="auto"/>
        <w:ind w:firstLine="480" w:firstLineChars="200"/>
        <w:rPr>
          <w:rFonts w:ascii="宋体" w:hAnsi="宋体" w:cs="宋体"/>
          <w:color w:val="auto"/>
          <w:highlight w:val="none"/>
        </w:rPr>
      </w:pPr>
      <w:r>
        <w:rPr>
          <w:rFonts w:hint="eastAsia" w:ascii="宋体" w:hAnsi="宋体" w:cs="宋体"/>
          <w:color w:val="auto"/>
          <w:highlight w:val="none"/>
        </w:rPr>
        <w:t>3、接收邮寄包裹的时间为工作日8：00～18：00。投标文件必须在投标截止时间前送达。招标采购人或招标采购代理机构工作人员签收邮寄包裹的时间即为投标人投标的送达时间，逾期送达的投标无效，后果由投标人自行承担。</w:t>
      </w:r>
      <w:commentRangeEnd w:id="0"/>
      <w:r>
        <w:rPr>
          <w:color w:val="auto"/>
          <w:highlight w:val="none"/>
        </w:rPr>
        <w:commentReference w:id="0"/>
      </w:r>
    </w:p>
    <w:p>
      <w:pPr>
        <w:pStyle w:val="2"/>
        <w:spacing w:line="240" w:lineRule="auto"/>
        <w:ind w:firstLine="480" w:firstLineChars="200"/>
        <w:rPr>
          <w:rFonts w:ascii="宋体" w:hAnsi="宋体" w:cs="宋体"/>
          <w:color w:val="auto"/>
          <w:highlight w:val="none"/>
        </w:rPr>
      </w:pPr>
      <w:r>
        <w:rPr>
          <w:rFonts w:hint="eastAsia" w:ascii="宋体" w:hAnsi="宋体" w:cs="宋体"/>
          <w:color w:val="auto"/>
          <w:highlight w:val="none"/>
        </w:rPr>
        <w:t>4、采购代理机构将在投标截止时间前一小时统一将收到的投标运送至南宁市公共资源交易中心，以确保本项目能在截止（开标）时间准时截标。投标人应充分预留响应文件邮寄、送达所需要的时间。为确保疫情防控期间邮寄包裹能及时送达，应选择邮寄运送时间有保障的快递公司寄送投标，并确保在投标截止日期1个工作日前内送达。</w:t>
      </w:r>
    </w:p>
    <w:p>
      <w:pPr>
        <w:pStyle w:val="2"/>
        <w:spacing w:line="240" w:lineRule="auto"/>
        <w:ind w:firstLine="480" w:firstLineChars="200"/>
        <w:rPr>
          <w:rFonts w:ascii="宋体" w:hAnsi="宋体" w:cs="宋体"/>
          <w:color w:val="auto"/>
          <w:highlight w:val="none"/>
        </w:rPr>
      </w:pPr>
      <w:r>
        <w:rPr>
          <w:rFonts w:hint="eastAsia" w:ascii="宋体" w:hAnsi="宋体" w:cs="宋体"/>
          <w:color w:val="auto"/>
          <w:highlight w:val="none"/>
        </w:rPr>
        <w:t>5、投标人在按照招标文件的要求装订、密封好响应文件后，应使用不透明、防水的邮寄袋或箱子再次包裹已密封好的投标，并在邮寄袋或箱子上粘牢注明项目名称、项目编号、项目开标日期、有效的电子邮箱等内容的纸质表格（表格格式详见附件）。</w:t>
      </w:r>
    </w:p>
    <w:tbl>
      <w:tblPr>
        <w:tblStyle w:val="4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620" w:type="dxa"/>
          </w:tcPr>
          <w:p>
            <w:pPr>
              <w:widowControl/>
              <w:spacing w:before="100" w:after="100" w:line="240" w:lineRule="auto"/>
              <w:jc w:val="left"/>
              <w:rPr>
                <w:color w:val="auto"/>
                <w:sz w:val="24"/>
                <w:highlight w:val="none"/>
              </w:rPr>
            </w:pPr>
            <w:r>
              <w:rPr>
                <w:rFonts w:hint="eastAsia" w:ascii="宋体" w:hAnsi="宋体" w:cs="宋体"/>
                <w:color w:val="auto"/>
                <w:kern w:val="0"/>
                <w:sz w:val="24"/>
                <w:highlight w:val="none"/>
              </w:rPr>
              <w:t>附件：</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邮件外包粘贴表格（格式）</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项目名称：</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项目编号：</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项目开标日期：</w:t>
            </w:r>
          </w:p>
          <w:p>
            <w:pPr>
              <w:widowControl/>
              <w:spacing w:before="100" w:after="100" w:line="240" w:lineRule="auto"/>
              <w:ind w:firstLine="960" w:firstLineChars="400"/>
              <w:jc w:val="left"/>
              <w:rPr>
                <w:color w:val="auto"/>
                <w:sz w:val="24"/>
                <w:highlight w:val="none"/>
              </w:rPr>
            </w:pPr>
            <w:r>
              <w:rPr>
                <w:rFonts w:hint="eastAsia" w:ascii="宋体" w:hAnsi="宋体" w:cs="宋体"/>
                <w:color w:val="auto"/>
                <w:kern w:val="0"/>
                <w:sz w:val="24"/>
                <w:highlight w:val="none"/>
              </w:rPr>
              <w:t>联系电话：</w:t>
            </w:r>
          </w:p>
          <w:p>
            <w:pPr>
              <w:pStyle w:val="2"/>
              <w:spacing w:line="240" w:lineRule="auto"/>
              <w:ind w:firstLine="960" w:firstLineChars="400"/>
              <w:rPr>
                <w:rFonts w:ascii="宋体" w:hAnsi="宋体" w:cs="宋体"/>
                <w:color w:val="auto"/>
                <w:highlight w:val="none"/>
              </w:rPr>
            </w:pPr>
            <w:r>
              <w:rPr>
                <w:rFonts w:hint="eastAsia" w:ascii="宋体" w:hAnsi="宋体" w:cs="宋体"/>
                <w:color w:val="auto"/>
                <w:kern w:val="0"/>
                <w:highlight w:val="none"/>
              </w:rPr>
              <w:t>联系电子邮箱：</w:t>
            </w:r>
          </w:p>
        </w:tc>
      </w:tr>
    </w:tbl>
    <w:p>
      <w:pPr>
        <w:pStyle w:val="2"/>
        <w:spacing w:line="240" w:lineRule="auto"/>
        <w:ind w:firstLine="480" w:firstLineChars="200"/>
        <w:rPr>
          <w:rFonts w:ascii="宋体" w:hAnsi="宋体" w:cs="宋体"/>
          <w:color w:val="auto"/>
          <w:highlight w:val="none"/>
        </w:rPr>
      </w:pPr>
      <w:r>
        <w:rPr>
          <w:rFonts w:hint="eastAsia" w:ascii="宋体" w:hAnsi="宋体" w:cs="宋体"/>
          <w:color w:val="auto"/>
          <w:highlight w:val="none"/>
        </w:rPr>
        <w:t>6、招标采购人或招标采购代理机构工作人员在收到响应文件的邮寄包裹后，第一时间按照供应商在邮寄包裹上所预留的电子邮箱告知投标收件情况，请投标人务必确保所预留电子邮箱的有效性，并注意查收邮件。</w:t>
      </w:r>
    </w:p>
    <w:p>
      <w:pPr>
        <w:pStyle w:val="4"/>
        <w:spacing w:line="240" w:lineRule="auto"/>
        <w:rPr>
          <w:rFonts w:ascii="宋体" w:hAnsi="宋体" w:cs="宋体"/>
          <w:bCs w:val="0"/>
          <w:color w:val="auto"/>
          <w:sz w:val="24"/>
          <w:szCs w:val="24"/>
          <w:highlight w:val="none"/>
        </w:rPr>
      </w:pPr>
      <w:bookmarkStart w:id="20" w:name="_Toc35393802"/>
      <w:bookmarkStart w:id="21" w:name="_Toc28359016"/>
      <w:bookmarkStart w:id="22" w:name="_Toc35393633"/>
      <w:bookmarkStart w:id="23" w:name="_Toc28359093"/>
      <w:r>
        <w:rPr>
          <w:rFonts w:hint="eastAsia" w:ascii="宋体" w:hAnsi="宋体" w:cs="宋体"/>
          <w:bCs w:val="0"/>
          <w:color w:val="auto"/>
          <w:sz w:val="24"/>
          <w:szCs w:val="24"/>
          <w:highlight w:val="none"/>
        </w:rPr>
        <w:t>五、开启</w:t>
      </w:r>
      <w:bookmarkEnd w:id="20"/>
      <w:bookmarkEnd w:id="21"/>
      <w:bookmarkEnd w:id="22"/>
      <w:bookmarkEnd w:id="23"/>
    </w:p>
    <w:p>
      <w:pPr>
        <w:spacing w:line="24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 xml:space="preserve">时间： </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bCs/>
          <w:color w:val="auto"/>
          <w:sz w:val="24"/>
          <w:highlight w:val="none"/>
          <w:u w:val="single"/>
        </w:rPr>
        <w:t>9点30分</w:t>
      </w:r>
      <w:r>
        <w:rPr>
          <w:rFonts w:hint="eastAsia" w:ascii="宋体" w:hAnsi="宋体" w:cs="宋体"/>
          <w:bCs/>
          <w:color w:val="auto"/>
          <w:sz w:val="24"/>
          <w:highlight w:val="none"/>
        </w:rPr>
        <w:t>（北京时间）响应文件提交</w:t>
      </w:r>
      <w:r>
        <w:rPr>
          <w:rFonts w:hint="eastAsia" w:ascii="宋体" w:hAnsi="宋体" w:cs="宋体"/>
          <w:color w:val="auto"/>
          <w:sz w:val="24"/>
          <w:highlight w:val="none"/>
        </w:rPr>
        <w:t>截止时间后</w:t>
      </w:r>
    </w:p>
    <w:p>
      <w:pPr>
        <w:spacing w:line="24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地点：南宁市良庆区玉洞大道33号（市青少年活动中心旁）南宁市市民中心10楼南宁市公共资源交易中心评标室。</w:t>
      </w:r>
    </w:p>
    <w:p>
      <w:pPr>
        <w:pStyle w:val="4"/>
        <w:spacing w:line="240" w:lineRule="auto"/>
        <w:rPr>
          <w:rFonts w:ascii="宋体" w:hAnsi="宋体" w:cs="宋体"/>
          <w:bCs w:val="0"/>
          <w:color w:val="auto"/>
          <w:sz w:val="24"/>
          <w:szCs w:val="24"/>
          <w:highlight w:val="none"/>
        </w:rPr>
      </w:pPr>
      <w:bookmarkStart w:id="24" w:name="_Toc35393634"/>
      <w:bookmarkStart w:id="25" w:name="_Toc28359094"/>
      <w:bookmarkStart w:id="26" w:name="_Toc35393803"/>
      <w:bookmarkStart w:id="27" w:name="_Toc28359017"/>
      <w:r>
        <w:rPr>
          <w:rFonts w:hint="eastAsia" w:ascii="宋体" w:hAnsi="宋体" w:cs="宋体"/>
          <w:bCs w:val="0"/>
          <w:color w:val="auto"/>
          <w:sz w:val="24"/>
          <w:szCs w:val="24"/>
          <w:highlight w:val="none"/>
        </w:rPr>
        <w:t>六、公告期限</w:t>
      </w:r>
      <w:bookmarkEnd w:id="24"/>
      <w:bookmarkEnd w:id="25"/>
      <w:bookmarkEnd w:id="26"/>
      <w:bookmarkEnd w:id="27"/>
    </w:p>
    <w:p>
      <w:pPr>
        <w:spacing w:line="24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4"/>
        <w:spacing w:line="240" w:lineRule="auto"/>
        <w:rPr>
          <w:rFonts w:ascii="宋体" w:hAnsi="宋体" w:cs="宋体"/>
          <w:bCs w:val="0"/>
          <w:color w:val="auto"/>
          <w:sz w:val="24"/>
          <w:szCs w:val="24"/>
          <w:highlight w:val="none"/>
        </w:rPr>
      </w:pPr>
      <w:bookmarkStart w:id="28" w:name="_Toc35393635"/>
      <w:bookmarkStart w:id="29" w:name="_Toc35393804"/>
      <w:r>
        <w:rPr>
          <w:rFonts w:hint="eastAsia" w:ascii="宋体" w:hAnsi="宋体" w:cs="宋体"/>
          <w:bCs w:val="0"/>
          <w:color w:val="auto"/>
          <w:sz w:val="24"/>
          <w:szCs w:val="24"/>
          <w:highlight w:val="none"/>
        </w:rPr>
        <w:t>七、其他补充事宜</w:t>
      </w:r>
      <w:bookmarkEnd w:id="28"/>
      <w:bookmarkEnd w:id="29"/>
    </w:p>
    <w:p>
      <w:pPr>
        <w:spacing w:line="24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发布媒体：中国政府采购网、广西壮族自治区政府采购网、南宁政府采购网、</w:t>
      </w:r>
      <w:r>
        <w:rPr>
          <w:rFonts w:hint="eastAsia" w:ascii="宋体" w:hAnsi="宋体" w:cs="宋体"/>
          <w:color w:val="auto"/>
          <w:kern w:val="0"/>
          <w:sz w:val="24"/>
          <w:szCs w:val="24"/>
          <w:highlight w:val="none"/>
        </w:rPr>
        <w:t>南宁市公共资源交易中心网</w:t>
      </w:r>
      <w:r>
        <w:rPr>
          <w:rFonts w:hint="eastAsia" w:ascii="宋体" w:hAnsi="宋体" w:cs="宋体"/>
          <w:color w:val="auto"/>
          <w:sz w:val="24"/>
          <w:szCs w:val="24"/>
          <w:highlight w:val="none"/>
        </w:rPr>
        <w:t>、广西招标网</w:t>
      </w:r>
      <w:r>
        <w:rPr>
          <w:rFonts w:hint="eastAsia" w:ascii="宋体" w:hAnsi="宋体" w:cs="宋体"/>
          <w:color w:val="auto"/>
          <w:kern w:val="0"/>
          <w:sz w:val="24"/>
          <w:highlight w:val="none"/>
        </w:rPr>
        <w:t>。</w:t>
      </w:r>
    </w:p>
    <w:p>
      <w:pPr>
        <w:pStyle w:val="4"/>
        <w:spacing w:line="240" w:lineRule="auto"/>
        <w:rPr>
          <w:rFonts w:ascii="宋体" w:hAnsi="宋体" w:cs="宋体"/>
          <w:bCs w:val="0"/>
          <w:color w:val="auto"/>
          <w:sz w:val="24"/>
          <w:szCs w:val="24"/>
          <w:highlight w:val="none"/>
        </w:rPr>
      </w:pPr>
      <w:bookmarkStart w:id="30" w:name="_Toc35393636"/>
      <w:bookmarkStart w:id="31" w:name="_Toc28359095"/>
      <w:bookmarkStart w:id="32" w:name="_Toc35393805"/>
      <w:bookmarkStart w:id="33" w:name="_Toc28359018"/>
      <w:r>
        <w:rPr>
          <w:rFonts w:hint="eastAsia" w:ascii="宋体" w:hAnsi="宋体" w:cs="宋体"/>
          <w:bCs w:val="0"/>
          <w:color w:val="auto"/>
          <w:sz w:val="24"/>
          <w:szCs w:val="24"/>
          <w:highlight w:val="none"/>
        </w:rPr>
        <w:t>八、对本次招标提出询问，请按</w:t>
      </w:r>
      <w:r>
        <w:rPr>
          <w:rFonts w:ascii="宋体" w:hAnsi="宋体" w:cs="宋体"/>
          <w:bCs w:val="0"/>
          <w:color w:val="auto"/>
          <w:sz w:val="24"/>
          <w:szCs w:val="24"/>
          <w:highlight w:val="none"/>
        </w:rPr>
        <w:t>以下方式</w:t>
      </w:r>
      <w:r>
        <w:rPr>
          <w:rFonts w:hint="eastAsia" w:ascii="宋体" w:hAnsi="宋体" w:cs="宋体"/>
          <w:bCs w:val="0"/>
          <w:color w:val="auto"/>
          <w:sz w:val="24"/>
          <w:szCs w:val="24"/>
          <w:highlight w:val="none"/>
        </w:rPr>
        <w:t>联系。</w:t>
      </w:r>
      <w:bookmarkEnd w:id="30"/>
      <w:bookmarkEnd w:id="31"/>
      <w:bookmarkEnd w:id="32"/>
      <w:bookmarkEnd w:id="33"/>
    </w:p>
    <w:p>
      <w:pPr>
        <w:pStyle w:val="4"/>
        <w:spacing w:line="240" w:lineRule="auto"/>
        <w:ind w:firstLine="720" w:firstLineChars="300"/>
        <w:rPr>
          <w:rFonts w:ascii="宋体" w:hAnsi="宋体" w:cs="宋体"/>
          <w:b w:val="0"/>
          <w:color w:val="auto"/>
          <w:sz w:val="24"/>
          <w:szCs w:val="24"/>
          <w:highlight w:val="none"/>
        </w:rPr>
      </w:pPr>
      <w:bookmarkStart w:id="34" w:name="_Toc35393806"/>
      <w:bookmarkStart w:id="35" w:name="_Toc28359096"/>
      <w:bookmarkStart w:id="36" w:name="_Toc28359019"/>
      <w:bookmarkStart w:id="37" w:name="_Toc35393637"/>
      <w:r>
        <w:rPr>
          <w:rFonts w:hint="eastAsia" w:ascii="宋体" w:hAnsi="宋体" w:cs="宋体"/>
          <w:b w:val="0"/>
          <w:color w:val="auto"/>
          <w:sz w:val="24"/>
          <w:szCs w:val="24"/>
          <w:highlight w:val="none"/>
        </w:rPr>
        <w:t>1.采购人信息</w:t>
      </w:r>
      <w:bookmarkEnd w:id="34"/>
      <w:bookmarkEnd w:id="35"/>
      <w:bookmarkEnd w:id="36"/>
      <w:bookmarkEnd w:id="37"/>
    </w:p>
    <w:p>
      <w:pPr>
        <w:spacing w:line="240" w:lineRule="auto"/>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南宁市经济信息中心</w:t>
      </w:r>
    </w:p>
    <w:p>
      <w:pPr>
        <w:spacing w:line="240" w:lineRule="auto"/>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olor w:val="auto"/>
          <w:sz w:val="24"/>
          <w:szCs w:val="24"/>
          <w:highlight w:val="none"/>
          <w:lang w:eastAsia="zh-CN"/>
        </w:rPr>
        <w:t>南宁市桂春路南一里1号</w:t>
      </w:r>
    </w:p>
    <w:p>
      <w:pPr>
        <w:spacing w:line="24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廖焕双</w:t>
      </w:r>
      <w:r>
        <w:rPr>
          <w:rFonts w:hint="eastAsia" w:ascii="宋体" w:hAnsi="宋体" w:cs="宋体"/>
          <w:color w:val="auto"/>
          <w:sz w:val="24"/>
          <w:szCs w:val="24"/>
          <w:highlight w:val="none"/>
        </w:rPr>
        <w:t>、 电话：0771-5539885</w:t>
      </w:r>
    </w:p>
    <w:p>
      <w:pPr>
        <w:pStyle w:val="4"/>
        <w:spacing w:line="240" w:lineRule="auto"/>
        <w:ind w:firstLine="720" w:firstLineChars="300"/>
        <w:rPr>
          <w:rFonts w:ascii="宋体" w:hAnsi="宋体" w:cs="宋体"/>
          <w:b w:val="0"/>
          <w:color w:val="auto"/>
          <w:sz w:val="24"/>
          <w:szCs w:val="24"/>
          <w:highlight w:val="none"/>
        </w:rPr>
      </w:pPr>
      <w:bookmarkStart w:id="38" w:name="_Toc35393807"/>
      <w:bookmarkStart w:id="39" w:name="_Toc28359020"/>
      <w:bookmarkStart w:id="40" w:name="_Toc28359097"/>
      <w:bookmarkStart w:id="41" w:name="_Toc35393638"/>
      <w:r>
        <w:rPr>
          <w:rFonts w:hint="eastAsia" w:ascii="宋体" w:hAnsi="宋体" w:cs="宋体"/>
          <w:b w:val="0"/>
          <w:color w:val="auto"/>
          <w:sz w:val="24"/>
          <w:szCs w:val="24"/>
          <w:highlight w:val="none"/>
        </w:rPr>
        <w:t>2.采购代理机构信息</w:t>
      </w:r>
      <w:bookmarkEnd w:id="38"/>
      <w:bookmarkEnd w:id="39"/>
      <w:bookmarkEnd w:id="40"/>
      <w:bookmarkEnd w:id="41"/>
    </w:p>
    <w:p>
      <w:pPr>
        <w:spacing w:line="24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名    称：广西建设工程机电设备招标中心有限公司</w:t>
      </w:r>
    </w:p>
    <w:p>
      <w:pPr>
        <w:spacing w:line="24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地　　址：南宁市青秀区纬武路165号</w:t>
      </w:r>
    </w:p>
    <w:p>
      <w:pPr>
        <w:spacing w:line="24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韦吉</w:t>
      </w:r>
      <w:r>
        <w:rPr>
          <w:rFonts w:hint="eastAsia" w:ascii="宋体" w:hAnsi="宋体" w:cs="宋体"/>
          <w:color w:val="auto"/>
          <w:sz w:val="24"/>
          <w:szCs w:val="24"/>
          <w:highlight w:val="none"/>
        </w:rPr>
        <w:t>、电话：0771-2808057   传真：0771-2808057</w:t>
      </w:r>
    </w:p>
    <w:p>
      <w:pPr>
        <w:pStyle w:val="4"/>
        <w:spacing w:line="240" w:lineRule="auto"/>
        <w:ind w:firstLine="720" w:firstLineChars="300"/>
        <w:rPr>
          <w:rFonts w:ascii="宋体" w:hAnsi="宋体" w:cs="宋体"/>
          <w:b w:val="0"/>
          <w:color w:val="auto"/>
          <w:sz w:val="24"/>
          <w:szCs w:val="24"/>
          <w:highlight w:val="none"/>
        </w:rPr>
      </w:pPr>
      <w:bookmarkStart w:id="42" w:name="_Toc28359098"/>
      <w:bookmarkStart w:id="43" w:name="_Toc35393639"/>
      <w:bookmarkStart w:id="44" w:name="_Toc28359021"/>
      <w:bookmarkStart w:id="45" w:name="_Toc35393808"/>
      <w:r>
        <w:rPr>
          <w:rFonts w:hint="eastAsia" w:ascii="宋体" w:hAnsi="宋体" w:cs="宋体"/>
          <w:b w:val="0"/>
          <w:color w:val="auto"/>
          <w:sz w:val="24"/>
          <w:szCs w:val="24"/>
          <w:highlight w:val="none"/>
        </w:rPr>
        <w:t>3.项目联系方式</w:t>
      </w:r>
      <w:bookmarkEnd w:id="42"/>
      <w:bookmarkEnd w:id="43"/>
      <w:bookmarkEnd w:id="44"/>
      <w:bookmarkEnd w:id="45"/>
    </w:p>
    <w:p>
      <w:pPr>
        <w:spacing w:line="24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韦吉</w:t>
      </w:r>
      <w:r>
        <w:rPr>
          <w:rFonts w:hint="eastAsia" w:ascii="宋体" w:hAnsi="宋体" w:cs="宋体"/>
          <w:color w:val="auto"/>
          <w:sz w:val="24"/>
          <w:szCs w:val="24"/>
          <w:highlight w:val="none"/>
        </w:rPr>
        <w:t xml:space="preserve">    </w:t>
      </w:r>
    </w:p>
    <w:p>
      <w:pPr>
        <w:spacing w:line="240" w:lineRule="auto"/>
        <w:ind w:firstLine="840" w:firstLineChars="350"/>
        <w:rPr>
          <w:rFonts w:ascii="宋体"/>
          <w:color w:val="auto"/>
          <w:sz w:val="24"/>
          <w:szCs w:val="24"/>
          <w:highlight w:val="none"/>
        </w:rPr>
      </w:pPr>
      <w:r>
        <w:rPr>
          <w:rFonts w:hint="eastAsia" w:ascii="宋体" w:hAnsi="宋体" w:cs="宋体"/>
          <w:color w:val="auto"/>
          <w:sz w:val="24"/>
          <w:szCs w:val="24"/>
          <w:highlight w:val="none"/>
        </w:rPr>
        <w:t>电　　 话：0771-2808057</w:t>
      </w:r>
    </w:p>
    <w:p>
      <w:pPr>
        <w:wordWrap w:val="0"/>
        <w:snapToGrid w:val="0"/>
        <w:spacing w:line="240" w:lineRule="auto"/>
        <w:jc w:val="right"/>
        <w:rPr>
          <w:rFonts w:ascii="宋体"/>
          <w:color w:val="auto"/>
          <w:sz w:val="24"/>
          <w:szCs w:val="24"/>
          <w:highlight w:val="none"/>
        </w:rPr>
      </w:pPr>
    </w:p>
    <w:p>
      <w:pPr>
        <w:snapToGrid w:val="0"/>
        <w:spacing w:line="24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采购代理机构：广西建设工程机电设备招标中心有限公司</w:t>
      </w:r>
    </w:p>
    <w:p>
      <w:pPr>
        <w:snapToGrid w:val="0"/>
        <w:spacing w:line="240" w:lineRule="auto"/>
        <w:jc w:val="right"/>
        <w:rPr>
          <w:rFonts w:ascii="宋体" w:cs="宋体"/>
          <w:color w:val="auto"/>
          <w:sz w:val="24"/>
          <w:szCs w:val="24"/>
          <w:highlight w:val="none"/>
        </w:rPr>
      </w:pPr>
      <w:r>
        <w:rPr>
          <w:rFonts w:ascii="宋体" w:hAnsi="宋体" w:cs="宋体"/>
          <w:color w:val="auto"/>
          <w:sz w:val="24"/>
          <w:szCs w:val="24"/>
          <w:highlight w:val="none"/>
          <w:u w:val="single"/>
        </w:rPr>
        <w:t xml:space="preserve"> 2020</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18 </w:t>
      </w:r>
      <w:r>
        <w:rPr>
          <w:rFonts w:hint="eastAsia" w:ascii="宋体" w:hAnsi="宋体" w:cs="宋体"/>
          <w:color w:val="auto"/>
          <w:sz w:val="24"/>
          <w:szCs w:val="24"/>
          <w:highlight w:val="none"/>
        </w:rPr>
        <w:t>日</w:t>
      </w:r>
    </w:p>
    <w:p>
      <w:pPr>
        <w:spacing w:line="560" w:lineRule="exact"/>
        <w:rPr>
          <w:rFonts w:ascii="仿宋_GB2312" w:eastAsia="仿宋_GB2312"/>
          <w:color w:val="auto"/>
          <w:sz w:val="28"/>
          <w:szCs w:val="28"/>
          <w:highlight w:val="none"/>
        </w:rPr>
      </w:pPr>
    </w:p>
    <w:p>
      <w:pPr>
        <w:snapToGrid w:val="0"/>
        <w:jc w:val="center"/>
        <w:rPr>
          <w:rFonts w:ascii="宋体"/>
          <w:color w:val="auto"/>
          <w:highlight w:val="none"/>
        </w:rPr>
      </w:pPr>
    </w:p>
    <w:p>
      <w:pPr>
        <w:snapToGrid w:val="0"/>
        <w:jc w:val="center"/>
        <w:rPr>
          <w:rFonts w:ascii="宋体"/>
          <w:color w:val="auto"/>
          <w:highlight w:val="none"/>
        </w:rPr>
      </w:pPr>
    </w:p>
    <w:p>
      <w:pPr>
        <w:snapToGrid w:val="0"/>
        <w:jc w:val="center"/>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snapToGrid w:val="0"/>
        <w:rPr>
          <w:rFonts w:ascii="宋体"/>
          <w:color w:val="auto"/>
          <w:highlight w:val="none"/>
        </w:rPr>
      </w:pPr>
    </w:p>
    <w:p>
      <w:pPr>
        <w:snapToGrid w:val="0"/>
        <w:jc w:val="center"/>
        <w:outlineLvl w:val="0"/>
        <w:rPr>
          <w:rFonts w:ascii="宋体"/>
          <w:b/>
          <w:bCs/>
          <w:color w:val="auto"/>
          <w:sz w:val="44"/>
          <w:szCs w:val="44"/>
          <w:highlight w:val="none"/>
        </w:rPr>
      </w:pPr>
      <w:bookmarkStart w:id="46" w:name="_Toc6659"/>
      <w:bookmarkStart w:id="47" w:name="_Toc25743"/>
      <w:r>
        <w:rPr>
          <w:rFonts w:hint="eastAsia" w:ascii="宋体" w:hAnsi="宋体" w:cs="宋体"/>
          <w:b/>
          <w:bCs/>
          <w:color w:val="auto"/>
          <w:sz w:val="44"/>
          <w:szCs w:val="44"/>
          <w:highlight w:val="none"/>
        </w:rPr>
        <w:t>第二章招标项目采购需求</w:t>
      </w:r>
      <w:bookmarkEnd w:id="46"/>
      <w:bookmarkEnd w:id="47"/>
    </w:p>
    <w:p>
      <w:pPr>
        <w:spacing w:line="320" w:lineRule="exact"/>
        <w:ind w:firstLine="482" w:firstLineChars="200"/>
        <w:jc w:val="center"/>
        <w:rPr>
          <w:rFonts w:hAnsi="宋体"/>
          <w:b/>
          <w:bCs/>
          <w:color w:val="auto"/>
          <w:sz w:val="24"/>
          <w:szCs w:val="24"/>
          <w:highlight w:val="none"/>
        </w:rPr>
      </w:pPr>
    </w:p>
    <w:p>
      <w:pPr>
        <w:spacing w:line="320" w:lineRule="exact"/>
        <w:ind w:firstLine="482" w:firstLineChars="200"/>
        <w:jc w:val="center"/>
        <w:rPr>
          <w:rFonts w:hAnsi="宋体"/>
          <w:b/>
          <w:bCs/>
          <w:color w:val="auto"/>
          <w:sz w:val="24"/>
          <w:szCs w:val="24"/>
          <w:highlight w:val="none"/>
        </w:rPr>
      </w:pPr>
      <w:r>
        <w:rPr>
          <w:rFonts w:hint="eastAsia" w:hAnsi="宋体" w:cs="宋体"/>
          <w:b/>
          <w:bCs/>
          <w:color w:val="auto"/>
          <w:sz w:val="24"/>
          <w:szCs w:val="24"/>
          <w:highlight w:val="none"/>
        </w:rPr>
        <w:t>服务需求一览表</w:t>
      </w:r>
    </w:p>
    <w:p>
      <w:pPr>
        <w:adjustRightInd w:val="0"/>
        <w:spacing w:line="3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p>
      <w:pPr>
        <w:adjustRightInd w:val="0"/>
        <w:spacing w:line="340" w:lineRule="exact"/>
        <w:ind w:left="6" w:firstLine="431"/>
        <w:rPr>
          <w:rFonts w:ascii="宋体" w:hAnsi="宋体" w:cs="宋体"/>
          <w:b/>
          <w:bCs/>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本服务需求一览表中标注★号的部分为实质性要求和条件。</w:t>
      </w:r>
    </w:p>
    <w:p>
      <w:pPr>
        <w:spacing w:line="32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、本服务需求一览表中内容如与第五章“合同条款及格式”相关条款不一致的，以本表为准。</w:t>
      </w:r>
    </w:p>
    <w:p>
      <w:pPr>
        <w:spacing w:line="320" w:lineRule="exact"/>
        <w:ind w:firstLine="482" w:firstLineChars="200"/>
        <w:jc w:val="center"/>
        <w:rPr>
          <w:rFonts w:ascii="宋体" w:hAnsi="宋体"/>
          <w:b/>
          <w:bCs/>
          <w:color w:val="auto"/>
          <w:sz w:val="24"/>
          <w:szCs w:val="24"/>
          <w:highlight w:val="none"/>
        </w:rPr>
      </w:pPr>
    </w:p>
    <w:tbl>
      <w:tblPr>
        <w:tblStyle w:val="43"/>
        <w:tblW w:w="9426" w:type="dxa"/>
        <w:tblInd w:w="0" w:type="dxa"/>
        <w:shd w:val="clear" w:color="auto" w:fill="auto"/>
        <w:tblLayout w:type="fixed"/>
        <w:tblCellMar>
          <w:top w:w="0" w:type="dxa"/>
          <w:left w:w="0" w:type="dxa"/>
          <w:bottom w:w="0" w:type="dxa"/>
          <w:right w:w="0" w:type="dxa"/>
        </w:tblCellMar>
      </w:tblPr>
      <w:tblGrid>
        <w:gridCol w:w="518"/>
        <w:gridCol w:w="986"/>
        <w:gridCol w:w="5880"/>
        <w:gridCol w:w="675"/>
        <w:gridCol w:w="445"/>
        <w:gridCol w:w="922"/>
      </w:tblGrid>
      <w:tr>
        <w:tblPrEx>
          <w:shd w:val="clear" w:color="auto" w:fill="auto"/>
          <w:tblLayout w:type="fixed"/>
          <w:tblCellMar>
            <w:top w:w="0" w:type="dxa"/>
            <w:left w:w="0" w:type="dxa"/>
            <w:bottom w:w="0" w:type="dxa"/>
            <w:right w:w="0" w:type="dxa"/>
          </w:tblCellMar>
        </w:tblPrEx>
        <w:trPr>
          <w:trHeight w:val="112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服务名称</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服务内容和要求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最高限价</w:t>
            </w:r>
            <w:r>
              <w:rPr>
                <w:rFonts w:hint="eastAsia" w:ascii="宋体" w:hAnsi="宋体" w:eastAsia="宋体" w:cs="宋体"/>
                <w:b/>
                <w:i w:val="0"/>
                <w:color w:val="auto"/>
                <w:kern w:val="0"/>
                <w:sz w:val="24"/>
                <w:szCs w:val="24"/>
                <w:highlight w:val="none"/>
                <w:u w:val="none"/>
                <w:lang w:val="en-US" w:eastAsia="zh-CN" w:bidi="ar"/>
              </w:rPr>
              <w:br w:type="textWrapping"/>
            </w:r>
            <w:r>
              <w:rPr>
                <w:rFonts w:hint="eastAsia" w:ascii="宋体" w:hAnsi="宋体" w:eastAsia="宋体" w:cs="宋体"/>
                <w:b/>
                <w:i w:val="0"/>
                <w:color w:val="auto"/>
                <w:kern w:val="0"/>
                <w:sz w:val="24"/>
                <w:szCs w:val="24"/>
                <w:highlight w:val="none"/>
                <w:u w:val="none"/>
                <w:lang w:val="en-US" w:eastAsia="zh-CN" w:bidi="ar"/>
              </w:rPr>
              <w:t>（万元）</w:t>
            </w:r>
          </w:p>
        </w:tc>
      </w:tr>
      <w:tr>
        <w:tblPrEx>
          <w:shd w:val="clear" w:color="auto" w:fill="auto"/>
          <w:tblLayout w:type="fixed"/>
          <w:tblCellMar>
            <w:top w:w="0" w:type="dxa"/>
            <w:left w:w="0" w:type="dxa"/>
            <w:bottom w:w="0" w:type="dxa"/>
            <w:right w:w="0" w:type="dxa"/>
          </w:tblCellMar>
        </w:tblPrEx>
        <w:trPr>
          <w:trHeight w:val="2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一</w:t>
            </w:r>
          </w:p>
        </w:tc>
        <w:tc>
          <w:tcPr>
            <w:tcW w:w="798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价格监管平台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238.24</w:t>
            </w:r>
          </w:p>
        </w:tc>
      </w:tr>
      <w:tr>
        <w:tblPrEx>
          <w:shd w:val="clear" w:color="auto" w:fill="auto"/>
          <w:tblLayout w:type="fixed"/>
          <w:tblCellMar>
            <w:top w:w="0" w:type="dxa"/>
            <w:left w:w="0" w:type="dxa"/>
            <w:bottom w:w="0" w:type="dxa"/>
            <w:right w:w="0" w:type="dxa"/>
          </w:tblCellMar>
        </w:tblPrEx>
        <w:trPr>
          <w:trHeight w:val="14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互联网数据采集系统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功能概述：</w:t>
            </w:r>
          </w:p>
          <w:p>
            <w:pPr>
              <w:keepNext w:val="0"/>
              <w:keepLines w:val="0"/>
              <w:widowControl/>
              <w:suppressLineNumbers w:val="0"/>
              <w:ind w:firstLine="560"/>
              <w:jc w:val="left"/>
              <w:textAlignment w:val="auto"/>
              <w:rPr>
                <w:rStyle w:val="146"/>
                <w:rFonts w:hint="eastAsia" w:ascii="宋体" w:hAnsi="宋体" w:eastAsia="宋体" w:cs="宋体"/>
                <w:color w:val="auto"/>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开发互联网数据采价系统，采集互联网上公开的允许获取的物价信息，采价数据范围包括但不限于：</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1、南宁市对标城市公示的商品价格信息。</w:t>
            </w:r>
            <w:r>
              <w:rPr>
                <w:rStyle w:val="145"/>
                <w:rFonts w:hint="eastAsia" w:ascii="宋体" w:hAnsi="宋体" w:eastAsia="宋体" w:cs="宋体"/>
                <w:color w:val="auto"/>
                <w:sz w:val="24"/>
                <w:szCs w:val="24"/>
                <w:highlight w:val="none"/>
                <w:lang w:val="en-US" w:eastAsia="zh-CN" w:bidi="ar"/>
              </w:rPr>
              <w:br w:type="textWrapping"/>
            </w:r>
            <w:r>
              <w:rPr>
                <w:rStyle w:val="146"/>
                <w:rFonts w:hint="eastAsia" w:ascii="宋体" w:hAnsi="宋体" w:eastAsia="宋体" w:cs="宋体"/>
                <w:color w:val="auto"/>
                <w:sz w:val="24"/>
                <w:szCs w:val="24"/>
                <w:highlight w:val="none"/>
                <w:lang w:val="en-US" w:eastAsia="zh-CN" w:bidi="ar"/>
              </w:rPr>
              <w:t>2、输入商品名称、型号等相关信息，提供2个电商平台的相应商品价格做参考。</w:t>
            </w:r>
          </w:p>
          <w:p>
            <w:pPr>
              <w:keepNext w:val="0"/>
              <w:keepLines w:val="0"/>
              <w:widowControl/>
              <w:suppressLineNumbers w:val="0"/>
              <w:ind w:firstLine="560"/>
              <w:jc w:val="left"/>
              <w:textAlignment w:val="auto"/>
              <w:rPr>
                <w:rStyle w:val="146"/>
                <w:rFonts w:hint="eastAsia" w:ascii="宋体" w:hAnsi="宋体" w:eastAsia="宋体" w:cs="宋体"/>
                <w:color w:val="auto"/>
                <w:sz w:val="24"/>
                <w:szCs w:val="24"/>
                <w:highlight w:val="none"/>
                <w:lang w:val="en-US" w:eastAsia="zh-CN" w:bidi="ar"/>
              </w:rPr>
            </w:pPr>
            <w:r>
              <w:rPr>
                <w:rStyle w:val="146"/>
                <w:rFonts w:hint="eastAsia" w:ascii="宋体" w:hAnsi="宋体" w:eastAsia="宋体" w:cs="宋体"/>
                <w:color w:val="auto"/>
                <w:sz w:val="24"/>
                <w:szCs w:val="24"/>
                <w:highlight w:val="none"/>
                <w:lang w:val="en-US" w:eastAsia="zh-CN" w:bidi="ar"/>
              </w:rPr>
              <w:t>系统功能要求：</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1、任务</w:t>
            </w:r>
            <w:r>
              <w:rPr>
                <w:rFonts w:hint="eastAsia" w:ascii="宋体" w:hAnsi="宋体" w:eastAsia="宋体" w:cs="宋体"/>
                <w:color w:val="auto"/>
                <w:sz w:val="24"/>
                <w:szCs w:val="24"/>
                <w:highlight w:val="none"/>
              </w:rPr>
              <w:t>管理功能</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任务</w:t>
            </w:r>
            <w:r>
              <w:rPr>
                <w:rFonts w:hint="eastAsia" w:ascii="宋体" w:hAnsi="宋体" w:eastAsia="宋体" w:cs="宋体"/>
                <w:color w:val="auto"/>
                <w:sz w:val="24"/>
                <w:szCs w:val="24"/>
                <w:highlight w:val="none"/>
              </w:rPr>
              <w:t>管理模块实现</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爬虫系统</w:t>
            </w:r>
            <w:r>
              <w:rPr>
                <w:rFonts w:hint="eastAsia" w:ascii="宋体" w:hAnsi="宋体" w:eastAsia="宋体" w:cs="宋体"/>
                <w:color w:val="auto"/>
                <w:sz w:val="24"/>
                <w:szCs w:val="24"/>
                <w:highlight w:val="none"/>
                <w:lang w:val="en-US" w:eastAsia="zh-CN"/>
              </w:rPr>
              <w:t>任务的执行、运行、成功、失败等</w:t>
            </w:r>
            <w:r>
              <w:rPr>
                <w:rFonts w:hint="eastAsia" w:ascii="宋体" w:hAnsi="宋体" w:eastAsia="宋体" w:cs="宋体"/>
                <w:color w:val="auto"/>
                <w:sz w:val="24"/>
                <w:szCs w:val="24"/>
                <w:highlight w:val="none"/>
              </w:rPr>
              <w:t>状态</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监控</w:t>
            </w:r>
            <w:r>
              <w:rPr>
                <w:rFonts w:hint="eastAsia" w:ascii="宋体" w:hAnsi="宋体" w:eastAsia="宋体" w:cs="宋体"/>
                <w:color w:val="auto"/>
                <w:sz w:val="24"/>
                <w:szCs w:val="24"/>
                <w:highlight w:val="none"/>
                <w:lang w:val="en-US" w:eastAsia="zh-CN"/>
              </w:rPr>
              <w:t>和管理</w:t>
            </w:r>
            <w:r>
              <w:rPr>
                <w:rFonts w:hint="eastAsia" w:ascii="宋体" w:hAnsi="宋体" w:eastAsia="宋体" w:cs="宋体"/>
                <w:color w:val="auto"/>
                <w:sz w:val="24"/>
                <w:szCs w:val="24"/>
                <w:highlight w:val="none"/>
              </w:rPr>
              <w:t>功能。</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网页数据采集功能</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网页数据采集模块负责http连接和获取http头信息。通过httpClient连接外部wap/www网络，并把http头信息保存到httpHeader中，最后封装httpHeader，连接资源的引用等信息存入HeaderQueue中。</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本模块采用web服务架构,用户可方便的通过浏览器配置采集的目标站点或页面。</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采用多线程并发搜索技术，采集过程高效准确。</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用户可方便设定信息监控的时间周期，支持各种定时更新方法。</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支持表单登陆，可抓取需用户登陆才能访问的网站。</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引入页码变量，可有效采集按一定翻页规则从数据库发布出来的信息。</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网页采集DB接口功能</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网页采集DB接口模块实现给网页采集到的数据持久化。</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网页内容抽取功能</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网页内容抽取实现基于模板的内容抽取。</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w:t>
            </w:r>
            <w:r>
              <w:rPr>
                <w:rFonts w:hint="eastAsia" w:ascii="宋体" w:hAnsi="宋体" w:eastAsia="宋体" w:cs="宋体"/>
                <w:color w:val="auto"/>
                <w:sz w:val="24"/>
                <w:szCs w:val="24"/>
                <w:highlight w:val="none"/>
                <w:lang w:val="en-US" w:eastAsia="zh-CN"/>
              </w:rPr>
              <w:t>模板</w:t>
            </w:r>
            <w:r>
              <w:rPr>
                <w:rFonts w:hint="eastAsia" w:ascii="宋体" w:hAnsi="宋体" w:eastAsia="宋体" w:cs="宋体"/>
                <w:color w:val="auto"/>
                <w:sz w:val="24"/>
                <w:szCs w:val="24"/>
                <w:highlight w:val="none"/>
              </w:rPr>
              <w:t>可根据网站的特点，定义网页的特征。系统根据模板，可准确抽取出网页的</w:t>
            </w:r>
            <w:r>
              <w:rPr>
                <w:rFonts w:hint="eastAsia" w:ascii="宋体" w:hAnsi="宋体" w:eastAsia="宋体" w:cs="宋体"/>
                <w:color w:val="auto"/>
                <w:sz w:val="24"/>
                <w:szCs w:val="24"/>
                <w:highlight w:val="none"/>
                <w:lang w:val="en-US" w:eastAsia="zh-CN"/>
              </w:rPr>
              <w:t>相关信息</w:t>
            </w:r>
            <w:r>
              <w:rPr>
                <w:rFonts w:hint="eastAsia" w:ascii="宋体" w:hAnsi="宋体" w:eastAsia="宋体" w:cs="宋体"/>
                <w:color w:val="auto"/>
                <w:sz w:val="24"/>
                <w:szCs w:val="24"/>
                <w:highlight w:val="none"/>
              </w:rPr>
              <w:t>。</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结构化存储功能</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实现将网页内容抽取的内容根据配置的存储规则直接存储到数据库中。</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信息导航功能</w:t>
            </w:r>
          </w:p>
          <w:p>
            <w:pPr>
              <w:keepNext w:val="0"/>
              <w:keepLines w:val="0"/>
              <w:widowControl/>
              <w:suppressLineNumbers w:val="0"/>
              <w:ind w:firstLine="560"/>
              <w:jc w:val="left"/>
              <w:textAlignment w:val="auto"/>
              <w:rPr>
                <w:rStyle w:val="146"/>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t>实现统一的信息导航功能</w:t>
            </w:r>
            <w:r>
              <w:rPr>
                <w:rFonts w:hint="eastAsia" w:ascii="宋体" w:hAnsi="宋体" w:eastAsia="宋体" w:cs="宋体"/>
                <w:color w:val="auto"/>
                <w:sz w:val="24"/>
                <w:szCs w:val="24"/>
                <w:highlight w:val="none"/>
                <w:lang w:eastAsia="zh-CN"/>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196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农本调查系统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一、功能概述：</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由农本调查点人员在采价系统逐日逐条按上报板块格式上报农调户每一项活动每一项收益等调查数据，实现农本调查数据信息化手工采集上报。审核人员可在管理后台审核每一条上报数据和汇总后的上报数据，系统提供近期历史数据作为审核参考依据，并能提供价格跌涨情况超预警值的预警。系统主要包括数据采报上报、数据审核、数据预报预警、汇总审核、综合展示等功能</w:t>
            </w:r>
          </w:p>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二、系统功能要求：</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数据采报上报</w:t>
            </w:r>
          </w:p>
          <w:p>
            <w:pPr>
              <w:ind w:firstLine="56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各调查点农调户通过</w:t>
            </w:r>
            <w:r>
              <w:rPr>
                <w:rFonts w:hint="eastAsia" w:ascii="宋体" w:hAnsi="宋体" w:eastAsia="宋体" w:cs="宋体"/>
                <w:color w:val="auto"/>
                <w:sz w:val="24"/>
                <w:szCs w:val="24"/>
                <w:highlight w:val="none"/>
                <w:lang w:val="en-US" w:eastAsia="zh-CN"/>
              </w:rPr>
              <w:t>手机</w:t>
            </w:r>
            <w:r>
              <w:rPr>
                <w:rFonts w:hint="eastAsia" w:ascii="宋体" w:hAnsi="宋体" w:eastAsia="宋体" w:cs="宋体"/>
                <w:color w:val="auto"/>
                <w:sz w:val="24"/>
                <w:szCs w:val="24"/>
                <w:highlight w:val="none"/>
              </w:rPr>
              <w:t>上报</w:t>
            </w:r>
            <w:r>
              <w:rPr>
                <w:rFonts w:hint="eastAsia" w:ascii="宋体" w:hAnsi="宋体" w:eastAsia="宋体" w:cs="宋体"/>
                <w:color w:val="auto"/>
                <w:kern w:val="0"/>
                <w:sz w:val="24"/>
                <w:szCs w:val="24"/>
                <w:highlight w:val="none"/>
              </w:rPr>
              <w:t>逐日逐条上报农调户每一项活动每一项收益等调查数据。</w:t>
            </w:r>
          </w:p>
          <w:p>
            <w:p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数据审核</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可对各个调查点上报的数据进行逐一审核，审核过程中，系统将自动显示上期价格、涨跌幅度，以及与前期价格比较的情况作为审核依据。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在审核过程中，对于明细的错误数据，可以删除，也可以在与调查点确认后代其更新价格。</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数据预报预警</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可以将所有调查点的数据进行汇总后审核，系统也自动将涨跌幅度超出预警值的价格，通过不同的颜色突出显示，作为汇总审核的参考依据。</w:t>
            </w:r>
          </w:p>
          <w:p>
            <w:p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汇总审核</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对于每次报送情况进行统计，包括对调查点的报送情况，农本品种的报送情况以及报送价格的数据涨跌情况的统计。</w:t>
            </w:r>
          </w:p>
          <w:p>
            <w:p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综合展示</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对农本分类进行指数分析展示。</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价格监测预警系统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一、系统功能概述：</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针对监测信息中心的业务工作，辅助完成各类价格信息的采集、审核、校对、汇总和上报工作，同时系统通过历史数据提供审核参考，对价格跌涨情况通过预先设定的商品预警公式，经自动计算后触发预警值后预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监测中心管理人员通过系统管理后台，派发采价任务到相应采价人员/监测人员，采价人员/检测人员通过采价系统获取相应任务信息后，按采价系统相应模块格式要求进行任务商品价格上报。审核人员可在管理后台审核每一条上报数据和汇总后的上报数据，系统提供近期历史数据作为审核参考依据。支持后台管理人员设置监测点、监测任务、任务派发、查询，自定义汇总等操作。</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二、系统功能要求：</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监测任务报送模块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监测点用户可以通过在线填报、excel表格导入的报表方式报送；也可以通过</w:t>
            </w:r>
            <w:r>
              <w:rPr>
                <w:rFonts w:hint="eastAsia" w:ascii="宋体" w:hAnsi="宋体" w:eastAsia="宋体" w:cs="宋体"/>
                <w:color w:val="auto"/>
                <w:sz w:val="24"/>
                <w:szCs w:val="24"/>
                <w:highlight w:val="none"/>
                <w:lang w:eastAsia="zh-CN"/>
              </w:rPr>
              <w:t>南宁市政府·智慧城市公共服务平台</w:t>
            </w:r>
            <w:r>
              <w:rPr>
                <w:rFonts w:hint="eastAsia" w:ascii="宋体" w:hAnsi="宋体" w:eastAsia="宋体" w:cs="宋体"/>
                <w:color w:val="auto"/>
                <w:sz w:val="24"/>
                <w:szCs w:val="24"/>
                <w:highlight w:val="none"/>
              </w:rPr>
              <w:t>采价功能来进行数据报送。</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1、报表方式</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报表上报主要针对通过PC端上报的用户，用户登陆后根据分配的相应的采价任务上报价格，同时可选择其他报表的功能。</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2、手机app方式</w:t>
            </w:r>
          </w:p>
          <w:p>
            <w:pPr>
              <w:numPr>
                <w:ilvl w:val="0"/>
                <w:numId w:val="1"/>
              </w:numPr>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采集人员根据账户权限，可以登录手机采报价平台，查看与本人有关的监测任务，选择任务进行数据上报；</w:t>
            </w:r>
          </w:p>
          <w:p>
            <w:pPr>
              <w:numPr>
                <w:ilvl w:val="0"/>
                <w:numId w:val="1"/>
              </w:numPr>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可以通过手机查询商品的价格；</w:t>
            </w:r>
          </w:p>
          <w:p>
            <w:pPr>
              <w:numPr>
                <w:ilvl w:val="0"/>
                <w:numId w:val="1"/>
              </w:numPr>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可以接收价格主管部门发布的通知公告。</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监测数据审验模块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1、上报情况审核</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可对各个监测点上报的数据进行逐一审核，审核过程中，系统将自动显示上期价格、涨跌幅度，以及与前期价格比较的情况作为审核依据。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在审核过程中，对于明细的错误数据，可以删除，也可以在与监测点确认后代其更新价格。</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2、数据汇总审核</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可以将本次任务的所有监测点的数据进行汇总后审核，系统也自动将涨跌幅度超出预警值的价格，通过不同的颜色突出显示，作为汇总审核的参考依据。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3、上报情况统计</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对于每次上报任务的报送情况进行统计，包括对监测点的报送情况，商品品种的报送情况以及报送价格的数据涨跌情况的统计。</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任务报表查询模块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有权限的用户可根据监测时段、监测品种、监测表等条件对系统中的监测数据进行查询包括对历史数据的查询。</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1、按上报周期查询</w:t>
            </w:r>
          </w:p>
          <w:p>
            <w:pPr>
              <w:ind w:firstLine="56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可以查询具体某次任务的数据。系统并自动计算本次任务各商品的平均价</w:t>
            </w:r>
            <w:r>
              <w:rPr>
                <w:rFonts w:hint="eastAsia" w:ascii="宋体" w:hAnsi="宋体" w:eastAsia="宋体" w:cs="宋体"/>
                <w:color w:val="auto"/>
                <w:sz w:val="24"/>
                <w:szCs w:val="24"/>
                <w:highlight w:val="none"/>
                <w:lang w:eastAsia="zh-CN"/>
              </w:rPr>
              <w:t>。</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2、按月度汇总查询</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可以按月统计某任务的数据。系统自动计算该任务中的各个商品的月平均价。</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3、自定义查询</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用户通过</w:t>
            </w:r>
            <w:r>
              <w:rPr>
                <w:rFonts w:hint="eastAsia" w:ascii="宋体" w:hAnsi="宋体" w:eastAsia="宋体" w:cs="宋体"/>
                <w:color w:val="auto"/>
                <w:sz w:val="24"/>
                <w:szCs w:val="24"/>
                <w:highlight w:val="none"/>
              </w:rPr>
              <w:t>选择时间段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任务名称以及监测点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生成自定义查询结果</w:t>
            </w:r>
            <w:r>
              <w:rPr>
                <w:rFonts w:hint="eastAsia" w:ascii="宋体" w:hAnsi="宋体" w:eastAsia="宋体" w:cs="宋体"/>
                <w:color w:val="auto"/>
                <w:sz w:val="24"/>
                <w:szCs w:val="24"/>
                <w:highlight w:val="none"/>
              </w:rPr>
              <w:t>。</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监测数据分析模块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1、价格查询比对汇总</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对任意两个时间</w:t>
            </w:r>
            <w:r>
              <w:rPr>
                <w:rFonts w:hint="eastAsia" w:ascii="宋体" w:hAnsi="宋体" w:eastAsia="宋体" w:cs="宋体"/>
                <w:color w:val="auto"/>
                <w:sz w:val="24"/>
                <w:szCs w:val="24"/>
                <w:highlight w:val="none"/>
                <w:lang w:val="en-US" w:eastAsia="zh-CN"/>
              </w:rPr>
              <w:t>段</w:t>
            </w:r>
            <w:r>
              <w:rPr>
                <w:rFonts w:hint="eastAsia" w:ascii="宋体" w:hAnsi="宋体" w:eastAsia="宋体" w:cs="宋体"/>
                <w:color w:val="auto"/>
                <w:sz w:val="24"/>
                <w:szCs w:val="24"/>
                <w:highlight w:val="none"/>
              </w:rPr>
              <w:t>内上报的数据进行分析比对。</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2、价格趋势分析</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对某个时间段内的历次监测数据汇总显示，并以曲线图的方式直观显示价格的变化情况。</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3、上报情况汇总</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对监测点完成监测任务的情况进行统计，包括迟报、漏报、错报等多种上报情况。</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4、月度统计分析</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月度统计分析表，统计某个任务中的商品涨跌幅度。</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监测预警预报模块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直观的预警预测效果展示功能。自动生成预警报告，历史预警商品可追溯查询；“商品价格红绿灯预警”针对重点关注的部分商品按预警规则进行直观的“红、</w:t>
            </w:r>
            <w:r>
              <w:rPr>
                <w:rFonts w:hint="eastAsia" w:ascii="宋体" w:hAnsi="宋体" w:eastAsia="宋体" w:cs="宋体"/>
                <w:color w:val="auto"/>
                <w:sz w:val="24"/>
                <w:szCs w:val="24"/>
                <w:highlight w:val="none"/>
                <w:lang w:val="en-US" w:eastAsia="zh-CN"/>
              </w:rPr>
              <w:t>绿</w:t>
            </w:r>
            <w:r>
              <w:rPr>
                <w:rFonts w:hint="eastAsia" w:ascii="宋体" w:hAnsi="宋体" w:eastAsia="宋体" w:cs="宋体"/>
                <w:color w:val="auto"/>
                <w:sz w:val="24"/>
                <w:szCs w:val="24"/>
                <w:highlight w:val="none"/>
              </w:rPr>
              <w:t>”预警提醒；“商品价格对比预警”针对特定关联商品按其价格的比值进行预测的预警提醒。</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1、预警值设置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可以针对监测任务中的每个商品设置其预警值，并且可以针对不同的比较对象设置不同的预警值。预警值可以灵活设置，并且可以根据需要进行调整。</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2、上报预警</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在监测人员上报价格时，自动会将本期上报的价格与前期价格进行比对，当涨跌幅超过预警值时则自动通过红绿色块显示，当</w:t>
            </w:r>
            <w:r>
              <w:rPr>
                <w:rFonts w:hint="eastAsia" w:ascii="宋体" w:hAnsi="宋体" w:eastAsia="宋体" w:cs="宋体"/>
                <w:color w:val="auto"/>
                <w:sz w:val="24"/>
                <w:szCs w:val="24"/>
                <w:highlight w:val="none"/>
                <w:lang w:val="en-US" w:eastAsia="zh-CN"/>
              </w:rPr>
              <w:t>出现红色预警</w:t>
            </w:r>
            <w:r>
              <w:rPr>
                <w:rFonts w:hint="eastAsia" w:ascii="宋体" w:hAnsi="宋体" w:eastAsia="宋体" w:cs="宋体"/>
                <w:color w:val="auto"/>
                <w:sz w:val="24"/>
                <w:szCs w:val="24"/>
                <w:highlight w:val="none"/>
              </w:rPr>
              <w:t>时，要求监测人员输入价格变化的原因（备注）。</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3、涨跌幅预警</w:t>
            </w:r>
          </w:p>
          <w:p>
            <w:pPr>
              <w:ind w:firstLine="56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按时间段</w:t>
            </w:r>
            <w:r>
              <w:rPr>
                <w:rFonts w:hint="eastAsia" w:ascii="宋体" w:hAnsi="宋体" w:eastAsia="宋体" w:cs="宋体"/>
                <w:color w:val="auto"/>
                <w:sz w:val="24"/>
                <w:szCs w:val="24"/>
                <w:highlight w:val="none"/>
              </w:rPr>
              <w:t>显示超过预警指标的商品</w:t>
            </w:r>
            <w:r>
              <w:rPr>
                <w:rFonts w:hint="eastAsia" w:ascii="宋体" w:hAnsi="宋体" w:eastAsia="宋体" w:cs="宋体"/>
                <w:color w:val="auto"/>
                <w:sz w:val="24"/>
                <w:szCs w:val="24"/>
                <w:highlight w:val="none"/>
                <w:lang w:eastAsia="zh-CN"/>
              </w:rPr>
              <w:t>。</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4、历史价格比对预警</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生成某商品1、3、5年最高价、最低价，用当前价格进行比对预警。</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5、价格趋势分析</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对某个时间段内的历次监测数据汇总显示，并以曲线图的方式直观显示价格的变化情况。</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6、价格趋势预警</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可以查询某任务商品的价格走势情况，通过曲线图来显示价格的走势情况，并根据设定的各种预警值，自动显示商品的价格异动情况，通过红绿灯方式突出显示。当价格接近历史最高点或最低点时进行预警提醒。</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7、指标体系预警</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指标体系预警。设立某商品的预警公式，经过自动计算，触发预警值后进行预警。</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监测材料管理模块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实现对监测材料的报送、分级审核，以及对监测材料进行评分；评分标准可以根据需要进行灵活的调整。</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由价格主管部门对其下级部门或各上报点、监测定点单位通过网络手段进行信息下发上报，同时可针对监测材料进行评审打分。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1、各区县可向上级价格部门报送监测分析材料</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2、可对各区县上报的监测分析材料的数量、质量进行考核评分。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3、对发布的监测材料进行评分汇总统计。</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监测政务信息模块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该专栏主要用于发布监测工作通知、监测任务、工作动态及相关分析材料。</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1、通知公告</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显示发布的价格监测工作的通知、监测任务及其他事务。</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2、工作动态</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显示发布的最新市价格监测中心及各市区价格监测中心工作动态。</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监测内容管理模块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1、监测类别管理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商品类别采用树形结构进行管理。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2、监测内容管理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商品基本信息管理：主要维护商品基本信息，包括：品名、规格、备注。</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商品扩展属性管理：商品扩展属性管理主要维护商品个性化信息，如：产地（生产企业）、计量单位、最小包装数量、商品图片等。</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监测体系管理模块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1、任务目录管理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对监测任务可以分类管理。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2、监测报送表管理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（1）监测任务基础信息设置</w:t>
            </w:r>
          </w:p>
          <w:p>
            <w:pPr>
              <w:numPr>
                <w:ilvl w:val="0"/>
                <w:numId w:val="2"/>
              </w:numPr>
              <w:ind w:firstLine="5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可以设置任务的类型（常规监测、临时监测）；</w:t>
            </w:r>
          </w:p>
          <w:p>
            <w:pPr>
              <w:numPr>
                <w:ilvl w:val="0"/>
                <w:numId w:val="2"/>
              </w:numPr>
              <w:ind w:firstLine="5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可以选择任务所归属的任务目录，可以设置监测任务的周期；</w:t>
            </w:r>
          </w:p>
          <w:p>
            <w:pPr>
              <w:numPr>
                <w:ilvl w:val="0"/>
                <w:numId w:val="2"/>
              </w:numPr>
              <w:ind w:firstLine="5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可以设置任务是否自动审核或发布。</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（2）监测商品设置</w:t>
            </w:r>
          </w:p>
          <w:p>
            <w:pPr>
              <w:numPr>
                <w:ilvl w:val="0"/>
                <w:numId w:val="3"/>
              </w:numPr>
              <w:ind w:firstLine="5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从商品信息库中，设立对应某次监测任务的所有商品；</w:t>
            </w:r>
          </w:p>
          <w:p>
            <w:pPr>
              <w:numPr>
                <w:ilvl w:val="0"/>
                <w:numId w:val="3"/>
              </w:numPr>
              <w:ind w:firstLine="56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商品的价格预警值，可设定每一种商品的价格幅度预警值，当现商品价格超预警值时相应模块可进行提醒功能。</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3、价格类型设置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根据需要的采价价格不同，可以选择不同的价格类型，如：零售价、批发价、出场价、购入价等等。</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4、监测点设置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系统支持灵活设置监测点，可以针对某个价格类型，批量设置所有商品的监测点，也可以针对某个商品单独设置监测点。</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系统维护管理模块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1、监测单位管理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监测单位指的是价格主管部门，可以是市价格主管部门，也可以是区、县价格主管部门。</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2、监测人员管理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监测人员性质可以分为两种：监测人员和采价人员。采价人员可以是价格主管部门聘用的，也可以是监测点的工作人员。</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用户基本信息管理：为监测人员分配登陆用户名、口令，并管理其姓名、联系电话等基本信息。</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用户权限管理：为每个用户设定其相应的系统操作权限。</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监测点设置：绑定监测人员、采价人员所分配的监测点，设置后用户仅能上报或查询已绑定监测点的相应数据。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3、报告单位管理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报告单位指提供价格的监测点。主要用户管理监测点的基本信息，并根据所提供数据的类别对监测点进行分类管理。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4、监测参数设置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对系统常用参数进行设置，如价格类型、数据存储管理、节假日设置等。</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414"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民生价格公示系统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一、系统功能概述：</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汇总各业务系统采集的包括平价商场等民生价格数据，进行统一查询、汇总，并对历史价格以曲线图形式进行展示，在南宁市政府·智慧城市公共服务平台开发相应的展示功能模块，并将民生价格信息进行公示；同时，提供数据接口供其他公示平台对接。</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二、系统功能要求：</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数据上报模块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1、报表方式</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报表上报主要针对通过PC端上报的用户，可以根据模板要求，将商品价格导入系统中。</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接口</w:t>
            </w:r>
            <w:r>
              <w:rPr>
                <w:rFonts w:hint="eastAsia" w:ascii="宋体" w:hAnsi="宋体" w:eastAsia="宋体" w:cs="宋体"/>
                <w:color w:val="auto"/>
                <w:sz w:val="24"/>
                <w:szCs w:val="24"/>
                <w:highlight w:val="none"/>
              </w:rPr>
              <w:t>方式</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平价商店等企业通过接口</w:t>
            </w:r>
            <w:r>
              <w:rPr>
                <w:rFonts w:hint="eastAsia" w:ascii="宋体" w:hAnsi="宋体" w:eastAsia="宋体" w:cs="宋体"/>
                <w:color w:val="auto"/>
                <w:sz w:val="24"/>
                <w:szCs w:val="24"/>
                <w:highlight w:val="none"/>
              </w:rPr>
              <w:t>主动发送更新数据包。</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数据处理模块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价格主管部门可以对上报的数据进行处理，包括：上报处理、手工处理、处理汇总、价格数据审核</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1、上报处理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提供数据模板，</w:t>
            </w:r>
            <w:r>
              <w:rPr>
                <w:rFonts w:hint="eastAsia" w:ascii="宋体" w:hAnsi="宋体" w:eastAsia="宋体" w:cs="宋体"/>
                <w:color w:val="auto"/>
                <w:sz w:val="24"/>
                <w:szCs w:val="24"/>
                <w:highlight w:val="none"/>
              </w:rPr>
              <w:t>各单位</w:t>
            </w:r>
            <w:r>
              <w:rPr>
                <w:rFonts w:hint="eastAsia" w:ascii="宋体" w:hAnsi="宋体" w:eastAsia="宋体" w:cs="宋体"/>
                <w:color w:val="auto"/>
                <w:sz w:val="24"/>
                <w:szCs w:val="24"/>
                <w:highlight w:val="none"/>
                <w:lang w:val="en-US" w:eastAsia="zh-CN"/>
              </w:rPr>
              <w:t>按照模板格式</w:t>
            </w:r>
            <w:r>
              <w:rPr>
                <w:rFonts w:hint="eastAsia" w:ascii="宋体" w:hAnsi="宋体" w:eastAsia="宋体" w:cs="宋体"/>
                <w:color w:val="auto"/>
                <w:sz w:val="24"/>
                <w:szCs w:val="24"/>
                <w:highlight w:val="none"/>
              </w:rPr>
              <w:t>上报</w:t>
            </w:r>
            <w:r>
              <w:rPr>
                <w:rFonts w:hint="eastAsia" w:ascii="宋体" w:hAnsi="宋体" w:eastAsia="宋体" w:cs="宋体"/>
                <w:color w:val="auto"/>
                <w:sz w:val="24"/>
                <w:szCs w:val="24"/>
                <w:highlight w:val="none"/>
                <w:lang w:val="en-US" w:eastAsia="zh-CN"/>
              </w:rPr>
              <w:t>数据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系统根据上报数据自动处理入库</w:t>
            </w:r>
            <w:r>
              <w:rPr>
                <w:rFonts w:hint="eastAsia" w:ascii="宋体" w:hAnsi="宋体" w:eastAsia="宋体" w:cs="宋体"/>
                <w:color w:val="auto"/>
                <w:sz w:val="24"/>
                <w:szCs w:val="24"/>
                <w:highlight w:val="none"/>
              </w:rPr>
              <w:t>。</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2、手工处理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在进行上报处理操作后，系统将对上报表中的数据进行处理。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用户需要将这些数据进行新增、删除、</w:t>
            </w:r>
            <w:r>
              <w:rPr>
                <w:rFonts w:hint="eastAsia" w:ascii="宋体" w:hAnsi="宋体" w:eastAsia="宋体" w:cs="宋体"/>
                <w:color w:val="auto"/>
                <w:sz w:val="24"/>
                <w:szCs w:val="24"/>
                <w:highlight w:val="none"/>
                <w:lang w:val="en-US" w:eastAsia="zh-CN"/>
              </w:rPr>
              <w:t>修改</w:t>
            </w:r>
            <w:r>
              <w:rPr>
                <w:rFonts w:hint="eastAsia" w:ascii="宋体" w:hAnsi="宋体" w:eastAsia="宋体" w:cs="宋体"/>
                <w:color w:val="auto"/>
                <w:sz w:val="24"/>
                <w:szCs w:val="24"/>
                <w:highlight w:val="none"/>
              </w:rPr>
              <w:t>操作来完善数据库中的商品。</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3、处理汇总</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用于统计数据上报情况，主要按时间统计某日上报单位数量、上报数据量、有效数据、自动处理数量、人工处理数量；也可以查看具体日期的各单位的上报情况。</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信息发布中心模块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信息发布中心作为后台管理平台的一个核心部分，通过后台网站的信息新增，推送到前台网站。</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1、信息发布：发布价格动态分析、维权知识等信息。</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2、信息栏目：维护栏目类别信息。</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3、商家海报：维护各个超市对于商品促销活动所发布的海报。</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公共停车场模块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对全市公共停车场信息进行管理，通过网络爬虫等手段对包括停车场地理位置、泊位、收费标准等信息进行采集、维护、整理，通过门户网站、手机客户端等媒介上进行公示，供市民查询。</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平价商店监管模块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对全市平价商店进行管理。实现对商品价格的动态监管，对平价商店提供的商品信息进行采集、维护、整理，通过门户网站、手机客户端等媒介上进行公示，供市民查询。</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商品维护模块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商品维护里主要包含三个模块：商品类别管理、商品管理和商品关联管理。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1、商品类别管理：主要是针对商品不同类别的管理进行增删改操作。</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2、商品管理：主要是对不同类别的商品进行相应的操作。</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3、商品关联管理：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可以查看某个超市内的所有的商品，每个商品关联了商品库中的多少个商品。</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组织机构模块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1、单位管理：可以维护单位信息。</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2、用户管理：可以维护用户信息。</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电子地图模块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可在电子地图模块上进行显示。显示的内容包括单位类型、单位名称、单位的地理坐标等等。</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）南宁市政府·智慧城市公共服务平台</w:t>
            </w:r>
            <w:r>
              <w:rPr>
                <w:rFonts w:hint="eastAsia" w:ascii="宋体" w:hAnsi="宋体" w:eastAsia="宋体" w:cs="宋体"/>
                <w:color w:val="auto"/>
                <w:sz w:val="24"/>
                <w:szCs w:val="24"/>
                <w:highlight w:val="none"/>
              </w:rPr>
              <w:t>展示功能模块</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南宁市政府·智慧城市公共服务平台</w:t>
            </w:r>
            <w:r>
              <w:rPr>
                <w:rFonts w:hint="eastAsia" w:ascii="宋体" w:hAnsi="宋体" w:eastAsia="宋体" w:cs="宋体"/>
                <w:color w:val="auto"/>
                <w:sz w:val="24"/>
                <w:szCs w:val="24"/>
                <w:highlight w:val="none"/>
              </w:rPr>
              <w:t>对接，在APP上提供智慧物价展示模块，实现对公共停车场、平价商店等已汇总的民生价格公示。市民可直接通过</w:t>
            </w:r>
            <w:r>
              <w:rPr>
                <w:rFonts w:hint="eastAsia" w:ascii="宋体" w:hAnsi="宋体" w:eastAsia="宋体" w:cs="宋体"/>
                <w:color w:val="auto"/>
                <w:sz w:val="24"/>
                <w:szCs w:val="24"/>
                <w:highlight w:val="none"/>
                <w:lang w:eastAsia="zh-CN"/>
              </w:rPr>
              <w:t>南宁市政府·智慧城市公共服务平台</w:t>
            </w:r>
            <w:r>
              <w:rPr>
                <w:rFonts w:hint="eastAsia" w:ascii="宋体" w:hAnsi="宋体" w:eastAsia="宋体" w:cs="宋体"/>
                <w:color w:val="auto"/>
                <w:sz w:val="24"/>
                <w:szCs w:val="24"/>
                <w:highlight w:val="none"/>
              </w:rPr>
              <w:t>查询及检索相关民生价格信息。</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6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价费定调信息系统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一、系统功能概述：</w:t>
            </w:r>
          </w:p>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根据政务服务系统的价格审批事项，建设定调事项库，实现历史事项的存储、查询与检索。</w:t>
            </w:r>
          </w:p>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二、系统功能要求：</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定调事项库模块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建设定调事项库，对定调价事项进行目录化管理，并维护相关类别信息。实现历史事项的存储。实现历史事项的查询以及文件的查询。</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价费任务报送模块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价费点用户可以通过在线填报、excel表格导入的报表方式报送；也可以通过</w:t>
            </w:r>
            <w:r>
              <w:rPr>
                <w:rFonts w:hint="eastAsia" w:ascii="宋体" w:hAnsi="宋体" w:eastAsia="宋体" w:cs="宋体"/>
                <w:color w:val="auto"/>
                <w:sz w:val="24"/>
                <w:szCs w:val="24"/>
                <w:highlight w:val="none"/>
                <w:lang w:eastAsia="zh-CN"/>
              </w:rPr>
              <w:t>南宁市政府·智慧城市公共服务平台</w:t>
            </w:r>
            <w:r>
              <w:rPr>
                <w:rFonts w:hint="eastAsia" w:ascii="宋体" w:hAnsi="宋体" w:eastAsia="宋体" w:cs="宋体"/>
                <w:color w:val="auto"/>
                <w:sz w:val="24"/>
                <w:szCs w:val="24"/>
                <w:highlight w:val="none"/>
              </w:rPr>
              <w:t>采价功能来进行数据报送。</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1、报表方式</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报表上报主要针对通过PC端上报的用户，用户登陆后根据分配的相应的价费任务上报价格，同时可选择其他报表的功能。</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2、手机app方式</w:t>
            </w:r>
          </w:p>
          <w:p>
            <w:pPr>
              <w:numPr>
                <w:ilvl w:val="0"/>
                <w:numId w:val="1"/>
              </w:numPr>
              <w:ind w:left="0"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采集人员根据账户权限，可以登录手机</w:t>
            </w:r>
            <w:r>
              <w:rPr>
                <w:rFonts w:hint="eastAsia" w:ascii="宋体" w:hAnsi="宋体" w:eastAsia="宋体" w:cs="宋体"/>
                <w:color w:val="auto"/>
                <w:sz w:val="24"/>
                <w:szCs w:val="24"/>
                <w:highlight w:val="none"/>
                <w:lang w:val="en-US"/>
              </w:rPr>
              <w:t>价费</w:t>
            </w:r>
            <w:r>
              <w:rPr>
                <w:rFonts w:hint="eastAsia" w:ascii="宋体" w:hAnsi="宋体" w:eastAsia="宋体" w:cs="宋体"/>
                <w:color w:val="auto"/>
                <w:sz w:val="24"/>
                <w:szCs w:val="24"/>
                <w:highlight w:val="none"/>
              </w:rPr>
              <w:t>平台，查看与本人有关的</w:t>
            </w:r>
            <w:r>
              <w:rPr>
                <w:rFonts w:hint="eastAsia" w:ascii="宋体" w:hAnsi="宋体" w:eastAsia="宋体" w:cs="宋体"/>
                <w:color w:val="auto"/>
                <w:sz w:val="24"/>
                <w:szCs w:val="24"/>
                <w:highlight w:val="none"/>
                <w:lang w:val="en-US"/>
              </w:rPr>
              <w:t>价费</w:t>
            </w:r>
            <w:r>
              <w:rPr>
                <w:rFonts w:hint="eastAsia" w:ascii="宋体" w:hAnsi="宋体" w:eastAsia="宋体" w:cs="宋体"/>
                <w:color w:val="auto"/>
                <w:sz w:val="24"/>
                <w:szCs w:val="24"/>
                <w:highlight w:val="none"/>
              </w:rPr>
              <w:t>任务，选择任务进行数据上报；</w:t>
            </w:r>
          </w:p>
          <w:p>
            <w:pPr>
              <w:numPr>
                <w:ilvl w:val="0"/>
                <w:numId w:val="1"/>
              </w:numPr>
              <w:ind w:left="0"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可以通过手机查询商品的价格；</w:t>
            </w:r>
          </w:p>
          <w:p>
            <w:pPr>
              <w:numPr>
                <w:ilvl w:val="0"/>
                <w:numId w:val="1"/>
              </w:numPr>
              <w:ind w:left="0"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可以接收价格主管部门发布的通知公告。</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价费数据审验模块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1、上报情况审核</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可对各个价费点上报的数据进行逐一审核，审核过程中，系统将显示上期价格、涨跌幅度，以及与前期价格比较的情况作为审核依据。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在审核过程中，对于明细的错误数据，可以删除，也可以在与价费点确认后代其更新价格。</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2、数据汇总审核</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可以将本次任务的所有价费点的数据进行汇总后审核，系统也自动将涨跌幅度超出预警值的价格，通过不同的颜色突出显示，作为汇总审核的参考依据。</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3、上报情况统计</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对于每次上报任务的报送情况进行统计，包括对价费点的报送情况，商品品种的报送情况以及报送价格的数据涨跌情况的统计。对于报送情况不佳的任务将进行预警提醒。</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任务报表查询模块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有权限的用户可根据价费时段、价费品种、价费表等条件对系统中的价费数据进行查询包括对历史数据的查询。</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1、按上报周期查询</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可以查询具体某次任务的数据。系统并自动计算本次任务各商品的平均价。</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2、按月度汇总查询</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可以按月统计某任务的数据。系统自动计算该任务中的各个商品的月平均价。</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3、自定义查询</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可以根据需要，选择要查询的时间段，要查询的任务名称，以及要查询的价费点。系统则根据设定的条件，形成查询表单。</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价费信息发布模块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1、信息发布：发布价费动态分析信息。</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2、信息栏目：维护栏目类别信息。</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价费信息检索模块</w:t>
            </w:r>
          </w:p>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可通过关键字快速检索，查询出符合条件的办理事项，以及某一事项的办件详情：包括基本信息、申报材料、进度跟踪、流程明细、打印记录、操作记录等。</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52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收费动态监管服务系统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一、系统功能概述：</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针对政府物价部门统一定价的收费事项进行全流程监管。对实行政府统一定价的收费单位/企业，如政府基金和行政事业性收费、涉企事务性收费等，物价主管部门对报告材料进行审核办理并将审核结果下发收费单位，并形成收费目录清单对外进行公示；同时通过对接相关收费方的收费数据，获取实际收费价格数据，包括对接景区、学校、交通、养老、殡葬等相关10个单位的数据。后续逐步接入到物业、停车场等非政府统一定价企业/单位部门的收费方实际收费数据，进行收费数据监控，进行接口预留。</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二、系统功能要求：</w:t>
            </w:r>
          </w:p>
          <w:p>
            <w:pPr>
              <w:pStyle w:val="6"/>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收费单位</w:t>
            </w:r>
            <w:r>
              <w:rPr>
                <w:rFonts w:hint="eastAsia" w:ascii="宋体" w:hAnsi="宋体" w:cs="宋体"/>
                <w:color w:val="auto"/>
                <w:sz w:val="24"/>
                <w:szCs w:val="24"/>
                <w:highlight w:val="none"/>
                <w:lang w:val="en-US" w:eastAsia="zh-CN"/>
              </w:rPr>
              <w:t>收费情况收集录入</w:t>
            </w:r>
          </w:p>
          <w:p>
            <w:pPr>
              <w:keepNext w:val="0"/>
              <w:keepLines w:val="0"/>
              <w:widowControl/>
              <w:suppressLineNumbers w:val="0"/>
              <w:ind w:firstLine="480" w:firstLineChars="20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收费单位（企业）的收费日常情况变更、年度收费的最新进展情况，按照规定上报到物价主管部门，有主管部门进行收费单位收费情况录入，用作对外公示。业务处室对收费单位提供的收费情况，定制收费目录清单，并对外公示收费情况报告及收费目录清单等信息。</w:t>
            </w:r>
          </w:p>
          <w:p>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社会发布</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面</w:t>
            </w:r>
            <w:r>
              <w:rPr>
                <w:rFonts w:hint="eastAsia" w:ascii="宋体" w:hAnsi="宋体" w:eastAsia="宋体" w:cs="宋体"/>
                <w:color w:val="auto"/>
                <w:sz w:val="24"/>
                <w:szCs w:val="24"/>
                <w:highlight w:val="none"/>
              </w:rPr>
              <w:t>向社会群众提供服务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发布信息包括如下：</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1、收费情况报告</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根据收费单位、收费项目名称等多种组合条件，查询收费项目、收费情况报告及公示详情。</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公示乱收费的单位、企业名单。</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2、收费目录清单</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查询各种专项的收费目录清单明细。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3、收费项目公示</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查询各系统收费项目及收费标准。</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4、收费年报公示</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查询年报通过名单、年报未通过名单及未年报名单。</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5、咨询投诉</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可在线提交咨询投诉信息，直接转入12358进行处理。</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6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价格服务系统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firstLine="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一、系统功能概述：</w:t>
            </w:r>
          </w:p>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价格服务系统汇总各业务系统采集的民生价格数据，进行统一查询、汇总，并对历史价格走势分析。</w:t>
            </w:r>
          </w:p>
          <w:p>
            <w:pPr>
              <w:keepNext w:val="0"/>
              <w:keepLines w:val="0"/>
              <w:widowControl/>
              <w:suppressLineNumbers w:val="0"/>
              <w:ind w:firstLine="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二、系统功能要求：</w:t>
            </w:r>
          </w:p>
          <w:p>
            <w:pPr>
              <w:ind w:firstLine="0"/>
              <w:jc w:val="left"/>
              <w:rPr>
                <w:rFonts w:hint="eastAsia" w:ascii="宋体" w:hAnsi="宋体" w:eastAsia="宋体" w:cs="宋体"/>
                <w:color w:val="auto"/>
                <w:sz w:val="24"/>
                <w:szCs w:val="24"/>
                <w:highlight w:val="none"/>
              </w:rPr>
            </w:pPr>
            <w:bookmarkStart w:id="48" w:name="_Hlk52934858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收费清单模块</w:t>
            </w:r>
          </w:p>
          <w:bookmarkEnd w:id="48"/>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根据分类查询发布的收费目录清单，如政府基金及行政事业性收费目录、涉企行政事业性收费目录、政府价格管理的经营服务性收费目录、涉企经营服务性收费目录等。</w:t>
            </w:r>
          </w:p>
          <w:p>
            <w:p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收费公示模块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查询各收费单位收费登记表，涉及收费项目、收费标准等信息。</w:t>
            </w:r>
          </w:p>
          <w:p>
            <w:p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民生价格模块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系统对多种渠道采集的价格数据进行整合，面向社会公布价格信息。</w:t>
            </w:r>
          </w:p>
          <w:p>
            <w:p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政策法规模块</w:t>
            </w:r>
          </w:p>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查询系统管理的政策法规。</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1057"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平价商店管理系统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一、系统功能概述：</w:t>
            </w:r>
          </w:p>
          <w:p>
            <w:pPr>
              <w:keepNext w:val="0"/>
              <w:keepLines w:val="0"/>
              <w:widowControl/>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为南宁市物价管理部门和全市平价商店经营企业提供平价商店数据的自动采集、补贴计算、统计分析的功能。</w:t>
            </w:r>
          </w:p>
          <w:p>
            <w:pPr>
              <w:keepNext w:val="0"/>
              <w:keepLines w:val="0"/>
              <w:widowControl/>
              <w:numPr>
                <w:ilvl w:val="-1"/>
                <w:numId w:val="0"/>
              </w:numPr>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二、系统功能要求：</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前置加密传输系统</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部署在各超市的总店或分店，负责将该店的平价数据加密抽取。</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数据接收解析系统</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负责将从超市抽取回来的数据解密，校验，入库存储。</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最高限价自动导入</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管理员在后台导入最高限价表后，限价表能自动在首页生成。供所有用户下载。</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异常状态表</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未上报日期统计，统计指定时间段内所有数据上报异常的平价店。</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平价数据采集模块</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平价采集数据实时展现界面，补贴异常表把不能获得补贴的异常数据独立筛选呈现出来。</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补贴管理</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全市所有平价店销售明细数据的补贴计算。</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统计分析</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以季度为统计维度进行统计分析；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以月为统计维度进行统计分析；</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以日为统计维度进行统计分析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以季度为统计维度，统计在指定时间段内某个平价店销售各个品种的明细；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以月为统计维度，统计在指定时间段内某个平价店销售各个品种的明细；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以日为统计维度，统计在指定时间段内某个平价店销售各个品种的明细。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图表</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平价店季度统计图表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平价店月统计图表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平价店日统计图表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品种季度统计图表 </w:t>
            </w:r>
          </w:p>
          <w:p>
            <w:pPr>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品种月统计图表 </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品种日统计图表 </w:t>
            </w:r>
          </w:p>
          <w:p>
            <w:pPr>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后台管理</w:t>
            </w:r>
          </w:p>
          <w:p>
            <w:pPr>
              <w:keepNext w:val="0"/>
              <w:keepLines w:val="0"/>
              <w:widowControl/>
              <w:numPr>
                <w:ilvl w:val="-1"/>
                <w:numId w:val="0"/>
              </w:numPr>
              <w:suppressLineNumbers w:val="0"/>
              <w:ind w:firstLine="56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进行平价店管理、人员管理等配置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14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南宁市政府·智慧城市公共服务平台采价模块</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新建开发南宁市政府·智慧城市公共服务平台的采价功能模块，实现物价数据采集上报。主要数据填报模块包括：</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1）农本调查数据上报模块</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由农调户每日按照该数据模块的格式要求，逐项填报相关调查数据并提交反馈；</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2）监测任务数据上报模块 </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监测点人员接收监测任务，接收任务后，该数据模块格式要求，逐项填报相关调查数据并提交反馈；</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3）价格定调事项板块</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工作人员接收任务后，按模块数据要求进行填报反馈。</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56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物价数据大屏展示一张图</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firstLine="480" w:firstLineChars="20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通过建设南宁物价一张图，展示南宁市物价的数据情况，全局掌握南宁物价情况（非动态）。</w:t>
            </w:r>
          </w:p>
          <w:p>
            <w:pPr>
              <w:widowControl/>
              <w:ind w:firstLine="0"/>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一张图展示内容包括但不限于：</w:t>
            </w:r>
          </w:p>
          <w:p>
            <w:pPr>
              <w:widowControl/>
              <w:ind w:firstLine="0"/>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1）全市物价情况汇总概览</w:t>
            </w:r>
          </w:p>
          <w:p>
            <w:pPr>
              <w:widowControl/>
              <w:ind w:firstLine="0"/>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2）按物品分类进行价格趋势曲线图展示</w:t>
            </w:r>
          </w:p>
          <w:p>
            <w:pPr>
              <w:widowControl/>
              <w:ind w:firstLine="0"/>
              <w:jc w:val="left"/>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3）与全国其他省会城市或重要城市物价对比展示</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8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11</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接口服务系统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一、系统功能概述：</w:t>
            </w:r>
          </w:p>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接口服务系统为各级物价部门用户和推送信息的部门提供统一接口管理和服务，通过该统一的标准接口接入本系统。预留5个对接接口，用于后期各项系统数据对接。</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二、系统功能要求：</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1、接口服务发布</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（1）接口服务发布申请</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发布申请管理员登录系统后，使用此功能对需要发布的接口服务向系统提出发布申请，包括新增申请、修改申请、删除申请、查询申请、申请发送以及申请撤回功能。</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（2）接口服务发布审核</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发布审核管理员对发布申请管理员所提交的接口服务发布申请信息的合法性、合理性、准确性等进行审核。</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（3）接口服务发布注册</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接口服务审核通过之后，负责接口注册的人员首先在服务总线上进行服务注册，然后将注册信息在接口与服务系统上进行录入管理，具体包括新增、修改、删除、查询功能。</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（4）接口服务发布</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接口服务发布是指将服务总线中已经注册成功并且资费策略已经设置完成的接口服务对外公开发布。</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（5）接口服务发布撤销</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对已经上架的接口服务，如果此接口服务不在使用，对外发布管理员可以对其进行撤销，终止对外发布。</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2、接口服务监控</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（1）服务调用次数统计</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服务调用次数统计是指某一时段内，发布申请管理员所提供的接口服务被调用的次数。</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（2）服务承载情况统计</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服务承载情况统计是指接口服务被调用的最大并发用户数量。</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（3）服务性能统计</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服务性能统计是指接口服务被调用的响应时间，延迟时间。</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（4）服务分类统计</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服务分类统计是指按照时间进行服务分类的统计分析调用次数。</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3、接口服务使用</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（1）接口服务使用申请</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使用申请管理员要使用某个接口服务，首先到目录管理服务中检索该接口服务是否存在，找到后向平台中心提交使用申请，主要功能点包括新增申请、修改申请、删除申请、查询申请以及申请发送。</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（2）接口服务使用审核</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使用审核管理员对信息资源使用者所提交的接口服务使用申请信息的合法性、合理性、准确性等进行审核。</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4、API开放接口</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接口和服务子系统提供支持二次开发的API开放接口，同时提供符合本平台技术标准的接口说明文档和测试程序。</w:t>
            </w:r>
          </w:p>
          <w:p>
            <w:pPr>
              <w:keepNext w:val="0"/>
              <w:keepLines w:val="0"/>
              <w:widowControl/>
              <w:numPr>
                <w:ilvl w:val="-1"/>
                <w:numId w:val="0"/>
              </w:numPr>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二</w:t>
            </w:r>
          </w:p>
        </w:tc>
        <w:tc>
          <w:tcPr>
            <w:tcW w:w="798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应用支撑平台</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价格信息基础数据系统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ind w:firstLine="0" w:firstLineChars="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功能概述：</w:t>
            </w:r>
          </w:p>
          <w:p>
            <w:pPr>
              <w:keepNext w:val="0"/>
              <w:keepLines w:val="0"/>
              <w:widowControl/>
              <w:suppressLineNumbers w:val="0"/>
              <w:ind w:firstLine="0" w:firstLineChars="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通过统一的访问入口，实现结构化数据资源、非结构化文档和互联网资源、各种应用系统跨数据库、跨系统平台的无缝接入和集成，提供一个支持信息访问、传递、以及协作的集成化环境，实现业务应用的高效开发、集成、部署与管理；并根据每个用户的角色权限，为用户提供特定的访问关键业务信息的安全通道和应用界面。</w:t>
            </w:r>
          </w:p>
          <w:p>
            <w:pPr>
              <w:keepNext w:val="0"/>
              <w:keepLines w:val="0"/>
              <w:widowControl/>
              <w:suppressLineNumbers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二、系统功能要求：</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容器服务模块</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通过可视化操作界面为不同主机资源规划不同用途，实现资源高效管理。提供接口、微服务等管理，提供无感知升级体验，发布新版本、回滚旧版本不影响用户正常使用。</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数据交换模块</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外部系统、网站或平台内系统数据的采集、转换、传输。提供可视化的交换配置和开发工具。可利用数据交换设计工具来设计数据的转换和各种任务。数据交换设计工具提供数据转换与处理设计和交换流程设计功能。数据转换与处理设计支持如对各种数据源的读取，操作和输出等数据处理的大部分功能。</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API网关模块</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保证只有授权的渠道才可调用平台API，针对API进行流量控制，防止恶意调用。</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统一消息模块</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统一消息模块是在用户和信息源之间搭起一座公共的桥梁，用户通过多种途径（包括通过计算机、手机等）与统一消息平台“相连”，</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服务信息。</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组件复用模块</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在业务系统开发的过程中，逐步积累可以复用的公共组件，实现公共组件复用。</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智能化监控模块</w:t>
            </w:r>
          </w:p>
          <w:p>
            <w:pPr>
              <w:keepNext w:val="0"/>
              <w:keepLines w:val="0"/>
              <w:widowControl/>
              <w:suppressLineNumbers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主动巡检主机、业务系统、服务接口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性能状况，</w:t>
            </w:r>
            <w:r>
              <w:rPr>
                <w:rFonts w:hint="eastAsia" w:ascii="宋体" w:hAnsi="宋体" w:eastAsia="宋体" w:cs="宋体"/>
                <w:color w:val="auto"/>
                <w:sz w:val="24"/>
                <w:szCs w:val="24"/>
                <w:highlight w:val="none"/>
                <w:lang w:val="en-US" w:eastAsia="zh-CN"/>
              </w:rPr>
              <w:t>系统指标</w:t>
            </w:r>
            <w:r>
              <w:rPr>
                <w:rFonts w:hint="eastAsia" w:ascii="宋体" w:hAnsi="宋体" w:eastAsia="宋体" w:cs="宋体"/>
                <w:color w:val="auto"/>
                <w:sz w:val="24"/>
                <w:szCs w:val="24"/>
                <w:highlight w:val="none"/>
              </w:rPr>
              <w:t>异常时，主动通知运维人员。</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bookmarkStart w:id="49" w:name="_Toc48040004"/>
            <w:bookmarkStart w:id="50" w:name="_Toc46720955"/>
            <w:r>
              <w:rPr>
                <w:rFonts w:hint="eastAsia" w:ascii="宋体" w:hAnsi="宋体" w:eastAsia="宋体" w:cs="宋体"/>
                <w:color w:val="auto"/>
                <w:kern w:val="0"/>
                <w:sz w:val="24"/>
                <w:szCs w:val="24"/>
                <w:highlight w:val="none"/>
                <w:u w:val="none"/>
                <w:lang w:bidi="ar"/>
              </w:rPr>
              <w:t>单点登录</w:t>
            </w:r>
            <w:bookmarkEnd w:id="49"/>
            <w:bookmarkEnd w:id="50"/>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使用后台的统一的认证体系，形成项目的统一入口，共享多应用系统之间的用户认证信息，可以实现在由统一门户登录，各应用子系统之间即可自由切换，无需再次登录。</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统一认证</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提供用户的统一认证。</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项</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国产化数据库软件</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eastAsia="zh-CN" w:bidi="ar"/>
              </w:rPr>
            </w:pPr>
            <w:r>
              <w:rPr>
                <w:rFonts w:hint="eastAsia" w:ascii="宋体" w:hAnsi="宋体" w:eastAsia="宋体" w:cs="宋体"/>
                <w:i w:val="0"/>
                <w:color w:val="auto"/>
                <w:kern w:val="0"/>
                <w:sz w:val="24"/>
                <w:szCs w:val="24"/>
                <w:highlight w:val="none"/>
                <w:u w:val="none"/>
                <w:lang w:bidi="ar"/>
              </w:rPr>
              <w:t>参考品牌：达梦、人大金仓</w:t>
            </w:r>
            <w:r>
              <w:rPr>
                <w:rFonts w:hint="eastAsia" w:ascii="宋体" w:hAnsi="宋体" w:cs="宋体"/>
                <w:i w:val="0"/>
                <w:color w:val="auto"/>
                <w:kern w:val="0"/>
                <w:sz w:val="24"/>
                <w:szCs w:val="24"/>
                <w:highlight w:val="none"/>
                <w:u w:val="none"/>
                <w:lang w:eastAsia="zh-CN" w:bidi="ar"/>
              </w:rPr>
              <w:t>、</w:t>
            </w:r>
            <w:r>
              <w:rPr>
                <w:rFonts w:hint="eastAsia" w:ascii="宋体" w:hAnsi="宋体" w:cs="宋体"/>
                <w:i w:val="0"/>
                <w:color w:val="auto"/>
                <w:kern w:val="0"/>
                <w:sz w:val="24"/>
                <w:szCs w:val="24"/>
                <w:highlight w:val="none"/>
                <w:u w:val="none"/>
                <w:lang w:val="en-US" w:eastAsia="zh-CN" w:bidi="ar"/>
              </w:rPr>
              <w:t>神州通用</w:t>
            </w:r>
            <w:r>
              <w:rPr>
                <w:rFonts w:hint="eastAsia" w:ascii="宋体" w:hAnsi="宋体" w:eastAsia="宋体" w:cs="宋体"/>
                <w:i w:val="0"/>
                <w:color w:val="auto"/>
                <w:kern w:val="0"/>
                <w:sz w:val="24"/>
                <w:szCs w:val="24"/>
                <w:highlight w:val="none"/>
                <w:u w:val="none"/>
                <w:lang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国产化应用中间件</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bidi="ar"/>
              </w:rPr>
            </w:pPr>
            <w:r>
              <w:rPr>
                <w:rFonts w:hint="eastAsia" w:ascii="宋体" w:hAnsi="宋体" w:eastAsia="宋体" w:cs="宋体"/>
                <w:color w:val="auto"/>
                <w:kern w:val="0"/>
                <w:sz w:val="24"/>
                <w:szCs w:val="24"/>
                <w:highlight w:val="none"/>
                <w:lang w:bidi="ar"/>
              </w:rPr>
              <w:t>参考品牌：东方通、金蝶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中创</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2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国产化服务器操作系统</w:t>
            </w:r>
          </w:p>
        </w:tc>
        <w:tc>
          <w:tcPr>
            <w:tcW w:w="5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bidi="ar"/>
              </w:rPr>
            </w:pPr>
            <w:r>
              <w:rPr>
                <w:rFonts w:hint="eastAsia" w:ascii="宋体" w:hAnsi="宋体" w:eastAsia="宋体" w:cs="宋体"/>
                <w:i w:val="0"/>
                <w:color w:val="auto"/>
                <w:kern w:val="0"/>
                <w:sz w:val="24"/>
                <w:szCs w:val="24"/>
                <w:highlight w:val="none"/>
                <w:u w:val="none"/>
                <w:lang w:val="en-US" w:eastAsia="zh-CN" w:bidi="ar"/>
              </w:rPr>
              <w:t>参考品牌：中标麒麟、银河麒麟</w:t>
            </w:r>
            <w:r>
              <w:rPr>
                <w:rFonts w:hint="eastAsia" w:ascii="宋体" w:hAnsi="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中科方德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9</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套</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4"/>
                <w:szCs w:val="24"/>
                <w:highlight w:val="none"/>
                <w:u w:val="none"/>
              </w:rPr>
            </w:pPr>
          </w:p>
        </w:tc>
      </w:tr>
      <w:tr>
        <w:tblPrEx>
          <w:shd w:val="clear" w:color="auto" w:fill="auto"/>
          <w:tblLayout w:type="fixed"/>
          <w:tblCellMar>
            <w:top w:w="0" w:type="dxa"/>
            <w:left w:w="0" w:type="dxa"/>
            <w:bottom w:w="0" w:type="dxa"/>
            <w:right w:w="0" w:type="dxa"/>
          </w:tblCellMar>
        </w:tblPrEx>
        <w:trPr>
          <w:trHeight w:val="112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款</w:t>
            </w:r>
          </w:p>
        </w:tc>
        <w:tc>
          <w:tcPr>
            <w:tcW w:w="8908"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一、合同签订期：自中标通知书发出之日起15日内；若因中标人自身原因未能在约定的时间内与采购人签订合同的，采购人将不再受理合同签订事宜，并报南宁市政府采购监督管理办公室终止项目合同签订、取消中标人中标资格，中标人自行承担由此产生的后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二、提交服务成果时间：自合同签订之日起10天内完成本项目的深化设计方案、项目整体实施计划和方案；自合同签订之日起</w:t>
            </w:r>
            <w:r>
              <w:rPr>
                <w:rFonts w:hint="eastAsia" w:ascii="宋体" w:hAnsi="宋体" w:eastAsia="宋体" w:cs="宋体"/>
                <w:i w:val="0"/>
                <w:color w:val="auto"/>
                <w:kern w:val="0"/>
                <w:sz w:val="24"/>
                <w:szCs w:val="24"/>
                <w:highlight w:val="none"/>
                <w:u w:val="none"/>
                <w:lang w:val="en-US" w:eastAsia="zh-CN" w:bidi="ar"/>
              </w:rPr>
              <w:t>2个月</w:t>
            </w:r>
            <w:r>
              <w:rPr>
                <w:rFonts w:hint="eastAsia" w:ascii="宋体" w:hAnsi="宋体" w:eastAsia="宋体" w:cs="宋体"/>
                <w:i w:val="0"/>
                <w:color w:val="auto"/>
                <w:kern w:val="0"/>
                <w:sz w:val="24"/>
                <w:szCs w:val="24"/>
                <w:highlight w:val="none"/>
                <w:u w:val="none"/>
                <w:lang w:val="en-US" w:eastAsia="zh-CN" w:bidi="ar"/>
              </w:rPr>
              <w:t>内完成全部软件开发、部署完成并符合验收条件，提交所有成果。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三、交付地点：南宁市采购人指定地点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四、开发与实施要求：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本次项目的应用软件为定制开发，应用软件开发与实施工作要求投标人制定提供详细的系统整体设计方案、软件开发、系统实施方案，项目实施方案必须条理清晰，方案明确，软件开发思路清晰，架构先进，开发进度计划合理，实施推广方案到位和验收措施合理、完备。</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2、项目启动至竣工验收期间，中标人须安排项目团队应当驻采购单位开展项目工作。项目团队至少须提供</w:t>
            </w:r>
            <w:r>
              <w:rPr>
                <w:rFonts w:hint="eastAsia" w:ascii="宋体" w:hAnsi="宋体" w:eastAsia="宋体" w:cs="宋体"/>
                <w:i w:val="0"/>
                <w:color w:val="auto"/>
                <w:kern w:val="0"/>
                <w:sz w:val="24"/>
                <w:szCs w:val="24"/>
                <w:highlight w:val="none"/>
                <w:u w:val="none"/>
                <w:lang w:val="en-US" w:eastAsia="zh-CN" w:bidi="ar"/>
              </w:rPr>
              <w:t>15</w:t>
            </w:r>
            <w:r>
              <w:rPr>
                <w:rFonts w:hint="eastAsia" w:ascii="宋体" w:hAnsi="宋体" w:eastAsia="宋体" w:cs="宋体"/>
                <w:i w:val="0"/>
                <w:color w:val="auto"/>
                <w:kern w:val="0"/>
                <w:sz w:val="24"/>
                <w:szCs w:val="24"/>
                <w:highlight w:val="none"/>
                <w:u w:val="none"/>
                <w:lang w:val="en-US" w:eastAsia="zh-CN" w:bidi="ar"/>
              </w:rPr>
              <w:t>名（含15名）以上的开发人员（投标人须在投标文件中提供本项目驻场开发团队成员本项目截标日前半年内投标人为其连续缴纳3个月及以上的社保证明清晰复印件），工作时间是5天*8小时（每周）。项目中途未经采购人书面同意不允许更换项目主要负责人员。如果中标人确因无法抗拒的原因必须更换项目人员时，必须向采购人提交书面申请，经同意后，提供一名具有同等或更高资历、熟悉相关业务的人员替换该职位。同时，软件开发与实施过程所需一切工具（含开发工具）、仪表等设备或工具均由中标人自行负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3、中标人需要提供完整且和国家标准的项目工程文档，主要包括：系统需求规格说明书、系统概要设计、数据库设计、系统详细设计、系统安装部署方案、有关测试文档、用户使用手册、系统维护手册等文档及全部软件源代码。开发过程中发生要求变更、设计调整等情况时，要有规范的、可回溯的记录文档。产品和所有技术文档要具有严格的一致性。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五、培训要求：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1、中标人须制定完整的培训计划，经采购人确认后方可实施培训；</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在项目终验前和质保期内分别对采购人及项目各使用单位免费开展不少于2次的集中现场培训（具体培训人数、时间及地点由采购人确定），确保培训对象对系统的整体结构、基本原理、技术特征、操作规范、运行规程、管理维护等方面获得全面了解，使其能够独立开展系统的全部运行、操作、维护等工作；并在项目实施和维护过程中根据实际工作要求对相关人员进行免费技术指导和培训。</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★3、中标人需为培训工作提供培训场地、培训教材、培训教师以及培训所需的硬软件环境，培训费用及被培训人员所有费用由中标人负责。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六、质量保障要求：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投标人应确保其开发的产品以及所提供产品的完整性、实用性，保证全部系统及时投入正常运行。若因投标人提供的产品不满足要求、不合理，或者所提供的技术支持和服务不全面，而导致系统无法实现或不能完全实现的状况，投标人负全部责任。</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★2、权属要求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项目范围内应采购人要求进行系统开发所取得的软件成果，有关的知识产权均属于采购人享有。采购人可以在其业务范围内充分自由地利用这些成果开展业务活动。中标人应当依采购人的要求，提供一切必要的信息和采取一切必要的行动，包括申请、注册、登记等，协助采购人取得和行使有关的知识产权。项目服务成果有关的发明权、署名权（依照法律规定应由中标人署名的除外）等精神权利归采购人享有，中标人应尊重采购人的精神权利并协助采购人行使这些权利。</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中标人在为采购人提供开发服务期间，出于项目的需要使用任何第三方的软件知识产权的产品，中标人需具有对该产品合法所有权或使用权或分许可权，在不侵犯第三方合法权益的情况下使用，使用第三方产品产生的费用纳入本项目的开发成本。中标人违反本条规定而产生侵权纠纷，导致采购人不能正常运行本项目开发的系统，则中标人负责赔偿采购人由此造成的全部损失。</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（3）本项目涉及的有关技术数据、业务数据、用户数据，未经采购人书面同意，中标人无权私自处置或作为其他用途。</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中标人需提供为本项目开发的所有运行程序、代码、工程文档（不含第三方产品和中标人独立产品的代码）给采购人，用于本平台的软件和代码进行修改、升级和维护。该平台的软件和代码的修改、升级和维护权利归采购人所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（5）采购人有自行对该产品、技术文档和介质做额外的拷贝备份的使用权。</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3、技术文档的要求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中标人需向采购人提供软件的全套介质光盘的同时，应提供每套软件的配套的全部技术文档。并在盘上明确标注有软件名称及安装序号等，以保证在该系统验收移交采购人使用后出现软件运行故障或数据/文件丢失时，可自行安装恢复。</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（2）中标人提供的技术文档应与其提供的软件相一致，技术文档应该全面、完整、详细。中标人向采购人提供的所有技术文档资料均应采用中文。</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（3）中标人提供的技术文档应能够满足采购人对产品安装、使用、维护、应用开发的需要。中标人提供的技术文档范围至少应包括：用户手册（用于安装、操作、维护、故障排除等）。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（4）项目开发与实施后，投标人必须提供详细的用户手册、软硬件测试报告、试运行记录、系统验收文档以及设备的说明书等文件（包括电子文档）。若上述资料不全，采购人有权拒绝验收。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七、售后服务要求：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★1、质量保证期１年（自最终验收合格之日起计）。投标人须提供服务质量保证承诺，免费质保期承诺，售后服务承诺，在质保期内，当行业标准、技术规范发生改变时，中标人须免费修改相关内容。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2、本服务内容：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（1）质保期内，中标人免费进行软件修改、完善和升级开发。</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（2）项目质保期内，为确保平台的正常运作，投标人须提供驻采购人现场的驻场服务，中标人须指派不少于</w:t>
            </w:r>
            <w:r>
              <w:rPr>
                <w:rFonts w:hint="eastAsia" w:ascii="宋体" w:hAnsi="宋体" w:eastAsia="宋体" w:cs="宋体"/>
                <w:i w:val="0"/>
                <w:color w:val="auto"/>
                <w:kern w:val="0"/>
                <w:sz w:val="24"/>
                <w:szCs w:val="24"/>
                <w:highlight w:val="none"/>
                <w:u w:val="none"/>
                <w:lang w:val="en-US" w:eastAsia="zh-CN" w:bidi="ar"/>
              </w:rPr>
              <w:t>2名</w:t>
            </w:r>
            <w:r>
              <w:rPr>
                <w:rFonts w:hint="eastAsia" w:ascii="宋体" w:hAnsi="宋体" w:eastAsia="宋体" w:cs="宋体"/>
                <w:i w:val="0"/>
                <w:color w:val="auto"/>
                <w:kern w:val="0"/>
                <w:sz w:val="24"/>
                <w:szCs w:val="24"/>
                <w:highlight w:val="none"/>
                <w:u w:val="none"/>
                <w:lang w:val="en-US" w:eastAsia="zh-CN" w:bidi="ar"/>
              </w:rPr>
              <w:t>参与本项目的维护及运营服务人员常驻项目现场（投标人须在投标文件中提供人员分工安排表，及本项目驻场维保团队成员最近半年内投标人为其连续缴纳3个月及以上的社保证明清晰复印件），工作时间是5天*8小时（每周））提供技术服务及支撑运营服务。同时，软件开发与实施过程所需一切工具（含开发工具）、仪表等设备或工具均由中标人自行负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（3）质保期内，采购人如有重要活动等，中标人必须根据采购人要求提供现场工程师2人及以上，保障系统正常运行，中标人现场工程师的食宿费用自理，采购人不负责。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（4）在质保期内提供免费的维护，期间如发生系统运作故障，或出现瑕疵与缺陷，中标人需及时作出响应提供维护服务。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（5）中标人应提供完整有效的成果及数据，对所开发的软件如出现漏洞（专业术语BUG），实行终身免费修改维护。</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3、服务响应时间：</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★（1）提供7×24小时本地化技术服务支持。系统出现故障时，驻场技术人员须在半小时内响应，其它维护力量1小时内到达采购人指定现场，4 小时内解决故障并恢复系统运行。</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（2）投标人须在投标文件中提供在重大节日、重大活动期间提供技术保障和服务保障的方案，并按方案要求提供保障工作。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（3）中标人应制定软件运行维护、升级管理的详细方案，并由现场驻点人员按方案定期记录和实施升级服务，中标人需要保证每个季度不少于1 次定期系统维护，并出具巡检及维护报告。</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4、质保期后，中标人应明确承诺继续优惠提供维护服务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★（1）承诺提供系统升级、故障排除、性能调优、技术咨询等售后技术支持服务情况，维护费用不超过合同价的0.5%。</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（2）对于产品安全问题应及时免费提供补丁；</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（3）对于因软件设计等技术原因而引起的故障，中标人应免费提供解决方案；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（4）质量保证期后，中标人对其提供的软件（包括所有模块）应提供终身售后维护服务和技术支持，对软件升级收取服务费用需提供长期优惠折扣30%政策。</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5、投标人设有技术服务热线，提供永久的电话咨询技术支持服务。并设有专门的用户反馈系统，方便用户问题咨询与投诉。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八、投标报价：</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1、投标报价为采购人指定地点的现场交货价，包括：</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（1）服务的价格；</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（2）其他费用（包括但不限于运输、装卸、软件开发、软件部署、调试、培训、技术支持、售后服务、检测、更新升级等费用）；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（3）必要的保险费用和各项税费；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（4）安装费用（包括但不限于各类软件、系统等的安装、集成、试运行等费用）；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（5）培训费用（包括但不限于场地费、教材等）；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（6）与各类相关系统对接的费用（含第三方接口费）；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（7）包括项目整体验收各项费用。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九、付款方式：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合同生效后，中标人提供《项目整体深化设计方案》、《项目整体实施计划和方案》，并交付本项目各系统软件原型后，通过采购人认可，采购人支付中标人合同总价45%；完成本系统项目整体开发和部署，项目通过验收后，采购人支付中标人55%的合同款。</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十、系统验收要求：</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1、中标人签订合同后10日内由中标人负责自行搭建环境，中标人必须完成投标产品平台软件、硬件的初步测试工作；测试标准：满足招标文件要求；测试环境：根据采购人需要自行搭建测试环境；中标人须自行准备包括但不限于相关必要的软件及硬件设备（按应标承诺要求）；对照招标文件的功能目标及技术指标核对检验，如测试不符合招标文件的技术需求及要求以及提供虚假承诺的，按相关法规规定作处理，中标人承担所有责任和费用，并同时报同级政府采购监督管理部门。</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2、验收方法：采购人邀请技术专家现场验收（竣工验收前将邀请第三方专业的检测机构协助验收）；测评机构出具测评报告、监理单位出具监理报告，验收由采购人负责。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验收资料要求：中标人应将系统的全部有关项目整体深化设计方案、项目整体实施计划和方案、软件开发源代码、需求规格说明书、系统设计说明书、项目实施记录以及项目相关的技术规范等；用户使用和维护文档包括用户手册、系统管理维护手册等；测试计划及方案，培训计划和培训资料，以及验收相关材料等文档汇集成册交付采购人。交付物形式包括纸质文档和电子文档光盘。</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4、安全与保密问题：</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中标人应无条件接受项目采购人的保密约定，包括在合同期结束后承诺保密义务，并承担相应的涉密责任，未经许可不得对外泄露用户个人信息等机密信息。</w:t>
            </w:r>
          </w:p>
        </w:tc>
      </w:tr>
    </w:tbl>
    <w:p>
      <w:pPr>
        <w:pStyle w:val="2"/>
        <w:rPr>
          <w:rFonts w:hAnsi="宋体"/>
          <w:b/>
          <w:bCs/>
          <w:color w:val="auto"/>
          <w:highlight w:val="none"/>
        </w:rPr>
      </w:pPr>
    </w:p>
    <w:p>
      <w:pPr>
        <w:snapToGrid w:val="0"/>
        <w:jc w:val="center"/>
        <w:outlineLvl w:val="0"/>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pStyle w:val="2"/>
        <w:rPr>
          <w:rFonts w:ascii="宋体"/>
          <w:b/>
          <w:bCs/>
          <w:color w:val="auto"/>
          <w:sz w:val="44"/>
          <w:szCs w:val="44"/>
          <w:highlight w:val="none"/>
        </w:rPr>
      </w:pPr>
    </w:p>
    <w:p>
      <w:pPr>
        <w:snapToGrid w:val="0"/>
        <w:jc w:val="center"/>
        <w:outlineLvl w:val="0"/>
        <w:rPr>
          <w:rFonts w:ascii="宋体"/>
          <w:b/>
          <w:bCs/>
          <w:color w:val="auto"/>
          <w:sz w:val="44"/>
          <w:szCs w:val="44"/>
          <w:highlight w:val="none"/>
        </w:rPr>
      </w:pPr>
      <w:bookmarkStart w:id="51" w:name="_Toc22043"/>
      <w:bookmarkStart w:id="52" w:name="_Toc20956"/>
      <w:r>
        <w:rPr>
          <w:rFonts w:hint="eastAsia" w:ascii="宋体" w:hAnsi="宋体" w:cs="宋体"/>
          <w:b/>
          <w:bCs/>
          <w:color w:val="auto"/>
          <w:sz w:val="44"/>
          <w:szCs w:val="44"/>
          <w:highlight w:val="none"/>
        </w:rPr>
        <w:t>第三章投标人须知</w:t>
      </w:r>
      <w:bookmarkEnd w:id="51"/>
      <w:bookmarkEnd w:id="52"/>
    </w:p>
    <w:p>
      <w:pPr>
        <w:snapToGrid w:val="0"/>
        <w:jc w:val="center"/>
        <w:rPr>
          <w:rFonts w:ascii="宋体"/>
          <w:b/>
          <w:bCs/>
          <w:color w:val="auto"/>
          <w:sz w:val="32"/>
          <w:szCs w:val="32"/>
          <w:highlight w:val="none"/>
        </w:rPr>
      </w:pPr>
      <w:bookmarkStart w:id="53" w:name="_Toc254970526"/>
      <w:bookmarkStart w:id="54" w:name="_Toc254970667"/>
      <w:r>
        <w:rPr>
          <w:rFonts w:hint="eastAsia" w:ascii="宋体" w:hAnsi="宋体" w:cs="宋体"/>
          <w:b/>
          <w:bCs/>
          <w:color w:val="auto"/>
          <w:sz w:val="32"/>
          <w:szCs w:val="32"/>
          <w:highlight w:val="none"/>
        </w:rPr>
        <w:t>前附表</w:t>
      </w:r>
      <w:bookmarkEnd w:id="53"/>
      <w:bookmarkEnd w:id="54"/>
    </w:p>
    <w:tbl>
      <w:tblPr>
        <w:tblStyle w:val="43"/>
        <w:tblW w:w="946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8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800"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b/>
                <w:bCs/>
                <w:color w:val="auto"/>
                <w:sz w:val="24"/>
                <w:szCs w:val="24"/>
                <w:highlight w:val="none"/>
                <w:lang w:eastAsia="zh-CN"/>
              </w:rPr>
              <w:t>智慧物价——南宁市价格监管平台系统工程标采购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总采购预算：</w:t>
            </w:r>
            <w:r>
              <w:rPr>
                <w:rFonts w:hint="eastAsia" w:ascii="宋体" w:hAnsi="宋体" w:eastAsia="宋体" w:cs="宋体"/>
                <w:b/>
                <w:bCs/>
                <w:color w:val="auto"/>
                <w:sz w:val="24"/>
                <w:szCs w:val="24"/>
                <w:highlight w:val="none"/>
                <w:lang w:eastAsia="zh-CN"/>
              </w:rPr>
              <w:t>238.24万</w:t>
            </w:r>
            <w:r>
              <w:rPr>
                <w:rFonts w:hint="eastAsia" w:ascii="宋体" w:hAnsi="宋体" w:eastAsia="宋体" w:cs="宋体"/>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投标报价及费用：</w:t>
            </w:r>
            <w:r>
              <w:rPr>
                <w:rFonts w:hint="eastAsia" w:ascii="宋体" w:hAnsi="宋体" w:eastAsia="宋体" w:cs="宋体"/>
                <w:color w:val="auto"/>
                <w:sz w:val="24"/>
                <w:szCs w:val="24"/>
                <w:highlight w:val="none"/>
              </w:rPr>
              <w:t>1、本项目投标应以人民币报价；2、不论投标结果如何，投标人均应自行承担所有与投标有关的全部费用；3、本项目代理服务费按国家计委《招标代理服务收费管理暂行办法》（计价格[2002]1980号）规定标准向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投标有效期：</w:t>
            </w:r>
            <w:r>
              <w:rPr>
                <w:rFonts w:hint="eastAsia" w:ascii="宋体" w:hAnsi="宋体" w:eastAsia="宋体" w:cs="宋体"/>
                <w:color w:val="auto"/>
                <w:sz w:val="24"/>
                <w:szCs w:val="24"/>
                <w:highlight w:val="none"/>
              </w:rPr>
              <w:t>□45天☑60天□90天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现场踏勘</w:t>
            </w: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0"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800"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答疑、澄清</w:t>
            </w:r>
            <w:r>
              <w:rPr>
                <w:rFonts w:hint="eastAsia" w:ascii="宋体" w:hAnsi="宋体" w:eastAsia="宋体" w:cs="宋体"/>
                <w:color w:val="auto"/>
                <w:sz w:val="24"/>
                <w:szCs w:val="24"/>
                <w:highlight w:val="none"/>
              </w:rPr>
              <w:t>：投标人应认真阅读本招标文件，发现其中有误或有不合理要求的，投标人应当于公告届满之日起7个工作日前，以书面形式要求招标采购单位澄清。如果澄清、答复、修改或补充的内容可能影响投标文件编制的，采购人或者采购代理机构应当在投标截止时间至少15日前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投标文件份数</w:t>
            </w:r>
            <w:r>
              <w:rPr>
                <w:rFonts w:hint="eastAsia" w:ascii="宋体" w:hAnsi="宋体" w:eastAsia="宋体" w:cs="宋体"/>
                <w:color w:val="auto"/>
                <w:sz w:val="24"/>
                <w:szCs w:val="24"/>
                <w:highlight w:val="none"/>
              </w:rPr>
              <w:t>：资格审查文件</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份；投标文件（包括商务文件、技术文件和报价文件）正本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4 </w:t>
            </w:r>
            <w:r>
              <w:rPr>
                <w:rFonts w:hint="eastAsia" w:ascii="宋体" w:hAnsi="宋体" w:eastAsia="宋体" w:cs="宋体"/>
                <w:color w:val="auto"/>
                <w:sz w:val="24"/>
                <w:szCs w:val="24"/>
                <w:highlight w:val="none"/>
              </w:rPr>
              <w:t>份；开标一览表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2"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800" w:type="dxa"/>
            <w:tcBorders>
              <w:top w:val="single" w:color="auto" w:sz="4" w:space="0"/>
              <w:left w:val="single" w:color="auto" w:sz="4" w:space="0"/>
              <w:bottom w:val="single" w:color="auto" w:sz="4" w:space="0"/>
            </w:tcBorders>
            <w:vAlign w:val="center"/>
          </w:tcPr>
          <w:p>
            <w:pPr>
              <w:snapToGrid w:val="0"/>
              <w:spacing w:line="320" w:lineRule="exact"/>
              <w:ind w:left="60" w:hanging="60" w:hangingChars="2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投标文件签署：</w:t>
            </w:r>
            <w:r>
              <w:rPr>
                <w:rFonts w:hint="eastAsia" w:ascii="宋体" w:hAnsi="宋体" w:eastAsia="宋体" w:cs="宋体"/>
                <w:color w:val="auto"/>
                <w:sz w:val="24"/>
                <w:szCs w:val="24"/>
                <w:highlight w:val="none"/>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30"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800"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装订要求：</w:t>
            </w:r>
            <w:r>
              <w:rPr>
                <w:rFonts w:hint="eastAsia" w:ascii="宋体" w:hAnsi="宋体" w:eastAsia="宋体" w:cs="宋体"/>
                <w:color w:val="auto"/>
                <w:sz w:val="24"/>
                <w:szCs w:val="24"/>
                <w:highlight w:val="none"/>
              </w:rPr>
              <w:t>按照投标人须知第三部分第（一）项规定的投标文件组成内容，投标文件应按以下要求装订：分册装订，共分</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册，分别为：</w:t>
            </w:r>
            <w:r>
              <w:rPr>
                <w:rFonts w:hint="eastAsia" w:ascii="宋体" w:hAnsi="宋体" w:eastAsia="宋体" w:cs="宋体"/>
                <w:color w:val="auto"/>
                <w:sz w:val="24"/>
                <w:szCs w:val="24"/>
                <w:highlight w:val="none"/>
                <w:u w:val="single"/>
              </w:rPr>
              <w:t>资格审查文件为一册；商务文件、技术文件、报价文件（开标一览表除外）为一册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开标一览表为一册</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rPr>
              <w:t>演示录制声像视频U盘1份（如有，请提供）。</w:t>
            </w:r>
          </w:p>
          <w:p>
            <w:pPr>
              <w:snapToGrid w:val="0"/>
              <w:spacing w:line="320" w:lineRule="exact"/>
              <w:ind w:left="60" w:leftChars="0" w:hanging="60" w:hangingChars="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800"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包装、密封：</w:t>
            </w:r>
            <w:r>
              <w:rPr>
                <w:rFonts w:hint="eastAsia" w:ascii="宋体" w:hAnsi="宋体" w:eastAsia="宋体" w:cs="宋体"/>
                <w:color w:val="auto"/>
                <w:sz w:val="24"/>
                <w:szCs w:val="24"/>
                <w:highlight w:val="none"/>
              </w:rPr>
              <w:t>投标人应将所有投标文件的</w:t>
            </w:r>
            <w:r>
              <w:rPr>
                <w:rFonts w:hint="eastAsia" w:ascii="宋体" w:hAnsi="宋体" w:eastAsia="宋体" w:cs="宋体"/>
                <w:color w:val="auto"/>
                <w:sz w:val="24"/>
                <w:szCs w:val="24"/>
                <w:highlight w:val="none"/>
                <w:u w:val="single"/>
              </w:rPr>
              <w:t>资格审查文件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商务及技术文件、报价文件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开标一览表</w:t>
            </w:r>
            <w:r>
              <w:rPr>
                <w:rFonts w:hint="eastAsia" w:ascii="宋体" w:hAnsi="宋体" w:eastAsia="宋体" w:cs="宋体"/>
                <w:color w:val="auto"/>
                <w:sz w:val="24"/>
                <w:szCs w:val="24"/>
                <w:highlight w:val="none"/>
              </w:rPr>
              <w:t>分别密封在</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个密封袋内，密封袋上清楚地标明“资格审查文件”或“商务及技术文件、报价文件”或“开标一览表”。</w:t>
            </w:r>
            <w:r>
              <w:rPr>
                <w:rFonts w:hint="eastAsia" w:ascii="宋体" w:hAnsi="宋体" w:eastAsia="宋体" w:cs="宋体"/>
                <w:b/>
                <w:bCs/>
                <w:color w:val="auto"/>
                <w:sz w:val="24"/>
                <w:szCs w:val="24"/>
                <w:highlight w:val="none"/>
                <w:u w:val="single"/>
              </w:rPr>
              <w:t>演示录制声像视频U盘</w:t>
            </w:r>
            <w:r>
              <w:rPr>
                <w:rFonts w:hint="eastAsia" w:ascii="宋体" w:hAnsi="宋体" w:eastAsia="宋体" w:cs="宋体"/>
                <w:color w:val="auto"/>
                <w:sz w:val="24"/>
                <w:szCs w:val="24"/>
                <w:highlight w:val="none"/>
              </w:rPr>
              <w:t>（如有，请提供，</w:t>
            </w:r>
            <w:r>
              <w:rPr>
                <w:rFonts w:hint="eastAsia" w:ascii="宋体" w:hAnsi="宋体" w:eastAsia="宋体" w:cs="宋体"/>
                <w:b/>
                <w:bCs/>
                <w:color w:val="auto"/>
                <w:sz w:val="24"/>
                <w:szCs w:val="24"/>
                <w:highlight w:val="none"/>
              </w:rPr>
              <w:t>U盘先用小信封单独封装，封面应注明“演示录制声像视频”字样，封面上写明项目名称、项目编号、投标人名称</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提交投标文件时应为</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个密封袋。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投标文件密封袋的封口处应加贴封条并签章（公章、密封章、法定代表人或其委托代理人签名均可）以示密封。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32"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封套上写明：</w:t>
            </w:r>
          </w:p>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投标人地址：</w:t>
            </w:r>
          </w:p>
          <w:p>
            <w:pPr>
              <w:autoSpaceDE w:val="0"/>
              <w:autoSpaceDN w:val="0"/>
              <w:snapToGrid w:val="0"/>
              <w:jc w:val="righ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1、投标文件递交截止时间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9时30分</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2、本项目的投标文件通过邮寄快递的方式送达</w:t>
            </w:r>
            <w:r>
              <w:rPr>
                <w:rFonts w:hint="eastAsia" w:ascii="宋体" w:hAnsi="宋体" w:eastAsia="宋体" w:cs="宋体"/>
                <w:color w:val="auto"/>
                <w:sz w:val="24"/>
                <w:szCs w:val="24"/>
                <w:highlight w:val="none"/>
              </w:rPr>
              <w:t>(不接受现场递交)</w:t>
            </w:r>
            <w:r>
              <w:rPr>
                <w:rFonts w:hint="eastAsia" w:ascii="宋体" w:hAnsi="宋体" w:eastAsia="宋体" w:cs="宋体"/>
                <w:bCs/>
                <w:color w:val="auto"/>
                <w:sz w:val="24"/>
                <w:szCs w:val="24"/>
                <w:highlight w:val="none"/>
              </w:rPr>
              <w:t>。</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3、投标文件邮寄地址：南宁市青秀区纬武路165号招标中心3楼303室；收件人：</w:t>
            </w:r>
            <w:r>
              <w:rPr>
                <w:rFonts w:hint="eastAsia" w:ascii="宋体" w:hAnsi="宋体" w:eastAsia="宋体" w:cs="宋体"/>
                <w:bCs/>
                <w:color w:val="auto"/>
                <w:sz w:val="24"/>
                <w:szCs w:val="24"/>
                <w:highlight w:val="none"/>
                <w:lang w:eastAsia="zh-CN"/>
              </w:rPr>
              <w:t>韦吉</w:t>
            </w:r>
            <w:r>
              <w:rPr>
                <w:rFonts w:hint="eastAsia" w:ascii="宋体" w:hAnsi="宋体" w:eastAsia="宋体" w:cs="宋体"/>
                <w:bCs/>
                <w:color w:val="auto"/>
                <w:sz w:val="24"/>
                <w:szCs w:val="24"/>
                <w:highlight w:val="none"/>
              </w:rPr>
              <w:t>；联系电话：0771-2808057。</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接收邮寄包裹的时间为工作日8：00～18：00。投标文件必须在投标截止时间前送达。招标采购人或招标采购代理机构工作人员签收邮寄包裹的时间即为投标人投标文件的送达时间，逾期送达的投标文件无效，后果由供应商自行承担。</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采购代理机构将在投标标截止时间前一小时统一将收到的投标文件运送至南宁市公共资源交易中心，以确保本项目能在竞标截止（开标）时间准时截标。投标人应充分预留投标文件邮寄、送达所需要的时间。为确保疫情防控期间邮寄包裹能及时送达，应选择邮寄运送时间有保障的快递公司寄送投标文件，并确保在投标截止日期1个工作日前内送达。</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投标人在按照招标文件的要求装订、密封好响应文件后，应使用不透明、防水的邮寄袋或箱子再次包裹已密封好的投标文件，并在邮寄袋或箱子上粘牢注明项目名称、项目编号、项目开标日期、有效的电子邮箱等内容的纸质表格（表格格式详见附件）。</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招标采购人或招标采购代理机构工作人员在收到投标文件的邮寄包裹后，第一时间按照投标人在邮寄包裹上所预留的电子邮箱告知投标文件收件情况，请供投标人必确保所预留的电子邮箱的有效性，并注意查收邮件。</w:t>
            </w:r>
          </w:p>
          <w:p>
            <w:pPr>
              <w:snapToGrid w:val="0"/>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pStyle w:val="2"/>
              <w:rPr>
                <w:rFonts w:hint="eastAsia" w:ascii="宋体" w:hAnsi="宋体" w:eastAsia="宋体" w:cs="宋体"/>
                <w:bCs/>
                <w:color w:val="auto"/>
                <w:sz w:val="24"/>
                <w:szCs w:val="24"/>
                <w:highlight w:val="none"/>
              </w:rPr>
            </w:pP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邮件外包粘贴表格（格式）</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项目开标日期：</w:t>
            </w:r>
          </w:p>
          <w:p>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p>
            <w:pPr>
              <w:snapToGri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联系电子邮箱：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开标时间：</w:t>
            </w:r>
            <w:r>
              <w:rPr>
                <w:rFonts w:hint="eastAsia" w:ascii="宋体" w:hAnsi="宋体" w:eastAsia="宋体" w:cs="宋体"/>
                <w:color w:val="auto"/>
                <w:sz w:val="24"/>
                <w:szCs w:val="24"/>
                <w:highlight w:val="none"/>
              </w:rPr>
              <w:t>2020年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9时30分</w:t>
            </w:r>
          </w:p>
          <w:p>
            <w:pPr>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地点：</w:t>
            </w:r>
            <w:r>
              <w:rPr>
                <w:rFonts w:hint="eastAsia" w:ascii="宋体" w:hAnsi="宋体" w:eastAsia="宋体" w:cs="宋体"/>
                <w:color w:val="auto"/>
                <w:sz w:val="24"/>
                <w:szCs w:val="24"/>
                <w:highlight w:val="none"/>
              </w:rPr>
              <w:t>南宁市良庆区玉洞大道33号南宁市民中心9楼（具体安排详见9楼电子大屏幕场地安排表）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评标办法及评分标准：</w:t>
            </w:r>
            <w:r>
              <w:rPr>
                <w:rFonts w:hint="eastAsia" w:ascii="宋体" w:hAnsi="宋体" w:eastAsia="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3"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spacing w:line="440" w:lineRule="exact"/>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信用查询：</w:t>
            </w: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autoSpaceDE w:val="0"/>
              <w:autoSpaceDN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⑴查询渠道：“信用中国”网站(www.creditchina.gov.cn)、中国政府采购网(www.ccgp.gov.cn)等；</w:t>
            </w:r>
          </w:p>
          <w:p>
            <w:pPr>
              <w:autoSpaceDE w:val="0"/>
              <w:autoSpaceDN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⑵查询截止时点：中标通知书发出前；</w:t>
            </w:r>
          </w:p>
          <w:p>
            <w:pPr>
              <w:autoSpaceDE w:val="0"/>
              <w:autoSpaceDN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⑶信用信息查询记录和证据留存方式：在查询网站中直接打印查询记录，打印材料作为采购活动资料保存。</w:t>
            </w:r>
          </w:p>
          <w:p>
            <w:pPr>
              <w:pStyle w:val="13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24"/>
              <w:spacing w:line="380" w:lineRule="exact"/>
              <w:ind w:firstLine="472" w:firstLineChars="196"/>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jc w:val="left"/>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中标公告及中标通知书：</w:t>
            </w:r>
            <w:r>
              <w:rPr>
                <w:rFonts w:hint="eastAsia" w:ascii="宋体" w:hAnsi="宋体" w:eastAsia="宋体" w:cs="宋体"/>
                <w:color w:val="auto"/>
                <w:sz w:val="24"/>
                <w:szCs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80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签订合同时间：</w:t>
            </w:r>
            <w:r>
              <w:rPr>
                <w:rFonts w:hint="eastAsia" w:ascii="宋体" w:hAnsi="宋体" w:eastAsia="宋体" w:cs="宋体"/>
                <w:color w:val="auto"/>
                <w:sz w:val="24"/>
                <w:szCs w:val="24"/>
                <w:highlight w:val="none"/>
              </w:rPr>
              <w:t>中标通知书发出后 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800" w:type="dxa"/>
            <w:tcBorders>
              <w:top w:val="single" w:color="auto" w:sz="4" w:space="0"/>
              <w:left w:val="single" w:color="auto" w:sz="4" w:space="0"/>
              <w:bottom w:val="single" w:color="auto" w:sz="4" w:space="0"/>
            </w:tcBorders>
          </w:tcPr>
          <w:p>
            <w:pPr>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8800" w:type="dxa"/>
            <w:tcBorders>
              <w:top w:val="single" w:color="auto" w:sz="4" w:space="0"/>
              <w:left w:val="single" w:color="auto" w:sz="4" w:space="0"/>
              <w:bottom w:val="single" w:color="auto" w:sz="4" w:space="0"/>
            </w:tcBorders>
          </w:tcPr>
          <w:p>
            <w:pPr>
              <w:spacing w:line="4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rPr>
              <w:t>合同生效后，中标人提供《项目整体深化设计方案》、《项目整体实施计划和方案》，并交付本项目各系统软件原型后，通过采购人认可，采购人支付中标人合同总价45%；完成本系统项目整体开发和部署，项目通过验收后，采购人支付中标人55%的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66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880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解释：本招标文件的解释权属于招标采购代理机构。</w:t>
            </w:r>
          </w:p>
        </w:tc>
      </w:tr>
    </w:tbl>
    <w:p>
      <w:pPr>
        <w:pStyle w:val="24"/>
        <w:tabs>
          <w:tab w:val="left" w:pos="426"/>
        </w:tabs>
        <w:snapToGrid w:val="0"/>
        <w:jc w:val="center"/>
        <w:rPr>
          <w:rFonts w:hAnsi="宋体" w:cs="Times New Roman"/>
          <w:b/>
          <w:bCs/>
          <w:color w:val="auto"/>
          <w:sz w:val="32"/>
          <w:szCs w:val="32"/>
          <w:highlight w:val="none"/>
        </w:rPr>
      </w:pPr>
      <w:r>
        <w:rPr>
          <w:rFonts w:hAnsi="宋体" w:cs="Times New Roman"/>
          <w:b/>
          <w:bCs/>
          <w:color w:val="auto"/>
          <w:highlight w:val="none"/>
        </w:rPr>
        <w:br w:type="page"/>
      </w:r>
      <w:r>
        <w:rPr>
          <w:rFonts w:hint="eastAsia" w:hAnsi="宋体"/>
          <w:b/>
          <w:bCs/>
          <w:color w:val="auto"/>
          <w:sz w:val="32"/>
          <w:szCs w:val="32"/>
          <w:highlight w:val="none"/>
        </w:rPr>
        <w:t>一、总则</w:t>
      </w:r>
    </w:p>
    <w:p>
      <w:pPr>
        <w:snapToGrid w:val="0"/>
        <w:spacing w:line="360" w:lineRule="exact"/>
        <w:jc w:val="left"/>
        <w:rPr>
          <w:rFonts w:ascii="宋体" w:cs="宋体"/>
          <w:b/>
          <w:bCs/>
          <w:color w:val="auto"/>
          <w:sz w:val="24"/>
          <w:szCs w:val="24"/>
          <w:highlight w:val="none"/>
        </w:rPr>
      </w:pPr>
      <w:bookmarkStart w:id="55" w:name="_Toc254970527"/>
      <w:bookmarkStart w:id="56" w:name="_Toc254970668"/>
      <w:r>
        <w:rPr>
          <w:rFonts w:hint="eastAsia" w:ascii="宋体" w:hAnsi="宋体" w:cs="宋体"/>
          <w:b/>
          <w:bCs/>
          <w:color w:val="auto"/>
          <w:sz w:val="24"/>
          <w:szCs w:val="24"/>
          <w:highlight w:val="none"/>
        </w:rPr>
        <w:t>（一）适用范围</w:t>
      </w:r>
      <w:bookmarkEnd w:id="55"/>
      <w:bookmarkEnd w:id="56"/>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本招标文件适用于</w:t>
      </w:r>
      <w:r>
        <w:rPr>
          <w:rFonts w:hint="eastAsia" w:ascii="宋体" w:hAnsi="宋体" w:cs="宋体"/>
          <w:color w:val="auto"/>
          <w:sz w:val="24"/>
          <w:szCs w:val="24"/>
          <w:highlight w:val="none"/>
          <w:lang w:eastAsia="zh-CN"/>
        </w:rPr>
        <w:t>南宁市经济信息中心</w:t>
      </w:r>
      <w:r>
        <w:rPr>
          <w:rFonts w:hint="eastAsia" w:ascii="宋体" w:hAnsi="宋体" w:cs="宋体"/>
          <w:color w:val="auto"/>
          <w:sz w:val="24"/>
          <w:szCs w:val="24"/>
          <w:highlight w:val="none"/>
        </w:rPr>
        <w:t>单位的</w:t>
      </w:r>
      <w:r>
        <w:rPr>
          <w:rFonts w:hint="eastAsia" w:ascii="宋体" w:hAnsi="宋体" w:cs="宋体"/>
          <w:color w:val="auto"/>
          <w:sz w:val="24"/>
          <w:szCs w:val="24"/>
          <w:highlight w:val="none"/>
          <w:lang w:eastAsia="zh-CN"/>
        </w:rPr>
        <w:t>智慧物价——南宁市价格监管平台系统工程标采购</w:t>
      </w:r>
      <w:r>
        <w:rPr>
          <w:rFonts w:hint="eastAsia" w:ascii="宋体" w:hAnsi="宋体" w:cs="宋体"/>
          <w:color w:val="auto"/>
          <w:sz w:val="24"/>
          <w:szCs w:val="24"/>
          <w:highlight w:val="none"/>
        </w:rPr>
        <w:t>的招标、投标、评标、定标、验收、合同履约、付款等行为（法律、法规另有规定的，从其规定）。</w:t>
      </w:r>
    </w:p>
    <w:p>
      <w:pPr>
        <w:snapToGrid w:val="0"/>
        <w:spacing w:line="360" w:lineRule="exact"/>
        <w:jc w:val="left"/>
        <w:rPr>
          <w:rFonts w:ascii="宋体" w:cs="宋体"/>
          <w:b/>
          <w:bCs/>
          <w:color w:val="auto"/>
          <w:sz w:val="24"/>
          <w:szCs w:val="24"/>
          <w:highlight w:val="none"/>
        </w:rPr>
      </w:pPr>
      <w:bookmarkStart w:id="57" w:name="_Toc254970528"/>
      <w:bookmarkStart w:id="58" w:name="_Toc254970669"/>
      <w:r>
        <w:rPr>
          <w:rFonts w:hint="eastAsia" w:ascii="宋体" w:hAnsi="宋体" w:cs="宋体"/>
          <w:b/>
          <w:bCs/>
          <w:color w:val="auto"/>
          <w:sz w:val="24"/>
          <w:szCs w:val="24"/>
          <w:highlight w:val="none"/>
        </w:rPr>
        <w:t>（二）定义</w:t>
      </w:r>
      <w:bookmarkEnd w:id="57"/>
      <w:bookmarkEnd w:id="58"/>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招标采购单位系指组织本次招标的采购人和代理机构。</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“投标人”系指向招标方提交投标文件的单位或自然人。</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“产品”系指供方按招标文件规定，须向采购人提供的一切设备、保险、税金、备品备件、工具、手册及其它有关技术资料和材料。</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“服务”系指招标文件规定投标人须承担的安装、调试、技术协助、校准、培训、技术指导以及其他类似的义务。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“项目”系指投标人按招标文件规定向采购人提供的产品和服务。</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“书面形式”包括信函、传真、电子邮件等。</w:t>
      </w:r>
    </w:p>
    <w:p>
      <w:pPr>
        <w:snapToGrid w:val="0"/>
        <w:spacing w:line="360" w:lineRule="exact"/>
        <w:jc w:val="left"/>
        <w:rPr>
          <w:rFonts w:ascii="宋体" w:cs="宋体"/>
          <w:b/>
          <w:bCs/>
          <w:color w:val="auto"/>
          <w:sz w:val="24"/>
          <w:szCs w:val="24"/>
          <w:highlight w:val="none"/>
        </w:rPr>
      </w:pPr>
      <w:bookmarkStart w:id="59" w:name="_Toc254970529"/>
      <w:bookmarkStart w:id="60" w:name="_Toc254970670"/>
      <w:r>
        <w:rPr>
          <w:rFonts w:hint="eastAsia" w:ascii="宋体" w:hAnsi="宋体" w:cs="宋体"/>
          <w:b/>
          <w:bCs/>
          <w:color w:val="auto"/>
          <w:sz w:val="24"/>
          <w:szCs w:val="24"/>
          <w:highlight w:val="none"/>
        </w:rPr>
        <w:t>（三）招标方式</w:t>
      </w:r>
      <w:bookmarkEnd w:id="59"/>
      <w:bookmarkEnd w:id="60"/>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公开招标方式。</w:t>
      </w:r>
    </w:p>
    <w:p>
      <w:pPr>
        <w:tabs>
          <w:tab w:val="left" w:pos="426"/>
        </w:tabs>
        <w:snapToGrid w:val="0"/>
        <w:spacing w:line="360" w:lineRule="exact"/>
        <w:jc w:val="left"/>
        <w:rPr>
          <w:rFonts w:ascii="宋体" w:cs="宋体"/>
          <w:b/>
          <w:bCs/>
          <w:color w:val="auto"/>
          <w:sz w:val="24"/>
          <w:szCs w:val="24"/>
          <w:highlight w:val="none"/>
        </w:rPr>
      </w:pPr>
      <w:bookmarkStart w:id="61" w:name="_Toc254970671"/>
      <w:bookmarkStart w:id="62" w:name="_Toc254970530"/>
      <w:r>
        <w:rPr>
          <w:rFonts w:hint="eastAsia" w:ascii="宋体" w:hAnsi="宋体" w:cs="宋体"/>
          <w:b/>
          <w:bCs/>
          <w:color w:val="auto"/>
          <w:sz w:val="24"/>
          <w:szCs w:val="24"/>
          <w:highlight w:val="none"/>
        </w:rPr>
        <w:t>（四）投标委托</w:t>
      </w:r>
      <w:bookmarkEnd w:id="61"/>
      <w:bookmarkEnd w:id="62"/>
    </w:p>
    <w:p>
      <w:pPr>
        <w:pStyle w:val="19"/>
        <w:snapToGrid w:val="0"/>
        <w:spacing w:line="360" w:lineRule="exact"/>
        <w:ind w:firstLine="360" w:firstLineChars="15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napToGrid w:val="0"/>
        <w:spacing w:line="360" w:lineRule="exact"/>
        <w:jc w:val="left"/>
        <w:rPr>
          <w:rFonts w:ascii="宋体" w:cs="宋体"/>
          <w:b/>
          <w:bCs/>
          <w:color w:val="auto"/>
          <w:sz w:val="24"/>
          <w:szCs w:val="24"/>
          <w:highlight w:val="none"/>
        </w:rPr>
      </w:pPr>
      <w:bookmarkStart w:id="63" w:name="_Toc254970672"/>
      <w:bookmarkStart w:id="64" w:name="_Toc254970531"/>
      <w:r>
        <w:rPr>
          <w:rFonts w:hint="eastAsia" w:ascii="宋体" w:hAnsi="宋体" w:cs="宋体"/>
          <w:b/>
          <w:bCs/>
          <w:color w:val="auto"/>
          <w:sz w:val="24"/>
          <w:szCs w:val="24"/>
          <w:highlight w:val="none"/>
        </w:rPr>
        <w:t>（五）投标费用</w:t>
      </w:r>
      <w:bookmarkEnd w:id="63"/>
      <w:bookmarkEnd w:id="64"/>
    </w:p>
    <w:p>
      <w:pPr>
        <w:snapToGrid w:val="0"/>
        <w:spacing w:line="360" w:lineRule="exact"/>
        <w:ind w:firstLine="360" w:firstLineChars="150"/>
        <w:jc w:val="left"/>
        <w:rPr>
          <w:rFonts w:ascii="宋体" w:cs="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不论投标结果如何，投标人均应自行承担所有与投标有关的全部费用（招标文件有相关的规定除外）。</w:t>
      </w:r>
    </w:p>
    <w:p>
      <w:pPr>
        <w:snapToGrid w:val="0"/>
        <w:spacing w:line="360" w:lineRule="exact"/>
        <w:rPr>
          <w:rFonts w:ascii="宋体" w:cs="宋体"/>
          <w:b/>
          <w:bCs/>
          <w:color w:val="auto"/>
          <w:kern w:val="0"/>
          <w:sz w:val="24"/>
          <w:szCs w:val="24"/>
          <w:highlight w:val="none"/>
        </w:rPr>
      </w:pPr>
      <w:r>
        <w:rPr>
          <w:rFonts w:hint="eastAsia" w:ascii="宋体" w:hAnsi="宋体" w:cs="宋体"/>
          <w:b/>
          <w:bCs/>
          <w:color w:val="auto"/>
          <w:sz w:val="24"/>
          <w:szCs w:val="24"/>
          <w:highlight w:val="none"/>
        </w:rPr>
        <w:t>（六）</w:t>
      </w:r>
      <w:r>
        <w:rPr>
          <w:rFonts w:hint="eastAsia" w:ascii="宋体" w:hAnsi="宋体" w:cs="宋体"/>
          <w:b/>
          <w:bCs/>
          <w:color w:val="auto"/>
          <w:kern w:val="0"/>
          <w:sz w:val="24"/>
          <w:szCs w:val="24"/>
          <w:highlight w:val="none"/>
        </w:rPr>
        <w:t>专业分包：</w:t>
      </w:r>
    </w:p>
    <w:p>
      <w:pPr>
        <w:snapToGrid w:val="0"/>
        <w:spacing w:line="360" w:lineRule="exact"/>
        <w:ind w:firstLine="600" w:firstLineChars="250"/>
        <w:rPr>
          <w:rFonts w:ascii="宋体" w:hAnsi="宋体" w:cs="宋体"/>
          <w:b/>
          <w:bCs/>
          <w:color w:val="auto"/>
          <w:kern w:val="0"/>
          <w:sz w:val="24"/>
          <w:szCs w:val="24"/>
          <w:highlight w:val="none"/>
        </w:rPr>
      </w:pPr>
      <w:r>
        <w:rPr>
          <w:rFonts w:hint="eastAsia" w:ascii="宋体" w:hAnsi="宋体" w:cs="宋体"/>
          <w:bCs/>
          <w:color w:val="auto"/>
          <w:kern w:val="0"/>
          <w:sz w:val="24"/>
          <w:szCs w:val="24"/>
          <w:highlight w:val="none"/>
        </w:rPr>
        <w:t>本项目</w:t>
      </w:r>
      <w:r>
        <w:rPr>
          <w:rFonts w:hint="eastAsia" w:ascii="宋体" w:hAnsi="宋体" w:cs="宋体"/>
          <w:bCs/>
          <w:color w:val="auto"/>
          <w:kern w:val="0"/>
          <w:sz w:val="24"/>
          <w:szCs w:val="24"/>
          <w:highlight w:val="none"/>
          <w:u w:val="single"/>
        </w:rPr>
        <w:t>不可以</w:t>
      </w:r>
      <w:r>
        <w:rPr>
          <w:rFonts w:hint="eastAsia" w:ascii="宋体" w:hAnsi="宋体" w:cs="宋体"/>
          <w:bCs/>
          <w:color w:val="auto"/>
          <w:kern w:val="0"/>
          <w:sz w:val="24"/>
          <w:szCs w:val="24"/>
          <w:highlight w:val="none"/>
        </w:rPr>
        <w:t>将</w:t>
      </w:r>
      <w:r>
        <w:rPr>
          <w:rFonts w:hint="eastAsia" w:ascii="宋体" w:hAnsi="宋体" w:cs="宋体"/>
          <w:color w:val="auto"/>
          <w:kern w:val="0"/>
          <w:sz w:val="24"/>
          <w:szCs w:val="24"/>
          <w:highlight w:val="none"/>
        </w:rPr>
        <w:t>非主体、非关键性工作分包。</w:t>
      </w:r>
    </w:p>
    <w:p>
      <w:pPr>
        <w:tabs>
          <w:tab w:val="left" w:pos="426"/>
        </w:tabs>
        <w:snapToGrid w:val="0"/>
        <w:spacing w:line="360" w:lineRule="exact"/>
        <w:jc w:val="left"/>
        <w:rPr>
          <w:rFonts w:ascii="宋体" w:cs="宋体"/>
          <w:b/>
          <w:bCs/>
          <w:color w:val="auto"/>
          <w:sz w:val="24"/>
          <w:szCs w:val="24"/>
          <w:highlight w:val="none"/>
        </w:rPr>
      </w:pPr>
      <w:bookmarkStart w:id="65" w:name="_Toc254970673"/>
      <w:bookmarkStart w:id="66" w:name="_Toc254970532"/>
      <w:r>
        <w:rPr>
          <w:rFonts w:hint="eastAsia" w:ascii="宋体" w:hAnsi="宋体" w:cs="宋体"/>
          <w:b/>
          <w:bCs/>
          <w:color w:val="auto"/>
          <w:sz w:val="24"/>
          <w:szCs w:val="24"/>
          <w:highlight w:val="none"/>
        </w:rPr>
        <w:t>（七）特别说明：</w:t>
      </w:r>
      <w:bookmarkEnd w:id="65"/>
      <w:bookmarkEnd w:id="66"/>
    </w:p>
    <w:p>
      <w:pPr>
        <w:widowControl/>
        <w:shd w:val="clear" w:color="auto" w:fill="FFFFFF"/>
        <w:spacing w:line="360" w:lineRule="exact"/>
        <w:ind w:firstLine="360" w:firstLineChars="150"/>
        <w:jc w:val="left"/>
        <w:rPr>
          <w:rFonts w:ascii="宋体" w:hAnsi="宋体" w:cs="宋体"/>
          <w:color w:val="auto"/>
          <w:sz w:val="24"/>
          <w:szCs w:val="24"/>
          <w:highlight w:val="none"/>
        </w:rPr>
      </w:pPr>
      <w:bookmarkStart w:id="67" w:name="_Toc254970533"/>
      <w:bookmarkStart w:id="68" w:name="_Toc254970674"/>
      <w:r>
        <w:rPr>
          <w:rFonts w:ascii="宋体" w:hAnsi="宋体" w:cs="宋体"/>
          <w:color w:val="auto"/>
          <w:sz w:val="24"/>
          <w:szCs w:val="24"/>
          <w:highlight w:val="none"/>
        </w:rPr>
        <w:t>1</w:t>
      </w:r>
      <w:r>
        <w:rPr>
          <w:rFonts w:hint="eastAsia" w:ascii="宋体" w:hAnsi="宋体" w:cs="宋体"/>
          <w:color w:val="auto"/>
          <w:sz w:val="24"/>
          <w:szCs w:val="24"/>
          <w:highlight w:val="none"/>
        </w:rPr>
        <w:t>、投标人投标所使用的资格、信誉、荣誉、业绩与企业认证必须为本法人或提供服务的服务商所拥有。投标人投标所使用的采购项目实施人员必须为本法人员工（或必须为本法人或控股公司正式员工）。</w:t>
      </w:r>
    </w:p>
    <w:p>
      <w:pPr>
        <w:widowControl/>
        <w:shd w:val="clear" w:color="auto" w:fill="FFFFFF"/>
        <w:spacing w:line="360" w:lineRule="exact"/>
        <w:ind w:firstLine="360" w:firstLineChars="150"/>
        <w:jc w:val="left"/>
        <w:rPr>
          <w:rFonts w:ascii="宋体" w:cs="宋体"/>
          <w:color w:val="auto"/>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sz w:val="24"/>
          <w:szCs w:val="24"/>
          <w:highlight w:val="none"/>
        </w:rPr>
        <w:t>投标人应仔细阅读招标文件的所有内容，按照招标文件的要求提交投标文件，并对所提供的全部资料的真实性承担法律责任。</w:t>
      </w:r>
    </w:p>
    <w:p>
      <w:pPr>
        <w:pStyle w:val="24"/>
        <w:snapToGrid w:val="0"/>
        <w:spacing w:line="360" w:lineRule="exact"/>
        <w:ind w:firstLine="360" w:firstLineChars="15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投标人在投标活动中提供任何虚假材料</w:t>
      </w:r>
      <w:r>
        <w:rPr>
          <w:rFonts w:hAnsi="宋体"/>
          <w:color w:val="auto"/>
          <w:sz w:val="24"/>
          <w:szCs w:val="24"/>
          <w:highlight w:val="none"/>
        </w:rPr>
        <w:t>,</w:t>
      </w:r>
      <w:r>
        <w:rPr>
          <w:rFonts w:hint="eastAsia" w:hAnsi="宋体"/>
          <w:color w:val="auto"/>
          <w:sz w:val="24"/>
          <w:szCs w:val="24"/>
          <w:highlight w:val="none"/>
        </w:rPr>
        <w:t>其投标无效，并报监管部门查处；中标后发现的</w:t>
      </w:r>
      <w:r>
        <w:rPr>
          <w:rFonts w:hAnsi="宋体"/>
          <w:color w:val="auto"/>
          <w:sz w:val="24"/>
          <w:szCs w:val="24"/>
          <w:highlight w:val="none"/>
        </w:rPr>
        <w:t>,</w:t>
      </w:r>
      <w:r>
        <w:rPr>
          <w:rFonts w:hint="eastAsia" w:hAnsi="宋体"/>
          <w:color w:val="auto"/>
          <w:sz w:val="24"/>
          <w:szCs w:val="24"/>
          <w:highlight w:val="none"/>
        </w:rPr>
        <w:t>中标人须依照《中华人民共和国消费者权益保护法》第</w:t>
      </w:r>
      <w:r>
        <w:rPr>
          <w:rFonts w:hAnsi="宋体"/>
          <w:color w:val="auto"/>
          <w:sz w:val="24"/>
          <w:szCs w:val="24"/>
          <w:highlight w:val="none"/>
        </w:rPr>
        <w:t>49</w:t>
      </w:r>
      <w:r>
        <w:rPr>
          <w:rFonts w:hint="eastAsia" w:hAnsi="宋体"/>
          <w:color w:val="auto"/>
          <w:sz w:val="24"/>
          <w:szCs w:val="24"/>
          <w:highlight w:val="none"/>
        </w:rPr>
        <w:t>条之规定双倍赔偿采购人，且民事赔偿并不免除违法投标人的行政与刑事责任。</w:t>
      </w:r>
    </w:p>
    <w:p>
      <w:pPr>
        <w:pStyle w:val="24"/>
        <w:spacing w:line="360" w:lineRule="exact"/>
        <w:ind w:firstLine="360" w:firstLineChars="15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投标截止时间结束后参加投标的供应商不足三家的</w:t>
      </w:r>
      <w:r>
        <w:rPr>
          <w:rFonts w:hAnsi="宋体"/>
          <w:color w:val="auto"/>
          <w:sz w:val="24"/>
          <w:szCs w:val="24"/>
          <w:highlight w:val="none"/>
        </w:rPr>
        <w:t>,</w:t>
      </w:r>
      <w:r>
        <w:rPr>
          <w:rFonts w:hint="eastAsia" w:hAnsi="宋体"/>
          <w:color w:val="auto"/>
          <w:sz w:val="24"/>
          <w:szCs w:val="24"/>
          <w:highlight w:val="none"/>
        </w:rPr>
        <w:t>不予开标，此时将按《政府采购货物和服务招标投标管理办法》（中华人民共和国财政部第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条的有关规定进行办理。</w:t>
      </w:r>
    </w:p>
    <w:p>
      <w:pPr>
        <w:pStyle w:val="24"/>
        <w:spacing w:line="360" w:lineRule="exact"/>
        <w:ind w:firstLine="480" w:firstLineChars="200"/>
        <w:rPr>
          <w:rFonts w:hAnsi="宋体" w:cs="Times New Roman"/>
          <w:color w:val="auto"/>
          <w:sz w:val="24"/>
          <w:szCs w:val="24"/>
          <w:highlight w:val="none"/>
        </w:rPr>
      </w:pPr>
      <w:r>
        <w:rPr>
          <w:rFonts w:hint="eastAsia" w:hAnsi="宋体"/>
          <w:color w:val="auto"/>
          <w:kern w:val="0"/>
          <w:sz w:val="24"/>
          <w:szCs w:val="24"/>
          <w:highlight w:val="none"/>
        </w:rPr>
        <w:t>通过资格审查或符合性审查的投标人不足</w:t>
      </w:r>
      <w:r>
        <w:rPr>
          <w:rFonts w:hAnsi="宋体"/>
          <w:color w:val="auto"/>
          <w:kern w:val="0"/>
          <w:sz w:val="24"/>
          <w:szCs w:val="24"/>
          <w:highlight w:val="none"/>
        </w:rPr>
        <w:t>3</w:t>
      </w:r>
      <w:r>
        <w:rPr>
          <w:rFonts w:hint="eastAsia" w:hAnsi="宋体"/>
          <w:color w:val="auto"/>
          <w:kern w:val="0"/>
          <w:sz w:val="24"/>
          <w:szCs w:val="24"/>
          <w:highlight w:val="none"/>
        </w:rPr>
        <w:t>家的</w:t>
      </w:r>
      <w:r>
        <w:rPr>
          <w:rFonts w:hint="eastAsia" w:hAnsi="宋体"/>
          <w:color w:val="auto"/>
          <w:sz w:val="24"/>
          <w:szCs w:val="24"/>
          <w:highlight w:val="none"/>
        </w:rPr>
        <w:t>将按《政府采购货物和服务招标投标管理办法》（中华人民共和国财政部第</w:t>
      </w:r>
      <w:r>
        <w:rPr>
          <w:rFonts w:hAnsi="宋体"/>
          <w:color w:val="auto"/>
          <w:sz w:val="24"/>
          <w:szCs w:val="24"/>
          <w:highlight w:val="none"/>
        </w:rPr>
        <w:t>87</w:t>
      </w:r>
      <w:r>
        <w:rPr>
          <w:rFonts w:hint="eastAsia" w:hAnsi="宋体"/>
          <w:color w:val="auto"/>
          <w:sz w:val="24"/>
          <w:szCs w:val="24"/>
          <w:highlight w:val="none"/>
        </w:rPr>
        <w:t>号令）第</w:t>
      </w:r>
      <w:r>
        <w:rPr>
          <w:rFonts w:hAnsi="宋体"/>
          <w:color w:val="auto"/>
          <w:sz w:val="24"/>
          <w:szCs w:val="24"/>
          <w:highlight w:val="none"/>
        </w:rPr>
        <w:t>43</w:t>
      </w:r>
      <w:r>
        <w:rPr>
          <w:rFonts w:hint="eastAsia" w:hAnsi="宋体"/>
          <w:color w:val="auto"/>
          <w:sz w:val="24"/>
          <w:szCs w:val="24"/>
          <w:highlight w:val="none"/>
        </w:rPr>
        <w:t>条的有关规定执行。</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有下列情形之一的视为投标人相互串通，投标文件将视为无效：</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）不同投标人的投标文件由同一单位或者个人编制；</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）不同投标人委托同一单位或者个人办理投标事宜</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）不同的投标人的投标文件载明的项目管理员为同一个人</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）不同投标人的投标文件异常一致或投标报价呈规律性差异</w:t>
      </w:r>
      <w:r>
        <w:rPr>
          <w:rFonts w:ascii="宋体" w:hAnsi="宋体" w:cs="宋体"/>
          <w:color w:val="auto"/>
          <w:kern w:val="0"/>
          <w:sz w:val="24"/>
          <w:szCs w:val="24"/>
          <w:highlight w:val="none"/>
        </w:rPr>
        <w:t>;</w:t>
      </w:r>
    </w:p>
    <w:p>
      <w:pPr>
        <w:widowControl/>
        <w:shd w:val="clear" w:color="auto" w:fill="FFFFFF"/>
        <w:spacing w:line="360" w:lineRule="exact"/>
        <w:ind w:firstLine="640"/>
        <w:jc w:val="left"/>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）不同投标人的投标文件相互混装</w:t>
      </w:r>
      <w:r>
        <w:rPr>
          <w:rFonts w:ascii="宋体" w:hAnsi="宋体" w:cs="宋体"/>
          <w:color w:val="auto"/>
          <w:kern w:val="0"/>
          <w:sz w:val="24"/>
          <w:szCs w:val="24"/>
          <w:highlight w:val="none"/>
        </w:rPr>
        <w:t>;</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（八）质疑和投诉</w:t>
      </w:r>
      <w:bookmarkEnd w:id="67"/>
      <w:bookmarkEnd w:id="68"/>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4"/>
        <w:snapToGrid w:val="0"/>
        <w:spacing w:line="360" w:lineRule="exact"/>
        <w:ind w:firstLine="352" w:firstLineChars="147"/>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）对可以质疑的招标采购文件提出质疑的，为公告届满之日；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）对招标采购过程提出质疑的，为各采购程序环节结束之日；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）对中标结果提出质疑的，为中标结果公告期限届满之日。</w:t>
      </w:r>
    </w:p>
    <w:p>
      <w:pPr>
        <w:adjustRightInd w:val="0"/>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kern w:val="0"/>
          <w:sz w:val="24"/>
          <w:szCs w:val="24"/>
          <w:highlight w:val="none"/>
          <w:lang w:val="zh-CN"/>
        </w:rPr>
        <w:t>供应商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时，应当提交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函和必要的证明材料，</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函应当包括下列主要内容：</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）供应商的姓名或者名称、地址、邮编、联系人及联系电话；</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）质疑项目的名称、编号；</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）具体、明确的质疑事项和与质疑事项相关的请求；</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）事实依据；</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）必要的法律依据；</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）提出质疑的日期。</w:t>
      </w:r>
    </w:p>
    <w:p>
      <w:pPr>
        <w:spacing w:line="360" w:lineRule="exact"/>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函应当署名。</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供应商为自然人的，应当由本人签字；</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供应商为法人或者其他组织的，应当由法定代表人、主要负责人或者其授权代表签字或者盖章，并加盖公章。</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供应商可以委托代理人办理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事务。代理人办理</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事务时，除提交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函外，还应当提交</w:t>
      </w:r>
      <w:r>
        <w:rPr>
          <w:rFonts w:hint="eastAsia" w:ascii="宋体" w:hAnsi="宋体" w:cs="宋体"/>
          <w:color w:val="auto"/>
          <w:kern w:val="0"/>
          <w:sz w:val="24"/>
          <w:szCs w:val="24"/>
          <w:highlight w:val="none"/>
        </w:rPr>
        <w:t>质疑</w:t>
      </w:r>
      <w:r>
        <w:rPr>
          <w:rFonts w:hint="eastAsia" w:ascii="宋体" w:hAnsi="宋体" w:cs="宋体"/>
          <w:color w:val="auto"/>
          <w:kern w:val="0"/>
          <w:sz w:val="24"/>
          <w:szCs w:val="24"/>
          <w:highlight w:val="none"/>
          <w:lang w:val="zh-CN"/>
        </w:rPr>
        <w:t>供应商的授权委托书原件，</w:t>
      </w:r>
      <w:r>
        <w:rPr>
          <w:rFonts w:hint="eastAsia" w:ascii="宋体" w:hAnsi="宋体" w:cs="宋体"/>
          <w:color w:val="auto"/>
          <w:kern w:val="0"/>
          <w:sz w:val="24"/>
          <w:szCs w:val="24"/>
          <w:highlight w:val="none"/>
        </w:rPr>
        <w:t>授权委托书应载明代理人的姓名或者名称、代理事项、具体权限、期限和相关事项。</w:t>
      </w:r>
    </w:p>
    <w:p>
      <w:pPr>
        <w:spacing w:line="360" w:lineRule="exact"/>
        <w:ind w:firstLine="480" w:firstLineChars="200"/>
        <w:rPr>
          <w:rFonts w:ascii="宋体" w:cs="宋体"/>
          <w:color w:val="auto"/>
          <w:kern w:val="0"/>
          <w:sz w:val="24"/>
          <w:szCs w:val="24"/>
          <w:highlight w:val="none"/>
          <w:lang w:val="zh-CN"/>
        </w:rPr>
      </w:pPr>
      <w:r>
        <w:rPr>
          <w:rFonts w:ascii="宋体" w:hAnsi="宋体" w:cs="宋体"/>
          <w:color w:val="auto"/>
          <w:kern w:val="0"/>
          <w:sz w:val="24"/>
          <w:szCs w:val="24"/>
          <w:highlight w:val="none"/>
        </w:rPr>
        <w:t>3.</w:t>
      </w:r>
      <w:r>
        <w:rPr>
          <w:rFonts w:hint="eastAsia" w:ascii="宋体" w:hAnsi="宋体" w:cs="宋体"/>
          <w:color w:val="auto"/>
          <w:sz w:val="24"/>
          <w:szCs w:val="24"/>
          <w:highlight w:val="none"/>
        </w:rPr>
        <w:t>投标人对招标采购单位的质疑答复不满意或者招标采购单位未在规定时间内做出答复的，可以在答复期满后十五个工作日内向同级采购监管部门投诉。</w:t>
      </w:r>
    </w:p>
    <w:p>
      <w:pPr>
        <w:pStyle w:val="24"/>
        <w:snapToGrid w:val="0"/>
        <w:spacing w:line="360" w:lineRule="exact"/>
        <w:ind w:firstLine="472" w:firstLineChars="196"/>
        <w:jc w:val="center"/>
        <w:rPr>
          <w:rFonts w:hAnsi="宋体" w:cs="Times New Roman"/>
          <w:b/>
          <w:bCs/>
          <w:color w:val="auto"/>
          <w:sz w:val="24"/>
          <w:szCs w:val="24"/>
          <w:highlight w:val="none"/>
        </w:rPr>
      </w:pPr>
      <w:bookmarkStart w:id="69" w:name="_Toc254970534"/>
      <w:bookmarkStart w:id="70" w:name="_Toc254970675"/>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二、招标文件</w:t>
      </w:r>
      <w:bookmarkEnd w:id="69"/>
      <w:bookmarkEnd w:id="70"/>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（一）招标文件的组成：</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、公开招标公告</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、招标项目采购需求</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、投标人须知</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、评标办法及评分标准</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、合同主要条款格式</w:t>
      </w:r>
    </w:p>
    <w:p>
      <w:pPr>
        <w:widowControl/>
        <w:adjustRightInd w:val="0"/>
        <w:spacing w:line="360" w:lineRule="exact"/>
        <w:ind w:firstLine="360" w:firstLineChars="150"/>
        <w:jc w:val="lef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6</w:t>
      </w:r>
      <w:r>
        <w:rPr>
          <w:rFonts w:hint="eastAsia" w:ascii="宋体" w:hAnsi="宋体" w:cs="宋体"/>
          <w:color w:val="auto"/>
          <w:kern w:val="0"/>
          <w:sz w:val="24"/>
          <w:szCs w:val="24"/>
          <w:highlight w:val="none"/>
          <w:lang w:val="zh-CN"/>
        </w:rPr>
        <w:t>、投标文件格式</w:t>
      </w:r>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（二）投标人的风险</w:t>
      </w:r>
    </w:p>
    <w:p>
      <w:pPr>
        <w:pStyle w:val="32"/>
        <w:spacing w:after="0" w:line="360" w:lineRule="exact"/>
        <w:ind w:left="0" w:leftChars="0"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投标人没有按照招标文件要求提供全部资料，或者投标人没有对招标文件在各方面做出实质性响应是投标人的风险，并可能导致其投标被拒绝。</w:t>
      </w:r>
    </w:p>
    <w:p>
      <w:pPr>
        <w:pStyle w:val="15"/>
        <w:widowControl w:val="0"/>
        <w:tabs>
          <w:tab w:val="clear" w:pos="840"/>
          <w:tab w:val="clear" w:pos="900"/>
        </w:tabs>
        <w:snapToGrid w:val="0"/>
        <w:spacing w:afterLines="0" w:line="360" w:lineRule="exact"/>
        <w:ind w:left="0" w:firstLine="0"/>
        <w:rPr>
          <w:rFonts w:ascii="宋体" w:hAnsi="宋体" w:cs="宋体"/>
          <w:b/>
          <w:bCs/>
          <w:color w:val="auto"/>
          <w:highlight w:val="none"/>
        </w:rPr>
      </w:pPr>
      <w:r>
        <w:rPr>
          <w:rFonts w:hint="eastAsia" w:ascii="宋体" w:hAnsi="宋体" w:cs="宋体"/>
          <w:b/>
          <w:bCs/>
          <w:color w:val="auto"/>
          <w:highlight w:val="none"/>
        </w:rPr>
        <w:t>（三）招标文件的澄清与修改</w:t>
      </w:r>
    </w:p>
    <w:p>
      <w:pPr>
        <w:spacing w:line="360" w:lineRule="exact"/>
        <w:ind w:firstLine="480" w:firstLineChars="200"/>
        <w:rPr>
          <w:rFonts w:ascii="宋体" w:cs="宋体"/>
          <w:color w:val="auto"/>
          <w:sz w:val="24"/>
          <w:szCs w:val="24"/>
          <w:highlight w:val="none"/>
        </w:rPr>
      </w:pPr>
      <w:bookmarkStart w:id="71" w:name="_Toc254970676"/>
      <w:bookmarkStart w:id="72" w:name="_Toc254970535"/>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投标人应认真阅读本招标文件，发现其中有误或有不合理要求的，投标人应当于</w:t>
      </w:r>
      <w:r>
        <w:rPr>
          <w:rFonts w:hint="eastAsia" w:hAnsi="宋体" w:cs="宋体"/>
          <w:color w:val="auto"/>
          <w:sz w:val="24"/>
          <w:szCs w:val="24"/>
          <w:highlight w:val="none"/>
        </w:rPr>
        <w:t>公告届满之日起</w:t>
      </w:r>
      <w:r>
        <w:rPr>
          <w:rFonts w:hAnsi="宋体"/>
          <w:color w:val="auto"/>
          <w:sz w:val="24"/>
          <w:szCs w:val="24"/>
          <w:highlight w:val="none"/>
        </w:rPr>
        <w:t>7</w:t>
      </w:r>
      <w:r>
        <w:rPr>
          <w:rFonts w:hint="eastAsia" w:hAnsi="宋体" w:cs="宋体"/>
          <w:color w:val="auto"/>
          <w:sz w:val="24"/>
          <w:szCs w:val="24"/>
          <w:highlight w:val="none"/>
        </w:rPr>
        <w:t>个工作日前</w:t>
      </w:r>
      <w:r>
        <w:rPr>
          <w:rFonts w:hint="eastAsia" w:ascii="宋体" w:hAnsi="宋体" w:cs="宋体"/>
          <w:color w:val="auto"/>
          <w:sz w:val="24"/>
          <w:szCs w:val="24"/>
          <w:highlight w:val="none"/>
        </w:rPr>
        <w:t>，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日前发出；不足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日的，采购人或者采购代理机构应当顺延提交投标文件的截止时间。</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招标文件澄清、答复、修改、补充的内容为招标文件的组成部分。当招标文件与招标文件的答复、澄清、修改、补充通知就同一内容的表述不一致时，以最后发出的文件为准。</w:t>
      </w:r>
    </w:p>
    <w:p>
      <w:pPr>
        <w:pStyle w:val="24"/>
        <w:snapToGrid w:val="0"/>
        <w:spacing w:line="360" w:lineRule="exact"/>
        <w:ind w:firstLine="480" w:firstLineChars="200"/>
        <w:rPr>
          <w:rFonts w:hAnsi="宋体" w:cs="Times New Roman"/>
          <w:color w:val="auto"/>
          <w:sz w:val="24"/>
          <w:szCs w:val="24"/>
          <w:highlight w:val="none"/>
        </w:rPr>
      </w:pPr>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三、投标文件</w:t>
      </w:r>
      <w:bookmarkEnd w:id="71"/>
      <w:bookmarkEnd w:id="72"/>
    </w:p>
    <w:p>
      <w:pPr>
        <w:snapToGrid w:val="0"/>
        <w:spacing w:line="360" w:lineRule="exact"/>
        <w:jc w:val="left"/>
        <w:rPr>
          <w:rFonts w:ascii="宋体" w:cs="宋体"/>
          <w:b/>
          <w:bCs/>
          <w:color w:val="auto"/>
          <w:sz w:val="24"/>
          <w:szCs w:val="24"/>
          <w:highlight w:val="none"/>
        </w:rPr>
      </w:pPr>
      <w:bookmarkStart w:id="73" w:name="_Toc254970677"/>
      <w:bookmarkStart w:id="74" w:name="_Toc254970536"/>
      <w:r>
        <w:rPr>
          <w:rFonts w:hint="eastAsia" w:ascii="宋体" w:hAnsi="宋体" w:cs="宋体"/>
          <w:b/>
          <w:bCs/>
          <w:color w:val="auto"/>
          <w:sz w:val="24"/>
          <w:szCs w:val="24"/>
          <w:highlight w:val="none"/>
        </w:rPr>
        <w:t>（一）投标文件的组成</w:t>
      </w:r>
      <w:bookmarkEnd w:id="73"/>
      <w:bookmarkEnd w:id="74"/>
    </w:p>
    <w:p>
      <w:pPr>
        <w:tabs>
          <w:tab w:val="left" w:pos="3870"/>
          <w:tab w:val="left" w:pos="4085"/>
        </w:tabs>
        <w:snapToGrid w:val="0"/>
        <w:spacing w:line="360" w:lineRule="exact"/>
        <w:ind w:firstLine="480" w:firstLineChars="200"/>
        <w:jc w:val="left"/>
        <w:rPr>
          <w:rFonts w:ascii="宋体" w:cs="宋体"/>
          <w:b/>
          <w:bCs/>
          <w:color w:val="auto"/>
          <w:sz w:val="24"/>
          <w:szCs w:val="24"/>
          <w:highlight w:val="none"/>
        </w:rPr>
      </w:pPr>
      <w:r>
        <w:rPr>
          <w:rFonts w:hint="eastAsia" w:ascii="宋体" w:hAnsi="宋体" w:cs="宋体"/>
          <w:color w:val="auto"/>
          <w:sz w:val="24"/>
          <w:szCs w:val="24"/>
          <w:highlight w:val="none"/>
        </w:rPr>
        <w:t>投标文件由资格审查文件、商务文件、技术文件、投标报价文件组成。</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资格审查文件（必须提供）</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w:t>
      </w:r>
      <w:r>
        <w:rPr>
          <w:rFonts w:hint="eastAsia" w:hAnsi="宋体"/>
          <w:color w:val="auto"/>
          <w:sz w:val="24"/>
          <w:szCs w:val="24"/>
          <w:highlight w:val="none"/>
        </w:rPr>
        <w:t>）法人或者其他组织的营业执照复印件等证明文件复印件，（投标人属自然人的提供自然人的身份证明）。</w:t>
      </w:r>
    </w:p>
    <w:p>
      <w:pPr>
        <w:pStyle w:val="24"/>
        <w:snapToGrid w:val="0"/>
        <w:spacing w:line="360" w:lineRule="exact"/>
        <w:ind w:firstLine="354" w:firstLineChars="147"/>
        <w:rPr>
          <w:rFonts w:hAnsi="宋体" w:cs="Times New Roman"/>
          <w:b/>
          <w:bCs/>
          <w:color w:val="auto"/>
          <w:sz w:val="24"/>
          <w:szCs w:val="24"/>
          <w:highlight w:val="none"/>
        </w:rPr>
      </w:pPr>
      <w:r>
        <w:rPr>
          <w:rFonts w:hint="eastAsia" w:hAnsi="宋体"/>
          <w:b/>
          <w:bCs/>
          <w:color w:val="auto"/>
          <w:sz w:val="24"/>
          <w:szCs w:val="24"/>
          <w:highlight w:val="none"/>
        </w:rPr>
        <w:t>注：</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1</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法人包括企业法人、机关法人和社会团体法人；其他组织主要包括合伙企业、非企业专业服务机构、个体工商户、农村承包经营户。</w:t>
      </w:r>
      <w:r>
        <w:rPr>
          <w:rFonts w:hAnsi="宋体"/>
          <w:b/>
          <w:bCs/>
          <w:color w:val="auto"/>
          <w:sz w:val="24"/>
          <w:szCs w:val="24"/>
          <w:highlight w:val="none"/>
        </w:rPr>
        <w:fldChar w:fldCharType="begin"/>
      </w:r>
      <w:r>
        <w:rPr>
          <w:rFonts w:hAnsi="宋体"/>
          <w:b/>
          <w:bCs/>
          <w:color w:val="auto"/>
          <w:sz w:val="24"/>
          <w:szCs w:val="24"/>
          <w:highlight w:val="none"/>
        </w:rPr>
        <w:instrText xml:space="preserve"> eq \o\ac(</w:instrText>
      </w:r>
      <w:r>
        <w:rPr>
          <w:rFonts w:hint="eastAsia" w:hAnsi="宋体"/>
          <w:b/>
          <w:bCs/>
          <w:color w:val="auto"/>
          <w:sz w:val="24"/>
          <w:szCs w:val="24"/>
          <w:highlight w:val="none"/>
        </w:rPr>
        <w:instrText xml:space="preserve">○</w:instrText>
      </w:r>
      <w:r>
        <w:rPr>
          <w:rFonts w:hAnsi="宋体"/>
          <w:b/>
          <w:bCs/>
          <w:color w:val="auto"/>
          <w:sz w:val="24"/>
          <w:szCs w:val="24"/>
          <w:highlight w:val="none"/>
        </w:rPr>
        <w:instrText xml:space="preserve">,</w:instrText>
      </w:r>
      <w:r>
        <w:rPr>
          <w:rFonts w:hAnsi="宋体"/>
          <w:b/>
          <w:bCs/>
          <w:color w:val="auto"/>
          <w:position w:val="3"/>
          <w:sz w:val="24"/>
          <w:szCs w:val="24"/>
          <w:highlight w:val="none"/>
        </w:rPr>
        <w:instrText xml:space="preserve">2</w:instrText>
      </w:r>
      <w:r>
        <w:rPr>
          <w:rFonts w:hAnsi="宋体"/>
          <w:b/>
          <w:bCs/>
          <w:color w:val="auto"/>
          <w:sz w:val="24"/>
          <w:szCs w:val="24"/>
          <w:highlight w:val="none"/>
        </w:rPr>
        <w:instrText xml:space="preserve">)</w:instrText>
      </w:r>
      <w:r>
        <w:rPr>
          <w:rFonts w:hAnsi="宋体"/>
          <w:b/>
          <w:bCs/>
          <w:color w:val="auto"/>
          <w:sz w:val="24"/>
          <w:szCs w:val="24"/>
          <w:highlight w:val="none"/>
        </w:rPr>
        <w:fldChar w:fldCharType="end"/>
      </w:r>
      <w:r>
        <w:rPr>
          <w:rFonts w:hint="eastAsia" w:hAnsi="宋体"/>
          <w:b/>
          <w:bCs/>
          <w:color w:val="auto"/>
          <w:sz w:val="24"/>
          <w:szCs w:val="24"/>
          <w:highlight w:val="none"/>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2</w:t>
      </w:r>
      <w:r>
        <w:rPr>
          <w:rFonts w:hint="eastAsia" w:hAnsi="宋体"/>
          <w:color w:val="auto"/>
          <w:sz w:val="24"/>
          <w:szCs w:val="24"/>
          <w:highlight w:val="none"/>
        </w:rPr>
        <w:t>）投标人半年内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投标人半年内连续三个月的依法缴纳社保费的缴费凭证（复印件，原件备查，格式自拟）（必须提供）；无缴费记录的，应提供由投标人所在地社保部门出具的《依法缴纳或依法免缴社保费证明》（格式自拟，复印件，原件备查）。</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Ansi="宋体"/>
          <w:color w:val="auto"/>
          <w:sz w:val="24"/>
          <w:szCs w:val="24"/>
          <w:highlight w:val="none"/>
        </w:rPr>
        <w:t>201</w:t>
      </w:r>
      <w:r>
        <w:rPr>
          <w:rFonts w:hint="eastAsia" w:hAnsi="宋体"/>
          <w:color w:val="auto"/>
          <w:sz w:val="24"/>
          <w:szCs w:val="24"/>
          <w:highlight w:val="none"/>
          <w:lang w:val="en-US" w:eastAsia="zh-CN"/>
        </w:rPr>
        <w:t>7</w:t>
      </w:r>
      <w:r>
        <w:rPr>
          <w:rFonts w:hint="eastAsia" w:hAnsi="宋体"/>
          <w:color w:val="auto"/>
          <w:sz w:val="24"/>
          <w:szCs w:val="24"/>
          <w:highlight w:val="none"/>
          <w:lang w:eastAsia="zh-CN"/>
        </w:rPr>
        <w:t>年、</w:t>
      </w:r>
      <w:r>
        <w:rPr>
          <w:rFonts w:hAnsi="宋体"/>
          <w:color w:val="auto"/>
          <w:sz w:val="24"/>
          <w:szCs w:val="24"/>
          <w:highlight w:val="none"/>
        </w:rPr>
        <w:t>2018</w:t>
      </w:r>
      <w:r>
        <w:rPr>
          <w:rFonts w:hint="eastAsia" w:hAnsi="宋体"/>
          <w:color w:val="auto"/>
          <w:sz w:val="24"/>
          <w:szCs w:val="24"/>
          <w:highlight w:val="none"/>
          <w:lang w:eastAsia="zh-CN"/>
        </w:rPr>
        <w:t>年、</w:t>
      </w:r>
      <w:r>
        <w:rPr>
          <w:rFonts w:hAnsi="宋体"/>
          <w:color w:val="auto"/>
          <w:sz w:val="24"/>
          <w:szCs w:val="24"/>
          <w:highlight w:val="none"/>
        </w:rPr>
        <w:t>2019</w:t>
      </w:r>
      <w:r>
        <w:rPr>
          <w:rFonts w:hint="eastAsia" w:hAnsi="宋体"/>
          <w:color w:val="auto"/>
          <w:sz w:val="24"/>
          <w:szCs w:val="24"/>
          <w:highlight w:val="none"/>
        </w:rPr>
        <w:t>年</w:t>
      </w:r>
      <w:r>
        <w:rPr>
          <w:rFonts w:ascii="宋体" w:hAnsi="宋体"/>
          <w:color w:val="auto"/>
          <w:sz w:val="24"/>
          <w:highlight w:val="none"/>
        </w:rPr>
        <w:t>财务状况报告</w:t>
      </w:r>
      <w:r>
        <w:rPr>
          <w:rFonts w:hint="eastAsia" w:ascii="宋体" w:hAnsi="宋体"/>
          <w:color w:val="auto"/>
          <w:sz w:val="24"/>
          <w:highlight w:val="none"/>
        </w:rPr>
        <w:t>（供应商近三年的经会计师事务所或审计机构审计的财务会计报表，包括资产负债表、现金流量表、利润表、财务情况说明书和审计报告；</w:t>
      </w:r>
      <w:r>
        <w:rPr>
          <w:rFonts w:hint="eastAsia" w:hAnsi="宋体"/>
          <w:color w:val="auto"/>
          <w:sz w:val="24"/>
          <w:highlight w:val="none"/>
        </w:rPr>
        <w:t>若为新成立的企业，可根据实际情况提供月度财务报表，或供应商开户行2019年以来出具的银行资信证明文件复印件，格式自拟</w:t>
      </w:r>
      <w:r>
        <w:rPr>
          <w:rFonts w:hint="eastAsia" w:ascii="宋体" w:hAnsi="宋体"/>
          <w:color w:val="auto"/>
          <w:sz w:val="24"/>
          <w:highlight w:val="none"/>
        </w:rPr>
        <w:t>，如有请提供）</w:t>
      </w:r>
      <w:r>
        <w:rPr>
          <w:rFonts w:hint="eastAsia" w:hAnsi="宋体"/>
          <w:color w:val="auto"/>
          <w:sz w:val="24"/>
          <w:szCs w:val="24"/>
          <w:highlight w:val="none"/>
        </w:rPr>
        <w:t>。</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）具备履行合同所必需的设备和专业技术能力的证明材料（提供投标人基本情况表，格式自拟，须反映投标人履行合同所必需的设备和专业技术能力情况）</w:t>
      </w:r>
      <w:r>
        <w:rPr>
          <w:rFonts w:hint="eastAsia" w:hAnsi="宋体"/>
          <w:color w:val="auto"/>
          <w:sz w:val="24"/>
          <w:szCs w:val="24"/>
          <w:highlight w:val="none"/>
          <w:u w:val="single"/>
        </w:rPr>
        <w:t>或承诺函（投标人须明确承诺具有履行合同所必需的设备和专业技术能力情况，格式自拟）。</w:t>
      </w:r>
    </w:p>
    <w:p>
      <w:pPr>
        <w:pStyle w:val="24"/>
        <w:snapToGrid w:val="0"/>
        <w:spacing w:line="360" w:lineRule="exact"/>
        <w:ind w:firstLine="352" w:firstLineChars="147"/>
        <w:rPr>
          <w:rFonts w:hAnsi="宋体" w:cs="Times New Roman"/>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）投标人参加政府采购活动前</w:t>
      </w:r>
      <w:r>
        <w:rPr>
          <w:rFonts w:hAnsi="宋体"/>
          <w:color w:val="auto"/>
          <w:sz w:val="24"/>
          <w:szCs w:val="24"/>
          <w:highlight w:val="none"/>
        </w:rPr>
        <w:t>3</w:t>
      </w:r>
      <w:r>
        <w:rPr>
          <w:rFonts w:hint="eastAsia" w:hAnsi="宋体"/>
          <w:color w:val="auto"/>
          <w:sz w:val="24"/>
          <w:szCs w:val="24"/>
          <w:highlight w:val="none"/>
        </w:rPr>
        <w:t>年内在经营活动中没有重大违法记录的书面声明。</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商务文件</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▲必须提供项目</w:t>
      </w:r>
      <w:r>
        <w:rPr>
          <w:rFonts w:ascii="宋体" w:hAnsi="宋体" w:cs="宋体"/>
          <w:b/>
          <w:bCs/>
          <w:color w:val="auto"/>
          <w:sz w:val="24"/>
          <w:szCs w:val="24"/>
          <w:highlight w:val="none"/>
        </w:rPr>
        <w:t>:</w:t>
      </w:r>
    </w:p>
    <w:p>
      <w:pPr>
        <w:tabs>
          <w:tab w:val="left" w:pos="1305"/>
        </w:tabs>
        <w:spacing w:line="33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）投标声明书</w:t>
      </w:r>
    </w:p>
    <w:p>
      <w:pPr>
        <w:tabs>
          <w:tab w:val="left" w:pos="1305"/>
        </w:tabs>
        <w:spacing w:line="330" w:lineRule="exact"/>
        <w:ind w:firstLine="240" w:firstLineChars="1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）法定代表人身份证明书、相应的法定代表人身份证正反两面复印件</w:t>
      </w:r>
      <w:r>
        <w:rPr>
          <w:rFonts w:hint="eastAsia" w:ascii="宋体" w:hAnsi="宋体" w:cs="宋体"/>
          <w:b/>
          <w:bCs/>
          <w:color w:val="auto"/>
          <w:sz w:val="24"/>
          <w:szCs w:val="24"/>
          <w:highlight w:val="none"/>
        </w:rPr>
        <w:t>（必须提供；</w:t>
      </w:r>
      <w:r>
        <w:rPr>
          <w:rFonts w:hint="eastAsia" w:ascii="宋体" w:hAnsi="宋体" w:cs="宋体"/>
          <w:color w:val="auto"/>
          <w:sz w:val="24"/>
          <w:szCs w:val="24"/>
          <w:highlight w:val="none"/>
        </w:rPr>
        <w:t>投标人若为自然人的提供自然人身份证正反两面复印件，投标人若为其他组织形式无法定代表人的提供负责人身份证正反两面复印件）；</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）授权委托书原件、委托代理人身份证正反面复印件</w:t>
      </w:r>
      <w:r>
        <w:rPr>
          <w:rFonts w:hint="eastAsia" w:ascii="宋体" w:hAnsi="宋体" w:cs="宋体"/>
          <w:b/>
          <w:bCs/>
          <w:color w:val="auto"/>
          <w:sz w:val="24"/>
          <w:szCs w:val="24"/>
          <w:highlight w:val="none"/>
        </w:rPr>
        <w:t>（委托代理时必须提供）；</w:t>
      </w:r>
    </w:p>
    <w:p>
      <w:pPr>
        <w:spacing w:line="360" w:lineRule="exact"/>
        <w:ind w:left="141" w:leftChars="67" w:firstLine="120" w:firstLineChars="5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）商务条款偏离表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）拟投入人员配备情况表；（格式自拟，必须提供）；</w:t>
      </w:r>
    </w:p>
    <w:p>
      <w:pPr>
        <w:spacing w:line="360" w:lineRule="exact"/>
        <w:ind w:left="141" w:leftChars="67"/>
        <w:rPr>
          <w:rFonts w:ascii="宋体" w:hAnsi="宋体" w:cs="宋体"/>
          <w:b/>
          <w:bCs/>
          <w:color w:val="auto"/>
          <w:sz w:val="24"/>
          <w:szCs w:val="24"/>
          <w:highlight w:val="none"/>
        </w:rPr>
      </w:pPr>
      <w:r>
        <w:rPr>
          <w:rFonts w:hint="eastAsia" w:ascii="宋体" w:hAnsi="宋体" w:cs="宋体"/>
          <w:b/>
          <w:bCs/>
          <w:color w:val="auto"/>
          <w:sz w:val="24"/>
          <w:szCs w:val="24"/>
          <w:highlight w:val="none"/>
        </w:rPr>
        <w:t>可作为投标人资信评分的资质证明材料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可选</w:t>
      </w:r>
      <w:r>
        <w:rPr>
          <w:rFonts w:ascii="宋体" w:hAnsi="宋体" w:cs="宋体"/>
          <w:b/>
          <w:bCs/>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）承接过类似业绩</w:t>
      </w:r>
      <w:r>
        <w:rPr>
          <w:rFonts w:ascii="宋体" w:hAnsi="宋体" w:cs="宋体"/>
          <w:color w:val="auto"/>
          <w:sz w:val="24"/>
          <w:szCs w:val="24"/>
          <w:highlight w:val="none"/>
        </w:rPr>
        <w:t>(</w:t>
      </w:r>
      <w:r>
        <w:rPr>
          <w:rFonts w:hint="eastAsia" w:ascii="宋体" w:hAnsi="宋体" w:cs="宋体"/>
          <w:color w:val="auto"/>
          <w:sz w:val="24"/>
          <w:szCs w:val="24"/>
          <w:highlight w:val="none"/>
        </w:rPr>
        <w:t>提供合同复印件</w:t>
      </w:r>
      <w:r>
        <w:rPr>
          <w:rFonts w:ascii="宋体" w:hAnsi="宋体" w:cs="宋体"/>
          <w:color w:val="auto"/>
          <w:sz w:val="24"/>
          <w:szCs w:val="24"/>
          <w:highlight w:val="none"/>
        </w:rPr>
        <w:t>);</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）其他特殊资质证书</w:t>
      </w:r>
      <w:r>
        <w:rPr>
          <w:rFonts w:ascii="宋体" w:hAnsi="宋体" w:cs="宋体"/>
          <w:color w:val="auto"/>
          <w:sz w:val="24"/>
          <w:szCs w:val="24"/>
          <w:highlight w:val="none"/>
        </w:rPr>
        <w:t>(</w:t>
      </w:r>
      <w:r>
        <w:rPr>
          <w:rFonts w:hint="eastAsia" w:ascii="宋体" w:hAnsi="宋体" w:cs="宋体"/>
          <w:color w:val="auto"/>
          <w:sz w:val="24"/>
          <w:szCs w:val="24"/>
          <w:highlight w:val="none"/>
        </w:rPr>
        <w:t>如本地化服务能力等</w:t>
      </w:r>
      <w:r>
        <w:rPr>
          <w:rFonts w:ascii="宋体" w:hAnsi="宋体" w:cs="宋体"/>
          <w:color w:val="auto"/>
          <w:sz w:val="24"/>
          <w:szCs w:val="24"/>
          <w:highlight w:val="none"/>
        </w:rPr>
        <w:t>);</w:t>
      </w:r>
    </w:p>
    <w:p>
      <w:pPr>
        <w:spacing w:line="360" w:lineRule="exact"/>
        <w:ind w:firstLine="240" w:firstLineChars="1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）质量管理和质量保证体系等方面的认证证书</w:t>
      </w:r>
    </w:p>
    <w:p>
      <w:pPr>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）投标人认为可以证明其能力或业绩的其他材料</w:t>
      </w:r>
      <w:r>
        <w:rPr>
          <w:rFonts w:ascii="宋体" w:hAnsi="宋体" w:cs="宋体"/>
          <w:color w:val="auto"/>
          <w:sz w:val="24"/>
          <w:szCs w:val="24"/>
          <w:highlight w:val="none"/>
        </w:rPr>
        <w:t>;</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技术文件</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）技术资料表（必须提供）；</w:t>
      </w:r>
    </w:p>
    <w:p>
      <w:pPr>
        <w:spacing w:line="360" w:lineRule="exact"/>
        <w:ind w:left="141" w:leftChars="67"/>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）技术方案（格式自拟，必须提供）；</w:t>
      </w:r>
    </w:p>
    <w:p>
      <w:pPr>
        <w:spacing w:line="360" w:lineRule="exact"/>
        <w:ind w:left="141" w:leftChars="67"/>
        <w:rPr>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）项目进度安排与服务承诺书（应据项目实际要求描述</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p>
    <w:p>
      <w:pPr>
        <w:spacing w:line="360" w:lineRule="exact"/>
        <w:ind w:left="141" w:leftChars="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）项目实施人员一览表；</w:t>
      </w:r>
    </w:p>
    <w:p>
      <w:pPr>
        <w:spacing w:line="360" w:lineRule="exact"/>
        <w:ind w:left="141" w:leftChars="67"/>
        <w:rPr>
          <w:rFonts w:ascii="宋体" w:cs="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）投标人需要说明的其他文件和说明（格式略）；</w:t>
      </w:r>
    </w:p>
    <w:p>
      <w:pPr>
        <w:spacing w:line="360" w:lineRule="exact"/>
        <w:ind w:left="141" w:leftChars="67"/>
        <w:rPr>
          <w:rFonts w:ascii="宋体" w:cs="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报价文件</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投标函</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投标报价明细表</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p>
    <w:p>
      <w:pPr>
        <w:spacing w:line="360" w:lineRule="exact"/>
        <w:ind w:left="141" w:leftChars="67"/>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投标人针对报价需要说明的其他文件和说明</w:t>
      </w:r>
      <w:r>
        <w:rPr>
          <w:rFonts w:ascii="宋体" w:hAnsi="宋体" w:cs="宋体"/>
          <w:color w:val="auto"/>
          <w:sz w:val="24"/>
          <w:szCs w:val="24"/>
          <w:highlight w:val="none"/>
        </w:rPr>
        <w:t>(</w:t>
      </w:r>
      <w:r>
        <w:rPr>
          <w:rFonts w:hint="eastAsia" w:ascii="宋体" w:hAnsi="宋体" w:cs="宋体"/>
          <w:color w:val="auto"/>
          <w:sz w:val="24"/>
          <w:szCs w:val="24"/>
          <w:highlight w:val="none"/>
        </w:rPr>
        <w:t>格式自拟</w:t>
      </w:r>
      <w:r>
        <w:rPr>
          <w:rFonts w:ascii="宋体" w:hAnsi="宋体" w:cs="宋体"/>
          <w:color w:val="auto"/>
          <w:sz w:val="24"/>
          <w:szCs w:val="24"/>
          <w:highlight w:val="none"/>
        </w:rPr>
        <w:t>);</w:t>
      </w:r>
    </w:p>
    <w:p>
      <w:pPr>
        <w:spacing w:line="360" w:lineRule="exact"/>
        <w:ind w:left="141" w:leftChars="67"/>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开标一览表</w:t>
      </w:r>
      <w:r>
        <w:rPr>
          <w:rFonts w:ascii="宋体" w:hAnsi="宋体" w:cs="宋体"/>
          <w:color w:val="auto"/>
          <w:sz w:val="24"/>
          <w:szCs w:val="24"/>
          <w:highlight w:val="none"/>
        </w:rPr>
        <w:t>(</w:t>
      </w:r>
      <w:r>
        <w:rPr>
          <w:rFonts w:hint="eastAsia" w:ascii="宋体" w:hAnsi="宋体" w:cs="宋体"/>
          <w:color w:val="auto"/>
          <w:sz w:val="24"/>
          <w:szCs w:val="24"/>
          <w:highlight w:val="none"/>
        </w:rPr>
        <w:t>单独分册</w:t>
      </w:r>
      <w:r>
        <w:rPr>
          <w:rFonts w:ascii="宋体" w:hAnsi="宋体" w:cs="宋体"/>
          <w:color w:val="auto"/>
          <w:sz w:val="24"/>
          <w:szCs w:val="24"/>
          <w:highlight w:val="none"/>
        </w:rPr>
        <w:t>,</w:t>
      </w:r>
      <w:r>
        <w:rPr>
          <w:rFonts w:hint="eastAsia" w:ascii="宋体" w:hAnsi="宋体" w:cs="宋体"/>
          <w:color w:val="auto"/>
          <w:sz w:val="24"/>
          <w:szCs w:val="24"/>
          <w:highlight w:val="none"/>
        </w:rPr>
        <w:t>格式见附件</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spacing w:line="360" w:lineRule="exact"/>
        <w:ind w:left="141" w:leftChars="67"/>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法定代表人授权委托书必须由法定代表人签名（或盖章）并加盖单位公章；投标声明书、投标函、开标一览表必须由法定代表人或授权代表签名（或盖章）并加盖单位公章。</w:t>
      </w:r>
    </w:p>
    <w:p>
      <w:pPr>
        <w:pStyle w:val="2"/>
        <w:ind w:firstLine="241" w:firstLineChars="100"/>
        <w:rPr>
          <w:b/>
          <w:bCs/>
          <w:color w:val="auto"/>
          <w:highlight w:val="none"/>
        </w:rPr>
      </w:pPr>
      <w:r>
        <w:rPr>
          <w:rFonts w:hint="eastAsia" w:ascii="宋体" w:hAnsi="宋体" w:cs="宋体"/>
          <w:b/>
          <w:bCs/>
          <w:color w:val="auto"/>
          <w:sz w:val="24"/>
          <w:szCs w:val="24"/>
          <w:highlight w:val="none"/>
          <w:u w:val="single"/>
          <w:lang w:val="en-US" w:eastAsia="zh-CN"/>
        </w:rPr>
        <w:t>5.演</w:t>
      </w:r>
      <w:r>
        <w:rPr>
          <w:rFonts w:hint="eastAsia" w:ascii="宋体" w:hAnsi="宋体" w:cs="宋体"/>
          <w:b/>
          <w:bCs/>
          <w:color w:val="auto"/>
          <w:sz w:val="24"/>
          <w:szCs w:val="24"/>
          <w:highlight w:val="none"/>
          <w:u w:val="single"/>
        </w:rPr>
        <w:t>示录制声像视频U盘1份（如有，请提供）。</w:t>
      </w:r>
    </w:p>
    <w:p>
      <w:pPr>
        <w:snapToGrid w:val="0"/>
        <w:spacing w:line="360" w:lineRule="exact"/>
        <w:jc w:val="left"/>
        <w:rPr>
          <w:rFonts w:ascii="宋体" w:cs="宋体"/>
          <w:b/>
          <w:bCs/>
          <w:color w:val="auto"/>
          <w:sz w:val="24"/>
          <w:szCs w:val="24"/>
          <w:highlight w:val="none"/>
        </w:rPr>
      </w:pPr>
      <w:bookmarkStart w:id="75" w:name="_Toc254970678"/>
      <w:bookmarkStart w:id="76" w:name="_Toc254970537"/>
      <w:r>
        <w:rPr>
          <w:rFonts w:hint="eastAsia" w:ascii="宋体" w:hAnsi="宋体" w:cs="宋体"/>
          <w:b/>
          <w:bCs/>
          <w:color w:val="auto"/>
          <w:sz w:val="24"/>
          <w:szCs w:val="24"/>
          <w:highlight w:val="none"/>
        </w:rPr>
        <w:t>（二）投标文件的语言及计量</w:t>
      </w:r>
      <w:bookmarkEnd w:id="75"/>
      <w:bookmarkEnd w:id="76"/>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exact"/>
        <w:jc w:val="left"/>
        <w:rPr>
          <w:rFonts w:ascii="宋体" w:cs="宋体"/>
          <w:b/>
          <w:bCs/>
          <w:color w:val="auto"/>
          <w:sz w:val="24"/>
          <w:szCs w:val="24"/>
          <w:highlight w:val="none"/>
        </w:rPr>
      </w:pPr>
      <w:bookmarkStart w:id="77" w:name="_Toc254970538"/>
      <w:bookmarkStart w:id="78" w:name="_Toc254970679"/>
      <w:r>
        <w:rPr>
          <w:rFonts w:hint="eastAsia" w:ascii="宋体" w:hAnsi="宋体" w:cs="宋体"/>
          <w:b/>
          <w:bCs/>
          <w:color w:val="auto"/>
          <w:sz w:val="24"/>
          <w:szCs w:val="24"/>
          <w:highlight w:val="none"/>
        </w:rPr>
        <w:t>（三）投标报价</w:t>
      </w:r>
      <w:bookmarkEnd w:id="77"/>
      <w:bookmarkEnd w:id="78"/>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投标报价应按招标文件中相关附表格式填写。</w:t>
      </w:r>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投标报价是履行合同的最终价格，应包括服务、以及培训等一切税金和费用。</w:t>
      </w:r>
    </w:p>
    <w:p>
      <w:pPr>
        <w:pStyle w:val="24"/>
        <w:snapToGrid w:val="0"/>
        <w:spacing w:line="360" w:lineRule="exact"/>
        <w:ind w:firstLine="480" w:firstLineChars="200"/>
        <w:jc w:val="left"/>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投标文件只允许有一个报价，有选择的或有条件的报价将不予接受。</w:t>
      </w:r>
    </w:p>
    <w:p>
      <w:pPr>
        <w:pStyle w:val="15"/>
        <w:widowControl w:val="0"/>
        <w:tabs>
          <w:tab w:val="clear" w:pos="840"/>
          <w:tab w:val="clear" w:pos="900"/>
        </w:tabs>
        <w:snapToGrid w:val="0"/>
        <w:spacing w:afterLines="0" w:line="360" w:lineRule="exact"/>
        <w:ind w:left="0" w:firstLine="0"/>
        <w:rPr>
          <w:rFonts w:ascii="宋体" w:cs="宋体"/>
          <w:b/>
          <w:bCs/>
          <w:color w:val="auto"/>
          <w:highlight w:val="none"/>
        </w:rPr>
      </w:pPr>
      <w:r>
        <w:rPr>
          <w:rFonts w:hint="eastAsia" w:ascii="宋体" w:hAnsi="宋体" w:cs="宋体"/>
          <w:b/>
          <w:bCs/>
          <w:color w:val="auto"/>
          <w:highlight w:val="none"/>
        </w:rPr>
        <w:t>（四）投标文件的有效期</w:t>
      </w:r>
    </w:p>
    <w:p>
      <w:pPr>
        <w:pStyle w:val="15"/>
        <w:widowControl w:val="0"/>
        <w:tabs>
          <w:tab w:val="clear" w:pos="454"/>
        </w:tabs>
        <w:snapToGrid w:val="0"/>
        <w:spacing w:afterLines="0" w:line="360" w:lineRule="exact"/>
        <w:ind w:left="0" w:firstLine="480" w:firstLineChars="20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投标文件有效期按投标人须知前附表规定的时间。有效期不足的投标文件将被拒绝。</w:t>
      </w:r>
    </w:p>
    <w:p>
      <w:pPr>
        <w:pStyle w:val="15"/>
        <w:widowControl w:val="0"/>
        <w:tabs>
          <w:tab w:val="clear" w:pos="454"/>
        </w:tabs>
        <w:snapToGrid w:val="0"/>
        <w:spacing w:afterLines="0" w:line="360" w:lineRule="exact"/>
        <w:ind w:left="0" w:firstLine="480" w:firstLineChars="20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在特殊情况下，招标人可与投标人协商延长投标书的有效期，这种要求和答复均以书面形式进行。</w:t>
      </w:r>
    </w:p>
    <w:p>
      <w:pPr>
        <w:snapToGrid w:val="0"/>
        <w:spacing w:line="360" w:lineRule="exact"/>
        <w:ind w:firstLine="480" w:firstLineChars="200"/>
        <w:jc w:val="left"/>
        <w:rPr>
          <w:rFonts w:ascii="宋体" w:hAnsi="宋体" w:cs="宋体"/>
          <w:b/>
          <w:bCs/>
          <w:color w:val="auto"/>
          <w:sz w:val="24"/>
          <w:szCs w:val="24"/>
          <w:highlight w:val="none"/>
        </w:rPr>
      </w:pPr>
      <w:bookmarkStart w:id="79" w:name="_Toc254970539"/>
      <w:bookmarkStart w:id="80" w:name="_Toc254970680"/>
      <w:r>
        <w:rPr>
          <w:rFonts w:ascii="宋体" w:hAnsi="宋体" w:cs="宋体"/>
          <w:color w:val="auto"/>
          <w:sz w:val="24"/>
          <w:szCs w:val="24"/>
          <w:highlight w:val="none"/>
        </w:rPr>
        <w:t>3.</w:t>
      </w:r>
      <w:r>
        <w:rPr>
          <w:rFonts w:hint="eastAsia" w:ascii="宋体" w:hAnsi="宋体" w:cs="宋体"/>
          <w:color w:val="auto"/>
          <w:sz w:val="24"/>
          <w:szCs w:val="24"/>
          <w:highlight w:val="none"/>
        </w:rPr>
        <w:t>投标人可拒绝接受延期要求，但不能修改投标文件。</w:t>
      </w:r>
      <w:bookmarkEnd w:id="79"/>
      <w:bookmarkEnd w:id="80"/>
    </w:p>
    <w:p>
      <w:pPr>
        <w:snapToGrid w:val="0"/>
        <w:spacing w:line="360" w:lineRule="exact"/>
        <w:ind w:firstLine="480" w:firstLineChars="200"/>
        <w:jc w:val="left"/>
        <w:rPr>
          <w:rFonts w:ascii="宋体" w:cs="宋体"/>
          <w:b/>
          <w:bCs/>
          <w:color w:val="auto"/>
          <w:sz w:val="24"/>
          <w:szCs w:val="24"/>
          <w:highlight w:val="none"/>
        </w:rPr>
      </w:pPr>
      <w:bookmarkStart w:id="81" w:name="_Toc254970681"/>
      <w:bookmarkStart w:id="82" w:name="_Toc254970540"/>
      <w:r>
        <w:rPr>
          <w:rFonts w:ascii="宋体" w:hAnsi="宋体" w:cs="宋体"/>
          <w:color w:val="auto"/>
          <w:sz w:val="24"/>
          <w:szCs w:val="24"/>
          <w:highlight w:val="none"/>
        </w:rPr>
        <w:t>4.</w:t>
      </w:r>
      <w:r>
        <w:rPr>
          <w:rFonts w:hint="eastAsia" w:ascii="宋体" w:hAnsi="宋体" w:cs="宋体"/>
          <w:color w:val="auto"/>
          <w:sz w:val="24"/>
          <w:szCs w:val="24"/>
          <w:highlight w:val="none"/>
        </w:rPr>
        <w:t>中标人的投标文件自开标之日起至合同履行完毕止均应保持有效。</w:t>
      </w:r>
      <w:bookmarkEnd w:id="81"/>
      <w:bookmarkEnd w:id="82"/>
    </w:p>
    <w:p>
      <w:pPr>
        <w:snapToGrid w:val="0"/>
        <w:spacing w:line="360" w:lineRule="exact"/>
        <w:jc w:val="left"/>
        <w:rPr>
          <w:rFonts w:ascii="宋体" w:cs="宋体"/>
          <w:b/>
          <w:bCs/>
          <w:color w:val="auto"/>
          <w:sz w:val="24"/>
          <w:szCs w:val="24"/>
          <w:highlight w:val="none"/>
        </w:rPr>
      </w:pPr>
      <w:r>
        <w:rPr>
          <w:rFonts w:hint="eastAsia" w:ascii="宋体" w:hAnsi="宋体" w:cs="宋体"/>
          <w:b/>
          <w:bCs/>
          <w:color w:val="auto"/>
          <w:sz w:val="24"/>
          <w:szCs w:val="24"/>
          <w:highlight w:val="none"/>
        </w:rPr>
        <w:t>（六）投标文件的编制</w:t>
      </w:r>
    </w:p>
    <w:p>
      <w:pPr>
        <w:snapToGrid w:val="0"/>
        <w:spacing w:line="360" w:lineRule="exact"/>
        <w:ind w:firstLine="480" w:firstLineChars="200"/>
        <w:jc w:val="left"/>
        <w:rPr>
          <w:rFonts w:ascii="宋体" w:cs="宋体"/>
          <w:color w:val="auto"/>
          <w:sz w:val="24"/>
          <w:szCs w:val="24"/>
          <w:highlight w:val="none"/>
        </w:rPr>
      </w:pPr>
      <w:bookmarkStart w:id="83" w:name="_Toc254970684"/>
      <w:bookmarkStart w:id="84" w:name="_Toc254970543"/>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投标文件正本一份，副本份数见“投标人须知前附表”。正本和副本的封面上应清楚地标记“正本”或“副本”的字样。书面投标文件副本与书面投标文件正本不符，以投标文件正本为准。</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投标文件的正本需打印或用不褪色的墨水填写，投标文件正本除本投标人须知中规定的可提供复印件外均须提供原件。副本可为正本的复印件。</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4. </w:t>
      </w:r>
      <w:r>
        <w:rPr>
          <w:rFonts w:hint="eastAsia" w:hAnsi="宋体"/>
          <w:color w:val="auto"/>
          <w:sz w:val="24"/>
          <w:szCs w:val="24"/>
          <w:highlight w:val="none"/>
        </w:rPr>
        <w:t>投标文件正本与副本均应由投标人在招标文件规定的相关位置加盖投标人法人单位公章，且经法定代表人签字（或盖章）或其委托代理人本人签字，否则作否决投标处理。</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投标文件不得涂改，若有修改错漏处，须加盖单位公章或者法定代表人或授权委托人签字或盖章。投标文件因字迹潦草或表达不清或提供的资料模糊不清所引起的后果由投标人负责。</w:t>
      </w:r>
    </w:p>
    <w:p>
      <w:pPr>
        <w:pStyle w:val="24"/>
        <w:snapToGrid w:val="0"/>
        <w:spacing w:line="360" w:lineRule="exact"/>
        <w:ind w:firstLine="630" w:firstLineChars="196"/>
        <w:jc w:val="center"/>
        <w:rPr>
          <w:rFonts w:hAnsi="宋体" w:cs="Times New Roman"/>
          <w:b/>
          <w:bCs/>
          <w:color w:val="auto"/>
          <w:sz w:val="32"/>
          <w:szCs w:val="32"/>
          <w:highlight w:val="none"/>
        </w:rPr>
      </w:pPr>
      <w:r>
        <w:rPr>
          <w:rFonts w:hint="eastAsia" w:hAnsi="宋体"/>
          <w:b/>
          <w:bCs/>
          <w:color w:val="auto"/>
          <w:sz w:val="32"/>
          <w:szCs w:val="32"/>
          <w:highlight w:val="none"/>
        </w:rPr>
        <w:t>四、投标</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（一）投标文件的密封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．投标文件应按“投标人须知前附表”的要求进行包装。</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．投标文件封套上应写明的其他内容见“投标人须知前附表”。</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（二）投标文件的递交</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投标人应在“投标人须知前附表”规定的投标文件递交截止时间前递交投标文件。</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投标人递交投标文件的地点：见“投标人须知前附表”。</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除“投标人须知前附表”另有规定外，投标人所递交的投标文件不予退还。</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招标人收到投标文件后，向投标人出具签收凭证。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逾期送达的或者未送达指定地点的投标文件，招标人不予受理。</w:t>
      </w:r>
    </w:p>
    <w:p>
      <w:pPr>
        <w:snapToGrid w:val="0"/>
        <w:spacing w:line="360" w:lineRule="exact"/>
        <w:ind w:firstLine="354" w:firstLineChars="147"/>
        <w:jc w:val="left"/>
        <w:rPr>
          <w:rFonts w:ascii="宋体" w:cs="宋体"/>
          <w:b/>
          <w:bCs/>
          <w:color w:val="auto"/>
          <w:sz w:val="24"/>
          <w:szCs w:val="24"/>
          <w:highlight w:val="none"/>
        </w:rPr>
      </w:pPr>
      <w:r>
        <w:rPr>
          <w:rFonts w:hint="eastAsia" w:ascii="宋体" w:hAnsi="宋体" w:cs="宋体"/>
          <w:b/>
          <w:bCs/>
          <w:color w:val="auto"/>
          <w:sz w:val="24"/>
          <w:szCs w:val="24"/>
          <w:highlight w:val="none"/>
        </w:rPr>
        <w:t>（三）投标文件的修改与撤回</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在“投标人须知前附表”规定的投标文件递交截止时间前，投标人可以补充、修改或撤回已递交的投标文件，但应以书面形式通知招标人或者招标代理机构。</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投标人补充、修改或撤回已递交投标文件的书面通知，应按照本章第三、投标文件第（六）、投标文件第</w:t>
      </w:r>
      <w:r>
        <w:rPr>
          <w:rFonts w:hAnsi="宋体"/>
          <w:color w:val="auto"/>
          <w:sz w:val="24"/>
          <w:szCs w:val="24"/>
          <w:highlight w:val="none"/>
        </w:rPr>
        <w:t>4</w:t>
      </w:r>
      <w:r>
        <w:rPr>
          <w:rFonts w:hint="eastAsia" w:hAnsi="宋体"/>
          <w:color w:val="auto"/>
          <w:sz w:val="24"/>
          <w:szCs w:val="24"/>
          <w:highlight w:val="none"/>
        </w:rPr>
        <w:t>款的要求签字和盖章。招标人或招标代理机构收到书面通知后，向投标人出具签收凭证。</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修改的内容为投标文件的组成部分。修改的投标文件应按照本章第三、投标文件和第四、投标第（一）投标文件密封规定进行编制、密封、标记和递交，并标明“修改”字样。</w:t>
      </w:r>
    </w:p>
    <w:p>
      <w:pPr>
        <w:pStyle w:val="24"/>
        <w:spacing w:line="360" w:lineRule="exact"/>
        <w:ind w:firstLine="480" w:firstLineChars="200"/>
        <w:rPr>
          <w:rFonts w:hAnsi="宋体" w:cs="Times New Roman"/>
          <w:color w:val="auto"/>
          <w:sz w:val="24"/>
          <w:szCs w:val="24"/>
          <w:highlight w:val="none"/>
        </w:rPr>
      </w:pPr>
    </w:p>
    <w:bookmarkEnd w:id="83"/>
    <w:bookmarkEnd w:id="84"/>
    <w:p>
      <w:pPr>
        <w:pStyle w:val="19"/>
        <w:snapToGrid w:val="0"/>
        <w:spacing w:line="360" w:lineRule="exact"/>
        <w:ind w:firstLine="630" w:firstLineChars="196"/>
        <w:jc w:val="center"/>
        <w:rPr>
          <w:rFonts w:ascii="宋体" w:hAnsi="宋体" w:eastAsia="宋体" w:cs="Times New Roman"/>
          <w:b/>
          <w:bCs/>
          <w:snapToGrid w:val="0"/>
          <w:color w:val="auto"/>
          <w:highlight w:val="none"/>
        </w:rPr>
      </w:pPr>
      <w:bookmarkStart w:id="85" w:name="_Toc254970685"/>
      <w:bookmarkStart w:id="86" w:name="_Toc254970544"/>
      <w:r>
        <w:rPr>
          <w:rFonts w:hint="eastAsia" w:ascii="宋体" w:hAnsi="宋体" w:eastAsia="宋体" w:cs="宋体"/>
          <w:b/>
          <w:bCs/>
          <w:color w:val="auto"/>
          <w:highlight w:val="none"/>
        </w:rPr>
        <w:t>五、开标</w:t>
      </w:r>
      <w:bookmarkEnd w:id="85"/>
      <w:bookmarkEnd w:id="86"/>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（一）开标准备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招标代理机构将在规定的时间和地点进行开标。采购代理机构在开标会现场登陆开标系统并输入投标供应商全称、社会统一信用代码、联系电话等信息，完成投标签到。疫情期间，投标人不参与开标会。</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（二）开标程序：</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开标会由招标人人或其委托的招标代理机构主持，主持人宣布开标会议开始；</w:t>
      </w:r>
    </w:p>
    <w:p>
      <w:pPr>
        <w:pStyle w:val="24"/>
        <w:spacing w:line="360" w:lineRule="exact"/>
        <w:ind w:firstLine="480" w:firstLineChars="200"/>
        <w:rPr>
          <w:rFonts w:hAnsi="宋体"/>
          <w:color w:val="auto"/>
          <w:sz w:val="24"/>
          <w:szCs w:val="24"/>
          <w:highlight w:val="none"/>
        </w:rPr>
      </w:pPr>
      <w:r>
        <w:rPr>
          <w:rFonts w:hAnsi="宋体"/>
          <w:color w:val="auto"/>
          <w:sz w:val="24"/>
          <w:szCs w:val="24"/>
          <w:highlight w:val="none"/>
        </w:rPr>
        <w:t xml:space="preserve">2. </w:t>
      </w:r>
      <w:r>
        <w:rPr>
          <w:rFonts w:hint="eastAsia" w:hAnsi="宋体"/>
          <w:color w:val="auto"/>
          <w:sz w:val="24"/>
          <w:szCs w:val="24"/>
          <w:highlight w:val="none"/>
        </w:rPr>
        <w:t>宣布在提交投标文件截止时间前收到的投标文件数量；</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 xml:space="preserve">3. </w:t>
      </w:r>
      <w:r>
        <w:rPr>
          <w:rFonts w:hint="eastAsia" w:hAnsi="宋体"/>
          <w:color w:val="auto"/>
          <w:sz w:val="24"/>
          <w:szCs w:val="24"/>
          <w:highlight w:val="none"/>
        </w:rPr>
        <w:t>宣布开标纪律，开标人、唱标人、记录人、监督人等有关人员名单；；</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 xml:space="preserve"> 招标人代表检查投标文件的密封情况并签字确认；</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由招标人或招标代理机构工作人员当众拆封投标文件，宣布投标人名称、投标价格和其他需要宣布的其他内容；</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招标人或招标代理机构做开标记录</w:t>
      </w:r>
      <w:r>
        <w:rPr>
          <w:rFonts w:hAnsi="宋体"/>
          <w:color w:val="auto"/>
          <w:sz w:val="24"/>
          <w:szCs w:val="24"/>
          <w:highlight w:val="none"/>
        </w:rPr>
        <w:t xml:space="preserve">, </w:t>
      </w:r>
      <w:r>
        <w:rPr>
          <w:rFonts w:hint="eastAsia" w:hAnsi="宋体"/>
          <w:color w:val="auto"/>
          <w:sz w:val="24"/>
          <w:szCs w:val="24"/>
          <w:highlight w:val="none"/>
        </w:rPr>
        <w:t>由参加开标的各招标人代表和相关工作人员签字确认后随采购文件一并存档。</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7.</w:t>
      </w:r>
      <w:r>
        <w:rPr>
          <w:rFonts w:hint="eastAsia" w:hAnsi="宋体"/>
          <w:color w:val="auto"/>
          <w:sz w:val="24"/>
          <w:szCs w:val="24"/>
          <w:highlight w:val="none"/>
        </w:rPr>
        <w:t>开标会议结束。</w:t>
      </w:r>
    </w:p>
    <w:p>
      <w:pPr>
        <w:pStyle w:val="24"/>
        <w:snapToGrid w:val="0"/>
        <w:spacing w:line="360" w:lineRule="exact"/>
        <w:ind w:left="241" w:hanging="241" w:hangingChars="100"/>
        <w:rPr>
          <w:rFonts w:hAnsi="宋体" w:cs="Times New Roman"/>
          <w:b/>
          <w:bCs/>
          <w:color w:val="auto"/>
          <w:sz w:val="24"/>
          <w:szCs w:val="24"/>
          <w:highlight w:val="none"/>
        </w:rPr>
      </w:pPr>
      <w:bookmarkStart w:id="87" w:name="_Toc254970686"/>
      <w:bookmarkStart w:id="88" w:name="_Toc254970545"/>
    </w:p>
    <w:p>
      <w:pPr>
        <w:pStyle w:val="24"/>
        <w:snapToGrid w:val="0"/>
        <w:spacing w:line="360" w:lineRule="exact"/>
        <w:ind w:left="321" w:hanging="321" w:hangingChars="100"/>
        <w:jc w:val="center"/>
        <w:rPr>
          <w:rFonts w:hAnsi="宋体" w:cs="Times New Roman"/>
          <w:b/>
          <w:bCs/>
          <w:color w:val="auto"/>
          <w:sz w:val="32"/>
          <w:szCs w:val="32"/>
          <w:highlight w:val="none"/>
        </w:rPr>
      </w:pPr>
      <w:r>
        <w:rPr>
          <w:rFonts w:hint="eastAsia" w:hAnsi="宋体"/>
          <w:b/>
          <w:bCs/>
          <w:color w:val="auto"/>
          <w:sz w:val="32"/>
          <w:szCs w:val="32"/>
          <w:highlight w:val="none"/>
        </w:rPr>
        <w:t>六、评标</w:t>
      </w:r>
    </w:p>
    <w:bookmarkEnd w:id="87"/>
    <w:bookmarkEnd w:id="88"/>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（一）组建评标委员会</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评标委员会由采购人代表和评审专家组成，成员人数应当为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采购项目符合下列情形之一的，评标委员会成员人数应当为</w:t>
      </w:r>
      <w:r>
        <w:rPr>
          <w:rFonts w:ascii="宋体" w:hAnsi="宋体" w:cs="宋体"/>
          <w:color w:val="auto"/>
          <w:sz w:val="24"/>
          <w:szCs w:val="24"/>
          <w:highlight w:val="none"/>
        </w:rPr>
        <w:t>7</w:t>
      </w:r>
      <w:r>
        <w:rPr>
          <w:rFonts w:hint="eastAsia" w:ascii="宋体" w:hAnsi="宋体" w:cs="宋体"/>
          <w:color w:val="auto"/>
          <w:sz w:val="24"/>
          <w:szCs w:val="24"/>
          <w:highlight w:val="none"/>
        </w:rPr>
        <w:t>人以上单数：</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．采购预算金额在</w:t>
      </w:r>
      <w:r>
        <w:rPr>
          <w:rFonts w:ascii="宋体" w:hAnsi="宋体" w:cs="宋体"/>
          <w:color w:val="auto"/>
          <w:sz w:val="24"/>
          <w:szCs w:val="24"/>
          <w:highlight w:val="none"/>
        </w:rPr>
        <w:t>1000</w:t>
      </w:r>
      <w:r>
        <w:rPr>
          <w:rFonts w:hint="eastAsia" w:ascii="宋体" w:hAnsi="宋体" w:cs="宋体"/>
          <w:color w:val="auto"/>
          <w:sz w:val="24"/>
          <w:szCs w:val="24"/>
          <w:highlight w:val="none"/>
        </w:rPr>
        <w:t>万元以上；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．技术复杂；</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．社会影响较大。</w:t>
      </w:r>
    </w:p>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（二）评标的方式</w:t>
      </w:r>
    </w:p>
    <w:p>
      <w:pPr>
        <w:pStyle w:val="24"/>
        <w:snapToGrid w:val="0"/>
        <w:spacing w:line="360" w:lineRule="exact"/>
        <w:ind w:left="210" w:leftChars="100" w:firstLine="240" w:firstLineChars="100"/>
        <w:rPr>
          <w:rFonts w:hAnsi="宋体" w:cs="Times New Roman"/>
          <w:color w:val="auto"/>
          <w:sz w:val="24"/>
          <w:szCs w:val="24"/>
          <w:highlight w:val="none"/>
        </w:rPr>
      </w:pPr>
      <w:r>
        <w:rPr>
          <w:rFonts w:hint="eastAsia" w:hAnsi="宋体"/>
          <w:color w:val="auto"/>
          <w:sz w:val="24"/>
          <w:szCs w:val="24"/>
          <w:highlight w:val="none"/>
        </w:rPr>
        <w:t>本项目采用不公开方式评标，评标的依据为招标文件和投标文件。</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（三）资格审查</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采购人代表对投标人的资格进行审查。合格投标人不足</w:t>
      </w:r>
      <w:r>
        <w:rPr>
          <w:rFonts w:hAnsi="宋体"/>
          <w:color w:val="auto"/>
          <w:sz w:val="24"/>
          <w:szCs w:val="24"/>
          <w:highlight w:val="none"/>
        </w:rPr>
        <w:t>3</w:t>
      </w:r>
      <w:r>
        <w:rPr>
          <w:rFonts w:hint="eastAsia" w:hAnsi="宋体"/>
          <w:color w:val="auto"/>
          <w:sz w:val="24"/>
          <w:szCs w:val="24"/>
          <w:highlight w:val="none"/>
        </w:rPr>
        <w:t>家的，不得评标。</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评标委员会仅对通过资格审查的投标人进行评审。</w:t>
      </w:r>
    </w:p>
    <w:p>
      <w:pPr>
        <w:pStyle w:val="24"/>
        <w:snapToGrid w:val="0"/>
        <w:spacing w:line="360" w:lineRule="exact"/>
        <w:ind w:left="241" w:hanging="241" w:hangingChars="100"/>
        <w:rPr>
          <w:rFonts w:hAnsi="宋体" w:cs="Times New Roman"/>
          <w:b/>
          <w:bCs/>
          <w:color w:val="auto"/>
          <w:sz w:val="24"/>
          <w:szCs w:val="24"/>
          <w:highlight w:val="none"/>
        </w:rPr>
      </w:pPr>
      <w:r>
        <w:rPr>
          <w:rFonts w:hint="eastAsia" w:hAnsi="宋体"/>
          <w:b/>
          <w:bCs/>
          <w:color w:val="auto"/>
          <w:sz w:val="24"/>
          <w:szCs w:val="24"/>
          <w:highlight w:val="none"/>
        </w:rPr>
        <w:t>（四）评标程序</w:t>
      </w:r>
    </w:p>
    <w:p>
      <w:pPr>
        <w:snapToGrid w:val="0"/>
        <w:spacing w:line="360" w:lineRule="exact"/>
        <w:ind w:firstLine="472" w:firstLineChars="196"/>
        <w:rPr>
          <w:rFonts w:asci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实质审查与比较</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）评标委员会对通过资格审查的投标文件进行符合性审查。</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）评标委员会审查投标文件的实质性内容是否符合招标文件的实质性要求。</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）评标委员会将根据投标人的投标文件进行审查、核对</w:t>
      </w:r>
      <w:r>
        <w:rPr>
          <w:rFonts w:ascii="宋体" w:hAnsi="宋体" w:cs="宋体"/>
          <w:color w:val="auto"/>
          <w:sz w:val="24"/>
          <w:szCs w:val="24"/>
          <w:highlight w:val="none"/>
        </w:rPr>
        <w:t>,</w:t>
      </w:r>
      <w:r>
        <w:rPr>
          <w:rFonts w:hint="eastAsia" w:ascii="宋体" w:hAnsi="宋体" w:cs="宋体"/>
          <w:color w:val="auto"/>
          <w:sz w:val="24"/>
          <w:szCs w:val="24"/>
          <w:highlight w:val="none"/>
        </w:rPr>
        <w:t>如有疑问</w:t>
      </w:r>
      <w:r>
        <w:rPr>
          <w:rFonts w:ascii="宋体" w:hAnsi="宋体" w:cs="宋体"/>
          <w:color w:val="auto"/>
          <w:sz w:val="24"/>
          <w:szCs w:val="24"/>
          <w:highlight w:val="none"/>
        </w:rPr>
        <w:t>,</w:t>
      </w:r>
      <w:r>
        <w:rPr>
          <w:rFonts w:hint="eastAsia" w:ascii="宋体" w:hAnsi="宋体" w:cs="宋体"/>
          <w:color w:val="auto"/>
          <w:sz w:val="24"/>
          <w:szCs w:val="24"/>
          <w:highlight w:val="none"/>
        </w:rPr>
        <w:t>将对投标人进行询标</w:t>
      </w:r>
      <w:r>
        <w:rPr>
          <w:rFonts w:ascii="宋体" w:hAnsi="宋体" w:cs="宋体"/>
          <w:color w:val="auto"/>
          <w:sz w:val="24"/>
          <w:szCs w:val="24"/>
          <w:highlight w:val="none"/>
        </w:rPr>
        <w:t>,</w:t>
      </w:r>
      <w:r>
        <w:rPr>
          <w:rFonts w:hint="eastAsia" w:ascii="宋体" w:hAnsi="宋体" w:cs="宋体"/>
          <w:color w:val="auto"/>
          <w:sz w:val="24"/>
          <w:szCs w:val="24"/>
          <w:highlight w:val="none"/>
        </w:rPr>
        <w:t>投标人要向评标委员会澄清有关问题</w:t>
      </w:r>
      <w:r>
        <w:rPr>
          <w:rFonts w:ascii="宋体" w:hAnsi="宋体" w:cs="宋体"/>
          <w:color w:val="auto"/>
          <w:sz w:val="24"/>
          <w:szCs w:val="24"/>
          <w:highlight w:val="none"/>
        </w:rPr>
        <w:t>,</w:t>
      </w:r>
      <w:r>
        <w:rPr>
          <w:rFonts w:hint="eastAsia" w:ascii="宋体" w:hAnsi="宋体" w:cs="宋体"/>
          <w:color w:val="auto"/>
          <w:sz w:val="24"/>
          <w:szCs w:val="24"/>
          <w:highlight w:val="none"/>
        </w:rPr>
        <w:t>并最终以书面形式进行答复。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投标人代表未到场或者拒绝澄清或者澄清的内容改变了投标文件的实质性内容的，评标委员会有权视该投标文件无效。</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）各投标人的技术得分为所有评委的有效评分的算术平均数，由指定专人进行计算复核。</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）代理机构工作人员协助评标委员会根据本项目的评分标准计算各投标人的商务报价得分。</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）评标委员会完成评标后</w:t>
      </w:r>
      <w:r>
        <w:rPr>
          <w:rFonts w:ascii="宋体" w:hAnsi="宋体" w:cs="宋体"/>
          <w:color w:val="auto"/>
          <w:sz w:val="24"/>
          <w:szCs w:val="24"/>
          <w:highlight w:val="none"/>
        </w:rPr>
        <w:t>,</w:t>
      </w:r>
      <w:r>
        <w:rPr>
          <w:rFonts w:hint="eastAsia" w:ascii="宋体" w:hAnsi="宋体" w:cs="宋体"/>
          <w:color w:val="auto"/>
          <w:sz w:val="24"/>
          <w:szCs w:val="24"/>
          <w:highlight w:val="none"/>
        </w:rPr>
        <w:t>评委对各部分得分汇总</w:t>
      </w:r>
      <w:r>
        <w:rPr>
          <w:rFonts w:ascii="宋体" w:hAnsi="宋体" w:cs="宋体"/>
          <w:color w:val="auto"/>
          <w:sz w:val="24"/>
          <w:szCs w:val="24"/>
          <w:highlight w:val="none"/>
        </w:rPr>
        <w:t>,</w:t>
      </w:r>
      <w:r>
        <w:rPr>
          <w:rFonts w:hint="eastAsia" w:ascii="宋体" w:hAnsi="宋体" w:cs="宋体"/>
          <w:color w:val="auto"/>
          <w:sz w:val="24"/>
          <w:szCs w:val="24"/>
          <w:highlight w:val="none"/>
        </w:rPr>
        <w:t>计算出本项目最终得分。评标委员会按评标原则推荐中标候选人同时起草评标报告。</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（五）澄清问题的形式</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（六）错误修正</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投标文件如果出现计算或表达上的错误，修正错误的原则如下：</w:t>
      </w:r>
    </w:p>
    <w:p>
      <w:pPr>
        <w:pStyle w:val="35"/>
        <w:spacing w:before="0" w:beforeAutospacing="0" w:after="0" w:afterAutospacing="0" w:line="360" w:lineRule="exact"/>
        <w:ind w:firstLine="480" w:firstLineChars="200"/>
        <w:rPr>
          <w:rFonts w:cs="Times New Roman"/>
          <w:color w:val="auto"/>
          <w:kern w:val="2"/>
          <w:highlight w:val="none"/>
        </w:rPr>
      </w:pPr>
      <w:r>
        <w:rPr>
          <w:color w:val="auto"/>
          <w:kern w:val="2"/>
          <w:highlight w:val="none"/>
        </w:rPr>
        <w:t>1</w:t>
      </w:r>
      <w:r>
        <w:rPr>
          <w:rFonts w:hint="eastAsia"/>
          <w:color w:val="auto"/>
          <w:kern w:val="2"/>
          <w:highlight w:val="none"/>
        </w:rPr>
        <w:t>、投标文件中开标一览表（报价表）内容与投标文件中相应内容不一致的，以开标一览表（报价表）为准；</w:t>
      </w:r>
    </w:p>
    <w:p>
      <w:pPr>
        <w:pStyle w:val="35"/>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2</w:t>
      </w:r>
      <w:r>
        <w:rPr>
          <w:rFonts w:hint="eastAsia"/>
          <w:color w:val="auto"/>
          <w:kern w:val="2"/>
          <w:highlight w:val="none"/>
        </w:rPr>
        <w:t>、大写金额和小写金额不一致的，以大写金额为准；</w:t>
      </w:r>
    </w:p>
    <w:p>
      <w:pPr>
        <w:pStyle w:val="35"/>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3</w:t>
      </w:r>
      <w:r>
        <w:rPr>
          <w:rFonts w:hint="eastAsia"/>
          <w:color w:val="auto"/>
          <w:kern w:val="2"/>
          <w:highlight w:val="none"/>
        </w:rPr>
        <w:t>、单价金额小数点或者百分比有明显错位的，以开标一览表的总价为准，并修改单价；</w:t>
      </w:r>
    </w:p>
    <w:p>
      <w:pPr>
        <w:pStyle w:val="35"/>
        <w:spacing w:before="0" w:beforeAutospacing="0" w:after="0" w:afterAutospacing="0" w:line="360" w:lineRule="exact"/>
        <w:rPr>
          <w:rFonts w:cs="Times New Roman"/>
          <w:color w:val="auto"/>
          <w:kern w:val="2"/>
          <w:highlight w:val="none"/>
        </w:rPr>
      </w:pPr>
      <w:r>
        <w:rPr>
          <w:rFonts w:hint="eastAsia"/>
          <w:color w:val="auto"/>
          <w:kern w:val="2"/>
          <w:highlight w:val="none"/>
        </w:rPr>
        <w:t>　　</w:t>
      </w:r>
      <w:r>
        <w:rPr>
          <w:color w:val="auto"/>
          <w:kern w:val="2"/>
          <w:highlight w:val="none"/>
        </w:rPr>
        <w:t>4</w:t>
      </w:r>
      <w:r>
        <w:rPr>
          <w:rFonts w:hint="eastAsia"/>
          <w:color w:val="auto"/>
          <w:kern w:val="2"/>
          <w:highlight w:val="none"/>
        </w:rPr>
        <w:t>、总价金额与按单价汇总金额不一致的，以单价金额计算结果为准。</w:t>
      </w:r>
    </w:p>
    <w:p>
      <w:pPr>
        <w:pStyle w:val="24"/>
        <w:tabs>
          <w:tab w:val="left" w:pos="567"/>
        </w:tabs>
        <w:snapToGrid w:val="0"/>
        <w:spacing w:line="360" w:lineRule="exact"/>
        <w:ind w:firstLine="482" w:firstLineChars="200"/>
        <w:rPr>
          <w:rFonts w:hAnsi="宋体" w:cs="Times New Roman"/>
          <w:b/>
          <w:bCs/>
          <w:color w:val="auto"/>
          <w:sz w:val="24"/>
          <w:szCs w:val="24"/>
          <w:highlight w:val="none"/>
        </w:rPr>
      </w:pPr>
      <w:r>
        <w:rPr>
          <w:rFonts w:hint="eastAsia" w:hAnsi="宋体"/>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4"/>
        <w:tabs>
          <w:tab w:val="left" w:pos="630"/>
        </w:tabs>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（七）评标原则和评标办法</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评标办法。本项目评标办法是</w:t>
      </w:r>
      <w:r>
        <w:rPr>
          <w:rFonts w:hint="eastAsia" w:hAnsi="宋体"/>
          <w:color w:val="auto"/>
          <w:sz w:val="24"/>
          <w:szCs w:val="24"/>
          <w:highlight w:val="none"/>
          <w:u w:val="single"/>
        </w:rPr>
        <w:t>综合评分法</w:t>
      </w:r>
      <w:r>
        <w:rPr>
          <w:rFonts w:hint="eastAsia" w:hAnsi="宋体"/>
          <w:color w:val="auto"/>
          <w:sz w:val="24"/>
          <w:szCs w:val="24"/>
          <w:highlight w:val="none"/>
        </w:rPr>
        <w:t>，具体评标内容及评分标准等详见《第四章：评标办法及评分标准》。</w:t>
      </w:r>
    </w:p>
    <w:p>
      <w:pPr>
        <w:snapToGrid w:val="0"/>
        <w:spacing w:line="400" w:lineRule="exact"/>
        <w:rPr>
          <w:rFonts w:ascii="宋体" w:cs="宋体"/>
          <w:b/>
          <w:bCs/>
          <w:color w:val="auto"/>
          <w:sz w:val="24"/>
          <w:szCs w:val="24"/>
          <w:highlight w:val="none"/>
        </w:rPr>
      </w:pPr>
      <w:r>
        <w:rPr>
          <w:rFonts w:hint="eastAsia" w:ascii="宋体" w:hAnsi="宋体" w:cs="宋体"/>
          <w:b/>
          <w:bCs/>
          <w:color w:val="auto"/>
          <w:sz w:val="24"/>
          <w:szCs w:val="24"/>
          <w:highlight w:val="none"/>
        </w:rPr>
        <w:t>（八）投标无效的情形</w:t>
      </w:r>
    </w:p>
    <w:p>
      <w:pPr>
        <w:spacing w:line="40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实质上没有响应招标文件要求的投标将被视为无效投标。投标人不得通过修正或撤销不合要求的偏离或保留从而使其投标成为实质上响应的投标</w:t>
      </w:r>
      <w:r>
        <w:rPr>
          <w:rFonts w:ascii="宋体" w:hAnsi="宋体" w:cs="宋体"/>
          <w:color w:val="auto"/>
          <w:sz w:val="24"/>
          <w:szCs w:val="24"/>
          <w:highlight w:val="none"/>
        </w:rPr>
        <w:t>,</w:t>
      </w:r>
      <w:r>
        <w:rPr>
          <w:rFonts w:hint="eastAsia" w:ascii="宋体" w:hAnsi="宋体" w:cs="宋体"/>
          <w:color w:val="auto"/>
          <w:sz w:val="24"/>
          <w:szCs w:val="24"/>
          <w:highlight w:val="none"/>
        </w:rPr>
        <w:t>但经评标委员会认定属于投标人疏忽、笔误所造成的差错</w:t>
      </w:r>
      <w:r>
        <w:rPr>
          <w:rFonts w:ascii="宋体" w:hAnsi="宋体" w:cs="宋体"/>
          <w:color w:val="auto"/>
          <w:sz w:val="24"/>
          <w:szCs w:val="24"/>
          <w:highlight w:val="none"/>
        </w:rPr>
        <w:t>,</w:t>
      </w:r>
      <w:r>
        <w:rPr>
          <w:rFonts w:hint="eastAsia" w:ascii="宋体" w:hAnsi="宋体" w:cs="宋体"/>
          <w:color w:val="auto"/>
          <w:sz w:val="24"/>
          <w:szCs w:val="24"/>
          <w:highlight w:val="none"/>
        </w:rPr>
        <w:t>应当允许其在评标结束之前进行修改或者补正</w:t>
      </w:r>
      <w:r>
        <w:rPr>
          <w:rFonts w:ascii="宋体" w:hAnsi="宋体" w:cs="宋体"/>
          <w:color w:val="auto"/>
          <w:sz w:val="24"/>
          <w:szCs w:val="24"/>
          <w:highlight w:val="none"/>
        </w:rPr>
        <w:t>(</w:t>
      </w:r>
      <w:r>
        <w:rPr>
          <w:rFonts w:hint="eastAsia" w:ascii="宋体" w:hAnsi="宋体" w:cs="宋体"/>
          <w:color w:val="auto"/>
          <w:sz w:val="24"/>
          <w:szCs w:val="24"/>
          <w:highlight w:val="none"/>
        </w:rPr>
        <w:t>可以是复印件、传真件等</w:t>
      </w:r>
      <w:r>
        <w:rPr>
          <w:rFonts w:ascii="宋体" w:hAnsi="宋体" w:cs="宋体"/>
          <w:color w:val="auto"/>
          <w:sz w:val="24"/>
          <w:szCs w:val="24"/>
          <w:highlight w:val="none"/>
        </w:rPr>
        <w:t>,</w:t>
      </w:r>
      <w:r>
        <w:rPr>
          <w:rFonts w:hint="eastAsia" w:ascii="宋体" w:hAnsi="宋体" w:cs="宋体"/>
          <w:color w:val="auto"/>
          <w:sz w:val="24"/>
          <w:szCs w:val="24"/>
          <w:highlight w:val="none"/>
        </w:rPr>
        <w:t>原件必须加盖单位公章</w:t>
      </w:r>
      <w:r>
        <w:rPr>
          <w:rFonts w:ascii="宋体" w:hAnsi="宋体" w:cs="宋体"/>
          <w:color w:val="auto"/>
          <w:sz w:val="24"/>
          <w:szCs w:val="24"/>
          <w:highlight w:val="none"/>
        </w:rPr>
        <w:t>)</w:t>
      </w:r>
      <w:r>
        <w:rPr>
          <w:rFonts w:hint="eastAsia" w:ascii="宋体" w:hAnsi="宋体" w:cs="宋体"/>
          <w:color w:val="auto"/>
          <w:sz w:val="24"/>
          <w:szCs w:val="24"/>
          <w:highlight w:val="none"/>
        </w:rPr>
        <w:t>。修改或者补正投标文件必须以书面形式进行</w:t>
      </w:r>
      <w:r>
        <w:rPr>
          <w:rFonts w:ascii="宋体" w:hAnsi="宋体" w:cs="宋体"/>
          <w:color w:val="auto"/>
          <w:sz w:val="24"/>
          <w:szCs w:val="24"/>
          <w:highlight w:val="none"/>
        </w:rPr>
        <w:t>,</w:t>
      </w:r>
      <w:r>
        <w:rPr>
          <w:rFonts w:hint="eastAsia" w:ascii="宋体" w:hAnsi="宋体" w:cs="宋体"/>
          <w:color w:val="auto"/>
          <w:sz w:val="24"/>
          <w:szCs w:val="24"/>
          <w:highlight w:val="none"/>
        </w:rPr>
        <w:t>并在中标结果公告之前核查原件。限期内不补正或经补正后仍不符合招标文件要求的</w:t>
      </w:r>
      <w:r>
        <w:rPr>
          <w:rFonts w:ascii="宋体" w:hAnsi="宋体" w:cs="宋体"/>
          <w:color w:val="auto"/>
          <w:sz w:val="24"/>
          <w:szCs w:val="24"/>
          <w:highlight w:val="none"/>
        </w:rPr>
        <w:t>,</w:t>
      </w:r>
      <w:r>
        <w:rPr>
          <w:rFonts w:hint="eastAsia" w:ascii="宋体" w:hAnsi="宋体" w:cs="宋体"/>
          <w:color w:val="auto"/>
          <w:sz w:val="24"/>
          <w:szCs w:val="24"/>
          <w:highlight w:val="none"/>
        </w:rPr>
        <w:t>应认定其投标无效。投标人修改、补正投标文件后</w:t>
      </w:r>
      <w:r>
        <w:rPr>
          <w:rFonts w:ascii="宋体" w:hAnsi="宋体" w:cs="宋体"/>
          <w:color w:val="auto"/>
          <w:sz w:val="24"/>
          <w:szCs w:val="24"/>
          <w:highlight w:val="none"/>
        </w:rPr>
        <w:t>,</w:t>
      </w:r>
      <w:r>
        <w:rPr>
          <w:rFonts w:hint="eastAsia" w:ascii="宋体" w:hAnsi="宋体" w:cs="宋体"/>
          <w:color w:val="auto"/>
          <w:sz w:val="24"/>
          <w:szCs w:val="24"/>
          <w:highlight w:val="none"/>
        </w:rPr>
        <w:t>不影响评标委员会对其投标文件所作的评价和评分结果。</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在资格性审查时，如发现下列情形之一的，投标文件将被视为无效：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）不符合招标公告中对投标人的资格要求的（包括超越了按照法律法规规定必须获得行政许可证或者行政审批的经营范围的）；</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）资格证明文件不全或不符合招标文件表明的资格要求的。</w:t>
      </w:r>
    </w:p>
    <w:p>
      <w:pPr>
        <w:snapToGrid w:val="0"/>
        <w:spacing w:line="40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在符合性审查时，如发现下列情形之一的，投标文件将被视为无效：</w:t>
      </w:r>
    </w:p>
    <w:p>
      <w:pPr>
        <w:snapToGrid w:val="0"/>
        <w:spacing w:line="400" w:lineRule="exact"/>
        <w:ind w:firstLine="470" w:firstLineChars="196"/>
        <w:rPr>
          <w:rFonts w:ascii="宋体" w:cs="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）投标文件无法定代表人或其授权委托代理人签字</w:t>
      </w:r>
      <w:r>
        <w:rPr>
          <w:rFonts w:ascii="宋体" w:hAnsi="宋体" w:cs="宋体"/>
          <w:color w:val="auto"/>
          <w:sz w:val="24"/>
          <w:szCs w:val="24"/>
          <w:highlight w:val="none"/>
        </w:rPr>
        <w:t>,</w:t>
      </w:r>
      <w:r>
        <w:rPr>
          <w:rFonts w:hint="eastAsia" w:ascii="宋体" w:hAnsi="宋体" w:cs="宋体"/>
          <w:color w:val="auto"/>
          <w:sz w:val="24"/>
          <w:szCs w:val="24"/>
          <w:highlight w:val="none"/>
        </w:rPr>
        <w:t>或未</w:t>
      </w:r>
      <w:r>
        <w:rPr>
          <w:rFonts w:hint="eastAsia" w:ascii="宋体" w:hAnsi="宋体" w:cs="宋体"/>
          <w:color w:val="auto"/>
          <w:kern w:val="0"/>
          <w:sz w:val="24"/>
          <w:szCs w:val="24"/>
          <w:highlight w:val="none"/>
        </w:rPr>
        <w:t>提供法定代表人授权委托书、声明书或者填写项目不齐全的；</w:t>
      </w:r>
    </w:p>
    <w:p>
      <w:pPr>
        <w:snapToGrid w:val="0"/>
        <w:spacing w:line="40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）投标代表人未能出具身份证明或与法定代表人授权委托人身份不符的；</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项目不齐全或者内容虚假的；</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）投标文件的实质性内容未使用中文表述、意思表述不明确、前后矛盾或者使用计量单位不符合招标文件要求的（经评标委员会认定并允许其当场更正的笔误除外）</w:t>
      </w:r>
    </w:p>
    <w:p>
      <w:pPr>
        <w:pStyle w:val="19"/>
        <w:snapToGrid w:val="0"/>
        <w:spacing w:line="400" w:lineRule="exact"/>
        <w:ind w:firstLine="470" w:firstLineChars="196"/>
        <w:rPr>
          <w:rFonts w:ascii="宋体" w:hAnsi="宋体" w:eastAsia="宋体" w:cs="Times New Roman"/>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rPr>
        <w:t>）投标有效期、服务期限等商务条款不能满足招标文件要求的；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6</w:t>
      </w:r>
      <w:r>
        <w:rPr>
          <w:rFonts w:hint="eastAsia" w:ascii="宋体" w:hAnsi="宋体" w:eastAsia="宋体" w:cs="宋体"/>
          <w:color w:val="auto"/>
          <w:sz w:val="24"/>
          <w:szCs w:val="24"/>
          <w:highlight w:val="none"/>
        </w:rPr>
        <w:t>）未实质性响应招标文件要求或者投标文件有招标方不能接受的附加条件或者</w:t>
      </w:r>
      <w:r>
        <w:rPr>
          <w:rFonts w:hint="eastAsia" w:ascii="宋体" w:hAnsi="宋体" w:eastAsia="宋体" w:cs="宋体"/>
          <w:color w:val="auto"/>
          <w:kern w:val="0"/>
          <w:sz w:val="24"/>
          <w:szCs w:val="24"/>
          <w:highlight w:val="none"/>
        </w:rPr>
        <w:t>投标人有相互串通行为</w:t>
      </w:r>
      <w:r>
        <w:rPr>
          <w:rFonts w:hint="eastAsia" w:ascii="宋体" w:hAnsi="宋体" w:eastAsia="宋体" w:cs="宋体"/>
          <w:color w:val="auto"/>
          <w:sz w:val="24"/>
          <w:szCs w:val="24"/>
          <w:highlight w:val="none"/>
        </w:rPr>
        <w:t>的；</w:t>
      </w:r>
    </w:p>
    <w:p>
      <w:pPr>
        <w:pStyle w:val="19"/>
        <w:snapToGrid w:val="0"/>
        <w:spacing w:line="400" w:lineRule="exact"/>
        <w:ind w:firstLine="590" w:firstLineChars="246"/>
        <w:rPr>
          <w:rFonts w:ascii="宋体" w:hAnsi="宋体" w:eastAsia="宋体" w:cs="Times New Roman"/>
          <w:color w:val="auto"/>
          <w:sz w:val="24"/>
          <w:szCs w:val="24"/>
          <w:highlight w:val="none"/>
        </w:rPr>
      </w:pPr>
      <w:r>
        <w:rPr>
          <w:rFonts w:hint="eastAsia" w:ascii="宋体" w:hAnsi="宋体" w:eastAsia="宋体" w:cs="宋体"/>
          <w:snapToGrid w:val="0"/>
          <w:color w:val="auto"/>
          <w:sz w:val="24"/>
          <w:szCs w:val="24"/>
          <w:highlight w:val="none"/>
        </w:rPr>
        <w:t>（</w:t>
      </w:r>
      <w:r>
        <w:rPr>
          <w:rFonts w:ascii="宋体" w:hAnsi="宋体" w:eastAsia="宋体" w:cs="宋体"/>
          <w:snapToGrid w:val="0"/>
          <w:color w:val="auto"/>
          <w:sz w:val="24"/>
          <w:szCs w:val="24"/>
          <w:highlight w:val="none"/>
        </w:rPr>
        <w:t>8</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rPr>
        <w:t>法律、法规规定“投标无效”或招标文件规定的其他“投标无效”的情形的。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在技术评审时，如发现下列情形之一的，投标文件将被视为无效：</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）未提供或未如实提供投标服务的技术参数，或者投标文件标明的响应或偏离与事实不符或虚假投标的；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明显不符合招标文件要求的质量标准，或者与</w:t>
      </w:r>
      <w:r>
        <w:rPr>
          <w:rFonts w:hint="eastAsia" w:ascii="宋体" w:hAnsi="宋体" w:eastAsia="宋体" w:cs="宋体"/>
          <w:color w:val="auto"/>
          <w:sz w:val="24"/>
          <w:szCs w:val="24"/>
          <w:highlight w:val="none"/>
        </w:rPr>
        <w:t>招标文件中标“▲或★”的任何一项技术指标、主要功能项目或技术要求发生实质性负偏离的；</w:t>
      </w:r>
    </w:p>
    <w:p>
      <w:pPr>
        <w:pStyle w:val="19"/>
        <w:spacing w:line="400" w:lineRule="exact"/>
        <w:ind w:firstLine="480" w:firstLineChars="200"/>
        <w:rPr>
          <w:rFonts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r>
        <w:rPr>
          <w:rFonts w:hint="eastAsia" w:ascii="宋体" w:hAnsi="宋体" w:eastAsia="宋体" w:cs="宋体"/>
          <w:snapToGrid w:val="0"/>
          <w:color w:val="auto"/>
          <w:sz w:val="24"/>
          <w:szCs w:val="24"/>
          <w:highlight w:val="none"/>
        </w:rPr>
        <w:t>允许偏离的技术、性能指标或者辅助功能项目发生</w:t>
      </w:r>
      <w:r>
        <w:rPr>
          <w:rFonts w:hint="eastAsia" w:ascii="宋体" w:hAnsi="宋体" w:eastAsia="宋体" w:cs="宋体"/>
          <w:color w:val="auto"/>
          <w:sz w:val="24"/>
          <w:szCs w:val="24"/>
          <w:highlight w:val="none"/>
        </w:rPr>
        <w:t>实质性</w:t>
      </w:r>
      <w:r>
        <w:rPr>
          <w:rFonts w:hint="eastAsia" w:ascii="宋体" w:hAnsi="宋体" w:eastAsia="宋体" w:cs="宋体"/>
          <w:snapToGrid w:val="0"/>
          <w:color w:val="auto"/>
          <w:sz w:val="24"/>
          <w:szCs w:val="24"/>
          <w:highlight w:val="none"/>
        </w:rPr>
        <w:t>负偏离达</w:t>
      </w:r>
      <w:r>
        <w:rPr>
          <w:rFonts w:ascii="宋体" w:hAnsi="宋体" w:eastAsia="宋体" w:cs="宋体"/>
          <w:snapToGrid w:val="0"/>
          <w:color w:val="auto"/>
          <w:sz w:val="24"/>
          <w:szCs w:val="24"/>
          <w:highlight w:val="none"/>
          <w:u w:val="single"/>
        </w:rPr>
        <w:t xml:space="preserve"> 3 </w:t>
      </w:r>
      <w:r>
        <w:rPr>
          <w:rFonts w:hint="eastAsia" w:ascii="宋体" w:hAnsi="宋体" w:eastAsia="宋体" w:cs="宋体"/>
          <w:snapToGrid w:val="0"/>
          <w:color w:val="auto"/>
          <w:sz w:val="24"/>
          <w:szCs w:val="24"/>
          <w:highlight w:val="none"/>
        </w:rPr>
        <w:t>项以上（含</w:t>
      </w:r>
      <w:r>
        <w:rPr>
          <w:rFonts w:ascii="宋体" w:hAnsi="宋体" w:eastAsia="宋体" w:cs="宋体"/>
          <w:snapToGrid w:val="0"/>
          <w:color w:val="auto"/>
          <w:sz w:val="24"/>
          <w:szCs w:val="24"/>
          <w:highlight w:val="none"/>
          <w:u w:val="single"/>
        </w:rPr>
        <w:t xml:space="preserve"> 3 </w:t>
      </w:r>
      <w:r>
        <w:rPr>
          <w:rFonts w:hint="eastAsia" w:ascii="宋体" w:hAnsi="宋体" w:eastAsia="宋体" w:cs="宋体"/>
          <w:snapToGrid w:val="0"/>
          <w:color w:val="auto"/>
          <w:sz w:val="24"/>
          <w:szCs w:val="24"/>
          <w:highlight w:val="none"/>
        </w:rPr>
        <w:t>项）的；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）投标技术方案不明确，存在一个或一个以上备选（替代）投标方案的；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在报价评审时，如发现下列情形之一的，投标文件将被视为无效：</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）未采用人民币报价或者未按照招标文件标明的币种报价的；</w:t>
      </w:r>
    </w:p>
    <w:p>
      <w:pPr>
        <w:pStyle w:val="19"/>
        <w:snapToGrid w:val="0"/>
        <w:spacing w:line="400" w:lineRule="exact"/>
        <w:ind w:firstLine="470" w:firstLineChars="196"/>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）报价超出最高限价，或者超出总采购预算金额或分项采购预算，采购人不能支付的；</w:t>
      </w:r>
    </w:p>
    <w:p>
      <w:pPr>
        <w:pStyle w:val="19"/>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）投标报价具有选择性，或者开标价格与投标文件承诺的优惠（折扣）价格不一致的；</w:t>
      </w:r>
    </w:p>
    <w:p>
      <w:pPr>
        <w:pStyle w:val="19"/>
        <w:snapToGrid w:val="0"/>
        <w:spacing w:line="400" w:lineRule="exact"/>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9"/>
        <w:snapToGrid w:val="0"/>
        <w:spacing w:line="400" w:lineRule="exact"/>
        <w:ind w:firstLine="470" w:firstLineChars="196"/>
        <w:outlineLvl w:val="0"/>
        <w:rPr>
          <w:rFonts w:ascii="宋体" w:hAnsi="宋体" w:eastAsia="宋体" w:cs="宋体"/>
          <w:color w:val="auto"/>
          <w:sz w:val="24"/>
          <w:szCs w:val="24"/>
          <w:highlight w:val="none"/>
        </w:rPr>
      </w:pPr>
      <w:bookmarkStart w:id="89" w:name="_Toc25683"/>
      <w:bookmarkStart w:id="90" w:name="_Toc22501"/>
      <w:bookmarkStart w:id="91" w:name="_Toc27262"/>
      <w:bookmarkStart w:id="92" w:name="_Toc2878"/>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有下列情形之一的视为关联供应商参加同一合同项下政府采购活动，投标文件将被视为无效</w:t>
      </w:r>
      <w:r>
        <w:rPr>
          <w:rFonts w:ascii="宋体" w:hAnsi="宋体" w:eastAsia="宋体" w:cs="宋体"/>
          <w:color w:val="auto"/>
          <w:sz w:val="24"/>
          <w:szCs w:val="24"/>
          <w:highlight w:val="none"/>
        </w:rPr>
        <w:t>:</w:t>
      </w:r>
      <w:bookmarkEnd w:id="89"/>
      <w:bookmarkEnd w:id="90"/>
      <w:bookmarkEnd w:id="91"/>
      <w:bookmarkEnd w:id="92"/>
    </w:p>
    <w:p>
      <w:pPr>
        <w:pStyle w:val="19"/>
        <w:snapToGrid w:val="0"/>
        <w:spacing w:line="400" w:lineRule="exact"/>
        <w:ind w:firstLine="470" w:firstLineChars="196"/>
        <w:outlineLvl w:val="0"/>
        <w:rPr>
          <w:rFonts w:ascii="宋体" w:hAnsi="宋体" w:eastAsia="宋体" w:cs="Times New Roman"/>
          <w:color w:val="auto"/>
          <w:sz w:val="24"/>
          <w:szCs w:val="24"/>
          <w:highlight w:val="none"/>
        </w:rPr>
      </w:pPr>
      <w:bookmarkStart w:id="93" w:name="_Toc30706"/>
      <w:bookmarkStart w:id="94" w:name="_Toc17878"/>
      <w:bookmarkStart w:id="95" w:name="_Toc31174"/>
      <w:bookmarkStart w:id="96" w:name="_Toc23032"/>
      <w:r>
        <w:rPr>
          <w:rFonts w:hint="eastAsia" w:ascii="宋体" w:hAnsi="宋体" w:eastAsia="宋体" w:cs="宋体"/>
          <w:color w:val="auto"/>
          <w:sz w:val="24"/>
          <w:szCs w:val="24"/>
          <w:highlight w:val="none"/>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93"/>
      <w:bookmarkEnd w:id="94"/>
      <w:bookmarkEnd w:id="95"/>
      <w:bookmarkEnd w:id="96"/>
    </w:p>
    <w:p>
      <w:pPr>
        <w:pStyle w:val="19"/>
        <w:snapToGrid w:val="0"/>
        <w:spacing w:line="400" w:lineRule="exact"/>
        <w:ind w:firstLine="470" w:firstLineChars="196"/>
        <w:outlineLvl w:val="0"/>
        <w:rPr>
          <w:rFonts w:ascii="宋体" w:hAnsi="宋体" w:eastAsia="宋体" w:cs="Times New Roman"/>
          <w:color w:val="auto"/>
          <w:sz w:val="24"/>
          <w:szCs w:val="24"/>
          <w:highlight w:val="none"/>
        </w:rPr>
      </w:pPr>
      <w:bookmarkStart w:id="97" w:name="_Toc27011"/>
      <w:bookmarkStart w:id="98" w:name="_Toc7850"/>
      <w:bookmarkStart w:id="99" w:name="_Toc3126"/>
      <w:bookmarkStart w:id="100" w:name="_Toc27356"/>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有本须知总则特别说明（八）第</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款情形之一的视为投标人相互串通，投标文件将视为无效。</w:t>
      </w:r>
      <w:bookmarkEnd w:id="97"/>
      <w:bookmarkEnd w:id="98"/>
      <w:bookmarkEnd w:id="99"/>
      <w:bookmarkEnd w:id="100"/>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（九）评标过程的监控</w:t>
      </w:r>
    </w:p>
    <w:p>
      <w:pPr>
        <w:pStyle w:val="24"/>
        <w:snapToGrid w:val="0"/>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本项目评标过程实行全程录音、录像监控，投标人在评标过程中所进行的试图影响评标结果的不公正活动，可能导致其投标被拒绝。</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根据《关于做好政府采购有关信用主体标识码登记及在政府采购活动中查询使用信用记录有关问题的通知》桂财采〔</w:t>
      </w:r>
      <w:r>
        <w:rPr>
          <w:rFonts w:ascii="宋体" w:hAnsi="宋体" w:cs="宋体"/>
          <w:color w:val="auto"/>
          <w:sz w:val="24"/>
          <w:szCs w:val="24"/>
          <w:highlight w:val="none"/>
        </w:rPr>
        <w:t>2016</w:t>
      </w:r>
      <w:r>
        <w:rPr>
          <w:rFonts w:hint="eastAsia" w:ascii="宋体" w:hAnsi="宋体" w:cs="宋体"/>
          <w:color w:val="auto"/>
          <w:sz w:val="24"/>
          <w:szCs w:val="24"/>
          <w:highlight w:val="none"/>
        </w:rPr>
        <w:t>〕</w:t>
      </w:r>
      <w:r>
        <w:rPr>
          <w:rFonts w:ascii="宋体" w:hAnsi="宋体" w:cs="宋体"/>
          <w:color w:val="auto"/>
          <w:sz w:val="24"/>
          <w:szCs w:val="24"/>
          <w:highlight w:val="none"/>
        </w:rPr>
        <w:t>37</w:t>
      </w:r>
      <w:r>
        <w:rPr>
          <w:rFonts w:hint="eastAsia" w:ascii="宋体" w:hAnsi="宋体" w:cs="宋体"/>
          <w:color w:val="auto"/>
          <w:sz w:val="24"/>
          <w:szCs w:val="24"/>
          <w:highlight w:val="none"/>
        </w:rPr>
        <w:t>号的通知，中标通知书发出前，由采购代理机构对第一中标候选人进行信用查询：</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⑴查询渠道：“信用中国”网站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⑵查询截止时点：中标通知书发出前；</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⑶信用信息查询记录和证据留存方式：在查询网站中直接打印查询记录，打印材料作为采购活动资料保存。</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⑷信用信息使用规则：对在“信用中国”网站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等渠道列入失信被执行人、重大税收违法案件当事人名单、政府采购严重违法失信行为记录名单及其他不符合《中华人民共和国政府采购法》第二十二条规定，生产或经营本次招标采购货物的供应商条件的供应商，取消其中标候选人资格。</w:t>
      </w:r>
    </w:p>
    <w:p>
      <w:pPr>
        <w:pStyle w:val="24"/>
        <w:snapToGrid w:val="0"/>
        <w:spacing w:line="360" w:lineRule="exact"/>
        <w:rPr>
          <w:rFonts w:hAnsi="宋体" w:cs="Times New Roman"/>
          <w:b/>
          <w:bCs/>
          <w:color w:val="auto"/>
          <w:sz w:val="24"/>
          <w:szCs w:val="24"/>
          <w:highlight w:val="none"/>
        </w:rPr>
      </w:pPr>
      <w:bookmarkStart w:id="101" w:name="_Toc254970687"/>
      <w:bookmarkStart w:id="102" w:name="_Toc254970546"/>
      <w:r>
        <w:rPr>
          <w:rFonts w:hint="eastAsia" w:hAnsi="宋体"/>
          <w:b/>
          <w:bCs/>
          <w:color w:val="auto"/>
          <w:sz w:val="24"/>
          <w:szCs w:val="24"/>
          <w:highlight w:val="none"/>
        </w:rPr>
        <w:t>（十一）、评标结果</w:t>
      </w:r>
    </w:p>
    <w:bookmarkEnd w:id="101"/>
    <w:bookmarkEnd w:id="102"/>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中标供应商确定后，采购代理机构二个工作日内在原发布招标公告的网上发布中标公告。</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发布中标公告的同时，采购代理机构向中标供应商发出中标通知书。</w:t>
      </w:r>
    </w:p>
    <w:p>
      <w:pPr>
        <w:pStyle w:val="24"/>
        <w:snapToGrid w:val="0"/>
        <w:spacing w:line="360" w:lineRule="exact"/>
        <w:ind w:firstLine="470" w:firstLineChars="196"/>
        <w:rPr>
          <w:rFonts w:hAnsi="宋体" w:cs="Times New Roman"/>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投标人认为招标文件、招标过程或中标结果使自己的权益受到损害的，可以在规定的期限内，以书面形式向采购代理机构提出质疑。并及时索要书面回执。</w:t>
      </w:r>
    </w:p>
    <w:p>
      <w:pPr>
        <w:pStyle w:val="24"/>
        <w:spacing w:line="360" w:lineRule="exact"/>
        <w:ind w:firstLine="480" w:firstLineChars="200"/>
        <w:rPr>
          <w:rFonts w:hAnsi="宋体" w:cs="Times New Roman"/>
          <w:color w:val="auto"/>
          <w:sz w:val="24"/>
          <w:szCs w:val="24"/>
          <w:highlight w:val="none"/>
        </w:rPr>
      </w:pPr>
      <w:r>
        <w:rPr>
          <w:rFonts w:hAnsi="宋体"/>
          <w:color w:val="auto"/>
          <w:sz w:val="24"/>
          <w:szCs w:val="24"/>
          <w:highlight w:val="none"/>
        </w:rPr>
        <w:t>5.</w:t>
      </w:r>
      <w:r>
        <w:rPr>
          <w:rFonts w:hint="eastAsia" w:hAnsi="宋体"/>
          <w:color w:val="auto"/>
          <w:sz w:val="24"/>
          <w:szCs w:val="24"/>
          <w:highlight w:val="none"/>
        </w:rPr>
        <w:t>采购代理机构应当按照有关规定就采购人委托授权范围内的事项在收到投标人的书面质疑后七个工作日内做出答复，但答复的内容不得涉及商业秘密。</w:t>
      </w:r>
    </w:p>
    <w:p>
      <w:pPr>
        <w:snapToGrid w:val="0"/>
        <w:spacing w:line="360" w:lineRule="exact"/>
        <w:ind w:firstLine="470" w:firstLineChars="196"/>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采购代理机构无义务向未中标人退还其投标文件。</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（十二）废标和重新招标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在招标过程中，出现下列情形之一的，予以废标：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符合专业条件的供应商或者对招标文件作实质响应的供应商不足三家的；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出现影响采购公正的违法、违规行为的；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投标人的报价均超过了总采购预算或分项采购预算</w:t>
      </w:r>
      <w:r>
        <w:rPr>
          <w:rFonts w:ascii="宋体" w:hAnsi="宋体" w:cs="宋体"/>
          <w:color w:val="auto"/>
          <w:sz w:val="24"/>
          <w:szCs w:val="24"/>
          <w:highlight w:val="none"/>
        </w:rPr>
        <w:t>(</w:t>
      </w:r>
      <w:r>
        <w:rPr>
          <w:rFonts w:hint="eastAsia" w:ascii="宋体" w:hAnsi="宋体" w:cs="宋体"/>
          <w:color w:val="auto"/>
          <w:sz w:val="24"/>
          <w:szCs w:val="24"/>
          <w:highlight w:val="none"/>
        </w:rPr>
        <w:t>根据项目增减</w:t>
      </w:r>
      <w:r>
        <w:rPr>
          <w:rFonts w:ascii="宋体" w:hAnsi="宋体" w:cs="宋体"/>
          <w:color w:val="auto"/>
          <w:sz w:val="24"/>
          <w:szCs w:val="24"/>
          <w:highlight w:val="none"/>
        </w:rPr>
        <w:t>)</w:t>
      </w:r>
      <w:r>
        <w:rPr>
          <w:rFonts w:hint="eastAsia" w:ascii="宋体" w:hAnsi="宋体" w:cs="宋体"/>
          <w:color w:val="auto"/>
          <w:sz w:val="24"/>
          <w:szCs w:val="24"/>
          <w:highlight w:val="none"/>
        </w:rPr>
        <w:t>，采购人不能支付的；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 xml:space="preserve">2. </w:t>
      </w:r>
      <w:r>
        <w:rPr>
          <w:rFonts w:hint="eastAsia" w:ascii="宋体" w:hAnsi="宋体" w:cs="宋体"/>
          <w:color w:val="auto"/>
          <w:sz w:val="24"/>
          <w:szCs w:val="24"/>
          <w:highlight w:val="none"/>
        </w:rPr>
        <w:t>废标后，采购代理机构将在原政府采购信息发布媒体上公告废标理由，不再另行通知。</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重新招标</w:t>
      </w:r>
    </w:p>
    <w:p>
      <w:pPr>
        <w:snapToGrid w:val="0"/>
        <w:spacing w:line="36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公开招标数额标准以上的采购项目，投标截止后投标人不足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家或者通过资格审查或符合性审查的投标人不足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家的，除采购任务取消情形外，按照以下方式处理：</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招标文件存在不合理条款或者招标程序不符合规定的，采购人、采购代理机构改正后依法重新招标；</w:t>
      </w:r>
    </w:p>
    <w:p>
      <w:pPr>
        <w:snapToGrid w:val="0"/>
        <w:spacing w:line="36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招标文件没有不合理条款、招标程序符合规定，需要采用其他采购方式采购的，采购人应当依法报同级财政部门批准。</w:t>
      </w:r>
    </w:p>
    <w:p>
      <w:pPr>
        <w:snapToGrid w:val="0"/>
        <w:spacing w:line="360" w:lineRule="exact"/>
        <w:rPr>
          <w:rFonts w:ascii="宋体" w:cs="宋体"/>
          <w:color w:val="auto"/>
          <w:sz w:val="24"/>
          <w:szCs w:val="24"/>
          <w:highlight w:val="none"/>
        </w:rPr>
      </w:pPr>
    </w:p>
    <w:p>
      <w:pPr>
        <w:snapToGrid w:val="0"/>
        <w:spacing w:line="360" w:lineRule="exact"/>
        <w:ind w:firstLine="630" w:firstLineChars="196"/>
        <w:jc w:val="center"/>
        <w:rPr>
          <w:rFonts w:ascii="宋体" w:cs="宋体"/>
          <w:b/>
          <w:bCs/>
          <w:color w:val="auto"/>
          <w:sz w:val="32"/>
          <w:szCs w:val="32"/>
          <w:highlight w:val="none"/>
        </w:rPr>
      </w:pPr>
      <w:r>
        <w:rPr>
          <w:rFonts w:hint="eastAsia" w:ascii="宋体" w:hAnsi="宋体" w:cs="宋体"/>
          <w:b/>
          <w:bCs/>
          <w:color w:val="auto"/>
          <w:sz w:val="32"/>
          <w:szCs w:val="32"/>
          <w:highlight w:val="none"/>
        </w:rPr>
        <w:t>七、签订合同</w:t>
      </w:r>
    </w:p>
    <w:p>
      <w:pPr>
        <w:snapToGrid w:val="0"/>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（一）合同授予标准</w:t>
      </w:r>
    </w:p>
    <w:p>
      <w:pPr>
        <w:pStyle w:val="24"/>
        <w:spacing w:line="360" w:lineRule="exact"/>
        <w:ind w:firstLine="480" w:firstLineChars="200"/>
        <w:rPr>
          <w:rFonts w:hAnsi="宋体" w:cs="Times New Roman"/>
          <w:color w:val="auto"/>
          <w:sz w:val="24"/>
          <w:szCs w:val="24"/>
          <w:highlight w:val="none"/>
        </w:rPr>
      </w:pPr>
      <w:r>
        <w:rPr>
          <w:rFonts w:hint="eastAsia" w:hAnsi="宋体"/>
          <w:color w:val="auto"/>
          <w:sz w:val="24"/>
          <w:szCs w:val="24"/>
          <w:highlight w:val="none"/>
        </w:rPr>
        <w:t>合同将授予被确定为实质上响应招标文件要求，具备履行合同能力，综合评分排名第一的投标人。</w:t>
      </w:r>
    </w:p>
    <w:p>
      <w:pPr>
        <w:pStyle w:val="24"/>
        <w:snapToGrid w:val="0"/>
        <w:spacing w:line="360" w:lineRule="exact"/>
        <w:rPr>
          <w:rFonts w:hAnsi="宋体" w:cs="Times New Roman"/>
          <w:b/>
          <w:bCs/>
          <w:color w:val="auto"/>
          <w:sz w:val="24"/>
          <w:szCs w:val="24"/>
          <w:highlight w:val="none"/>
        </w:rPr>
      </w:pPr>
      <w:r>
        <w:rPr>
          <w:rFonts w:hint="eastAsia" w:hAnsi="宋体"/>
          <w:b/>
          <w:bCs/>
          <w:color w:val="auto"/>
          <w:sz w:val="24"/>
          <w:szCs w:val="24"/>
          <w:highlight w:val="none"/>
        </w:rPr>
        <w:t>（二）签订合同</w:t>
      </w:r>
    </w:p>
    <w:p>
      <w:pPr>
        <w:pStyle w:val="24"/>
        <w:spacing w:line="360" w:lineRule="exact"/>
        <w:ind w:firstLine="420"/>
        <w:rPr>
          <w:rFonts w:hAnsi="宋体" w:cs="Times New Roman"/>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投标人收到中标通知书后，应按中标通知书中规定的时间、地点与采购人签订合同。</w:t>
      </w:r>
    </w:p>
    <w:p>
      <w:pPr>
        <w:pStyle w:val="24"/>
        <w:spacing w:line="360" w:lineRule="exact"/>
        <w:ind w:firstLine="425"/>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如果中标供应商不按中标通知书中规定签订合同，则按中标供应商违约处理。</w:t>
      </w:r>
    </w:p>
    <w:p>
      <w:pPr>
        <w:pStyle w:val="24"/>
        <w:spacing w:line="360" w:lineRule="exact"/>
        <w:ind w:firstLine="420"/>
        <w:rPr>
          <w:rFonts w:hAnsi="宋体" w:cs="Times New Roman"/>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中标供应商因不可抗力或者自身原因不能履行政府采购合同的，采购人可以与中标供应商之后排名第一的中标候选供应商签订采购合同，以此类推。采购人也可以重新开展采购活动。</w:t>
      </w:r>
    </w:p>
    <w:p>
      <w:pPr>
        <w:pStyle w:val="24"/>
        <w:spacing w:line="360" w:lineRule="exact"/>
        <w:ind w:firstLine="420"/>
        <w:rPr>
          <w:rFonts w:hAnsi="宋体" w:cs="Times New Roman"/>
          <w:b/>
          <w:bCs/>
          <w:color w:val="auto"/>
          <w:sz w:val="24"/>
          <w:szCs w:val="24"/>
          <w:highlight w:val="none"/>
        </w:rPr>
      </w:pPr>
    </w:p>
    <w:p>
      <w:pPr>
        <w:pStyle w:val="24"/>
        <w:snapToGrid w:val="0"/>
        <w:spacing w:line="360" w:lineRule="exact"/>
        <w:ind w:firstLine="315" w:firstLineChars="98"/>
        <w:jc w:val="center"/>
        <w:rPr>
          <w:rFonts w:hAnsi="宋体" w:cs="Times New Roman"/>
          <w:b/>
          <w:bCs/>
          <w:color w:val="auto"/>
          <w:sz w:val="32"/>
          <w:szCs w:val="32"/>
          <w:highlight w:val="none"/>
        </w:rPr>
      </w:pPr>
      <w:r>
        <w:rPr>
          <w:rFonts w:hint="eastAsia" w:hAnsi="宋体"/>
          <w:b/>
          <w:bCs/>
          <w:color w:val="auto"/>
          <w:sz w:val="32"/>
          <w:szCs w:val="32"/>
          <w:highlight w:val="none"/>
        </w:rPr>
        <w:t>八、其他事项</w:t>
      </w:r>
    </w:p>
    <w:p>
      <w:pPr>
        <w:pStyle w:val="24"/>
        <w:snapToGrid w:val="0"/>
        <w:spacing w:line="360" w:lineRule="exact"/>
        <w:outlineLvl w:val="0"/>
        <w:rPr>
          <w:rFonts w:hAnsi="宋体" w:cs="Times New Roman"/>
          <w:b/>
          <w:bCs/>
          <w:color w:val="auto"/>
          <w:sz w:val="24"/>
          <w:szCs w:val="24"/>
          <w:highlight w:val="none"/>
        </w:rPr>
      </w:pPr>
      <w:bookmarkStart w:id="103" w:name="_Toc21936"/>
      <w:bookmarkStart w:id="104" w:name="_Toc28793"/>
      <w:bookmarkStart w:id="105" w:name="_Toc1021"/>
      <w:bookmarkStart w:id="106" w:name="_Toc14317"/>
      <w:r>
        <w:rPr>
          <w:rFonts w:hint="eastAsia" w:hAnsi="宋体"/>
          <w:b/>
          <w:bCs/>
          <w:color w:val="auto"/>
          <w:sz w:val="24"/>
          <w:szCs w:val="24"/>
          <w:highlight w:val="none"/>
        </w:rPr>
        <w:t>（一）招标代理服务费</w:t>
      </w:r>
      <w:bookmarkStart w:id="107" w:name="_Toc254970689"/>
      <w:bookmarkStart w:id="108" w:name="_Toc254970548"/>
      <w:r>
        <w:rPr>
          <w:rFonts w:hint="eastAsia" w:hAnsi="宋体"/>
          <w:color w:val="auto"/>
          <w:sz w:val="24"/>
          <w:szCs w:val="24"/>
          <w:highlight w:val="none"/>
          <w:u w:val="single"/>
        </w:rPr>
        <w:t>按国家计委《招标代理服务收费管理暂行办法》（计价格</w:t>
      </w:r>
      <w:r>
        <w:rPr>
          <w:rFonts w:hAnsi="宋体"/>
          <w:color w:val="auto"/>
          <w:sz w:val="24"/>
          <w:szCs w:val="24"/>
          <w:highlight w:val="none"/>
          <w:u w:val="single"/>
        </w:rPr>
        <w:t>[2002]1980</w:t>
      </w:r>
      <w:r>
        <w:rPr>
          <w:rFonts w:hint="eastAsia" w:hAnsi="宋体"/>
          <w:color w:val="auto"/>
          <w:sz w:val="24"/>
          <w:szCs w:val="24"/>
          <w:highlight w:val="none"/>
          <w:u w:val="single"/>
        </w:rPr>
        <w:t>号）规定标准</w:t>
      </w:r>
      <w:r>
        <w:rPr>
          <w:rFonts w:hint="eastAsia" w:hAnsi="宋体"/>
          <w:color w:val="auto"/>
          <w:sz w:val="24"/>
          <w:szCs w:val="24"/>
          <w:highlight w:val="none"/>
        </w:rPr>
        <w:t>向</w:t>
      </w:r>
      <w:r>
        <w:rPr>
          <w:rFonts w:hint="eastAsia" w:hAnsi="宋体"/>
          <w:color w:val="auto"/>
          <w:sz w:val="24"/>
          <w:szCs w:val="24"/>
          <w:highlight w:val="none"/>
          <w:u w:val="single"/>
          <w:lang w:eastAsia="zh-CN"/>
        </w:rPr>
        <w:t>中标人</w:t>
      </w:r>
      <w:r>
        <w:rPr>
          <w:rFonts w:hint="eastAsia" w:hAnsi="宋体"/>
          <w:color w:val="auto"/>
          <w:sz w:val="24"/>
          <w:szCs w:val="24"/>
          <w:highlight w:val="none"/>
        </w:rPr>
        <w:t>收取。缴纳方式：</w:t>
      </w:r>
      <w:bookmarkEnd w:id="103"/>
      <w:r>
        <w:rPr>
          <w:rFonts w:hint="eastAsia" w:hAnsi="宋体"/>
          <w:color w:val="auto"/>
          <w:sz w:val="24"/>
          <w:szCs w:val="24"/>
          <w:highlight w:val="none"/>
        </w:rPr>
        <w:t>转账。</w:t>
      </w:r>
      <w:bookmarkEnd w:id="104"/>
      <w:bookmarkEnd w:id="105"/>
      <w:bookmarkEnd w:id="106"/>
    </w:p>
    <w:p>
      <w:pPr>
        <w:pStyle w:val="24"/>
        <w:snapToGrid w:val="0"/>
        <w:outlineLvl w:val="0"/>
        <w:rPr>
          <w:rFonts w:hAnsi="宋体" w:cs="Times New Roman"/>
          <w:b/>
          <w:bCs/>
          <w:color w:val="auto"/>
          <w:sz w:val="30"/>
          <w:szCs w:val="30"/>
          <w:highlight w:val="none"/>
        </w:rPr>
      </w:pPr>
      <w:bookmarkStart w:id="109" w:name="_Toc11441"/>
      <w:bookmarkStart w:id="110" w:name="_Toc18866"/>
      <w:bookmarkStart w:id="111" w:name="_Toc20376"/>
      <w:r>
        <w:rPr>
          <w:rFonts w:hint="eastAsia" w:hAnsi="宋体"/>
          <w:color w:val="auto"/>
          <w:sz w:val="24"/>
          <w:szCs w:val="24"/>
          <w:highlight w:val="none"/>
        </w:rPr>
        <w:t>（二）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bookmarkEnd w:id="109"/>
      <w:bookmarkEnd w:id="110"/>
      <w:bookmarkEnd w:id="111"/>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cs="Times New Roman"/>
          <w:b/>
          <w:bCs/>
          <w:color w:val="auto"/>
          <w:sz w:val="30"/>
          <w:szCs w:val="30"/>
          <w:highlight w:val="none"/>
        </w:rPr>
      </w:pPr>
    </w:p>
    <w:p>
      <w:pPr>
        <w:pStyle w:val="24"/>
        <w:snapToGrid w:val="0"/>
        <w:jc w:val="center"/>
        <w:outlineLvl w:val="0"/>
        <w:rPr>
          <w:rFonts w:hAnsi="宋体"/>
          <w:b/>
          <w:bCs/>
          <w:color w:val="auto"/>
          <w:sz w:val="44"/>
          <w:szCs w:val="44"/>
          <w:highlight w:val="none"/>
        </w:rPr>
      </w:pPr>
      <w:bookmarkStart w:id="112" w:name="_Toc26858"/>
      <w:bookmarkStart w:id="113" w:name="_Toc330"/>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b/>
          <w:bCs/>
          <w:color w:val="auto"/>
          <w:sz w:val="44"/>
          <w:szCs w:val="44"/>
          <w:highlight w:val="none"/>
        </w:rPr>
      </w:pPr>
    </w:p>
    <w:p>
      <w:pPr>
        <w:pStyle w:val="24"/>
        <w:snapToGrid w:val="0"/>
        <w:jc w:val="center"/>
        <w:outlineLvl w:val="0"/>
        <w:rPr>
          <w:rFonts w:hAnsi="宋体" w:cs="Times New Roman"/>
          <w:b/>
          <w:bCs/>
          <w:color w:val="auto"/>
          <w:sz w:val="44"/>
          <w:szCs w:val="44"/>
          <w:highlight w:val="none"/>
        </w:rPr>
      </w:pPr>
      <w:r>
        <w:rPr>
          <w:rFonts w:hint="eastAsia" w:hAnsi="宋体"/>
          <w:b/>
          <w:bCs/>
          <w:color w:val="auto"/>
          <w:sz w:val="44"/>
          <w:szCs w:val="44"/>
          <w:highlight w:val="none"/>
        </w:rPr>
        <w:t>第四章评标办法及评分标准</w:t>
      </w:r>
      <w:bookmarkEnd w:id="107"/>
      <w:bookmarkEnd w:id="108"/>
      <w:bookmarkEnd w:id="112"/>
      <w:bookmarkEnd w:id="113"/>
    </w:p>
    <w:p>
      <w:pPr>
        <w:pStyle w:val="24"/>
        <w:outlineLvl w:val="0"/>
        <w:rPr>
          <w:rFonts w:hAnsi="宋体" w:cs="Times New Roman"/>
          <w:b/>
          <w:bCs/>
          <w:color w:val="auto"/>
          <w:highlight w:val="none"/>
        </w:rPr>
      </w:pPr>
      <w:bookmarkStart w:id="114" w:name="_Toc254970549"/>
      <w:bookmarkStart w:id="115" w:name="_Toc254970690"/>
    </w:p>
    <w:p>
      <w:pPr>
        <w:ind w:firstLine="420" w:firstLineChars="200"/>
        <w:jc w:val="center"/>
        <w:rPr>
          <w:rFonts w:ascii="宋体"/>
          <w:b/>
          <w:bCs/>
          <w:color w:val="auto"/>
          <w:sz w:val="32"/>
          <w:szCs w:val="32"/>
          <w:highlight w:val="none"/>
        </w:rPr>
      </w:pPr>
      <w:r>
        <w:rPr>
          <w:rFonts w:ascii="宋体"/>
          <w:color w:val="auto"/>
          <w:highlight w:val="none"/>
        </w:rPr>
        <w:br w:type="page"/>
      </w:r>
      <w:bookmarkEnd w:id="114"/>
      <w:bookmarkEnd w:id="115"/>
      <w:r>
        <w:rPr>
          <w:rFonts w:hint="eastAsia" w:ascii="宋体" w:hAnsi="宋体" w:cs="宋体"/>
          <w:b/>
          <w:bCs/>
          <w:color w:val="auto"/>
          <w:sz w:val="32"/>
          <w:szCs w:val="32"/>
          <w:highlight w:val="none"/>
        </w:rPr>
        <w:t>评标方法和评标标准（综合评分法）</w:t>
      </w:r>
    </w:p>
    <w:p>
      <w:pPr>
        <w:pStyle w:val="24"/>
        <w:ind w:firstLine="48" w:firstLineChars="20"/>
        <w:rPr>
          <w:rFonts w:hAnsi="宋体" w:cs="Times New Roman"/>
          <w:b/>
          <w:bCs/>
          <w:color w:val="auto"/>
          <w:sz w:val="24"/>
          <w:szCs w:val="24"/>
          <w:highlight w:val="none"/>
        </w:rPr>
      </w:pPr>
      <w:r>
        <w:rPr>
          <w:rFonts w:hint="eastAsia" w:hAnsi="宋体"/>
          <w:b/>
          <w:bCs/>
          <w:color w:val="auto"/>
          <w:sz w:val="24"/>
          <w:szCs w:val="24"/>
          <w:highlight w:val="none"/>
        </w:rPr>
        <w:t>一、评标原则</w:t>
      </w:r>
    </w:p>
    <w:p>
      <w:pPr>
        <w:pStyle w:val="24"/>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一</w:t>
      </w:r>
      <w:r>
        <w:rPr>
          <w:rFonts w:hAnsi="宋体"/>
          <w:color w:val="auto"/>
          <w:sz w:val="24"/>
          <w:szCs w:val="24"/>
          <w:highlight w:val="none"/>
        </w:rPr>
        <w:t>)</w:t>
      </w:r>
      <w:r>
        <w:rPr>
          <w:rFonts w:hint="eastAsia" w:hAnsi="宋体"/>
          <w:color w:val="auto"/>
          <w:sz w:val="24"/>
          <w:szCs w:val="24"/>
          <w:highlight w:val="none"/>
        </w:rPr>
        <w:t>评委构成：本招标采购项目的评委分别由依法组成的专家、采购单位代表共</w:t>
      </w:r>
      <w:r>
        <w:rPr>
          <w:rFonts w:hAnsi="宋体"/>
          <w:color w:val="auto"/>
          <w:sz w:val="24"/>
          <w:szCs w:val="24"/>
          <w:highlight w:val="none"/>
        </w:rPr>
        <w:t xml:space="preserve"> 5</w:t>
      </w:r>
      <w:r>
        <w:rPr>
          <w:rFonts w:hint="eastAsia" w:hAnsi="宋体"/>
          <w:color w:val="auto"/>
          <w:sz w:val="24"/>
          <w:szCs w:val="24"/>
          <w:highlight w:val="none"/>
        </w:rPr>
        <w:t>人以上单数构成，其中专家人数不少于成员总数的三分之二。</w:t>
      </w:r>
    </w:p>
    <w:p>
      <w:pPr>
        <w:pStyle w:val="24"/>
        <w:ind w:firstLine="600" w:firstLineChars="250"/>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二</w:t>
      </w:r>
      <w:r>
        <w:rPr>
          <w:rFonts w:hAnsi="宋体"/>
          <w:color w:val="auto"/>
          <w:sz w:val="24"/>
          <w:szCs w:val="24"/>
          <w:highlight w:val="none"/>
        </w:rPr>
        <w:t>)</w:t>
      </w:r>
      <w:r>
        <w:rPr>
          <w:rFonts w:hint="eastAsia" w:hAnsi="宋体"/>
          <w:color w:val="auto"/>
          <w:sz w:val="24"/>
          <w:szCs w:val="24"/>
          <w:highlight w:val="none"/>
        </w:rPr>
        <w:t>评标依据：对投标人的投标报价、技术性能及配置、财务状况、业绩、服务方案、政策功能等方面内容打分。其</w:t>
      </w:r>
      <w:r>
        <w:rPr>
          <w:rFonts w:hint="eastAsia"/>
          <w:color w:val="auto"/>
          <w:sz w:val="24"/>
          <w:szCs w:val="24"/>
          <w:highlight w:val="none"/>
        </w:rPr>
        <w:t>，</w:t>
      </w:r>
      <w:r>
        <w:rPr>
          <w:rFonts w:hint="eastAsia"/>
          <w:color w:val="auto"/>
          <w:sz w:val="24"/>
          <w:szCs w:val="24"/>
          <w:highlight w:val="none"/>
        </w:rPr>
        <w:t>其中价格分</w:t>
      </w:r>
      <w:r>
        <w:rPr>
          <w:color w:val="auto"/>
          <w:sz w:val="24"/>
          <w:szCs w:val="24"/>
          <w:highlight w:val="none"/>
        </w:rPr>
        <w:t>20</w:t>
      </w:r>
      <w:r>
        <w:rPr>
          <w:rFonts w:hint="eastAsia"/>
          <w:color w:val="auto"/>
          <w:sz w:val="24"/>
          <w:szCs w:val="24"/>
          <w:highlight w:val="none"/>
        </w:rPr>
        <w:t>分、技术分</w:t>
      </w:r>
      <w:r>
        <w:rPr>
          <w:rFonts w:hint="eastAsia"/>
          <w:color w:val="auto"/>
          <w:sz w:val="24"/>
          <w:szCs w:val="24"/>
          <w:highlight w:val="none"/>
          <w:lang w:val="en-US" w:eastAsia="zh-CN"/>
        </w:rPr>
        <w:t>45</w:t>
      </w:r>
      <w:r>
        <w:rPr>
          <w:rFonts w:hint="eastAsia"/>
          <w:color w:val="auto"/>
          <w:sz w:val="24"/>
          <w:szCs w:val="24"/>
          <w:highlight w:val="none"/>
        </w:rPr>
        <w:t>分、商务分</w:t>
      </w:r>
      <w:r>
        <w:rPr>
          <w:color w:val="auto"/>
          <w:sz w:val="24"/>
          <w:szCs w:val="24"/>
          <w:highlight w:val="none"/>
        </w:rPr>
        <w:t>2</w:t>
      </w:r>
      <w:r>
        <w:rPr>
          <w:rFonts w:hint="eastAsia"/>
          <w:color w:val="auto"/>
          <w:sz w:val="24"/>
          <w:szCs w:val="24"/>
          <w:highlight w:val="none"/>
          <w:lang w:val="en-US" w:eastAsia="zh-CN"/>
        </w:rPr>
        <w:t>2</w:t>
      </w:r>
      <w:r>
        <w:rPr>
          <w:rFonts w:hint="eastAsia"/>
          <w:color w:val="auto"/>
          <w:sz w:val="24"/>
          <w:szCs w:val="24"/>
          <w:highlight w:val="none"/>
        </w:rPr>
        <w:t>分、售后服务分</w:t>
      </w:r>
      <w:r>
        <w:rPr>
          <w:color w:val="auto"/>
          <w:sz w:val="24"/>
          <w:szCs w:val="24"/>
          <w:highlight w:val="none"/>
        </w:rPr>
        <w:t>1</w:t>
      </w:r>
      <w:r>
        <w:rPr>
          <w:rFonts w:hint="eastAsia"/>
          <w:color w:val="auto"/>
          <w:sz w:val="24"/>
          <w:szCs w:val="24"/>
          <w:highlight w:val="none"/>
          <w:lang w:val="en-US" w:eastAsia="zh-CN"/>
        </w:rPr>
        <w:t>3</w:t>
      </w:r>
      <w:r>
        <w:rPr>
          <w:rFonts w:hint="eastAsia"/>
          <w:color w:val="auto"/>
          <w:sz w:val="24"/>
          <w:szCs w:val="24"/>
          <w:highlight w:val="none"/>
        </w:rPr>
        <w:t>分</w:t>
      </w:r>
      <w:r>
        <w:rPr>
          <w:rFonts w:hint="eastAsia" w:hAnsi="宋体"/>
          <w:color w:val="auto"/>
          <w:sz w:val="24"/>
          <w:szCs w:val="24"/>
          <w:highlight w:val="none"/>
        </w:rPr>
        <w:t>；诚信分</w:t>
      </w:r>
      <w:r>
        <w:rPr>
          <w:rFonts w:hAnsi="宋体"/>
          <w:color w:val="auto"/>
          <w:sz w:val="24"/>
          <w:szCs w:val="24"/>
          <w:highlight w:val="none"/>
        </w:rPr>
        <w:t>-6</w:t>
      </w:r>
      <w:r>
        <w:rPr>
          <w:rFonts w:hint="eastAsia" w:hAnsi="宋体"/>
          <w:color w:val="auto"/>
          <w:sz w:val="24"/>
          <w:szCs w:val="24"/>
          <w:highlight w:val="none"/>
        </w:rPr>
        <w:t>分。</w:t>
      </w:r>
    </w:p>
    <w:p>
      <w:pPr>
        <w:pStyle w:val="24"/>
        <w:ind w:firstLine="585" w:firstLineChars="244"/>
        <w:rPr>
          <w:rFonts w:hAnsi="宋体" w:cs="Times New Roman"/>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三</w:t>
      </w:r>
      <w:r>
        <w:rPr>
          <w:rFonts w:hAnsi="宋体"/>
          <w:color w:val="auto"/>
          <w:sz w:val="24"/>
          <w:szCs w:val="24"/>
          <w:highlight w:val="none"/>
        </w:rPr>
        <w:t>)</w:t>
      </w:r>
      <w:r>
        <w:rPr>
          <w:rFonts w:hint="eastAsia" w:hAnsi="宋体"/>
          <w:color w:val="auto"/>
          <w:sz w:val="24"/>
          <w:szCs w:val="24"/>
          <w:highlight w:val="none"/>
        </w:rPr>
        <w:t>评标方式：以封闭方式进行。</w:t>
      </w:r>
    </w:p>
    <w:p>
      <w:pPr>
        <w:pStyle w:val="24"/>
        <w:rPr>
          <w:rFonts w:hAnsi="宋体" w:cs="Times New Roman"/>
          <w:b/>
          <w:bCs/>
          <w:color w:val="auto"/>
          <w:sz w:val="24"/>
          <w:szCs w:val="24"/>
          <w:highlight w:val="none"/>
        </w:rPr>
      </w:pPr>
      <w:r>
        <w:rPr>
          <w:rFonts w:hint="eastAsia" w:hAnsi="宋体"/>
          <w:b/>
          <w:bCs/>
          <w:color w:val="auto"/>
          <w:sz w:val="24"/>
          <w:szCs w:val="24"/>
          <w:highlight w:val="none"/>
        </w:rPr>
        <w:t>二、评定方法</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（一）对进入详评的，采用综合评分法。</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（二）</w:t>
      </w:r>
      <w:r>
        <w:rPr>
          <w:rFonts w:hint="eastAsia" w:hAnsi="宋体"/>
          <w:color w:val="auto"/>
          <w:kern w:val="0"/>
          <w:sz w:val="24"/>
          <w:szCs w:val="24"/>
          <w:highlight w:val="none"/>
        </w:rPr>
        <w:t>根据《政府采购促进中小企业发展暂行办法》（财库</w:t>
      </w:r>
      <w:r>
        <w:rPr>
          <w:rFonts w:hAnsi="宋体"/>
          <w:color w:val="auto"/>
          <w:kern w:val="0"/>
          <w:sz w:val="24"/>
          <w:szCs w:val="24"/>
          <w:highlight w:val="none"/>
        </w:rPr>
        <w:t>[2011]181</w:t>
      </w:r>
      <w:r>
        <w:rPr>
          <w:rFonts w:hint="eastAsia" w:hAnsi="宋体"/>
          <w:color w:val="auto"/>
          <w:kern w:val="0"/>
          <w:sz w:val="24"/>
          <w:szCs w:val="24"/>
          <w:highlight w:val="none"/>
        </w:rPr>
        <w:t>号）</w:t>
      </w:r>
      <w:r>
        <w:rPr>
          <w:rFonts w:hint="eastAsia" w:hAnsi="宋体"/>
          <w:color w:val="auto"/>
          <w:kern w:val="0"/>
          <w:sz w:val="24"/>
          <w:szCs w:val="24"/>
          <w:highlight w:val="none"/>
          <w:lang w:eastAsia="zh-CN"/>
        </w:rPr>
        <w:t>、</w:t>
      </w:r>
      <w:r>
        <w:rPr>
          <w:rFonts w:hint="eastAsia" w:ascii="宋体" w:hAnsi="宋体" w:cs="宋体"/>
          <w:color w:val="auto"/>
          <w:sz w:val="24"/>
          <w:szCs w:val="24"/>
          <w:highlight w:val="none"/>
          <w:lang w:eastAsia="zh-CN"/>
        </w:rPr>
        <w:t>关于印发2020 年广西优化营商环境百日攻坚行动方案的通知（桂政办发〔2020〕59 号）</w:t>
      </w:r>
      <w:r>
        <w:rPr>
          <w:rFonts w:hint="eastAsia" w:ascii="宋体" w:hAnsi="宋体" w:cs="宋体"/>
          <w:color w:val="auto"/>
          <w:sz w:val="24"/>
          <w:highlight w:val="none"/>
        </w:rPr>
        <w:t>，</w:t>
      </w:r>
      <w:r>
        <w:rPr>
          <w:rFonts w:hint="eastAsia" w:hAnsi="宋体"/>
          <w:color w:val="auto"/>
          <w:kern w:val="0"/>
          <w:sz w:val="24"/>
          <w:szCs w:val="24"/>
          <w:highlight w:val="none"/>
        </w:rPr>
        <w:t>规定：</w:t>
      </w:r>
    </w:p>
    <w:p>
      <w:pPr>
        <w:pStyle w:val="24"/>
        <w:ind w:firstLine="480" w:firstLineChars="200"/>
        <w:rPr>
          <w:rFonts w:hAnsi="宋体" w:cs="Times New Roman"/>
          <w:color w:val="auto"/>
          <w:sz w:val="24"/>
          <w:szCs w:val="24"/>
          <w:highlight w:val="none"/>
        </w:rPr>
      </w:pPr>
      <w:r>
        <w:rPr>
          <w:rFonts w:hint="eastAsia" w:hAnsi="宋体"/>
          <w:color w:val="auto"/>
          <w:kern w:val="0"/>
          <w:sz w:val="24"/>
          <w:szCs w:val="24"/>
          <w:highlight w:val="none"/>
        </w:rPr>
        <w:t>对小型或微型企业产品的价格给予</w:t>
      </w:r>
      <w:r>
        <w:rPr>
          <w:rFonts w:hint="eastAsia" w:hAnsi="宋体"/>
          <w:color w:val="auto"/>
          <w:kern w:val="0"/>
          <w:sz w:val="24"/>
          <w:szCs w:val="24"/>
          <w:highlight w:val="none"/>
          <w:lang w:eastAsia="zh-CN"/>
        </w:rPr>
        <w:t>10%</w:t>
      </w:r>
      <w:r>
        <w:rPr>
          <w:rFonts w:hint="eastAsia" w:hAnsi="宋体"/>
          <w:color w:val="auto"/>
          <w:kern w:val="0"/>
          <w:sz w:val="24"/>
          <w:szCs w:val="24"/>
          <w:highlight w:val="none"/>
        </w:rPr>
        <w:t>的扣除，用扣除后的价格参与评审，</w:t>
      </w:r>
      <w:r>
        <w:rPr>
          <w:rFonts w:hint="eastAsia" w:hAnsi="宋体"/>
          <w:color w:val="auto"/>
          <w:sz w:val="24"/>
          <w:szCs w:val="24"/>
          <w:highlight w:val="none"/>
        </w:rPr>
        <w:t>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w:t>
      </w:r>
      <w:r>
        <w:rPr>
          <w:rFonts w:hint="eastAsia" w:hAnsi="宋体"/>
          <w:color w:val="auto"/>
          <w:sz w:val="24"/>
          <w:szCs w:val="24"/>
          <w:highlight w:val="none"/>
          <w:lang w:val="en-US" w:eastAsia="zh-CN"/>
        </w:rPr>
        <w:t>10</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。（投标人如实填写中小企业声明函，否则不予价格扣除）。</w:t>
      </w:r>
    </w:p>
    <w:p>
      <w:pPr>
        <w:pStyle w:val="24"/>
        <w:ind w:firstLine="480"/>
        <w:rPr>
          <w:rFonts w:hAnsi="宋体" w:cs="Times New Roman"/>
          <w:color w:val="auto"/>
          <w:sz w:val="24"/>
          <w:szCs w:val="24"/>
          <w:highlight w:val="none"/>
        </w:rPr>
      </w:pPr>
      <w:r>
        <w:rPr>
          <w:rFonts w:hint="eastAsia" w:hAnsi="宋体"/>
          <w:color w:val="auto"/>
          <w:sz w:val="24"/>
          <w:szCs w:val="24"/>
          <w:highlight w:val="none"/>
        </w:rPr>
        <w:t>大中型企业和其他自然人、法人或者其他组织与小型、微型企业组成联合体，联合体协议中约定小型、微型企业的协议合同金额占到联合体协议合同总金额</w:t>
      </w:r>
      <w:r>
        <w:rPr>
          <w:rFonts w:hAnsi="宋体"/>
          <w:color w:val="auto"/>
          <w:sz w:val="24"/>
          <w:szCs w:val="24"/>
          <w:highlight w:val="none"/>
        </w:rPr>
        <w:t>30%</w:t>
      </w:r>
      <w:r>
        <w:rPr>
          <w:rFonts w:hint="eastAsia" w:hAnsi="宋体"/>
          <w:color w:val="auto"/>
          <w:sz w:val="24"/>
          <w:szCs w:val="24"/>
          <w:highlight w:val="none"/>
        </w:rPr>
        <w:t>以上的，联合体投标价给予</w:t>
      </w:r>
      <w:r>
        <w:rPr>
          <w:rFonts w:hAnsi="宋体"/>
          <w:color w:val="auto"/>
          <w:sz w:val="24"/>
          <w:szCs w:val="24"/>
          <w:highlight w:val="none"/>
        </w:rPr>
        <w:t>2%</w:t>
      </w:r>
      <w:r>
        <w:rPr>
          <w:rFonts w:hint="eastAsia" w:hAnsi="宋体"/>
          <w:color w:val="auto"/>
          <w:sz w:val="24"/>
          <w:szCs w:val="24"/>
          <w:highlight w:val="none"/>
        </w:rPr>
        <w:t>的扣除，扣除后的价格为评标价，即：</w:t>
      </w:r>
      <w:r>
        <w:rPr>
          <w:rFonts w:hint="eastAsia" w:hAnsi="宋体"/>
          <w:color w:val="auto"/>
          <w:spacing w:val="-6"/>
          <w:sz w:val="24"/>
          <w:szCs w:val="24"/>
          <w:highlight w:val="none"/>
        </w:rPr>
        <w:t>评标价</w:t>
      </w:r>
      <w:r>
        <w:rPr>
          <w:rFonts w:hAnsi="宋体"/>
          <w:color w:val="auto"/>
          <w:sz w:val="24"/>
          <w:szCs w:val="24"/>
          <w:highlight w:val="none"/>
        </w:rPr>
        <w:t>P</w:t>
      </w:r>
      <w:r>
        <w:rPr>
          <w:rFonts w:hAnsi="宋体"/>
          <w:color w:val="auto"/>
          <w:sz w:val="24"/>
          <w:szCs w:val="24"/>
          <w:highlight w:val="none"/>
          <w:vertAlign w:val="subscript"/>
        </w:rPr>
        <w:t xml:space="preserve">P </w:t>
      </w:r>
      <w:r>
        <w:rPr>
          <w:rFonts w:hAnsi="宋体"/>
          <w:color w:val="auto"/>
          <w:sz w:val="24"/>
          <w:szCs w:val="24"/>
          <w:highlight w:val="none"/>
        </w:rPr>
        <w:t>=</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Ansi="宋体"/>
          <w:color w:val="auto"/>
          <w:sz w:val="24"/>
          <w:szCs w:val="24"/>
          <w:highlight w:val="none"/>
        </w:rPr>
        <w:t>-2%</w:t>
      </w:r>
      <w:r>
        <w:rPr>
          <w:rFonts w:hint="eastAsia" w:hAnsi="宋体"/>
          <w:color w:val="auto"/>
          <w:sz w:val="24"/>
          <w:szCs w:val="24"/>
          <w:highlight w:val="none"/>
        </w:rPr>
        <w:t>×投标价</w:t>
      </w:r>
      <w:r>
        <w:rPr>
          <w:rFonts w:hAnsi="宋体"/>
          <w:color w:val="auto"/>
          <w:sz w:val="24"/>
          <w:szCs w:val="24"/>
          <w:highlight w:val="none"/>
        </w:rPr>
        <w:t>P</w:t>
      </w:r>
      <w:r>
        <w:rPr>
          <w:rFonts w:hAnsi="宋体"/>
          <w:color w:val="auto"/>
          <w:sz w:val="24"/>
          <w:szCs w:val="24"/>
          <w:highlight w:val="none"/>
          <w:vertAlign w:val="subscript"/>
        </w:rPr>
        <w:t>i</w:t>
      </w:r>
      <w:r>
        <w:rPr>
          <w:rFonts w:hint="eastAsia" w:hAnsi="宋体"/>
          <w:color w:val="auto"/>
          <w:sz w:val="24"/>
          <w:szCs w:val="24"/>
          <w:highlight w:val="none"/>
        </w:rPr>
        <w:t>。</w:t>
      </w:r>
    </w:p>
    <w:p>
      <w:pPr>
        <w:pStyle w:val="24"/>
        <w:ind w:firstLine="480"/>
        <w:rPr>
          <w:rFonts w:hAnsi="宋体" w:cs="Times New Roman"/>
          <w:color w:val="auto"/>
          <w:sz w:val="24"/>
          <w:szCs w:val="24"/>
          <w:highlight w:val="none"/>
        </w:rPr>
      </w:pPr>
      <w:r>
        <w:rPr>
          <w:rFonts w:hint="eastAsia" w:hAnsi="宋体"/>
          <w:color w:val="auto"/>
          <w:sz w:val="24"/>
          <w:szCs w:val="24"/>
          <w:highlight w:val="none"/>
        </w:rPr>
        <w:t>另：根据《关于政府采购支持监狱企业发展有关问题的通知》（财库</w:t>
      </w:r>
      <w:r>
        <w:rPr>
          <w:rFonts w:hAnsi="宋体"/>
          <w:color w:val="auto"/>
          <w:sz w:val="24"/>
          <w:szCs w:val="24"/>
          <w:highlight w:val="none"/>
        </w:rPr>
        <w:t>[2014]68</w:t>
      </w:r>
      <w:r>
        <w:rPr>
          <w:rFonts w:hint="eastAsia" w:hAnsi="宋体"/>
          <w:color w:val="auto"/>
          <w:sz w:val="24"/>
          <w:szCs w:val="24"/>
          <w:highlight w:val="none"/>
        </w:rPr>
        <w:t>号、桂财采</w:t>
      </w:r>
      <w:r>
        <w:rPr>
          <w:rFonts w:hAnsi="宋体"/>
          <w:color w:val="auto"/>
          <w:sz w:val="24"/>
          <w:szCs w:val="24"/>
          <w:highlight w:val="none"/>
        </w:rPr>
        <w:t>[2016]25</w:t>
      </w:r>
      <w:r>
        <w:rPr>
          <w:rFonts w:hint="eastAsia" w:hAnsi="宋体"/>
          <w:color w:val="auto"/>
          <w:sz w:val="24"/>
          <w:szCs w:val="24"/>
          <w:highlight w:val="none"/>
        </w:rPr>
        <w:t>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4"/>
        <w:ind w:firstLine="480"/>
        <w:rPr>
          <w:rFonts w:hAnsi="宋体" w:cs="Times New Roman"/>
          <w:color w:val="auto"/>
          <w:sz w:val="24"/>
          <w:szCs w:val="24"/>
          <w:highlight w:val="none"/>
        </w:rPr>
      </w:pPr>
      <w:r>
        <w:rPr>
          <w:rFonts w:hint="eastAsia" w:hAnsi="宋体"/>
          <w:color w:val="auto"/>
          <w:sz w:val="24"/>
          <w:szCs w:val="24"/>
          <w:highlight w:val="none"/>
        </w:rPr>
        <w:t>根据《关于促进残疾人就业政府采购政策的通知》（财库【</w:t>
      </w:r>
      <w:r>
        <w:rPr>
          <w:rFonts w:hAnsi="宋体"/>
          <w:color w:val="auto"/>
          <w:sz w:val="24"/>
          <w:szCs w:val="24"/>
          <w:highlight w:val="none"/>
        </w:rPr>
        <w:t>2017</w:t>
      </w:r>
      <w:r>
        <w:rPr>
          <w:rFonts w:hint="eastAsia" w:hAnsi="宋体"/>
          <w:color w:val="auto"/>
          <w:sz w:val="24"/>
          <w:szCs w:val="24"/>
          <w:highlight w:val="none"/>
        </w:rPr>
        <w:t>】</w:t>
      </w:r>
      <w:r>
        <w:rPr>
          <w:rFonts w:hAnsi="宋体"/>
          <w:color w:val="auto"/>
          <w:sz w:val="24"/>
          <w:szCs w:val="24"/>
          <w:highlight w:val="none"/>
        </w:rPr>
        <w:t>141</w:t>
      </w:r>
      <w:r>
        <w:rPr>
          <w:rFonts w:hint="eastAsia" w:hAnsi="宋体"/>
          <w:color w:val="auto"/>
          <w:sz w:val="24"/>
          <w:szCs w:val="24"/>
          <w:highlight w:val="none"/>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4"/>
        <w:ind w:firstLine="616" w:firstLineChars="257"/>
        <w:rPr>
          <w:rFonts w:hAnsi="宋体" w:cs="Times New Roman"/>
          <w:color w:val="auto"/>
          <w:sz w:val="24"/>
          <w:szCs w:val="24"/>
          <w:highlight w:val="none"/>
        </w:rPr>
      </w:pPr>
      <w:r>
        <w:rPr>
          <w:rFonts w:hint="eastAsia" w:hAnsi="宋体"/>
          <w:color w:val="auto"/>
          <w:sz w:val="24"/>
          <w:szCs w:val="24"/>
          <w:highlight w:val="none"/>
        </w:rPr>
        <w:t>对于不属于以上情形的投标人，其投标报价即为评标价。</w:t>
      </w:r>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（三）计分办法（按四舍五入取至百分位）：</w:t>
      </w:r>
    </w:p>
    <w:p>
      <w:pPr>
        <w:pStyle w:val="24"/>
        <w:spacing w:line="460" w:lineRule="exact"/>
        <w:ind w:firstLine="480" w:firstLineChars="200"/>
        <w:rPr>
          <w:rFonts w:hAnsi="宋体"/>
          <w:color w:val="auto"/>
          <w:sz w:val="24"/>
          <w:szCs w:val="24"/>
          <w:highlight w:val="none"/>
        </w:rPr>
      </w:pPr>
      <w:bookmarkStart w:id="116" w:name="_Toc453061765"/>
      <w:r>
        <w:rPr>
          <w:rFonts w:hint="eastAsia" w:hAnsi="宋体"/>
          <w:bCs/>
          <w:color w:val="auto"/>
          <w:sz w:val="24"/>
          <w:szCs w:val="24"/>
          <w:highlight w:val="none"/>
        </w:rPr>
        <w:t>（二）评分细则：</w:t>
      </w:r>
      <w:r>
        <w:rPr>
          <w:rFonts w:hint="eastAsia" w:hAnsi="宋体"/>
          <w:color w:val="auto"/>
          <w:sz w:val="24"/>
          <w:szCs w:val="24"/>
          <w:highlight w:val="none"/>
        </w:rPr>
        <w:t>（按四舍五入取至</w:t>
      </w:r>
      <w:r>
        <w:rPr>
          <w:rFonts w:hint="eastAsia"/>
          <w:color w:val="auto"/>
          <w:sz w:val="24"/>
          <w:szCs w:val="24"/>
          <w:highlight w:val="none"/>
        </w:rPr>
        <w:t>小数点后四位</w:t>
      </w:r>
      <w:r>
        <w:rPr>
          <w:rFonts w:hint="eastAsia" w:hAnsi="宋体"/>
          <w:color w:val="auto"/>
          <w:sz w:val="24"/>
          <w:szCs w:val="24"/>
          <w:highlight w:val="none"/>
        </w:rPr>
        <w:t>）</w:t>
      </w:r>
    </w:p>
    <w:p>
      <w:pPr>
        <w:pStyle w:val="24"/>
        <w:spacing w:line="460" w:lineRule="exact"/>
        <w:ind w:firstLine="482" w:firstLineChars="200"/>
        <w:rPr>
          <w:b/>
          <w:bCs w:val="0"/>
          <w:color w:val="auto"/>
          <w:sz w:val="24"/>
          <w:szCs w:val="24"/>
          <w:highlight w:val="none"/>
        </w:rPr>
      </w:pPr>
      <w:r>
        <w:rPr>
          <w:rFonts w:hint="eastAsia" w:hAnsi="宋体"/>
          <w:b/>
          <w:bCs w:val="0"/>
          <w:color w:val="auto"/>
          <w:sz w:val="24"/>
          <w:szCs w:val="24"/>
          <w:highlight w:val="none"/>
        </w:rPr>
        <w:t>1．价格分………………………………………………………………</w:t>
      </w:r>
      <w:r>
        <w:rPr>
          <w:b/>
          <w:bCs w:val="0"/>
          <w:color w:val="auto"/>
          <w:sz w:val="24"/>
          <w:szCs w:val="24"/>
          <w:highlight w:val="none"/>
        </w:rPr>
        <w:t>20</w:t>
      </w:r>
      <w:r>
        <w:rPr>
          <w:rFonts w:hint="eastAsia" w:hAnsi="宋体"/>
          <w:b/>
          <w:bCs w:val="0"/>
          <w:color w:val="auto"/>
          <w:sz w:val="24"/>
          <w:szCs w:val="24"/>
          <w:highlight w:val="none"/>
        </w:rPr>
        <w:t>分</w:t>
      </w:r>
    </w:p>
    <w:p>
      <w:pPr>
        <w:pStyle w:val="24"/>
        <w:spacing w:line="460" w:lineRule="exact"/>
        <w:ind w:firstLine="480" w:firstLineChars="200"/>
        <w:rPr>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1</w:t>
      </w:r>
      <w:r>
        <w:rPr>
          <w:rFonts w:hint="eastAsia" w:hAnsi="宋体"/>
          <w:color w:val="auto"/>
          <w:sz w:val="24"/>
          <w:szCs w:val="24"/>
          <w:highlight w:val="none"/>
        </w:rPr>
        <w:t>）价格分计算公式：</w:t>
      </w:r>
    </w:p>
    <w:p>
      <w:pPr>
        <w:pStyle w:val="19"/>
        <w:spacing w:line="30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投标人最低评标价</w:t>
      </w:r>
    </w:p>
    <w:p>
      <w:pPr>
        <w:pStyle w:val="19"/>
        <w:spacing w:line="30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1666875</wp:posOffset>
                </wp:positionH>
                <wp:positionV relativeFrom="paragraph">
                  <wp:posOffset>104140</wp:posOffset>
                </wp:positionV>
                <wp:extent cx="1636395" cy="190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1636395" cy="19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31.25pt;margin-top:8.2pt;height:0.15pt;width:128.85pt;z-index:251660288;mso-width-relative:page;mso-height-relative:page;" filled="f" stroked="t"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xBIwfWAAAACQEAAA8AAAAAAAAAAQAg&#10;AAAAIgAAAGRycy9kb3ducmV2LnhtbFBLAQIUABQAAAAIAIdO4kDJo/GW1wEAAHcDAAAOAAAAAAAA&#10;AAEAIAAAACUBAABkcnMvZTJvRG9jLnhtbFBLBQYAAAAABgAGAFkBAABu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某投标人价格分 =                           ×　20</w:t>
      </w:r>
      <w:r>
        <w:rPr>
          <w:rFonts w:hint="eastAsia" w:ascii="宋体" w:hAnsi="宋体" w:eastAsia="宋体" w:cs="宋体"/>
          <w:bCs/>
          <w:color w:val="auto"/>
          <w:sz w:val="24"/>
          <w:szCs w:val="24"/>
          <w:highlight w:val="none"/>
        </w:rPr>
        <w:t>分</w:t>
      </w:r>
    </w:p>
    <w:p>
      <w:pPr>
        <w:pStyle w:val="19"/>
        <w:spacing w:line="300" w:lineRule="exact"/>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某投标人评标价</w:t>
      </w:r>
    </w:p>
    <w:p>
      <w:pPr>
        <w:pStyle w:val="24"/>
        <w:spacing w:line="460" w:lineRule="exact"/>
        <w:ind w:firstLine="482" w:firstLineChars="200"/>
        <w:jc w:val="left"/>
        <w:rPr>
          <w:b/>
          <w:bCs w:val="0"/>
          <w:color w:val="auto"/>
          <w:sz w:val="24"/>
          <w:szCs w:val="24"/>
          <w:highlight w:val="none"/>
        </w:rPr>
      </w:pPr>
      <w:r>
        <w:rPr>
          <w:rFonts w:hint="eastAsia" w:hAnsi="宋体"/>
          <w:b/>
          <w:bCs w:val="0"/>
          <w:color w:val="auto"/>
          <w:sz w:val="24"/>
          <w:szCs w:val="24"/>
          <w:highlight w:val="none"/>
        </w:rPr>
        <w:t>2</w:t>
      </w:r>
      <w:r>
        <w:rPr>
          <w:rFonts w:hint="eastAsia" w:hAnsi="宋体"/>
          <w:b/>
          <w:bCs w:val="0"/>
          <w:color w:val="auto"/>
          <w:sz w:val="24"/>
          <w:szCs w:val="24"/>
          <w:highlight w:val="none"/>
          <w:lang w:eastAsia="zh-CN"/>
        </w:rPr>
        <w:t>.</w:t>
      </w:r>
      <w:r>
        <w:rPr>
          <w:rFonts w:hint="eastAsia" w:hAnsi="宋体"/>
          <w:b/>
          <w:bCs w:val="0"/>
          <w:color w:val="auto"/>
          <w:sz w:val="24"/>
          <w:szCs w:val="24"/>
          <w:highlight w:val="none"/>
        </w:rPr>
        <w:t>技术分…………………………………………………………………</w:t>
      </w:r>
      <w:r>
        <w:rPr>
          <w:rFonts w:hint="eastAsia"/>
          <w:b/>
          <w:bCs w:val="0"/>
          <w:color w:val="auto"/>
          <w:sz w:val="24"/>
          <w:szCs w:val="24"/>
          <w:highlight w:val="none"/>
          <w:lang w:val="en-US" w:eastAsia="zh-CN"/>
        </w:rPr>
        <w:t>45</w:t>
      </w:r>
      <w:r>
        <w:rPr>
          <w:rFonts w:hint="eastAsia" w:hAnsi="宋体"/>
          <w:b/>
          <w:bCs w:val="0"/>
          <w:color w:val="auto"/>
          <w:sz w:val="24"/>
          <w:szCs w:val="24"/>
          <w:highlight w:val="none"/>
        </w:rPr>
        <w:t>分</w:t>
      </w:r>
    </w:p>
    <w:p>
      <w:pPr>
        <w:pStyle w:val="24"/>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（1）技术方案分（满分2</w:t>
      </w:r>
      <w:r>
        <w:rPr>
          <w:rFonts w:hint="eastAsia" w:hAnsi="宋体"/>
          <w:b/>
          <w:bCs/>
          <w:color w:val="auto"/>
          <w:sz w:val="24"/>
          <w:szCs w:val="24"/>
          <w:highlight w:val="none"/>
          <w:lang w:val="en-US" w:eastAsia="zh-CN"/>
        </w:rPr>
        <w:t>0</w:t>
      </w:r>
      <w:r>
        <w:rPr>
          <w:rFonts w:hint="eastAsia" w:hAnsi="宋体"/>
          <w:b/>
          <w:bCs/>
          <w:color w:val="auto"/>
          <w:sz w:val="24"/>
          <w:szCs w:val="24"/>
          <w:highlight w:val="none"/>
        </w:rPr>
        <w:t>分）</w:t>
      </w:r>
    </w:p>
    <w:p>
      <w:pPr>
        <w:spacing w:line="360" w:lineRule="exact"/>
        <w:ind w:firstLine="480" w:firstLineChars="200"/>
        <w:rPr>
          <w:rFonts w:hint="eastAsia" w:hAnsi="宋体"/>
          <w:color w:val="auto"/>
          <w:sz w:val="24"/>
          <w:szCs w:val="24"/>
          <w:highlight w:val="none"/>
        </w:rPr>
      </w:pPr>
      <w:r>
        <w:rPr>
          <w:rFonts w:hint="eastAsia" w:hAnsi="宋体"/>
          <w:color w:val="auto"/>
          <w:sz w:val="24"/>
          <w:szCs w:val="24"/>
          <w:highlight w:val="none"/>
        </w:rPr>
        <w:t>评标委员会成员按照客观、公正、审慎的原则，根据采购文件规定的评审程序、评审方法和评审标准进行评审，若投标人提供的投标文件中无技术方案章节，该项不得分。</w:t>
      </w:r>
    </w:p>
    <w:p>
      <w:pPr>
        <w:spacing w:line="360" w:lineRule="exact"/>
        <w:ind w:firstLine="480" w:firstLineChars="200"/>
        <w:rPr>
          <w:rFonts w:hAnsi="宋体"/>
          <w:color w:val="auto"/>
          <w:sz w:val="24"/>
          <w:szCs w:val="24"/>
          <w:highlight w:val="none"/>
        </w:rPr>
      </w:pPr>
      <w:r>
        <w:rPr>
          <w:rFonts w:hint="eastAsia" w:hAnsi="宋体"/>
          <w:color w:val="auto"/>
          <w:sz w:val="24"/>
          <w:szCs w:val="24"/>
          <w:highlight w:val="none"/>
        </w:rPr>
        <w:t>一档（</w:t>
      </w:r>
      <w:r>
        <w:rPr>
          <w:rFonts w:hint="eastAsia" w:hAnsi="宋体"/>
          <w:color w:val="auto"/>
          <w:sz w:val="24"/>
          <w:szCs w:val="24"/>
          <w:highlight w:val="none"/>
          <w:lang w:val="en-US" w:eastAsia="zh-CN"/>
        </w:rPr>
        <w:t>5</w:t>
      </w:r>
      <w:r>
        <w:rPr>
          <w:rFonts w:hint="eastAsia" w:hAnsi="宋体"/>
          <w:color w:val="auto"/>
          <w:sz w:val="24"/>
          <w:szCs w:val="24"/>
          <w:highlight w:val="none"/>
        </w:rPr>
        <w:t>分）</w:t>
      </w:r>
      <w:r>
        <w:rPr>
          <w:rFonts w:hint="eastAsia" w:hAnsi="宋体"/>
          <w:color w:val="auto"/>
          <w:sz w:val="24"/>
          <w:szCs w:val="24"/>
          <w:highlight w:val="none"/>
        </w:rPr>
        <w:t>：投标人提供的技术方案对本项目建设现状把握较好，对</w:t>
      </w:r>
      <w:bookmarkStart w:id="117" w:name="_Toc45534029"/>
      <w:r>
        <w:rPr>
          <w:rFonts w:hint="eastAsia" w:hAnsi="宋体"/>
          <w:color w:val="auto"/>
          <w:sz w:val="24"/>
          <w:szCs w:val="24"/>
          <w:highlight w:val="none"/>
          <w:lang w:val="en-US" w:eastAsia="zh-CN"/>
        </w:rPr>
        <w:t>项目</w:t>
      </w:r>
      <w:r>
        <w:rPr>
          <w:rFonts w:hint="eastAsia" w:hAnsi="宋体"/>
          <w:color w:val="auto"/>
          <w:sz w:val="24"/>
          <w:szCs w:val="24"/>
          <w:highlight w:val="none"/>
        </w:rPr>
        <w:t>标准规范建设内容</w:t>
      </w:r>
      <w:bookmarkEnd w:id="117"/>
      <w:r>
        <w:rPr>
          <w:rFonts w:hint="eastAsia" w:hAnsi="宋体"/>
          <w:color w:val="auto"/>
          <w:sz w:val="24"/>
          <w:szCs w:val="24"/>
          <w:highlight w:val="none"/>
        </w:rPr>
        <w:t>理解到位，对项目建设需求分析详细全面，针对性强，对项目建设</w:t>
      </w:r>
      <w:r>
        <w:rPr>
          <w:rFonts w:hint="eastAsia" w:hAnsi="宋体"/>
          <w:color w:val="auto"/>
          <w:sz w:val="24"/>
          <w:szCs w:val="24"/>
          <w:highlight w:val="none"/>
          <w:lang w:val="en-US" w:eastAsia="zh-CN"/>
        </w:rPr>
        <w:t>的</w:t>
      </w:r>
      <w:r>
        <w:rPr>
          <w:rFonts w:hint="eastAsia" w:hAnsi="宋体"/>
          <w:color w:val="auto"/>
          <w:sz w:val="24"/>
          <w:szCs w:val="24"/>
          <w:highlight w:val="none"/>
        </w:rPr>
        <w:t>风险分析透彻准确，项目方案简单，无明显错误，基本符合采购要求，基本可行；</w:t>
      </w:r>
    </w:p>
    <w:p>
      <w:pPr>
        <w:spacing w:line="360" w:lineRule="exact"/>
        <w:ind w:firstLine="480" w:firstLineChars="200"/>
        <w:rPr>
          <w:rFonts w:hAnsi="宋体"/>
          <w:color w:val="auto"/>
          <w:sz w:val="24"/>
          <w:szCs w:val="24"/>
          <w:highlight w:val="none"/>
        </w:rPr>
      </w:pPr>
      <w:r>
        <w:rPr>
          <w:rFonts w:hint="eastAsia" w:hAnsi="宋体"/>
          <w:color w:val="auto"/>
          <w:sz w:val="24"/>
          <w:szCs w:val="24"/>
          <w:highlight w:val="none"/>
        </w:rPr>
        <w:t>二档（</w:t>
      </w:r>
      <w:r>
        <w:rPr>
          <w:rFonts w:hAnsi="宋体"/>
          <w:color w:val="auto"/>
          <w:sz w:val="24"/>
          <w:szCs w:val="24"/>
          <w:highlight w:val="none"/>
        </w:rPr>
        <w:t>15</w:t>
      </w:r>
      <w:r>
        <w:rPr>
          <w:rFonts w:hint="eastAsia" w:hAnsi="宋体"/>
          <w:color w:val="auto"/>
          <w:sz w:val="24"/>
          <w:szCs w:val="24"/>
          <w:highlight w:val="none"/>
        </w:rPr>
        <w:t>分）</w:t>
      </w:r>
      <w:r>
        <w:rPr>
          <w:rFonts w:hint="eastAsia" w:hAnsi="宋体"/>
          <w:color w:val="auto"/>
          <w:sz w:val="24"/>
          <w:szCs w:val="24"/>
          <w:highlight w:val="none"/>
        </w:rPr>
        <w:t>：在一般的基础上，投标人提供的项目技术方案详细描述了项目建设目标、建设内容、总体建设框架设计、总体建设架构设计、</w:t>
      </w:r>
      <w:bookmarkStart w:id="118" w:name="_Toc45534023"/>
      <w:r>
        <w:rPr>
          <w:rFonts w:hint="eastAsia" w:hAnsi="宋体"/>
          <w:color w:val="auto"/>
          <w:sz w:val="24"/>
          <w:szCs w:val="24"/>
          <w:highlight w:val="none"/>
        </w:rPr>
        <w:t>总体建设主要技术路线</w:t>
      </w:r>
      <w:bookmarkEnd w:id="118"/>
      <w:r>
        <w:rPr>
          <w:rFonts w:hint="eastAsia" w:hAnsi="宋体"/>
          <w:color w:val="auto"/>
          <w:sz w:val="24"/>
          <w:szCs w:val="24"/>
          <w:highlight w:val="none"/>
        </w:rPr>
        <w:t>，完全符合项目建设要求；</w:t>
      </w:r>
    </w:p>
    <w:p>
      <w:pPr>
        <w:pStyle w:val="24"/>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三档（</w:t>
      </w:r>
      <w:r>
        <w:rPr>
          <w:rFonts w:hint="eastAsia" w:hAnsi="宋体"/>
          <w:color w:val="auto"/>
          <w:sz w:val="24"/>
          <w:szCs w:val="24"/>
          <w:highlight w:val="none"/>
          <w:lang w:val="en-US" w:eastAsia="zh-CN"/>
        </w:rPr>
        <w:t>20</w:t>
      </w:r>
      <w:r>
        <w:rPr>
          <w:rFonts w:hint="eastAsia" w:hAnsi="宋体"/>
          <w:color w:val="auto"/>
          <w:sz w:val="24"/>
          <w:szCs w:val="24"/>
          <w:highlight w:val="none"/>
        </w:rPr>
        <w:t>分）</w:t>
      </w:r>
      <w:r>
        <w:rPr>
          <w:rFonts w:hint="eastAsia" w:hAnsi="宋体"/>
          <w:color w:val="auto"/>
          <w:sz w:val="24"/>
          <w:szCs w:val="24"/>
          <w:highlight w:val="none"/>
        </w:rPr>
        <w:t>：在满足良好要求的基础上，投标人提供应用系统的详细的设计方案、详细的接口数据说明，方案完全符合项目建设要求，方案详细全面、先进性及可操作性强，各项功能完整齐全、针对性强的。</w:t>
      </w:r>
    </w:p>
    <w:p>
      <w:pPr>
        <w:pStyle w:val="24"/>
        <w:spacing w:line="440" w:lineRule="exact"/>
        <w:ind w:firstLine="482" w:firstLineChars="200"/>
        <w:rPr>
          <w:bCs/>
          <w:color w:val="auto"/>
          <w:sz w:val="24"/>
          <w:szCs w:val="24"/>
          <w:highlight w:val="none"/>
        </w:rPr>
      </w:pPr>
      <w:r>
        <w:rPr>
          <w:rFonts w:hint="eastAsia"/>
          <w:b/>
          <w:bCs/>
          <w:color w:val="auto"/>
          <w:sz w:val="24"/>
          <w:szCs w:val="24"/>
          <w:highlight w:val="none"/>
        </w:rPr>
        <w:t>（</w:t>
      </w:r>
      <w:r>
        <w:rPr>
          <w:rFonts w:hint="eastAsia"/>
          <w:b/>
          <w:bCs/>
          <w:color w:val="auto"/>
          <w:sz w:val="24"/>
          <w:szCs w:val="24"/>
          <w:highlight w:val="none"/>
          <w:lang w:val="en-US" w:eastAsia="zh-CN"/>
        </w:rPr>
        <w:t>2</w:t>
      </w:r>
      <w:r>
        <w:rPr>
          <w:rFonts w:hint="eastAsia"/>
          <w:b/>
          <w:bCs/>
          <w:color w:val="auto"/>
          <w:sz w:val="24"/>
          <w:szCs w:val="24"/>
          <w:highlight w:val="none"/>
        </w:rPr>
        <w:t>）实施方案分：（满分</w:t>
      </w:r>
      <w:r>
        <w:rPr>
          <w:b/>
          <w:bCs/>
          <w:color w:val="auto"/>
          <w:sz w:val="24"/>
          <w:szCs w:val="24"/>
          <w:highlight w:val="none"/>
        </w:rPr>
        <w:t>15</w:t>
      </w:r>
      <w:r>
        <w:rPr>
          <w:rFonts w:hint="eastAsia"/>
          <w:b/>
          <w:bCs/>
          <w:color w:val="auto"/>
          <w:sz w:val="24"/>
          <w:szCs w:val="24"/>
          <w:highlight w:val="none"/>
        </w:rPr>
        <w:t>分）</w:t>
      </w:r>
    </w:p>
    <w:p>
      <w:pPr>
        <w:spacing w:line="440" w:lineRule="exact"/>
        <w:ind w:firstLine="480" w:firstLineChars="200"/>
        <w:rPr>
          <w:rFonts w:hAnsi="宋体"/>
          <w:color w:val="auto"/>
          <w:sz w:val="24"/>
          <w:szCs w:val="24"/>
          <w:highlight w:val="none"/>
        </w:rPr>
      </w:pPr>
      <w:bookmarkStart w:id="119" w:name="_Hlk25420454"/>
      <w:r>
        <w:rPr>
          <w:rFonts w:hint="eastAsia" w:hAnsi="宋体"/>
          <w:color w:val="auto"/>
          <w:sz w:val="24"/>
          <w:szCs w:val="24"/>
          <w:highlight w:val="none"/>
        </w:rPr>
        <w:t>一档（</w:t>
      </w:r>
      <w:r>
        <w:rPr>
          <w:rFonts w:hAnsi="宋体"/>
          <w:color w:val="auto"/>
          <w:sz w:val="24"/>
          <w:szCs w:val="24"/>
          <w:highlight w:val="none"/>
        </w:rPr>
        <w:t>5</w:t>
      </w:r>
      <w:r>
        <w:rPr>
          <w:rFonts w:hint="eastAsia" w:hAnsi="宋体"/>
          <w:color w:val="auto"/>
          <w:sz w:val="24"/>
          <w:szCs w:val="24"/>
          <w:highlight w:val="none"/>
        </w:rPr>
        <w:t>分）：</w:t>
      </w:r>
      <w:r>
        <w:rPr>
          <w:rFonts w:hint="eastAsia" w:hAnsi="宋体"/>
          <w:color w:val="auto"/>
          <w:sz w:val="24"/>
          <w:szCs w:val="24"/>
          <w:highlight w:val="none"/>
        </w:rPr>
        <w:t>提供基本的软件实施方案，方案中对系统软硬件部署方案、项目计划、测试方案、试运行方案、人员配置与培训</w:t>
      </w:r>
      <w:r>
        <w:rPr>
          <w:rFonts w:hint="eastAsia" w:hAnsi="宋体"/>
          <w:color w:val="auto"/>
          <w:sz w:val="24"/>
          <w:szCs w:val="24"/>
          <w:highlight w:val="none"/>
          <w:lang w:val="en-US" w:eastAsia="zh-CN"/>
        </w:rPr>
        <w:t>方案</w:t>
      </w:r>
      <w:r>
        <w:rPr>
          <w:rFonts w:hint="eastAsia" w:hAnsi="宋体"/>
          <w:color w:val="auto"/>
          <w:sz w:val="24"/>
          <w:szCs w:val="24"/>
          <w:highlight w:val="none"/>
        </w:rPr>
        <w:t>及验收方案等有基本描述；</w:t>
      </w:r>
    </w:p>
    <w:p>
      <w:p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二档（</w:t>
      </w:r>
      <w:r>
        <w:rPr>
          <w:rFonts w:hAnsi="宋体"/>
          <w:color w:val="auto"/>
          <w:sz w:val="24"/>
          <w:szCs w:val="24"/>
          <w:highlight w:val="none"/>
        </w:rPr>
        <w:t>10</w:t>
      </w:r>
      <w:r>
        <w:rPr>
          <w:rFonts w:hint="eastAsia" w:hAnsi="宋体"/>
          <w:color w:val="auto"/>
          <w:sz w:val="24"/>
          <w:szCs w:val="24"/>
          <w:highlight w:val="none"/>
        </w:rPr>
        <w:t>分）：</w:t>
      </w:r>
      <w:r>
        <w:rPr>
          <w:rFonts w:hint="eastAsia" w:hAnsi="宋体"/>
          <w:color w:val="auto"/>
          <w:sz w:val="24"/>
          <w:szCs w:val="24"/>
          <w:highlight w:val="none"/>
        </w:rPr>
        <w:t>提供较好的软件实施方案,方案中系统软硬件部署方案、项目计划、测试方案、试运行方案、人员配置与培训</w:t>
      </w:r>
      <w:r>
        <w:rPr>
          <w:rFonts w:hint="eastAsia" w:hAnsi="宋体"/>
          <w:color w:val="auto"/>
          <w:sz w:val="24"/>
          <w:szCs w:val="24"/>
          <w:highlight w:val="none"/>
          <w:lang w:val="en-US" w:eastAsia="zh-CN"/>
        </w:rPr>
        <w:t>方案</w:t>
      </w:r>
      <w:r>
        <w:rPr>
          <w:rFonts w:hint="eastAsia" w:hAnsi="宋体"/>
          <w:color w:val="auto"/>
          <w:sz w:val="24"/>
          <w:szCs w:val="24"/>
          <w:highlight w:val="none"/>
        </w:rPr>
        <w:t>及验收方案，内容可行、较为详细。提供的进度计划和工期保证措施</w:t>
      </w:r>
      <w:r>
        <w:rPr>
          <w:rFonts w:hint="eastAsia" w:hAnsi="宋体"/>
          <w:color w:val="auto"/>
          <w:sz w:val="24"/>
          <w:szCs w:val="24"/>
          <w:highlight w:val="none"/>
          <w:lang w:eastAsia="zh-CN"/>
        </w:rPr>
        <w:t>、</w:t>
      </w:r>
      <w:r>
        <w:rPr>
          <w:rFonts w:hint="eastAsia" w:hAnsi="宋体"/>
          <w:color w:val="auto"/>
          <w:sz w:val="24"/>
          <w:szCs w:val="24"/>
          <w:highlight w:val="none"/>
        </w:rPr>
        <w:t xml:space="preserve">质量保证措施、风险管理措施。 </w:t>
      </w:r>
    </w:p>
    <w:p>
      <w:pPr>
        <w:pStyle w:val="24"/>
        <w:spacing w:line="440" w:lineRule="exact"/>
        <w:ind w:firstLine="480" w:firstLineChars="200"/>
        <w:rPr>
          <w:rFonts w:hint="eastAsia" w:hAnsi="宋体"/>
          <w:color w:val="auto"/>
          <w:sz w:val="24"/>
          <w:szCs w:val="24"/>
          <w:highlight w:val="none"/>
        </w:rPr>
      </w:pPr>
      <w:r>
        <w:rPr>
          <w:rFonts w:hint="eastAsia" w:hAnsi="宋体"/>
          <w:color w:val="auto"/>
          <w:sz w:val="24"/>
          <w:szCs w:val="24"/>
          <w:highlight w:val="none"/>
        </w:rPr>
        <w:t>三档（</w:t>
      </w:r>
      <w:r>
        <w:rPr>
          <w:rFonts w:hint="eastAsia" w:hAnsi="宋体"/>
          <w:color w:val="auto"/>
          <w:sz w:val="24"/>
          <w:szCs w:val="24"/>
          <w:highlight w:val="none"/>
          <w:lang w:val="en-US" w:eastAsia="zh-CN"/>
        </w:rPr>
        <w:t>1</w:t>
      </w:r>
      <w:r>
        <w:rPr>
          <w:rFonts w:hAnsi="宋体"/>
          <w:color w:val="auto"/>
          <w:sz w:val="24"/>
          <w:szCs w:val="24"/>
          <w:highlight w:val="none"/>
        </w:rPr>
        <w:t>5</w:t>
      </w:r>
      <w:r>
        <w:rPr>
          <w:rFonts w:hint="eastAsia" w:hAnsi="宋体"/>
          <w:color w:val="auto"/>
          <w:sz w:val="24"/>
          <w:szCs w:val="24"/>
          <w:highlight w:val="none"/>
        </w:rPr>
        <w:t>分）：</w:t>
      </w:r>
      <w:r>
        <w:rPr>
          <w:rFonts w:hint="eastAsia" w:hAnsi="宋体"/>
          <w:color w:val="auto"/>
          <w:sz w:val="24"/>
          <w:szCs w:val="24"/>
          <w:highlight w:val="none"/>
        </w:rPr>
        <w:t>在满足二档要求的基础上，方案中有对现有的信息化情况进行详细的描述与分析，方案中有业务功能</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业务流程</w:t>
      </w:r>
      <w:r>
        <w:rPr>
          <w:rFonts w:hint="eastAsia" w:hAnsi="宋体"/>
          <w:color w:val="auto"/>
          <w:sz w:val="24"/>
          <w:szCs w:val="24"/>
          <w:highlight w:val="none"/>
        </w:rPr>
        <w:t>和业务量分析，项目风险分析及对策、项目效益分析，内容可行、详细，具有合理性、科学性、针对性，有实施安全保障措施</w:t>
      </w:r>
      <w:bookmarkStart w:id="120" w:name="_Toc45534070"/>
      <w:r>
        <w:rPr>
          <w:rFonts w:hint="eastAsia" w:hAnsi="宋体"/>
          <w:color w:val="auto"/>
          <w:sz w:val="24"/>
          <w:szCs w:val="24"/>
          <w:highlight w:val="none"/>
          <w:lang w:val="en-US" w:eastAsia="zh-CN"/>
        </w:rPr>
        <w:t>、</w:t>
      </w:r>
      <w:r>
        <w:rPr>
          <w:rFonts w:hint="eastAsia" w:hAnsi="宋体"/>
          <w:color w:val="auto"/>
          <w:sz w:val="24"/>
          <w:szCs w:val="24"/>
          <w:highlight w:val="none"/>
          <w:lang w:eastAsia="zh-CN"/>
        </w:rPr>
        <w:t>运行维护系统设计</w:t>
      </w:r>
      <w:bookmarkEnd w:id="120"/>
      <w:r>
        <w:rPr>
          <w:rFonts w:hint="eastAsia" w:hAnsi="宋体"/>
          <w:color w:val="auto"/>
          <w:sz w:val="24"/>
          <w:szCs w:val="24"/>
          <w:highlight w:val="none"/>
        </w:rPr>
        <w:t>。</w:t>
      </w:r>
      <w:bookmarkEnd w:id="119"/>
      <w:r>
        <w:rPr>
          <w:rFonts w:hint="eastAsia" w:hAnsi="宋体"/>
          <w:color w:val="auto"/>
          <w:sz w:val="24"/>
          <w:szCs w:val="24"/>
          <w:highlight w:val="none"/>
        </w:rPr>
        <w:t>且项目小组成员有详细的介绍，项目小组成员配置须至少达到以下标准：</w:t>
      </w:r>
      <w:r>
        <w:rPr>
          <w:rFonts w:hint="eastAsia" w:hAnsi="宋体"/>
          <w:color w:val="auto"/>
          <w:sz w:val="24"/>
          <w:szCs w:val="24"/>
          <w:highlight w:val="none"/>
        </w:rPr>
        <w:t>至少配置全过程项目管理师（高级）1人</w:t>
      </w:r>
      <w:r>
        <w:rPr>
          <w:rFonts w:hint="eastAsia" w:hAnsi="宋体"/>
          <w:color w:val="auto"/>
          <w:sz w:val="24"/>
          <w:szCs w:val="24"/>
          <w:highlight w:val="none"/>
          <w:lang w:eastAsia="zh-CN"/>
        </w:rPr>
        <w:t>、</w:t>
      </w:r>
      <w:r>
        <w:rPr>
          <w:rFonts w:hint="eastAsia" w:hAnsi="宋体"/>
          <w:color w:val="auto"/>
          <w:sz w:val="24"/>
          <w:szCs w:val="24"/>
          <w:highlight w:val="none"/>
        </w:rPr>
        <w:t>高级需求分析师1人、数据分析师</w:t>
      </w:r>
      <w:r>
        <w:rPr>
          <w:rFonts w:hint="eastAsia" w:hAnsi="宋体"/>
          <w:color w:val="auto"/>
          <w:sz w:val="24"/>
          <w:szCs w:val="24"/>
          <w:highlight w:val="none"/>
          <w:lang w:val="en-US" w:eastAsia="zh-CN"/>
        </w:rPr>
        <w:t>2</w:t>
      </w:r>
      <w:r>
        <w:rPr>
          <w:rFonts w:hint="eastAsia" w:hAnsi="宋体"/>
          <w:color w:val="auto"/>
          <w:sz w:val="24"/>
          <w:szCs w:val="24"/>
          <w:highlight w:val="none"/>
        </w:rPr>
        <w:t>人、数据库系统工程师1人</w:t>
      </w:r>
      <w:r>
        <w:rPr>
          <w:rFonts w:hint="eastAsia" w:hAnsi="宋体"/>
          <w:b/>
          <w:color w:val="auto"/>
          <w:sz w:val="24"/>
          <w:szCs w:val="24"/>
          <w:highlight w:val="none"/>
        </w:rPr>
        <w:t>（须提供相关证明文件及投标人最近半年内为其连续缴纳3个月及以上的社保证明清楚复印件）</w:t>
      </w:r>
      <w:r>
        <w:rPr>
          <w:rFonts w:hint="eastAsia" w:hAnsi="宋体"/>
          <w:color w:val="auto"/>
          <w:sz w:val="24"/>
          <w:szCs w:val="24"/>
          <w:highlight w:val="none"/>
        </w:rPr>
        <w:t>。</w:t>
      </w:r>
    </w:p>
    <w:p>
      <w:pPr>
        <w:numPr>
          <w:ilvl w:val="0"/>
          <w:numId w:val="4"/>
        </w:numPr>
        <w:spacing w:line="360" w:lineRule="auto"/>
        <w:ind w:firstLine="422"/>
        <w:jc w:val="left"/>
        <w:rPr>
          <w:rFonts w:hint="eastAsia" w:ascii="宋体" w:hAnsi="Courier New"/>
          <w:b/>
          <w:color w:val="auto"/>
          <w:sz w:val="24"/>
          <w:szCs w:val="24"/>
          <w:highlight w:val="none"/>
        </w:rPr>
      </w:pPr>
      <w:r>
        <w:rPr>
          <w:rFonts w:hint="eastAsia"/>
          <w:b/>
          <w:color w:val="auto"/>
          <w:sz w:val="24"/>
          <w:szCs w:val="24"/>
          <w:highlight w:val="none"/>
        </w:rPr>
        <w:t>录制演示</w:t>
      </w:r>
      <w:r>
        <w:rPr>
          <w:rFonts w:hint="eastAsia"/>
          <w:b/>
          <w:color w:val="auto"/>
          <w:sz w:val="24"/>
          <w:szCs w:val="24"/>
          <w:highlight w:val="none"/>
          <w:lang w:eastAsia="zh-CN"/>
        </w:rPr>
        <w:t>（</w:t>
      </w:r>
      <w:r>
        <w:rPr>
          <w:rFonts w:hint="eastAsia"/>
          <w:b/>
          <w:color w:val="auto"/>
          <w:sz w:val="24"/>
          <w:szCs w:val="24"/>
          <w:highlight w:val="none"/>
        </w:rPr>
        <w:t>满分1</w:t>
      </w:r>
      <w:r>
        <w:rPr>
          <w:rFonts w:hint="eastAsia"/>
          <w:b/>
          <w:color w:val="auto"/>
          <w:sz w:val="24"/>
          <w:szCs w:val="24"/>
          <w:highlight w:val="none"/>
          <w:lang w:val="en-US" w:eastAsia="zh-CN"/>
        </w:rPr>
        <w:t>0</w:t>
      </w:r>
      <w:r>
        <w:rPr>
          <w:rFonts w:hint="eastAsia"/>
          <w:b/>
          <w:color w:val="auto"/>
          <w:sz w:val="24"/>
          <w:szCs w:val="24"/>
          <w:highlight w:val="none"/>
        </w:rPr>
        <w:t>分</w:t>
      </w:r>
      <w:r>
        <w:rPr>
          <w:rFonts w:hint="eastAsia" w:ascii="宋体" w:hAnsi="Courier New"/>
          <w:b/>
          <w:color w:val="auto"/>
          <w:sz w:val="24"/>
          <w:szCs w:val="24"/>
          <w:highlight w:val="none"/>
        </w:rPr>
        <w:t>）</w:t>
      </w:r>
    </w:p>
    <w:p>
      <w:pPr>
        <w:numPr>
          <w:ilvl w:val="0"/>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根据《南宁市机关事务管理局关于疫情防控期间恢复全市公共资源现场交易活动的通知》（南机事函〔2020〕25号）文件精神，疫情防控期间，按照“不见面、少接触”的原则，</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不参加现场竞标活动，系统演示将通过录制方式进行，录制演示时间应小于</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w:t>
      </w:r>
      <w:r>
        <w:rPr>
          <w:rFonts w:hint="eastAsia" w:ascii="宋体" w:hAnsi="宋体" w:cs="宋体"/>
          <w:color w:val="auto"/>
          <w:sz w:val="24"/>
          <w:highlight w:val="none"/>
        </w:rPr>
        <w:t>分钟，如“演示录制声像视频”演示及讲解内容与响应文件响应不同，以“演示录制声像视频”演示及讲解内容为准，磋商小组通过播放观看“演示录制声像视频”进行评分。</w:t>
      </w:r>
    </w:p>
    <w:p>
      <w:pPr>
        <w:numPr>
          <w:ilvl w:val="255"/>
          <w:numId w:val="0"/>
        </w:numPr>
        <w:spacing w:line="360" w:lineRule="auto"/>
        <w:ind w:firstLine="241" w:firstLineChars="100"/>
        <w:rPr>
          <w:rFonts w:hint="eastAsia" w:ascii="宋体" w:hAnsi="宋体" w:cs="宋体"/>
          <w:b/>
          <w:bCs/>
          <w:color w:val="auto"/>
          <w:sz w:val="24"/>
          <w:highlight w:val="none"/>
        </w:rPr>
      </w:pPr>
      <w:r>
        <w:rPr>
          <w:rFonts w:hint="eastAsia" w:ascii="宋体" w:hAnsi="宋体" w:cs="宋体"/>
          <w:b/>
          <w:bCs/>
          <w:color w:val="auto"/>
          <w:sz w:val="24"/>
          <w:highlight w:val="none"/>
        </w:rPr>
        <w:t>（“演示录制声像视频”提交方式：“演示录制声像视频”应拷贝到U盘中，“演示录制声像视频”视频文件保存格式为.mp4或.m4v或.mp4v；U盘先用小信封单独封装，封面应注明“演示录制声像视频”字样，封面上写明项目名称、项目编号、</w:t>
      </w:r>
      <w:r>
        <w:rPr>
          <w:rFonts w:hint="eastAsia" w:ascii="宋体" w:hAnsi="宋体" w:cs="宋体"/>
          <w:b/>
          <w:bCs/>
          <w:color w:val="auto"/>
          <w:sz w:val="24"/>
          <w:highlight w:val="none"/>
          <w:lang w:eastAsia="zh-CN"/>
        </w:rPr>
        <w:t>投标人</w:t>
      </w:r>
      <w:r>
        <w:rPr>
          <w:rFonts w:hint="eastAsia" w:ascii="宋体" w:hAnsi="宋体" w:cs="宋体"/>
          <w:b/>
          <w:bCs/>
          <w:color w:val="auto"/>
          <w:sz w:val="24"/>
          <w:highlight w:val="none"/>
        </w:rPr>
        <w:t>名称，然后与响应文件正副本一起包封提交；不提供“演示录制声像视频”U盘视为放弃演示）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评分标准：演示分按照单项功能点计分，放弃演示或非实体软件功能演示得0分，不进行原型程序录制演示的，或仅用图片、演示文稿、静态网页等成果资料演示的，此项分值为0分。</w:t>
      </w:r>
    </w:p>
    <w:p>
      <w:pPr>
        <w:pStyle w:val="28"/>
        <w:rPr>
          <w:color w:val="auto"/>
          <w:highlight w:val="none"/>
        </w:rPr>
      </w:pPr>
    </w:p>
    <w:tbl>
      <w:tblPr>
        <w:tblStyle w:val="43"/>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402"/>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933" w:type="dxa"/>
            <w:vAlign w:val="center"/>
          </w:tcPr>
          <w:p>
            <w:pPr>
              <w:spacing w:line="400" w:lineRule="exact"/>
              <w:jc w:val="center"/>
              <w:rPr>
                <w:color w:val="auto"/>
                <w:sz w:val="24"/>
                <w:szCs w:val="24"/>
                <w:highlight w:val="none"/>
              </w:rPr>
            </w:pPr>
            <w:r>
              <w:rPr>
                <w:rFonts w:hint="eastAsia"/>
                <w:color w:val="auto"/>
                <w:sz w:val="24"/>
                <w:szCs w:val="24"/>
                <w:highlight w:val="none"/>
              </w:rPr>
              <w:t>序号</w:t>
            </w:r>
          </w:p>
        </w:tc>
        <w:tc>
          <w:tcPr>
            <w:tcW w:w="8967" w:type="dxa"/>
            <w:gridSpan w:val="2"/>
            <w:vAlign w:val="center"/>
          </w:tcPr>
          <w:p>
            <w:pPr>
              <w:spacing w:line="400" w:lineRule="exact"/>
              <w:ind w:firstLine="588" w:firstLineChars="245"/>
              <w:jc w:val="center"/>
              <w:rPr>
                <w:color w:val="auto"/>
                <w:sz w:val="24"/>
                <w:szCs w:val="24"/>
                <w:highlight w:val="none"/>
              </w:rPr>
            </w:pPr>
            <w:r>
              <w:rPr>
                <w:rFonts w:hint="eastAsia"/>
                <w:color w:val="auto"/>
                <w:sz w:val="24"/>
                <w:szCs w:val="24"/>
                <w:highlight w:val="none"/>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933" w:type="dxa"/>
            <w:shd w:val="clear" w:color="auto" w:fill="auto"/>
            <w:vAlign w:val="center"/>
          </w:tcPr>
          <w:p>
            <w:pPr>
              <w:spacing w:line="400" w:lineRule="exact"/>
              <w:jc w:val="center"/>
              <w:rPr>
                <w:color w:val="auto"/>
                <w:sz w:val="24"/>
                <w:szCs w:val="24"/>
                <w:highlight w:val="none"/>
              </w:rPr>
            </w:pPr>
            <w:r>
              <w:rPr>
                <w:rFonts w:hint="eastAsia"/>
                <w:color w:val="auto"/>
                <w:sz w:val="24"/>
                <w:szCs w:val="24"/>
                <w:highlight w:val="none"/>
              </w:rPr>
              <w:t>1</w:t>
            </w:r>
          </w:p>
        </w:tc>
        <w:tc>
          <w:tcPr>
            <w:tcW w:w="1402" w:type="dxa"/>
            <w:shd w:val="clear" w:color="auto" w:fill="auto"/>
            <w:vAlign w:val="center"/>
          </w:tcPr>
          <w:p>
            <w:pPr>
              <w:spacing w:line="400" w:lineRule="exact"/>
              <w:rPr>
                <w:color w:val="auto"/>
                <w:sz w:val="24"/>
                <w:szCs w:val="24"/>
                <w:highlight w:val="none"/>
              </w:rPr>
            </w:pPr>
            <w:r>
              <w:rPr>
                <w:rFonts w:hint="eastAsia"/>
                <w:color w:val="auto"/>
                <w:sz w:val="24"/>
                <w:szCs w:val="24"/>
                <w:highlight w:val="none"/>
              </w:rPr>
              <w:t>价格监测预警系统（</w:t>
            </w:r>
            <w:r>
              <w:rPr>
                <w:rFonts w:hint="eastAsia"/>
                <w:color w:val="auto"/>
                <w:sz w:val="24"/>
                <w:szCs w:val="24"/>
                <w:highlight w:val="none"/>
                <w:lang w:val="en-US" w:eastAsia="zh-CN"/>
              </w:rPr>
              <w:t>4</w:t>
            </w:r>
            <w:r>
              <w:rPr>
                <w:rFonts w:hint="eastAsia"/>
                <w:color w:val="auto"/>
                <w:sz w:val="24"/>
                <w:szCs w:val="24"/>
                <w:highlight w:val="none"/>
              </w:rPr>
              <w:t>分）</w:t>
            </w:r>
          </w:p>
        </w:tc>
        <w:tc>
          <w:tcPr>
            <w:tcW w:w="7565" w:type="dxa"/>
            <w:tcBorders>
              <w:top w:val="single" w:color="000000" w:sz="8" w:space="0"/>
              <w:left w:val="single" w:color="000000" w:sz="8" w:space="0"/>
              <w:bottom w:val="single" w:color="000000" w:sz="8" w:space="0"/>
              <w:right w:val="single" w:color="000000" w:sz="8" w:space="0"/>
            </w:tcBorders>
            <w:shd w:val="clear" w:color="000000" w:fill="auto"/>
            <w:vAlign w:val="center"/>
          </w:tcPr>
          <w:p>
            <w:pPr>
              <w:spacing w:line="400" w:lineRule="exact"/>
              <w:ind w:firstLine="588" w:firstLineChars="245"/>
              <w:rPr>
                <w:rFonts w:hint="default" w:eastAsia="宋体"/>
                <w:color w:val="auto"/>
                <w:sz w:val="24"/>
                <w:szCs w:val="24"/>
                <w:highlight w:val="none"/>
                <w:lang w:val="en-US" w:eastAsia="zh-CN"/>
              </w:rPr>
            </w:pPr>
            <w:r>
              <w:rPr>
                <w:rFonts w:hint="eastAsia"/>
                <w:color w:val="auto"/>
                <w:sz w:val="24"/>
                <w:szCs w:val="24"/>
                <w:highlight w:val="none"/>
                <w:lang w:val="en-US" w:eastAsia="zh-CN"/>
              </w:rPr>
              <w:t>演示监测任务管理，包括监测产品管理、监测指标管理、监测点管理、监测人员管理、监测任务新增以及监测数据等功能，能体现监测任务设置、派发、任务接收、价格上报、审核、预警分析等价格监测全过程。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933" w:type="dxa"/>
            <w:shd w:val="clear" w:color="auto" w:fill="auto"/>
            <w:vAlign w:val="center"/>
          </w:tcPr>
          <w:p>
            <w:pPr>
              <w:spacing w:line="400" w:lineRule="exact"/>
              <w:jc w:val="center"/>
              <w:rPr>
                <w:color w:val="auto"/>
                <w:sz w:val="24"/>
                <w:szCs w:val="24"/>
                <w:highlight w:val="none"/>
              </w:rPr>
            </w:pPr>
            <w:r>
              <w:rPr>
                <w:color w:val="auto"/>
                <w:sz w:val="24"/>
                <w:szCs w:val="24"/>
                <w:highlight w:val="none"/>
              </w:rPr>
              <w:t>2</w:t>
            </w:r>
          </w:p>
        </w:tc>
        <w:tc>
          <w:tcPr>
            <w:tcW w:w="1402" w:type="dxa"/>
            <w:shd w:val="clear" w:color="auto" w:fill="auto"/>
            <w:vAlign w:val="center"/>
          </w:tcPr>
          <w:p>
            <w:pPr>
              <w:spacing w:line="400" w:lineRule="exact"/>
              <w:rPr>
                <w:color w:val="auto"/>
                <w:sz w:val="24"/>
                <w:szCs w:val="24"/>
                <w:highlight w:val="none"/>
              </w:rPr>
            </w:pPr>
            <w:r>
              <w:rPr>
                <w:rFonts w:hint="eastAsia"/>
                <w:color w:val="auto"/>
                <w:sz w:val="24"/>
                <w:szCs w:val="24"/>
                <w:highlight w:val="none"/>
                <w:lang w:val="en-US" w:eastAsia="zh-CN"/>
              </w:rPr>
              <w:t>民生价格公示系统</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分）</w:t>
            </w:r>
          </w:p>
        </w:tc>
        <w:tc>
          <w:tcPr>
            <w:tcW w:w="7565" w:type="dxa"/>
            <w:tcBorders>
              <w:top w:val="single" w:color="000000" w:sz="8" w:space="0"/>
              <w:left w:val="single" w:color="000000" w:sz="8" w:space="0"/>
              <w:bottom w:val="single" w:color="000000" w:sz="8" w:space="0"/>
              <w:right w:val="single" w:color="000000" w:sz="8" w:space="0"/>
            </w:tcBorders>
            <w:shd w:val="clear" w:color="000000" w:fill="auto"/>
            <w:vAlign w:val="center"/>
          </w:tcPr>
          <w:p>
            <w:pPr>
              <w:spacing w:line="400" w:lineRule="exact"/>
              <w:ind w:firstLine="588" w:firstLineChars="245"/>
              <w:rPr>
                <w:rFonts w:hint="default" w:eastAsia="宋体"/>
                <w:color w:val="auto"/>
                <w:sz w:val="24"/>
                <w:szCs w:val="24"/>
                <w:highlight w:val="none"/>
                <w:lang w:val="en-US" w:eastAsia="zh-CN"/>
              </w:rPr>
            </w:pPr>
            <w:r>
              <w:rPr>
                <w:rFonts w:hint="eastAsia"/>
                <w:color w:val="auto"/>
                <w:sz w:val="24"/>
                <w:szCs w:val="24"/>
                <w:highlight w:val="none"/>
              </w:rPr>
              <w:t>演示</w:t>
            </w:r>
            <w:r>
              <w:rPr>
                <w:rFonts w:hint="eastAsia"/>
                <w:color w:val="auto"/>
                <w:sz w:val="24"/>
                <w:szCs w:val="24"/>
                <w:highlight w:val="none"/>
                <w:lang w:val="en-US" w:eastAsia="zh-CN"/>
              </w:rPr>
              <w:t>PC端和移动端的价格公示内容排版等内容。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933" w:type="dxa"/>
            <w:shd w:val="clear" w:color="auto" w:fill="auto"/>
            <w:vAlign w:val="center"/>
          </w:tcPr>
          <w:p>
            <w:pPr>
              <w:spacing w:line="400" w:lineRule="exact"/>
              <w:jc w:val="center"/>
              <w:rPr>
                <w:color w:val="auto"/>
                <w:sz w:val="24"/>
                <w:szCs w:val="24"/>
                <w:highlight w:val="none"/>
              </w:rPr>
            </w:pPr>
            <w:r>
              <w:rPr>
                <w:rFonts w:hint="eastAsia"/>
                <w:color w:val="auto"/>
                <w:sz w:val="24"/>
                <w:szCs w:val="24"/>
                <w:highlight w:val="none"/>
              </w:rPr>
              <w:t>3</w:t>
            </w:r>
          </w:p>
        </w:tc>
        <w:tc>
          <w:tcPr>
            <w:tcW w:w="1402" w:type="dxa"/>
            <w:shd w:val="clear" w:color="auto" w:fill="auto"/>
            <w:vAlign w:val="center"/>
          </w:tcPr>
          <w:p>
            <w:pPr>
              <w:spacing w:line="400" w:lineRule="exact"/>
              <w:rPr>
                <w:color w:val="auto"/>
                <w:sz w:val="24"/>
                <w:szCs w:val="24"/>
                <w:highlight w:val="none"/>
              </w:rPr>
            </w:pPr>
            <w:r>
              <w:rPr>
                <w:rFonts w:hint="eastAsia"/>
                <w:color w:val="auto"/>
                <w:sz w:val="24"/>
                <w:szCs w:val="24"/>
                <w:highlight w:val="none"/>
                <w:lang w:val="en-US" w:eastAsia="zh-CN"/>
              </w:rPr>
              <w:t>物价数据大屏展示一张图</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分）</w:t>
            </w:r>
          </w:p>
        </w:tc>
        <w:tc>
          <w:tcPr>
            <w:tcW w:w="7565" w:type="dxa"/>
            <w:tcBorders>
              <w:top w:val="single" w:color="000000" w:sz="8" w:space="0"/>
              <w:left w:val="single" w:color="000000" w:sz="8" w:space="0"/>
              <w:bottom w:val="single" w:color="000000" w:sz="8" w:space="0"/>
              <w:right w:val="single" w:color="000000" w:sz="8" w:space="0"/>
            </w:tcBorders>
            <w:shd w:val="clear" w:color="000000" w:fill="auto"/>
            <w:vAlign w:val="center"/>
          </w:tcPr>
          <w:p>
            <w:pPr>
              <w:spacing w:line="400" w:lineRule="exact"/>
              <w:ind w:firstLine="588" w:firstLineChars="245"/>
              <w:rPr>
                <w:color w:val="auto"/>
                <w:sz w:val="24"/>
                <w:szCs w:val="24"/>
                <w:highlight w:val="none"/>
              </w:rPr>
            </w:pPr>
            <w:r>
              <w:rPr>
                <w:rFonts w:hint="eastAsia"/>
                <w:color w:val="auto"/>
                <w:sz w:val="24"/>
                <w:szCs w:val="24"/>
                <w:highlight w:val="none"/>
              </w:rPr>
              <w:t>演示</w:t>
            </w:r>
            <w:r>
              <w:rPr>
                <w:rFonts w:hint="eastAsia"/>
                <w:color w:val="auto"/>
                <w:sz w:val="24"/>
                <w:szCs w:val="24"/>
                <w:highlight w:val="none"/>
                <w:lang w:val="en-US" w:eastAsia="zh-CN"/>
              </w:rPr>
              <w:t>物价数据一张图，包括全市物价情况汇总概览、价格走势图、与全国其他城市对比展示等</w:t>
            </w:r>
          </w:p>
        </w:tc>
      </w:tr>
    </w:tbl>
    <w:p>
      <w:pPr>
        <w:pStyle w:val="2"/>
        <w:rPr>
          <w:rFonts w:hint="default" w:eastAsia="宋体"/>
          <w:color w:val="auto"/>
          <w:highlight w:val="none"/>
          <w:lang w:val="en-US" w:eastAsia="zh-CN"/>
        </w:rPr>
      </w:pPr>
    </w:p>
    <w:p>
      <w:pPr>
        <w:pStyle w:val="24"/>
        <w:numPr>
          <w:ilvl w:val="0"/>
          <w:numId w:val="5"/>
        </w:numPr>
        <w:spacing w:line="440" w:lineRule="exact"/>
        <w:ind w:firstLine="482" w:firstLineChars="200"/>
        <w:jc w:val="left"/>
        <w:rPr>
          <w:rFonts w:hint="eastAsia" w:hAnsi="宋体"/>
          <w:b/>
          <w:bCs w:val="0"/>
          <w:color w:val="auto"/>
          <w:sz w:val="24"/>
          <w:szCs w:val="24"/>
          <w:highlight w:val="none"/>
        </w:rPr>
      </w:pPr>
      <w:r>
        <w:rPr>
          <w:rFonts w:hint="eastAsia" w:hAnsi="宋体"/>
          <w:b/>
          <w:bCs w:val="0"/>
          <w:color w:val="auto"/>
          <w:sz w:val="24"/>
          <w:szCs w:val="24"/>
          <w:highlight w:val="none"/>
        </w:rPr>
        <w:t>商务分…………………………………………………………………</w:t>
      </w:r>
      <w:r>
        <w:rPr>
          <w:b/>
          <w:bCs w:val="0"/>
          <w:color w:val="auto"/>
          <w:sz w:val="24"/>
          <w:szCs w:val="24"/>
          <w:highlight w:val="none"/>
        </w:rPr>
        <w:t>2</w:t>
      </w:r>
      <w:r>
        <w:rPr>
          <w:rFonts w:hint="eastAsia"/>
          <w:b/>
          <w:bCs w:val="0"/>
          <w:color w:val="auto"/>
          <w:sz w:val="24"/>
          <w:szCs w:val="24"/>
          <w:highlight w:val="none"/>
          <w:lang w:val="en-US" w:eastAsia="zh-CN"/>
        </w:rPr>
        <w:t>2</w:t>
      </w:r>
      <w:r>
        <w:rPr>
          <w:rFonts w:hint="eastAsia" w:hAnsi="宋体"/>
          <w:b/>
          <w:bCs w:val="0"/>
          <w:color w:val="auto"/>
          <w:sz w:val="24"/>
          <w:szCs w:val="24"/>
          <w:highlight w:val="none"/>
        </w:rPr>
        <w:t>分</w:t>
      </w:r>
    </w:p>
    <w:p>
      <w:pPr>
        <w:spacing w:line="44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（1）投标人具有软件能力成熟度模型集成（CMMI）3级或以上等级资质证书的，得</w:t>
      </w:r>
      <w:r>
        <w:rPr>
          <w:rFonts w:hint="eastAsia" w:hAnsi="宋体"/>
          <w:color w:val="auto"/>
          <w:sz w:val="24"/>
          <w:szCs w:val="24"/>
          <w:highlight w:val="none"/>
          <w:lang w:val="en-US" w:eastAsia="zh-CN"/>
        </w:rPr>
        <w:t>4分</w:t>
      </w:r>
      <w:r>
        <w:rPr>
          <w:rFonts w:hint="eastAsia" w:hAnsi="宋体"/>
          <w:color w:val="auto"/>
          <w:sz w:val="24"/>
          <w:szCs w:val="24"/>
          <w:highlight w:val="none"/>
          <w:lang w:val="en-US" w:eastAsia="zh-CN"/>
        </w:rPr>
        <w:t>；</w:t>
      </w:r>
    </w:p>
    <w:p>
      <w:pPr>
        <w:spacing w:line="44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（2）投标人具有高新技术企业的证书，得2分；</w:t>
      </w:r>
    </w:p>
    <w:p>
      <w:pPr>
        <w:spacing w:line="440" w:lineRule="exact"/>
        <w:ind w:firstLine="480" w:firstLineChars="200"/>
        <w:jc w:val="left"/>
        <w:rPr>
          <w:rFonts w:hint="eastAsia" w:hAnsi="宋体" w:eastAsia="宋体"/>
          <w:b/>
          <w:bCs/>
          <w:color w:val="auto"/>
          <w:sz w:val="24"/>
          <w:szCs w:val="24"/>
          <w:highlight w:val="none"/>
          <w:lang w:eastAsia="zh-CN"/>
        </w:rPr>
      </w:pPr>
      <w:r>
        <w:rPr>
          <w:rFonts w:hint="eastAsia" w:hAnsi="宋体"/>
          <w:color w:val="auto"/>
          <w:sz w:val="24"/>
          <w:szCs w:val="24"/>
          <w:highlight w:val="none"/>
        </w:rPr>
        <w:t>（</w:t>
      </w:r>
      <w:r>
        <w:rPr>
          <w:rFonts w:hint="eastAsia" w:hAnsi="宋体"/>
          <w:color w:val="auto"/>
          <w:sz w:val="24"/>
          <w:szCs w:val="24"/>
          <w:highlight w:val="none"/>
          <w:lang w:val="en-US" w:eastAsia="zh-CN"/>
        </w:rPr>
        <w:t>3</w:t>
      </w:r>
      <w:r>
        <w:rPr>
          <w:rFonts w:hint="eastAsia" w:hAnsi="宋体"/>
          <w:color w:val="auto"/>
          <w:sz w:val="24"/>
          <w:szCs w:val="24"/>
          <w:highlight w:val="none"/>
        </w:rPr>
        <w:t>）201</w:t>
      </w:r>
      <w:r>
        <w:rPr>
          <w:rFonts w:hAnsi="宋体"/>
          <w:color w:val="auto"/>
          <w:sz w:val="24"/>
          <w:szCs w:val="24"/>
          <w:highlight w:val="none"/>
        </w:rPr>
        <w:t>7</w:t>
      </w:r>
      <w:r>
        <w:rPr>
          <w:rFonts w:hint="eastAsia" w:hAnsi="宋体"/>
          <w:color w:val="auto"/>
          <w:sz w:val="24"/>
          <w:szCs w:val="24"/>
          <w:highlight w:val="none"/>
        </w:rPr>
        <w:t>年以来投标人具有</w:t>
      </w:r>
      <w:r>
        <w:rPr>
          <w:rFonts w:hint="eastAsia" w:hAnsi="宋体"/>
          <w:color w:val="auto"/>
          <w:sz w:val="24"/>
          <w:szCs w:val="24"/>
          <w:highlight w:val="none"/>
          <w:lang w:eastAsia="zh-CN"/>
        </w:rPr>
        <w:t>类似</w:t>
      </w:r>
      <w:r>
        <w:rPr>
          <w:rFonts w:hint="eastAsia" w:hAnsi="宋体"/>
          <w:color w:val="auto"/>
          <w:sz w:val="24"/>
          <w:szCs w:val="24"/>
          <w:highlight w:val="none"/>
        </w:rPr>
        <w:t>软件开发项目业绩（投标人须提供中标（成交）通知书和其对应的合同复印件并加盖公章</w:t>
      </w:r>
      <w:r>
        <w:rPr>
          <w:rFonts w:hint="eastAsia" w:hAnsi="宋体"/>
          <w:color w:val="auto"/>
          <w:sz w:val="24"/>
          <w:szCs w:val="24"/>
          <w:highlight w:val="none"/>
          <w:lang w:eastAsia="zh-CN"/>
        </w:rPr>
        <w:t>，两项</w:t>
      </w:r>
      <w:r>
        <w:rPr>
          <w:rFonts w:hint="eastAsia" w:hAnsi="宋体"/>
          <w:color w:val="auto"/>
          <w:sz w:val="24"/>
          <w:szCs w:val="24"/>
          <w:highlight w:val="none"/>
        </w:rPr>
        <w:t>材料必须同时提供，否则不予</w:t>
      </w:r>
      <w:r>
        <w:rPr>
          <w:rFonts w:hint="eastAsia" w:hAnsi="宋体"/>
          <w:color w:val="auto"/>
          <w:sz w:val="24"/>
          <w:szCs w:val="24"/>
          <w:highlight w:val="none"/>
          <w:lang w:eastAsia="zh-CN"/>
        </w:rPr>
        <w:t>计分</w:t>
      </w:r>
      <w:r>
        <w:rPr>
          <w:rFonts w:hint="eastAsia" w:hAnsi="宋体"/>
          <w:color w:val="auto"/>
          <w:sz w:val="24"/>
          <w:szCs w:val="24"/>
          <w:highlight w:val="none"/>
        </w:rPr>
        <w:t>），</w:t>
      </w:r>
      <w:r>
        <w:rPr>
          <w:rFonts w:hint="eastAsia" w:hAnsi="宋体"/>
          <w:color w:val="auto"/>
          <w:sz w:val="24"/>
          <w:szCs w:val="24"/>
          <w:highlight w:val="none"/>
          <w:lang w:eastAsia="zh-CN"/>
        </w:rPr>
        <w:t>每项</w:t>
      </w:r>
      <w:r>
        <w:rPr>
          <w:rFonts w:hint="eastAsia"/>
          <w:color w:val="auto"/>
          <w:sz w:val="24"/>
          <w:szCs w:val="24"/>
          <w:highlight w:val="none"/>
        </w:rPr>
        <w:t>得</w:t>
      </w:r>
      <w:r>
        <w:rPr>
          <w:rFonts w:hint="eastAsia"/>
          <w:color w:val="auto"/>
          <w:sz w:val="24"/>
          <w:szCs w:val="24"/>
          <w:highlight w:val="none"/>
          <w:lang w:val="en-US" w:eastAsia="zh-CN"/>
        </w:rPr>
        <w:t>4</w:t>
      </w:r>
      <w:r>
        <w:rPr>
          <w:rFonts w:hint="eastAsia"/>
          <w:color w:val="auto"/>
          <w:sz w:val="24"/>
          <w:szCs w:val="24"/>
          <w:highlight w:val="none"/>
        </w:rPr>
        <w:t>分，满分</w:t>
      </w:r>
      <w:r>
        <w:rPr>
          <w:rFonts w:hint="eastAsia"/>
          <w:color w:val="auto"/>
          <w:sz w:val="24"/>
          <w:szCs w:val="24"/>
          <w:highlight w:val="none"/>
          <w:lang w:val="en-US" w:eastAsia="zh-CN"/>
        </w:rPr>
        <w:t>16</w:t>
      </w:r>
      <w:r>
        <w:rPr>
          <w:rFonts w:hint="eastAsia"/>
          <w:color w:val="auto"/>
          <w:sz w:val="24"/>
          <w:szCs w:val="24"/>
          <w:highlight w:val="none"/>
        </w:rPr>
        <w:t>分；</w:t>
      </w:r>
    </w:p>
    <w:p>
      <w:pPr>
        <w:pStyle w:val="24"/>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4、售后服务分…………………………………………………………</w:t>
      </w:r>
      <w:r>
        <w:rPr>
          <w:rFonts w:hAnsi="宋体"/>
          <w:bCs/>
          <w:color w:val="auto"/>
          <w:sz w:val="24"/>
          <w:szCs w:val="24"/>
          <w:highlight w:val="none"/>
        </w:rPr>
        <w:t>1</w:t>
      </w:r>
      <w:r>
        <w:rPr>
          <w:rFonts w:hint="eastAsia" w:hAnsi="宋体"/>
          <w:bCs/>
          <w:color w:val="auto"/>
          <w:sz w:val="24"/>
          <w:szCs w:val="24"/>
          <w:highlight w:val="none"/>
          <w:lang w:val="en-US" w:eastAsia="zh-CN"/>
        </w:rPr>
        <w:t>3</w:t>
      </w:r>
      <w:r>
        <w:rPr>
          <w:rFonts w:hint="eastAsia" w:hAnsi="宋体"/>
          <w:bCs/>
          <w:color w:val="auto"/>
          <w:sz w:val="24"/>
          <w:szCs w:val="24"/>
          <w:highlight w:val="none"/>
        </w:rPr>
        <w:t>分</w:t>
      </w:r>
    </w:p>
    <w:p>
      <w:pPr>
        <w:spacing w:line="360" w:lineRule="auto"/>
        <w:ind w:firstLine="480" w:firstLineChars="200"/>
        <w:jc w:val="left"/>
        <w:rPr>
          <w:rFonts w:hint="eastAsia" w:hAnsi="宋体" w:eastAsia="宋体"/>
          <w:color w:val="auto"/>
          <w:sz w:val="24"/>
          <w:szCs w:val="24"/>
          <w:highlight w:val="none"/>
          <w:lang w:eastAsia="zh-CN"/>
        </w:rPr>
      </w:pPr>
      <w:r>
        <w:rPr>
          <w:rFonts w:hint="eastAsia" w:hAnsi="宋体"/>
          <w:color w:val="auto"/>
          <w:sz w:val="24"/>
          <w:szCs w:val="24"/>
          <w:highlight w:val="none"/>
          <w:lang w:eastAsia="zh-CN"/>
        </w:rPr>
        <w:t>（</w:t>
      </w:r>
      <w:r>
        <w:rPr>
          <w:rFonts w:hint="eastAsia" w:hAnsi="宋体"/>
          <w:color w:val="auto"/>
          <w:sz w:val="24"/>
          <w:szCs w:val="24"/>
          <w:highlight w:val="none"/>
        </w:rPr>
        <w:t>1）本地化服务分：投标人在广西区内设立</w:t>
      </w:r>
      <w:r>
        <w:rPr>
          <w:rFonts w:hint="eastAsia" w:ascii="宋体" w:hAnsi="宋体" w:eastAsia="宋体" w:cs="宋体"/>
          <w:color w:val="auto"/>
          <w:kern w:val="0"/>
          <w:sz w:val="24"/>
          <w:szCs w:val="24"/>
          <w:highlight w:val="none"/>
        </w:rPr>
        <w:t>固定服务站</w:t>
      </w:r>
      <w:r>
        <w:rPr>
          <w:rFonts w:hint="eastAsia" w:ascii="宋体" w:hAnsi="宋体" w:cs="宋体"/>
          <w:color w:val="auto"/>
          <w:kern w:val="0"/>
          <w:sz w:val="24"/>
          <w:szCs w:val="24"/>
          <w:highlight w:val="none"/>
          <w:lang w:eastAsia="zh-CN"/>
        </w:rPr>
        <w:t>点</w:t>
      </w:r>
      <w:r>
        <w:rPr>
          <w:rFonts w:hint="eastAsia" w:hAnsi="宋体"/>
          <w:color w:val="auto"/>
          <w:sz w:val="24"/>
          <w:szCs w:val="24"/>
          <w:highlight w:val="none"/>
        </w:rPr>
        <w:t>能提供优质的本地服务的（</w:t>
      </w:r>
      <w:r>
        <w:rPr>
          <w:rFonts w:hint="eastAsia" w:ascii="宋体" w:hAnsi="宋体" w:eastAsia="宋体" w:cs="宋体"/>
          <w:color w:val="auto"/>
          <w:kern w:val="0"/>
          <w:sz w:val="24"/>
          <w:szCs w:val="24"/>
          <w:highlight w:val="none"/>
        </w:rPr>
        <w:t>需提供</w:t>
      </w:r>
      <w:r>
        <w:rPr>
          <w:rFonts w:hint="eastAsia" w:ascii="宋体" w:hAnsi="宋体" w:eastAsia="宋体" w:cs="宋体"/>
          <w:color w:val="auto"/>
          <w:kern w:val="0"/>
          <w:sz w:val="24"/>
          <w:szCs w:val="24"/>
          <w:highlight w:val="none"/>
          <w:lang w:eastAsia="zh-CN"/>
        </w:rPr>
        <w:t>营业执照或事业单位法人证或</w:t>
      </w:r>
      <w:r>
        <w:rPr>
          <w:rFonts w:hint="eastAsia" w:ascii="宋体" w:hAnsi="宋体" w:eastAsia="宋体" w:cs="宋体"/>
          <w:color w:val="auto"/>
          <w:kern w:val="0"/>
          <w:sz w:val="24"/>
          <w:szCs w:val="24"/>
          <w:highlight w:val="none"/>
        </w:rPr>
        <w:t>场地租赁合同或承诺中标后在广西区内设立服务站点的承诺书等证明材料</w:t>
      </w:r>
      <w:r>
        <w:rPr>
          <w:rFonts w:hint="eastAsia" w:hAnsi="宋体"/>
          <w:color w:val="auto"/>
          <w:sz w:val="24"/>
          <w:szCs w:val="24"/>
          <w:highlight w:val="none"/>
        </w:rPr>
        <w:t>）得3分；</w:t>
      </w:r>
    </w:p>
    <w:p>
      <w:pPr>
        <w:pStyle w:val="24"/>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2</w:t>
      </w:r>
      <w:r>
        <w:rPr>
          <w:rFonts w:hint="eastAsia" w:hAnsi="宋体"/>
          <w:bCs/>
          <w:color w:val="auto"/>
          <w:sz w:val="24"/>
          <w:szCs w:val="24"/>
          <w:highlight w:val="none"/>
        </w:rPr>
        <w:t>）售后服务分</w:t>
      </w:r>
      <w:r>
        <w:rPr>
          <w:rFonts w:hint="eastAsia" w:hAnsi="宋体"/>
          <w:bCs/>
          <w:color w:val="auto"/>
          <w:sz w:val="24"/>
          <w:szCs w:val="24"/>
          <w:highlight w:val="none"/>
        </w:rPr>
        <w:t>（</w:t>
      </w:r>
      <w:r>
        <w:rPr>
          <w:rFonts w:hint="eastAsia" w:hAnsi="宋体"/>
          <w:bCs/>
          <w:color w:val="auto"/>
          <w:sz w:val="24"/>
          <w:szCs w:val="24"/>
          <w:highlight w:val="none"/>
          <w:lang w:val="en-US" w:eastAsia="zh-CN"/>
        </w:rPr>
        <w:t>10</w:t>
      </w:r>
      <w:r>
        <w:rPr>
          <w:rFonts w:hint="eastAsia" w:hAnsi="宋体"/>
          <w:bCs/>
          <w:color w:val="auto"/>
          <w:sz w:val="24"/>
          <w:szCs w:val="24"/>
          <w:highlight w:val="none"/>
        </w:rPr>
        <w:t>分）</w:t>
      </w:r>
      <w:r>
        <w:rPr>
          <w:rFonts w:hint="eastAsia" w:hAnsi="宋体"/>
          <w:bCs/>
          <w:color w:val="auto"/>
          <w:sz w:val="24"/>
          <w:szCs w:val="24"/>
          <w:highlight w:val="none"/>
        </w:rPr>
        <w:t>：</w:t>
      </w:r>
    </w:p>
    <w:p>
      <w:pPr>
        <w:pStyle w:val="24"/>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一档（</w:t>
      </w:r>
      <w:r>
        <w:rPr>
          <w:rFonts w:hint="eastAsia" w:hAnsi="宋体"/>
          <w:bCs/>
          <w:color w:val="auto"/>
          <w:sz w:val="24"/>
          <w:szCs w:val="24"/>
          <w:highlight w:val="none"/>
          <w:lang w:val="en-US" w:eastAsia="zh-CN"/>
        </w:rPr>
        <w:t>3</w:t>
      </w:r>
      <w:r>
        <w:rPr>
          <w:rFonts w:hint="eastAsia" w:hAnsi="宋体"/>
          <w:bCs/>
          <w:color w:val="auto"/>
          <w:sz w:val="24"/>
          <w:szCs w:val="24"/>
          <w:highlight w:val="none"/>
        </w:rPr>
        <w:t>分）</w:t>
      </w:r>
      <w:r>
        <w:rPr>
          <w:rFonts w:hint="eastAsia" w:hAnsi="宋体"/>
          <w:bCs/>
          <w:color w:val="auto"/>
          <w:sz w:val="24"/>
          <w:szCs w:val="24"/>
          <w:highlight w:val="none"/>
        </w:rPr>
        <w:t>：仅满足招标文件要求的；</w:t>
      </w:r>
      <w:r>
        <w:rPr>
          <w:rFonts w:hAnsi="宋体"/>
          <w:color w:val="auto"/>
          <w:sz w:val="24"/>
          <w:szCs w:val="24"/>
          <w:highlight w:val="none"/>
        </w:rPr>
        <w:t>拟投入本项目的维护人员不少于</w:t>
      </w:r>
      <w:r>
        <w:rPr>
          <w:rFonts w:hint="eastAsia"/>
          <w:color w:val="auto"/>
          <w:sz w:val="24"/>
          <w:szCs w:val="24"/>
          <w:highlight w:val="none"/>
          <w:lang w:val="en-US" w:eastAsia="zh-CN"/>
        </w:rPr>
        <w:t>2</w:t>
      </w:r>
      <w:r>
        <w:rPr>
          <w:rFonts w:hAnsi="宋体"/>
          <w:color w:val="auto"/>
          <w:sz w:val="24"/>
          <w:szCs w:val="24"/>
          <w:highlight w:val="none"/>
        </w:rPr>
        <w:t>人</w:t>
      </w:r>
      <w:r>
        <w:rPr>
          <w:rFonts w:hAnsi="宋体"/>
          <w:color w:val="auto"/>
          <w:sz w:val="24"/>
          <w:szCs w:val="24"/>
          <w:highlight w:val="none"/>
        </w:rPr>
        <w:t>（提供投标人为其</w:t>
      </w:r>
      <w:r>
        <w:rPr>
          <w:rFonts w:hint="eastAsia" w:hAnsi="宋体"/>
          <w:color w:val="auto"/>
          <w:sz w:val="24"/>
          <w:szCs w:val="24"/>
          <w:highlight w:val="none"/>
        </w:rPr>
        <w:t>连续三个月</w:t>
      </w:r>
      <w:r>
        <w:rPr>
          <w:rFonts w:hAnsi="宋体"/>
          <w:color w:val="auto"/>
          <w:sz w:val="24"/>
          <w:szCs w:val="24"/>
          <w:highlight w:val="none"/>
        </w:rPr>
        <w:t>缴纳社保的证明材料复印件，原件备查），能提供快速的售后服务响应，并提供售后服务联系人姓名、电话、详细地址等信息</w:t>
      </w:r>
      <w:r>
        <w:rPr>
          <w:rFonts w:hint="eastAsia" w:hAnsi="宋体"/>
          <w:color w:val="auto"/>
          <w:sz w:val="24"/>
          <w:szCs w:val="24"/>
          <w:highlight w:val="none"/>
        </w:rPr>
        <w:t>。</w:t>
      </w:r>
    </w:p>
    <w:p>
      <w:pPr>
        <w:pStyle w:val="24"/>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二档（</w:t>
      </w:r>
      <w:r>
        <w:rPr>
          <w:rFonts w:hint="eastAsia" w:hAnsi="宋体"/>
          <w:bCs/>
          <w:color w:val="auto"/>
          <w:sz w:val="24"/>
          <w:szCs w:val="24"/>
          <w:highlight w:val="none"/>
          <w:lang w:val="en-US" w:eastAsia="zh-CN"/>
        </w:rPr>
        <w:t>5</w:t>
      </w:r>
      <w:r>
        <w:rPr>
          <w:rFonts w:hint="eastAsia" w:hAnsi="宋体"/>
          <w:bCs/>
          <w:color w:val="auto"/>
          <w:sz w:val="24"/>
          <w:szCs w:val="24"/>
          <w:highlight w:val="none"/>
        </w:rPr>
        <w:t>分）：</w:t>
      </w:r>
      <w:r>
        <w:rPr>
          <w:rFonts w:hint="eastAsia" w:hAnsi="宋体"/>
          <w:bCs/>
          <w:color w:val="auto"/>
          <w:sz w:val="24"/>
          <w:szCs w:val="24"/>
          <w:highlight w:val="none"/>
        </w:rPr>
        <w:t>满足招标文件要求，有该项目详细的售后服务方案，</w:t>
      </w:r>
      <w:r>
        <w:rPr>
          <w:rFonts w:hint="eastAsia" w:hAnsi="宋体"/>
          <w:bCs/>
          <w:color w:val="auto"/>
          <w:sz w:val="24"/>
          <w:szCs w:val="24"/>
          <w:highlight w:val="none"/>
          <w:lang w:val="en-US" w:eastAsia="zh-CN"/>
        </w:rPr>
        <w:t>包含</w:t>
      </w:r>
      <w:r>
        <w:rPr>
          <w:rFonts w:hint="eastAsia" w:hAnsi="宋体"/>
          <w:bCs/>
          <w:color w:val="auto"/>
          <w:sz w:val="24"/>
          <w:szCs w:val="24"/>
          <w:highlight w:val="none"/>
        </w:rPr>
        <w:t>详细的售后服务流程、响应时间及质保期，针对本项目提供专门的售后服务支持，能提供快速的售后服务响应，并</w:t>
      </w:r>
      <w:r>
        <w:rPr>
          <w:rFonts w:hAnsi="宋体"/>
          <w:color w:val="auto"/>
          <w:sz w:val="24"/>
          <w:szCs w:val="24"/>
          <w:highlight w:val="none"/>
        </w:rPr>
        <w:t>拟投入本项目的维护人员不少于</w:t>
      </w:r>
      <w:r>
        <w:rPr>
          <w:rFonts w:hint="eastAsia"/>
          <w:color w:val="auto"/>
          <w:sz w:val="24"/>
          <w:szCs w:val="24"/>
          <w:highlight w:val="none"/>
          <w:lang w:val="en-US" w:eastAsia="zh-CN"/>
        </w:rPr>
        <w:t>5</w:t>
      </w:r>
      <w:r>
        <w:rPr>
          <w:rFonts w:hAnsi="宋体"/>
          <w:color w:val="auto"/>
          <w:sz w:val="24"/>
          <w:szCs w:val="24"/>
          <w:highlight w:val="none"/>
        </w:rPr>
        <w:t>人</w:t>
      </w:r>
      <w:r>
        <w:rPr>
          <w:rFonts w:hAnsi="宋体"/>
          <w:color w:val="auto"/>
          <w:sz w:val="24"/>
          <w:szCs w:val="24"/>
          <w:highlight w:val="none"/>
        </w:rPr>
        <w:t>（提供投标人为其</w:t>
      </w:r>
      <w:r>
        <w:rPr>
          <w:rFonts w:hint="eastAsia" w:hAnsi="宋体"/>
          <w:color w:val="auto"/>
          <w:sz w:val="24"/>
          <w:szCs w:val="24"/>
          <w:highlight w:val="none"/>
        </w:rPr>
        <w:t>连续三个月</w:t>
      </w:r>
      <w:r>
        <w:rPr>
          <w:rFonts w:hAnsi="宋体"/>
          <w:color w:val="auto"/>
          <w:sz w:val="24"/>
          <w:szCs w:val="24"/>
          <w:highlight w:val="none"/>
        </w:rPr>
        <w:t>缴纳社保的证明材料复印件），能提供快速的售后服务响应，并提供售后服务联系人姓名、电话、详细地址等信息</w:t>
      </w:r>
      <w:r>
        <w:rPr>
          <w:rFonts w:hint="eastAsia" w:hAnsi="宋体"/>
          <w:color w:val="auto"/>
          <w:sz w:val="24"/>
          <w:szCs w:val="24"/>
          <w:highlight w:val="none"/>
        </w:rPr>
        <w:t>。</w:t>
      </w:r>
    </w:p>
    <w:p>
      <w:pPr>
        <w:pStyle w:val="24"/>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三档（</w:t>
      </w:r>
      <w:r>
        <w:rPr>
          <w:rFonts w:hAnsi="宋体"/>
          <w:bCs/>
          <w:color w:val="auto"/>
          <w:sz w:val="24"/>
          <w:szCs w:val="24"/>
          <w:highlight w:val="none"/>
        </w:rPr>
        <w:t>1</w:t>
      </w:r>
      <w:r>
        <w:rPr>
          <w:rFonts w:hint="eastAsia" w:hAnsi="宋体"/>
          <w:bCs/>
          <w:color w:val="auto"/>
          <w:sz w:val="24"/>
          <w:szCs w:val="24"/>
          <w:highlight w:val="none"/>
          <w:lang w:val="en-US" w:eastAsia="zh-CN"/>
        </w:rPr>
        <w:t>0</w:t>
      </w:r>
      <w:r>
        <w:rPr>
          <w:rFonts w:hint="eastAsia" w:hAnsi="宋体"/>
          <w:bCs/>
          <w:color w:val="auto"/>
          <w:sz w:val="24"/>
          <w:szCs w:val="24"/>
          <w:highlight w:val="none"/>
        </w:rPr>
        <w:t>分）</w:t>
      </w:r>
      <w:r>
        <w:rPr>
          <w:rFonts w:hint="eastAsia" w:hAnsi="宋体"/>
          <w:bCs/>
          <w:color w:val="auto"/>
          <w:sz w:val="24"/>
          <w:szCs w:val="24"/>
          <w:highlight w:val="none"/>
        </w:rPr>
        <w:t>：满足二档要求，同时能够提供完善的突发事件应急处置保障方案，详细阐述工作流程，能够采用多种手段完成突发事件的应急处置，保障手段强</w:t>
      </w:r>
      <w:r>
        <w:rPr>
          <w:rFonts w:hint="eastAsia" w:hAnsi="宋体"/>
          <w:bCs/>
          <w:color w:val="auto"/>
          <w:sz w:val="24"/>
          <w:szCs w:val="24"/>
          <w:highlight w:val="none"/>
          <w:lang w:eastAsia="zh-CN"/>
        </w:rPr>
        <w:t>；</w:t>
      </w:r>
      <w:r>
        <w:rPr>
          <w:rFonts w:hAnsi="宋体"/>
          <w:color w:val="auto"/>
          <w:sz w:val="24"/>
          <w:szCs w:val="24"/>
          <w:highlight w:val="none"/>
        </w:rPr>
        <w:t>拟投入本项目的维护人员不少于</w:t>
      </w:r>
      <w:r>
        <w:rPr>
          <w:rFonts w:hint="eastAsia"/>
          <w:color w:val="auto"/>
          <w:sz w:val="24"/>
          <w:szCs w:val="24"/>
          <w:highlight w:val="none"/>
          <w:lang w:val="en-US" w:eastAsia="zh-CN"/>
        </w:rPr>
        <w:t>15</w:t>
      </w:r>
      <w:r>
        <w:rPr>
          <w:rFonts w:hAnsi="宋体"/>
          <w:color w:val="auto"/>
          <w:sz w:val="24"/>
          <w:szCs w:val="24"/>
          <w:highlight w:val="none"/>
        </w:rPr>
        <w:t>人</w:t>
      </w:r>
      <w:r>
        <w:rPr>
          <w:rFonts w:hAnsi="宋体"/>
          <w:color w:val="auto"/>
          <w:sz w:val="24"/>
          <w:szCs w:val="24"/>
          <w:highlight w:val="none"/>
        </w:rPr>
        <w:t>（提供投标人为其</w:t>
      </w:r>
      <w:r>
        <w:rPr>
          <w:rFonts w:hint="eastAsia" w:hAnsi="宋体"/>
          <w:color w:val="auto"/>
          <w:sz w:val="24"/>
          <w:szCs w:val="24"/>
          <w:highlight w:val="none"/>
        </w:rPr>
        <w:t>连续三个月</w:t>
      </w:r>
      <w:r>
        <w:rPr>
          <w:rFonts w:hAnsi="宋体"/>
          <w:color w:val="auto"/>
          <w:sz w:val="24"/>
          <w:szCs w:val="24"/>
          <w:highlight w:val="none"/>
        </w:rPr>
        <w:t>缴纳社保的证明材料复印件</w:t>
      </w:r>
      <w:r>
        <w:rPr>
          <w:rFonts w:hint="eastAsia" w:hAnsi="宋体"/>
          <w:color w:val="auto"/>
          <w:sz w:val="24"/>
          <w:szCs w:val="24"/>
          <w:highlight w:val="none"/>
          <w:lang w:eastAsia="zh-CN"/>
        </w:rPr>
        <w:t>）</w:t>
      </w:r>
      <w:r>
        <w:rPr>
          <w:rFonts w:hint="eastAsia" w:hAnsi="宋体"/>
          <w:color w:val="auto"/>
          <w:sz w:val="24"/>
          <w:szCs w:val="24"/>
          <w:highlight w:val="none"/>
        </w:rPr>
        <w:t>。</w:t>
      </w:r>
    </w:p>
    <w:p>
      <w:pPr>
        <w:rPr>
          <w:rFonts w:hint="eastAsia" w:ascii="宋体" w:eastAsia="宋体"/>
          <w:b/>
          <w:bCs/>
          <w:color w:val="auto"/>
          <w:spacing w:val="-4"/>
          <w:sz w:val="24"/>
          <w:szCs w:val="24"/>
          <w:highlight w:val="none"/>
          <w:lang w:eastAsia="zh-CN"/>
        </w:rPr>
      </w:pPr>
      <w:r>
        <w:rPr>
          <w:rFonts w:hint="eastAsia" w:ascii="宋体" w:hAnsi="宋体" w:cs="宋体"/>
          <w:b/>
          <w:bCs/>
          <w:color w:val="auto"/>
          <w:spacing w:val="-4"/>
          <w:sz w:val="24"/>
          <w:szCs w:val="24"/>
          <w:highlight w:val="none"/>
          <w:lang w:val="en-US" w:eastAsia="zh-CN"/>
        </w:rPr>
        <w:t>5</w:t>
      </w:r>
      <w:r>
        <w:rPr>
          <w:rFonts w:hint="eastAsia" w:ascii="宋体" w:hAnsi="宋体" w:cs="宋体"/>
          <w:b/>
          <w:bCs/>
          <w:color w:val="auto"/>
          <w:spacing w:val="-4"/>
          <w:sz w:val="24"/>
          <w:szCs w:val="24"/>
          <w:highlight w:val="none"/>
        </w:rPr>
        <w:t>、诚信分</w:t>
      </w:r>
    </w:p>
    <w:p>
      <w:pPr>
        <w:widowControl/>
        <w:adjustRightInd w:val="0"/>
        <w:snapToGrid w:val="0"/>
        <w:spacing w:line="42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）诚信处罚扣分………………………………………………………</w:t>
      </w:r>
      <w:r>
        <w:rPr>
          <w:rFonts w:ascii="宋体" w:hAnsi="宋体" w:cs="宋体"/>
          <w:color w:val="auto"/>
          <w:kern w:val="0"/>
          <w:sz w:val="24"/>
          <w:szCs w:val="24"/>
          <w:highlight w:val="none"/>
        </w:rPr>
        <w:t xml:space="preserve"> -6</w:t>
      </w:r>
      <w:r>
        <w:rPr>
          <w:rFonts w:hint="eastAsia" w:ascii="宋体" w:hAnsi="宋体" w:cs="宋体"/>
          <w:color w:val="auto"/>
          <w:kern w:val="0"/>
          <w:sz w:val="24"/>
          <w:szCs w:val="24"/>
          <w:highlight w:val="none"/>
        </w:rPr>
        <w:t>分</w:t>
      </w:r>
    </w:p>
    <w:p>
      <w:pPr>
        <w:widowControl/>
        <w:adjustRightInd w:val="0"/>
        <w:snapToGrid w:val="0"/>
        <w:spacing w:line="42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投标人在截标日前一年内在政府采购活动中存在违约情况的，每次扣除</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分，最高扣</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分。（投标人须出具书面说明或其他有效证明材料作为评分依据，中标后由采购人进行核查，如未如实提供的，按提供虚假材料处理。）</w:t>
      </w:r>
    </w:p>
    <w:p>
      <w:pPr>
        <w:pStyle w:val="2"/>
        <w:rPr>
          <w:rFonts w:ascii="宋体" w:cs="宋体"/>
          <w:color w:val="auto"/>
          <w:kern w:val="0"/>
          <w:highlight w:val="none"/>
        </w:rPr>
      </w:pPr>
    </w:p>
    <w:p>
      <w:pPr>
        <w:numPr>
          <w:ilvl w:val="0"/>
          <w:numId w:val="6"/>
        </w:numPr>
        <w:rPr>
          <w:color w:val="auto"/>
          <w:highlight w:val="none"/>
        </w:rPr>
      </w:pPr>
      <w:r>
        <w:rPr>
          <w:rFonts w:hint="eastAsia" w:ascii="宋体" w:hAnsi="宋体" w:cs="宋体"/>
          <w:b/>
          <w:bCs/>
          <w:color w:val="auto"/>
          <w:sz w:val="24"/>
          <w:szCs w:val="24"/>
          <w:highlight w:val="none"/>
        </w:rPr>
        <w:t>总得分</w:t>
      </w:r>
      <w:r>
        <w:rPr>
          <w:rFonts w:ascii="宋体" w:hAnsi="宋体" w:cs="宋体"/>
          <w:b/>
          <w:bCs/>
          <w:color w:val="auto"/>
          <w:sz w:val="24"/>
          <w:szCs w:val="24"/>
          <w:highlight w:val="none"/>
        </w:rPr>
        <w:t>=1 + 2 + 3 + 4</w:t>
      </w:r>
      <w:r>
        <w:rPr>
          <w:rFonts w:hint="eastAsia" w:ascii="宋体" w:hAnsi="宋体" w:cs="宋体"/>
          <w:b/>
          <w:bCs/>
          <w:color w:val="auto"/>
          <w:sz w:val="24"/>
          <w:szCs w:val="24"/>
          <w:highlight w:val="none"/>
          <w:lang w:val="en-US" w:eastAsia="zh-CN"/>
        </w:rPr>
        <w:t xml:space="preserve"> + 5</w:t>
      </w:r>
      <w:r>
        <w:rPr>
          <w:rFonts w:hint="eastAsia" w:ascii="宋体" w:hAnsi="宋体" w:cs="宋体"/>
          <w:b/>
          <w:bCs/>
          <w:color w:val="auto"/>
          <w:sz w:val="24"/>
          <w:szCs w:val="24"/>
          <w:highlight w:val="none"/>
        </w:rPr>
        <w:t>项得分。</w:t>
      </w:r>
    </w:p>
    <w:p>
      <w:pPr>
        <w:rPr>
          <w:rFonts w:ascii="宋体"/>
          <w:b/>
          <w:bCs/>
          <w:color w:val="auto"/>
          <w:sz w:val="24"/>
          <w:szCs w:val="24"/>
          <w:highlight w:val="none"/>
        </w:rPr>
      </w:pPr>
    </w:p>
    <w:p>
      <w:pPr>
        <w:rPr>
          <w:rFonts w:ascii="宋体"/>
          <w:b/>
          <w:bCs/>
          <w:color w:val="auto"/>
          <w:sz w:val="24"/>
          <w:szCs w:val="24"/>
          <w:highlight w:val="none"/>
        </w:rPr>
      </w:pPr>
      <w:r>
        <w:rPr>
          <w:rFonts w:hint="eastAsia" w:ascii="宋体" w:hAnsi="宋体" w:cs="宋体"/>
          <w:b/>
          <w:bCs/>
          <w:color w:val="auto"/>
          <w:sz w:val="24"/>
          <w:szCs w:val="24"/>
          <w:highlight w:val="none"/>
        </w:rPr>
        <w:t>三、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spacing w:line="360" w:lineRule="exact"/>
        <w:outlineLvl w:val="0"/>
        <w:rPr>
          <w:rFonts w:hAnsi="宋体" w:cs="Times New Roman"/>
          <w:b/>
          <w:bCs/>
          <w:color w:val="auto"/>
          <w:sz w:val="24"/>
          <w:szCs w:val="24"/>
          <w:highlight w:val="none"/>
        </w:rPr>
      </w:pPr>
      <w:bookmarkStart w:id="121" w:name="_Toc7555"/>
      <w:bookmarkStart w:id="122" w:name="_Toc14377"/>
      <w:bookmarkStart w:id="123" w:name="_Toc22778"/>
      <w:bookmarkStart w:id="124" w:name="_Toc6495"/>
      <w:r>
        <w:rPr>
          <w:rFonts w:hint="eastAsia" w:hAnsi="宋体"/>
          <w:b/>
          <w:bCs/>
          <w:color w:val="auto"/>
          <w:sz w:val="24"/>
          <w:szCs w:val="24"/>
          <w:highlight w:val="none"/>
        </w:rPr>
        <w:t>四、中标候选人推荐原则</w:t>
      </w:r>
      <w:bookmarkEnd w:id="116"/>
      <w:bookmarkEnd w:id="121"/>
      <w:bookmarkEnd w:id="122"/>
      <w:bookmarkEnd w:id="123"/>
      <w:bookmarkEnd w:id="124"/>
    </w:p>
    <w:p>
      <w:pPr>
        <w:pStyle w:val="24"/>
        <w:ind w:firstLine="480" w:firstLineChars="200"/>
        <w:rPr>
          <w:rFonts w:hAnsi="宋体" w:cs="Times New Roman"/>
          <w:color w:val="auto"/>
          <w:sz w:val="24"/>
          <w:szCs w:val="24"/>
          <w:highlight w:val="none"/>
        </w:rPr>
      </w:pPr>
      <w:r>
        <w:rPr>
          <w:rFonts w:hint="eastAsia" w:hAnsi="宋体"/>
          <w:color w:val="auto"/>
          <w:sz w:val="24"/>
          <w:szCs w:val="24"/>
          <w:highlight w:val="none"/>
        </w:rPr>
        <w:t>评标委员会将根据综合得分由高到低排列次序（</w:t>
      </w:r>
      <w:r>
        <w:rPr>
          <w:rFonts w:hint="eastAsia" w:hAnsi="宋体"/>
          <w:color w:val="auto"/>
          <w:sz w:val="24"/>
          <w:szCs w:val="24"/>
          <w:highlight w:val="none"/>
          <w:lang w:eastAsia="zh-CN"/>
        </w:rPr>
        <w:t>总得分相同时，依次按投标报价低优先、技术分高优先、质量保证期长优先、交货期短优先、故障响应时间短优先的顺序排列</w:t>
      </w:r>
      <w:r>
        <w:rPr>
          <w:rFonts w:hint="eastAsia" w:hAnsi="宋体"/>
          <w:color w:val="auto"/>
          <w:sz w:val="24"/>
          <w:szCs w:val="24"/>
          <w:highlight w:val="none"/>
        </w:rPr>
        <w:t>）并推荐</w:t>
      </w:r>
      <w:r>
        <w:rPr>
          <w:rFonts w:hAnsi="宋体"/>
          <w:color w:val="auto"/>
          <w:sz w:val="24"/>
          <w:szCs w:val="24"/>
          <w:highlight w:val="none"/>
        </w:rPr>
        <w:t>3</w:t>
      </w:r>
      <w:r>
        <w:rPr>
          <w:rFonts w:hint="eastAsia" w:hAnsi="宋体"/>
          <w:color w:val="auto"/>
          <w:sz w:val="24"/>
          <w:szCs w:val="24"/>
          <w:highlight w:val="none"/>
        </w:rPr>
        <w:t>名中标候选</w:t>
      </w:r>
      <w:r>
        <w:rPr>
          <w:rFonts w:hint="eastAsia" w:hAnsi="宋体"/>
          <w:color w:val="auto"/>
          <w:sz w:val="24"/>
          <w:szCs w:val="24"/>
          <w:highlight w:val="none"/>
          <w:lang w:eastAsia="zh-CN"/>
        </w:rPr>
        <w:t>人</w:t>
      </w:r>
      <w:r>
        <w:rPr>
          <w:rFonts w:hint="eastAsia" w:hAnsi="宋体"/>
          <w:color w:val="auto"/>
          <w:sz w:val="24"/>
          <w:szCs w:val="24"/>
          <w:highlight w:val="none"/>
        </w:rPr>
        <w:t>。招标采购单位应当确定评审委员会推荐排名第一的中标候选人为中标人。根据桂财采〔</w:t>
      </w:r>
      <w:r>
        <w:rPr>
          <w:rFonts w:hAnsi="宋体"/>
          <w:color w:val="auto"/>
          <w:sz w:val="24"/>
          <w:szCs w:val="24"/>
          <w:highlight w:val="none"/>
        </w:rPr>
        <w:t>2016</w:t>
      </w:r>
      <w:r>
        <w:rPr>
          <w:rFonts w:hint="eastAsia" w:hAnsi="宋体"/>
          <w:color w:val="auto"/>
          <w:sz w:val="24"/>
          <w:szCs w:val="24"/>
          <w:highlight w:val="none"/>
        </w:rPr>
        <w:t>〕</w:t>
      </w:r>
      <w:r>
        <w:rPr>
          <w:rFonts w:hAnsi="宋体"/>
          <w:color w:val="auto"/>
          <w:sz w:val="24"/>
          <w:szCs w:val="24"/>
          <w:highlight w:val="none"/>
        </w:rPr>
        <w:t>37</w:t>
      </w:r>
      <w:r>
        <w:rPr>
          <w:rFonts w:hint="eastAsia" w:hAnsi="宋体"/>
          <w:color w:val="auto"/>
          <w:sz w:val="24"/>
          <w:szCs w:val="24"/>
          <w:highlight w:val="none"/>
        </w:rPr>
        <w:t>号《关于做好政府采购有关信用主体标识码登记及在政府采购活动中查询使用信用记录有关问题的通知</w:t>
      </w:r>
      <w:r>
        <w:rPr>
          <w:rFonts w:hint="eastAsia" w:hAnsi="宋体"/>
          <w:color w:val="auto"/>
          <w:sz w:val="24"/>
          <w:szCs w:val="24"/>
          <w:highlight w:val="none"/>
          <w:shd w:val="clear" w:color="auto" w:fill="FFFFFF"/>
        </w:rPr>
        <w:t>》相关规定，</w:t>
      </w:r>
      <w:r>
        <w:rPr>
          <w:rFonts w:hint="eastAsia" w:hAnsi="宋体"/>
          <w:color w:val="auto"/>
          <w:sz w:val="24"/>
          <w:szCs w:val="24"/>
          <w:highlight w:val="none"/>
        </w:rPr>
        <w:t>采购代理机构</w:t>
      </w:r>
      <w:r>
        <w:rPr>
          <w:rFonts w:hint="eastAsia" w:hAnsi="宋体"/>
          <w:color w:val="auto"/>
          <w:sz w:val="24"/>
          <w:szCs w:val="24"/>
          <w:highlight w:val="none"/>
          <w:shd w:val="clear" w:color="auto" w:fill="FFFFFF"/>
        </w:rPr>
        <w:t>将对</w:t>
      </w:r>
      <w:r>
        <w:rPr>
          <w:rFonts w:hint="eastAsia" w:hAnsi="宋体"/>
          <w:color w:val="auto"/>
          <w:sz w:val="24"/>
          <w:szCs w:val="24"/>
          <w:highlight w:val="none"/>
        </w:rPr>
        <w:t>排名第一的中标候选人进行信用查询</w:t>
      </w:r>
      <w:r>
        <w:rPr>
          <w:rFonts w:hint="eastAsia" w:hAnsi="宋体"/>
          <w:color w:val="auto"/>
          <w:sz w:val="24"/>
          <w:szCs w:val="24"/>
          <w:highlight w:val="none"/>
          <w:shd w:val="clear" w:color="auto" w:fill="FFFFFF"/>
        </w:rPr>
        <w:t>，如</w:t>
      </w:r>
      <w:r>
        <w:rPr>
          <w:rFonts w:hint="eastAsia" w:hAnsi="宋体"/>
          <w:color w:val="auto"/>
          <w:sz w:val="24"/>
          <w:szCs w:val="24"/>
          <w:highlight w:val="none"/>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p>
    <w:p>
      <w:pPr>
        <w:pStyle w:val="24"/>
        <w:rPr>
          <w:rFonts w:hAnsi="宋体" w:cs="Times New Roman"/>
          <w:b/>
          <w:bCs/>
          <w:color w:val="auto"/>
          <w:sz w:val="24"/>
          <w:szCs w:val="24"/>
          <w:highlight w:val="none"/>
        </w:rPr>
      </w:pPr>
    </w:p>
    <w:p>
      <w:pPr>
        <w:jc w:val="center"/>
        <w:outlineLvl w:val="0"/>
        <w:rPr>
          <w:rFonts w:ascii="宋体"/>
          <w:b/>
          <w:bCs/>
          <w:color w:val="auto"/>
          <w:sz w:val="44"/>
          <w:szCs w:val="44"/>
          <w:highlight w:val="none"/>
        </w:rPr>
      </w:pPr>
      <w:bookmarkStart w:id="125" w:name="_Toc15812"/>
      <w:r>
        <w:rPr>
          <w:color w:val="auto"/>
          <w:highlight w:val="none"/>
        </w:rPr>
        <w:br w:type="page"/>
      </w:r>
      <w:bookmarkStart w:id="126" w:name="_Toc31377"/>
      <w:r>
        <w:rPr>
          <w:rFonts w:hint="eastAsia" w:ascii="宋体" w:hAnsi="宋体" w:cs="宋体"/>
          <w:b/>
          <w:bCs/>
          <w:color w:val="auto"/>
          <w:sz w:val="44"/>
          <w:szCs w:val="44"/>
          <w:highlight w:val="none"/>
        </w:rPr>
        <w:t>第五章合同主要条款格式</w:t>
      </w:r>
      <w:bookmarkEnd w:id="125"/>
      <w:bookmarkEnd w:id="126"/>
    </w:p>
    <w:p>
      <w:pPr>
        <w:spacing w:line="360" w:lineRule="auto"/>
        <w:jc w:val="center"/>
        <w:rPr>
          <w:rFonts w:ascii="宋体" w:hAnsi="宋体" w:cs="宋体"/>
          <w:b/>
          <w:bCs/>
          <w:color w:val="auto"/>
          <w:sz w:val="32"/>
          <w:szCs w:val="32"/>
          <w:highlight w:val="none"/>
        </w:rPr>
      </w:pPr>
      <w:r>
        <w:rPr>
          <w:rFonts w:hint="eastAsia" w:ascii="宋体" w:hAnsi="宋体" w:cs="宋体"/>
          <w:b/>
          <w:color w:val="auto"/>
          <w:sz w:val="32"/>
          <w:szCs w:val="32"/>
          <w:highlight w:val="none"/>
        </w:rPr>
        <w:t>政府采购合同书</w:t>
      </w:r>
    </w:p>
    <w:p>
      <w:pPr>
        <w:snapToGrid w:val="0"/>
        <w:ind w:firstLine="6000" w:firstLineChars="2500"/>
        <w:rPr>
          <w:rFonts w:ascii="宋体" w:hAnsi="宋体"/>
          <w:bCs/>
          <w:color w:val="auto"/>
          <w:sz w:val="24"/>
          <w:szCs w:val="24"/>
          <w:highlight w:val="none"/>
          <w:u w:val="single"/>
        </w:rPr>
      </w:pPr>
      <w:r>
        <w:rPr>
          <w:rFonts w:hint="eastAsia" w:ascii="宋体" w:hAnsi="宋体"/>
          <w:bCs/>
          <w:color w:val="auto"/>
          <w:sz w:val="24"/>
          <w:szCs w:val="24"/>
          <w:highlight w:val="none"/>
        </w:rPr>
        <w:t>合同编号：</w:t>
      </w:r>
    </w:p>
    <w:p>
      <w:pPr>
        <w:snapToGrid w:val="0"/>
        <w:rPr>
          <w:rFonts w:ascii="宋体" w:hAnsi="宋体"/>
          <w:color w:val="auto"/>
          <w:sz w:val="24"/>
          <w:szCs w:val="24"/>
          <w:highlight w:val="none"/>
          <w:u w:val="single"/>
        </w:rPr>
      </w:pPr>
      <w:r>
        <w:rPr>
          <w:rFonts w:hint="eastAsia" w:ascii="宋体" w:hAnsi="宋体"/>
          <w:color w:val="auto"/>
          <w:sz w:val="24"/>
          <w:szCs w:val="24"/>
          <w:highlight w:val="none"/>
        </w:rPr>
        <w:t xml:space="preserve">采购单位（甲方）                      </w:t>
      </w:r>
      <w:r>
        <w:rPr>
          <w:rFonts w:hint="eastAsia" w:ascii="宋体" w:hAnsi="宋体"/>
          <w:color w:val="auto"/>
          <w:spacing w:val="-20"/>
          <w:sz w:val="24"/>
          <w:szCs w:val="24"/>
          <w:highlight w:val="none"/>
        </w:rPr>
        <w:t>采 购 计 划 号</w:t>
      </w:r>
    </w:p>
    <w:p>
      <w:pPr>
        <w:snapToGrid w:val="0"/>
        <w:rPr>
          <w:rFonts w:ascii="宋体" w:hAnsi="宋体"/>
          <w:color w:val="auto"/>
          <w:sz w:val="24"/>
          <w:szCs w:val="24"/>
          <w:highlight w:val="none"/>
          <w:u w:val="single"/>
        </w:rPr>
      </w:pPr>
      <w:r>
        <w:rPr>
          <w:rFonts w:hint="eastAsia" w:ascii="宋体" w:hAnsi="宋体"/>
          <w:color w:val="auto"/>
          <w:sz w:val="24"/>
          <w:szCs w:val="24"/>
          <w:highlight w:val="none"/>
        </w:rPr>
        <w:t xml:space="preserve">供 应 商（乙方）                      </w:t>
      </w:r>
      <w:r>
        <w:rPr>
          <w:rFonts w:hint="eastAsia" w:ascii="宋体" w:hAnsi="宋体"/>
          <w:color w:val="auto"/>
          <w:spacing w:val="-20"/>
          <w:sz w:val="24"/>
          <w:szCs w:val="24"/>
          <w:highlight w:val="none"/>
        </w:rPr>
        <w:t>招  标  编  号</w:t>
      </w:r>
    </w:p>
    <w:p>
      <w:pPr>
        <w:snapToGrid w:val="0"/>
        <w:rPr>
          <w:rFonts w:ascii="宋体" w:hAnsi="宋体"/>
          <w:color w:val="auto"/>
          <w:sz w:val="24"/>
          <w:szCs w:val="24"/>
          <w:highlight w:val="none"/>
          <w:u w:val="single"/>
        </w:rPr>
      </w:pPr>
      <w:r>
        <w:rPr>
          <w:rFonts w:hint="eastAsia" w:ascii="宋体" w:hAnsi="宋体"/>
          <w:color w:val="auto"/>
          <w:sz w:val="24"/>
          <w:szCs w:val="24"/>
          <w:highlight w:val="none"/>
        </w:rPr>
        <w:t>签  订  地  点                        签 订 时 间</w:t>
      </w:r>
    </w:p>
    <w:p>
      <w:pPr>
        <w:snapToGrid w:val="0"/>
        <w:ind w:firstLine="480" w:firstLineChars="200"/>
        <w:rPr>
          <w:rFonts w:ascii="宋体" w:hAnsi="宋体"/>
          <w:color w:val="auto"/>
          <w:sz w:val="24"/>
          <w:szCs w:val="24"/>
          <w:highlight w:val="none"/>
        </w:rPr>
      </w:pPr>
      <w:r>
        <w:rPr>
          <w:rFonts w:hint="eastAsia" w:ascii="宋体" w:hAnsi="宋体"/>
          <w:color w:val="auto"/>
          <w:sz w:val="24"/>
          <w:szCs w:val="24"/>
          <w:highlight w:val="none"/>
        </w:rPr>
        <w:t>根据《中华人民共和国政府采购法》、《中华人民共和国合同法》等法律、法规规定，按照招投标文件（采购文件）规定条款和中标（成交）供应商承诺，甲乙双方签订本合同。</w:t>
      </w:r>
    </w:p>
    <w:p>
      <w:pPr>
        <w:pStyle w:val="24"/>
        <w:spacing w:line="360" w:lineRule="auto"/>
        <w:rPr>
          <w:rFonts w:hAnsi="宋体"/>
          <w:b/>
          <w:bCs/>
          <w:color w:val="auto"/>
          <w:sz w:val="24"/>
          <w:szCs w:val="24"/>
          <w:highlight w:val="none"/>
        </w:rPr>
      </w:pPr>
      <w:r>
        <w:rPr>
          <w:rFonts w:hint="eastAsia" w:hAnsi="宋体"/>
          <w:b/>
          <w:bCs/>
          <w:color w:val="auto"/>
          <w:sz w:val="24"/>
          <w:szCs w:val="24"/>
          <w:highlight w:val="none"/>
        </w:rPr>
        <w:t>1.  合同标的</w:t>
      </w:r>
    </w:p>
    <w:tbl>
      <w:tblPr>
        <w:tblStyle w:val="43"/>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507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0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233"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服务名称</w:t>
            </w:r>
          </w:p>
        </w:tc>
        <w:tc>
          <w:tcPr>
            <w:tcW w:w="5078"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服务内容</w:t>
            </w:r>
          </w:p>
        </w:tc>
        <w:tc>
          <w:tcPr>
            <w:tcW w:w="947"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单  价</w:t>
            </w:r>
          </w:p>
          <w:p>
            <w:pPr>
              <w:snapToGrid w:val="0"/>
              <w:jc w:val="center"/>
              <w:rPr>
                <w:rFonts w:ascii="宋体" w:hAnsi="宋体"/>
                <w:color w:val="auto"/>
                <w:sz w:val="24"/>
                <w:szCs w:val="24"/>
                <w:highlight w:val="none"/>
              </w:rPr>
            </w:pPr>
            <w:r>
              <w:rPr>
                <w:rFonts w:hint="eastAsia" w:ascii="宋体" w:hAnsi="宋体"/>
                <w:color w:val="auto"/>
                <w:sz w:val="24"/>
                <w:szCs w:val="24"/>
                <w:highlight w:val="none"/>
              </w:rPr>
              <w:t>（元）</w:t>
            </w:r>
          </w:p>
        </w:tc>
        <w:tc>
          <w:tcPr>
            <w:tcW w:w="118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金  额</w:t>
            </w:r>
          </w:p>
          <w:p>
            <w:pPr>
              <w:snapToGrid w:val="0"/>
              <w:jc w:val="center"/>
              <w:rPr>
                <w:rFonts w:ascii="宋体" w:hAnsi="宋体"/>
                <w:color w:val="auto"/>
                <w:sz w:val="24"/>
                <w:szCs w:val="24"/>
                <w:highlight w:val="none"/>
              </w:rPr>
            </w:pPr>
            <w:r>
              <w:rPr>
                <w:rFonts w:hint="eastAsia" w:ascii="宋体" w:hAnsi="宋体"/>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233" w:type="dxa"/>
            <w:vAlign w:val="center"/>
          </w:tcPr>
          <w:p>
            <w:pPr>
              <w:snapToGrid w:val="0"/>
              <w:jc w:val="center"/>
              <w:rPr>
                <w:rFonts w:ascii="宋体" w:hAnsi="宋体"/>
                <w:color w:val="auto"/>
                <w:sz w:val="24"/>
                <w:szCs w:val="24"/>
                <w:highlight w:val="none"/>
              </w:rPr>
            </w:pPr>
          </w:p>
        </w:tc>
        <w:tc>
          <w:tcPr>
            <w:tcW w:w="5078" w:type="dxa"/>
            <w:vAlign w:val="center"/>
          </w:tcPr>
          <w:p>
            <w:pPr>
              <w:snapToGrid w:val="0"/>
              <w:jc w:val="center"/>
              <w:rPr>
                <w:rFonts w:ascii="宋体" w:hAnsi="宋体"/>
                <w:color w:val="auto"/>
                <w:sz w:val="24"/>
                <w:szCs w:val="24"/>
                <w:highlight w:val="none"/>
              </w:rPr>
            </w:pPr>
          </w:p>
        </w:tc>
        <w:tc>
          <w:tcPr>
            <w:tcW w:w="947" w:type="dxa"/>
            <w:vAlign w:val="center"/>
          </w:tcPr>
          <w:p>
            <w:pPr>
              <w:snapToGrid w:val="0"/>
              <w:jc w:val="center"/>
              <w:rPr>
                <w:rFonts w:ascii="宋体" w:hAnsi="宋体"/>
                <w:color w:val="auto"/>
                <w:sz w:val="24"/>
                <w:szCs w:val="24"/>
                <w:highlight w:val="none"/>
              </w:rPr>
            </w:pPr>
          </w:p>
        </w:tc>
        <w:tc>
          <w:tcPr>
            <w:tcW w:w="1189" w:type="dxa"/>
            <w:vAlign w:val="center"/>
          </w:tcPr>
          <w:p>
            <w:pPr>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233" w:type="dxa"/>
            <w:vAlign w:val="center"/>
          </w:tcPr>
          <w:p>
            <w:pPr>
              <w:snapToGrid w:val="0"/>
              <w:jc w:val="center"/>
              <w:rPr>
                <w:rFonts w:ascii="宋体" w:hAnsi="宋体"/>
                <w:color w:val="auto"/>
                <w:sz w:val="24"/>
                <w:szCs w:val="24"/>
                <w:highlight w:val="none"/>
              </w:rPr>
            </w:pPr>
          </w:p>
        </w:tc>
        <w:tc>
          <w:tcPr>
            <w:tcW w:w="5078" w:type="dxa"/>
            <w:vAlign w:val="center"/>
          </w:tcPr>
          <w:p>
            <w:pPr>
              <w:snapToGrid w:val="0"/>
              <w:jc w:val="center"/>
              <w:rPr>
                <w:rFonts w:ascii="宋体" w:hAnsi="宋体"/>
                <w:color w:val="auto"/>
                <w:sz w:val="24"/>
                <w:szCs w:val="24"/>
                <w:highlight w:val="none"/>
              </w:rPr>
            </w:pPr>
          </w:p>
        </w:tc>
        <w:tc>
          <w:tcPr>
            <w:tcW w:w="947" w:type="dxa"/>
            <w:vAlign w:val="center"/>
          </w:tcPr>
          <w:p>
            <w:pPr>
              <w:snapToGrid w:val="0"/>
              <w:jc w:val="center"/>
              <w:rPr>
                <w:rFonts w:ascii="宋体" w:hAnsi="宋体"/>
                <w:color w:val="auto"/>
                <w:sz w:val="24"/>
                <w:szCs w:val="24"/>
                <w:highlight w:val="none"/>
              </w:rPr>
            </w:pPr>
          </w:p>
        </w:tc>
        <w:tc>
          <w:tcPr>
            <w:tcW w:w="1189" w:type="dxa"/>
            <w:vAlign w:val="center"/>
          </w:tcPr>
          <w:p>
            <w:pPr>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709" w:type="dxa"/>
            <w:vAlign w:val="center"/>
          </w:tcPr>
          <w:p>
            <w:pPr>
              <w:snapToGrid w:val="0"/>
              <w:jc w:val="center"/>
              <w:rPr>
                <w:rFonts w:ascii="宋体" w:hAnsi="宋体"/>
                <w:color w:val="auto"/>
                <w:sz w:val="24"/>
                <w:szCs w:val="24"/>
                <w:highlight w:val="none"/>
              </w:rPr>
            </w:pPr>
            <w:r>
              <w:rPr>
                <w:rFonts w:hint="eastAsia" w:ascii="宋体" w:hAnsi="宋体"/>
                <w:color w:val="auto"/>
                <w:sz w:val="24"/>
                <w:szCs w:val="24"/>
                <w:highlight w:val="none"/>
              </w:rPr>
              <w:t>3</w:t>
            </w:r>
          </w:p>
        </w:tc>
        <w:tc>
          <w:tcPr>
            <w:tcW w:w="1233" w:type="dxa"/>
            <w:vAlign w:val="center"/>
          </w:tcPr>
          <w:p>
            <w:pPr>
              <w:snapToGrid w:val="0"/>
              <w:jc w:val="center"/>
              <w:rPr>
                <w:rFonts w:ascii="宋体" w:hAnsi="宋体"/>
                <w:color w:val="auto"/>
                <w:sz w:val="24"/>
                <w:szCs w:val="24"/>
                <w:highlight w:val="none"/>
              </w:rPr>
            </w:pPr>
          </w:p>
        </w:tc>
        <w:tc>
          <w:tcPr>
            <w:tcW w:w="5078" w:type="dxa"/>
            <w:vAlign w:val="center"/>
          </w:tcPr>
          <w:p>
            <w:pPr>
              <w:snapToGrid w:val="0"/>
              <w:jc w:val="center"/>
              <w:rPr>
                <w:rFonts w:ascii="宋体" w:hAnsi="宋体"/>
                <w:color w:val="auto"/>
                <w:sz w:val="24"/>
                <w:szCs w:val="24"/>
                <w:highlight w:val="none"/>
              </w:rPr>
            </w:pPr>
          </w:p>
        </w:tc>
        <w:tc>
          <w:tcPr>
            <w:tcW w:w="947" w:type="dxa"/>
            <w:vAlign w:val="center"/>
          </w:tcPr>
          <w:p>
            <w:pPr>
              <w:snapToGrid w:val="0"/>
              <w:jc w:val="center"/>
              <w:rPr>
                <w:rFonts w:ascii="宋体" w:hAnsi="宋体"/>
                <w:color w:val="auto"/>
                <w:sz w:val="24"/>
                <w:szCs w:val="24"/>
                <w:highlight w:val="none"/>
              </w:rPr>
            </w:pPr>
          </w:p>
        </w:tc>
        <w:tc>
          <w:tcPr>
            <w:tcW w:w="1189" w:type="dxa"/>
            <w:vAlign w:val="center"/>
          </w:tcPr>
          <w:p>
            <w:pPr>
              <w:snapToGrid w:val="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9156" w:type="dxa"/>
            <w:gridSpan w:val="5"/>
            <w:vAlign w:val="center"/>
          </w:tcPr>
          <w:p>
            <w:pPr>
              <w:snapToGrid w:val="0"/>
              <w:rPr>
                <w:rFonts w:ascii="宋体" w:hAnsi="宋体"/>
                <w:color w:val="auto"/>
                <w:sz w:val="24"/>
                <w:szCs w:val="24"/>
                <w:highlight w:val="none"/>
              </w:rPr>
            </w:pPr>
            <w:r>
              <w:rPr>
                <w:rFonts w:hint="eastAsia" w:ascii="宋体" w:hAnsi="宋体"/>
                <w:color w:val="auto"/>
                <w:sz w:val="24"/>
                <w:szCs w:val="24"/>
                <w:highlight w:val="none"/>
              </w:rPr>
              <w:t xml:space="preserve">人民币合计金额（大写）                          （小写）                 </w:t>
            </w:r>
          </w:p>
        </w:tc>
      </w:tr>
    </w:tbl>
    <w:p>
      <w:pPr>
        <w:pStyle w:val="24"/>
        <w:tabs>
          <w:tab w:val="left" w:pos="5145"/>
        </w:tabs>
        <w:spacing w:line="360" w:lineRule="auto"/>
        <w:rPr>
          <w:rFonts w:hAnsi="宋体"/>
          <w:b/>
          <w:bCs/>
          <w:color w:val="auto"/>
          <w:sz w:val="24"/>
          <w:szCs w:val="24"/>
          <w:highlight w:val="none"/>
        </w:rPr>
      </w:pPr>
      <w:r>
        <w:rPr>
          <w:rFonts w:hint="eastAsia" w:hAnsi="宋体"/>
          <w:b/>
          <w:bCs/>
          <w:color w:val="auto"/>
          <w:sz w:val="24"/>
          <w:szCs w:val="24"/>
          <w:highlight w:val="none"/>
        </w:rPr>
        <w:t>2.  质量保证</w:t>
      </w:r>
    </w:p>
    <w:p>
      <w:pPr>
        <w:pStyle w:val="24"/>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2.1乙方提供服务的质量严格按照响应文件要求执行。</w:t>
      </w:r>
    </w:p>
    <w:p>
      <w:pPr>
        <w:pStyle w:val="24"/>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2.2在服务期内，乙方应对服务出现的问题负责处理解决并承担一切费用。</w:t>
      </w:r>
    </w:p>
    <w:p>
      <w:pPr>
        <w:pStyle w:val="24"/>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2.3乙方应保证所提供的服务或其任何一部分均不会侵犯任何第三方的专利权、商标权或著作权。</w:t>
      </w:r>
    </w:p>
    <w:p>
      <w:pPr>
        <w:pStyle w:val="24"/>
        <w:tabs>
          <w:tab w:val="left" w:pos="5250"/>
          <w:tab w:val="left" w:pos="5940"/>
        </w:tabs>
        <w:spacing w:line="360" w:lineRule="auto"/>
        <w:ind w:firstLine="470" w:firstLineChars="196"/>
        <w:rPr>
          <w:rFonts w:hAnsi="宋体"/>
          <w:bCs/>
          <w:color w:val="auto"/>
          <w:sz w:val="24"/>
          <w:szCs w:val="24"/>
          <w:highlight w:val="none"/>
        </w:rPr>
      </w:pPr>
      <w:r>
        <w:rPr>
          <w:rFonts w:hint="eastAsia" w:hAnsi="宋体"/>
          <w:bCs/>
          <w:color w:val="auto"/>
          <w:sz w:val="24"/>
          <w:szCs w:val="24"/>
          <w:highlight w:val="none"/>
        </w:rPr>
        <w:t>2.4乙方保证所交付的服务成果所有权完全属于乙方且无任何抵押、查封等产权瑕疵。如乙方所交服务有产权瑕疵的，视为乙方违约，应负担由此而产生的一切损失。但在已经全部支付完合同款后才发现有产权瑕疵的，除了支付违约金，乙方还应负担由此而产生的一切损失。</w:t>
      </w:r>
    </w:p>
    <w:p>
      <w:pPr>
        <w:pStyle w:val="24"/>
        <w:tabs>
          <w:tab w:val="left" w:pos="5940"/>
        </w:tabs>
        <w:spacing w:line="360" w:lineRule="auto"/>
        <w:rPr>
          <w:rFonts w:hAnsi="宋体"/>
          <w:b/>
          <w:bCs/>
          <w:color w:val="auto"/>
          <w:sz w:val="24"/>
          <w:szCs w:val="24"/>
          <w:highlight w:val="none"/>
        </w:rPr>
      </w:pPr>
      <w:r>
        <w:rPr>
          <w:rFonts w:hint="eastAsia" w:hAnsi="宋体"/>
          <w:b/>
          <w:bCs/>
          <w:color w:val="auto"/>
          <w:sz w:val="24"/>
          <w:szCs w:val="24"/>
          <w:highlight w:val="none"/>
        </w:rPr>
        <w:t>3. 服务时间和地点</w:t>
      </w:r>
    </w:p>
    <w:p>
      <w:pPr>
        <w:pStyle w:val="24"/>
        <w:tabs>
          <w:tab w:val="left" w:pos="5250"/>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3.1 服务时间：</w:t>
      </w:r>
    </w:p>
    <w:p>
      <w:pPr>
        <w:pStyle w:val="24"/>
        <w:tabs>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3.2 服务地点：</w:t>
      </w:r>
    </w:p>
    <w:p>
      <w:pPr>
        <w:pStyle w:val="24"/>
        <w:tabs>
          <w:tab w:val="left" w:pos="5940"/>
        </w:tabs>
        <w:spacing w:line="360" w:lineRule="auto"/>
        <w:ind w:firstLine="470" w:firstLineChars="196"/>
        <w:rPr>
          <w:rFonts w:hAnsi="宋体"/>
          <w:b/>
          <w:bCs/>
          <w:color w:val="auto"/>
          <w:sz w:val="24"/>
          <w:szCs w:val="24"/>
          <w:highlight w:val="none"/>
        </w:rPr>
      </w:pPr>
      <w:r>
        <w:rPr>
          <w:rFonts w:hint="eastAsia" w:hAnsi="宋体"/>
          <w:bCs/>
          <w:color w:val="auto"/>
          <w:sz w:val="24"/>
          <w:szCs w:val="24"/>
          <w:highlight w:val="none"/>
        </w:rPr>
        <w:t xml:space="preserve">3.3 </w:t>
      </w:r>
      <w:r>
        <w:rPr>
          <w:rFonts w:hint="eastAsia" w:hAnsi="宋体"/>
          <w:color w:val="auto"/>
          <w:sz w:val="24"/>
          <w:szCs w:val="24"/>
          <w:highlight w:val="none"/>
        </w:rPr>
        <w:t>乙方必须按投标文件承诺的服务响应条款向甲方提供服务。</w:t>
      </w:r>
    </w:p>
    <w:p>
      <w:pPr>
        <w:pStyle w:val="24"/>
        <w:spacing w:line="360" w:lineRule="auto"/>
        <w:ind w:left="410" w:hanging="410" w:hangingChars="170"/>
        <w:rPr>
          <w:rFonts w:hAnsi="宋体"/>
          <w:b/>
          <w:color w:val="auto"/>
          <w:sz w:val="24"/>
          <w:szCs w:val="24"/>
          <w:highlight w:val="none"/>
        </w:rPr>
      </w:pPr>
      <w:r>
        <w:rPr>
          <w:rFonts w:hint="eastAsia" w:hAnsi="宋体"/>
          <w:b/>
          <w:bCs/>
          <w:color w:val="auto"/>
          <w:sz w:val="24"/>
          <w:szCs w:val="24"/>
          <w:highlight w:val="none"/>
        </w:rPr>
        <w:t>4.  税费</w:t>
      </w:r>
    </w:p>
    <w:p>
      <w:pPr>
        <w:pStyle w:val="24"/>
        <w:tabs>
          <w:tab w:val="left" w:pos="5145"/>
        </w:tabs>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4.1 本合同执行中相关的一切税费均由乙方负担。</w:t>
      </w:r>
    </w:p>
    <w:p>
      <w:pPr>
        <w:pStyle w:val="24"/>
        <w:spacing w:line="360" w:lineRule="auto"/>
        <w:ind w:left="412" w:hanging="412" w:hangingChars="171"/>
        <w:rPr>
          <w:rFonts w:hAnsi="宋体"/>
          <w:b/>
          <w:color w:val="auto"/>
          <w:sz w:val="24"/>
          <w:szCs w:val="24"/>
          <w:highlight w:val="none"/>
        </w:rPr>
      </w:pPr>
      <w:r>
        <w:rPr>
          <w:rFonts w:hint="eastAsia" w:hAnsi="宋体"/>
          <w:b/>
          <w:bCs/>
          <w:color w:val="auto"/>
          <w:sz w:val="24"/>
          <w:szCs w:val="24"/>
          <w:highlight w:val="none"/>
        </w:rPr>
        <w:t>5.  产权</w:t>
      </w:r>
    </w:p>
    <w:p>
      <w:pPr>
        <w:pStyle w:val="24"/>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5.1 乙方应保证所提供的服务或其任何一部分均不会侵犯任何第三方的专利权、商标权或著作权</w:t>
      </w:r>
      <w:r>
        <w:rPr>
          <w:rFonts w:hint="eastAsia" w:hAnsi="宋体"/>
          <w:bCs/>
          <w:color w:val="auto"/>
          <w:sz w:val="24"/>
          <w:szCs w:val="24"/>
          <w:highlight w:val="none"/>
        </w:rPr>
        <w:t>。</w:t>
      </w:r>
    </w:p>
    <w:p>
      <w:pPr>
        <w:pStyle w:val="24"/>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5.2 乙方保证所交付服务的所有权完全属于乙方且无任何抵押、查封等产权瑕疵。如乙方所交付服务有产权瑕疵的，视为乙方违约，按照本合同第9.3项的约定处理。但在已经全部支付完合同款后才发现有产权瑕疵的，乙方除了支付违约金还应负担甲方由此产生的一切损失。</w:t>
      </w:r>
    </w:p>
    <w:p>
      <w:pPr>
        <w:pStyle w:val="24"/>
        <w:spacing w:line="360" w:lineRule="auto"/>
        <w:rPr>
          <w:rFonts w:hAnsi="宋体"/>
          <w:b/>
          <w:color w:val="auto"/>
          <w:sz w:val="24"/>
          <w:szCs w:val="24"/>
          <w:highlight w:val="none"/>
        </w:rPr>
      </w:pPr>
      <w:r>
        <w:rPr>
          <w:rFonts w:hint="eastAsia" w:hAnsi="宋体"/>
          <w:b/>
          <w:bCs/>
          <w:color w:val="auto"/>
          <w:sz w:val="24"/>
          <w:szCs w:val="24"/>
          <w:highlight w:val="none"/>
        </w:rPr>
        <w:t>6.  技术资料</w:t>
      </w:r>
    </w:p>
    <w:p>
      <w:pPr>
        <w:pStyle w:val="24"/>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6.1 甲方应向乙方提供提交服务成果所必需的有关数据、资料等。</w:t>
      </w:r>
    </w:p>
    <w:p>
      <w:pPr>
        <w:pStyle w:val="24"/>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pacing w:line="360" w:lineRule="auto"/>
        <w:rPr>
          <w:rFonts w:hAnsi="宋体"/>
          <w:b/>
          <w:bCs/>
          <w:color w:val="auto"/>
          <w:sz w:val="24"/>
          <w:szCs w:val="24"/>
          <w:highlight w:val="none"/>
        </w:rPr>
      </w:pPr>
      <w:r>
        <w:rPr>
          <w:rFonts w:hint="eastAsia" w:hAnsi="宋体"/>
          <w:b/>
          <w:bCs/>
          <w:color w:val="auto"/>
          <w:sz w:val="24"/>
          <w:szCs w:val="24"/>
          <w:highlight w:val="none"/>
        </w:rPr>
        <w:t>7.  验收</w:t>
      </w:r>
    </w:p>
    <w:p>
      <w:pPr>
        <w:pStyle w:val="24"/>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7.1 乙方应对提交的服务成果作出全面检查和整理，并列出清单，作为甲方验收和使用的技术条件依据，清单应随提交的服务成果交给甲方。</w:t>
      </w:r>
    </w:p>
    <w:p>
      <w:pPr>
        <w:pStyle w:val="24"/>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7.2 乙方在指定地点提交服务成果后，甲方应在5个工作日内依据采购文件、乙方的投标文件等组织验收，验收完毕后作出书面验收报告。验收时乙方必须在现场。</w:t>
      </w:r>
    </w:p>
    <w:p>
      <w:pPr>
        <w:pStyle w:val="24"/>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7.3 对复杂的服务，甲方可请国家认可的专业机构参与验收，并由其出具验收报告，相关费用由甲方承担。</w:t>
      </w:r>
    </w:p>
    <w:p>
      <w:pPr>
        <w:pStyle w:val="24"/>
        <w:spacing w:line="360" w:lineRule="auto"/>
        <w:rPr>
          <w:rFonts w:hAnsi="宋体"/>
          <w:b/>
          <w:bCs/>
          <w:color w:val="auto"/>
          <w:sz w:val="24"/>
          <w:szCs w:val="24"/>
          <w:highlight w:val="none"/>
        </w:rPr>
      </w:pPr>
      <w:r>
        <w:rPr>
          <w:rFonts w:hint="eastAsia" w:hAnsi="宋体"/>
          <w:b/>
          <w:bCs/>
          <w:color w:val="auto"/>
          <w:sz w:val="24"/>
          <w:szCs w:val="24"/>
          <w:highlight w:val="none"/>
        </w:rPr>
        <w:t>8.  合同款支付</w:t>
      </w:r>
    </w:p>
    <w:p>
      <w:pPr>
        <w:pStyle w:val="24"/>
        <w:tabs>
          <w:tab w:val="left" w:pos="5145"/>
          <w:tab w:val="left" w:pos="5355"/>
          <w:tab w:val="left" w:pos="6195"/>
        </w:tabs>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付款方式：</w:t>
      </w:r>
      <w:r>
        <w:rPr>
          <w:rFonts w:hint="eastAsia" w:hAnsi="宋体"/>
          <w:bCs/>
          <w:color w:val="auto"/>
          <w:sz w:val="24"/>
          <w:szCs w:val="24"/>
          <w:highlight w:val="none"/>
        </w:rPr>
        <w:t xml:space="preserve">合同生效后，中标人提供《项目整体深化设计方案》、《项目整体实施计划和方案》，并交付本项目各系统软件原型后，通过采购人认可，采购人支付中标人合同总价45%；完成本系统项目整体开发和部署，项目通过验收后，采购人支付中标人55%的合同款。    </w:t>
      </w:r>
      <w:r>
        <w:rPr>
          <w:rFonts w:hint="eastAsia" w:hAnsi="宋体"/>
          <w:bCs/>
          <w:color w:val="auto"/>
          <w:sz w:val="24"/>
          <w:szCs w:val="24"/>
          <w:highlight w:val="none"/>
        </w:rPr>
        <w:t xml:space="preserve">           </w:t>
      </w:r>
    </w:p>
    <w:p>
      <w:pPr>
        <w:pStyle w:val="24"/>
        <w:spacing w:line="360" w:lineRule="auto"/>
        <w:rPr>
          <w:rFonts w:hAnsi="宋体"/>
          <w:b/>
          <w:bCs/>
          <w:color w:val="auto"/>
          <w:sz w:val="24"/>
          <w:szCs w:val="24"/>
          <w:highlight w:val="none"/>
        </w:rPr>
      </w:pPr>
      <w:r>
        <w:rPr>
          <w:rFonts w:hint="eastAsia" w:hAnsi="宋体"/>
          <w:b/>
          <w:bCs/>
          <w:color w:val="auto"/>
          <w:sz w:val="24"/>
          <w:szCs w:val="24"/>
          <w:highlight w:val="none"/>
        </w:rPr>
        <w:t>9.  违约责任</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9.1 甲方无正当理由拒收服务的，甲方向乙方偿付拒收服务费总值的百分之五违约金。</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9.2 甲方无故逾期验收或办理合同款支付手续的，甲方应按逾期付款总额每日万分之五向乙方支付违约金。</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9.3 乙方逾期提供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9.4、中标单位有以下违约行为之一的采购方报主管部门和财政监管部门审批后可解除本合同：</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（1）中标单位未按招标文件中《服务需求一览表》中的内容提供服务的；</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（2）造成恶劣影响的重大事故或是造成重大经济财产损失的。</w:t>
      </w:r>
    </w:p>
    <w:p>
      <w:pPr>
        <w:pStyle w:val="24"/>
        <w:spacing w:line="360" w:lineRule="auto"/>
        <w:rPr>
          <w:rFonts w:hAnsi="宋体"/>
          <w:b/>
          <w:bCs/>
          <w:color w:val="auto"/>
          <w:sz w:val="24"/>
          <w:szCs w:val="24"/>
          <w:highlight w:val="none"/>
        </w:rPr>
      </w:pPr>
      <w:r>
        <w:rPr>
          <w:rFonts w:hint="eastAsia" w:hAnsi="宋体"/>
          <w:b/>
          <w:bCs/>
          <w:color w:val="auto"/>
          <w:sz w:val="24"/>
          <w:szCs w:val="24"/>
          <w:highlight w:val="none"/>
        </w:rPr>
        <w:t>10.  不可抗力事件处理</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10.1 在合同有效期内，任何一方因不可抗力事件导致不能履行合同，则合同履行期可延长，其延长期与不可抗力影响期相同。</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10.2 不可抗力事件发生后，应立即通知对方，并寄送有关权威机构出具的证明。</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10.3 不可抗力事件延续120天以上，双方应通过友好协商，确定是否继续履行合同。</w:t>
      </w:r>
    </w:p>
    <w:p>
      <w:pPr>
        <w:pStyle w:val="24"/>
        <w:spacing w:line="360" w:lineRule="auto"/>
        <w:rPr>
          <w:rFonts w:hAnsi="宋体"/>
          <w:b/>
          <w:bCs/>
          <w:color w:val="auto"/>
          <w:sz w:val="24"/>
          <w:szCs w:val="24"/>
          <w:highlight w:val="none"/>
        </w:rPr>
      </w:pPr>
      <w:r>
        <w:rPr>
          <w:rFonts w:hint="eastAsia" w:hAnsi="宋体"/>
          <w:b/>
          <w:bCs/>
          <w:color w:val="auto"/>
          <w:sz w:val="24"/>
          <w:szCs w:val="24"/>
          <w:highlight w:val="none"/>
        </w:rPr>
        <w:t>11.  诉讼</w:t>
      </w:r>
    </w:p>
    <w:p>
      <w:pPr>
        <w:pStyle w:val="24"/>
        <w:tabs>
          <w:tab w:val="left" w:pos="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11.1 双方在执行合同中所发生的一切争议，应通过协商解决。如协商不成，可向合同签订地法院起诉，合同签订地在此约定为广西南宁市。</w:t>
      </w:r>
    </w:p>
    <w:p>
      <w:pPr>
        <w:pStyle w:val="24"/>
        <w:spacing w:line="360" w:lineRule="auto"/>
        <w:rPr>
          <w:rFonts w:hAnsi="宋体"/>
          <w:b/>
          <w:bCs/>
          <w:color w:val="auto"/>
          <w:sz w:val="24"/>
          <w:szCs w:val="24"/>
          <w:highlight w:val="none"/>
        </w:rPr>
      </w:pPr>
      <w:r>
        <w:rPr>
          <w:rFonts w:hint="eastAsia" w:hAnsi="宋体"/>
          <w:b/>
          <w:bCs/>
          <w:color w:val="auto"/>
          <w:sz w:val="24"/>
          <w:szCs w:val="24"/>
          <w:highlight w:val="none"/>
        </w:rPr>
        <w:t>12.  合同生效及其它</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12.1 合同经双方法定代表人或授权委托代理人签字并加盖单位公章后生效。</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12.2 合同执行中涉及采购资金和采购内容修改或补充的，须经市财政部门审批，并签书面补充协议报南宁市政府采购监督管理部门备案，方可作为主合同不可分割的一部分。</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12.3 下述合同附件为本合同不可分割的部分并与本合同具有同等效力：</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（1）政府采购招标文件；</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（2）乙方提供的采购投标（或应答）文件；</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（3）中标或成交通知书。</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12.4 本合同未尽事宜，遵照《中华人民共和国合同法》有关条文执行。</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12.5 本合同一式   份，具有同等法律效力，甲方  份，乙方  份，采购代理机构一份。</w:t>
      </w:r>
    </w:p>
    <w:p>
      <w:pPr>
        <w:pStyle w:val="24"/>
        <w:spacing w:line="360" w:lineRule="auto"/>
        <w:rPr>
          <w:rFonts w:hAnsi="宋体"/>
          <w:color w:val="auto"/>
          <w:sz w:val="24"/>
          <w:szCs w:val="24"/>
          <w:highlight w:val="none"/>
        </w:rPr>
      </w:pPr>
    </w:p>
    <w:p>
      <w:pPr>
        <w:pStyle w:val="24"/>
        <w:spacing w:line="360" w:lineRule="auto"/>
        <w:rPr>
          <w:rFonts w:hAnsi="宋体"/>
          <w:color w:val="auto"/>
          <w:sz w:val="24"/>
          <w:szCs w:val="24"/>
          <w:highlight w:val="none"/>
          <w:u w:val="single"/>
        </w:rPr>
      </w:pPr>
      <w:r>
        <w:rPr>
          <w:rFonts w:hint="eastAsia" w:hAnsi="宋体"/>
          <w:color w:val="auto"/>
          <w:sz w:val="24"/>
          <w:szCs w:val="24"/>
          <w:highlight w:val="none"/>
        </w:rPr>
        <w:t>甲方：                                乙方：</w:t>
      </w:r>
    </w:p>
    <w:p>
      <w:pPr>
        <w:pStyle w:val="24"/>
        <w:spacing w:line="360" w:lineRule="auto"/>
        <w:rPr>
          <w:rFonts w:hAnsi="宋体"/>
          <w:color w:val="auto"/>
          <w:sz w:val="24"/>
          <w:szCs w:val="24"/>
          <w:highlight w:val="none"/>
        </w:rPr>
      </w:pPr>
      <w:r>
        <w:rPr>
          <w:rFonts w:hint="eastAsia" w:hAnsi="宋体"/>
          <w:color w:val="auto"/>
          <w:sz w:val="24"/>
          <w:szCs w:val="24"/>
          <w:highlight w:val="none"/>
        </w:rPr>
        <w:t>地址：                                地址：</w:t>
      </w:r>
    </w:p>
    <w:p>
      <w:pPr>
        <w:pStyle w:val="24"/>
        <w:spacing w:line="360" w:lineRule="auto"/>
        <w:rPr>
          <w:rFonts w:hAnsi="宋体"/>
          <w:color w:val="auto"/>
          <w:sz w:val="24"/>
          <w:szCs w:val="24"/>
          <w:highlight w:val="none"/>
        </w:rPr>
      </w:pPr>
      <w:r>
        <w:rPr>
          <w:rFonts w:hint="eastAsia" w:hAnsi="宋体"/>
          <w:color w:val="auto"/>
          <w:sz w:val="24"/>
          <w:szCs w:val="24"/>
          <w:highlight w:val="none"/>
        </w:rPr>
        <w:t>法定代表人：                          法定代表人：</w:t>
      </w:r>
    </w:p>
    <w:p>
      <w:pPr>
        <w:pStyle w:val="24"/>
        <w:spacing w:line="360" w:lineRule="auto"/>
        <w:rPr>
          <w:rFonts w:hAnsi="宋体"/>
          <w:color w:val="auto"/>
          <w:sz w:val="24"/>
          <w:szCs w:val="24"/>
          <w:highlight w:val="none"/>
        </w:rPr>
      </w:pPr>
      <w:r>
        <w:rPr>
          <w:rFonts w:hint="eastAsia" w:hAnsi="宋体"/>
          <w:color w:val="auto"/>
          <w:sz w:val="24"/>
          <w:szCs w:val="24"/>
          <w:highlight w:val="none"/>
        </w:rPr>
        <w:t>委托代理人：                          委托代理人：</w:t>
      </w:r>
    </w:p>
    <w:p>
      <w:pPr>
        <w:pStyle w:val="24"/>
        <w:spacing w:line="360" w:lineRule="auto"/>
        <w:rPr>
          <w:rFonts w:hAnsi="宋体"/>
          <w:color w:val="auto"/>
          <w:sz w:val="24"/>
          <w:szCs w:val="24"/>
          <w:highlight w:val="none"/>
        </w:rPr>
      </w:pPr>
      <w:r>
        <w:rPr>
          <w:rFonts w:hint="eastAsia" w:hAnsi="宋体"/>
          <w:color w:val="auto"/>
          <w:sz w:val="24"/>
          <w:szCs w:val="24"/>
          <w:highlight w:val="none"/>
        </w:rPr>
        <w:t>电话：                                电话：</w:t>
      </w:r>
    </w:p>
    <w:p>
      <w:pPr>
        <w:pStyle w:val="24"/>
        <w:spacing w:line="360" w:lineRule="auto"/>
        <w:rPr>
          <w:rFonts w:hAnsi="宋体"/>
          <w:color w:val="auto"/>
          <w:sz w:val="24"/>
          <w:szCs w:val="24"/>
          <w:highlight w:val="none"/>
        </w:rPr>
      </w:pPr>
      <w:r>
        <w:rPr>
          <w:rFonts w:hint="eastAsia" w:hAnsi="宋体"/>
          <w:color w:val="auto"/>
          <w:sz w:val="24"/>
          <w:szCs w:val="24"/>
          <w:highlight w:val="none"/>
        </w:rPr>
        <w:t>传真：                                传真：</w:t>
      </w:r>
    </w:p>
    <w:p>
      <w:pPr>
        <w:pStyle w:val="24"/>
        <w:spacing w:line="360" w:lineRule="auto"/>
        <w:rPr>
          <w:rFonts w:hAnsi="宋体"/>
          <w:color w:val="auto"/>
          <w:sz w:val="24"/>
          <w:szCs w:val="24"/>
          <w:highlight w:val="none"/>
        </w:rPr>
      </w:pPr>
      <w:r>
        <w:rPr>
          <w:rFonts w:hint="eastAsia" w:hAnsi="宋体"/>
          <w:color w:val="auto"/>
          <w:sz w:val="24"/>
          <w:szCs w:val="24"/>
          <w:highlight w:val="none"/>
        </w:rPr>
        <w:t>邮政编码：                            邮政编码：</w:t>
      </w:r>
    </w:p>
    <w:p>
      <w:pPr>
        <w:pStyle w:val="24"/>
        <w:spacing w:line="360" w:lineRule="auto"/>
        <w:rPr>
          <w:rFonts w:hAnsi="宋体"/>
          <w:color w:val="auto"/>
          <w:sz w:val="24"/>
          <w:szCs w:val="24"/>
          <w:highlight w:val="none"/>
          <w:u w:val="single"/>
        </w:rPr>
      </w:pPr>
      <w:r>
        <w:rPr>
          <w:rFonts w:hint="eastAsia" w:hAnsi="宋体"/>
          <w:color w:val="auto"/>
          <w:sz w:val="24"/>
          <w:szCs w:val="24"/>
          <w:highlight w:val="none"/>
        </w:rPr>
        <w:t xml:space="preserve">                                       开户银行：</w:t>
      </w:r>
    </w:p>
    <w:p>
      <w:pPr>
        <w:pStyle w:val="24"/>
        <w:spacing w:line="360" w:lineRule="auto"/>
        <w:rPr>
          <w:rFonts w:hAnsi="宋体"/>
          <w:color w:val="auto"/>
          <w:sz w:val="24"/>
          <w:szCs w:val="24"/>
          <w:highlight w:val="none"/>
          <w:u w:val="single"/>
        </w:rPr>
      </w:pPr>
      <w:r>
        <w:rPr>
          <w:rFonts w:hint="eastAsia" w:hAnsi="宋体"/>
          <w:color w:val="auto"/>
          <w:sz w:val="24"/>
          <w:szCs w:val="24"/>
          <w:highlight w:val="none"/>
        </w:rPr>
        <w:t xml:space="preserve">                                       开户名称：</w:t>
      </w:r>
    </w:p>
    <w:p>
      <w:pPr>
        <w:pStyle w:val="24"/>
        <w:spacing w:line="360" w:lineRule="auto"/>
        <w:rPr>
          <w:rFonts w:hAnsi="宋体"/>
          <w:color w:val="auto"/>
          <w:sz w:val="24"/>
          <w:szCs w:val="24"/>
          <w:highlight w:val="none"/>
          <w:u w:val="single"/>
        </w:rPr>
      </w:pPr>
      <w:r>
        <w:rPr>
          <w:rFonts w:hint="eastAsia" w:hAnsi="宋体"/>
          <w:color w:val="auto"/>
          <w:sz w:val="24"/>
          <w:szCs w:val="24"/>
          <w:highlight w:val="none"/>
        </w:rPr>
        <w:t xml:space="preserve">                                       银行账号：</w:t>
      </w:r>
    </w:p>
    <w:p>
      <w:pPr>
        <w:pStyle w:val="24"/>
        <w:spacing w:line="360" w:lineRule="auto"/>
        <w:rPr>
          <w:rFonts w:hAnsi="宋体"/>
          <w:color w:val="auto"/>
          <w:sz w:val="24"/>
          <w:szCs w:val="24"/>
          <w:highlight w:val="none"/>
          <w:u w:val="single"/>
        </w:rPr>
      </w:pPr>
      <w:r>
        <w:rPr>
          <w:rFonts w:hint="eastAsia" w:hAnsi="宋体"/>
          <w:color w:val="auto"/>
          <w:sz w:val="24"/>
          <w:szCs w:val="24"/>
          <w:highlight w:val="none"/>
        </w:rPr>
        <w:t>合同签订地点：</w:t>
      </w:r>
    </w:p>
    <w:p>
      <w:pPr>
        <w:snapToGrid w:val="0"/>
        <w:rPr>
          <w:color w:val="auto"/>
          <w:highlight w:val="none"/>
        </w:rPr>
        <w:sectPr>
          <w:footerReference r:id="rId6" w:type="first"/>
          <w:footerReference r:id="rId5" w:type="default"/>
          <w:pgSz w:w="11900" w:h="16840"/>
          <w:pgMar w:top="1247" w:right="1247" w:bottom="1247" w:left="1247" w:header="851" w:footer="992" w:gutter="0"/>
          <w:cols w:space="720" w:num="1"/>
          <w:titlePg/>
          <w:docGrid w:linePitch="312" w:charSpace="0"/>
        </w:sectPr>
      </w:pPr>
      <w:r>
        <w:rPr>
          <w:rFonts w:hint="eastAsia" w:hAnsi="宋体" w:cs="宋体"/>
          <w:color w:val="auto"/>
          <w:sz w:val="24"/>
          <w:szCs w:val="24"/>
          <w:highlight w:val="none"/>
        </w:rPr>
        <w:t>合同签订日期： 年 月 日</w:t>
      </w:r>
    </w:p>
    <w:p>
      <w:pPr>
        <w:pStyle w:val="132"/>
        <w:spacing w:after="160" w:line="240" w:lineRule="auto"/>
        <w:ind w:firstLine="0"/>
        <w:jc w:val="left"/>
        <w:rPr>
          <w:rFonts w:cs="Times New Roman"/>
          <w:color w:val="auto"/>
          <w:highlight w:val="none"/>
        </w:rPr>
      </w:pPr>
    </w:p>
    <w:p>
      <w:pPr>
        <w:pStyle w:val="24"/>
        <w:spacing w:line="360" w:lineRule="auto"/>
        <w:jc w:val="center"/>
        <w:rPr>
          <w:rFonts w:hAnsi="宋体" w:cs="Times New Roman"/>
          <w:b/>
          <w:bCs/>
          <w:color w:val="auto"/>
          <w:sz w:val="36"/>
          <w:szCs w:val="36"/>
          <w:highlight w:val="none"/>
        </w:rPr>
      </w:pPr>
      <w:r>
        <w:rPr>
          <w:rFonts w:hint="eastAsia" w:hAnsi="宋体"/>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rFonts w:ascii="宋体"/>
          <w:color w:val="auto"/>
          <w:kern w:val="0"/>
          <w:highlight w:val="none"/>
        </w:rPr>
      </w:pPr>
      <w:r>
        <w:rPr>
          <w:rFonts w:hint="eastAsia" w:ascii="宋体" w:hAnsi="宋体" w:cs="宋体"/>
          <w:color w:val="auto"/>
          <w:kern w:val="0"/>
          <w:highlight w:val="none"/>
        </w:rPr>
        <w:t>根据政府采购合同</w:t>
      </w:r>
      <w:r>
        <w:rPr>
          <w:rFonts w:hint="eastAsia" w:ascii="宋体" w:hAnsi="宋体" w:cs="宋体"/>
          <w:color w:val="auto"/>
          <w:kern w:val="0"/>
          <w:highlight w:val="none"/>
          <w:u w:val="single"/>
        </w:rPr>
        <w:t>（采购合同编号：</w:t>
      </w:r>
      <w:r>
        <w:rPr>
          <w:rFonts w:ascii="宋体"/>
          <w:color w:val="auto"/>
          <w:kern w:val="0"/>
          <w:highlight w:val="none"/>
          <w:u w:val="single"/>
        </w:rPr>
        <w:t>  </w:t>
      </w:r>
      <w:r>
        <w:rPr>
          <w:rFonts w:hint="eastAsia" w:ascii="宋体" w:hAnsi="宋体" w:cs="宋体"/>
          <w:color w:val="auto"/>
          <w:kern w:val="0"/>
          <w:highlight w:val="none"/>
          <w:u w:val="single"/>
        </w:rPr>
        <w:t>）的约定，我单位对（项目名称）政府采购项目中标（或成交）供应商（公司名称）</w:t>
      </w:r>
      <w:r>
        <w:rPr>
          <w:rFonts w:hint="eastAsia" w:ascii="宋体" w:hAnsi="宋体" w:cs="宋体"/>
          <w:color w:val="auto"/>
          <w:kern w:val="0"/>
          <w:highlight w:val="none"/>
        </w:rPr>
        <w:t>提供的或服务进行了验收，验收情况如下：</w:t>
      </w:r>
    </w:p>
    <w:tbl>
      <w:tblPr>
        <w:tblStyle w:val="43"/>
        <w:tblW w:w="97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验收方式：</w:t>
            </w:r>
          </w:p>
        </w:tc>
        <w:tc>
          <w:tcPr>
            <w:tcW w:w="6218" w:type="dxa"/>
            <w:gridSpan w:val="5"/>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□自行验收</w:t>
            </w:r>
            <w:r>
              <w:rPr>
                <w:rFonts w:ascii="宋体"/>
                <w:color w:val="auto"/>
                <w:kern w:val="0"/>
                <w:highlight w:val="none"/>
              </w:rPr>
              <w:t>        </w:t>
            </w:r>
            <w:r>
              <w:rPr>
                <w:rFonts w:hint="eastAsia" w:ascii="宋体" w:hAnsi="宋体" w:cs="宋体"/>
                <w:color w:val="auto"/>
                <w:kern w:val="0"/>
                <w:highlight w:val="none"/>
              </w:rPr>
              <w:t>□联合验收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序号</w:t>
            </w:r>
          </w:p>
        </w:tc>
        <w:tc>
          <w:tcPr>
            <w:tcW w:w="1963" w:type="dxa"/>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名</w:t>
            </w:r>
            <w:r>
              <w:rPr>
                <w:rFonts w:ascii="宋体"/>
                <w:color w:val="auto"/>
                <w:kern w:val="0"/>
                <w:highlight w:val="none"/>
              </w:rPr>
              <w:t> </w:t>
            </w:r>
            <w:r>
              <w:rPr>
                <w:rFonts w:hint="eastAsia" w:ascii="宋体" w:hAnsi="宋体" w:cs="宋体"/>
                <w:color w:val="auto"/>
                <w:kern w:val="0"/>
                <w:highlight w:val="none"/>
              </w:rPr>
              <w:t>称</w:t>
            </w:r>
          </w:p>
        </w:tc>
        <w:tc>
          <w:tcPr>
            <w:tcW w:w="3441" w:type="dxa"/>
            <w:gridSpan w:val="2"/>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服务内容、标准</w:t>
            </w:r>
          </w:p>
        </w:tc>
        <w:tc>
          <w:tcPr>
            <w:tcW w:w="998" w:type="dxa"/>
            <w:gridSpan w:val="2"/>
            <w:vAlign w:val="center"/>
          </w:tcPr>
          <w:p>
            <w:pPr>
              <w:widowControl/>
              <w:snapToGrid w:val="0"/>
              <w:jc w:val="center"/>
              <w:rPr>
                <w:rFonts w:ascii="宋体"/>
                <w:color w:val="auto"/>
                <w:kern w:val="0"/>
                <w:highlight w:val="none"/>
              </w:rPr>
            </w:pPr>
            <w:r>
              <w:rPr>
                <w:rFonts w:hint="eastAsia" w:ascii="宋体" w:hAnsi="宋体" w:cs="宋体"/>
                <w:color w:val="auto"/>
                <w:kern w:val="0"/>
                <w:highlight w:val="none"/>
              </w:rPr>
              <w:t>数量</w:t>
            </w:r>
          </w:p>
        </w:tc>
        <w:tc>
          <w:tcPr>
            <w:tcW w:w="1779" w:type="dxa"/>
            <w:vAlign w:val="center"/>
          </w:tcPr>
          <w:p>
            <w:pPr>
              <w:widowControl/>
              <w:snapToGrid w:val="0"/>
              <w:ind w:left="-3"/>
              <w:jc w:val="center"/>
              <w:rPr>
                <w:rFonts w:ascii="宋体"/>
                <w:color w:val="auto"/>
                <w:kern w:val="0"/>
                <w:highlight w:val="none"/>
              </w:rPr>
            </w:pPr>
            <w:r>
              <w:rPr>
                <w:rFonts w:hint="eastAsia" w:ascii="宋体" w:hAnsi="宋体" w:cs="宋体"/>
                <w:color w:val="auto"/>
                <w:kern w:val="0"/>
                <w:highlight w:val="none"/>
              </w:rPr>
              <w:t>与合同约定</w:t>
            </w:r>
          </w:p>
          <w:p>
            <w:pPr>
              <w:widowControl/>
              <w:snapToGrid w:val="0"/>
              <w:ind w:left="-3"/>
              <w:jc w:val="center"/>
              <w:rPr>
                <w:rFonts w:ascii="宋体"/>
                <w:color w:val="auto"/>
                <w:kern w:val="0"/>
                <w:highlight w:val="none"/>
              </w:rPr>
            </w:pPr>
            <w:r>
              <w:rPr>
                <w:rFonts w:hint="eastAsia" w:ascii="宋体" w:hAnsi="宋体" w:cs="宋体"/>
                <w:color w:val="auto"/>
                <w:kern w:val="0"/>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1963" w:type="dxa"/>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3441" w:type="dxa"/>
            <w:gridSpan w:val="2"/>
            <w:vAlign w:val="center"/>
          </w:tcPr>
          <w:p>
            <w:pPr>
              <w:widowControl/>
              <w:snapToGrid w:val="0"/>
              <w:ind w:left="-3" w:firstLine="576"/>
              <w:jc w:val="left"/>
              <w:rPr>
                <w:rFonts w:ascii="宋体"/>
                <w:color w:val="auto"/>
                <w:kern w:val="0"/>
                <w:highlight w:val="none"/>
              </w:rPr>
            </w:pPr>
            <w:r>
              <w:rPr>
                <w:rFonts w:ascii="宋体"/>
                <w:color w:val="auto"/>
                <w:kern w:val="0"/>
                <w:highlight w:val="none"/>
              </w:rPr>
              <w:t> </w:t>
            </w:r>
          </w:p>
        </w:tc>
        <w:tc>
          <w:tcPr>
            <w:tcW w:w="998" w:type="dxa"/>
            <w:gridSpan w:val="2"/>
            <w:vAlign w:val="center"/>
          </w:tcPr>
          <w:p>
            <w:pPr>
              <w:widowControl/>
              <w:snapToGrid w:val="0"/>
              <w:jc w:val="left"/>
              <w:rPr>
                <w:rFonts w:ascii="宋体"/>
                <w:color w:val="auto"/>
                <w:kern w:val="0"/>
                <w:highlight w:val="none"/>
              </w:rPr>
            </w:pPr>
            <w:r>
              <w:rPr>
                <w:rFonts w:ascii="宋体"/>
                <w:color w:val="auto"/>
                <w:kern w:val="0"/>
                <w:highlight w:val="none"/>
              </w:rPr>
              <w:t> </w:t>
            </w:r>
          </w:p>
        </w:tc>
        <w:tc>
          <w:tcPr>
            <w:tcW w:w="1779" w:type="dxa"/>
            <w:vAlign w:val="center"/>
          </w:tcPr>
          <w:p>
            <w:pPr>
              <w:widowControl/>
              <w:snapToGrid w:val="0"/>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rFonts w:ascii="宋体"/>
                <w:color w:val="auto"/>
                <w:kern w:val="0"/>
                <w:highlight w:val="none"/>
              </w:rPr>
            </w:pPr>
          </w:p>
        </w:tc>
        <w:tc>
          <w:tcPr>
            <w:tcW w:w="1963" w:type="dxa"/>
            <w:vAlign w:val="center"/>
          </w:tcPr>
          <w:p>
            <w:pPr>
              <w:widowControl/>
              <w:snapToGrid w:val="0"/>
              <w:ind w:left="-3" w:firstLine="576"/>
              <w:jc w:val="left"/>
              <w:rPr>
                <w:rFonts w:ascii="宋体"/>
                <w:color w:val="auto"/>
                <w:kern w:val="0"/>
                <w:highlight w:val="none"/>
              </w:rPr>
            </w:pPr>
          </w:p>
        </w:tc>
        <w:tc>
          <w:tcPr>
            <w:tcW w:w="3441" w:type="dxa"/>
            <w:gridSpan w:val="2"/>
            <w:vAlign w:val="center"/>
          </w:tcPr>
          <w:p>
            <w:pPr>
              <w:widowControl/>
              <w:snapToGrid w:val="0"/>
              <w:ind w:left="-3" w:firstLine="576"/>
              <w:jc w:val="left"/>
              <w:rPr>
                <w:rFonts w:ascii="宋体"/>
                <w:color w:val="auto"/>
                <w:kern w:val="0"/>
                <w:highlight w:val="none"/>
              </w:rPr>
            </w:pPr>
          </w:p>
        </w:tc>
        <w:tc>
          <w:tcPr>
            <w:tcW w:w="998" w:type="dxa"/>
            <w:gridSpan w:val="2"/>
            <w:vAlign w:val="center"/>
          </w:tcPr>
          <w:p>
            <w:pPr>
              <w:widowControl/>
              <w:snapToGrid w:val="0"/>
              <w:jc w:val="left"/>
              <w:rPr>
                <w:rFonts w:ascii="宋体"/>
                <w:color w:val="auto"/>
                <w:kern w:val="0"/>
                <w:highlight w:val="none"/>
              </w:rPr>
            </w:pPr>
          </w:p>
        </w:tc>
        <w:tc>
          <w:tcPr>
            <w:tcW w:w="1779" w:type="dxa"/>
            <w:vAlign w:val="center"/>
          </w:tcPr>
          <w:p>
            <w:pPr>
              <w:widowControl/>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rFonts w:ascii="宋体"/>
                <w:color w:val="auto"/>
                <w:kern w:val="0"/>
                <w:highlight w:val="none"/>
              </w:rPr>
            </w:pPr>
            <w:r>
              <w:rPr>
                <w:rFonts w:hint="eastAsia" w:ascii="宋体" w:hAnsi="宋体" w:cs="宋体"/>
                <w:color w:val="auto"/>
                <w:kern w:val="0"/>
                <w:highlight w:val="none"/>
              </w:rPr>
              <w:t>实际供货日期</w:t>
            </w:r>
          </w:p>
        </w:tc>
        <w:tc>
          <w:tcPr>
            <w:tcW w:w="3542" w:type="dxa"/>
            <w:gridSpan w:val="2"/>
            <w:vAlign w:val="center"/>
          </w:tcPr>
          <w:p>
            <w:pPr>
              <w:snapToGrid w:val="0"/>
              <w:jc w:val="left"/>
              <w:rPr>
                <w:rFonts w:ascii="宋体"/>
                <w:color w:val="auto"/>
                <w:kern w:val="0"/>
                <w:highlight w:val="none"/>
              </w:rPr>
            </w:pPr>
          </w:p>
        </w:tc>
        <w:tc>
          <w:tcPr>
            <w:tcW w:w="2522" w:type="dxa"/>
            <w:gridSpan w:val="2"/>
            <w:vAlign w:val="center"/>
          </w:tcPr>
          <w:p>
            <w:pPr>
              <w:snapToGrid w:val="0"/>
              <w:ind w:left="590"/>
              <w:jc w:val="left"/>
              <w:rPr>
                <w:rFonts w:ascii="宋体"/>
                <w:color w:val="auto"/>
                <w:kern w:val="0"/>
                <w:highlight w:val="none"/>
              </w:rPr>
            </w:pPr>
            <w:r>
              <w:rPr>
                <w:rFonts w:hint="eastAsia" w:ascii="宋体" w:hAnsi="宋体" w:cs="宋体"/>
                <w:color w:val="auto"/>
                <w:kern w:val="0"/>
                <w:highlight w:val="none"/>
              </w:rPr>
              <w:t>合同交货验收日期</w:t>
            </w:r>
          </w:p>
        </w:tc>
        <w:tc>
          <w:tcPr>
            <w:tcW w:w="2117" w:type="dxa"/>
            <w:gridSpan w:val="2"/>
            <w:vAlign w:val="center"/>
          </w:tcPr>
          <w:p>
            <w:pPr>
              <w:snapToGrid w:val="0"/>
              <w:jc w:val="left"/>
              <w:rPr>
                <w:rFonts w:ascii="宋体"/>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rFonts w:ascii="宋体"/>
                <w:color w:val="auto"/>
                <w:kern w:val="0"/>
                <w:highlight w:val="none"/>
              </w:rPr>
            </w:pPr>
            <w:r>
              <w:rPr>
                <w:rFonts w:hint="eastAsia" w:ascii="宋体" w:hAnsi="宋体" w:cs="宋体"/>
                <w:color w:val="auto"/>
                <w:kern w:val="0"/>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rFonts w:ascii="宋体"/>
                <w:color w:val="auto"/>
                <w:kern w:val="0"/>
                <w:highlight w:val="none"/>
              </w:rPr>
            </w:pPr>
            <w:r>
              <w:rPr>
                <w:rFonts w:ascii="宋体"/>
                <w:color w:val="auto"/>
                <w:kern w:val="0"/>
                <w:highlight w:val="none"/>
              </w:rPr>
              <w:t> </w:t>
            </w:r>
            <w:r>
              <w:rPr>
                <w:rFonts w:ascii="宋体" w:hAnsi="宋体" w:cs="宋体"/>
                <w:color w:val="auto"/>
                <w:kern w:val="0"/>
                <w:highlight w:val="none"/>
              </w:rPr>
              <w:t>(</w:t>
            </w:r>
            <w:r>
              <w:rPr>
                <w:rFonts w:hint="eastAsia" w:ascii="宋体" w:hAnsi="宋体" w:cs="宋体"/>
                <w:color w:val="auto"/>
                <w:kern w:val="0"/>
                <w:highlight w:val="none"/>
              </w:rPr>
              <w:t>按招标采购文件及验收方案等。可附件</w:t>
            </w:r>
            <w:r>
              <w:rPr>
                <w:rFonts w:ascii="宋体" w:hAnsi="宋体" w:cs="宋体"/>
                <w:color w:val="auto"/>
                <w:kern w:val="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验收小组意见</w:t>
            </w:r>
          </w:p>
        </w:tc>
        <w:tc>
          <w:tcPr>
            <w:tcW w:w="8181" w:type="dxa"/>
            <w:gridSpan w:val="6"/>
            <w:vAlign w:val="center"/>
          </w:tcPr>
          <w:p>
            <w:pPr>
              <w:widowControl/>
              <w:jc w:val="left"/>
              <w:rPr>
                <w:rFonts w:ascii="宋体"/>
                <w:color w:val="auto"/>
                <w:kern w:val="0"/>
                <w:highlight w:val="none"/>
              </w:rPr>
            </w:pPr>
            <w:r>
              <w:rPr>
                <w:rFonts w:ascii="宋体"/>
                <w:color w:val="auto"/>
                <w:kern w:val="0"/>
                <w:highlight w:val="none"/>
              </w:rPr>
              <w:t> </w:t>
            </w:r>
          </w:p>
          <w:p>
            <w:pPr>
              <w:widowControl/>
              <w:jc w:val="left"/>
              <w:rPr>
                <w:rFonts w:ascii="宋体"/>
                <w:color w:val="auto"/>
                <w:kern w:val="0"/>
                <w:highlight w:val="none"/>
              </w:rPr>
            </w:pPr>
            <w:r>
              <w:rPr>
                <w:rFonts w:ascii="宋体"/>
                <w:color w:val="auto"/>
                <w:kern w:val="0"/>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rFonts w:ascii="宋体"/>
                <w:color w:val="auto"/>
                <w:kern w:val="0"/>
                <w:highlight w:val="none"/>
              </w:rPr>
            </w:pPr>
            <w:r>
              <w:rPr>
                <w:rFonts w:hint="eastAsia" w:ascii="宋体" w:hAnsi="宋体" w:cs="宋体"/>
                <w:color w:val="auto"/>
                <w:kern w:val="0"/>
                <w:highlight w:val="none"/>
              </w:rPr>
              <w:t>供应商签字或盖章：</w:t>
            </w:r>
          </w:p>
          <w:p>
            <w:pPr>
              <w:widowControl/>
              <w:jc w:val="left"/>
              <w:rPr>
                <w:rFonts w:ascii="宋体"/>
                <w:color w:val="auto"/>
                <w:kern w:val="0"/>
                <w:highlight w:val="none"/>
              </w:rPr>
            </w:pPr>
            <w:r>
              <w:rPr>
                <w:rFonts w:hint="eastAsia" w:ascii="宋体" w:hAnsi="宋体" w:cs="宋体"/>
                <w:color w:val="auto"/>
                <w:kern w:val="0"/>
                <w:highlight w:val="none"/>
              </w:rPr>
              <w:t>联系方式：</w:t>
            </w:r>
            <w:r>
              <w:rPr>
                <w:rFonts w:ascii="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c>
          <w:tcPr>
            <w:tcW w:w="4639" w:type="dxa"/>
            <w:gridSpan w:val="4"/>
            <w:vAlign w:val="center"/>
          </w:tcPr>
          <w:p>
            <w:pPr>
              <w:widowControl/>
              <w:jc w:val="left"/>
              <w:rPr>
                <w:rFonts w:ascii="宋体"/>
                <w:color w:val="auto"/>
                <w:kern w:val="0"/>
                <w:highlight w:val="none"/>
              </w:rPr>
            </w:pPr>
            <w:r>
              <w:rPr>
                <w:rFonts w:ascii="宋体"/>
                <w:color w:val="auto"/>
                <w:kern w:val="0"/>
                <w:highlight w:val="none"/>
              </w:rPr>
              <w:t> </w:t>
            </w:r>
            <w:r>
              <w:rPr>
                <w:rFonts w:hint="eastAsia" w:ascii="宋体" w:hAnsi="宋体" w:cs="宋体"/>
                <w:color w:val="auto"/>
                <w:kern w:val="0"/>
                <w:highlight w:val="none"/>
              </w:rPr>
              <w:t>采购单位盖章：</w:t>
            </w:r>
          </w:p>
          <w:p>
            <w:pPr>
              <w:widowControl/>
              <w:ind w:firstLine="2119"/>
              <w:jc w:val="left"/>
              <w:rPr>
                <w:rFonts w:ascii="宋体"/>
                <w:color w:val="auto"/>
                <w:kern w:val="0"/>
                <w:highlight w:val="none"/>
              </w:rPr>
            </w:pPr>
            <w:r>
              <w:rPr>
                <w:rFonts w:hint="eastAsia" w:ascii="宋体" w:hAnsi="宋体" w:cs="宋体"/>
                <w:color w:val="auto"/>
                <w:kern w:val="0"/>
                <w:highlight w:val="none"/>
              </w:rPr>
              <w:t>年</w:t>
            </w:r>
            <w:r>
              <w:rPr>
                <w:rFonts w:ascii="宋体"/>
                <w:color w:val="auto"/>
                <w:kern w:val="0"/>
                <w:highlight w:val="none"/>
              </w:rPr>
              <w:t> </w:t>
            </w:r>
            <w:r>
              <w:rPr>
                <w:rFonts w:hint="eastAsia" w:ascii="宋体" w:hAnsi="宋体" w:cs="宋体"/>
                <w:color w:val="auto"/>
                <w:kern w:val="0"/>
                <w:highlight w:val="none"/>
              </w:rPr>
              <w:t>月</w:t>
            </w:r>
            <w:r>
              <w:rPr>
                <w:rFonts w:ascii="宋体"/>
                <w:color w:val="auto"/>
                <w:kern w:val="0"/>
                <w:highlight w:val="none"/>
              </w:rPr>
              <w:t> </w:t>
            </w:r>
            <w:r>
              <w:rPr>
                <w:rFonts w:hint="eastAsia" w:ascii="宋体" w:hAnsi="宋体" w:cs="宋体"/>
                <w:color w:val="auto"/>
                <w:kern w:val="0"/>
                <w:highlight w:val="none"/>
              </w:rPr>
              <w:t>日</w:t>
            </w:r>
          </w:p>
        </w:tc>
      </w:tr>
    </w:tbl>
    <w:p>
      <w:pPr>
        <w:widowControl/>
        <w:jc w:val="left"/>
        <w:rPr>
          <w:rFonts w:ascii="宋体"/>
          <w:color w:val="auto"/>
          <w:kern w:val="0"/>
          <w:highlight w:val="none"/>
        </w:rPr>
      </w:pPr>
      <w:r>
        <w:rPr>
          <w:rFonts w:hint="eastAsia" w:ascii="宋体" w:hAnsi="宋体" w:cs="宋体"/>
          <w:color w:val="auto"/>
          <w:spacing w:val="-20"/>
          <w:kern w:val="0"/>
          <w:highlight w:val="none"/>
        </w:rPr>
        <w:t>备注：本报告单一式</w:t>
      </w:r>
      <w:r>
        <w:rPr>
          <w:rFonts w:ascii="宋体" w:hAnsi="宋体" w:cs="宋体"/>
          <w:color w:val="auto"/>
          <w:spacing w:val="-20"/>
          <w:kern w:val="0"/>
          <w:highlight w:val="none"/>
        </w:rPr>
        <w:t xml:space="preserve"> 4 </w:t>
      </w:r>
      <w:r>
        <w:rPr>
          <w:rFonts w:hint="eastAsia" w:ascii="宋体" w:hAnsi="宋体" w:cs="宋体"/>
          <w:color w:val="auto"/>
          <w:spacing w:val="-20"/>
          <w:kern w:val="0"/>
          <w:highlight w:val="none"/>
        </w:rPr>
        <w:t>份（采购单位</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份、供应商</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份、采购监督部门备案</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份、采购代理机构</w:t>
      </w:r>
      <w:r>
        <w:rPr>
          <w:rFonts w:ascii="宋体" w:hAnsi="宋体" w:cs="宋体"/>
          <w:color w:val="auto"/>
          <w:spacing w:val="-20"/>
          <w:kern w:val="0"/>
          <w:highlight w:val="none"/>
        </w:rPr>
        <w:t xml:space="preserve"> 1 </w:t>
      </w:r>
      <w:r>
        <w:rPr>
          <w:rFonts w:hint="eastAsia" w:ascii="宋体" w:hAnsi="宋体" w:cs="宋体"/>
          <w:color w:val="auto"/>
          <w:spacing w:val="-20"/>
          <w:kern w:val="0"/>
          <w:highlight w:val="none"/>
        </w:rPr>
        <w:t>份</w:t>
      </w:r>
      <w:r>
        <w:rPr>
          <w:rFonts w:hint="eastAsia" w:ascii="宋体" w:hAnsi="宋体" w:cs="宋体"/>
          <w:color w:val="auto"/>
          <w:kern w:val="0"/>
          <w:highlight w:val="none"/>
        </w:rPr>
        <w:t>）。</w:t>
      </w:r>
    </w:p>
    <w:p>
      <w:pPr>
        <w:jc w:val="left"/>
        <w:rPr>
          <w:rFonts w:ascii="宋体"/>
          <w:color w:val="auto"/>
          <w:sz w:val="24"/>
          <w:szCs w:val="24"/>
          <w:highlight w:val="none"/>
        </w:rPr>
      </w:pPr>
    </w:p>
    <w:p>
      <w:pPr>
        <w:pStyle w:val="24"/>
        <w:tabs>
          <w:tab w:val="left" w:pos="2472"/>
        </w:tabs>
        <w:snapToGrid w:val="0"/>
        <w:jc w:val="center"/>
        <w:rPr>
          <w:rFonts w:hAnsi="宋体" w:cs="Times New Roman"/>
          <w:color w:val="auto"/>
          <w:highlight w:val="none"/>
        </w:rPr>
        <w:sectPr>
          <w:footerReference r:id="rId8" w:type="first"/>
          <w:footerReference r:id="rId7" w:type="default"/>
          <w:pgSz w:w="11900" w:h="16840"/>
          <w:pgMar w:top="1418" w:right="1418" w:bottom="1418" w:left="1418" w:header="851" w:footer="992" w:gutter="0"/>
          <w:cols w:space="720" w:num="1"/>
          <w:titlePg/>
          <w:docGrid w:linePitch="312" w:charSpace="0"/>
        </w:sectPr>
      </w:pPr>
    </w:p>
    <w:p>
      <w:pPr>
        <w:pStyle w:val="24"/>
        <w:tabs>
          <w:tab w:val="left" w:pos="2472"/>
        </w:tabs>
        <w:snapToGrid w:val="0"/>
        <w:jc w:val="center"/>
        <w:rPr>
          <w:rFonts w:hAnsi="宋体" w:cs="Times New Roman"/>
          <w:color w:val="auto"/>
          <w:highlight w:val="none"/>
        </w:rPr>
      </w:pPr>
    </w:p>
    <w:p>
      <w:pPr>
        <w:pStyle w:val="24"/>
        <w:tabs>
          <w:tab w:val="left" w:pos="2472"/>
        </w:tabs>
        <w:snapToGrid w:val="0"/>
        <w:jc w:val="center"/>
        <w:rPr>
          <w:rFonts w:hAnsi="宋体" w:cs="Times New Roman"/>
          <w:color w:val="auto"/>
          <w:highlight w:val="none"/>
        </w:rPr>
      </w:pPr>
    </w:p>
    <w:p>
      <w:pPr>
        <w:pStyle w:val="24"/>
        <w:tabs>
          <w:tab w:val="left" w:pos="2472"/>
        </w:tabs>
        <w:snapToGrid w:val="0"/>
        <w:jc w:val="center"/>
        <w:outlineLvl w:val="0"/>
        <w:rPr>
          <w:rFonts w:hAnsi="宋体" w:cs="Times New Roman"/>
          <w:b/>
          <w:bCs/>
          <w:color w:val="auto"/>
          <w:sz w:val="44"/>
          <w:szCs w:val="44"/>
          <w:highlight w:val="none"/>
        </w:rPr>
      </w:pPr>
    </w:p>
    <w:p>
      <w:pPr>
        <w:pStyle w:val="24"/>
        <w:tabs>
          <w:tab w:val="left" w:pos="2472"/>
        </w:tabs>
        <w:snapToGrid w:val="0"/>
        <w:jc w:val="center"/>
        <w:outlineLvl w:val="0"/>
        <w:rPr>
          <w:rFonts w:hAnsi="宋体" w:cs="Times New Roman"/>
          <w:b/>
          <w:bCs/>
          <w:color w:val="auto"/>
          <w:sz w:val="44"/>
          <w:szCs w:val="44"/>
          <w:highlight w:val="none"/>
        </w:rPr>
      </w:pPr>
    </w:p>
    <w:p>
      <w:pPr>
        <w:pStyle w:val="24"/>
        <w:tabs>
          <w:tab w:val="left" w:pos="2472"/>
        </w:tabs>
        <w:snapToGrid w:val="0"/>
        <w:jc w:val="center"/>
        <w:outlineLvl w:val="0"/>
        <w:rPr>
          <w:rFonts w:hAnsi="宋体" w:cs="Times New Roman"/>
          <w:b/>
          <w:bCs/>
          <w:color w:val="auto"/>
          <w:sz w:val="44"/>
          <w:szCs w:val="44"/>
          <w:highlight w:val="none"/>
        </w:rPr>
      </w:pPr>
      <w:bookmarkStart w:id="127" w:name="_Toc30020"/>
      <w:bookmarkStart w:id="128" w:name="_Toc26296"/>
      <w:r>
        <w:rPr>
          <w:rFonts w:hint="eastAsia" w:hAnsi="宋体"/>
          <w:b/>
          <w:bCs/>
          <w:color w:val="auto"/>
          <w:sz w:val="44"/>
          <w:szCs w:val="44"/>
          <w:highlight w:val="none"/>
        </w:rPr>
        <w:t>第六章投标文件格式</w:t>
      </w:r>
      <w:bookmarkEnd w:id="127"/>
      <w:bookmarkEnd w:id="128"/>
    </w:p>
    <w:p>
      <w:pPr>
        <w:snapToGrid w:val="0"/>
        <w:rPr>
          <w:rFonts w:ascii="宋体"/>
          <w:b/>
          <w:bCs/>
          <w:color w:val="auto"/>
          <w:sz w:val="24"/>
          <w:szCs w:val="24"/>
          <w:highlight w:val="none"/>
        </w:rPr>
      </w:pPr>
      <w:r>
        <w:rPr>
          <w:rFonts w:ascii="宋体"/>
          <w:color w:val="auto"/>
          <w:highlight w:val="none"/>
        </w:rPr>
        <w:br w:type="page"/>
      </w:r>
      <w:r>
        <w:rPr>
          <w:rFonts w:hint="eastAsia" w:ascii="宋体" w:hAnsi="宋体" w:cs="宋体"/>
          <w:b/>
          <w:bCs/>
          <w:color w:val="auto"/>
          <w:sz w:val="24"/>
          <w:szCs w:val="24"/>
          <w:highlight w:val="none"/>
        </w:rPr>
        <w:t>开标一览表信封封面格式（可以手写，密封）：</w:t>
      </w:r>
    </w:p>
    <w:p>
      <w:pPr>
        <w:snapToGrid w:val="0"/>
        <w:rPr>
          <w:rFonts w:ascii="宋体"/>
          <w:color w:val="auto"/>
          <w:sz w:val="24"/>
          <w:szCs w:val="24"/>
          <w:highlight w:val="none"/>
        </w:rPr>
      </w:pPr>
    </w:p>
    <w:p>
      <w:pPr>
        <w:snapToGrid w:val="0"/>
        <w:rPr>
          <w:rFonts w:ascii="宋体"/>
          <w:color w:val="auto"/>
          <w:sz w:val="24"/>
          <w:szCs w:val="24"/>
          <w:highlight w:val="none"/>
        </w:rPr>
      </w:pPr>
    </w:p>
    <w:p>
      <w:pPr>
        <w:pStyle w:val="24"/>
        <w:snapToGrid w:val="0"/>
        <w:jc w:val="center"/>
        <w:rPr>
          <w:rFonts w:hAnsi="宋体" w:cs="Times New Roman"/>
          <w:color w:val="auto"/>
          <w:sz w:val="24"/>
          <w:szCs w:val="24"/>
          <w:highlight w:val="none"/>
        </w:rPr>
      </w:pPr>
      <w:r>
        <w:rPr>
          <w:rFonts w:hint="eastAsia" w:hAnsi="宋体"/>
          <w:color w:val="auto"/>
          <w:sz w:val="24"/>
          <w:szCs w:val="24"/>
          <w:highlight w:val="none"/>
        </w:rPr>
        <w:t>开标一览表</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项目名称：</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分标（此处有分标时填写具体分标号，无分标时填写“无”）</w:t>
      </w:r>
    </w:p>
    <w:p>
      <w:pPr>
        <w:snapToGrid w:val="0"/>
        <w:rPr>
          <w:rFonts w:ascii="宋体"/>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投标人名称：</w:t>
      </w:r>
    </w:p>
    <w:p>
      <w:pPr>
        <w:pStyle w:val="24"/>
        <w:snapToGrid w:val="0"/>
        <w:jc w:val="center"/>
        <w:rPr>
          <w:rFonts w:hAnsi="宋体" w:cs="Times New Roman"/>
          <w:color w:val="auto"/>
          <w:sz w:val="24"/>
          <w:szCs w:val="24"/>
          <w:highlight w:val="none"/>
        </w:rPr>
      </w:pPr>
    </w:p>
    <w:p>
      <w:pPr>
        <w:pStyle w:val="24"/>
        <w:snapToGrid w:val="0"/>
        <w:jc w:val="center"/>
        <w:rPr>
          <w:rFonts w:hAnsi="宋体" w:cs="Times New Roman"/>
          <w:color w:val="auto"/>
          <w:sz w:val="24"/>
          <w:szCs w:val="24"/>
          <w:highlight w:val="none"/>
        </w:rPr>
      </w:pPr>
    </w:p>
    <w:p>
      <w:pPr>
        <w:rPr>
          <w:rFonts w:ascii="宋体"/>
          <w:color w:val="auto"/>
          <w:sz w:val="24"/>
          <w:szCs w:val="24"/>
          <w:highlight w:val="none"/>
        </w:rPr>
      </w:pPr>
    </w:p>
    <w:p>
      <w:pPr>
        <w:pStyle w:val="8"/>
        <w:snapToGrid w:val="0"/>
        <w:ind w:firstLine="3960" w:firstLineChars="1650"/>
        <w:rPr>
          <w:rFonts w:ascii="宋体"/>
          <w:color w:val="auto"/>
          <w:sz w:val="24"/>
          <w:szCs w:val="24"/>
          <w:highlight w:val="none"/>
        </w:rPr>
      </w:pPr>
      <w:r>
        <w:rPr>
          <w:rFonts w:hint="eastAsia" w:ascii="宋体" w:hAnsi="宋体" w:cs="宋体"/>
          <w:color w:val="auto"/>
          <w:sz w:val="24"/>
          <w:szCs w:val="24"/>
          <w:highlight w:val="none"/>
        </w:rPr>
        <w:t>在开标时间之前不得启封</w:t>
      </w:r>
    </w:p>
    <w:p>
      <w:pPr>
        <w:pStyle w:val="8"/>
        <w:snapToGrid w:val="0"/>
        <w:ind w:firstLine="998" w:firstLineChars="416"/>
        <w:rPr>
          <w:rFonts w:ascii="宋体"/>
          <w:color w:val="auto"/>
          <w:sz w:val="24"/>
          <w:szCs w:val="24"/>
          <w:highlight w:val="none"/>
        </w:rPr>
      </w:pPr>
    </w:p>
    <w:p>
      <w:pPr>
        <w:snapToGrid w:val="0"/>
        <w:ind w:firstLine="645"/>
        <w:jc w:val="center"/>
        <w:rPr>
          <w:rFonts w:ascii="宋体"/>
          <w:color w:val="auto"/>
          <w:sz w:val="24"/>
          <w:szCs w:val="24"/>
          <w:highlight w:val="none"/>
        </w:rPr>
      </w:pPr>
      <w:r>
        <w:rPr>
          <w:rFonts w:hint="eastAsia" w:ascii="宋体" w:hAnsi="宋体" w:cs="宋体"/>
          <w:color w:val="auto"/>
          <w:sz w:val="24"/>
          <w:szCs w:val="24"/>
          <w:highlight w:val="none"/>
        </w:rPr>
        <w:t>年月日</w:t>
      </w:r>
    </w:p>
    <w:p>
      <w:pPr>
        <w:snapToGrid w:val="0"/>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开标一览表（格式）</w:t>
      </w: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pPr>
        <w:snapToGrid w:val="0"/>
        <w:jc w:val="center"/>
        <w:rPr>
          <w:rFonts w:ascii="宋体"/>
          <w:b/>
          <w:bCs/>
          <w:color w:val="auto"/>
          <w:sz w:val="24"/>
          <w:szCs w:val="24"/>
          <w:highlight w:val="none"/>
        </w:rPr>
      </w:pPr>
    </w:p>
    <w:p>
      <w:pPr>
        <w:pStyle w:val="2"/>
        <w:rPr>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项目编号：</w:t>
      </w:r>
    </w:p>
    <w:p>
      <w:pPr>
        <w:snapToGrid w:val="0"/>
        <w:rPr>
          <w:rFonts w:ascii="仿宋_GB2312" w:eastAsia="仿宋_GB2312"/>
          <w:color w:val="auto"/>
          <w:sz w:val="24"/>
          <w:szCs w:val="24"/>
          <w:highlight w:val="none"/>
        </w:rPr>
      </w:pPr>
      <w:r>
        <w:rPr>
          <w:rFonts w:hint="eastAsia" w:ascii="宋体" w:hAnsi="宋体" w:cs="宋体"/>
          <w:color w:val="auto"/>
          <w:sz w:val="24"/>
          <w:szCs w:val="24"/>
          <w:highlight w:val="none"/>
        </w:rPr>
        <w:t>投标人名称：</w:t>
      </w:r>
    </w:p>
    <w:tbl>
      <w:tblPr>
        <w:tblStyle w:val="43"/>
        <w:tblpPr w:leftFromText="180" w:rightFromText="180" w:vertAnchor="text" w:horzAnchor="margin" w:tblpXSpec="right" w:tblpY="229"/>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1260" w:type="dxa"/>
            <w:vAlign w:val="center"/>
          </w:tcPr>
          <w:p>
            <w:pPr>
              <w:rPr>
                <w:rFonts w:eastAsia="仿宋_GB2312"/>
                <w:color w:val="auto"/>
                <w:highlight w:val="none"/>
              </w:rPr>
            </w:pPr>
            <w:r>
              <w:rPr>
                <w:rFonts w:hint="eastAsia" w:eastAsia="仿宋_GB2312" w:cs="仿宋_GB2312"/>
                <w:color w:val="auto"/>
                <w:highlight w:val="none"/>
              </w:rPr>
              <w:t>服务名称</w:t>
            </w:r>
          </w:p>
        </w:tc>
        <w:tc>
          <w:tcPr>
            <w:tcW w:w="2065" w:type="dxa"/>
            <w:vAlign w:val="center"/>
          </w:tcPr>
          <w:p>
            <w:pPr>
              <w:jc w:val="center"/>
              <w:rPr>
                <w:rFonts w:eastAsia="仿宋_GB2312"/>
                <w:color w:val="auto"/>
                <w:highlight w:val="none"/>
              </w:rPr>
            </w:pPr>
            <w:r>
              <w:rPr>
                <w:rFonts w:hint="eastAsia" w:eastAsia="仿宋_GB2312" w:cs="仿宋_GB2312"/>
                <w:color w:val="auto"/>
                <w:highlight w:val="none"/>
              </w:rPr>
              <w:t>服务内容</w:t>
            </w:r>
          </w:p>
        </w:tc>
        <w:tc>
          <w:tcPr>
            <w:tcW w:w="1080"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260"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517"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957"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20"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20"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日期：年月日</w:t>
            </w:r>
          </w:p>
        </w:tc>
      </w:tr>
    </w:tbl>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p>
    <w:p>
      <w:pPr>
        <w:snapToGrid w:val="0"/>
        <w:ind w:firstLine="480" w:firstLineChars="200"/>
        <w:jc w:val="left"/>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w:t>
      </w:r>
      <w:r>
        <w:rPr>
          <w:rFonts w:ascii="仿宋_GB2312" w:eastAsia="仿宋_GB2312" w:cs="仿宋_GB2312"/>
          <w:color w:val="auto"/>
          <w:sz w:val="24"/>
          <w:szCs w:val="24"/>
          <w:highlight w:val="none"/>
        </w:rPr>
        <w:t>1</w:t>
      </w:r>
      <w:r>
        <w:rPr>
          <w:rFonts w:hint="eastAsia" w:ascii="仿宋_GB2312" w:eastAsia="仿宋_GB2312" w:cs="仿宋_GB2312"/>
          <w:color w:val="auto"/>
          <w:sz w:val="24"/>
          <w:szCs w:val="24"/>
          <w:highlight w:val="none"/>
        </w:rPr>
        <w:t>、表格内容均需按要求填写并盖章，不得留空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snapToGrid w:val="0"/>
        <w:ind w:firstLine="480" w:firstLineChars="2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 xml:space="preserve">    2</w:t>
      </w:r>
      <w:r>
        <w:rPr>
          <w:rFonts w:hint="eastAsia" w:ascii="仿宋_GB2312" w:eastAsia="仿宋_GB2312" w:cs="仿宋_GB2312"/>
          <w:color w:val="auto"/>
          <w:sz w:val="24"/>
          <w:szCs w:val="24"/>
          <w:highlight w:val="none"/>
        </w:rPr>
        <w:t>、以上“报价合计”应与“投标报价明细表”中的“报价合计”相一致。</w:t>
      </w:r>
    </w:p>
    <w:p>
      <w:pPr>
        <w:pStyle w:val="8"/>
        <w:snapToGrid w:val="0"/>
        <w:ind w:firstLine="960" w:firstLineChars="400"/>
        <w:jc w:val="left"/>
        <w:rPr>
          <w:rFonts w:ascii="仿宋_GB2312" w:eastAsia="仿宋_GB2312"/>
          <w:color w:val="auto"/>
          <w:sz w:val="24"/>
          <w:szCs w:val="24"/>
          <w:highlight w:val="none"/>
        </w:rPr>
      </w:pPr>
      <w:r>
        <w:rPr>
          <w:rFonts w:ascii="仿宋_GB2312" w:eastAsia="仿宋_GB2312" w:cs="仿宋_GB2312"/>
          <w:color w:val="auto"/>
          <w:sz w:val="24"/>
          <w:szCs w:val="24"/>
          <w:highlight w:val="none"/>
        </w:rPr>
        <w:t>3</w:t>
      </w:r>
      <w:r>
        <w:rPr>
          <w:rFonts w:hint="eastAsia" w:ascii="仿宋_GB2312" w:eastAsia="仿宋_GB2312" w:cs="仿宋_GB2312"/>
          <w:color w:val="auto"/>
          <w:sz w:val="24"/>
          <w:szCs w:val="24"/>
          <w:highlight w:val="none"/>
        </w:rPr>
        <w:t>、此表请单独用信封封装，信封封面请注明招标编号、标项、投标人名称及“开标一览表”字样。如有多个标段的，每表须分别单独用信封密封。</w:t>
      </w: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pStyle w:val="8"/>
        <w:snapToGrid w:val="0"/>
        <w:ind w:firstLine="960" w:firstLineChars="400"/>
        <w:jc w:val="left"/>
        <w:rPr>
          <w:rFonts w:ascii="仿宋_GB2312" w:eastAsia="仿宋_GB2312"/>
          <w:color w:val="auto"/>
          <w:sz w:val="24"/>
          <w:szCs w:val="24"/>
          <w:highlight w:val="none"/>
        </w:rPr>
      </w:pPr>
    </w:p>
    <w:p>
      <w:pPr>
        <w:snapToGrid w:val="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封套格式：</w:t>
      </w:r>
    </w:p>
    <w:p>
      <w:pPr>
        <w:snapToGrid w:val="0"/>
        <w:rPr>
          <w:rFonts w:ascii="宋体"/>
          <w:color w:val="auto"/>
          <w:sz w:val="24"/>
          <w:szCs w:val="2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r>
        <w:rPr>
          <w:rFonts w:hint="eastAsia" w:ascii="宋体" w:hAnsi="宋体" w:cs="宋体"/>
          <w:b/>
          <w:bCs/>
          <w:color w:val="auto"/>
          <w:sz w:val="32"/>
          <w:szCs w:val="32"/>
          <w:highlight w:val="none"/>
        </w:rPr>
        <w:t>标项（如有）：</w:t>
      </w: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8"/>
        <w:snapToGrid w:val="0"/>
        <w:ind w:firstLine="1336" w:firstLineChars="416"/>
        <w:rPr>
          <w:rFonts w:ascii="宋体"/>
          <w:b/>
          <w:bCs/>
          <w:color w:val="auto"/>
          <w:sz w:val="32"/>
          <w:szCs w:val="32"/>
          <w:highlight w:val="none"/>
        </w:rPr>
      </w:pPr>
    </w:p>
    <w:p>
      <w:pPr>
        <w:pStyle w:val="8"/>
        <w:snapToGrid w:val="0"/>
        <w:ind w:firstLine="1336" w:firstLineChars="416"/>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在年月日时分前不得开启日</w:t>
      </w:r>
    </w:p>
    <w:p>
      <w:pPr>
        <w:snapToGrid w:val="0"/>
        <w:rPr>
          <w:rFonts w:ascii="宋体"/>
          <w:b/>
          <w:bCs/>
          <w:color w:val="auto"/>
          <w:sz w:val="24"/>
          <w:szCs w:val="24"/>
          <w:highlight w:val="none"/>
        </w:rPr>
      </w:pPr>
    </w:p>
    <w:p>
      <w:pPr>
        <w:snapToGrid w:val="0"/>
        <w:rPr>
          <w:rFonts w:ascii="宋体"/>
          <w:b/>
          <w:bCs/>
          <w:color w:val="auto"/>
          <w:sz w:val="24"/>
          <w:szCs w:val="24"/>
          <w:highlight w:val="none"/>
        </w:rPr>
      </w:pPr>
      <w:r>
        <w:rPr>
          <w:rFonts w:ascii="宋体"/>
          <w:b/>
          <w:bCs/>
          <w:color w:val="auto"/>
          <w:sz w:val="24"/>
          <w:szCs w:val="24"/>
          <w:highlight w:val="none"/>
        </w:rPr>
        <w:br w:type="textWrapping"/>
      </w:r>
      <w:r>
        <w:rPr>
          <w:rFonts w:ascii="宋体"/>
          <w:b/>
          <w:bCs/>
          <w:color w:val="auto"/>
          <w:sz w:val="24"/>
          <w:szCs w:val="24"/>
          <w:highlight w:val="none"/>
        </w:rPr>
        <w:br w:type="page"/>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投标文件封面格式：</w:t>
      </w:r>
    </w:p>
    <w:p>
      <w:pPr>
        <w:snapToGrid w:val="0"/>
        <w:rPr>
          <w:rFonts w:ascii="宋体"/>
          <w:b/>
          <w:bCs/>
          <w:color w:val="auto"/>
          <w:sz w:val="44"/>
          <w:szCs w:val="44"/>
          <w:highlight w:val="none"/>
        </w:rPr>
      </w:pPr>
      <w:r>
        <w:rPr>
          <w:rFonts w:hint="eastAsia" w:ascii="宋体" w:hAnsi="宋体" w:cs="宋体"/>
          <w:b/>
          <w:bCs/>
          <w:color w:val="auto"/>
          <w:sz w:val="44"/>
          <w:szCs w:val="44"/>
          <w:highlight w:val="none"/>
        </w:rPr>
        <w:t>正本</w:t>
      </w:r>
      <w:r>
        <w:rPr>
          <w:rFonts w:ascii="宋体" w:hAnsi="宋体" w:cs="宋体"/>
          <w:b/>
          <w:bCs/>
          <w:color w:val="auto"/>
          <w:sz w:val="44"/>
          <w:szCs w:val="44"/>
          <w:highlight w:val="none"/>
        </w:rPr>
        <w:t>/</w:t>
      </w:r>
      <w:r>
        <w:rPr>
          <w:rFonts w:hint="eastAsia" w:ascii="宋体" w:hAnsi="宋体" w:cs="宋体"/>
          <w:b/>
          <w:bCs/>
          <w:color w:val="auto"/>
          <w:sz w:val="44"/>
          <w:szCs w:val="44"/>
          <w:highlight w:val="none"/>
        </w:rPr>
        <w:t>或副本</w:t>
      </w:r>
    </w:p>
    <w:p>
      <w:pPr>
        <w:snapToGrid w:val="0"/>
        <w:rPr>
          <w:rFonts w:ascii="宋体"/>
          <w:b/>
          <w:bCs/>
          <w:color w:val="auto"/>
          <w:sz w:val="44"/>
          <w:szCs w:val="44"/>
          <w:highlight w:val="none"/>
        </w:rPr>
      </w:pPr>
    </w:p>
    <w:p>
      <w:pPr>
        <w:snapToGrid w:val="0"/>
        <w:jc w:val="center"/>
        <w:rPr>
          <w:rFonts w:ascii="宋体"/>
          <w:b/>
          <w:bCs/>
          <w:color w:val="auto"/>
          <w:sz w:val="44"/>
          <w:szCs w:val="44"/>
          <w:highlight w:val="none"/>
        </w:rPr>
      </w:pPr>
      <w:r>
        <w:rPr>
          <w:rFonts w:hint="eastAsia" w:ascii="宋体" w:hAnsi="宋体" w:cs="宋体"/>
          <w:b/>
          <w:bCs/>
          <w:color w:val="auto"/>
          <w:sz w:val="44"/>
          <w:szCs w:val="44"/>
          <w:highlight w:val="none"/>
        </w:rPr>
        <w:t>投标文件</w:t>
      </w:r>
    </w:p>
    <w:p>
      <w:pPr>
        <w:snapToGrid w:val="0"/>
        <w:rPr>
          <w:rFonts w:ascii="宋体"/>
          <w:color w:val="auto"/>
          <w:sz w:val="24"/>
          <w:szCs w:val="24"/>
          <w:highlight w:val="none"/>
        </w:rPr>
      </w:pPr>
    </w:p>
    <w:p>
      <w:pPr>
        <w:snapToGrid w:val="0"/>
        <w:ind w:firstLine="1424" w:firstLineChars="445"/>
        <w:rPr>
          <w:rFonts w:ascii="宋体"/>
          <w:color w:val="auto"/>
          <w:sz w:val="32"/>
          <w:szCs w:val="32"/>
          <w:highlight w:val="none"/>
        </w:rPr>
      </w:pPr>
    </w:p>
    <w:p>
      <w:pPr>
        <w:snapToGrid w:val="0"/>
        <w:ind w:firstLine="1424" w:firstLineChars="445"/>
        <w:rPr>
          <w:rFonts w:ascii="宋体"/>
          <w:color w:val="auto"/>
          <w:sz w:val="32"/>
          <w:szCs w:val="32"/>
          <w:highlight w:val="none"/>
        </w:rPr>
      </w:pPr>
    </w:p>
    <w:p>
      <w:pPr>
        <w:snapToGrid w:val="0"/>
        <w:ind w:firstLine="1430" w:firstLineChars="445"/>
        <w:rPr>
          <w:rFonts w:ascii="宋体"/>
          <w:b/>
          <w:bCs/>
          <w:color w:val="auto"/>
          <w:sz w:val="32"/>
          <w:szCs w:val="32"/>
          <w:highlight w:val="none"/>
        </w:rPr>
      </w:pPr>
      <w:r>
        <w:rPr>
          <w:rFonts w:hint="eastAsia" w:ascii="宋体" w:hAnsi="宋体" w:cs="宋体"/>
          <w:b/>
          <w:bCs/>
          <w:color w:val="auto"/>
          <w:sz w:val="32"/>
          <w:szCs w:val="32"/>
          <w:highlight w:val="none"/>
        </w:rPr>
        <w:t>项目名称：</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项目编号：</w:t>
      </w:r>
    </w:p>
    <w:p>
      <w:pPr>
        <w:snapToGrid w:val="0"/>
        <w:ind w:firstLine="643" w:firstLineChars="200"/>
        <w:rPr>
          <w:rFonts w:ascii="宋体"/>
          <w:b/>
          <w:bCs/>
          <w:color w:val="auto"/>
          <w:sz w:val="32"/>
          <w:szCs w:val="32"/>
          <w:highlight w:val="none"/>
        </w:rPr>
      </w:pPr>
    </w:p>
    <w:p>
      <w:pPr>
        <w:snapToGrid w:val="0"/>
        <w:ind w:firstLine="1446" w:firstLineChars="450"/>
        <w:rPr>
          <w:rFonts w:ascii="宋体"/>
          <w:b/>
          <w:bCs/>
          <w:color w:val="auto"/>
          <w:sz w:val="32"/>
          <w:szCs w:val="32"/>
          <w:highlight w:val="none"/>
        </w:rPr>
      </w:pPr>
      <w:r>
        <w:rPr>
          <w:rFonts w:hint="eastAsia" w:ascii="宋体" w:hAnsi="宋体" w:cs="宋体"/>
          <w:b/>
          <w:bCs/>
          <w:color w:val="auto"/>
          <w:sz w:val="32"/>
          <w:szCs w:val="32"/>
          <w:highlight w:val="none"/>
        </w:rPr>
        <w:t>标项：</w:t>
      </w:r>
    </w:p>
    <w:p>
      <w:pPr>
        <w:snapToGrid w:val="0"/>
        <w:ind w:firstLine="643" w:firstLineChars="200"/>
        <w:rPr>
          <w:rFonts w:ascii="宋体"/>
          <w:b/>
          <w:bCs/>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1" w:firstLineChars="416"/>
        <w:rPr>
          <w:rFonts w:ascii="宋体"/>
          <w:color w:val="auto"/>
          <w:sz w:val="32"/>
          <w:szCs w:val="32"/>
          <w:highlight w:val="none"/>
        </w:rPr>
      </w:pP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投标人名称：</w:t>
      </w:r>
    </w:p>
    <w:p>
      <w:pPr>
        <w:pStyle w:val="8"/>
        <w:snapToGrid w:val="0"/>
        <w:ind w:firstLine="1336" w:firstLineChars="416"/>
        <w:rPr>
          <w:rFonts w:ascii="宋体"/>
          <w:b/>
          <w:bCs/>
          <w:color w:val="auto"/>
          <w:sz w:val="32"/>
          <w:szCs w:val="32"/>
          <w:highlight w:val="none"/>
        </w:rPr>
      </w:pPr>
      <w:r>
        <w:rPr>
          <w:rFonts w:hint="eastAsia" w:ascii="宋体" w:hAnsi="宋体" w:cs="宋体"/>
          <w:b/>
          <w:bCs/>
          <w:color w:val="auto"/>
          <w:sz w:val="32"/>
          <w:szCs w:val="32"/>
          <w:highlight w:val="none"/>
        </w:rPr>
        <w:t>投标人地址：</w:t>
      </w:r>
    </w:p>
    <w:p>
      <w:pPr>
        <w:pStyle w:val="8"/>
        <w:snapToGrid w:val="0"/>
        <w:ind w:firstLine="1285" w:firstLineChars="400"/>
        <w:rPr>
          <w:rFonts w:ascii="宋体"/>
          <w:b/>
          <w:bCs/>
          <w:color w:val="auto"/>
          <w:sz w:val="32"/>
          <w:szCs w:val="32"/>
          <w:highlight w:val="none"/>
        </w:rPr>
      </w:pPr>
    </w:p>
    <w:p>
      <w:pPr>
        <w:snapToGrid w:val="0"/>
        <w:ind w:firstLine="645"/>
        <w:jc w:val="center"/>
        <w:rPr>
          <w:rFonts w:ascii="宋体"/>
          <w:b/>
          <w:bCs/>
          <w:color w:val="auto"/>
          <w:sz w:val="32"/>
          <w:szCs w:val="32"/>
          <w:highlight w:val="none"/>
        </w:rPr>
      </w:pPr>
      <w:r>
        <w:rPr>
          <w:rFonts w:hint="eastAsia" w:ascii="宋体" w:hAnsi="宋体" w:cs="宋体"/>
          <w:b/>
          <w:bCs/>
          <w:color w:val="auto"/>
          <w:sz w:val="32"/>
          <w:szCs w:val="32"/>
          <w:highlight w:val="none"/>
        </w:rPr>
        <w:t>年月日</w:t>
      </w:r>
    </w:p>
    <w:p>
      <w:pPr>
        <w:snapToGrid w:val="0"/>
        <w:rPr>
          <w:rFonts w:ascii="宋体"/>
          <w:color w:val="auto"/>
          <w:sz w:val="24"/>
          <w:szCs w:val="24"/>
          <w:highlight w:val="none"/>
        </w:rPr>
      </w:pPr>
      <w:r>
        <w:rPr>
          <w:rFonts w:ascii="宋体"/>
          <w:color w:val="auto"/>
          <w:sz w:val="24"/>
          <w:szCs w:val="24"/>
          <w:highlight w:val="none"/>
        </w:rPr>
        <w:br w:type="page"/>
      </w:r>
      <w:r>
        <w:rPr>
          <w:rFonts w:ascii="宋体" w:hAnsi="宋体" w:cs="宋体"/>
          <w:color w:val="auto"/>
          <w:sz w:val="24"/>
          <w:szCs w:val="24"/>
          <w:highlight w:val="none"/>
        </w:rPr>
        <w:t>3.</w:t>
      </w:r>
      <w:r>
        <w:rPr>
          <w:rFonts w:hint="eastAsia" w:ascii="宋体" w:hAnsi="宋体" w:cs="宋体"/>
          <w:b/>
          <w:bCs/>
          <w:color w:val="auto"/>
          <w:sz w:val="24"/>
          <w:szCs w:val="24"/>
          <w:highlight w:val="none"/>
        </w:rPr>
        <w:t>投标文件目录</w:t>
      </w:r>
    </w:p>
    <w:p>
      <w:pPr>
        <w:snapToGrid w:val="0"/>
        <w:rPr>
          <w:rFonts w:ascii="宋体"/>
          <w:color w:val="auto"/>
          <w:sz w:val="24"/>
          <w:szCs w:val="24"/>
          <w:highlight w:val="none"/>
        </w:rPr>
      </w:pPr>
    </w:p>
    <w:p>
      <w:pPr>
        <w:snapToGrid w:val="0"/>
        <w:jc w:val="left"/>
        <w:rPr>
          <w:rFonts w:ascii="宋体"/>
          <w:color w:val="auto"/>
          <w:sz w:val="24"/>
          <w:szCs w:val="24"/>
          <w:highlight w:val="none"/>
        </w:rPr>
      </w:pPr>
      <w:r>
        <w:rPr>
          <w:rFonts w:hint="eastAsia" w:ascii="宋体" w:hAnsi="宋体" w:cs="宋体"/>
          <w:color w:val="auto"/>
          <w:sz w:val="24"/>
          <w:szCs w:val="24"/>
          <w:highlight w:val="none"/>
        </w:rPr>
        <w:t>按照招标文件第三章“投标人须知”中“三之（一）投标文件的组成”的顺序编排</w:t>
      </w:r>
    </w:p>
    <w:p>
      <w:pPr>
        <w:snapToGrid w:val="0"/>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投标函格式：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投标函</w:t>
      </w:r>
    </w:p>
    <w:p>
      <w:pPr>
        <w:snapToGrid w:val="0"/>
        <w:jc w:val="center"/>
        <w:rPr>
          <w:rFonts w:ascii="宋体"/>
          <w:b/>
          <w:bCs/>
          <w:color w:val="auto"/>
          <w:sz w:val="24"/>
          <w:szCs w:val="24"/>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rPr>
        <w:t>______</w:t>
      </w:r>
      <w:r>
        <w:rPr>
          <w:rFonts w:ascii="宋体" w:hAnsi="宋体" w:cs="宋体"/>
          <w:color w:val="auto"/>
          <w:sz w:val="24"/>
          <w:szCs w:val="24"/>
          <w:highlight w:val="none"/>
          <w:u w:val="single"/>
        </w:rPr>
        <w:t>_     _</w:t>
      </w:r>
      <w:r>
        <w:rPr>
          <w:rFonts w:ascii="宋体" w:hAnsi="宋体" w:cs="宋体"/>
          <w:color w:val="auto"/>
          <w:sz w:val="24"/>
          <w:szCs w:val="24"/>
          <w:highlight w:val="none"/>
        </w:rPr>
        <w:t>_</w:t>
      </w:r>
      <w:r>
        <w:rPr>
          <w:rFonts w:hint="eastAsia" w:ascii="宋体" w:hAnsi="宋体" w:cs="宋体"/>
          <w:color w:val="auto"/>
          <w:sz w:val="24"/>
          <w:szCs w:val="24"/>
          <w:highlight w:val="none"/>
        </w:rPr>
        <w:t>（招标采购单位名称）：</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根据贵方为项目的招标公告（项目编号：</w:t>
      </w:r>
      <w:r>
        <w:rPr>
          <w:rFonts w:ascii="宋体" w:hAnsi="宋体" w:cs="宋体"/>
          <w:color w:val="auto"/>
          <w:sz w:val="24"/>
          <w:szCs w:val="24"/>
          <w:highlight w:val="none"/>
        </w:rPr>
        <w:t>____</w:t>
      </w:r>
      <w:r>
        <w:rPr>
          <w:rFonts w:hint="eastAsia" w:ascii="宋体" w:hAnsi="宋体" w:cs="宋体"/>
          <w:color w:val="auto"/>
          <w:sz w:val="24"/>
          <w:szCs w:val="24"/>
          <w:highlight w:val="none"/>
        </w:rPr>
        <w:t>），签字代表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（全名）经正式授权并代表投标人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投标人名称）提交投标文件正本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据此函，签字代表宣布同意如下：</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pStyle w:val="24"/>
        <w:snapToGrid w:val="0"/>
        <w:ind w:firstLine="480" w:firstLineChars="200"/>
        <w:rPr>
          <w:rFonts w:hAnsi="宋体" w:cs="Times New Roman"/>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、按投标报价明细表报价。</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投标人在投标之前已经与贵方进行了充分的沟通，完全理解并接受招标文件的各项规定和要求，对招标文件的合理性、合法性不再有异议。</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天。</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如中标，本投标文件至本项目合同履行完毕止均保持有效，本投标人将按“招标文件”及政府采购法律、法规的规定履行合同责任和义务。</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投标人同意按照贵方要求提供与投标有关的一切数据或资料。</w:t>
      </w:r>
    </w:p>
    <w:p>
      <w:pPr>
        <w:snapToGrid w:val="0"/>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与本投标有关的一切正式往来信函请寄：</w:t>
      </w: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rPr>
        <w:t>____________</w:t>
      </w:r>
      <w:r>
        <w:rPr>
          <w:rFonts w:hint="eastAsia" w:ascii="宋体" w:hAnsi="宋体" w:cs="宋体"/>
          <w:color w:val="auto"/>
          <w:sz w:val="24"/>
          <w:szCs w:val="24"/>
          <w:highlight w:val="none"/>
        </w:rPr>
        <w:t>邮编：</w:t>
      </w:r>
      <w:r>
        <w:rPr>
          <w:rFonts w:ascii="宋体" w:hAnsi="宋体" w:cs="宋体"/>
          <w:color w:val="auto"/>
          <w:sz w:val="24"/>
          <w:szCs w:val="24"/>
          <w:highlight w:val="none"/>
        </w:rPr>
        <w:t xml:space="preserve">__________   </w:t>
      </w:r>
      <w:r>
        <w:rPr>
          <w:rFonts w:hint="eastAsia" w:ascii="宋体" w:hAnsi="宋体" w:cs="宋体"/>
          <w:color w:val="auto"/>
          <w:sz w:val="24"/>
          <w:szCs w:val="24"/>
          <w:highlight w:val="none"/>
        </w:rPr>
        <w:t>电话：</w:t>
      </w:r>
      <w:r>
        <w:rPr>
          <w:rFonts w:ascii="宋体" w:hAnsi="宋体" w:cs="宋体"/>
          <w:color w:val="auto"/>
          <w:sz w:val="24"/>
          <w:szCs w:val="24"/>
          <w:highlight w:val="none"/>
        </w:rPr>
        <w:t>_____________</w:t>
      </w:r>
    </w:p>
    <w:p>
      <w:pPr>
        <w:snapToGrid w:val="0"/>
        <w:ind w:firstLine="480" w:firstLineChars="200"/>
        <w:rPr>
          <w:rFonts w:ascii="宋体"/>
          <w:color w:val="auto"/>
          <w:sz w:val="24"/>
          <w:szCs w:val="24"/>
          <w:highlight w:val="none"/>
        </w:rPr>
      </w:pPr>
    </w:p>
    <w:p>
      <w:pPr>
        <w:snapToGrid w:val="0"/>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 xml:space="preserve">___________   </w:t>
      </w:r>
      <w:r>
        <w:rPr>
          <w:rFonts w:hint="eastAsia" w:ascii="宋体" w:hAnsi="宋体" w:cs="宋体"/>
          <w:color w:val="auto"/>
          <w:sz w:val="24"/>
          <w:szCs w:val="24"/>
          <w:highlight w:val="none"/>
        </w:rPr>
        <w:t>投标人代表姓名</w:t>
      </w:r>
      <w:r>
        <w:rPr>
          <w:rFonts w:ascii="宋体" w:hAnsi="宋体" w:cs="宋体"/>
          <w:color w:val="auto"/>
          <w:sz w:val="24"/>
          <w:szCs w:val="24"/>
          <w:highlight w:val="none"/>
        </w:rPr>
        <w:t xml:space="preserve"> _________ </w:t>
      </w:r>
      <w:r>
        <w:rPr>
          <w:rFonts w:hint="eastAsia" w:ascii="宋体" w:hAnsi="宋体" w:cs="宋体"/>
          <w:color w:val="auto"/>
          <w:sz w:val="24"/>
          <w:szCs w:val="24"/>
          <w:highlight w:val="none"/>
        </w:rPr>
        <w:t>职务：</w:t>
      </w:r>
      <w:r>
        <w:rPr>
          <w:rFonts w:ascii="宋体" w:hAnsi="宋体" w:cs="宋体"/>
          <w:color w:val="auto"/>
          <w:sz w:val="24"/>
          <w:szCs w:val="24"/>
          <w:highlight w:val="none"/>
        </w:rPr>
        <w:t>_____________</w:t>
      </w:r>
    </w:p>
    <w:p>
      <w:pPr>
        <w:snapToGrid w:val="0"/>
        <w:rPr>
          <w:rFonts w:ascii="宋体"/>
          <w:color w:val="auto"/>
          <w:sz w:val="24"/>
          <w:szCs w:val="24"/>
          <w:highlight w:val="none"/>
        </w:rPr>
      </w:pP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投标人名称</w:t>
      </w:r>
      <w:r>
        <w:rPr>
          <w:rFonts w:ascii="宋体" w:hAnsi="宋体" w:cs="宋体"/>
          <w:color w:val="auto"/>
          <w:sz w:val="24"/>
          <w:szCs w:val="24"/>
          <w:highlight w:val="none"/>
        </w:rPr>
        <w:t>:_________________</w:t>
      </w:r>
    </w:p>
    <w:p>
      <w:pPr>
        <w:snapToGrid w:val="0"/>
        <w:ind w:firstLine="360" w:firstLineChars="150"/>
        <w:rPr>
          <w:rFonts w:ascii="宋体"/>
          <w:color w:val="auto"/>
          <w:sz w:val="24"/>
          <w:szCs w:val="24"/>
          <w:highlight w:val="none"/>
        </w:rPr>
      </w:pPr>
      <w:r>
        <w:rPr>
          <w:rFonts w:hint="eastAsia" w:ascii="宋体" w:hAnsi="宋体" w:cs="宋体"/>
          <w:color w:val="auto"/>
          <w:sz w:val="24"/>
          <w:szCs w:val="24"/>
          <w:highlight w:val="none"/>
        </w:rPr>
        <w:t>开户银行：银行帐号：</w:t>
      </w:r>
    </w:p>
    <w:p>
      <w:pPr>
        <w:snapToGrid w:val="0"/>
        <w:jc w:val="center"/>
        <w:rPr>
          <w:rFonts w:ascii="宋体"/>
          <w:color w:val="auto"/>
          <w:sz w:val="24"/>
          <w:szCs w:val="24"/>
          <w:highlight w:val="none"/>
        </w:rPr>
      </w:pPr>
    </w:p>
    <w:p>
      <w:pPr>
        <w:snapToGrid w:val="0"/>
        <w:jc w:val="center"/>
        <w:rPr>
          <w:rFonts w:ascii="宋体"/>
          <w:color w:val="auto"/>
          <w:sz w:val="24"/>
          <w:szCs w:val="24"/>
          <w:highlight w:val="none"/>
        </w:rPr>
      </w:pPr>
    </w:p>
    <w:p>
      <w:pPr>
        <w:snapToGrid w:val="0"/>
        <w:ind w:firstLine="5040" w:firstLineChars="2100"/>
        <w:rPr>
          <w:rFonts w:ascii="宋体"/>
          <w:color w:val="auto"/>
          <w:sz w:val="24"/>
          <w:szCs w:val="24"/>
          <w:highlight w:val="none"/>
        </w:rPr>
      </w:pPr>
    </w:p>
    <w:p>
      <w:pPr>
        <w:snapToGrid w:val="0"/>
        <w:ind w:firstLine="1920" w:firstLineChars="800"/>
        <w:rPr>
          <w:rFonts w:ascii="宋体" w:hAnsi="宋体" w:cs="宋体"/>
          <w:color w:val="auto"/>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rPr>
          <w:rFonts w:ascii="宋体" w:cs="宋体"/>
          <w:color w:val="auto"/>
          <w:sz w:val="24"/>
          <w:szCs w:val="24"/>
          <w:highlight w:val="none"/>
        </w:rPr>
      </w:pPr>
      <w:r>
        <w:rPr>
          <w:rFonts w:hint="eastAsia" w:ascii="宋体" w:hAnsi="宋体" w:cs="宋体"/>
          <w:color w:val="auto"/>
          <w:sz w:val="24"/>
          <w:szCs w:val="24"/>
          <w:highlight w:val="none"/>
        </w:rPr>
        <w:t>（投标人属自然人的应由自然人签字并加盖指印，投标人若为其他组织形式无法定代表人的应由机构负责人签字或盖章）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widowControl/>
        <w:jc w:val="left"/>
        <w:rPr>
          <w:rFonts w:ascii="宋体"/>
          <w:color w:val="auto"/>
          <w:highlight w:val="none"/>
        </w:rPr>
      </w:pPr>
      <w:r>
        <w:rPr>
          <w:rFonts w:ascii="宋体"/>
          <w:color w:val="auto"/>
          <w:highlight w:val="none"/>
        </w:rPr>
        <w:br w:type="page"/>
      </w:r>
    </w:p>
    <w:p>
      <w:pPr>
        <w:snapToGrid w:val="0"/>
        <w:ind w:firstLine="2289" w:firstLineChars="950"/>
        <w:rPr>
          <w:rFonts w:ascii="宋体"/>
          <w:b/>
          <w:bCs/>
          <w:color w:val="auto"/>
          <w:sz w:val="24"/>
          <w:szCs w:val="24"/>
          <w:highlight w:val="none"/>
        </w:rPr>
      </w:pPr>
    </w:p>
    <w:p>
      <w:pPr>
        <w:snapToGrid w:val="0"/>
        <w:rPr>
          <w:rFonts w:ascii="宋体"/>
          <w:b/>
          <w:bCs/>
          <w:color w:val="auto"/>
          <w:sz w:val="24"/>
          <w:szCs w:val="24"/>
          <w:highlight w:val="none"/>
        </w:rPr>
      </w:pPr>
      <w:r>
        <w:rPr>
          <w:rFonts w:hint="eastAsia" w:ascii="宋体" w:hAnsi="宋体" w:cs="宋体"/>
          <w:b/>
          <w:bCs/>
          <w:color w:val="auto"/>
          <w:sz w:val="24"/>
          <w:szCs w:val="24"/>
          <w:highlight w:val="none"/>
        </w:rPr>
        <w:t>投标报价明细表格式：</w:t>
      </w:r>
    </w:p>
    <w:p>
      <w:pPr>
        <w:pStyle w:val="24"/>
        <w:snapToGrid w:val="0"/>
        <w:jc w:val="center"/>
        <w:rPr>
          <w:rFonts w:hAnsi="宋体" w:cs="Times New Roman"/>
          <w:b/>
          <w:bCs/>
          <w:color w:val="auto"/>
          <w:sz w:val="32"/>
          <w:szCs w:val="32"/>
          <w:highlight w:val="none"/>
        </w:rPr>
      </w:pPr>
    </w:p>
    <w:p>
      <w:pPr>
        <w:pStyle w:val="24"/>
        <w:snapToGrid w:val="0"/>
        <w:jc w:val="center"/>
        <w:rPr>
          <w:rFonts w:hAnsi="宋体" w:cs="Times New Roman"/>
          <w:b/>
          <w:bCs/>
          <w:color w:val="auto"/>
          <w:sz w:val="32"/>
          <w:szCs w:val="32"/>
          <w:highlight w:val="none"/>
        </w:rPr>
      </w:pPr>
      <w:r>
        <w:rPr>
          <w:rFonts w:hint="eastAsia" w:hAnsi="宋体"/>
          <w:b/>
          <w:bCs/>
          <w:color w:val="auto"/>
          <w:sz w:val="32"/>
          <w:szCs w:val="32"/>
          <w:highlight w:val="none"/>
        </w:rPr>
        <w:t>投标报价明细表</w:t>
      </w:r>
    </w:p>
    <w:tbl>
      <w:tblPr>
        <w:tblStyle w:val="43"/>
        <w:tblW w:w="885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vAlign w:val="center"/>
          </w:tcPr>
          <w:p>
            <w:pPr>
              <w:rPr>
                <w:rFonts w:eastAsia="仿宋_GB2312"/>
                <w:color w:val="auto"/>
                <w:highlight w:val="none"/>
              </w:rPr>
            </w:pPr>
            <w:r>
              <w:rPr>
                <w:rFonts w:hint="eastAsia" w:eastAsia="仿宋_GB2312" w:cs="仿宋_GB2312"/>
                <w:color w:val="auto"/>
                <w:highlight w:val="none"/>
              </w:rPr>
              <w:t>序号</w:t>
            </w:r>
          </w:p>
        </w:tc>
        <w:tc>
          <w:tcPr>
            <w:tcW w:w="1260" w:type="dxa"/>
            <w:vAlign w:val="center"/>
          </w:tcPr>
          <w:p>
            <w:pPr>
              <w:rPr>
                <w:rFonts w:eastAsia="仿宋_GB2312"/>
                <w:color w:val="auto"/>
                <w:highlight w:val="none"/>
              </w:rPr>
            </w:pPr>
            <w:r>
              <w:rPr>
                <w:rFonts w:hint="eastAsia" w:eastAsia="仿宋_GB2312" w:cs="仿宋_GB2312"/>
                <w:color w:val="auto"/>
                <w:highlight w:val="none"/>
              </w:rPr>
              <w:t>服务名称</w:t>
            </w:r>
          </w:p>
        </w:tc>
        <w:tc>
          <w:tcPr>
            <w:tcW w:w="2065" w:type="dxa"/>
            <w:vAlign w:val="center"/>
          </w:tcPr>
          <w:p>
            <w:pPr>
              <w:jc w:val="center"/>
              <w:rPr>
                <w:rFonts w:eastAsia="仿宋_GB2312"/>
                <w:color w:val="auto"/>
                <w:highlight w:val="none"/>
              </w:rPr>
            </w:pPr>
            <w:r>
              <w:rPr>
                <w:rFonts w:hint="eastAsia" w:eastAsia="仿宋_GB2312" w:cs="仿宋_GB2312"/>
                <w:color w:val="auto"/>
                <w:highlight w:val="none"/>
              </w:rPr>
              <w:t>服务内容</w:t>
            </w:r>
          </w:p>
        </w:tc>
        <w:tc>
          <w:tcPr>
            <w:tcW w:w="1080" w:type="dxa"/>
            <w:vAlign w:val="center"/>
          </w:tcPr>
          <w:p>
            <w:pPr>
              <w:jc w:val="center"/>
              <w:rPr>
                <w:rFonts w:eastAsia="仿宋_GB2312"/>
                <w:color w:val="auto"/>
                <w:highlight w:val="none"/>
              </w:rPr>
            </w:pPr>
            <w:r>
              <w:rPr>
                <w:rFonts w:hint="eastAsia" w:eastAsia="仿宋_GB2312" w:cs="仿宋_GB2312"/>
                <w:color w:val="auto"/>
                <w:highlight w:val="none"/>
              </w:rPr>
              <w:t>数量①</w:t>
            </w:r>
          </w:p>
        </w:tc>
        <w:tc>
          <w:tcPr>
            <w:tcW w:w="1260" w:type="dxa"/>
            <w:vAlign w:val="center"/>
          </w:tcPr>
          <w:p>
            <w:pPr>
              <w:rPr>
                <w:rFonts w:eastAsia="仿宋_GB2312"/>
                <w:color w:val="auto"/>
                <w:highlight w:val="none"/>
              </w:rPr>
            </w:pPr>
            <w:r>
              <w:rPr>
                <w:rFonts w:hint="eastAsia" w:eastAsia="仿宋_GB2312" w:cs="仿宋_GB2312"/>
                <w:color w:val="auto"/>
                <w:highlight w:val="none"/>
              </w:rPr>
              <w:t>单价</w:t>
            </w:r>
            <w:r>
              <w:rPr>
                <w:rFonts w:eastAsia="仿宋_GB2312"/>
                <w:color w:val="auto"/>
                <w:highlight w:val="none"/>
              </w:rPr>
              <w:t>(</w:t>
            </w:r>
            <w:r>
              <w:rPr>
                <w:rFonts w:hint="eastAsia" w:eastAsia="仿宋_GB2312" w:cs="仿宋_GB2312"/>
                <w:color w:val="auto"/>
                <w:highlight w:val="none"/>
              </w:rPr>
              <w:t>元</w:t>
            </w:r>
            <w:r>
              <w:rPr>
                <w:rFonts w:eastAsia="仿宋_GB2312"/>
                <w:color w:val="auto"/>
                <w:highlight w:val="none"/>
              </w:rPr>
              <w:t>)</w:t>
            </w:r>
            <w:r>
              <w:rPr>
                <w:rFonts w:hint="eastAsia" w:ascii="宋体" w:hAnsi="宋体" w:cs="宋体"/>
                <w:color w:val="auto"/>
                <w:highlight w:val="none"/>
              </w:rPr>
              <w:t>②</w:t>
            </w:r>
          </w:p>
        </w:tc>
        <w:tc>
          <w:tcPr>
            <w:tcW w:w="1517" w:type="dxa"/>
            <w:vAlign w:val="center"/>
          </w:tcPr>
          <w:p>
            <w:pPr>
              <w:rPr>
                <w:rFonts w:eastAsia="仿宋_GB2312"/>
                <w:color w:val="auto"/>
                <w:highlight w:val="none"/>
              </w:rPr>
            </w:pPr>
            <w:r>
              <w:rPr>
                <w:rFonts w:hint="eastAsia" w:eastAsia="仿宋_GB2312" w:cs="仿宋_GB2312"/>
                <w:color w:val="auto"/>
                <w:highlight w:val="none"/>
              </w:rPr>
              <w:t>单项合价（元）</w:t>
            </w:r>
          </w:p>
          <w:p>
            <w:pPr>
              <w:rPr>
                <w:rFonts w:eastAsia="仿宋_GB2312"/>
                <w:color w:val="auto"/>
                <w:highlight w:val="none"/>
              </w:rPr>
            </w:pPr>
            <w:r>
              <w:rPr>
                <w:rFonts w:hint="eastAsia" w:eastAsia="仿宋_GB2312" w:cs="仿宋_GB2312"/>
                <w:color w:val="auto"/>
                <w:highlight w:val="none"/>
              </w:rPr>
              <w:t>③＝①</w:t>
            </w:r>
            <w:r>
              <w:rPr>
                <w:rFonts w:eastAsia="仿宋_GB2312"/>
                <w:color w:val="auto"/>
                <w:highlight w:val="none"/>
              </w:rPr>
              <w:t>×</w:t>
            </w:r>
            <w:r>
              <w:rPr>
                <w:rFonts w:hint="eastAsia" w:ascii="宋体" w:hAnsi="宋体" w:cs="宋体"/>
                <w:color w:val="auto"/>
                <w:highlight w:val="none"/>
              </w:rPr>
              <w:t>②</w:t>
            </w:r>
          </w:p>
        </w:tc>
        <w:tc>
          <w:tcPr>
            <w:tcW w:w="957" w:type="dxa"/>
            <w:vAlign w:val="center"/>
          </w:tcPr>
          <w:p>
            <w:pPr>
              <w:rPr>
                <w:rFonts w:eastAsia="仿宋_GB2312"/>
                <w:color w:val="auto"/>
                <w:highlight w:val="none"/>
              </w:rPr>
            </w:pPr>
            <w:r>
              <w:rPr>
                <w:rFonts w:hint="eastAsia" w:eastAsia="仿宋_GB2312" w:cs="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right"/>
        </w:trPr>
        <w:tc>
          <w:tcPr>
            <w:tcW w:w="720"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right"/>
        </w:trPr>
        <w:tc>
          <w:tcPr>
            <w:tcW w:w="720"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right"/>
        </w:trPr>
        <w:tc>
          <w:tcPr>
            <w:tcW w:w="720"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065" w:type="dxa"/>
            <w:vAlign w:val="center"/>
          </w:tcPr>
          <w:p>
            <w:pPr>
              <w:rPr>
                <w:rFonts w:eastAsia="仿宋_GB2312"/>
                <w:color w:val="auto"/>
                <w:highlight w:val="none"/>
              </w:rPr>
            </w:pPr>
          </w:p>
        </w:tc>
        <w:tc>
          <w:tcPr>
            <w:tcW w:w="1080" w:type="dxa"/>
            <w:vAlign w:val="center"/>
          </w:tcPr>
          <w:p>
            <w:pPr>
              <w:rPr>
                <w:rFonts w:eastAsia="仿宋_GB2312"/>
                <w:color w:val="auto"/>
                <w:highlight w:val="none"/>
              </w:rPr>
            </w:pPr>
          </w:p>
        </w:tc>
        <w:tc>
          <w:tcPr>
            <w:tcW w:w="1260" w:type="dxa"/>
            <w:vAlign w:val="center"/>
          </w:tcPr>
          <w:p>
            <w:pPr>
              <w:rPr>
                <w:rFonts w:eastAsia="仿宋_GB2312"/>
                <w:color w:val="auto"/>
                <w:highlight w:val="none"/>
              </w:rPr>
            </w:pPr>
          </w:p>
        </w:tc>
        <w:tc>
          <w:tcPr>
            <w:tcW w:w="1517" w:type="dxa"/>
            <w:vAlign w:val="center"/>
          </w:tcPr>
          <w:p>
            <w:pPr>
              <w:rPr>
                <w:rFonts w:eastAsia="仿宋_GB2312"/>
                <w:color w:val="auto"/>
                <w:highlight w:val="none"/>
              </w:rPr>
            </w:pPr>
          </w:p>
        </w:tc>
        <w:tc>
          <w:tcPr>
            <w:tcW w:w="957"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7"/>
            <w:vAlign w:val="center"/>
          </w:tcPr>
          <w:p>
            <w:pPr>
              <w:rPr>
                <w:rFonts w:eastAsia="仿宋_GB2312"/>
                <w:color w:val="auto"/>
                <w:highlight w:val="none"/>
              </w:rPr>
            </w:pPr>
            <w:r>
              <w:rPr>
                <w:rFonts w:hint="eastAsia" w:eastAsia="仿宋_GB2312" w:cs="仿宋_GB2312"/>
                <w:color w:val="auto"/>
                <w:highlight w:val="none"/>
              </w:rPr>
              <w:t>日期：年月日</w:t>
            </w:r>
          </w:p>
        </w:tc>
      </w:tr>
    </w:tbl>
    <w:p>
      <w:pPr>
        <w:ind w:firstLine="480" w:firstLineChars="200"/>
        <w:rPr>
          <w:rFonts w:ascii="仿宋_GB2312" w:eastAsia="仿宋_GB2312"/>
          <w:color w:val="auto"/>
          <w:sz w:val="24"/>
          <w:szCs w:val="24"/>
          <w:highlight w:val="none"/>
        </w:rPr>
      </w:pPr>
    </w:p>
    <w:p>
      <w:pPr>
        <w:ind w:firstLine="480" w:firstLineChars="200"/>
        <w:rPr>
          <w:rFonts w:ascii="仿宋_GB2312" w:eastAsia="仿宋_GB2312"/>
          <w:color w:val="auto"/>
          <w:sz w:val="24"/>
          <w:szCs w:val="24"/>
          <w:highlight w:val="none"/>
        </w:rPr>
      </w:pPr>
      <w:r>
        <w:rPr>
          <w:rFonts w:hint="eastAsia" w:ascii="仿宋_GB2312" w:eastAsia="仿宋_GB2312" w:cs="仿宋_GB2312"/>
          <w:color w:val="auto"/>
          <w:sz w:val="24"/>
          <w:szCs w:val="24"/>
          <w:highlight w:val="none"/>
        </w:rPr>
        <w:t>注：表格内容均需按要求填写并盖章，不得留空</w:t>
      </w:r>
      <w:r>
        <w:rPr>
          <w:rFonts w:ascii="仿宋_GB2312" w:eastAsia="仿宋_GB2312" w:cs="仿宋_GB2312"/>
          <w:color w:val="auto"/>
          <w:sz w:val="24"/>
          <w:szCs w:val="24"/>
          <w:highlight w:val="none"/>
        </w:rPr>
        <w:t xml:space="preserve">, </w:t>
      </w:r>
      <w:r>
        <w:rPr>
          <w:rFonts w:hint="eastAsia" w:ascii="仿宋_GB2312" w:eastAsia="仿宋_GB2312" w:cs="仿宋_GB2312"/>
          <w:color w:val="auto"/>
          <w:sz w:val="24"/>
          <w:szCs w:val="24"/>
          <w:highlight w:val="none"/>
        </w:rPr>
        <w:t>否则按投标无效处理。</w:t>
      </w:r>
    </w:p>
    <w:p>
      <w:pPr>
        <w:ind w:firstLine="480" w:firstLineChars="200"/>
        <w:rPr>
          <w:rFonts w:ascii="仿宋_GB2312" w:eastAsia="仿宋_GB2312"/>
          <w:color w:val="auto"/>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pStyle w:val="24"/>
        <w:ind w:firstLine="602" w:firstLineChars="250"/>
        <w:rPr>
          <w:rFonts w:hAnsi="宋体" w:cs="Times New Roman"/>
          <w:b/>
          <w:bCs/>
          <w:color w:val="auto"/>
          <w:sz w:val="24"/>
          <w:szCs w:val="24"/>
          <w:highlight w:val="none"/>
        </w:rPr>
      </w:pPr>
    </w:p>
    <w:p>
      <w:pPr>
        <w:tabs>
          <w:tab w:val="left" w:pos="3870"/>
          <w:tab w:val="left" w:pos="4085"/>
        </w:tabs>
        <w:snapToGrid w:val="0"/>
        <w:ind w:firstLine="480" w:firstLineChars="200"/>
        <w:rPr>
          <w:rFonts w:ascii="宋体"/>
          <w:color w:val="auto"/>
          <w:highlight w:val="none"/>
        </w:rPr>
      </w:pPr>
      <w:r>
        <w:rPr>
          <w:rFonts w:hAnsi="宋体"/>
          <w:color w:val="auto"/>
          <w:sz w:val="24"/>
          <w:szCs w:val="24"/>
          <w:highlight w:val="none"/>
        </w:rPr>
        <w:br w:type="page"/>
      </w:r>
    </w:p>
    <w:p>
      <w:pPr>
        <w:rPr>
          <w:rFonts w:ascii="宋体"/>
          <w:color w:val="auto"/>
          <w:highlight w:val="none"/>
        </w:rPr>
      </w:pPr>
    </w:p>
    <w:p>
      <w:pPr>
        <w:tabs>
          <w:tab w:val="left" w:pos="3870"/>
          <w:tab w:val="left" w:pos="4085"/>
        </w:tabs>
        <w:snapToGrid w:val="0"/>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投标声明书格式：</w:t>
      </w:r>
    </w:p>
    <w:p>
      <w:pPr>
        <w:snapToGrid w:val="0"/>
        <w:jc w:val="left"/>
        <w:rPr>
          <w:rFonts w:ascii="宋体"/>
          <w:color w:val="auto"/>
          <w:sz w:val="24"/>
          <w:szCs w:val="24"/>
          <w:highlight w:val="none"/>
        </w:rPr>
      </w:pP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投标声明书</w:t>
      </w:r>
    </w:p>
    <w:p>
      <w:pPr>
        <w:snapToGrid w:val="0"/>
        <w:rPr>
          <w:rFonts w:ascii="宋体"/>
          <w:color w:val="auto"/>
          <w:sz w:val="24"/>
          <w:szCs w:val="24"/>
          <w:highlight w:val="none"/>
        </w:rPr>
      </w:pPr>
    </w:p>
    <w:p>
      <w:pPr>
        <w:snapToGrid w:val="0"/>
        <w:rPr>
          <w:rFonts w:ascii="宋体"/>
          <w:color w:val="auto"/>
          <w:sz w:val="24"/>
          <w:szCs w:val="24"/>
          <w:highlight w:val="none"/>
        </w:rPr>
      </w:pPr>
    </w:p>
    <w:p>
      <w:pPr>
        <w:snapToGrid w:val="0"/>
        <w:spacing w:line="460" w:lineRule="exact"/>
        <w:rPr>
          <w:rFonts w:ascii="宋体"/>
          <w:color w:val="auto"/>
          <w:highlight w:val="none"/>
        </w:rPr>
      </w:pPr>
      <w:r>
        <w:rPr>
          <w:rFonts w:hint="eastAsia" w:ascii="宋体" w:hAnsi="宋体" w:cs="宋体"/>
          <w:color w:val="auto"/>
          <w:highlight w:val="none"/>
        </w:rPr>
        <w:t>致：（招标采购单位名称）：</w:t>
      </w:r>
    </w:p>
    <w:p>
      <w:pPr>
        <w:snapToGrid w:val="0"/>
        <w:spacing w:line="460" w:lineRule="exact"/>
        <w:ind w:firstLine="630" w:firstLineChars="300"/>
        <w:rPr>
          <w:rFonts w:ascii="宋体"/>
          <w:color w:val="auto"/>
          <w:highlight w:val="none"/>
        </w:rPr>
      </w:pPr>
      <w:r>
        <w:rPr>
          <w:rFonts w:ascii="宋体" w:hAnsi="宋体" w:cs="宋体"/>
          <w:color w:val="auto"/>
          <w:highlight w:val="none"/>
        </w:rPr>
        <w:t>______</w:t>
      </w:r>
      <w:r>
        <w:rPr>
          <w:rFonts w:hint="eastAsia" w:ascii="宋体" w:hAnsi="宋体" w:cs="宋体"/>
          <w:color w:val="auto"/>
          <w:highlight w:val="none"/>
        </w:rPr>
        <w:t>（投标人名称）系中华人民共和国合法企业，经营地址。</w:t>
      </w:r>
    </w:p>
    <w:p>
      <w:pPr>
        <w:snapToGrid w:val="0"/>
        <w:spacing w:line="460" w:lineRule="exact"/>
        <w:ind w:firstLine="645"/>
        <w:rPr>
          <w:rFonts w:ascii="宋体"/>
          <w:color w:val="auto"/>
          <w:highlight w:val="none"/>
        </w:rPr>
      </w:pPr>
      <w:r>
        <w:rPr>
          <w:rFonts w:hint="eastAsia" w:ascii="宋体" w:hAnsi="宋体" w:cs="宋体"/>
          <w:color w:val="auto"/>
          <w:highlight w:val="none"/>
        </w:rPr>
        <w:t>我方愿意参加贵方组织的项目的投标，为便于贵方公正、择优地确定中标人及其投标产品和服务，我方就本次投标有关事项郑重声明如下：</w:t>
      </w:r>
    </w:p>
    <w:p>
      <w:pPr>
        <w:snapToGrid w:val="0"/>
        <w:spacing w:line="46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我方向贵方提交的所有投标文件、资料都是准确的和真实的。</w:t>
      </w:r>
    </w:p>
    <w:p>
      <w:pPr>
        <w:snapToGrid w:val="0"/>
        <w:spacing w:line="46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我方在参加政府采购活动前</w:t>
      </w:r>
      <w:r>
        <w:rPr>
          <w:rFonts w:ascii="宋体" w:hAnsi="宋体" w:cs="宋体"/>
          <w:color w:val="auto"/>
          <w:highlight w:val="none"/>
        </w:rPr>
        <w:t>3</w:t>
      </w:r>
      <w:r>
        <w:rPr>
          <w:rFonts w:hint="eastAsia" w:ascii="宋体" w:hAnsi="宋体" w:cs="宋体"/>
          <w:color w:val="auto"/>
          <w:highlight w:val="none"/>
        </w:rPr>
        <w:t>年内在经营活动中</w:t>
      </w:r>
      <w:r>
        <w:rPr>
          <w:rFonts w:hint="eastAsia" w:cs="宋体"/>
          <w:color w:val="auto"/>
          <w:highlight w:val="none"/>
          <w:u w:val="single"/>
        </w:rPr>
        <w:t>（填</w:t>
      </w:r>
      <w:r>
        <w:rPr>
          <w:rFonts w:hint="eastAsia" w:ascii="宋体" w:hAnsi="宋体" w:cs="宋体"/>
          <w:color w:val="auto"/>
          <w:highlight w:val="none"/>
          <w:u w:val="single"/>
        </w:rPr>
        <w:t>没有或有</w:t>
      </w:r>
      <w:r>
        <w:rPr>
          <w:rFonts w:hint="eastAsia" w:cs="宋体"/>
          <w:color w:val="auto"/>
          <w:highlight w:val="none"/>
          <w:u w:val="single"/>
        </w:rPr>
        <w:t>）</w:t>
      </w:r>
      <w:r>
        <w:rPr>
          <w:rFonts w:hint="eastAsia" w:ascii="宋体" w:hAnsi="宋体" w:cs="宋体"/>
          <w:color w:val="auto"/>
          <w:highlight w:val="none"/>
        </w:rPr>
        <w:t>重大违法记录（指因违法经营收到刑事处罚或者责令停产停业、吊销许可证或者执照、较大数额罚款等行政处罚）。</w:t>
      </w:r>
    </w:p>
    <w:p>
      <w:pPr>
        <w:snapToGrid w:val="0"/>
        <w:spacing w:line="46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、我方在“信用中国”或“中国政府采购网”的被列为失信被执行人、重大税收违法案件当事人名单、政府采购严重违法失信行为记录名单情况：</w:t>
      </w:r>
      <w:r>
        <w:rPr>
          <w:rFonts w:hint="eastAsia" w:cs="宋体"/>
          <w:color w:val="auto"/>
          <w:highlight w:val="none"/>
        </w:rPr>
        <w:t>。</w:t>
      </w:r>
    </w:p>
    <w:p>
      <w:pPr>
        <w:snapToGrid w:val="0"/>
        <w:spacing w:line="460" w:lineRule="exact"/>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以上事项如有虚假或隐瞒，我方愿意承担一切后果，并不再寻求任何旨在减轻或免除法律责任的辩解。</w:t>
      </w:r>
    </w:p>
    <w:p>
      <w:pPr>
        <w:pStyle w:val="21"/>
        <w:tabs>
          <w:tab w:val="left" w:pos="939"/>
        </w:tabs>
        <w:snapToGrid w:val="0"/>
        <w:spacing w:line="46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21"/>
        <w:tabs>
          <w:tab w:val="left" w:pos="939"/>
        </w:tabs>
        <w:snapToGrid w:val="0"/>
        <w:spacing w:line="420" w:lineRule="exact"/>
        <w:ind w:left="401" w:leftChars="0" w:hanging="401" w:hangingChars="191"/>
        <w:rPr>
          <w:rFonts w:ascii="宋体"/>
          <w:color w:val="auto"/>
          <w:sz w:val="21"/>
          <w:szCs w:val="21"/>
          <w:highlight w:val="none"/>
        </w:rPr>
      </w:pPr>
    </w:p>
    <w:p>
      <w:pPr>
        <w:pStyle w:val="120"/>
        <w:snapToGrid w:val="0"/>
        <w:spacing w:line="420" w:lineRule="exact"/>
        <w:ind w:firstLine="200"/>
        <w:rPr>
          <w:rFonts w:ascii="宋体" w:cs="Times New Roman"/>
          <w:color w:val="auto"/>
          <w:sz w:val="21"/>
          <w:szCs w:val="21"/>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snapToGrid w:val="0"/>
        <w:jc w:val="left"/>
        <w:rPr>
          <w:rFonts w:ascii="宋体"/>
          <w:color w:val="auto"/>
          <w:highlight w:val="none"/>
        </w:rPr>
      </w:pPr>
    </w:p>
    <w:p>
      <w:pPr>
        <w:widowControl/>
        <w:jc w:val="left"/>
        <w:rPr>
          <w:rFonts w:ascii="宋体"/>
          <w:b/>
          <w:bCs/>
          <w:color w:val="auto"/>
          <w:kern w:val="0"/>
          <w:sz w:val="36"/>
          <w:szCs w:val="36"/>
          <w:highlight w:val="none"/>
        </w:rPr>
      </w:pPr>
      <w:r>
        <w:rPr>
          <w:rFonts w:ascii="宋体"/>
          <w:b/>
          <w:bCs/>
          <w:color w:val="auto"/>
          <w:kern w:val="0"/>
          <w:sz w:val="36"/>
          <w:szCs w:val="36"/>
          <w:highlight w:val="none"/>
        </w:rPr>
        <w:br w:type="page"/>
      </w:r>
    </w:p>
    <w:p>
      <w:pPr>
        <w:widowControl/>
        <w:shd w:val="clear" w:color="auto" w:fill="FFFFFF"/>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投标人参加政府采购活动前</w:t>
      </w:r>
      <w:r>
        <w:rPr>
          <w:rFonts w:ascii="宋体" w:hAnsi="宋体" w:cs="宋体"/>
          <w:b/>
          <w:bCs/>
          <w:color w:val="auto"/>
          <w:kern w:val="0"/>
          <w:sz w:val="36"/>
          <w:szCs w:val="36"/>
          <w:highlight w:val="none"/>
        </w:rPr>
        <w:t>3</w:t>
      </w:r>
      <w:r>
        <w:rPr>
          <w:rFonts w:hint="eastAsia" w:ascii="宋体" w:hAnsi="宋体" w:cs="宋体"/>
          <w:b/>
          <w:bCs/>
          <w:color w:val="auto"/>
          <w:kern w:val="0"/>
          <w:sz w:val="36"/>
          <w:szCs w:val="36"/>
          <w:highlight w:val="none"/>
        </w:rPr>
        <w:t>年内在经营活动中没有重大违法记录的声明</w:t>
      </w:r>
    </w:p>
    <w:p>
      <w:pPr>
        <w:widowControl/>
        <w:shd w:val="clear" w:color="auto" w:fill="FFFFFF"/>
        <w:spacing w:line="360" w:lineRule="auto"/>
        <w:jc w:val="left"/>
        <w:rPr>
          <w:rFonts w:ascii="宋体"/>
          <w:color w:val="auto"/>
          <w:kern w:val="0"/>
          <w:sz w:val="24"/>
          <w:szCs w:val="24"/>
          <w:highlight w:val="none"/>
        </w:rPr>
      </w:pPr>
    </w:p>
    <w:p>
      <w:pPr>
        <w:widowControl/>
        <w:shd w:val="clear" w:color="auto" w:fill="FFFFFF"/>
        <w:spacing w:line="360" w:lineRule="auto"/>
        <w:jc w:val="left"/>
        <w:rPr>
          <w:rFonts w:ascii="宋体"/>
          <w:color w:val="auto"/>
          <w:kern w:val="0"/>
          <w:sz w:val="24"/>
          <w:szCs w:val="24"/>
          <w:highlight w:val="none"/>
        </w:rPr>
      </w:pPr>
    </w:p>
    <w:p>
      <w:pPr>
        <w:widowControl/>
        <w:shd w:val="clear" w:color="auto" w:fill="FFFFFF"/>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致：广西建设工程机电设备招标中心有限公司</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本公司郑重声明，在参加投标人参加政府采购活动前</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年内在经营活动中没有重大违法记录（重大违法记录指因违法经营收到刑事处罚或者责令停产停业、吊销许可证或者执照、较大数额罚</w:t>
      </w:r>
      <w:r>
        <w:rPr>
          <w:rFonts w:hint="eastAsia" w:ascii="宋体" w:hAnsi="宋体" w:cs="宋体"/>
          <w:color w:val="auto"/>
          <w:sz w:val="24"/>
          <w:szCs w:val="24"/>
          <w:highlight w:val="none"/>
        </w:rPr>
        <w:t>款等行政处</w:t>
      </w:r>
      <w:r>
        <w:rPr>
          <w:rFonts w:hint="eastAsia" w:ascii="宋体" w:hAnsi="宋体" w:cs="宋体"/>
          <w:color w:val="auto"/>
          <w:kern w:val="0"/>
          <w:sz w:val="24"/>
          <w:szCs w:val="24"/>
          <w:highlight w:val="none"/>
        </w:rPr>
        <w:t>罚）</w:t>
      </w:r>
    </w:p>
    <w:p>
      <w:pPr>
        <w:widowControl/>
        <w:shd w:val="clear" w:color="auto" w:fill="FFFFFF"/>
        <w:spacing w:line="360" w:lineRule="auto"/>
        <w:ind w:firstLine="480"/>
        <w:jc w:val="left"/>
        <w:rPr>
          <w:rFonts w:ascii="宋体"/>
          <w:color w:val="auto"/>
          <w:kern w:val="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2280" w:firstLineChars="950"/>
        <w:rPr>
          <w:rFonts w:ascii="宋体" w:cs="宋体"/>
          <w:color w:val="auto"/>
          <w:sz w:val="24"/>
          <w:szCs w:val="24"/>
          <w:highlight w:val="none"/>
        </w:rPr>
      </w:pPr>
    </w:p>
    <w:p>
      <w:pPr>
        <w:snapToGrid w:val="0"/>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b/>
          <w:bCs/>
          <w:color w:val="auto"/>
          <w:sz w:val="24"/>
          <w:szCs w:val="24"/>
          <w:highlight w:val="none"/>
        </w:rPr>
      </w:pPr>
      <w:r>
        <w:rPr>
          <w:rFonts w:ascii="宋体"/>
          <w:b/>
          <w:bCs/>
          <w:color w:val="auto"/>
          <w:sz w:val="24"/>
          <w:szCs w:val="24"/>
          <w:highlight w:val="none"/>
        </w:rPr>
        <w:br w:type="page"/>
      </w:r>
      <w:r>
        <w:rPr>
          <w:rFonts w:hint="eastAsia" w:ascii="宋体" w:hAnsi="宋体" w:cs="宋体"/>
          <w:b/>
          <w:bCs/>
          <w:color w:val="auto"/>
          <w:sz w:val="24"/>
          <w:szCs w:val="24"/>
          <w:highlight w:val="none"/>
        </w:rPr>
        <w:t>法定代表人身份证明书格式：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法定代表人身份证明书</w:t>
      </w:r>
    </w:p>
    <w:p>
      <w:pPr>
        <w:ind w:firstLine="840" w:firstLineChars="400"/>
        <w:rPr>
          <w:rFonts w:ascii="宋体"/>
          <w:color w:val="auto"/>
          <w:highlight w:val="none"/>
          <w:u w:val="single"/>
        </w:rPr>
      </w:pPr>
    </w:p>
    <w:p>
      <w:pPr>
        <w:ind w:firstLine="960" w:firstLineChars="400"/>
        <w:rPr>
          <w:rFonts w:ascii="宋体"/>
          <w:color w:val="auto"/>
          <w:sz w:val="24"/>
          <w:szCs w:val="24"/>
          <w:highlight w:val="none"/>
        </w:rPr>
      </w:pPr>
      <w:r>
        <w:rPr>
          <w:rFonts w:hint="eastAsia" w:ascii="宋体" w:hAnsi="宋体" w:cs="宋体"/>
          <w:color w:val="auto"/>
          <w:sz w:val="24"/>
          <w:szCs w:val="24"/>
          <w:highlight w:val="none"/>
          <w:u w:val="single"/>
        </w:rPr>
        <w:t>（法定代表人名字）</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任职务，是</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的法定代表人。</w:t>
      </w:r>
    </w:p>
    <w:p>
      <w:pPr>
        <w:ind w:firstLine="840" w:firstLineChars="350"/>
        <w:rPr>
          <w:rFonts w:ascii="宋体"/>
          <w:color w:val="auto"/>
          <w:sz w:val="24"/>
          <w:szCs w:val="24"/>
          <w:highlight w:val="none"/>
        </w:rPr>
      </w:pPr>
      <w:r>
        <w:rPr>
          <w:rFonts w:hint="eastAsia" w:ascii="宋体" w:hAnsi="宋体" w:cs="宋体"/>
          <w:color w:val="auto"/>
          <w:sz w:val="24"/>
          <w:szCs w:val="24"/>
          <w:highlight w:val="none"/>
        </w:rPr>
        <w:t>特此证明。</w:t>
      </w:r>
    </w:p>
    <w:p>
      <w:pPr>
        <w:rPr>
          <w:rFonts w:ascii="宋体"/>
          <w:color w:val="auto"/>
          <w:sz w:val="24"/>
          <w:szCs w:val="24"/>
          <w:highlight w:val="none"/>
        </w:rPr>
      </w:pPr>
    </w:p>
    <w:p>
      <w:pPr>
        <w:rPr>
          <w:rFonts w:ascii="宋体"/>
          <w:color w:val="auto"/>
          <w:sz w:val="24"/>
          <w:szCs w:val="24"/>
          <w:highlight w:val="none"/>
        </w:rPr>
      </w:pPr>
    </w:p>
    <w:p>
      <w:pPr>
        <w:rPr>
          <w:rFonts w:ascii="宋体"/>
          <w:color w:val="auto"/>
          <w:sz w:val="24"/>
          <w:szCs w:val="24"/>
          <w:highlight w:val="none"/>
          <w:u w:val="single"/>
        </w:rPr>
      </w:pPr>
      <w:r>
        <w:rPr>
          <w:rFonts w:hint="eastAsia" w:ascii="宋体" w:hAnsi="宋体" w:cs="宋体"/>
          <w:color w:val="auto"/>
          <w:sz w:val="24"/>
          <w:szCs w:val="24"/>
          <w:highlight w:val="none"/>
        </w:rPr>
        <w:t>单位名称：</w:t>
      </w:r>
    </w:p>
    <w:p>
      <w:pPr>
        <w:rPr>
          <w:rFonts w:ascii="宋体"/>
          <w:color w:val="auto"/>
          <w:sz w:val="24"/>
          <w:szCs w:val="24"/>
          <w:highlight w:val="none"/>
        </w:rPr>
      </w:pPr>
      <w:r>
        <w:rPr>
          <w:rFonts w:hint="eastAsia" w:ascii="宋体" w:hAnsi="宋体" w:cs="宋体"/>
          <w:color w:val="auto"/>
          <w:sz w:val="24"/>
          <w:szCs w:val="24"/>
          <w:highlight w:val="none"/>
        </w:rPr>
        <w:t>（单位公章）</w:t>
      </w:r>
    </w:p>
    <w:p>
      <w:pPr>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法定代表人身份证号码：</w:t>
      </w:r>
    </w:p>
    <w:p>
      <w:pPr>
        <w:ind w:firstLine="360" w:firstLineChars="150"/>
        <w:rPr>
          <w:rFonts w:ascii="宋体"/>
          <w:color w:val="auto"/>
          <w:sz w:val="24"/>
          <w:szCs w:val="24"/>
          <w:highlight w:val="none"/>
        </w:rPr>
      </w:pPr>
    </w:p>
    <w:p>
      <w:pPr>
        <w:ind w:firstLine="360" w:firstLineChars="150"/>
        <w:rPr>
          <w:rFonts w:ascii="宋体"/>
          <w:color w:val="auto"/>
          <w:sz w:val="24"/>
          <w:szCs w:val="24"/>
          <w:highlight w:val="none"/>
        </w:rPr>
      </w:pPr>
      <w:r>
        <w:rPr>
          <w:rFonts w:hint="eastAsia" w:ascii="宋体" w:hAnsi="宋体" w:cs="宋体"/>
          <w:color w:val="auto"/>
          <w:sz w:val="24"/>
          <w:szCs w:val="24"/>
          <w:highlight w:val="none"/>
        </w:rPr>
        <w:t>住址：</w:t>
      </w:r>
    </w:p>
    <w:p>
      <w:pPr>
        <w:pStyle w:val="24"/>
        <w:jc w:val="center"/>
        <w:rPr>
          <w:rFonts w:hAnsi="宋体" w:cs="Times New Roman"/>
          <w:color w:val="auto"/>
          <w:sz w:val="24"/>
          <w:szCs w:val="24"/>
          <w:highlight w:val="none"/>
        </w:rPr>
      </w:pPr>
    </w:p>
    <w:p>
      <w:pPr>
        <w:snapToGrid w:val="0"/>
        <w:ind w:firstLine="470" w:firstLineChars="196"/>
        <w:jc w:val="center"/>
        <w:rPr>
          <w:rFonts w:ascii="宋体"/>
          <w:b/>
          <w:bCs/>
          <w:color w:val="auto"/>
          <w:sz w:val="24"/>
          <w:szCs w:val="24"/>
          <w:highlight w:val="none"/>
        </w:rPr>
      </w:pPr>
      <w:r>
        <w:rPr>
          <w:rFonts w:ascii="宋体"/>
          <w:color w:val="auto"/>
          <w:sz w:val="24"/>
          <w:szCs w:val="24"/>
          <w:highlight w:val="none"/>
        </w:rPr>
        <w:br w:type="page"/>
      </w:r>
      <w:r>
        <w:rPr>
          <w:rFonts w:hint="eastAsia" w:ascii="宋体" w:hAnsi="宋体" w:cs="宋体"/>
          <w:b/>
          <w:bCs/>
          <w:color w:val="auto"/>
          <w:sz w:val="24"/>
          <w:szCs w:val="24"/>
          <w:highlight w:val="none"/>
        </w:rPr>
        <w:t>投标人法定代表人身份证复印件</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投标人法定代表人身份证复印件：</w:t>
      </w:r>
    </w:p>
    <w:p>
      <w:pPr>
        <w:rPr>
          <w:rFonts w:ascii="宋体"/>
          <w:color w:val="auto"/>
          <w:highlight w:val="none"/>
        </w:rPr>
      </w:pPr>
    </w:p>
    <w:tbl>
      <w:tblPr>
        <w:tblStyle w:val="43"/>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43"/>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p>
            <w:pPr>
              <w:jc w:val="center"/>
              <w:rPr>
                <w:rFonts w:ascii="宋体"/>
                <w:color w:val="auto"/>
                <w:highlight w:val="none"/>
              </w:rPr>
            </w:pP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法定代表人签名（签章）：</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投标单位（公章）：</w:t>
      </w:r>
    </w:p>
    <w:p>
      <w:pPr>
        <w:rPr>
          <w:rFonts w:ascii="宋体"/>
          <w:color w:val="auto"/>
          <w:highlight w:val="none"/>
        </w:rPr>
      </w:pPr>
    </w:p>
    <w:p>
      <w:pPr>
        <w:ind w:firstLine="735" w:firstLineChars="350"/>
        <w:rPr>
          <w:rFonts w:ascii="宋体"/>
          <w:b/>
          <w:bCs/>
          <w:color w:val="auto"/>
          <w:sz w:val="24"/>
          <w:szCs w:val="24"/>
          <w:highlight w:val="none"/>
        </w:rPr>
      </w:pPr>
      <w:r>
        <w:rPr>
          <w:rFonts w:hint="eastAsia" w:ascii="宋体" w:hAnsi="宋体" w:cs="宋体"/>
          <w:color w:val="auto"/>
          <w:highlight w:val="none"/>
        </w:rPr>
        <w:t>年月日</w:t>
      </w:r>
      <w:r>
        <w:rPr>
          <w:rFonts w:ascii="宋体"/>
          <w:color w:val="auto"/>
          <w:highlight w:val="none"/>
        </w:rPr>
        <w:br w:type="page"/>
      </w:r>
      <w:r>
        <w:rPr>
          <w:rFonts w:hint="eastAsia" w:ascii="宋体" w:hAnsi="宋体" w:cs="宋体"/>
          <w:b/>
          <w:bCs/>
          <w:color w:val="auto"/>
          <w:sz w:val="24"/>
          <w:szCs w:val="24"/>
          <w:highlight w:val="none"/>
        </w:rPr>
        <w:t>授权委托书格式：</w:t>
      </w: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授权委托书（格式一）</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我（姓名）系（投标人名称）的法定代表人（投标人若为其他组织形式无法定代表人的应为机构负责人），现授权委托本单位在职职工（姓名）以我方的名义参加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项目的投标活动，并代表我方全权办理针对上述项目的投标、开标、评标、签约等具体事务和签署相关文件。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我方对被授权人的签名事项负全部责任。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所在部门：</w:t>
      </w:r>
    </w:p>
    <w:p>
      <w:pPr>
        <w:snapToGrid w:val="0"/>
        <w:rPr>
          <w:rFonts w:ascii="宋体"/>
          <w:color w:val="auto"/>
          <w:sz w:val="24"/>
          <w:szCs w:val="24"/>
          <w:highlight w:val="none"/>
        </w:rPr>
      </w:pPr>
      <w:r>
        <w:rPr>
          <w:rFonts w:hint="eastAsia" w:ascii="宋体" w:hAnsi="宋体" w:cs="宋体"/>
          <w:color w:val="auto"/>
          <w:sz w:val="24"/>
          <w:szCs w:val="24"/>
          <w:highlight w:val="none"/>
        </w:rPr>
        <w:t>职务：</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法定代表人（签字或盖章）：</w:t>
      </w:r>
    </w:p>
    <w:p>
      <w:pPr>
        <w:snapToGrid w:val="0"/>
        <w:ind w:firstLine="5400" w:firstLineChars="2250"/>
        <w:rPr>
          <w:rFonts w:ascii="宋体"/>
          <w:color w:val="auto"/>
          <w:sz w:val="24"/>
          <w:szCs w:val="24"/>
          <w:highlight w:val="none"/>
        </w:rPr>
      </w:pPr>
      <w:r>
        <w:rPr>
          <w:rFonts w:hint="eastAsia" w:ascii="宋体" w:hAnsi="宋体" w:cs="宋体"/>
          <w:color w:val="auto"/>
          <w:sz w:val="24"/>
          <w:szCs w:val="24"/>
          <w:highlight w:val="none"/>
        </w:rPr>
        <w:t>投标人公章：</w:t>
      </w:r>
    </w:p>
    <w:p>
      <w:pPr>
        <w:snapToGrid w:val="0"/>
        <w:ind w:firstLine="470" w:firstLineChars="196"/>
        <w:jc w:val="left"/>
        <w:rPr>
          <w:rFonts w:ascii="宋体" w:cs="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rPr>
          <w:rFonts w:ascii="宋体"/>
          <w:color w:val="auto"/>
          <w:highlight w:val="none"/>
        </w:rPr>
      </w:pPr>
    </w:p>
    <w:p>
      <w:pPr>
        <w:rPr>
          <w:rFonts w:ascii="宋体"/>
          <w:color w:val="auto"/>
          <w:highlight w:val="none"/>
        </w:rPr>
      </w:pPr>
    </w:p>
    <w:p>
      <w:pPr>
        <w:rPr>
          <w:rFonts w:ascii="宋体"/>
          <w:color w:val="auto"/>
          <w:highlight w:val="none"/>
        </w:rPr>
      </w:pPr>
    </w:p>
    <w:p>
      <w:pPr>
        <w:jc w:val="center"/>
        <w:rPr>
          <w:rFonts w:ascii="宋体"/>
          <w:b/>
          <w:bCs/>
          <w:color w:val="auto"/>
          <w:sz w:val="32"/>
          <w:szCs w:val="32"/>
          <w:highlight w:val="none"/>
        </w:rPr>
      </w:pPr>
      <w:r>
        <w:rPr>
          <w:rFonts w:hint="eastAsia" w:ascii="宋体" w:hAnsi="宋体" w:cs="宋体"/>
          <w:b/>
          <w:bCs/>
          <w:color w:val="auto"/>
          <w:sz w:val="32"/>
          <w:szCs w:val="32"/>
          <w:highlight w:val="none"/>
        </w:rPr>
        <w:t>授权委托书（格式二）</w:t>
      </w:r>
    </w:p>
    <w:p>
      <w:pPr>
        <w:snapToGrid w:val="0"/>
        <w:rPr>
          <w:rFonts w:ascii="宋体"/>
          <w:color w:val="auto"/>
          <w:sz w:val="24"/>
          <w:szCs w:val="24"/>
          <w:highlight w:val="none"/>
        </w:rPr>
      </w:pPr>
    </w:p>
    <w:p>
      <w:pPr>
        <w:snapToGrid w:val="0"/>
        <w:rPr>
          <w:rFonts w:ascii="宋体"/>
          <w:b/>
          <w:bCs/>
          <w:color w:val="auto"/>
          <w:sz w:val="24"/>
          <w:szCs w:val="24"/>
          <w:highlight w:val="none"/>
        </w:rPr>
      </w:pPr>
      <w:r>
        <w:rPr>
          <w:rFonts w:hint="eastAsia" w:ascii="宋体" w:hAnsi="宋体" w:cs="宋体"/>
          <w:color w:val="auto"/>
          <w:sz w:val="24"/>
          <w:szCs w:val="24"/>
          <w:highlight w:val="none"/>
        </w:rPr>
        <w:t>致：（招标采购单位名称）：</w:t>
      </w:r>
    </w:p>
    <w:p>
      <w:pPr>
        <w:snapToGrid w:val="0"/>
        <w:ind w:firstLine="720" w:firstLineChars="300"/>
        <w:rPr>
          <w:rFonts w:ascii="宋体"/>
          <w:color w:val="auto"/>
          <w:sz w:val="24"/>
          <w:szCs w:val="24"/>
          <w:highlight w:val="none"/>
        </w:rPr>
      </w:pPr>
      <w:r>
        <w:rPr>
          <w:rFonts w:hint="eastAsia" w:ascii="宋体" w:hAnsi="宋体" w:cs="宋体"/>
          <w:color w:val="auto"/>
          <w:sz w:val="24"/>
          <w:szCs w:val="24"/>
          <w:highlight w:val="none"/>
        </w:rPr>
        <w:t>我（姓名）系自然人，现授权委托（姓名）以本人名义参加</w:t>
      </w:r>
      <w:r>
        <w:rPr>
          <w:rFonts w:hint="eastAsia" w:ascii="宋体" w:hAnsi="宋体" w:cs="宋体"/>
          <w:color w:val="auto"/>
          <w:sz w:val="24"/>
          <w:szCs w:val="24"/>
          <w:highlight w:val="none"/>
          <w:u w:val="single"/>
        </w:rPr>
        <w:t>（项目名称和编号）</w:t>
      </w:r>
      <w:r>
        <w:rPr>
          <w:rFonts w:hint="eastAsia" w:ascii="宋体" w:hAnsi="宋体" w:cs="宋体"/>
          <w:color w:val="auto"/>
          <w:sz w:val="24"/>
          <w:szCs w:val="24"/>
          <w:highlight w:val="none"/>
        </w:rPr>
        <w:t>项目的投标活动，并代表本人全权办理针对上述项目的投标、开标、评标、签约等具体事务和签署相关文件。</w:t>
      </w:r>
    </w:p>
    <w:p>
      <w:pPr>
        <w:snapToGrid w:val="0"/>
        <w:rPr>
          <w:rFonts w:ascii="宋体"/>
          <w:color w:val="auto"/>
          <w:sz w:val="24"/>
          <w:szCs w:val="24"/>
          <w:highlight w:val="none"/>
        </w:rPr>
      </w:pPr>
      <w:r>
        <w:rPr>
          <w:rFonts w:hint="eastAsia" w:ascii="宋体" w:hAnsi="宋体" w:cs="宋体"/>
          <w:color w:val="auto"/>
          <w:sz w:val="24"/>
          <w:szCs w:val="24"/>
          <w:highlight w:val="none"/>
        </w:rPr>
        <w:t>本人对被授权人的签名事项负全部责任。</w:t>
      </w:r>
    </w:p>
    <w:p>
      <w:pPr>
        <w:snapToGrid w:val="0"/>
        <w:ind w:firstLine="480"/>
        <w:rPr>
          <w:rFonts w:ascii="宋体"/>
          <w:color w:val="auto"/>
          <w:sz w:val="24"/>
          <w:szCs w:val="24"/>
          <w:highlight w:val="none"/>
        </w:rPr>
      </w:pPr>
      <w:r>
        <w:rPr>
          <w:rFonts w:hint="eastAsia" w:ascii="宋体" w:hAnsi="宋体" w:cs="宋体"/>
          <w:color w:val="auto"/>
          <w:sz w:val="24"/>
          <w:szCs w:val="24"/>
          <w:highlight w:val="none"/>
          <w:u w:val="single"/>
        </w:rPr>
        <w:t>在撤销授权的书面通知以前，本授权书一直有效。</w:t>
      </w:r>
      <w:r>
        <w:rPr>
          <w:rFonts w:hint="eastAsia" w:ascii="宋体" w:hAnsi="宋体" w:cs="宋体"/>
          <w:color w:val="auto"/>
          <w:sz w:val="24"/>
          <w:szCs w:val="24"/>
          <w:highlight w:val="none"/>
        </w:rPr>
        <w:t>被授权人在授权书有效期内签署的所有文件不因授权的撤销而失效。</w:t>
      </w:r>
    </w:p>
    <w:p>
      <w:pPr>
        <w:snapToGrid w:val="0"/>
        <w:ind w:firstLine="480"/>
        <w:rPr>
          <w:rFonts w:ascii="宋体"/>
          <w:color w:val="auto"/>
          <w:sz w:val="24"/>
          <w:szCs w:val="24"/>
          <w:highlight w:val="none"/>
        </w:rPr>
      </w:pPr>
      <w:r>
        <w:rPr>
          <w:rFonts w:hint="eastAsia" w:ascii="宋体" w:hAnsi="宋体" w:cs="宋体"/>
          <w:color w:val="auto"/>
          <w:sz w:val="24"/>
          <w:szCs w:val="24"/>
          <w:highlight w:val="none"/>
        </w:rPr>
        <w:t>被授权人无转委托权，特此委托。</w:t>
      </w:r>
    </w:p>
    <w:p>
      <w:pPr>
        <w:snapToGrid w:val="0"/>
        <w:rPr>
          <w:rFonts w:ascii="宋体"/>
          <w:color w:val="auto"/>
          <w:sz w:val="24"/>
          <w:szCs w:val="24"/>
          <w:highlight w:val="none"/>
        </w:rPr>
      </w:pPr>
    </w:p>
    <w:p>
      <w:pPr>
        <w:snapToGrid w:val="0"/>
        <w:rPr>
          <w:rFonts w:ascii="宋体"/>
          <w:color w:val="auto"/>
          <w:sz w:val="24"/>
          <w:szCs w:val="24"/>
          <w:highlight w:val="none"/>
          <w:u w:val="single"/>
        </w:rPr>
      </w:pPr>
      <w:r>
        <w:rPr>
          <w:rFonts w:hint="eastAsia" w:ascii="宋体" w:hAnsi="宋体" w:cs="宋体"/>
          <w:color w:val="auto"/>
          <w:sz w:val="24"/>
          <w:szCs w:val="24"/>
          <w:highlight w:val="none"/>
        </w:rPr>
        <w:t>被授权人签名：</w:t>
      </w:r>
    </w:p>
    <w:p>
      <w:pPr>
        <w:snapToGrid w:val="0"/>
        <w:rPr>
          <w:rFonts w:ascii="宋体"/>
          <w:color w:val="auto"/>
          <w:sz w:val="24"/>
          <w:szCs w:val="24"/>
          <w:highlight w:val="none"/>
        </w:rPr>
      </w:pPr>
      <w:r>
        <w:rPr>
          <w:rFonts w:hint="eastAsia" w:ascii="宋体" w:hAnsi="宋体" w:cs="宋体"/>
          <w:color w:val="auto"/>
          <w:sz w:val="24"/>
          <w:szCs w:val="24"/>
          <w:highlight w:val="none"/>
        </w:rPr>
        <w:t>被授权人身份证号码：</w:t>
      </w:r>
    </w:p>
    <w:p>
      <w:pPr>
        <w:snapToGrid w:val="0"/>
        <w:rPr>
          <w:rFonts w:ascii="宋体"/>
          <w:color w:val="auto"/>
          <w:sz w:val="24"/>
          <w:szCs w:val="24"/>
          <w:highlight w:val="none"/>
        </w:rPr>
      </w:pPr>
    </w:p>
    <w:p>
      <w:pPr>
        <w:snapToGrid w:val="0"/>
        <w:ind w:firstLine="3000" w:firstLineChars="1250"/>
        <w:rPr>
          <w:rFonts w:ascii="宋体"/>
          <w:color w:val="auto"/>
          <w:sz w:val="24"/>
          <w:szCs w:val="24"/>
          <w:highlight w:val="none"/>
        </w:rPr>
      </w:pPr>
      <w:r>
        <w:rPr>
          <w:rFonts w:hint="eastAsia" w:ascii="宋体" w:hAnsi="宋体" w:cs="宋体"/>
          <w:color w:val="auto"/>
          <w:sz w:val="24"/>
          <w:szCs w:val="24"/>
          <w:highlight w:val="none"/>
        </w:rPr>
        <w:t>自然人签名并在签名处加盖指印：</w:t>
      </w:r>
    </w:p>
    <w:p>
      <w:pPr>
        <w:snapToGrid w:val="0"/>
        <w:ind w:firstLine="5400" w:firstLineChars="2250"/>
        <w:rPr>
          <w:rFonts w:ascii="宋体"/>
          <w:color w:val="auto"/>
          <w:sz w:val="24"/>
          <w:szCs w:val="24"/>
          <w:highlight w:val="none"/>
        </w:rPr>
      </w:pPr>
    </w:p>
    <w:p>
      <w:pPr>
        <w:snapToGrid w:val="0"/>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年月日</w:t>
      </w:r>
    </w:p>
    <w:p>
      <w:pPr>
        <w:rPr>
          <w:rFonts w:ascii="宋体"/>
          <w:color w:val="auto"/>
          <w:highlight w:val="none"/>
        </w:rPr>
      </w:pPr>
      <w:r>
        <w:rPr>
          <w:rFonts w:ascii="宋体"/>
          <w:color w:val="auto"/>
          <w:highlight w:val="none"/>
        </w:rPr>
        <w:br w:type="page"/>
      </w:r>
      <w:r>
        <w:rPr>
          <w:rFonts w:hint="eastAsia" w:ascii="宋体" w:hAnsi="宋体" w:cs="宋体"/>
          <w:color w:val="auto"/>
          <w:highlight w:val="none"/>
        </w:rPr>
        <w:t>委托代理人身份证复印件：</w:t>
      </w:r>
    </w:p>
    <w:p>
      <w:pPr>
        <w:rPr>
          <w:rFonts w:ascii="宋体"/>
          <w:color w:val="auto"/>
          <w:highlight w:val="none"/>
        </w:rPr>
      </w:pPr>
    </w:p>
    <w:tbl>
      <w:tblPr>
        <w:tblStyle w:val="43"/>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身份证（正面）</w:t>
            </w:r>
          </w:p>
        </w:tc>
      </w:tr>
    </w:tbl>
    <w:p>
      <w:pPr>
        <w:rPr>
          <w:rFonts w:ascii="宋体"/>
          <w:color w:val="auto"/>
          <w:highlight w:val="none"/>
        </w:rPr>
      </w:pPr>
    </w:p>
    <w:tbl>
      <w:tblPr>
        <w:tblStyle w:val="43"/>
        <w:tblW w:w="69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jc w:val="center"/>
              <w:rPr>
                <w:rFonts w:ascii="宋体"/>
                <w:color w:val="auto"/>
                <w:highlight w:val="none"/>
              </w:rPr>
            </w:pPr>
            <w:r>
              <w:rPr>
                <w:rFonts w:hint="eastAsia" w:ascii="宋体" w:hAnsi="宋体" w:cs="宋体"/>
                <w:color w:val="auto"/>
                <w:highlight w:val="none"/>
              </w:rPr>
              <w:t>身份证（反面）</w:t>
            </w: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委托代理人签名：</w:t>
      </w:r>
    </w:p>
    <w:p>
      <w:pPr>
        <w:rPr>
          <w:rFonts w:ascii="宋体"/>
          <w:color w:val="auto"/>
          <w:highlight w:val="none"/>
        </w:rPr>
      </w:pPr>
    </w:p>
    <w:p>
      <w:pPr>
        <w:rPr>
          <w:rFonts w:ascii="宋体"/>
          <w:color w:val="auto"/>
          <w:highlight w:val="none"/>
        </w:rPr>
      </w:pPr>
      <w:r>
        <w:rPr>
          <w:rFonts w:hint="eastAsia" w:ascii="宋体" w:hAnsi="宋体" w:cs="宋体"/>
          <w:color w:val="auto"/>
          <w:highlight w:val="none"/>
        </w:rPr>
        <w:t>委托单位（公章，自然人除外）：</w:t>
      </w:r>
    </w:p>
    <w:p>
      <w:pPr>
        <w:widowControl/>
        <w:jc w:val="left"/>
        <w:rPr>
          <w:rFonts w:ascii="宋体"/>
          <w:b/>
          <w:bCs/>
          <w:color w:val="auto"/>
          <w:sz w:val="24"/>
          <w:szCs w:val="24"/>
          <w:highlight w:val="none"/>
        </w:rPr>
      </w:pPr>
      <w:r>
        <w:rPr>
          <w:rFonts w:ascii="宋体"/>
          <w:b/>
          <w:bCs/>
          <w:color w:val="auto"/>
          <w:sz w:val="24"/>
          <w:szCs w:val="24"/>
          <w:highlight w:val="none"/>
        </w:rPr>
        <w:br w:type="page"/>
      </w:r>
    </w:p>
    <w:p>
      <w:pPr>
        <w:widowControl/>
        <w:jc w:val="left"/>
        <w:rPr>
          <w:rFonts w:ascii="宋体"/>
          <w:b/>
          <w:bCs/>
          <w:color w:val="auto"/>
          <w:sz w:val="24"/>
          <w:szCs w:val="24"/>
          <w:highlight w:val="none"/>
        </w:rPr>
      </w:pPr>
    </w:p>
    <w:p>
      <w:pPr>
        <w:snapToGrid w:val="0"/>
        <w:jc w:val="left"/>
        <w:rPr>
          <w:rFonts w:ascii="宋体"/>
          <w:b/>
          <w:bCs/>
          <w:color w:val="auto"/>
          <w:sz w:val="24"/>
          <w:szCs w:val="24"/>
          <w:highlight w:val="none"/>
        </w:rPr>
      </w:pPr>
      <w:r>
        <w:rPr>
          <w:rFonts w:hint="eastAsia" w:ascii="宋体" w:hAnsi="宋体" w:cs="宋体"/>
          <w:b/>
          <w:bCs/>
          <w:color w:val="auto"/>
          <w:sz w:val="24"/>
          <w:szCs w:val="24"/>
          <w:highlight w:val="none"/>
        </w:rPr>
        <w:t>商务条款偏离表格式：</w:t>
      </w:r>
    </w:p>
    <w:p>
      <w:pPr>
        <w:snapToGrid w:val="0"/>
        <w:jc w:val="center"/>
        <w:rPr>
          <w:rFonts w:ascii="宋体"/>
          <w:b/>
          <w:bCs/>
          <w:color w:val="auto"/>
          <w:sz w:val="32"/>
          <w:szCs w:val="32"/>
          <w:highlight w:val="none"/>
        </w:rPr>
      </w:pPr>
      <w:r>
        <w:rPr>
          <w:rFonts w:hint="eastAsia" w:ascii="宋体" w:hAnsi="宋体" w:cs="宋体"/>
          <w:b/>
          <w:bCs/>
          <w:color w:val="auto"/>
          <w:sz w:val="32"/>
          <w:szCs w:val="32"/>
          <w:highlight w:val="none"/>
        </w:rPr>
        <w:t>商务条款偏离表</w:t>
      </w:r>
    </w:p>
    <w:p>
      <w:pPr>
        <w:pStyle w:val="24"/>
        <w:spacing w:line="4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服务需求一览表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商务条款</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的要求，详细填写相应的具体内容。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p>
      <w:pPr>
        <w:pStyle w:val="24"/>
        <w:ind w:firstLine="640" w:firstLineChars="200"/>
        <w:rPr>
          <w:rFonts w:ascii="Times New Roman" w:hAnsi="Times New Roman" w:eastAsia="仿宋_GB2312" w:cs="Times New Roman"/>
          <w:color w:val="auto"/>
          <w:sz w:val="32"/>
          <w:szCs w:val="32"/>
          <w:highlight w:val="none"/>
        </w:rPr>
      </w:pPr>
    </w:p>
    <w:tbl>
      <w:tblPr>
        <w:tblStyle w:val="43"/>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项号</w:t>
            </w:r>
          </w:p>
        </w:tc>
        <w:tc>
          <w:tcPr>
            <w:tcW w:w="4071"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招标文件的商务需求</w:t>
            </w:r>
          </w:p>
        </w:tc>
        <w:tc>
          <w:tcPr>
            <w:tcW w:w="3720"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投标文件承诺的商务条款</w:t>
            </w:r>
          </w:p>
        </w:tc>
        <w:tc>
          <w:tcPr>
            <w:tcW w:w="1320" w:type="dxa"/>
            <w:vAlign w:val="center"/>
          </w:tcPr>
          <w:p>
            <w:pPr>
              <w:pStyle w:val="24"/>
              <w:spacing w:line="340" w:lineRule="exact"/>
              <w:jc w:val="center"/>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一</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二</w:t>
            </w:r>
          </w:p>
        </w:tc>
        <w:tc>
          <w:tcPr>
            <w:tcW w:w="4071"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Pr>
          <w:p>
            <w:pPr>
              <w:spacing w:line="340" w:lineRule="exact"/>
              <w:rPr>
                <w:rFonts w:eastAsia="仿宋_GB2312"/>
                <w:color w:val="auto"/>
                <w:highlight w:val="none"/>
              </w:rPr>
            </w:pPr>
            <w:r>
              <w:rPr>
                <w:rFonts w:eastAsia="仿宋_GB2312"/>
                <w:color w:val="auto"/>
                <w:highlight w:val="none"/>
              </w:rPr>
              <w:t>1  ……</w:t>
            </w:r>
          </w:p>
          <w:p>
            <w:pPr>
              <w:spacing w:line="340" w:lineRule="exact"/>
              <w:rPr>
                <w:rFonts w:eastAsia="仿宋_GB2312"/>
                <w:color w:val="auto"/>
                <w:highlight w:val="none"/>
              </w:rPr>
            </w:pPr>
            <w:r>
              <w:rPr>
                <w:rFonts w:eastAsia="仿宋_GB2312"/>
                <w:color w:val="auto"/>
                <w:highlight w:val="none"/>
              </w:rPr>
              <w:t>2  ……</w:t>
            </w:r>
          </w:p>
          <w:p>
            <w:pPr>
              <w:spacing w:line="340" w:lineRule="exact"/>
              <w:rPr>
                <w:rFonts w:eastAsia="仿宋_GB2312"/>
                <w:color w:val="auto"/>
                <w:highlight w:val="none"/>
              </w:rPr>
            </w:pPr>
            <w:r>
              <w:rPr>
                <w:rFonts w:eastAsia="仿宋_GB2312"/>
                <w:color w:val="auto"/>
                <w:highlight w:val="none"/>
              </w:rPr>
              <w:t>3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Pr>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4071"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仿宋_GB2312"/>
                <w:color w:val="auto"/>
                <w:highlight w:val="none"/>
              </w:rPr>
              <w:t>合同签订日期：</w:t>
            </w:r>
            <w:r>
              <w:rPr>
                <w:rFonts w:ascii="Times New Roman" w:hAnsi="Times New Roman" w:eastAsia="仿宋_GB2312" w:cs="Times New Roman"/>
                <w:color w:val="auto"/>
                <w:highlight w:val="none"/>
              </w:rPr>
              <w:t xml:space="preserve">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3720" w:type="dxa"/>
          </w:tcPr>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w:t>
            </w:r>
            <w:r>
              <w:rPr>
                <w:rFonts w:hint="eastAsia" w:ascii="Times New Roman" w:hAnsi="Times New Roman" w:eastAsia="仿宋_GB2312" w:cs="仿宋_GB2312"/>
                <w:color w:val="auto"/>
                <w:highlight w:val="none"/>
              </w:rPr>
              <w:t>合同签订日期：</w:t>
            </w:r>
            <w:r>
              <w:rPr>
                <w:rFonts w:ascii="Times New Roman" w:hAnsi="Times New Roman" w:eastAsia="仿宋_GB2312" w:cs="Times New Roman"/>
                <w:color w:val="auto"/>
                <w:highlight w:val="none"/>
              </w:rPr>
              <w:t xml:space="preserve"> ……</w:t>
            </w:r>
          </w:p>
          <w:p>
            <w:pPr>
              <w:pStyle w:val="24"/>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1320" w:type="dxa"/>
          </w:tcPr>
          <w:p>
            <w:pPr>
              <w:pStyle w:val="24"/>
              <w:spacing w:line="300" w:lineRule="exact"/>
              <w:rPr>
                <w:rFonts w:ascii="Times New Roman" w:hAnsi="Times New Roman" w:eastAsia="仿宋_GB2312" w:cs="Times New Roman"/>
                <w:color w:val="auto"/>
                <w:highlight w:val="none"/>
              </w:rPr>
            </w:pPr>
          </w:p>
          <w:p>
            <w:pPr>
              <w:pStyle w:val="24"/>
              <w:spacing w:line="30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Pr>
          <w:p>
            <w:pPr>
              <w:pStyle w:val="24"/>
              <w:spacing w:line="340" w:lineRule="exact"/>
              <w:rPr>
                <w:rFonts w:ascii="Times New Roman" w:hAnsi="Times New Roman" w:eastAsia="仿宋_GB2312" w:cs="Times New Roman"/>
                <w:color w:val="auto"/>
                <w:highlight w:val="none"/>
              </w:rPr>
            </w:pPr>
            <w:r>
              <w:rPr>
                <w:rFonts w:hint="eastAsia" w:ascii="Times New Roman" w:hAnsi="Times New Roman" w:eastAsia="仿宋_GB2312" w:cs="仿宋_GB2312"/>
                <w:color w:val="auto"/>
                <w:highlight w:val="none"/>
                <w:u w:val="single"/>
              </w:rPr>
              <w:t>　　</w:t>
            </w:r>
            <w:r>
              <w:rPr>
                <w:rFonts w:hint="eastAsia" w:ascii="Times New Roman" w:hAnsi="Times New Roman" w:eastAsia="仿宋_GB2312" w:cs="仿宋_GB2312"/>
                <w:color w:val="auto"/>
                <w:highlight w:val="none"/>
              </w:rPr>
              <w:t>分标（此处有分标时填写具体分标号，无分标时填写</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无</w:t>
            </w:r>
            <w:r>
              <w:rPr>
                <w:rFonts w:ascii="Times New Roman" w:hAnsi="Times New Roman" w:eastAsia="仿宋_GB2312" w:cs="Times New Roman"/>
                <w:color w:val="auto"/>
                <w:highlight w:val="none"/>
              </w:rPr>
              <w:t>”</w:t>
            </w:r>
            <w:r>
              <w:rPr>
                <w:rFonts w:hint="eastAsia" w:ascii="Times New Roman" w:hAnsi="Times New Roman"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r>
              <w:rPr>
                <w:rFonts w:hint="eastAsia" w:ascii="宋体" w:hAnsi="宋体" w:cs="宋体"/>
                <w:color w:val="auto"/>
                <w:highlight w:val="none"/>
              </w:rPr>
              <w:t>（</w:t>
            </w:r>
            <w:r>
              <w:rPr>
                <w:rFonts w:hint="eastAsia" w:eastAsia="仿宋_GB2312" w:cs="仿宋_GB2312"/>
                <w:color w:val="auto"/>
                <w:highlight w:val="none"/>
              </w:rPr>
              <w:t>投标人属自然人的应由自然人签字并加盖指印，投标人若为其他组织形式无法定代表人的应由机构负责人签字或盖章</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4"/>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widowControl/>
        <w:jc w:val="left"/>
        <w:rPr>
          <w:rFonts w:ascii="宋体"/>
          <w:b/>
          <w:bCs/>
          <w:color w:val="auto"/>
          <w:sz w:val="32"/>
          <w:szCs w:val="32"/>
          <w:highlight w:val="none"/>
        </w:rPr>
      </w:pPr>
      <w:r>
        <w:rPr>
          <w:rFonts w:hAnsi="宋体"/>
          <w:b/>
          <w:bCs/>
          <w:color w:val="auto"/>
          <w:sz w:val="32"/>
          <w:szCs w:val="32"/>
          <w:highlight w:val="none"/>
        </w:rPr>
        <w:br w:type="page"/>
      </w:r>
    </w:p>
    <w:p>
      <w:pPr>
        <w:pStyle w:val="24"/>
        <w:ind w:firstLine="380"/>
        <w:jc w:val="center"/>
        <w:rPr>
          <w:rFonts w:hAnsi="宋体" w:cs="Times New Roman"/>
          <w:b/>
          <w:bCs/>
          <w:color w:val="auto"/>
          <w:sz w:val="32"/>
          <w:szCs w:val="32"/>
          <w:highlight w:val="none"/>
        </w:rPr>
      </w:pPr>
    </w:p>
    <w:p>
      <w:pPr>
        <w:pStyle w:val="24"/>
        <w:ind w:firstLine="380"/>
        <w:jc w:val="center"/>
        <w:rPr>
          <w:rFonts w:hAnsi="宋体" w:cs="Times New Roman"/>
          <w:b/>
          <w:bCs/>
          <w:color w:val="auto"/>
          <w:sz w:val="32"/>
          <w:szCs w:val="32"/>
          <w:highlight w:val="none"/>
        </w:rPr>
      </w:pPr>
    </w:p>
    <w:p>
      <w:pPr>
        <w:pStyle w:val="24"/>
        <w:ind w:firstLine="380"/>
        <w:jc w:val="center"/>
        <w:rPr>
          <w:rFonts w:hAnsi="宋体" w:cs="Times New Roman"/>
          <w:b/>
          <w:bCs/>
          <w:color w:val="auto"/>
          <w:sz w:val="32"/>
          <w:szCs w:val="32"/>
          <w:highlight w:val="none"/>
        </w:rPr>
      </w:pPr>
      <w:r>
        <w:rPr>
          <w:rFonts w:hint="eastAsia" w:hAnsi="宋体"/>
          <w:b/>
          <w:bCs/>
          <w:color w:val="auto"/>
          <w:sz w:val="32"/>
          <w:szCs w:val="32"/>
          <w:highlight w:val="none"/>
        </w:rPr>
        <w:t>售后服务承诺书</w:t>
      </w:r>
    </w:p>
    <w:p>
      <w:pPr>
        <w:snapToGrid w:val="0"/>
        <w:jc w:val="center"/>
        <w:rPr>
          <w:rFonts w:ascii="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rPr>
        <w:t>由投标人按《招标需求》及评分办法的要求自行分别填写</w:t>
      </w:r>
      <w:r>
        <w:rPr>
          <w:rFonts w:ascii="宋体" w:hAnsi="宋体" w:cs="宋体"/>
          <w:color w:val="auto"/>
          <w:sz w:val="24"/>
          <w:szCs w:val="24"/>
          <w:highlight w:val="none"/>
        </w:rPr>
        <w:t>)</w:t>
      </w:r>
    </w:p>
    <w:p>
      <w:pPr>
        <w:rPr>
          <w:rFonts w:ascii="宋体"/>
          <w:color w:val="auto"/>
          <w:highlight w:val="none"/>
        </w:rPr>
      </w:pPr>
      <w:r>
        <w:rPr>
          <w:rFonts w:ascii="宋体"/>
          <w:b/>
          <w:bCs/>
          <w:color w:val="auto"/>
          <w:sz w:val="24"/>
          <w:szCs w:val="24"/>
          <w:highlight w:val="none"/>
        </w:rPr>
        <w:br w:type="page"/>
      </w:r>
    </w:p>
    <w:p>
      <w:pPr>
        <w:snapToGrid w:val="0"/>
        <w:ind w:firstLine="472" w:firstLineChars="196"/>
        <w:jc w:val="center"/>
        <w:rPr>
          <w:rFonts w:ascii="宋体"/>
          <w:b/>
          <w:bCs/>
          <w:color w:val="auto"/>
          <w:sz w:val="24"/>
          <w:szCs w:val="24"/>
          <w:highlight w:val="none"/>
        </w:rPr>
      </w:pPr>
    </w:p>
    <w:p>
      <w:pPr>
        <w:snapToGrid w:val="0"/>
        <w:rPr>
          <w:rFonts w:ascii="宋体"/>
          <w:b/>
          <w:bCs/>
          <w:color w:val="auto"/>
          <w:highlight w:val="none"/>
        </w:rPr>
      </w:pPr>
      <w:r>
        <w:rPr>
          <w:rFonts w:hint="eastAsia" w:ascii="宋体" w:hAnsi="宋体" w:cs="宋体"/>
          <w:b/>
          <w:bCs/>
          <w:color w:val="auto"/>
          <w:sz w:val="24"/>
          <w:szCs w:val="24"/>
          <w:highlight w:val="none"/>
        </w:rPr>
        <w:t>投标人类似项目业绩情况一览表格式：</w:t>
      </w:r>
    </w:p>
    <w:tbl>
      <w:tblPr>
        <w:tblStyle w:val="43"/>
        <w:tblW w:w="9213"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991"/>
        <w:gridCol w:w="1786"/>
        <w:gridCol w:w="2364"/>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2" w:hRule="atLeast"/>
        </w:trPr>
        <w:tc>
          <w:tcPr>
            <w:tcW w:w="1860" w:type="dxa"/>
            <w:tcBorders>
              <w:top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采购单位名称</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服务名称</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采购数量</w:t>
            </w:r>
          </w:p>
        </w:tc>
        <w:tc>
          <w:tcPr>
            <w:tcW w:w="23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合同金额（万元）</w:t>
            </w:r>
          </w:p>
        </w:tc>
        <w:tc>
          <w:tcPr>
            <w:tcW w:w="1212" w:type="dxa"/>
            <w:tcBorders>
              <w:top w:val="single" w:color="auto" w:sz="4" w:space="0"/>
              <w:left w:val="single" w:color="auto" w:sz="4" w:space="0"/>
            </w:tcBorders>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860" w:type="dxa"/>
            <w:tcBorders>
              <w:top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786"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2364" w:type="dxa"/>
            <w:tcBorders>
              <w:top w:val="single" w:color="auto" w:sz="4" w:space="0"/>
              <w:left w:val="single" w:color="auto" w:sz="4" w:space="0"/>
              <w:bottom w:val="single" w:color="auto" w:sz="4" w:space="0"/>
              <w:right w:val="single" w:color="auto" w:sz="4" w:space="0"/>
            </w:tcBorders>
          </w:tcPr>
          <w:p>
            <w:pPr>
              <w:snapToGrid w:val="0"/>
              <w:jc w:val="left"/>
              <w:rPr>
                <w:rFonts w:ascii="宋体"/>
                <w:color w:val="auto"/>
                <w:sz w:val="24"/>
                <w:szCs w:val="24"/>
                <w:highlight w:val="none"/>
              </w:rPr>
            </w:pPr>
          </w:p>
        </w:tc>
        <w:tc>
          <w:tcPr>
            <w:tcW w:w="1212" w:type="dxa"/>
            <w:tcBorders>
              <w:top w:val="single" w:color="auto" w:sz="4" w:space="0"/>
              <w:left w:val="single" w:color="auto" w:sz="4" w:space="0"/>
              <w:bottom w:val="single" w:color="auto" w:sz="4" w:space="0"/>
            </w:tcBorders>
          </w:tcPr>
          <w:p>
            <w:pPr>
              <w:snapToGrid w:val="0"/>
              <w:jc w:val="left"/>
              <w:rPr>
                <w:rFonts w:ascii="宋体"/>
                <w:color w:val="auto"/>
                <w:sz w:val="24"/>
                <w:szCs w:val="24"/>
                <w:highlight w:val="none"/>
              </w:rPr>
            </w:pPr>
          </w:p>
        </w:tc>
      </w:tr>
    </w:tbl>
    <w:p>
      <w:pPr>
        <w:snapToGrid w:val="0"/>
        <w:rPr>
          <w:rFonts w:ascii="宋体"/>
          <w:color w:val="auto"/>
          <w:sz w:val="24"/>
          <w:szCs w:val="24"/>
          <w:highlight w:val="none"/>
        </w:rPr>
      </w:pPr>
      <w:r>
        <w:rPr>
          <w:rFonts w:hint="eastAsia" w:ascii="宋体" w:hAnsi="宋体" w:cs="宋体"/>
          <w:color w:val="auto"/>
          <w:sz w:val="24"/>
          <w:szCs w:val="24"/>
          <w:highlight w:val="none"/>
        </w:rPr>
        <w:t>附：销售合同等其他证明复印件</w:t>
      </w: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snapToGrid w:val="0"/>
        <w:rPr>
          <w:rFonts w:ascii="宋体"/>
          <w:color w:val="auto"/>
          <w:spacing w:val="20"/>
          <w:sz w:val="24"/>
          <w:szCs w:val="24"/>
          <w:highlight w:val="none"/>
        </w:rPr>
      </w:pPr>
    </w:p>
    <w:p>
      <w:pPr>
        <w:widowControl/>
        <w:shd w:val="clear" w:color="auto" w:fill="FFFFFF"/>
        <w:spacing w:line="360" w:lineRule="auto"/>
        <w:ind w:firstLine="480"/>
        <w:jc w:val="left"/>
        <w:rPr>
          <w:rFonts w:ascii="宋体"/>
          <w:color w:val="auto"/>
          <w:kern w:val="0"/>
          <w:sz w:val="24"/>
          <w:szCs w:val="24"/>
          <w:highlight w:val="none"/>
        </w:rPr>
      </w:pPr>
    </w:p>
    <w:p>
      <w:pPr>
        <w:snapToGrid w:val="0"/>
        <w:ind w:left="149" w:hanging="148" w:hangingChars="62"/>
        <w:rPr>
          <w:rFonts w:ascii="宋体" w:cs="宋体"/>
          <w:color w:val="auto"/>
          <w:sz w:val="24"/>
          <w:szCs w:val="24"/>
          <w:highlight w:val="none"/>
        </w:rPr>
      </w:pPr>
      <w:r>
        <w:rPr>
          <w:rFonts w:hint="eastAsia" w:ascii="宋体" w:hAnsi="宋体" w:cs="宋体"/>
          <w:color w:val="auto"/>
          <w:sz w:val="24"/>
          <w:szCs w:val="24"/>
          <w:highlight w:val="none"/>
        </w:rPr>
        <w:t>投标人（盖单位公章，自然人除外）：</w:t>
      </w:r>
    </w:p>
    <w:p>
      <w:pPr>
        <w:snapToGrid w:val="0"/>
        <w:ind w:firstLine="1920" w:firstLineChars="800"/>
        <w:rPr>
          <w:rFonts w:ascii="宋体" w:cs="宋体"/>
          <w:color w:val="auto"/>
          <w:sz w:val="24"/>
          <w:szCs w:val="24"/>
          <w:highlight w:val="none"/>
        </w:rPr>
      </w:pPr>
    </w:p>
    <w:p>
      <w:pPr>
        <w:rPr>
          <w:rFonts w:ascii="宋体" w:cs="宋体"/>
          <w:color w:val="auto"/>
          <w:sz w:val="24"/>
          <w:szCs w:val="24"/>
          <w:highlight w:val="none"/>
        </w:rPr>
      </w:pPr>
      <w:r>
        <w:rPr>
          <w:rFonts w:hint="eastAsia" w:ascii="宋体" w:hAnsi="宋体" w:cs="宋体"/>
          <w:color w:val="auto"/>
          <w:sz w:val="24"/>
          <w:szCs w:val="24"/>
          <w:highlight w:val="none"/>
        </w:rPr>
        <w:t>法定代表人或其委托代理人（签字或盖章）：</w:t>
      </w:r>
    </w:p>
    <w:p>
      <w:pPr>
        <w:snapToGrid w:val="0"/>
        <w:ind w:firstLine="1995" w:firstLineChars="950"/>
        <w:rPr>
          <w:rFonts w:ascii="宋体"/>
          <w:color w:val="auto"/>
          <w:highlight w:val="none"/>
        </w:rPr>
      </w:pPr>
    </w:p>
    <w:p>
      <w:pPr>
        <w:snapToGrid w:val="0"/>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rPr>
        <w:t>:_____</w:t>
      </w:r>
      <w:r>
        <w:rPr>
          <w:rFonts w:hint="eastAsia" w:ascii="宋体" w:hAnsi="宋体" w:cs="宋体"/>
          <w:color w:val="auto"/>
          <w:sz w:val="24"/>
          <w:szCs w:val="24"/>
          <w:highlight w:val="none"/>
        </w:rPr>
        <w:t>年</w:t>
      </w:r>
      <w:r>
        <w:rPr>
          <w:rFonts w:ascii="宋体" w:hAnsi="宋体" w:cs="宋体"/>
          <w:color w:val="auto"/>
          <w:sz w:val="24"/>
          <w:szCs w:val="24"/>
          <w:highlight w:val="none"/>
        </w:rPr>
        <w:t>_____</w:t>
      </w:r>
      <w:r>
        <w:rPr>
          <w:rFonts w:hint="eastAsia" w:ascii="宋体" w:hAnsi="宋体" w:cs="宋体"/>
          <w:color w:val="auto"/>
          <w:sz w:val="24"/>
          <w:szCs w:val="24"/>
          <w:highlight w:val="none"/>
        </w:rPr>
        <w:t>月</w:t>
      </w:r>
      <w:r>
        <w:rPr>
          <w:rFonts w:ascii="宋体" w:hAnsi="宋体" w:cs="宋体"/>
          <w:color w:val="auto"/>
          <w:sz w:val="24"/>
          <w:szCs w:val="24"/>
          <w:highlight w:val="none"/>
        </w:rPr>
        <w:t>_____</w:t>
      </w:r>
      <w:r>
        <w:rPr>
          <w:rFonts w:hint="eastAsia" w:ascii="宋体" w:hAnsi="宋体" w:cs="宋体"/>
          <w:color w:val="auto"/>
          <w:sz w:val="24"/>
          <w:szCs w:val="24"/>
          <w:highlight w:val="none"/>
        </w:rPr>
        <w:t>日</w:t>
      </w:r>
    </w:p>
    <w:p>
      <w:pPr>
        <w:snapToGrid w:val="0"/>
        <w:jc w:val="center"/>
        <w:rPr>
          <w:rFonts w:ascii="宋体"/>
          <w:color w:val="auto"/>
          <w:sz w:val="24"/>
          <w:szCs w:val="24"/>
          <w:highlight w:val="none"/>
        </w:rPr>
      </w:pPr>
    </w:p>
    <w:p>
      <w:pPr>
        <w:jc w:val="center"/>
        <w:rPr>
          <w:rFonts w:ascii="宋体"/>
          <w:b/>
          <w:bCs/>
          <w:color w:val="auto"/>
          <w:sz w:val="28"/>
          <w:szCs w:val="28"/>
          <w:highlight w:val="none"/>
        </w:rPr>
      </w:pPr>
      <w:r>
        <w:rPr>
          <w:rFonts w:ascii="宋体"/>
          <w:b/>
          <w:bCs/>
          <w:color w:val="auto"/>
          <w:sz w:val="24"/>
          <w:szCs w:val="24"/>
          <w:highlight w:val="none"/>
        </w:rPr>
        <w:br w:type="page"/>
      </w:r>
      <w:r>
        <w:rPr>
          <w:rFonts w:hint="eastAsia" w:ascii="宋体" w:hAnsi="宋体" w:cs="宋体"/>
          <w:b/>
          <w:bCs/>
          <w:color w:val="auto"/>
          <w:sz w:val="28"/>
          <w:szCs w:val="28"/>
          <w:highlight w:val="none"/>
        </w:rPr>
        <w:t>技术资料表</w:t>
      </w:r>
    </w:p>
    <w:p>
      <w:pPr>
        <w:pStyle w:val="24"/>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请根据所投服务的实际技术参数，逐条对应本项目招标文件第二章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服务需求一览表</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中的服务内容及要求详细填写相应的具体内容。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偏离说明</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一栏应当选择</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正偏离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负偏离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无偏离</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仿宋_GB2312"/>
          <w:color w:val="auto"/>
          <w:sz w:val="32"/>
          <w:szCs w:val="32"/>
          <w:highlight w:val="none"/>
        </w:rPr>
        <w:t>进行填写</w:t>
      </w:r>
    </w:p>
    <w:tbl>
      <w:tblPr>
        <w:tblStyle w:val="43"/>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eastAsia="仿宋_GB2312"/>
                <w:color w:val="auto"/>
                <w:highlight w:val="none"/>
              </w:rPr>
            </w:pPr>
            <w:r>
              <w:rPr>
                <w:rFonts w:hint="eastAsia" w:eastAsia="仿宋_GB2312" w:cs="仿宋_GB2312"/>
                <w:color w:val="auto"/>
                <w:highlight w:val="none"/>
              </w:rPr>
              <w:t>项号</w:t>
            </w:r>
          </w:p>
        </w:tc>
        <w:tc>
          <w:tcPr>
            <w:tcW w:w="3570" w:type="dxa"/>
            <w:gridSpan w:val="2"/>
            <w:vAlign w:val="center"/>
          </w:tcPr>
          <w:p>
            <w:pPr>
              <w:jc w:val="center"/>
              <w:rPr>
                <w:rFonts w:eastAsia="仿宋_GB2312"/>
                <w:color w:val="auto"/>
                <w:highlight w:val="none"/>
              </w:rPr>
            </w:pPr>
            <w:r>
              <w:rPr>
                <w:rFonts w:hint="eastAsia" w:eastAsia="仿宋_GB2312" w:cs="仿宋_GB2312"/>
                <w:color w:val="auto"/>
                <w:highlight w:val="none"/>
              </w:rPr>
              <w:t>招标文件需求</w:t>
            </w:r>
          </w:p>
        </w:tc>
        <w:tc>
          <w:tcPr>
            <w:tcW w:w="4813" w:type="dxa"/>
            <w:gridSpan w:val="2"/>
            <w:vAlign w:val="center"/>
          </w:tcPr>
          <w:p>
            <w:pPr>
              <w:jc w:val="center"/>
              <w:rPr>
                <w:rFonts w:eastAsia="仿宋_GB2312"/>
                <w:color w:val="auto"/>
                <w:highlight w:val="none"/>
              </w:rPr>
            </w:pPr>
            <w:r>
              <w:rPr>
                <w:rFonts w:hint="eastAsia" w:eastAsia="仿宋_GB2312" w:cs="仿宋_GB2312"/>
                <w:color w:val="auto"/>
                <w:highlight w:val="none"/>
              </w:rPr>
              <w:t>投标文件承诺</w:t>
            </w:r>
          </w:p>
        </w:tc>
        <w:tc>
          <w:tcPr>
            <w:tcW w:w="1168" w:type="dxa"/>
            <w:vMerge w:val="restart"/>
            <w:vAlign w:val="center"/>
          </w:tcPr>
          <w:p>
            <w:pPr>
              <w:rPr>
                <w:rFonts w:eastAsia="仿宋_GB2312"/>
                <w:color w:val="auto"/>
                <w:highlight w:val="none"/>
              </w:rPr>
            </w:pPr>
            <w:r>
              <w:rPr>
                <w:rFonts w:hint="eastAsia" w:eastAsia="仿宋_GB2312" w:cs="仿宋_GB2312"/>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eastAsia="仿宋_GB2312"/>
                <w:color w:val="auto"/>
                <w:highlight w:val="none"/>
              </w:rPr>
            </w:pPr>
          </w:p>
        </w:tc>
        <w:tc>
          <w:tcPr>
            <w:tcW w:w="1260" w:type="dxa"/>
            <w:vAlign w:val="center"/>
          </w:tcPr>
          <w:p>
            <w:pPr>
              <w:jc w:val="center"/>
              <w:rPr>
                <w:rFonts w:eastAsia="仿宋_GB2312"/>
                <w:color w:val="auto"/>
                <w:highlight w:val="none"/>
              </w:rPr>
            </w:pPr>
            <w:r>
              <w:rPr>
                <w:rFonts w:hint="eastAsia" w:eastAsia="仿宋_GB2312" w:cs="仿宋_GB2312"/>
                <w:color w:val="auto"/>
                <w:highlight w:val="none"/>
              </w:rPr>
              <w:t>服务名称</w:t>
            </w:r>
          </w:p>
        </w:tc>
        <w:tc>
          <w:tcPr>
            <w:tcW w:w="2310" w:type="dxa"/>
            <w:vAlign w:val="center"/>
          </w:tcPr>
          <w:p>
            <w:pPr>
              <w:jc w:val="center"/>
              <w:rPr>
                <w:rFonts w:eastAsia="仿宋_GB2312"/>
                <w:color w:val="auto"/>
                <w:highlight w:val="none"/>
              </w:rPr>
            </w:pPr>
            <w:r>
              <w:rPr>
                <w:rFonts w:hint="eastAsia" w:eastAsia="仿宋_GB2312" w:cs="仿宋_GB2312"/>
                <w:color w:val="auto"/>
                <w:highlight w:val="none"/>
              </w:rPr>
              <w:t>服务内容及要求</w:t>
            </w:r>
          </w:p>
        </w:tc>
        <w:tc>
          <w:tcPr>
            <w:tcW w:w="1516" w:type="dxa"/>
            <w:vAlign w:val="center"/>
          </w:tcPr>
          <w:p>
            <w:pPr>
              <w:jc w:val="center"/>
              <w:rPr>
                <w:rFonts w:eastAsia="仿宋_GB2312"/>
                <w:color w:val="auto"/>
                <w:highlight w:val="none"/>
              </w:rPr>
            </w:pPr>
            <w:r>
              <w:rPr>
                <w:rFonts w:hint="eastAsia" w:eastAsia="仿宋_GB2312" w:cs="仿宋_GB2312"/>
                <w:color w:val="auto"/>
                <w:highlight w:val="none"/>
              </w:rPr>
              <w:t>服务名称</w:t>
            </w:r>
          </w:p>
        </w:tc>
        <w:tc>
          <w:tcPr>
            <w:tcW w:w="3297" w:type="dxa"/>
            <w:vAlign w:val="center"/>
          </w:tcPr>
          <w:p>
            <w:pPr>
              <w:jc w:val="center"/>
              <w:rPr>
                <w:rFonts w:eastAsia="仿宋_GB2312"/>
                <w:color w:val="auto"/>
                <w:highlight w:val="none"/>
              </w:rPr>
            </w:pPr>
            <w:r>
              <w:rPr>
                <w:rFonts w:hint="eastAsia" w:eastAsia="仿宋_GB2312" w:cs="仿宋_GB2312"/>
                <w:color w:val="auto"/>
                <w:highlight w:val="none"/>
              </w:rPr>
              <w:t>所提供服务的内容</w:t>
            </w:r>
          </w:p>
        </w:tc>
        <w:tc>
          <w:tcPr>
            <w:tcW w:w="1168" w:type="dxa"/>
            <w:vMerge w:val="continue"/>
            <w:vAlign w:val="center"/>
          </w:tcPr>
          <w:p>
            <w:pPr>
              <w:widowControl/>
              <w:jc w:val="left"/>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1</w:t>
            </w:r>
          </w:p>
        </w:tc>
        <w:tc>
          <w:tcPr>
            <w:tcW w:w="1260" w:type="dxa"/>
            <w:vAlign w:val="center"/>
          </w:tcPr>
          <w:p>
            <w:pPr>
              <w:rPr>
                <w:rFonts w:eastAsia="仿宋_GB2312"/>
                <w:color w:val="auto"/>
                <w:highlight w:val="none"/>
              </w:rPr>
            </w:pPr>
            <w:r>
              <w:rPr>
                <w:rFonts w:eastAsia="仿宋_GB2312"/>
                <w:color w:val="auto"/>
                <w:highlight w:val="none"/>
              </w:rPr>
              <w:t>……</w:t>
            </w:r>
          </w:p>
        </w:tc>
        <w:tc>
          <w:tcPr>
            <w:tcW w:w="2310"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516" w:type="dxa"/>
            <w:vAlign w:val="center"/>
          </w:tcPr>
          <w:p>
            <w:pPr>
              <w:rPr>
                <w:rFonts w:eastAsia="仿宋_GB2312"/>
                <w:color w:val="auto"/>
                <w:highlight w:val="none"/>
              </w:rPr>
            </w:pPr>
            <w:r>
              <w:rPr>
                <w:rFonts w:eastAsia="仿宋_GB2312"/>
                <w:color w:val="auto"/>
                <w:highlight w:val="none"/>
              </w:rPr>
              <w:t>……</w:t>
            </w:r>
          </w:p>
        </w:tc>
        <w:tc>
          <w:tcPr>
            <w:tcW w:w="3297"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2</w:t>
            </w:r>
          </w:p>
        </w:tc>
        <w:tc>
          <w:tcPr>
            <w:tcW w:w="1260" w:type="dxa"/>
            <w:vAlign w:val="center"/>
          </w:tcPr>
          <w:p>
            <w:pPr>
              <w:rPr>
                <w:rFonts w:eastAsia="仿宋_GB2312"/>
                <w:color w:val="auto"/>
                <w:highlight w:val="none"/>
              </w:rPr>
            </w:pPr>
            <w:r>
              <w:rPr>
                <w:rFonts w:eastAsia="仿宋_GB2312"/>
                <w:color w:val="auto"/>
                <w:highlight w:val="none"/>
              </w:rPr>
              <w:t>……</w:t>
            </w:r>
          </w:p>
        </w:tc>
        <w:tc>
          <w:tcPr>
            <w:tcW w:w="2310"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516" w:type="dxa"/>
            <w:vAlign w:val="center"/>
          </w:tcPr>
          <w:p>
            <w:pPr>
              <w:rPr>
                <w:rFonts w:eastAsia="仿宋_GB2312"/>
                <w:color w:val="auto"/>
                <w:highlight w:val="none"/>
              </w:rPr>
            </w:pPr>
            <w:r>
              <w:rPr>
                <w:rFonts w:eastAsia="仿宋_GB2312"/>
                <w:color w:val="auto"/>
                <w:highlight w:val="none"/>
              </w:rPr>
              <w:t>……</w:t>
            </w:r>
          </w:p>
        </w:tc>
        <w:tc>
          <w:tcPr>
            <w:tcW w:w="3297" w:type="dxa"/>
            <w:vAlign w:val="center"/>
          </w:tcPr>
          <w:p>
            <w:pPr>
              <w:rPr>
                <w:rFonts w:eastAsia="仿宋_GB2312"/>
                <w:color w:val="auto"/>
                <w:highlight w:val="none"/>
              </w:rPr>
            </w:pPr>
            <w:r>
              <w:rPr>
                <w:rFonts w:eastAsia="仿宋_GB2312"/>
                <w:color w:val="auto"/>
                <w:highlight w:val="none"/>
              </w:rPr>
              <w:t>1  ……</w:t>
            </w:r>
          </w:p>
          <w:p>
            <w:pPr>
              <w:rPr>
                <w:rFonts w:eastAsia="仿宋_GB2312"/>
                <w:color w:val="auto"/>
                <w:highlight w:val="none"/>
              </w:rPr>
            </w:pPr>
            <w:r>
              <w:rPr>
                <w:rFonts w:eastAsia="仿宋_GB2312"/>
                <w:color w:val="auto"/>
                <w:highlight w:val="none"/>
              </w:rPr>
              <w:t>2  ……</w:t>
            </w:r>
          </w:p>
          <w:p>
            <w:pPr>
              <w:rPr>
                <w:rFonts w:eastAsia="仿宋_GB2312"/>
                <w:color w:val="auto"/>
                <w:highlight w:val="none"/>
              </w:rPr>
            </w:pPr>
            <w:r>
              <w:rPr>
                <w:rFonts w:eastAsia="仿宋_GB2312"/>
                <w:color w:val="auto"/>
                <w:highlight w:val="none"/>
              </w:rPr>
              <w:t>3  ……</w:t>
            </w:r>
          </w:p>
          <w:p>
            <w:pPr>
              <w:rPr>
                <w:rFonts w:eastAsia="仿宋_GB2312"/>
                <w:color w:val="auto"/>
                <w:highlight w:val="none"/>
              </w:rPr>
            </w:pPr>
            <w:r>
              <w:rPr>
                <w:rFonts w:eastAsia="仿宋_GB2312"/>
                <w:color w:val="auto"/>
                <w:highlight w:val="none"/>
              </w:rPr>
              <w:t>……</w:t>
            </w:r>
          </w:p>
        </w:tc>
        <w:tc>
          <w:tcPr>
            <w:tcW w:w="1168" w:type="dxa"/>
            <w:vAlign w:val="center"/>
          </w:tcPr>
          <w:p>
            <w:pPr>
              <w:rPr>
                <w:rFonts w:eastAsia="仿宋_GB2312"/>
                <w:color w:val="auto"/>
                <w:highlight w:val="none"/>
              </w:rPr>
            </w:pPr>
            <w:r>
              <w:rPr>
                <w:rFonts w:hint="eastAsia" w:eastAsia="仿宋_GB2312" w:cs="仿宋_GB2312"/>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vAlign w:val="center"/>
          </w:tcPr>
          <w:p>
            <w:pPr>
              <w:rPr>
                <w:rFonts w:eastAsia="仿宋_GB2312"/>
                <w:color w:val="auto"/>
                <w:highlight w:val="none"/>
              </w:rPr>
            </w:pPr>
            <w:r>
              <w:rPr>
                <w:rFonts w:eastAsia="仿宋_GB2312"/>
                <w:color w:val="auto"/>
                <w:highlight w:val="none"/>
              </w:rPr>
              <w:t>...</w:t>
            </w:r>
          </w:p>
        </w:tc>
        <w:tc>
          <w:tcPr>
            <w:tcW w:w="1260" w:type="dxa"/>
            <w:vAlign w:val="center"/>
          </w:tcPr>
          <w:p>
            <w:pPr>
              <w:rPr>
                <w:rFonts w:eastAsia="仿宋_GB2312"/>
                <w:color w:val="auto"/>
                <w:highlight w:val="none"/>
              </w:rPr>
            </w:pPr>
          </w:p>
        </w:tc>
        <w:tc>
          <w:tcPr>
            <w:tcW w:w="2310" w:type="dxa"/>
            <w:vAlign w:val="center"/>
          </w:tcPr>
          <w:p>
            <w:pPr>
              <w:rPr>
                <w:rFonts w:eastAsia="仿宋_GB2312"/>
                <w:color w:val="auto"/>
                <w:highlight w:val="none"/>
              </w:rPr>
            </w:pPr>
          </w:p>
        </w:tc>
        <w:tc>
          <w:tcPr>
            <w:tcW w:w="1516" w:type="dxa"/>
            <w:vAlign w:val="center"/>
          </w:tcPr>
          <w:p>
            <w:pPr>
              <w:rPr>
                <w:rFonts w:eastAsia="仿宋_GB2312"/>
                <w:color w:val="auto"/>
                <w:highlight w:val="none"/>
              </w:rPr>
            </w:pPr>
          </w:p>
        </w:tc>
        <w:tc>
          <w:tcPr>
            <w:tcW w:w="3297" w:type="dxa"/>
            <w:vAlign w:val="center"/>
          </w:tcPr>
          <w:p>
            <w:pPr>
              <w:rPr>
                <w:rFonts w:eastAsia="仿宋_GB2312"/>
                <w:color w:val="auto"/>
                <w:highlight w:val="none"/>
              </w:rPr>
            </w:pPr>
          </w:p>
        </w:tc>
        <w:tc>
          <w:tcPr>
            <w:tcW w:w="1168" w:type="dxa"/>
            <w:vAlign w:val="center"/>
          </w:tcPr>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u w:val="single"/>
              </w:rPr>
              <w:t>　　</w:t>
            </w:r>
            <w:r>
              <w:rPr>
                <w:rFonts w:hint="eastAsia" w:eastAsia="仿宋_GB2312" w:cs="仿宋_GB2312"/>
                <w:color w:val="auto"/>
                <w:highlight w:val="none"/>
              </w:rPr>
              <w:t>分标（此处有分标时填写具体分标号，无分标时填写</w:t>
            </w:r>
            <w:r>
              <w:rPr>
                <w:rFonts w:eastAsia="仿宋_GB2312"/>
                <w:color w:val="auto"/>
                <w:highlight w:val="none"/>
              </w:rPr>
              <w:t>“</w:t>
            </w:r>
            <w:r>
              <w:rPr>
                <w:rFonts w:hint="eastAsia" w:eastAsia="仿宋_GB2312" w:cs="仿宋_GB2312"/>
                <w:color w:val="auto"/>
                <w:highlight w:val="none"/>
              </w:rPr>
              <w:t>无</w:t>
            </w:r>
            <w:r>
              <w:rPr>
                <w:rFonts w:eastAsia="仿宋_GB2312"/>
                <w:color w:val="auto"/>
                <w:highlight w:val="none"/>
              </w:rPr>
              <w:t>”</w:t>
            </w:r>
            <w:r>
              <w:rPr>
                <w:rFonts w:hint="eastAsia" w:eastAsia="仿宋_GB2312"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法定代表人或其委托代理人（签字或盖章）：</w:t>
            </w:r>
          </w:p>
          <w:p>
            <w:pPr>
              <w:rPr>
                <w:rFonts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vAlign w:val="center"/>
          </w:tcPr>
          <w:p>
            <w:pPr>
              <w:rPr>
                <w:rFonts w:eastAsia="仿宋_GB2312"/>
                <w:color w:val="auto"/>
                <w:highlight w:val="none"/>
              </w:rPr>
            </w:pPr>
            <w:r>
              <w:rPr>
                <w:rFonts w:hint="eastAsia" w:eastAsia="仿宋_GB2312" w:cs="仿宋_GB2312"/>
                <w:color w:val="auto"/>
                <w:highlight w:val="none"/>
              </w:rPr>
              <w:t>日期：年月日</w:t>
            </w:r>
          </w:p>
        </w:tc>
      </w:tr>
    </w:tbl>
    <w:p>
      <w:pPr>
        <w:pStyle w:val="24"/>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注：⑴表格内容均需按要求填写并盖章，不得留空，否则按投标无效处理。</w:t>
      </w:r>
    </w:p>
    <w:p>
      <w:pPr>
        <w:pStyle w:val="24"/>
        <w:spacing w:line="400" w:lineRule="exact"/>
        <w:ind w:left="719" w:leftChars="228" w:hanging="240" w:hangingChars="100"/>
        <w:rPr>
          <w:rFonts w:ascii="Times New Roman" w:hAnsi="Times New Roman" w:eastAsia="楷体_GB2312" w:cs="Times New Roman"/>
          <w:color w:val="auto"/>
          <w:sz w:val="24"/>
          <w:szCs w:val="24"/>
          <w:highlight w:val="none"/>
        </w:rPr>
      </w:pPr>
      <w:r>
        <w:rPr>
          <w:rFonts w:hint="eastAsia" w:ascii="Times New Roman" w:hAnsi="Times New Roman" w:eastAsia="楷体_GB2312" w:cs="楷体_GB2312"/>
          <w:color w:val="auto"/>
          <w:sz w:val="24"/>
          <w:szCs w:val="24"/>
          <w:highlight w:val="none"/>
        </w:rPr>
        <w:t>⑵</w:t>
      </w:r>
      <w:r>
        <w:rPr>
          <w:rFonts w:hint="eastAsia" w:ascii="Times New Roman" w:hAnsi="Times New Roman" w:eastAsia="仿宋_GB2312" w:cs="仿宋_GB2312"/>
          <w:color w:val="auto"/>
          <w:sz w:val="24"/>
          <w:szCs w:val="24"/>
          <w:highlight w:val="none"/>
        </w:rPr>
        <w:t>如果投标文件为小于或大于招标文件需求标准时，投标文件承诺不得直接复制招标文件需求，投标文件承诺内容应当写明投标服务具体参数或商务响应承诺的具体内容，否则按投标无效处理。</w:t>
      </w:r>
    </w:p>
    <w:p>
      <w:pPr>
        <w:pStyle w:val="24"/>
        <w:spacing w:line="400" w:lineRule="exact"/>
        <w:ind w:left="719" w:leftChars="228" w:hanging="240" w:hangingChars="100"/>
        <w:rPr>
          <w:rFonts w:ascii="Times New Roman" w:hAnsi="Times New Roman" w:eastAsia="仿宋_GB2312" w:cs="Times New Roman"/>
          <w:color w:val="auto"/>
          <w:sz w:val="24"/>
          <w:szCs w:val="24"/>
          <w:highlight w:val="none"/>
        </w:rPr>
      </w:pPr>
      <w:r>
        <w:rPr>
          <w:rFonts w:hint="eastAsia" w:ascii="Times New Roman" w:hAnsi="Times New Roman" w:eastAsia="仿宋_GB2312" w:cs="仿宋_GB2312"/>
          <w:color w:val="auto"/>
          <w:sz w:val="24"/>
          <w:szCs w:val="24"/>
          <w:highlight w:val="none"/>
        </w:rPr>
        <w:t>⑶当投标文件的服务内容低于招标文件要求时，投标人应当如实写明</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负偏离</w:t>
      </w:r>
      <w:r>
        <w:rPr>
          <w:rFonts w:ascii="Times New Roman" w:hAnsi="Times New Roman" w:eastAsia="仿宋_GB2312" w:cs="Times New Roman"/>
          <w:color w:val="auto"/>
          <w:sz w:val="24"/>
          <w:szCs w:val="24"/>
          <w:highlight w:val="none"/>
        </w:rPr>
        <w:t>”</w:t>
      </w:r>
      <w:r>
        <w:rPr>
          <w:rFonts w:hint="eastAsia" w:ascii="Times New Roman" w:hAnsi="Times New Roman" w:eastAsia="仿宋_GB2312" w:cs="仿宋_GB2312"/>
          <w:color w:val="auto"/>
          <w:sz w:val="24"/>
          <w:szCs w:val="24"/>
          <w:highlight w:val="none"/>
        </w:rPr>
        <w:t>，否则视为虚假应标。</w:t>
      </w:r>
    </w:p>
    <w:p>
      <w:pPr>
        <w:pStyle w:val="24"/>
        <w:spacing w:line="600" w:lineRule="exact"/>
        <w:ind w:left="719" w:leftChars="228" w:hanging="240" w:hangingChars="100"/>
        <w:rPr>
          <w:rFonts w:ascii="Times New Roman" w:hAnsi="Times New Roman" w:eastAsia="仿宋_GB2312" w:cs="Times New Roman"/>
          <w:color w:val="auto"/>
          <w:sz w:val="24"/>
          <w:szCs w:val="24"/>
          <w:highlight w:val="none"/>
        </w:rPr>
      </w:pPr>
    </w:p>
    <w:p>
      <w:pPr>
        <w:snapToGrid w:val="0"/>
        <w:jc w:val="center"/>
        <w:rPr>
          <w:rFonts w:ascii="宋体"/>
          <w:color w:val="auto"/>
          <w:sz w:val="24"/>
          <w:szCs w:val="24"/>
          <w:highlight w:val="none"/>
        </w:rPr>
      </w:pPr>
    </w:p>
    <w:p>
      <w:pPr>
        <w:widowControl/>
        <w:shd w:val="clear" w:color="auto" w:fill="FFFFFF"/>
        <w:spacing w:after="240" w:line="360" w:lineRule="atLeast"/>
        <w:ind w:firstLine="480"/>
        <w:jc w:val="center"/>
        <w:rPr>
          <w:rFonts w:ascii="宋体"/>
          <w:b/>
          <w:bCs/>
          <w:color w:val="auto"/>
          <w:kern w:val="0"/>
          <w:sz w:val="28"/>
          <w:szCs w:val="28"/>
          <w:highlight w:val="none"/>
        </w:rPr>
      </w:pPr>
      <w:r>
        <w:rPr>
          <w:rFonts w:ascii="宋体"/>
          <w:color w:val="auto"/>
          <w:highlight w:val="none"/>
        </w:rPr>
        <w:br w:type="page"/>
      </w:r>
      <w:r>
        <w:rPr>
          <w:rFonts w:hint="eastAsia" w:ascii="宋体" w:hAnsi="宋体" w:cs="宋体"/>
          <w:b/>
          <w:bCs/>
          <w:color w:val="auto"/>
          <w:kern w:val="0"/>
          <w:sz w:val="28"/>
          <w:szCs w:val="28"/>
          <w:highlight w:val="none"/>
        </w:rPr>
        <w:t>中小企业声明函</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r>
        <w:rPr>
          <w:rFonts w:hint="eastAsia" w:ascii="宋体" w:hAnsi="宋体" w:cs="宋体"/>
          <w:color w:val="auto"/>
          <w:kern w:val="0"/>
          <w:sz w:val="24"/>
          <w:szCs w:val="24"/>
          <w:highlight w:val="none"/>
        </w:rPr>
        <w:t>本公司郑重声明，根据《政府采购促进中小企业发展暂行办法》（财库</w:t>
      </w:r>
      <w:r>
        <w:rPr>
          <w:rFonts w:ascii="宋体" w:hAnsi="宋体" w:cs="宋体"/>
          <w:color w:val="auto"/>
          <w:kern w:val="0"/>
          <w:sz w:val="24"/>
          <w:szCs w:val="24"/>
          <w:highlight w:val="none"/>
        </w:rPr>
        <w:t>[2011]181</w:t>
      </w:r>
      <w:r>
        <w:rPr>
          <w:rFonts w:hint="eastAsia" w:ascii="宋体" w:hAnsi="宋体" w:cs="宋体"/>
          <w:color w:val="auto"/>
          <w:kern w:val="0"/>
          <w:sz w:val="24"/>
          <w:szCs w:val="24"/>
          <w:highlight w:val="none"/>
        </w:rPr>
        <w:t>号）的规定，本公司为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（请填写：中型、小型、微型）企业。即，本公司同时满足以下条件：</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根据《工业和信息化部、国家统计局、国家发展和改革委员会、财政部关于印发中小企业划型标准规定的通知》（工信部联企业</w:t>
      </w:r>
      <w:r>
        <w:rPr>
          <w:rFonts w:ascii="宋体" w:hAnsi="宋体" w:cs="宋体"/>
          <w:color w:val="auto"/>
          <w:kern w:val="0"/>
          <w:sz w:val="24"/>
          <w:szCs w:val="24"/>
          <w:highlight w:val="none"/>
        </w:rPr>
        <w:t>[2011]300</w:t>
      </w:r>
      <w:r>
        <w:rPr>
          <w:rFonts w:hint="eastAsia" w:ascii="宋体" w:hAnsi="宋体" w:cs="宋体"/>
          <w:color w:val="auto"/>
          <w:kern w:val="0"/>
          <w:sz w:val="24"/>
          <w:szCs w:val="24"/>
          <w:highlight w:val="none"/>
        </w:rPr>
        <w:t>号）规定的划分标准，本公司为</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w:t>
      </w:r>
    </w:p>
    <w:p>
      <w:pPr>
        <w:widowControl/>
        <w:shd w:val="clear" w:color="auto" w:fill="FFFFFF"/>
        <w:spacing w:line="360" w:lineRule="auto"/>
        <w:ind w:firstLine="48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本公司参加</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单位的</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项目采购活动提供本企业制造的货物，由本企业承担工程、提供服务，或者提供其他</w:t>
      </w:r>
      <w:r>
        <w:rPr>
          <w:rFonts w:ascii="宋体" w:hAnsi="宋体" w:cs="宋体"/>
          <w:color w:val="auto"/>
          <w:kern w:val="0"/>
          <w:sz w:val="24"/>
          <w:szCs w:val="24"/>
          <w:highlight w:val="none"/>
        </w:rPr>
        <w:t>______</w:t>
      </w:r>
      <w:r>
        <w:rPr>
          <w:rFonts w:hint="eastAsia" w:ascii="宋体" w:hAnsi="宋体" w:cs="宋体"/>
          <w:color w:val="auto"/>
          <w:kern w:val="0"/>
          <w:sz w:val="24"/>
          <w:szCs w:val="24"/>
          <w:highlight w:val="none"/>
        </w:rPr>
        <w:t>（请填写：中型、小型、微型）企业制造的货物。本条所称货物不包括使用大型企业注册商标的货物。</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本公司对上述声明的真实性负责。如有虚假，将依法承担相应责任。</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企业名称（盖章）：</w:t>
      </w:r>
    </w:p>
    <w:p>
      <w:pPr>
        <w:widowControl/>
        <w:shd w:val="clear" w:color="auto" w:fill="FFFFFF"/>
        <w:spacing w:line="360" w:lineRule="auto"/>
        <w:ind w:firstLine="480"/>
        <w:jc w:val="left"/>
        <w:rPr>
          <w:rFonts w:ascii="宋体"/>
          <w:color w:val="auto"/>
          <w:kern w:val="0"/>
          <w:sz w:val="24"/>
          <w:szCs w:val="24"/>
          <w:highlight w:val="none"/>
        </w:rPr>
      </w:pPr>
      <w:r>
        <w:rPr>
          <w:rFonts w:ascii="宋体"/>
          <w:color w:val="auto"/>
          <w:kern w:val="0"/>
          <w:sz w:val="24"/>
          <w:szCs w:val="24"/>
          <w:highlight w:val="none"/>
        </w:rPr>
        <w:t> </w:t>
      </w:r>
    </w:p>
    <w:p>
      <w:pPr>
        <w:widowControl/>
        <w:shd w:val="clear" w:color="auto" w:fill="FFFFFF"/>
        <w:spacing w:line="360" w:lineRule="auto"/>
        <w:ind w:firstLine="480"/>
        <w:jc w:val="left"/>
        <w:rPr>
          <w:rFonts w:ascii="宋体"/>
          <w:color w:val="auto"/>
          <w:kern w:val="0"/>
          <w:sz w:val="24"/>
          <w:szCs w:val="24"/>
          <w:highlight w:val="none"/>
        </w:rPr>
      </w:pPr>
      <w:r>
        <w:rPr>
          <w:rFonts w:hint="eastAsia" w:ascii="宋体" w:hAnsi="宋体" w:cs="宋体"/>
          <w:color w:val="auto"/>
          <w:kern w:val="0"/>
          <w:sz w:val="24"/>
          <w:szCs w:val="24"/>
          <w:highlight w:val="none"/>
        </w:rPr>
        <w:t>　　　　　　　　　　　　　　　　　　　　日期：年月日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588" w:lineRule="exact"/>
        <w:jc w:val="center"/>
        <w:rPr>
          <w:rFonts w:ascii="宋体"/>
          <w:b/>
          <w:bCs/>
          <w:color w:val="auto"/>
          <w:spacing w:val="6"/>
          <w:sz w:val="24"/>
          <w:szCs w:val="24"/>
          <w:highlight w:val="none"/>
        </w:rPr>
      </w:pPr>
      <w:bookmarkStart w:id="129" w:name="OLE_LINK14"/>
      <w:bookmarkStart w:id="130" w:name="OLE_LINK13"/>
      <w:r>
        <w:rPr>
          <w:rFonts w:hint="eastAsia" w:ascii="宋体" w:hAnsi="宋体" w:cs="宋体"/>
          <w:b/>
          <w:bCs/>
          <w:color w:val="auto"/>
          <w:spacing w:val="6"/>
          <w:sz w:val="24"/>
          <w:szCs w:val="24"/>
          <w:highlight w:val="none"/>
        </w:rPr>
        <w:t>残疾人福利性单位声明函</w:t>
      </w:r>
    </w:p>
    <w:bookmarkEnd w:id="129"/>
    <w:bookmarkEnd w:id="130"/>
    <w:p>
      <w:pPr>
        <w:spacing w:line="588" w:lineRule="exact"/>
        <w:rPr>
          <w:rFonts w:ascii="宋体"/>
          <w:b/>
          <w:bCs/>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cs="宋体"/>
          <w:color w:val="auto"/>
          <w:sz w:val="24"/>
          <w:szCs w:val="24"/>
          <w:highlight w:val="none"/>
        </w:rPr>
        <w:t>〔</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pacing w:val="6"/>
          <w:sz w:val="24"/>
          <w:szCs w:val="24"/>
          <w:highlight w:val="none"/>
        </w:rPr>
        <w:t>号）的规定，本单位为符合条件的残疾人福利性单位，且本单位参加</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单位的</w:t>
      </w:r>
      <w:r>
        <w:rPr>
          <w:rFonts w:ascii="宋体" w:hAnsi="宋体" w:cs="宋体"/>
          <w:color w:val="auto"/>
          <w:spacing w:val="6"/>
          <w:sz w:val="24"/>
          <w:szCs w:val="24"/>
          <w:highlight w:val="none"/>
        </w:rPr>
        <w:t>______</w:t>
      </w:r>
      <w:r>
        <w:rPr>
          <w:rFonts w:hint="eastAsia" w:ascii="宋体" w:hAnsi="宋体" w:cs="宋体"/>
          <w:color w:val="auto"/>
          <w:spacing w:val="6"/>
          <w:sz w:val="24"/>
          <w:szCs w:val="24"/>
          <w:highlight w:val="none"/>
        </w:rPr>
        <w:t>项目采购活动提供本单位制造的货物（由本单位承担工程</w:t>
      </w:r>
      <w:r>
        <w:rPr>
          <w:rFonts w:ascii="宋体" w:hAnsi="宋体" w:cs="宋体"/>
          <w:color w:val="auto"/>
          <w:spacing w:val="6"/>
          <w:sz w:val="24"/>
          <w:szCs w:val="24"/>
          <w:highlight w:val="none"/>
        </w:rPr>
        <w:t>/</w:t>
      </w:r>
      <w:r>
        <w:rPr>
          <w:rFonts w:hint="eastAsia" w:ascii="宋体" w:hAnsi="宋体" w:cs="宋体"/>
          <w:color w:val="auto"/>
          <w:spacing w:val="6"/>
          <w:sz w:val="24"/>
          <w:szCs w:val="24"/>
          <w:highlight w:val="none"/>
        </w:rPr>
        <w:t>提供服务），或者提供其他残疾人福利性单位制造的货物（不包括使用非残疾人福利性单位注册商标的货物）。</w:t>
      </w:r>
    </w:p>
    <w:p>
      <w:pPr>
        <w:spacing w:line="588" w:lineRule="exact"/>
        <w:ind w:firstLine="504" w:firstLineChars="200"/>
        <w:rPr>
          <w:rFonts w:ascii="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ascii="宋体"/>
          <w:color w:val="auto"/>
          <w:spacing w:val="6"/>
          <w:sz w:val="24"/>
          <w:szCs w:val="24"/>
          <w:highlight w:val="none"/>
        </w:rPr>
      </w:pPr>
    </w:p>
    <w:p>
      <w:pPr>
        <w:spacing w:line="588" w:lineRule="exact"/>
        <w:ind w:firstLine="504" w:firstLineChars="200"/>
        <w:rPr>
          <w:rFonts w:ascii="宋体"/>
          <w:color w:val="auto"/>
          <w:spacing w:val="6"/>
          <w:sz w:val="24"/>
          <w:szCs w:val="24"/>
          <w:highlight w:val="none"/>
        </w:rPr>
      </w:pP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单位名称（盖章）：</w:t>
      </w:r>
    </w:p>
    <w:p>
      <w:pPr>
        <w:tabs>
          <w:tab w:val="left" w:pos="4860"/>
        </w:tabs>
        <w:spacing w:line="588" w:lineRule="exact"/>
        <w:ind w:right="1560" w:firstLine="504" w:firstLineChars="200"/>
        <w:jc w:val="center"/>
        <w:rPr>
          <w:rFonts w:ascii="宋体"/>
          <w:color w:val="auto"/>
          <w:spacing w:val="6"/>
          <w:sz w:val="24"/>
          <w:szCs w:val="24"/>
          <w:highlight w:val="none"/>
        </w:rPr>
      </w:pPr>
      <w:r>
        <w:rPr>
          <w:rFonts w:hint="eastAsia" w:ascii="宋体" w:hAnsi="宋体" w:cs="宋体"/>
          <w:color w:val="auto"/>
          <w:spacing w:val="6"/>
          <w:sz w:val="24"/>
          <w:szCs w:val="24"/>
          <w:highlight w:val="none"/>
        </w:rPr>
        <w:t>日期：</w:t>
      </w:r>
      <w:r>
        <w:rPr>
          <w:rFonts w:hint="eastAsia" w:ascii="宋体" w:hAnsi="宋体" w:cs="宋体"/>
          <w:color w:val="auto"/>
          <w:kern w:val="0"/>
          <w:sz w:val="24"/>
          <w:szCs w:val="24"/>
          <w:highlight w:val="none"/>
        </w:rPr>
        <w:t>年月日</w:t>
      </w: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spacing w:line="360" w:lineRule="auto"/>
        <w:rPr>
          <w:color w:val="auto"/>
          <w:sz w:val="24"/>
          <w:szCs w:val="24"/>
          <w:highlight w:val="none"/>
        </w:rPr>
      </w:pPr>
    </w:p>
    <w:p>
      <w:pPr>
        <w:widowControl/>
        <w:shd w:val="clear" w:color="auto" w:fill="FFFFFF"/>
        <w:spacing w:line="360" w:lineRule="auto"/>
        <w:ind w:firstLine="480"/>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第七章质疑函及投诉书格式</w:t>
      </w:r>
    </w:p>
    <w:p>
      <w:pPr>
        <w:spacing w:line="36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质疑函</w:t>
      </w:r>
    </w:p>
    <w:p>
      <w:pPr>
        <w:tabs>
          <w:tab w:val="left" w:pos="606"/>
        </w:tabs>
        <w:rPr>
          <w:rFonts w:ascii="宋体" w:cs="宋体"/>
          <w:color w:val="auto"/>
          <w:sz w:val="24"/>
          <w:szCs w:val="24"/>
          <w:highlight w:val="none"/>
        </w:rPr>
      </w:pPr>
      <w:r>
        <w:rPr>
          <w:rFonts w:hint="eastAsia" w:ascii="宋体" w:hAnsi="宋体" w:cs="宋体"/>
          <w:color w:val="auto"/>
          <w:sz w:val="24"/>
          <w:szCs w:val="24"/>
          <w:highlight w:val="none"/>
        </w:rPr>
        <w:t>一、质疑供应商基本信息</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联系人：联系电话：</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w:t>
      </w:r>
    </w:p>
    <w:p>
      <w:pPr>
        <w:adjustRightInd w:val="0"/>
        <w:snapToGrid w:val="0"/>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联系电话：</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地址：邮编：</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二、质疑项目基本情况</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质疑项目的编号：包号：</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采购文件获取日期：</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三、质疑事项具体内容</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p>
    <w:p>
      <w:pPr>
        <w:adjustRightInd w:val="0"/>
        <w:snapToGrid w:val="0"/>
        <w:spacing w:line="360" w:lineRule="exact"/>
        <w:rPr>
          <w:rFonts w:ascii="宋体" w:cs="宋体"/>
          <w:color w:val="auto"/>
          <w:sz w:val="24"/>
          <w:szCs w:val="24"/>
          <w:highlight w:val="none"/>
        </w:rPr>
      </w:pP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p>
    <w:p>
      <w:pPr>
        <w:adjustRightInd w:val="0"/>
        <w:snapToGrid w:val="0"/>
        <w:spacing w:line="360" w:lineRule="exact"/>
        <w:rPr>
          <w:rFonts w:ascii="宋体" w:hAnsi="宋体" w:cs="宋体"/>
          <w:color w:val="auto"/>
          <w:sz w:val="24"/>
          <w:szCs w:val="24"/>
          <w:highlight w:val="none"/>
          <w:u w:val="dotted"/>
        </w:rPr>
      </w:pPr>
    </w:p>
    <w:p>
      <w:pPr>
        <w:adjustRightInd w:val="0"/>
        <w:snapToGrid w:val="0"/>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2</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w:t>
      </w:r>
    </w:p>
    <w:p>
      <w:pPr>
        <w:adjustRightInd w:val="0"/>
        <w:snapToGrid w:val="0"/>
        <w:spacing w:line="360" w:lineRule="exact"/>
        <w:rPr>
          <w:rFonts w:ascii="宋体" w:cs="宋体"/>
          <w:color w:val="auto"/>
          <w:sz w:val="24"/>
          <w:szCs w:val="24"/>
          <w:highlight w:val="none"/>
        </w:rPr>
      </w:pPr>
      <w:r>
        <w:rPr>
          <w:rFonts w:hint="eastAsia" w:ascii="宋体" w:hAnsi="宋体" w:cs="宋体"/>
          <w:color w:val="auto"/>
          <w:sz w:val="24"/>
          <w:szCs w:val="24"/>
          <w:highlight w:val="none"/>
        </w:rPr>
        <w:t>四、与质疑事项相关的质疑请求</w:t>
      </w:r>
    </w:p>
    <w:p>
      <w:pPr>
        <w:adjustRightInd w:val="0"/>
        <w:snapToGrid w:val="0"/>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adjustRightInd w:val="0"/>
        <w:snapToGrid w:val="0"/>
        <w:spacing w:line="360" w:lineRule="exact"/>
        <w:rPr>
          <w:rFonts w:ascii="宋体" w:cs="宋体"/>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质疑函制作说明：</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供应商提出质疑时，应提交质疑函和必要的证明材料。</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质疑供应商若对项目的某一分包进行质疑，质疑函中应列明具体分包号。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质疑函的质疑事项应具体、明确，并有必要的事实依据和法律依据。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质疑函的质疑请求应与质疑事项相关。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pStyle w:val="129"/>
        <w:widowControl w:val="0"/>
        <w:pBdr>
          <w:left w:val="none" w:color="auto" w:sz="0" w:space="0"/>
          <w:bottom w:val="none" w:color="auto" w:sz="0" w:space="0"/>
          <w:right w:val="none" w:color="auto" w:sz="0" w:space="0"/>
        </w:pBdr>
        <w:spacing w:before="0" w:beforeAutospacing="0" w:after="0" w:afterAutospacing="0" w:line="440" w:lineRule="exact"/>
        <w:textAlignment w:val="auto"/>
        <w:rPr>
          <w:rFonts w:ascii="仿宋_GB2312" w:eastAsia="仿宋_GB2312"/>
          <w:color w:val="auto"/>
          <w:sz w:val="24"/>
          <w:szCs w:val="24"/>
          <w:highlight w:val="none"/>
        </w:rPr>
      </w:pPr>
    </w:p>
    <w:p>
      <w:pPr>
        <w:spacing w:line="360" w:lineRule="exact"/>
        <w:jc w:val="center"/>
        <w:rPr>
          <w:rFonts w:ascii="宋体" w:cs="宋体"/>
          <w:b/>
          <w:bCs/>
          <w:color w:val="auto"/>
          <w:sz w:val="28"/>
          <w:szCs w:val="28"/>
          <w:highlight w:val="none"/>
        </w:rPr>
      </w:pPr>
      <w:bookmarkStart w:id="131" w:name="page2"/>
      <w:bookmarkEnd w:id="131"/>
      <w:r>
        <w:rPr>
          <w:rFonts w:hint="eastAsia" w:ascii="宋体" w:hAnsi="宋体" w:cs="宋体"/>
          <w:b/>
          <w:bCs/>
          <w:color w:val="auto"/>
          <w:sz w:val="28"/>
          <w:szCs w:val="28"/>
          <w:highlight w:val="none"/>
        </w:rPr>
        <w:t>投诉书</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一、投诉相关主体基本情况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投诉人：</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tabs>
          <w:tab w:val="left" w:pos="6510"/>
        </w:tabs>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rPr>
        <w:t>/</w:t>
      </w:r>
      <w:r>
        <w:rPr>
          <w:rFonts w:hint="eastAsia" w:ascii="宋体" w:hAnsi="宋体" w:cs="宋体"/>
          <w:color w:val="auto"/>
          <w:sz w:val="24"/>
          <w:szCs w:val="24"/>
          <w:highlight w:val="none"/>
        </w:rPr>
        <w:t>主要负责人：</w:t>
      </w:r>
    </w:p>
    <w:p>
      <w:pPr>
        <w:tabs>
          <w:tab w:val="left" w:pos="6510"/>
        </w:tabs>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联系电话：</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授权代表：联系电话</w:t>
      </w:r>
      <w:r>
        <w:rPr>
          <w:rFonts w:hint="eastAsia" w:ascii="宋体" w:hAnsi="宋体" w:cs="宋体"/>
          <w:color w:val="auto"/>
          <w:sz w:val="24"/>
          <w:szCs w:val="24"/>
          <w:highlight w:val="none"/>
          <w:u w:val="dotted"/>
        </w:rPr>
        <w:t>：</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相关供应商：</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二、投诉项目基本情况</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采购项目名称：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采购项目编号：包号：</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采购人名称：</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代理机构名称：</w:t>
      </w:r>
    </w:p>
    <w:p>
      <w:pPr>
        <w:spacing w:line="360" w:lineRule="exact"/>
        <w:rPr>
          <w:rFonts w:ascii="宋体" w:hAnsi="宋体" w:cs="宋体"/>
          <w:color w:val="auto"/>
          <w:sz w:val="24"/>
          <w:szCs w:val="24"/>
          <w:highlight w:val="none"/>
          <w:u w:val="dotted"/>
        </w:rPr>
      </w:pPr>
      <w:r>
        <w:rPr>
          <w:rFonts w:hint="eastAsia" w:ascii="宋体" w:hAnsi="宋体" w:cs="宋体"/>
          <w:color w:val="auto"/>
          <w:sz w:val="24"/>
          <w:szCs w:val="24"/>
          <w:highlight w:val="none"/>
        </w:rPr>
        <w:t>采购文件公告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采购结果公告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hint="eastAsia" w:ascii="宋体" w:hAnsi="宋体" w:cs="宋体"/>
          <w:color w:val="auto"/>
          <w:sz w:val="24"/>
          <w:szCs w:val="24"/>
          <w:highlight w:val="none"/>
        </w:rPr>
        <w:t>公告期限：</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三、质疑基本情况</w:t>
      </w:r>
    </w:p>
    <w:p>
      <w:pPr>
        <w:spacing w:line="360" w:lineRule="exact"/>
        <w:ind w:firstLine="480" w:firstLineChars="200"/>
        <w:rPr>
          <w:rFonts w:ascii="宋体" w:hAnsi="宋体" w:cs="宋体"/>
          <w:color w:val="auto"/>
          <w:sz w:val="24"/>
          <w:szCs w:val="24"/>
          <w:highlight w:val="none"/>
          <w:u w:val="dotted"/>
        </w:rPr>
      </w:pPr>
      <w:r>
        <w:rPr>
          <w:rFonts w:hint="eastAsia" w:ascii="宋体" w:hAnsi="宋体" w:cs="宋体"/>
          <w:color w:val="auto"/>
          <w:sz w:val="24"/>
          <w:szCs w:val="24"/>
          <w:highlight w:val="none"/>
        </w:rPr>
        <w:t>投诉人于年月日</w:t>
      </w:r>
      <w:r>
        <w:rPr>
          <w:rFonts w:ascii="宋体" w:hAnsi="宋体" w:cs="宋体"/>
          <w:color w:val="auto"/>
          <w:sz w:val="24"/>
          <w:szCs w:val="24"/>
          <w:highlight w:val="none"/>
        </w:rPr>
        <w:t>,</w:t>
      </w:r>
      <w:r>
        <w:rPr>
          <w:rFonts w:hint="eastAsia" w:ascii="宋体" w:hAnsi="宋体" w:cs="宋体"/>
          <w:color w:val="auto"/>
          <w:sz w:val="24"/>
          <w:szCs w:val="24"/>
          <w:highlight w:val="none"/>
        </w:rPr>
        <w:t>向提出质疑，质疑事项为：</w:t>
      </w:r>
    </w:p>
    <w:p>
      <w:pPr>
        <w:spacing w:line="360" w:lineRule="exact"/>
        <w:rPr>
          <w:rFonts w:ascii="宋体" w:cs="宋体"/>
          <w:color w:val="auto"/>
          <w:sz w:val="24"/>
          <w:szCs w:val="24"/>
          <w:highlight w:val="none"/>
          <w:u w:val="dotted"/>
        </w:rPr>
      </w:pPr>
    </w:p>
    <w:p>
      <w:pPr>
        <w:spacing w:line="360" w:lineRule="exact"/>
        <w:ind w:firstLine="360" w:firstLineChars="150"/>
        <w:rPr>
          <w:rFonts w:ascii="宋体" w:cs="宋体"/>
          <w:color w:val="auto"/>
          <w:sz w:val="24"/>
          <w:szCs w:val="24"/>
          <w:highlight w:val="none"/>
        </w:rPr>
      </w:pPr>
      <w:r>
        <w:rPr>
          <w:rFonts w:hint="eastAsia" w:ascii="宋体" w:hAnsi="宋体" w:cs="宋体"/>
          <w:color w:val="auto"/>
          <w:sz w:val="24"/>
          <w:szCs w:val="24"/>
          <w:highlight w:val="none"/>
          <w:u w:val="dotted"/>
        </w:rPr>
        <w:t>采购人</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代理机构</w:t>
      </w:r>
      <w:r>
        <w:rPr>
          <w:rFonts w:hint="eastAsia" w:ascii="宋体" w:hAnsi="宋体" w:cs="宋体"/>
          <w:color w:val="auto"/>
          <w:sz w:val="24"/>
          <w:szCs w:val="24"/>
          <w:highlight w:val="none"/>
        </w:rPr>
        <w:t>于年月日</w:t>
      </w:r>
      <w:r>
        <w:rPr>
          <w:rFonts w:ascii="宋体" w:hAnsi="宋体" w:cs="宋体"/>
          <w:color w:val="auto"/>
          <w:sz w:val="24"/>
          <w:szCs w:val="24"/>
          <w:highlight w:val="none"/>
        </w:rPr>
        <w:t>,</w:t>
      </w:r>
      <w:r>
        <w:rPr>
          <w:rFonts w:hint="eastAsia" w:ascii="宋体" w:hAnsi="宋体" w:cs="宋体"/>
          <w:color w:val="auto"/>
          <w:sz w:val="24"/>
          <w:szCs w:val="24"/>
          <w:highlight w:val="none"/>
        </w:rPr>
        <w:t>就质疑事项作出了答复</w:t>
      </w:r>
      <w:r>
        <w:rPr>
          <w:rFonts w:ascii="宋体" w:hAnsi="宋体" w:cs="宋体"/>
          <w:color w:val="auto"/>
          <w:sz w:val="24"/>
          <w:szCs w:val="24"/>
          <w:highlight w:val="none"/>
        </w:rPr>
        <w:t>/</w:t>
      </w:r>
      <w:r>
        <w:rPr>
          <w:rFonts w:hint="eastAsia" w:ascii="宋体" w:hAnsi="宋体" w:cs="宋体"/>
          <w:color w:val="auto"/>
          <w:sz w:val="24"/>
          <w:szCs w:val="24"/>
          <w:highlight w:val="none"/>
        </w:rPr>
        <w:t>没有在法定期限内作出答复。</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四、投诉事项具体内容</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 xml:space="preserve"> 1</w:t>
      </w: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事实依据：</w:t>
      </w:r>
    </w:p>
    <w:p>
      <w:pPr>
        <w:spacing w:line="360" w:lineRule="exact"/>
        <w:rPr>
          <w:rFonts w:ascii="宋体" w:hAnsi="宋体" w:cs="宋体"/>
          <w:color w:val="auto"/>
          <w:sz w:val="24"/>
          <w:szCs w:val="24"/>
          <w:highlight w:val="none"/>
          <w:u w:val="dotted"/>
        </w:rPr>
      </w:pP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法律依据：</w:t>
      </w:r>
    </w:p>
    <w:p>
      <w:pPr>
        <w:spacing w:line="360" w:lineRule="exact"/>
        <w:rPr>
          <w:rFonts w:ascii="宋体" w:hAnsi="宋体" w:cs="宋体"/>
          <w:color w:val="auto"/>
          <w:sz w:val="24"/>
          <w:szCs w:val="24"/>
          <w:highlight w:val="none"/>
          <w:u w:val="dotted"/>
        </w:rPr>
      </w:pP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2</w:t>
      </w:r>
    </w:p>
    <w:p>
      <w:pPr>
        <w:spacing w:line="360" w:lineRule="exact"/>
        <w:rPr>
          <w:rFonts w:ascii="宋体" w:cs="宋体"/>
          <w:color w:val="auto"/>
          <w:sz w:val="24"/>
          <w:szCs w:val="24"/>
          <w:highlight w:val="none"/>
          <w:u w:val="dotted"/>
        </w:rPr>
      </w:pPr>
      <w:r>
        <w:rPr>
          <w:rFonts w:hint="eastAsia" w:ascii="宋体" w:hAnsi="宋体" w:cs="宋体"/>
          <w:color w:val="auto"/>
          <w:sz w:val="24"/>
          <w:szCs w:val="24"/>
          <w:highlight w:val="none"/>
        </w:rPr>
        <w:t>……</w:t>
      </w:r>
    </w:p>
    <w:p>
      <w:pPr>
        <w:spacing w:line="360" w:lineRule="exact"/>
        <w:rPr>
          <w:rFonts w:ascii="宋体" w:cs="宋体"/>
          <w:color w:val="auto"/>
          <w:sz w:val="24"/>
          <w:szCs w:val="24"/>
          <w:highlight w:val="none"/>
        </w:rPr>
      </w:pPr>
      <w:r>
        <w:rPr>
          <w:rFonts w:hint="eastAsia" w:ascii="宋体" w:hAnsi="宋体" w:cs="宋体"/>
          <w:color w:val="auto"/>
          <w:sz w:val="24"/>
          <w:szCs w:val="24"/>
          <w:highlight w:val="none"/>
        </w:rPr>
        <w:t>五、与投诉事项相关的投诉请求</w:t>
      </w:r>
    </w:p>
    <w:p>
      <w:pPr>
        <w:spacing w:line="360" w:lineRule="exact"/>
        <w:rPr>
          <w:rFonts w:ascii="宋体" w:cs="宋体"/>
          <w:color w:val="auto"/>
          <w:sz w:val="24"/>
          <w:szCs w:val="24"/>
          <w:highlight w:val="none"/>
          <w:u w:val="single"/>
        </w:rPr>
      </w:pPr>
      <w:r>
        <w:rPr>
          <w:rFonts w:hint="eastAsia" w:ascii="宋体" w:hAnsi="宋体" w:cs="宋体"/>
          <w:color w:val="auto"/>
          <w:sz w:val="24"/>
          <w:szCs w:val="24"/>
          <w:highlight w:val="none"/>
        </w:rPr>
        <w:t>请求：</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：公章：</w:t>
      </w:r>
    </w:p>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日期：</w:t>
      </w: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p>
    <w:p>
      <w:pPr>
        <w:spacing w:line="360" w:lineRule="exact"/>
        <w:rPr>
          <w:rFonts w:ascii="宋体" w:cs="宋体"/>
          <w:b/>
          <w:bCs/>
          <w:color w:val="auto"/>
          <w:sz w:val="24"/>
          <w:szCs w:val="24"/>
          <w:highlight w:val="none"/>
        </w:rPr>
      </w:pPr>
      <w:r>
        <w:rPr>
          <w:rFonts w:hint="eastAsia" w:ascii="宋体" w:hAnsi="宋体" w:cs="宋体"/>
          <w:b/>
          <w:bCs/>
          <w:color w:val="auto"/>
          <w:sz w:val="24"/>
          <w:szCs w:val="24"/>
          <w:highlight w:val="none"/>
        </w:rPr>
        <w:t>投诉书制作说明：</w:t>
      </w:r>
    </w:p>
    <w:p>
      <w:pPr>
        <w:widowControl/>
        <w:spacing w:line="360" w:lineRule="exact"/>
        <w:ind w:firstLine="480" w:firstLineChars="200"/>
        <w:rPr>
          <w:rFonts w:ascii="宋体" w:cs="宋体"/>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投诉人提起投诉时，应当提交投诉书和必要的证明材料，并按照被投诉人和与投诉事项有关的供应商数量提供投诉书副本。</w:t>
      </w:r>
    </w:p>
    <w:p>
      <w:pPr>
        <w:widowControl/>
        <w:spacing w:line="360" w:lineRule="exact"/>
        <w:ind w:firstLine="480" w:firstLineChars="200"/>
        <w:jc w:val="left"/>
        <w:rPr>
          <w:rFonts w:ascii="宋体" w:cs="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投诉人若对项目的某一分包进行投诉，投诉书应列明具体分包号。</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投诉书应简要列明质疑事项，质疑函、质疑答复等作为附件材料提供。</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投诉书的投诉事项应具体、明确，并有必要的事实依据和法律依据。</w:t>
      </w:r>
    </w:p>
    <w:p>
      <w:pPr>
        <w:widowControl/>
        <w:spacing w:line="360" w:lineRule="exact"/>
        <w:ind w:firstLine="480" w:firstLineChars="200"/>
        <w:jc w:val="left"/>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投诉书的投诉请求应与投诉事项相关。</w:t>
      </w:r>
    </w:p>
    <w:p>
      <w:pPr>
        <w:spacing w:line="360" w:lineRule="exact"/>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exact"/>
        <w:rPr>
          <w:rFonts w:ascii="宋体" w:cs="宋体"/>
          <w:color w:val="auto"/>
          <w:sz w:val="28"/>
          <w:szCs w:val="28"/>
          <w:highlight w:val="none"/>
        </w:rPr>
      </w:pPr>
    </w:p>
    <w:p>
      <w:pPr>
        <w:tabs>
          <w:tab w:val="left" w:pos="1087"/>
        </w:tabs>
        <w:spacing w:line="360" w:lineRule="auto"/>
        <w:rPr>
          <w:color w:val="auto"/>
          <w:sz w:val="24"/>
          <w:szCs w:val="24"/>
          <w:highlight w:val="none"/>
        </w:rPr>
      </w:pPr>
      <w:r>
        <w:rPr>
          <w:color w:val="auto"/>
          <w:sz w:val="24"/>
          <w:szCs w:val="24"/>
          <w:highlight w:val="none"/>
        </w:rPr>
        <w:tab/>
      </w:r>
    </w:p>
    <w:p>
      <w:pPr>
        <w:spacing w:line="360" w:lineRule="auto"/>
        <w:rPr>
          <w:color w:val="auto"/>
          <w:sz w:val="24"/>
          <w:szCs w:val="24"/>
          <w:highlight w:val="none"/>
        </w:rPr>
      </w:pPr>
    </w:p>
    <w:p>
      <w:pPr>
        <w:spacing w:line="360" w:lineRule="auto"/>
        <w:rPr>
          <w:color w:val="auto"/>
          <w:sz w:val="24"/>
          <w:szCs w:val="24"/>
          <w:highlight w:val="none"/>
        </w:rPr>
      </w:pPr>
    </w:p>
    <w:p>
      <w:pPr>
        <w:tabs>
          <w:tab w:val="left" w:pos="606"/>
        </w:tabs>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tabs>
          <w:tab w:val="left" w:pos="606"/>
        </w:tabs>
        <w:rPr>
          <w:color w:val="auto"/>
          <w:highlight w:val="none"/>
        </w:rPr>
      </w:pPr>
      <w:r>
        <w:rPr>
          <w:rFonts w:hint="eastAsia" w:ascii="宋体" w:hAnsi="宋体" w:cs="宋体"/>
          <w:b/>
          <w:bCs/>
          <w:color w:val="auto"/>
          <w:kern w:val="0"/>
          <w:sz w:val="36"/>
          <w:szCs w:val="36"/>
          <w:highlight w:val="none"/>
        </w:rPr>
        <w:t>附件</w:t>
      </w:r>
    </w:p>
    <w:p>
      <w:pPr>
        <w:tabs>
          <w:tab w:val="left" w:pos="606"/>
        </w:tabs>
        <w:rPr>
          <w:color w:val="auto"/>
          <w:highlight w:val="none"/>
        </w:rPr>
      </w:pPr>
    </w:p>
    <w:p>
      <w:pPr>
        <w:pStyle w:val="3"/>
        <w:jc w:val="center"/>
        <w:rPr>
          <w:color w:val="auto"/>
          <w:highlight w:val="none"/>
        </w:rPr>
      </w:pPr>
      <w:bookmarkStart w:id="132" w:name="_Toc27844"/>
      <w:bookmarkStart w:id="133" w:name="_Toc24796"/>
      <w:r>
        <w:rPr>
          <w:rFonts w:hint="eastAsia" w:cs="宋体"/>
          <w:color w:val="auto"/>
          <w:highlight w:val="none"/>
        </w:rPr>
        <w:t>中标通知书</w:t>
      </w:r>
      <w:bookmarkEnd w:id="132"/>
      <w:bookmarkEnd w:id="133"/>
    </w:p>
    <w:p>
      <w:pPr>
        <w:tabs>
          <w:tab w:val="left" w:pos="606"/>
        </w:tabs>
        <w:rPr>
          <w:color w:val="auto"/>
          <w:sz w:val="28"/>
          <w:szCs w:val="28"/>
          <w:highlight w:val="none"/>
        </w:rPr>
      </w:pPr>
      <w:r>
        <w:rPr>
          <w:rFonts w:hint="eastAsia" w:cs="宋体"/>
          <w:color w:val="auto"/>
          <w:sz w:val="28"/>
          <w:szCs w:val="28"/>
          <w:highlight w:val="none"/>
        </w:rPr>
        <w:t>公司：</w:t>
      </w:r>
    </w:p>
    <w:p>
      <w:pPr>
        <w:tabs>
          <w:tab w:val="left" w:pos="606"/>
        </w:tabs>
        <w:ind w:firstLine="420"/>
        <w:rPr>
          <w:color w:val="auto"/>
          <w:sz w:val="28"/>
          <w:szCs w:val="28"/>
          <w:highlight w:val="none"/>
        </w:rPr>
      </w:pPr>
      <w:r>
        <w:rPr>
          <w:rFonts w:hint="eastAsia" w:cs="宋体"/>
          <w:color w:val="auto"/>
          <w:sz w:val="28"/>
          <w:szCs w:val="28"/>
          <w:highlight w:val="none"/>
          <w:u w:val="single"/>
        </w:rPr>
        <w:t>（代理机构名称）</w:t>
      </w:r>
      <w:r>
        <w:rPr>
          <w:rFonts w:hint="eastAsia" w:cs="宋体"/>
          <w:color w:val="auto"/>
          <w:sz w:val="28"/>
          <w:szCs w:val="28"/>
          <w:highlight w:val="none"/>
        </w:rPr>
        <w:t>受</w:t>
      </w:r>
      <w:r>
        <w:rPr>
          <w:rFonts w:hint="eastAsia" w:cs="宋体"/>
          <w:color w:val="auto"/>
          <w:sz w:val="28"/>
          <w:szCs w:val="28"/>
          <w:highlight w:val="none"/>
          <w:u w:val="single"/>
        </w:rPr>
        <w:t>（采购单位名称）</w:t>
      </w:r>
      <w:r>
        <w:rPr>
          <w:rFonts w:hint="eastAsia" w:cs="宋体"/>
          <w:color w:val="auto"/>
          <w:sz w:val="28"/>
          <w:szCs w:val="28"/>
          <w:highlight w:val="none"/>
        </w:rPr>
        <w:t>的委托，就</w:t>
      </w:r>
      <w:r>
        <w:rPr>
          <w:rFonts w:hint="eastAsia" w:cs="宋体"/>
          <w:color w:val="auto"/>
          <w:sz w:val="28"/>
          <w:szCs w:val="28"/>
          <w:highlight w:val="none"/>
          <w:u w:val="single"/>
        </w:rPr>
        <w:t>项目</w:t>
      </w:r>
      <w:r>
        <w:rPr>
          <w:rFonts w:hint="eastAsia" w:cs="宋体"/>
          <w:color w:val="auto"/>
          <w:sz w:val="28"/>
          <w:szCs w:val="28"/>
          <w:highlight w:val="none"/>
        </w:rPr>
        <w:t>（项目编号：；审批编号：）采用方式进行采购。经采购人确认，贵单位为项目的中标单位，具体内容如下：</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中标单位：公司</w:t>
      </w:r>
    </w:p>
    <w:p>
      <w:pPr>
        <w:tabs>
          <w:tab w:val="left" w:pos="606"/>
        </w:tabs>
        <w:ind w:firstLine="420"/>
        <w:rPr>
          <w:color w:val="auto"/>
          <w:sz w:val="28"/>
          <w:szCs w:val="28"/>
          <w:highlight w:val="none"/>
        </w:rPr>
      </w:pPr>
      <w:r>
        <w:rPr>
          <w:rFonts w:hint="eastAsia" w:cs="宋体"/>
          <w:color w:val="auto"/>
          <w:sz w:val="28"/>
          <w:szCs w:val="28"/>
          <w:highlight w:val="none"/>
        </w:rPr>
        <w:t>企业规模：□中型□小型□微型□其他</w:t>
      </w:r>
    </w:p>
    <w:p>
      <w:pPr>
        <w:tabs>
          <w:tab w:val="left" w:pos="606"/>
        </w:tabs>
        <w:ind w:firstLine="420"/>
        <w:rPr>
          <w:color w:val="auto"/>
          <w:sz w:val="28"/>
          <w:szCs w:val="28"/>
          <w:highlight w:val="none"/>
        </w:rPr>
      </w:pPr>
      <w:r>
        <w:rPr>
          <w:rFonts w:hint="eastAsia" w:cs="宋体"/>
          <w:color w:val="auto"/>
          <w:sz w:val="28"/>
          <w:szCs w:val="28"/>
          <w:highlight w:val="none"/>
        </w:rPr>
        <w:t>中标金额：（￥元）</w:t>
      </w:r>
    </w:p>
    <w:p>
      <w:pPr>
        <w:tabs>
          <w:tab w:val="left" w:pos="606"/>
        </w:tabs>
        <w:ind w:firstLine="420"/>
        <w:rPr>
          <w:color w:val="auto"/>
          <w:sz w:val="28"/>
          <w:szCs w:val="28"/>
          <w:highlight w:val="none"/>
        </w:rPr>
      </w:pPr>
      <w:r>
        <w:rPr>
          <w:rFonts w:hint="eastAsia" w:cs="宋体"/>
          <w:color w:val="auto"/>
          <w:sz w:val="28"/>
          <w:szCs w:val="28"/>
          <w:highlight w:val="none"/>
        </w:rPr>
        <w:t>交货时间：自合同签定之日起天内</w:t>
      </w:r>
    </w:p>
    <w:p>
      <w:pPr>
        <w:tabs>
          <w:tab w:val="left" w:pos="606"/>
        </w:tabs>
        <w:ind w:firstLine="420"/>
        <w:rPr>
          <w:color w:val="auto"/>
          <w:sz w:val="28"/>
          <w:szCs w:val="28"/>
          <w:highlight w:val="none"/>
        </w:rPr>
      </w:pPr>
    </w:p>
    <w:p>
      <w:pPr>
        <w:tabs>
          <w:tab w:val="left" w:pos="606"/>
        </w:tabs>
        <w:ind w:firstLine="420"/>
        <w:rPr>
          <w:color w:val="auto"/>
          <w:sz w:val="28"/>
          <w:szCs w:val="28"/>
          <w:highlight w:val="none"/>
        </w:rPr>
      </w:pPr>
      <w:r>
        <w:rPr>
          <w:rFonts w:hint="eastAsia" w:cs="宋体"/>
          <w:color w:val="auto"/>
          <w:sz w:val="28"/>
          <w:szCs w:val="28"/>
          <w:highlight w:val="none"/>
        </w:rPr>
        <w:t>请贵单位接此通知书后日内尽快与采购人签订合同，并按采购文件要求和投标文件的承诺履行合同。</w:t>
      </w:r>
    </w:p>
    <w:p>
      <w:pPr>
        <w:tabs>
          <w:tab w:val="left" w:pos="606"/>
        </w:tabs>
        <w:ind w:firstLine="420"/>
        <w:rPr>
          <w:color w:val="auto"/>
          <w:sz w:val="28"/>
          <w:szCs w:val="28"/>
          <w:highlight w:val="none"/>
        </w:rPr>
      </w:pPr>
      <w:r>
        <w:rPr>
          <w:rFonts w:hint="eastAsia" w:cs="宋体"/>
          <w:color w:val="auto"/>
          <w:sz w:val="28"/>
          <w:szCs w:val="28"/>
          <w:highlight w:val="none"/>
        </w:rPr>
        <w:t>特此通知！</w:t>
      </w:r>
    </w:p>
    <w:p>
      <w:pPr>
        <w:tabs>
          <w:tab w:val="left" w:pos="606"/>
        </w:tabs>
        <w:rPr>
          <w:color w:val="auto"/>
          <w:sz w:val="28"/>
          <w:szCs w:val="28"/>
          <w:highlight w:val="none"/>
        </w:rPr>
      </w:pPr>
    </w:p>
    <w:p>
      <w:pPr>
        <w:tabs>
          <w:tab w:val="left" w:pos="606"/>
        </w:tabs>
        <w:ind w:firstLine="4480" w:firstLineChars="1600"/>
        <w:rPr>
          <w:color w:val="auto"/>
          <w:sz w:val="28"/>
          <w:szCs w:val="28"/>
          <w:highlight w:val="none"/>
        </w:rPr>
      </w:pPr>
      <w:r>
        <w:rPr>
          <w:rFonts w:hint="eastAsia" w:cs="宋体"/>
          <w:color w:val="auto"/>
          <w:sz w:val="28"/>
          <w:szCs w:val="28"/>
          <w:highlight w:val="none"/>
        </w:rPr>
        <w:t>采购单位（盖章）：</w:t>
      </w:r>
    </w:p>
    <w:p>
      <w:pPr>
        <w:tabs>
          <w:tab w:val="left" w:pos="606"/>
        </w:tabs>
        <w:ind w:firstLine="4480" w:firstLineChars="1600"/>
        <w:rPr>
          <w:color w:val="auto"/>
          <w:sz w:val="28"/>
          <w:szCs w:val="28"/>
          <w:highlight w:val="none"/>
        </w:rPr>
      </w:pPr>
      <w:r>
        <w:rPr>
          <w:rFonts w:hint="eastAsia" w:cs="宋体"/>
          <w:color w:val="auto"/>
          <w:sz w:val="28"/>
          <w:szCs w:val="28"/>
          <w:highlight w:val="none"/>
        </w:rPr>
        <w:t>代理机构（盖章）：</w:t>
      </w:r>
    </w:p>
    <w:p>
      <w:pPr>
        <w:tabs>
          <w:tab w:val="left" w:pos="606"/>
        </w:tabs>
        <w:ind w:firstLine="4480" w:firstLineChars="1600"/>
        <w:rPr>
          <w:color w:val="auto"/>
          <w:highlight w:val="none"/>
        </w:rPr>
      </w:pPr>
      <w:r>
        <w:rPr>
          <w:rFonts w:hint="eastAsia" w:cs="宋体"/>
          <w:color w:val="auto"/>
          <w:sz w:val="28"/>
          <w:szCs w:val="28"/>
          <w:highlight w:val="none"/>
        </w:rPr>
        <w:t>日期：年月日</w:t>
      </w:r>
    </w:p>
    <w:bookmarkEnd w:id="134"/>
    <w:sectPr>
      <w:pgSz w:w="11900" w:h="16840"/>
      <w:pgMar w:top="1418" w:right="1418" w:bottom="1418"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卢菊" w:date="2020-09-10T11:44:15Z" w:initials="">
    <w:p w14:paraId="022A7010">
      <w:pPr>
        <w:pStyle w:val="14"/>
        <w:rPr>
          <w:rFonts w:hint="default" w:eastAsia="宋体"/>
          <w:lang w:val="en-US" w:eastAsia="zh-CN"/>
        </w:rPr>
      </w:pPr>
      <w:r>
        <w:rPr>
          <w:rFonts w:hint="eastAsia"/>
          <w:lang w:val="en-US" w:eastAsia="zh-CN"/>
        </w:rPr>
        <w:t>跟后面评分标准的现场演示冲突，需要确认时下投标人是否能到现场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2A701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5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B+CoAlvwEAAGMDAAAOAAAAAAAAAAEAIAAAAB8BAABkcnMvZTJvRG9jLnhtbFBLBQYA&#10;AAAABgAGAFkBAABQ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9525000</wp:posOffset>
              </wp:positionH>
              <wp:positionV relativeFrom="page">
                <wp:posOffset>6454775</wp:posOffset>
              </wp:positionV>
              <wp:extent cx="438785" cy="125095"/>
              <wp:effectExtent l="0" t="0" r="0" b="0"/>
              <wp:wrapNone/>
              <wp:docPr id="60" name="文本框 8"/>
              <wp:cNvGraphicFramePr/>
              <a:graphic xmlns:a="http://schemas.openxmlformats.org/drawingml/2006/main">
                <a:graphicData uri="http://schemas.microsoft.com/office/word/2010/wordprocessingShape">
                  <wps:wsp>
                    <wps:cNvSpPr txBox="1"/>
                    <wps:spPr>
                      <a:xfrm>
                        <a:off x="0" y="0"/>
                        <a:ext cx="438785" cy="125095"/>
                      </a:xfrm>
                      <a:prstGeom prst="rect">
                        <a:avLst/>
                      </a:prstGeom>
                      <a:noFill/>
                      <a:ln>
                        <a:noFill/>
                      </a:ln>
                      <a:effectLst/>
                    </wps:spPr>
                    <wps:txbx>
                      <w:txbxContent>
                        <w:p>
                          <w:pPr>
                            <w:jc w:val="left"/>
                            <w:rPr>
                              <w:color w:val="2E2F2F"/>
                              <w:sz w:val="28"/>
                              <w:szCs w:val="28"/>
                              <w:lang w:val="zh-CN"/>
                            </w:rPr>
                          </w:pPr>
                        </w:p>
                      </w:txbxContent>
                    </wps:txbx>
                    <wps:bodyPr wrap="none" lIns="0" tIns="0" rIns="0" bIns="0" upright="1">
                      <a:spAutoFit/>
                    </wps:bodyPr>
                  </wps:wsp>
                </a:graphicData>
              </a:graphic>
            </wp:anchor>
          </w:drawing>
        </mc:Choice>
        <mc:Fallback>
          <w:pict>
            <v:shape id="文本框 8" o:spid="_x0000_s1026" o:spt="202" type="#_x0000_t202" style="position:absolute;left:0pt;margin-left:750pt;margin-top:508.25pt;height:9.85pt;width:34.55pt;mso-position-horizontal-relative:page;mso-position-vertical-relative:page;mso-wrap-style:none;z-index:-251654144;mso-width-relative:page;mso-height-relative:page;" filled="f" stroked="f" coordsize="21600,21600" o:gfxdata="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d/7jYAAAADwEAAA8AAAAAAAAAAQAgAAAAIgAAAGRycy9kb3ducmV2LnhtbFBLAQIU&#10;ABQAAAAIAIdO4kABWKEwugEAAFgDAAAOAAAAAAAAAAEAIAAAACcBAABkcnMvZTJvRG9jLnhtbFBL&#10;BQYAAAAABgAGAFkBAABTBQAAAAA=&#10;">
              <v:fill on="f" focussize="0,0"/>
              <v:stroke on="f"/>
              <v:imagedata o:title=""/>
              <o:lock v:ext="edit" aspectratio="f"/>
              <v:textbox inset="0mm,0mm,0mm,0mm" style="mso-fit-shape-to-text:t;">
                <w:txbxContent>
                  <w:p>
                    <w:pPr>
                      <w:jc w:val="left"/>
                      <w:rPr>
                        <w:color w:val="2E2F2F"/>
                        <w:sz w:val="28"/>
                        <w:szCs w:val="28"/>
                        <w:lang w:val="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0" b="0"/>
              <wp:wrapNone/>
              <wp:docPr id="5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0lY7tAAAAAFAQAADwAAAAAAAAABACAAAAAiAAAAZHJzL2Rvd25yZXYueG1sUEsBAhQAFAAA&#10;AAgAh07iQNyS8sC+AQAAYwMAAA4AAAAAAAAAAQAgAAAAHwEAAGRycy9lMm9Eb2MueG1sUEsFBgAA&#10;AAAGAAYAWQEAAE8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0lY7tAAAAAFAQAADwAAAAAAAAABACAAAAAiAAAAZHJzL2Rvd25yZXYueG1sUEsBAhQAFAAA&#10;AAgAh07iQCx7xOy+AQAAZAMAAA4AAAAAAAAAAQAgAAAAHwEAAGRycy9lMm9Eb2MueG1sUEsFBgAA&#10;AAAGAAYAWQEAAE8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9525000</wp:posOffset>
              </wp:positionH>
              <wp:positionV relativeFrom="page">
                <wp:posOffset>6454775</wp:posOffset>
              </wp:positionV>
              <wp:extent cx="438785" cy="125095"/>
              <wp:effectExtent l="0" t="0" r="0" b="0"/>
              <wp:wrapNone/>
              <wp:docPr id="61" name="文本框 11"/>
              <wp:cNvGraphicFramePr/>
              <a:graphic xmlns:a="http://schemas.openxmlformats.org/drawingml/2006/main">
                <a:graphicData uri="http://schemas.microsoft.com/office/word/2010/wordprocessingShape">
                  <wps:wsp>
                    <wps:cNvSpPr txBox="1"/>
                    <wps:spPr>
                      <a:xfrm>
                        <a:off x="0" y="0"/>
                        <a:ext cx="438785" cy="125095"/>
                      </a:xfrm>
                      <a:prstGeom prst="rect">
                        <a:avLst/>
                      </a:prstGeom>
                      <a:noFill/>
                      <a:ln>
                        <a:noFill/>
                      </a:ln>
                      <a:effectLst/>
                    </wps:spPr>
                    <wps:txbx>
                      <w:txbxContent>
                        <w:p>
                          <w:pPr>
                            <w:jc w:val="left"/>
                            <w:rPr>
                              <w:color w:val="2E2F2F"/>
                              <w:sz w:val="28"/>
                              <w:szCs w:val="28"/>
                              <w:lang w:val="zh-CN"/>
                            </w:rPr>
                          </w:pPr>
                        </w:p>
                      </w:txbxContent>
                    </wps:txbx>
                    <wps:bodyPr wrap="none" lIns="0" tIns="0" rIns="0" bIns="0" upright="1">
                      <a:spAutoFit/>
                    </wps:bodyPr>
                  </wps:wsp>
                </a:graphicData>
              </a:graphic>
            </wp:anchor>
          </w:drawing>
        </mc:Choice>
        <mc:Fallback>
          <w:pict>
            <v:shape id="文本框 11" o:spid="_x0000_s1026" o:spt="202" type="#_x0000_t202" style="position:absolute;left:0pt;margin-left:750pt;margin-top:508.25pt;height:9.85pt;width:34.55pt;mso-position-horizontal-relative:page;mso-position-vertical-relative:page;mso-wrap-style:none;z-index:-251653120;mso-width-relative:page;mso-height-relative:page;" filled="f" stroked="f" coordsize="21600,21600" o:gfxdata="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Q3f+42AAAAA8BAAAPAAAAAAAAAAEAIAAAACIAAABkcnMvZG93bnJldi54bWxQSwEC&#10;FAAUAAAACACHTuJAyxdiNLsBAABZAwAADgAAAAAAAAABACAAAAAnAQAAZHJzL2Uyb0RvYy54bWxQ&#10;SwUGAAAAAAYABgBZAQAAVAUAAAAA&#10;">
              <v:fill on="f" focussize="0,0"/>
              <v:stroke on="f"/>
              <v:imagedata o:title=""/>
              <o:lock v:ext="edit" aspectratio="f"/>
              <v:textbox inset="0mm,0mm,0mm,0mm" style="mso-fit-shape-to-text:t;">
                <w:txbxContent>
                  <w:p>
                    <w:pPr>
                      <w:jc w:val="left"/>
                      <w:rPr>
                        <w:color w:val="2E2F2F"/>
                        <w:sz w:val="28"/>
                        <w:szCs w:val="28"/>
                        <w:lang w:val="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NJWO7QAAAABQEAAA8AAAAAAAAAAQAgAAAAIgAAAGRycy9kb3ducmV2LnhtbFBLAQIUABQA&#10;AAAIAIdO4kAISFAavwEAAGQDAAAOAAAAAAAAAAEAIAAAAB8BAABkcnMvZTJvRG9jLnhtbFBLBQYA&#10;AAAABgAGAFkBAABQ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0BE"/>
    <w:multiLevelType w:val="multilevel"/>
    <w:tmpl w:val="0CC470B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10348787"/>
    <w:multiLevelType w:val="singleLevel"/>
    <w:tmpl w:val="10348787"/>
    <w:lvl w:ilvl="0" w:tentative="0">
      <w:start w:val="3"/>
      <w:numFmt w:val="decimal"/>
      <w:suff w:val="nothing"/>
      <w:lvlText w:val="（%1）"/>
      <w:lvlJc w:val="left"/>
    </w:lvl>
  </w:abstractNum>
  <w:abstractNum w:abstractNumId="2">
    <w:nsid w:val="11CB5E92"/>
    <w:multiLevelType w:val="multilevel"/>
    <w:tmpl w:val="11CB5E92"/>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246CF2D3"/>
    <w:multiLevelType w:val="singleLevel"/>
    <w:tmpl w:val="246CF2D3"/>
    <w:lvl w:ilvl="0" w:tentative="0">
      <w:start w:val="3"/>
      <w:numFmt w:val="chineseCounting"/>
      <w:suff w:val="nothing"/>
      <w:lvlText w:val="（%1）"/>
      <w:lvlJc w:val="left"/>
      <w:rPr>
        <w:rFonts w:hint="eastAsia"/>
      </w:rPr>
    </w:lvl>
  </w:abstractNum>
  <w:abstractNum w:abstractNumId="4">
    <w:nsid w:val="28B47675"/>
    <w:multiLevelType w:val="singleLevel"/>
    <w:tmpl w:val="28B47675"/>
    <w:lvl w:ilvl="0" w:tentative="0">
      <w:start w:val="3"/>
      <w:numFmt w:val="decimal"/>
      <w:suff w:val="nothing"/>
      <w:lvlText w:val="%1．"/>
      <w:lvlJc w:val="left"/>
    </w:lvl>
  </w:abstractNum>
  <w:abstractNum w:abstractNumId="5">
    <w:nsid w:val="475D0D66"/>
    <w:multiLevelType w:val="multilevel"/>
    <w:tmpl w:val="475D0D6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菊">
    <w15:presenceInfo w15:providerId="WPS Office" w15:userId="876727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57BA"/>
    <w:rsid w:val="00026337"/>
    <w:rsid w:val="00027C7D"/>
    <w:rsid w:val="00030B35"/>
    <w:rsid w:val="00033872"/>
    <w:rsid w:val="00035C93"/>
    <w:rsid w:val="000369F0"/>
    <w:rsid w:val="00037C8F"/>
    <w:rsid w:val="000403D6"/>
    <w:rsid w:val="00041069"/>
    <w:rsid w:val="00041914"/>
    <w:rsid w:val="000423BF"/>
    <w:rsid w:val="00042EAA"/>
    <w:rsid w:val="00043276"/>
    <w:rsid w:val="00043BC4"/>
    <w:rsid w:val="00044292"/>
    <w:rsid w:val="0004471C"/>
    <w:rsid w:val="00044AFC"/>
    <w:rsid w:val="00045544"/>
    <w:rsid w:val="00047850"/>
    <w:rsid w:val="00047B43"/>
    <w:rsid w:val="00047DE2"/>
    <w:rsid w:val="00050208"/>
    <w:rsid w:val="00051654"/>
    <w:rsid w:val="00051AB7"/>
    <w:rsid w:val="0005233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433"/>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8B"/>
    <w:rsid w:val="000924A6"/>
    <w:rsid w:val="0009253B"/>
    <w:rsid w:val="000935E3"/>
    <w:rsid w:val="000942A8"/>
    <w:rsid w:val="00094717"/>
    <w:rsid w:val="00096217"/>
    <w:rsid w:val="000970AC"/>
    <w:rsid w:val="00097C11"/>
    <w:rsid w:val="000A039F"/>
    <w:rsid w:val="000A0C3A"/>
    <w:rsid w:val="000A0D4E"/>
    <w:rsid w:val="000A1094"/>
    <w:rsid w:val="000A157E"/>
    <w:rsid w:val="000A1DD1"/>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1723"/>
    <w:rsid w:val="000F2036"/>
    <w:rsid w:val="000F6442"/>
    <w:rsid w:val="000F6D2F"/>
    <w:rsid w:val="00103631"/>
    <w:rsid w:val="0010495C"/>
    <w:rsid w:val="0010572F"/>
    <w:rsid w:val="00105882"/>
    <w:rsid w:val="00106614"/>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6F1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024B"/>
    <w:rsid w:val="00141869"/>
    <w:rsid w:val="001421B0"/>
    <w:rsid w:val="001431A2"/>
    <w:rsid w:val="00143F6C"/>
    <w:rsid w:val="00144B48"/>
    <w:rsid w:val="00145F39"/>
    <w:rsid w:val="00146229"/>
    <w:rsid w:val="00146FFB"/>
    <w:rsid w:val="0015130F"/>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4348"/>
    <w:rsid w:val="0016511C"/>
    <w:rsid w:val="001651AC"/>
    <w:rsid w:val="0016544B"/>
    <w:rsid w:val="00165540"/>
    <w:rsid w:val="00165BE5"/>
    <w:rsid w:val="001661C8"/>
    <w:rsid w:val="00166B37"/>
    <w:rsid w:val="0016722F"/>
    <w:rsid w:val="001673D1"/>
    <w:rsid w:val="0016754E"/>
    <w:rsid w:val="0016778B"/>
    <w:rsid w:val="001708A0"/>
    <w:rsid w:val="001718A3"/>
    <w:rsid w:val="00171BA6"/>
    <w:rsid w:val="0017219E"/>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0E8A"/>
    <w:rsid w:val="00191828"/>
    <w:rsid w:val="00191EE3"/>
    <w:rsid w:val="001925D6"/>
    <w:rsid w:val="001929B1"/>
    <w:rsid w:val="00192AC2"/>
    <w:rsid w:val="00192BB1"/>
    <w:rsid w:val="00192EAE"/>
    <w:rsid w:val="0019336D"/>
    <w:rsid w:val="001936FC"/>
    <w:rsid w:val="00194697"/>
    <w:rsid w:val="001946BA"/>
    <w:rsid w:val="00195FAD"/>
    <w:rsid w:val="00196B64"/>
    <w:rsid w:val="001A04E3"/>
    <w:rsid w:val="001A1890"/>
    <w:rsid w:val="001A2D19"/>
    <w:rsid w:val="001A3C11"/>
    <w:rsid w:val="001A4663"/>
    <w:rsid w:val="001A4A4E"/>
    <w:rsid w:val="001A4B8D"/>
    <w:rsid w:val="001A4C0D"/>
    <w:rsid w:val="001A4F50"/>
    <w:rsid w:val="001A5A2D"/>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B593E"/>
    <w:rsid w:val="001C0E03"/>
    <w:rsid w:val="001C1415"/>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632"/>
    <w:rsid w:val="00216AC6"/>
    <w:rsid w:val="00216E58"/>
    <w:rsid w:val="002177B1"/>
    <w:rsid w:val="0022445D"/>
    <w:rsid w:val="002247C5"/>
    <w:rsid w:val="0022542B"/>
    <w:rsid w:val="002259F1"/>
    <w:rsid w:val="00226529"/>
    <w:rsid w:val="0022720F"/>
    <w:rsid w:val="00227F47"/>
    <w:rsid w:val="0023068F"/>
    <w:rsid w:val="00230D7A"/>
    <w:rsid w:val="00232951"/>
    <w:rsid w:val="00232C3F"/>
    <w:rsid w:val="002335F5"/>
    <w:rsid w:val="00235232"/>
    <w:rsid w:val="002359C0"/>
    <w:rsid w:val="00236031"/>
    <w:rsid w:val="002376BA"/>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12A"/>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76F56"/>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5E2A"/>
    <w:rsid w:val="002B6F4C"/>
    <w:rsid w:val="002B7383"/>
    <w:rsid w:val="002B760E"/>
    <w:rsid w:val="002C1634"/>
    <w:rsid w:val="002C1C3C"/>
    <w:rsid w:val="002C22C6"/>
    <w:rsid w:val="002C25B2"/>
    <w:rsid w:val="002C2919"/>
    <w:rsid w:val="002C41A5"/>
    <w:rsid w:val="002C454F"/>
    <w:rsid w:val="002C4AC2"/>
    <w:rsid w:val="002C5303"/>
    <w:rsid w:val="002C5422"/>
    <w:rsid w:val="002C66A0"/>
    <w:rsid w:val="002C6969"/>
    <w:rsid w:val="002C74F0"/>
    <w:rsid w:val="002C7CC1"/>
    <w:rsid w:val="002C7D11"/>
    <w:rsid w:val="002D07C7"/>
    <w:rsid w:val="002D121B"/>
    <w:rsid w:val="002D197E"/>
    <w:rsid w:val="002D23DB"/>
    <w:rsid w:val="002D24C0"/>
    <w:rsid w:val="002D2980"/>
    <w:rsid w:val="002D3717"/>
    <w:rsid w:val="002D3FDF"/>
    <w:rsid w:val="002D41A7"/>
    <w:rsid w:val="002D49AA"/>
    <w:rsid w:val="002D4A44"/>
    <w:rsid w:val="002D4AE8"/>
    <w:rsid w:val="002D5288"/>
    <w:rsid w:val="002D5702"/>
    <w:rsid w:val="002D7055"/>
    <w:rsid w:val="002D71CB"/>
    <w:rsid w:val="002D72CD"/>
    <w:rsid w:val="002D7920"/>
    <w:rsid w:val="002D7A45"/>
    <w:rsid w:val="002D7D66"/>
    <w:rsid w:val="002E1235"/>
    <w:rsid w:val="002E1398"/>
    <w:rsid w:val="002E2674"/>
    <w:rsid w:val="002E31E0"/>
    <w:rsid w:val="002E3300"/>
    <w:rsid w:val="002E409D"/>
    <w:rsid w:val="002E44B9"/>
    <w:rsid w:val="002E4869"/>
    <w:rsid w:val="002E4A87"/>
    <w:rsid w:val="002E5932"/>
    <w:rsid w:val="002F1032"/>
    <w:rsid w:val="002F1CB1"/>
    <w:rsid w:val="002F477C"/>
    <w:rsid w:val="002F603B"/>
    <w:rsid w:val="002F626F"/>
    <w:rsid w:val="002F6DB1"/>
    <w:rsid w:val="003007B7"/>
    <w:rsid w:val="00301578"/>
    <w:rsid w:val="003020F2"/>
    <w:rsid w:val="003025BB"/>
    <w:rsid w:val="00302E13"/>
    <w:rsid w:val="003067E9"/>
    <w:rsid w:val="0031025B"/>
    <w:rsid w:val="003110B1"/>
    <w:rsid w:val="00311184"/>
    <w:rsid w:val="00315E34"/>
    <w:rsid w:val="00315FCA"/>
    <w:rsid w:val="003162BD"/>
    <w:rsid w:val="003178A8"/>
    <w:rsid w:val="00320DC9"/>
    <w:rsid w:val="00321E4E"/>
    <w:rsid w:val="0032217D"/>
    <w:rsid w:val="00322397"/>
    <w:rsid w:val="00322E72"/>
    <w:rsid w:val="003249B8"/>
    <w:rsid w:val="00324F95"/>
    <w:rsid w:val="0032588B"/>
    <w:rsid w:val="00325C46"/>
    <w:rsid w:val="00325C4C"/>
    <w:rsid w:val="00325F39"/>
    <w:rsid w:val="00326B7D"/>
    <w:rsid w:val="00326F66"/>
    <w:rsid w:val="00327D3C"/>
    <w:rsid w:val="00330317"/>
    <w:rsid w:val="0033085E"/>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31CE"/>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D2B"/>
    <w:rsid w:val="003A0E7B"/>
    <w:rsid w:val="003A0FBC"/>
    <w:rsid w:val="003A1395"/>
    <w:rsid w:val="003A17E0"/>
    <w:rsid w:val="003A1C4F"/>
    <w:rsid w:val="003A1EA5"/>
    <w:rsid w:val="003A2C33"/>
    <w:rsid w:val="003A50FF"/>
    <w:rsid w:val="003A6122"/>
    <w:rsid w:val="003A6291"/>
    <w:rsid w:val="003A6CDC"/>
    <w:rsid w:val="003A77A4"/>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B66"/>
    <w:rsid w:val="00401DEF"/>
    <w:rsid w:val="004023C3"/>
    <w:rsid w:val="00402447"/>
    <w:rsid w:val="0040371C"/>
    <w:rsid w:val="00403F3A"/>
    <w:rsid w:val="00404FD6"/>
    <w:rsid w:val="00405031"/>
    <w:rsid w:val="0040529F"/>
    <w:rsid w:val="0040602B"/>
    <w:rsid w:val="00406FA3"/>
    <w:rsid w:val="0040775C"/>
    <w:rsid w:val="00411515"/>
    <w:rsid w:val="00411E75"/>
    <w:rsid w:val="00412F0F"/>
    <w:rsid w:val="00412F71"/>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4D07"/>
    <w:rsid w:val="004251F1"/>
    <w:rsid w:val="0042525E"/>
    <w:rsid w:val="00425861"/>
    <w:rsid w:val="0043063A"/>
    <w:rsid w:val="00430ADD"/>
    <w:rsid w:val="004327FC"/>
    <w:rsid w:val="004339AC"/>
    <w:rsid w:val="00433C3C"/>
    <w:rsid w:val="00434B75"/>
    <w:rsid w:val="00434D0D"/>
    <w:rsid w:val="00436580"/>
    <w:rsid w:val="004410C9"/>
    <w:rsid w:val="00441232"/>
    <w:rsid w:val="00441FE7"/>
    <w:rsid w:val="00442B01"/>
    <w:rsid w:val="0044363C"/>
    <w:rsid w:val="00444098"/>
    <w:rsid w:val="004443CB"/>
    <w:rsid w:val="00444717"/>
    <w:rsid w:val="0044538B"/>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58AE"/>
    <w:rsid w:val="00456170"/>
    <w:rsid w:val="004564F0"/>
    <w:rsid w:val="004564F6"/>
    <w:rsid w:val="00456E98"/>
    <w:rsid w:val="00457DFE"/>
    <w:rsid w:val="0046029F"/>
    <w:rsid w:val="00461C4D"/>
    <w:rsid w:val="0046305D"/>
    <w:rsid w:val="004645C7"/>
    <w:rsid w:val="00464C9F"/>
    <w:rsid w:val="004673E2"/>
    <w:rsid w:val="00467751"/>
    <w:rsid w:val="00467B09"/>
    <w:rsid w:val="004734AB"/>
    <w:rsid w:val="00473E39"/>
    <w:rsid w:val="00474A5F"/>
    <w:rsid w:val="00476484"/>
    <w:rsid w:val="0047703F"/>
    <w:rsid w:val="004776B6"/>
    <w:rsid w:val="0047773A"/>
    <w:rsid w:val="0047776A"/>
    <w:rsid w:val="0048029F"/>
    <w:rsid w:val="0048083B"/>
    <w:rsid w:val="00480E49"/>
    <w:rsid w:val="00481766"/>
    <w:rsid w:val="00481B0F"/>
    <w:rsid w:val="00482922"/>
    <w:rsid w:val="004832E5"/>
    <w:rsid w:val="004836BA"/>
    <w:rsid w:val="00484809"/>
    <w:rsid w:val="00484D47"/>
    <w:rsid w:val="00484D66"/>
    <w:rsid w:val="00485ADE"/>
    <w:rsid w:val="00485D4F"/>
    <w:rsid w:val="00486292"/>
    <w:rsid w:val="004903AA"/>
    <w:rsid w:val="00491072"/>
    <w:rsid w:val="00492196"/>
    <w:rsid w:val="0049378B"/>
    <w:rsid w:val="00493CA0"/>
    <w:rsid w:val="00494271"/>
    <w:rsid w:val="0049537D"/>
    <w:rsid w:val="004954A4"/>
    <w:rsid w:val="0049559F"/>
    <w:rsid w:val="004960A8"/>
    <w:rsid w:val="00496DEE"/>
    <w:rsid w:val="004975B4"/>
    <w:rsid w:val="004A1815"/>
    <w:rsid w:val="004A250B"/>
    <w:rsid w:val="004A34ED"/>
    <w:rsid w:val="004A3558"/>
    <w:rsid w:val="004A496D"/>
    <w:rsid w:val="004A52E4"/>
    <w:rsid w:val="004A58C0"/>
    <w:rsid w:val="004A7021"/>
    <w:rsid w:val="004A777C"/>
    <w:rsid w:val="004A7E51"/>
    <w:rsid w:val="004B0462"/>
    <w:rsid w:val="004B1823"/>
    <w:rsid w:val="004B30A6"/>
    <w:rsid w:val="004B346D"/>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580"/>
    <w:rsid w:val="004C1D09"/>
    <w:rsid w:val="004C2E4E"/>
    <w:rsid w:val="004C348C"/>
    <w:rsid w:val="004C3D14"/>
    <w:rsid w:val="004C541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6A5D"/>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7E1"/>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87D3B"/>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EED"/>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56A1"/>
    <w:rsid w:val="005E6F7C"/>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3BE"/>
    <w:rsid w:val="00611FE0"/>
    <w:rsid w:val="00613019"/>
    <w:rsid w:val="00613307"/>
    <w:rsid w:val="00613A2E"/>
    <w:rsid w:val="00613C5A"/>
    <w:rsid w:val="006143D7"/>
    <w:rsid w:val="006144FE"/>
    <w:rsid w:val="006149E0"/>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0ECD"/>
    <w:rsid w:val="00642F11"/>
    <w:rsid w:val="006434CB"/>
    <w:rsid w:val="006439C6"/>
    <w:rsid w:val="00644E33"/>
    <w:rsid w:val="00644E78"/>
    <w:rsid w:val="00644F73"/>
    <w:rsid w:val="00644FC0"/>
    <w:rsid w:val="006454BA"/>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361"/>
    <w:rsid w:val="00663640"/>
    <w:rsid w:val="00663E5B"/>
    <w:rsid w:val="00665EE2"/>
    <w:rsid w:val="00666E90"/>
    <w:rsid w:val="0067114C"/>
    <w:rsid w:val="006711B2"/>
    <w:rsid w:val="0067202E"/>
    <w:rsid w:val="006729CA"/>
    <w:rsid w:val="00673A13"/>
    <w:rsid w:val="006758B8"/>
    <w:rsid w:val="00676634"/>
    <w:rsid w:val="00680E97"/>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4B85"/>
    <w:rsid w:val="006B5BE7"/>
    <w:rsid w:val="006B6523"/>
    <w:rsid w:val="006C03AA"/>
    <w:rsid w:val="006C0AB1"/>
    <w:rsid w:val="006C0B18"/>
    <w:rsid w:val="006C36CE"/>
    <w:rsid w:val="006C39A1"/>
    <w:rsid w:val="006C3D05"/>
    <w:rsid w:val="006C40AA"/>
    <w:rsid w:val="006C568C"/>
    <w:rsid w:val="006C5BE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7DC"/>
    <w:rsid w:val="00732CA0"/>
    <w:rsid w:val="00733AF9"/>
    <w:rsid w:val="007342EA"/>
    <w:rsid w:val="00734411"/>
    <w:rsid w:val="00735EB9"/>
    <w:rsid w:val="007360CA"/>
    <w:rsid w:val="00736D48"/>
    <w:rsid w:val="007414DE"/>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40"/>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4F2"/>
    <w:rsid w:val="00782678"/>
    <w:rsid w:val="00782E5C"/>
    <w:rsid w:val="00783C32"/>
    <w:rsid w:val="00783CDE"/>
    <w:rsid w:val="0078682B"/>
    <w:rsid w:val="00786E34"/>
    <w:rsid w:val="007903FD"/>
    <w:rsid w:val="00790FFB"/>
    <w:rsid w:val="00791ADF"/>
    <w:rsid w:val="0079359B"/>
    <w:rsid w:val="00795F26"/>
    <w:rsid w:val="00796F88"/>
    <w:rsid w:val="007A0C70"/>
    <w:rsid w:val="007A1126"/>
    <w:rsid w:val="007A144A"/>
    <w:rsid w:val="007A1670"/>
    <w:rsid w:val="007A18AE"/>
    <w:rsid w:val="007A1AD0"/>
    <w:rsid w:val="007A28C1"/>
    <w:rsid w:val="007A3325"/>
    <w:rsid w:val="007A57A9"/>
    <w:rsid w:val="007A6C52"/>
    <w:rsid w:val="007A6D8D"/>
    <w:rsid w:val="007B00E1"/>
    <w:rsid w:val="007B0ECA"/>
    <w:rsid w:val="007B1D25"/>
    <w:rsid w:val="007B374C"/>
    <w:rsid w:val="007B5435"/>
    <w:rsid w:val="007B5CCB"/>
    <w:rsid w:val="007B7269"/>
    <w:rsid w:val="007B7727"/>
    <w:rsid w:val="007B7FF2"/>
    <w:rsid w:val="007C06C5"/>
    <w:rsid w:val="007C0B2E"/>
    <w:rsid w:val="007C11DD"/>
    <w:rsid w:val="007C18BA"/>
    <w:rsid w:val="007C1D07"/>
    <w:rsid w:val="007C2AD0"/>
    <w:rsid w:val="007C428F"/>
    <w:rsid w:val="007C4A01"/>
    <w:rsid w:val="007C4BB4"/>
    <w:rsid w:val="007C51C8"/>
    <w:rsid w:val="007C5AC4"/>
    <w:rsid w:val="007C7507"/>
    <w:rsid w:val="007C7CC3"/>
    <w:rsid w:val="007C7DFD"/>
    <w:rsid w:val="007D000F"/>
    <w:rsid w:val="007D1895"/>
    <w:rsid w:val="007D199A"/>
    <w:rsid w:val="007D28DC"/>
    <w:rsid w:val="007D2CA3"/>
    <w:rsid w:val="007D2FB0"/>
    <w:rsid w:val="007D3E61"/>
    <w:rsid w:val="007D468D"/>
    <w:rsid w:val="007D4BC0"/>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57FD"/>
    <w:rsid w:val="00806C7B"/>
    <w:rsid w:val="00807BB9"/>
    <w:rsid w:val="00807BE2"/>
    <w:rsid w:val="00811208"/>
    <w:rsid w:val="00811D59"/>
    <w:rsid w:val="00812218"/>
    <w:rsid w:val="00814583"/>
    <w:rsid w:val="00814E85"/>
    <w:rsid w:val="0081563A"/>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2C1D"/>
    <w:rsid w:val="008344B1"/>
    <w:rsid w:val="008364BD"/>
    <w:rsid w:val="0083740A"/>
    <w:rsid w:val="0083749A"/>
    <w:rsid w:val="0083750A"/>
    <w:rsid w:val="00837F39"/>
    <w:rsid w:val="00837F42"/>
    <w:rsid w:val="00841FE8"/>
    <w:rsid w:val="00842202"/>
    <w:rsid w:val="008422B7"/>
    <w:rsid w:val="0084262D"/>
    <w:rsid w:val="00843073"/>
    <w:rsid w:val="00843539"/>
    <w:rsid w:val="0084403C"/>
    <w:rsid w:val="00844417"/>
    <w:rsid w:val="0084496E"/>
    <w:rsid w:val="00844A7D"/>
    <w:rsid w:val="00844AE0"/>
    <w:rsid w:val="008467C3"/>
    <w:rsid w:val="00846BF3"/>
    <w:rsid w:val="00847032"/>
    <w:rsid w:val="008473D5"/>
    <w:rsid w:val="00847C55"/>
    <w:rsid w:val="00850386"/>
    <w:rsid w:val="00850A33"/>
    <w:rsid w:val="0085157E"/>
    <w:rsid w:val="0085190E"/>
    <w:rsid w:val="008520CE"/>
    <w:rsid w:val="008524C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81F"/>
    <w:rsid w:val="00884CC9"/>
    <w:rsid w:val="00885437"/>
    <w:rsid w:val="00890687"/>
    <w:rsid w:val="008910B5"/>
    <w:rsid w:val="00891385"/>
    <w:rsid w:val="008916EF"/>
    <w:rsid w:val="00892E46"/>
    <w:rsid w:val="008933EB"/>
    <w:rsid w:val="00893AEC"/>
    <w:rsid w:val="008941CE"/>
    <w:rsid w:val="00894ABA"/>
    <w:rsid w:val="00894EAB"/>
    <w:rsid w:val="00896B8C"/>
    <w:rsid w:val="00897522"/>
    <w:rsid w:val="008A0589"/>
    <w:rsid w:val="008A0D3F"/>
    <w:rsid w:val="008A155E"/>
    <w:rsid w:val="008A52DB"/>
    <w:rsid w:val="008B0339"/>
    <w:rsid w:val="008B09A0"/>
    <w:rsid w:val="008B3CC4"/>
    <w:rsid w:val="008B4AA4"/>
    <w:rsid w:val="008B507A"/>
    <w:rsid w:val="008B5608"/>
    <w:rsid w:val="008B59D2"/>
    <w:rsid w:val="008B70EB"/>
    <w:rsid w:val="008C0028"/>
    <w:rsid w:val="008C0633"/>
    <w:rsid w:val="008C0F2D"/>
    <w:rsid w:val="008C1158"/>
    <w:rsid w:val="008C1A4D"/>
    <w:rsid w:val="008C22F4"/>
    <w:rsid w:val="008C6CC4"/>
    <w:rsid w:val="008D10CD"/>
    <w:rsid w:val="008D190B"/>
    <w:rsid w:val="008D3B5E"/>
    <w:rsid w:val="008D4066"/>
    <w:rsid w:val="008D5214"/>
    <w:rsid w:val="008D5B39"/>
    <w:rsid w:val="008D63F9"/>
    <w:rsid w:val="008D696D"/>
    <w:rsid w:val="008D7974"/>
    <w:rsid w:val="008D7A85"/>
    <w:rsid w:val="008E267B"/>
    <w:rsid w:val="008E50EE"/>
    <w:rsid w:val="008E5879"/>
    <w:rsid w:val="008F12F2"/>
    <w:rsid w:val="008F15E6"/>
    <w:rsid w:val="008F1BD1"/>
    <w:rsid w:val="008F27A0"/>
    <w:rsid w:val="008F573A"/>
    <w:rsid w:val="008F7244"/>
    <w:rsid w:val="00902A0B"/>
    <w:rsid w:val="009031D1"/>
    <w:rsid w:val="009046F7"/>
    <w:rsid w:val="00905C23"/>
    <w:rsid w:val="00905F95"/>
    <w:rsid w:val="00906B2A"/>
    <w:rsid w:val="009078E4"/>
    <w:rsid w:val="00910919"/>
    <w:rsid w:val="00910DF3"/>
    <w:rsid w:val="009112B6"/>
    <w:rsid w:val="009117B4"/>
    <w:rsid w:val="00912F32"/>
    <w:rsid w:val="0091395E"/>
    <w:rsid w:val="00914544"/>
    <w:rsid w:val="00915213"/>
    <w:rsid w:val="00917405"/>
    <w:rsid w:val="00917E2E"/>
    <w:rsid w:val="009205D0"/>
    <w:rsid w:val="00920624"/>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A3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6F1B"/>
    <w:rsid w:val="00977091"/>
    <w:rsid w:val="00982F54"/>
    <w:rsid w:val="009842CD"/>
    <w:rsid w:val="0098431C"/>
    <w:rsid w:val="00984CEC"/>
    <w:rsid w:val="009857A2"/>
    <w:rsid w:val="00985A8B"/>
    <w:rsid w:val="00985D3C"/>
    <w:rsid w:val="00985F7B"/>
    <w:rsid w:val="00987F44"/>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564"/>
    <w:rsid w:val="009B482B"/>
    <w:rsid w:val="009B5293"/>
    <w:rsid w:val="009B798F"/>
    <w:rsid w:val="009C07D6"/>
    <w:rsid w:val="009C09C7"/>
    <w:rsid w:val="009C0F8D"/>
    <w:rsid w:val="009C147B"/>
    <w:rsid w:val="009C17AA"/>
    <w:rsid w:val="009C1A38"/>
    <w:rsid w:val="009C202F"/>
    <w:rsid w:val="009C300D"/>
    <w:rsid w:val="009C3412"/>
    <w:rsid w:val="009C38D7"/>
    <w:rsid w:val="009C3900"/>
    <w:rsid w:val="009C4308"/>
    <w:rsid w:val="009C46AB"/>
    <w:rsid w:val="009C599B"/>
    <w:rsid w:val="009C59E4"/>
    <w:rsid w:val="009C5C11"/>
    <w:rsid w:val="009C7B8A"/>
    <w:rsid w:val="009D000A"/>
    <w:rsid w:val="009D142B"/>
    <w:rsid w:val="009D205F"/>
    <w:rsid w:val="009D3D83"/>
    <w:rsid w:val="009D3DBD"/>
    <w:rsid w:val="009D51AC"/>
    <w:rsid w:val="009D5A52"/>
    <w:rsid w:val="009D5D44"/>
    <w:rsid w:val="009D6014"/>
    <w:rsid w:val="009D6361"/>
    <w:rsid w:val="009D63C6"/>
    <w:rsid w:val="009E0D00"/>
    <w:rsid w:val="009E1699"/>
    <w:rsid w:val="009E355A"/>
    <w:rsid w:val="009E41E3"/>
    <w:rsid w:val="009E56D5"/>
    <w:rsid w:val="009E7397"/>
    <w:rsid w:val="009F1EEF"/>
    <w:rsid w:val="009F380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9CB"/>
    <w:rsid w:val="00A12BC5"/>
    <w:rsid w:val="00A12CA4"/>
    <w:rsid w:val="00A13B8C"/>
    <w:rsid w:val="00A13F53"/>
    <w:rsid w:val="00A14F76"/>
    <w:rsid w:val="00A155CD"/>
    <w:rsid w:val="00A165EB"/>
    <w:rsid w:val="00A16D29"/>
    <w:rsid w:val="00A17B40"/>
    <w:rsid w:val="00A207F7"/>
    <w:rsid w:val="00A2135E"/>
    <w:rsid w:val="00A217DF"/>
    <w:rsid w:val="00A21999"/>
    <w:rsid w:val="00A21FF5"/>
    <w:rsid w:val="00A23B8A"/>
    <w:rsid w:val="00A242C4"/>
    <w:rsid w:val="00A24D20"/>
    <w:rsid w:val="00A254FD"/>
    <w:rsid w:val="00A25524"/>
    <w:rsid w:val="00A25FF3"/>
    <w:rsid w:val="00A263B3"/>
    <w:rsid w:val="00A26AE2"/>
    <w:rsid w:val="00A26F65"/>
    <w:rsid w:val="00A27F42"/>
    <w:rsid w:val="00A31D9F"/>
    <w:rsid w:val="00A3358A"/>
    <w:rsid w:val="00A34A78"/>
    <w:rsid w:val="00A3551B"/>
    <w:rsid w:val="00A35BB1"/>
    <w:rsid w:val="00A373C9"/>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739"/>
    <w:rsid w:val="00A47937"/>
    <w:rsid w:val="00A512CF"/>
    <w:rsid w:val="00A51D10"/>
    <w:rsid w:val="00A5367C"/>
    <w:rsid w:val="00A5369C"/>
    <w:rsid w:val="00A543CB"/>
    <w:rsid w:val="00A553C9"/>
    <w:rsid w:val="00A55E4C"/>
    <w:rsid w:val="00A564EC"/>
    <w:rsid w:val="00A6013C"/>
    <w:rsid w:val="00A60CC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08C"/>
    <w:rsid w:val="00A83251"/>
    <w:rsid w:val="00A83563"/>
    <w:rsid w:val="00A83B40"/>
    <w:rsid w:val="00A83B7E"/>
    <w:rsid w:val="00A84440"/>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0DF9"/>
    <w:rsid w:val="00AB12F2"/>
    <w:rsid w:val="00AB21C3"/>
    <w:rsid w:val="00AB2856"/>
    <w:rsid w:val="00AB31EC"/>
    <w:rsid w:val="00AB35C9"/>
    <w:rsid w:val="00AB3B35"/>
    <w:rsid w:val="00AB42FD"/>
    <w:rsid w:val="00AB4449"/>
    <w:rsid w:val="00AB5553"/>
    <w:rsid w:val="00AB624D"/>
    <w:rsid w:val="00AB65A6"/>
    <w:rsid w:val="00AB6745"/>
    <w:rsid w:val="00AC0117"/>
    <w:rsid w:val="00AC0633"/>
    <w:rsid w:val="00AC2953"/>
    <w:rsid w:val="00AC3590"/>
    <w:rsid w:val="00AC3591"/>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0BC"/>
    <w:rsid w:val="00AF015E"/>
    <w:rsid w:val="00AF0C6E"/>
    <w:rsid w:val="00AF152A"/>
    <w:rsid w:val="00AF22EF"/>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3CE4"/>
    <w:rsid w:val="00B04543"/>
    <w:rsid w:val="00B04876"/>
    <w:rsid w:val="00B04878"/>
    <w:rsid w:val="00B05123"/>
    <w:rsid w:val="00B052C6"/>
    <w:rsid w:val="00B055F6"/>
    <w:rsid w:val="00B0682A"/>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1A7E"/>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6669"/>
    <w:rsid w:val="00B3752C"/>
    <w:rsid w:val="00B37F1F"/>
    <w:rsid w:val="00B40EDE"/>
    <w:rsid w:val="00B421F6"/>
    <w:rsid w:val="00B422DC"/>
    <w:rsid w:val="00B43798"/>
    <w:rsid w:val="00B43DD4"/>
    <w:rsid w:val="00B45020"/>
    <w:rsid w:val="00B46698"/>
    <w:rsid w:val="00B46AD9"/>
    <w:rsid w:val="00B4740A"/>
    <w:rsid w:val="00B47A82"/>
    <w:rsid w:val="00B505C8"/>
    <w:rsid w:val="00B50D3C"/>
    <w:rsid w:val="00B50DDB"/>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6522E"/>
    <w:rsid w:val="00B70176"/>
    <w:rsid w:val="00B710B5"/>
    <w:rsid w:val="00B7244D"/>
    <w:rsid w:val="00B729FE"/>
    <w:rsid w:val="00B7339D"/>
    <w:rsid w:val="00B736A1"/>
    <w:rsid w:val="00B7370A"/>
    <w:rsid w:val="00B738F6"/>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016"/>
    <w:rsid w:val="00BA1226"/>
    <w:rsid w:val="00BA16EE"/>
    <w:rsid w:val="00BA2231"/>
    <w:rsid w:val="00BA3AD1"/>
    <w:rsid w:val="00BA3BA6"/>
    <w:rsid w:val="00BA48F9"/>
    <w:rsid w:val="00BA5652"/>
    <w:rsid w:val="00BA58DF"/>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20A2"/>
    <w:rsid w:val="00BD35BB"/>
    <w:rsid w:val="00BD3DDD"/>
    <w:rsid w:val="00BD4EAF"/>
    <w:rsid w:val="00BD4F55"/>
    <w:rsid w:val="00BD5279"/>
    <w:rsid w:val="00BD5E04"/>
    <w:rsid w:val="00BD79B7"/>
    <w:rsid w:val="00BE01FE"/>
    <w:rsid w:val="00BE33D2"/>
    <w:rsid w:val="00BE3B61"/>
    <w:rsid w:val="00BE46A1"/>
    <w:rsid w:val="00BE68A2"/>
    <w:rsid w:val="00BF0FD9"/>
    <w:rsid w:val="00BF262E"/>
    <w:rsid w:val="00BF2C16"/>
    <w:rsid w:val="00BF43AF"/>
    <w:rsid w:val="00BF5709"/>
    <w:rsid w:val="00BF5C38"/>
    <w:rsid w:val="00BF5FE4"/>
    <w:rsid w:val="00BF67A2"/>
    <w:rsid w:val="00BF7194"/>
    <w:rsid w:val="00C0088D"/>
    <w:rsid w:val="00C0146E"/>
    <w:rsid w:val="00C04CA0"/>
    <w:rsid w:val="00C04CE6"/>
    <w:rsid w:val="00C05A9B"/>
    <w:rsid w:val="00C0729A"/>
    <w:rsid w:val="00C076CC"/>
    <w:rsid w:val="00C07743"/>
    <w:rsid w:val="00C106B5"/>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3B71"/>
    <w:rsid w:val="00C2644A"/>
    <w:rsid w:val="00C270FA"/>
    <w:rsid w:val="00C272F5"/>
    <w:rsid w:val="00C311A4"/>
    <w:rsid w:val="00C314AD"/>
    <w:rsid w:val="00C319C5"/>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0B5"/>
    <w:rsid w:val="00C50988"/>
    <w:rsid w:val="00C54581"/>
    <w:rsid w:val="00C54953"/>
    <w:rsid w:val="00C55C43"/>
    <w:rsid w:val="00C55CDD"/>
    <w:rsid w:val="00C56114"/>
    <w:rsid w:val="00C577FA"/>
    <w:rsid w:val="00C57A7A"/>
    <w:rsid w:val="00C62FB6"/>
    <w:rsid w:val="00C63A6B"/>
    <w:rsid w:val="00C6420C"/>
    <w:rsid w:val="00C64C09"/>
    <w:rsid w:val="00C64CCC"/>
    <w:rsid w:val="00C65198"/>
    <w:rsid w:val="00C6574C"/>
    <w:rsid w:val="00C65A7B"/>
    <w:rsid w:val="00C6670B"/>
    <w:rsid w:val="00C66CA5"/>
    <w:rsid w:val="00C67746"/>
    <w:rsid w:val="00C707DE"/>
    <w:rsid w:val="00C70945"/>
    <w:rsid w:val="00C70C7A"/>
    <w:rsid w:val="00C71C09"/>
    <w:rsid w:val="00C71CD9"/>
    <w:rsid w:val="00C71DC1"/>
    <w:rsid w:val="00C73664"/>
    <w:rsid w:val="00C741B0"/>
    <w:rsid w:val="00C745AF"/>
    <w:rsid w:val="00C77301"/>
    <w:rsid w:val="00C774E0"/>
    <w:rsid w:val="00C7766F"/>
    <w:rsid w:val="00C77A7C"/>
    <w:rsid w:val="00C81D99"/>
    <w:rsid w:val="00C826BB"/>
    <w:rsid w:val="00C84029"/>
    <w:rsid w:val="00C84435"/>
    <w:rsid w:val="00C84EE3"/>
    <w:rsid w:val="00C8519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02C9"/>
    <w:rsid w:val="00CC4F6F"/>
    <w:rsid w:val="00CC600E"/>
    <w:rsid w:val="00CC687C"/>
    <w:rsid w:val="00CC7713"/>
    <w:rsid w:val="00CC7772"/>
    <w:rsid w:val="00CC7D35"/>
    <w:rsid w:val="00CD040A"/>
    <w:rsid w:val="00CD2392"/>
    <w:rsid w:val="00CD255F"/>
    <w:rsid w:val="00CD296D"/>
    <w:rsid w:val="00CD4DA0"/>
    <w:rsid w:val="00CD4E5B"/>
    <w:rsid w:val="00CD50ED"/>
    <w:rsid w:val="00CD56FA"/>
    <w:rsid w:val="00CD60D7"/>
    <w:rsid w:val="00CE1398"/>
    <w:rsid w:val="00CE1A20"/>
    <w:rsid w:val="00CE1D87"/>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4DAD"/>
    <w:rsid w:val="00D35829"/>
    <w:rsid w:val="00D35FE2"/>
    <w:rsid w:val="00D414C8"/>
    <w:rsid w:val="00D42E3B"/>
    <w:rsid w:val="00D43E1F"/>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50D1"/>
    <w:rsid w:val="00D655E3"/>
    <w:rsid w:val="00D668CF"/>
    <w:rsid w:val="00D67005"/>
    <w:rsid w:val="00D67DF7"/>
    <w:rsid w:val="00D703CE"/>
    <w:rsid w:val="00D70552"/>
    <w:rsid w:val="00D70FE0"/>
    <w:rsid w:val="00D711B6"/>
    <w:rsid w:val="00D71DC2"/>
    <w:rsid w:val="00D720FE"/>
    <w:rsid w:val="00D728C4"/>
    <w:rsid w:val="00D73235"/>
    <w:rsid w:val="00D734F0"/>
    <w:rsid w:val="00D7398D"/>
    <w:rsid w:val="00D75057"/>
    <w:rsid w:val="00D75DA9"/>
    <w:rsid w:val="00D7737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A96"/>
    <w:rsid w:val="00DB0B5C"/>
    <w:rsid w:val="00DB0E24"/>
    <w:rsid w:val="00DB17B8"/>
    <w:rsid w:val="00DB25DD"/>
    <w:rsid w:val="00DB494A"/>
    <w:rsid w:val="00DB5877"/>
    <w:rsid w:val="00DB5D9D"/>
    <w:rsid w:val="00DB5F6D"/>
    <w:rsid w:val="00DB6E83"/>
    <w:rsid w:val="00DC083B"/>
    <w:rsid w:val="00DC14DF"/>
    <w:rsid w:val="00DC15F4"/>
    <w:rsid w:val="00DC1F0C"/>
    <w:rsid w:val="00DC20E2"/>
    <w:rsid w:val="00DC22F8"/>
    <w:rsid w:val="00DC2ADD"/>
    <w:rsid w:val="00DC3389"/>
    <w:rsid w:val="00DC37B3"/>
    <w:rsid w:val="00DC3C43"/>
    <w:rsid w:val="00DC3E1F"/>
    <w:rsid w:val="00DC529B"/>
    <w:rsid w:val="00DC5C67"/>
    <w:rsid w:val="00DC6940"/>
    <w:rsid w:val="00DC7354"/>
    <w:rsid w:val="00DD18CA"/>
    <w:rsid w:val="00DD5D42"/>
    <w:rsid w:val="00DD6095"/>
    <w:rsid w:val="00DD6678"/>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7CE"/>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100F8"/>
    <w:rsid w:val="00E10B39"/>
    <w:rsid w:val="00E10E7E"/>
    <w:rsid w:val="00E11D0B"/>
    <w:rsid w:val="00E12AD3"/>
    <w:rsid w:val="00E13A14"/>
    <w:rsid w:val="00E16381"/>
    <w:rsid w:val="00E1750B"/>
    <w:rsid w:val="00E21036"/>
    <w:rsid w:val="00E21AB0"/>
    <w:rsid w:val="00E22014"/>
    <w:rsid w:val="00E22BCD"/>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222"/>
    <w:rsid w:val="00E50ADD"/>
    <w:rsid w:val="00E511E7"/>
    <w:rsid w:val="00E52000"/>
    <w:rsid w:val="00E532AF"/>
    <w:rsid w:val="00E54380"/>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92C"/>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1FD"/>
    <w:rsid w:val="00E938C2"/>
    <w:rsid w:val="00E943C5"/>
    <w:rsid w:val="00E9497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1DD1"/>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4C4"/>
    <w:rsid w:val="00F36BFA"/>
    <w:rsid w:val="00F36E2B"/>
    <w:rsid w:val="00F40839"/>
    <w:rsid w:val="00F40A79"/>
    <w:rsid w:val="00F40BD2"/>
    <w:rsid w:val="00F41115"/>
    <w:rsid w:val="00F41D11"/>
    <w:rsid w:val="00F44905"/>
    <w:rsid w:val="00F4490F"/>
    <w:rsid w:val="00F44DCF"/>
    <w:rsid w:val="00F45C2E"/>
    <w:rsid w:val="00F46537"/>
    <w:rsid w:val="00F46A31"/>
    <w:rsid w:val="00F51D03"/>
    <w:rsid w:val="00F523E8"/>
    <w:rsid w:val="00F52BF6"/>
    <w:rsid w:val="00F5309E"/>
    <w:rsid w:val="00F53F78"/>
    <w:rsid w:val="00F5487E"/>
    <w:rsid w:val="00F549F1"/>
    <w:rsid w:val="00F55E10"/>
    <w:rsid w:val="00F56907"/>
    <w:rsid w:val="00F56B74"/>
    <w:rsid w:val="00F574B1"/>
    <w:rsid w:val="00F57C16"/>
    <w:rsid w:val="00F6078E"/>
    <w:rsid w:val="00F620DD"/>
    <w:rsid w:val="00F62FE4"/>
    <w:rsid w:val="00F63875"/>
    <w:rsid w:val="00F6575C"/>
    <w:rsid w:val="00F663C1"/>
    <w:rsid w:val="00F66C5C"/>
    <w:rsid w:val="00F67699"/>
    <w:rsid w:val="00F7019E"/>
    <w:rsid w:val="00F71229"/>
    <w:rsid w:val="00F7284C"/>
    <w:rsid w:val="00F75178"/>
    <w:rsid w:val="00F76136"/>
    <w:rsid w:val="00F77CBC"/>
    <w:rsid w:val="00F815B6"/>
    <w:rsid w:val="00F837F0"/>
    <w:rsid w:val="00F84554"/>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4E7B"/>
    <w:rsid w:val="00FA59DC"/>
    <w:rsid w:val="00FA5F99"/>
    <w:rsid w:val="00FA6AA8"/>
    <w:rsid w:val="00FA7C64"/>
    <w:rsid w:val="00FB1366"/>
    <w:rsid w:val="00FB1DA7"/>
    <w:rsid w:val="00FB1E7C"/>
    <w:rsid w:val="00FB2BA7"/>
    <w:rsid w:val="00FB5795"/>
    <w:rsid w:val="00FB5BEE"/>
    <w:rsid w:val="00FB7D22"/>
    <w:rsid w:val="00FC0390"/>
    <w:rsid w:val="00FC1CF1"/>
    <w:rsid w:val="00FC1EF5"/>
    <w:rsid w:val="00FC3916"/>
    <w:rsid w:val="00FC3EAA"/>
    <w:rsid w:val="00FC4660"/>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028"/>
    <w:rsid w:val="00FE38DC"/>
    <w:rsid w:val="00FE6083"/>
    <w:rsid w:val="00FE781E"/>
    <w:rsid w:val="00FF11A5"/>
    <w:rsid w:val="00FF4CFE"/>
    <w:rsid w:val="00FF4E3B"/>
    <w:rsid w:val="00FF5DCD"/>
    <w:rsid w:val="014A2300"/>
    <w:rsid w:val="014A752E"/>
    <w:rsid w:val="01552358"/>
    <w:rsid w:val="01AE2741"/>
    <w:rsid w:val="01B43697"/>
    <w:rsid w:val="01C759C5"/>
    <w:rsid w:val="01CF485B"/>
    <w:rsid w:val="01E16A27"/>
    <w:rsid w:val="026F1BE5"/>
    <w:rsid w:val="027C2116"/>
    <w:rsid w:val="028B383B"/>
    <w:rsid w:val="029063F9"/>
    <w:rsid w:val="0297496C"/>
    <w:rsid w:val="033F194C"/>
    <w:rsid w:val="03587E9C"/>
    <w:rsid w:val="03795DEE"/>
    <w:rsid w:val="03C031BE"/>
    <w:rsid w:val="03C76875"/>
    <w:rsid w:val="03CA6095"/>
    <w:rsid w:val="03DB6583"/>
    <w:rsid w:val="04012347"/>
    <w:rsid w:val="043D57F5"/>
    <w:rsid w:val="046C41AD"/>
    <w:rsid w:val="046C67BE"/>
    <w:rsid w:val="047C71AE"/>
    <w:rsid w:val="047F7DB3"/>
    <w:rsid w:val="04A77498"/>
    <w:rsid w:val="04AC35B9"/>
    <w:rsid w:val="04C51261"/>
    <w:rsid w:val="04E73165"/>
    <w:rsid w:val="04EA0654"/>
    <w:rsid w:val="05092798"/>
    <w:rsid w:val="050F208C"/>
    <w:rsid w:val="0550336F"/>
    <w:rsid w:val="0562120F"/>
    <w:rsid w:val="059D4A76"/>
    <w:rsid w:val="05B67ECF"/>
    <w:rsid w:val="05B705E8"/>
    <w:rsid w:val="05D21940"/>
    <w:rsid w:val="05DF58DF"/>
    <w:rsid w:val="06234E0B"/>
    <w:rsid w:val="068C365A"/>
    <w:rsid w:val="0699045D"/>
    <w:rsid w:val="06A364D0"/>
    <w:rsid w:val="06BF4A2A"/>
    <w:rsid w:val="079052BA"/>
    <w:rsid w:val="07996AA3"/>
    <w:rsid w:val="07B92CA2"/>
    <w:rsid w:val="07BD3053"/>
    <w:rsid w:val="07D73443"/>
    <w:rsid w:val="080F6937"/>
    <w:rsid w:val="0817739A"/>
    <w:rsid w:val="0898555E"/>
    <w:rsid w:val="089A1126"/>
    <w:rsid w:val="08AA3203"/>
    <w:rsid w:val="091C760F"/>
    <w:rsid w:val="093B2A1B"/>
    <w:rsid w:val="09715E82"/>
    <w:rsid w:val="09E172B1"/>
    <w:rsid w:val="0A2027B8"/>
    <w:rsid w:val="0A8945A3"/>
    <w:rsid w:val="0B00627E"/>
    <w:rsid w:val="0B055582"/>
    <w:rsid w:val="0B3811FC"/>
    <w:rsid w:val="0B9F1513"/>
    <w:rsid w:val="0BA8085E"/>
    <w:rsid w:val="0BDF0443"/>
    <w:rsid w:val="0BE643D6"/>
    <w:rsid w:val="0C00171E"/>
    <w:rsid w:val="0C245407"/>
    <w:rsid w:val="0C492E5E"/>
    <w:rsid w:val="0C6D30F8"/>
    <w:rsid w:val="0C6F37FE"/>
    <w:rsid w:val="0C9822D7"/>
    <w:rsid w:val="0CAF6C7D"/>
    <w:rsid w:val="0CBE1219"/>
    <w:rsid w:val="0CC44A71"/>
    <w:rsid w:val="0CDD5AC5"/>
    <w:rsid w:val="0D0453E1"/>
    <w:rsid w:val="0D8042AF"/>
    <w:rsid w:val="0D88040D"/>
    <w:rsid w:val="0DA678C6"/>
    <w:rsid w:val="0E133442"/>
    <w:rsid w:val="0E462C8F"/>
    <w:rsid w:val="0E4815C8"/>
    <w:rsid w:val="0E5C7718"/>
    <w:rsid w:val="0E627C0D"/>
    <w:rsid w:val="0E834F3A"/>
    <w:rsid w:val="0EB46560"/>
    <w:rsid w:val="0EC1062A"/>
    <w:rsid w:val="0EE034F0"/>
    <w:rsid w:val="0F1C0E68"/>
    <w:rsid w:val="0F3157C2"/>
    <w:rsid w:val="0F43506A"/>
    <w:rsid w:val="0F621FE5"/>
    <w:rsid w:val="0F652177"/>
    <w:rsid w:val="0FE07656"/>
    <w:rsid w:val="100E41DD"/>
    <w:rsid w:val="10104AC9"/>
    <w:rsid w:val="104D23BA"/>
    <w:rsid w:val="104D3D65"/>
    <w:rsid w:val="1050508D"/>
    <w:rsid w:val="10741127"/>
    <w:rsid w:val="10B8167D"/>
    <w:rsid w:val="11081A60"/>
    <w:rsid w:val="11316520"/>
    <w:rsid w:val="11523B6C"/>
    <w:rsid w:val="11767935"/>
    <w:rsid w:val="117C2142"/>
    <w:rsid w:val="1188158C"/>
    <w:rsid w:val="11892F62"/>
    <w:rsid w:val="11AE1BA5"/>
    <w:rsid w:val="120A104E"/>
    <w:rsid w:val="120C19E3"/>
    <w:rsid w:val="1229050A"/>
    <w:rsid w:val="123F76A9"/>
    <w:rsid w:val="12403B36"/>
    <w:rsid w:val="12503BB3"/>
    <w:rsid w:val="12A96F3E"/>
    <w:rsid w:val="133411CC"/>
    <w:rsid w:val="134960EA"/>
    <w:rsid w:val="138B4FFF"/>
    <w:rsid w:val="13A907F4"/>
    <w:rsid w:val="13B51A43"/>
    <w:rsid w:val="13B703F7"/>
    <w:rsid w:val="13C71982"/>
    <w:rsid w:val="143026C9"/>
    <w:rsid w:val="14487382"/>
    <w:rsid w:val="145350C7"/>
    <w:rsid w:val="152016F7"/>
    <w:rsid w:val="15405664"/>
    <w:rsid w:val="158811E5"/>
    <w:rsid w:val="15A707A0"/>
    <w:rsid w:val="15DA3D8B"/>
    <w:rsid w:val="16285D80"/>
    <w:rsid w:val="169C2BAB"/>
    <w:rsid w:val="16F02B11"/>
    <w:rsid w:val="177C4A4B"/>
    <w:rsid w:val="1782320F"/>
    <w:rsid w:val="17A37C18"/>
    <w:rsid w:val="17BF51AA"/>
    <w:rsid w:val="181A15DF"/>
    <w:rsid w:val="18296D42"/>
    <w:rsid w:val="183325E9"/>
    <w:rsid w:val="189D034B"/>
    <w:rsid w:val="1925649C"/>
    <w:rsid w:val="192A0F80"/>
    <w:rsid w:val="193E1CBE"/>
    <w:rsid w:val="1A003E41"/>
    <w:rsid w:val="1A1C1108"/>
    <w:rsid w:val="1A350D36"/>
    <w:rsid w:val="1A4674A9"/>
    <w:rsid w:val="1A4B069F"/>
    <w:rsid w:val="1A7819CF"/>
    <w:rsid w:val="1ABF3177"/>
    <w:rsid w:val="1ADD3A44"/>
    <w:rsid w:val="1AF33E06"/>
    <w:rsid w:val="1B2C17A0"/>
    <w:rsid w:val="1B486B63"/>
    <w:rsid w:val="1B734F3C"/>
    <w:rsid w:val="1BA3553D"/>
    <w:rsid w:val="1BD9199A"/>
    <w:rsid w:val="1C21447A"/>
    <w:rsid w:val="1C67605A"/>
    <w:rsid w:val="1C790EC2"/>
    <w:rsid w:val="1CB41B4A"/>
    <w:rsid w:val="1CF100D0"/>
    <w:rsid w:val="1CF6273D"/>
    <w:rsid w:val="1D06547B"/>
    <w:rsid w:val="1D3E6CBD"/>
    <w:rsid w:val="1D41730D"/>
    <w:rsid w:val="1D960401"/>
    <w:rsid w:val="1D9A2CE2"/>
    <w:rsid w:val="1D9B6BB2"/>
    <w:rsid w:val="1E401FB3"/>
    <w:rsid w:val="1E852668"/>
    <w:rsid w:val="1E9B6502"/>
    <w:rsid w:val="1F286BCB"/>
    <w:rsid w:val="1F2A1DCC"/>
    <w:rsid w:val="1F37777B"/>
    <w:rsid w:val="1F4402DB"/>
    <w:rsid w:val="1F4962F9"/>
    <w:rsid w:val="1F6E61E0"/>
    <w:rsid w:val="1F762BDC"/>
    <w:rsid w:val="1FB916B2"/>
    <w:rsid w:val="1FC87C09"/>
    <w:rsid w:val="1FCD36B9"/>
    <w:rsid w:val="1FD06C97"/>
    <w:rsid w:val="201B164B"/>
    <w:rsid w:val="204810B6"/>
    <w:rsid w:val="20554C84"/>
    <w:rsid w:val="20832C36"/>
    <w:rsid w:val="20A63D8D"/>
    <w:rsid w:val="20BE4D04"/>
    <w:rsid w:val="20C23E78"/>
    <w:rsid w:val="21102F1A"/>
    <w:rsid w:val="215C757E"/>
    <w:rsid w:val="21683239"/>
    <w:rsid w:val="2171327D"/>
    <w:rsid w:val="2192082A"/>
    <w:rsid w:val="21B25BF6"/>
    <w:rsid w:val="21CD670E"/>
    <w:rsid w:val="21F67AD7"/>
    <w:rsid w:val="220B5755"/>
    <w:rsid w:val="22232FD1"/>
    <w:rsid w:val="2223535C"/>
    <w:rsid w:val="227B060E"/>
    <w:rsid w:val="228C0744"/>
    <w:rsid w:val="22C06A10"/>
    <w:rsid w:val="231D40CF"/>
    <w:rsid w:val="233D1688"/>
    <w:rsid w:val="23410897"/>
    <w:rsid w:val="23571A56"/>
    <w:rsid w:val="23C21DFE"/>
    <w:rsid w:val="23C66C86"/>
    <w:rsid w:val="23FD7A7B"/>
    <w:rsid w:val="24184A87"/>
    <w:rsid w:val="243C3D3A"/>
    <w:rsid w:val="24541003"/>
    <w:rsid w:val="24773A4C"/>
    <w:rsid w:val="248E69C1"/>
    <w:rsid w:val="24BA5EAF"/>
    <w:rsid w:val="24C07963"/>
    <w:rsid w:val="24D04A10"/>
    <w:rsid w:val="2503095F"/>
    <w:rsid w:val="25041FF1"/>
    <w:rsid w:val="251B50D8"/>
    <w:rsid w:val="257B5A82"/>
    <w:rsid w:val="25A63C73"/>
    <w:rsid w:val="25AB796F"/>
    <w:rsid w:val="26163321"/>
    <w:rsid w:val="26297F31"/>
    <w:rsid w:val="265041C4"/>
    <w:rsid w:val="26A7493E"/>
    <w:rsid w:val="26AA57F9"/>
    <w:rsid w:val="26C43081"/>
    <w:rsid w:val="26D742A1"/>
    <w:rsid w:val="273B2881"/>
    <w:rsid w:val="277F1F69"/>
    <w:rsid w:val="27836261"/>
    <w:rsid w:val="27983052"/>
    <w:rsid w:val="27BB3100"/>
    <w:rsid w:val="27C53841"/>
    <w:rsid w:val="27E3220C"/>
    <w:rsid w:val="280C5EA4"/>
    <w:rsid w:val="282D7F06"/>
    <w:rsid w:val="284072D8"/>
    <w:rsid w:val="28586CCB"/>
    <w:rsid w:val="285D5D0E"/>
    <w:rsid w:val="28AC052B"/>
    <w:rsid w:val="29100BDA"/>
    <w:rsid w:val="293E0ED0"/>
    <w:rsid w:val="2985793F"/>
    <w:rsid w:val="298F5607"/>
    <w:rsid w:val="299D0EF3"/>
    <w:rsid w:val="29B631A8"/>
    <w:rsid w:val="2A002DB3"/>
    <w:rsid w:val="2A2D7BD0"/>
    <w:rsid w:val="2A614A76"/>
    <w:rsid w:val="2A835A28"/>
    <w:rsid w:val="2A8615FC"/>
    <w:rsid w:val="2A8D32E3"/>
    <w:rsid w:val="2A97775F"/>
    <w:rsid w:val="2AC44231"/>
    <w:rsid w:val="2AD00FAD"/>
    <w:rsid w:val="2B235820"/>
    <w:rsid w:val="2B394E61"/>
    <w:rsid w:val="2B6B0BB2"/>
    <w:rsid w:val="2B761DD2"/>
    <w:rsid w:val="2B924003"/>
    <w:rsid w:val="2BCA7B70"/>
    <w:rsid w:val="2C5F5153"/>
    <w:rsid w:val="2CF3037F"/>
    <w:rsid w:val="2CF854AC"/>
    <w:rsid w:val="2D0666BB"/>
    <w:rsid w:val="2D237A1C"/>
    <w:rsid w:val="2D702BDC"/>
    <w:rsid w:val="2D7266E9"/>
    <w:rsid w:val="2D9C75BE"/>
    <w:rsid w:val="2DB34DB6"/>
    <w:rsid w:val="2E140A68"/>
    <w:rsid w:val="2E364A9A"/>
    <w:rsid w:val="2E6C44EF"/>
    <w:rsid w:val="2E82506C"/>
    <w:rsid w:val="2E930E90"/>
    <w:rsid w:val="2F1340CB"/>
    <w:rsid w:val="2F266720"/>
    <w:rsid w:val="2F3B2D82"/>
    <w:rsid w:val="2F677070"/>
    <w:rsid w:val="2F7219B6"/>
    <w:rsid w:val="2FA63E73"/>
    <w:rsid w:val="2FD2516A"/>
    <w:rsid w:val="2FE41E7C"/>
    <w:rsid w:val="30076994"/>
    <w:rsid w:val="30227969"/>
    <w:rsid w:val="30835019"/>
    <w:rsid w:val="3088786A"/>
    <w:rsid w:val="308D51A4"/>
    <w:rsid w:val="30B83A5F"/>
    <w:rsid w:val="30C44A5B"/>
    <w:rsid w:val="30FD257F"/>
    <w:rsid w:val="31123CCD"/>
    <w:rsid w:val="31270FA5"/>
    <w:rsid w:val="316D2EC0"/>
    <w:rsid w:val="31AD2C9A"/>
    <w:rsid w:val="31ED4079"/>
    <w:rsid w:val="320011F8"/>
    <w:rsid w:val="321A7FB8"/>
    <w:rsid w:val="323C5094"/>
    <w:rsid w:val="326B18D7"/>
    <w:rsid w:val="328161F2"/>
    <w:rsid w:val="32936DD4"/>
    <w:rsid w:val="32FB6A94"/>
    <w:rsid w:val="335B0139"/>
    <w:rsid w:val="33A9243F"/>
    <w:rsid w:val="33F259F0"/>
    <w:rsid w:val="34182A84"/>
    <w:rsid w:val="34293EA8"/>
    <w:rsid w:val="34315323"/>
    <w:rsid w:val="34375B9E"/>
    <w:rsid w:val="3459554E"/>
    <w:rsid w:val="346C4588"/>
    <w:rsid w:val="347529DF"/>
    <w:rsid w:val="347B06F3"/>
    <w:rsid w:val="349B7D92"/>
    <w:rsid w:val="34EB79A4"/>
    <w:rsid w:val="34EC277C"/>
    <w:rsid w:val="3557056D"/>
    <w:rsid w:val="356F7E75"/>
    <w:rsid w:val="358A0909"/>
    <w:rsid w:val="35D9704B"/>
    <w:rsid w:val="36911DCC"/>
    <w:rsid w:val="36A930AD"/>
    <w:rsid w:val="37007186"/>
    <w:rsid w:val="373F4B82"/>
    <w:rsid w:val="374E6416"/>
    <w:rsid w:val="376F7763"/>
    <w:rsid w:val="37A0553D"/>
    <w:rsid w:val="37AB28AB"/>
    <w:rsid w:val="37B7410E"/>
    <w:rsid w:val="37CC0B37"/>
    <w:rsid w:val="37F233F6"/>
    <w:rsid w:val="380E50F8"/>
    <w:rsid w:val="38412935"/>
    <w:rsid w:val="38460B12"/>
    <w:rsid w:val="38506A19"/>
    <w:rsid w:val="386E4620"/>
    <w:rsid w:val="38CE5D4B"/>
    <w:rsid w:val="38ED7518"/>
    <w:rsid w:val="390C7F95"/>
    <w:rsid w:val="39280403"/>
    <w:rsid w:val="392D6095"/>
    <w:rsid w:val="39754642"/>
    <w:rsid w:val="39995B99"/>
    <w:rsid w:val="399D4230"/>
    <w:rsid w:val="3A0B3466"/>
    <w:rsid w:val="3A526216"/>
    <w:rsid w:val="3ABB0B98"/>
    <w:rsid w:val="3AD83D63"/>
    <w:rsid w:val="3AE326CE"/>
    <w:rsid w:val="3AED02D8"/>
    <w:rsid w:val="3B1E64AC"/>
    <w:rsid w:val="3B6D745D"/>
    <w:rsid w:val="3B747A20"/>
    <w:rsid w:val="3BB46037"/>
    <w:rsid w:val="3BD836ED"/>
    <w:rsid w:val="3BE64E43"/>
    <w:rsid w:val="3C9154FB"/>
    <w:rsid w:val="3C973384"/>
    <w:rsid w:val="3D5F2564"/>
    <w:rsid w:val="3D8854D5"/>
    <w:rsid w:val="3E3E1EB6"/>
    <w:rsid w:val="3E4E7CA6"/>
    <w:rsid w:val="3E505B65"/>
    <w:rsid w:val="3E524703"/>
    <w:rsid w:val="3E8F245D"/>
    <w:rsid w:val="3E922372"/>
    <w:rsid w:val="3EC27BEE"/>
    <w:rsid w:val="3F0D4FF4"/>
    <w:rsid w:val="3F456218"/>
    <w:rsid w:val="3F934C7A"/>
    <w:rsid w:val="3FA45EBA"/>
    <w:rsid w:val="40874F1F"/>
    <w:rsid w:val="40A31587"/>
    <w:rsid w:val="40AC0111"/>
    <w:rsid w:val="40C267AB"/>
    <w:rsid w:val="40F742C7"/>
    <w:rsid w:val="41182A31"/>
    <w:rsid w:val="4196023D"/>
    <w:rsid w:val="42132817"/>
    <w:rsid w:val="423263A4"/>
    <w:rsid w:val="42335E1F"/>
    <w:rsid w:val="425C4316"/>
    <w:rsid w:val="42843010"/>
    <w:rsid w:val="42923C31"/>
    <w:rsid w:val="429B54B0"/>
    <w:rsid w:val="42BE44BD"/>
    <w:rsid w:val="42CC2F63"/>
    <w:rsid w:val="42D219D0"/>
    <w:rsid w:val="42FE2688"/>
    <w:rsid w:val="43652D66"/>
    <w:rsid w:val="438718F0"/>
    <w:rsid w:val="43E902BD"/>
    <w:rsid w:val="440C6969"/>
    <w:rsid w:val="445273C7"/>
    <w:rsid w:val="44EA6C09"/>
    <w:rsid w:val="450F78C1"/>
    <w:rsid w:val="45317622"/>
    <w:rsid w:val="454F306F"/>
    <w:rsid w:val="45721D1C"/>
    <w:rsid w:val="45AB7D97"/>
    <w:rsid w:val="45D32483"/>
    <w:rsid w:val="45E959E8"/>
    <w:rsid w:val="462F75F1"/>
    <w:rsid w:val="46311AFC"/>
    <w:rsid w:val="46505A6E"/>
    <w:rsid w:val="46760099"/>
    <w:rsid w:val="46AD6928"/>
    <w:rsid w:val="46B20D96"/>
    <w:rsid w:val="47353D1A"/>
    <w:rsid w:val="47EF0A7F"/>
    <w:rsid w:val="480C24AE"/>
    <w:rsid w:val="48206638"/>
    <w:rsid w:val="4835522A"/>
    <w:rsid w:val="483B7B4C"/>
    <w:rsid w:val="489E2A73"/>
    <w:rsid w:val="48BD55C3"/>
    <w:rsid w:val="48C6797A"/>
    <w:rsid w:val="49136555"/>
    <w:rsid w:val="494734F2"/>
    <w:rsid w:val="494A1752"/>
    <w:rsid w:val="49B958DD"/>
    <w:rsid w:val="49E25883"/>
    <w:rsid w:val="49EE4422"/>
    <w:rsid w:val="49F103A0"/>
    <w:rsid w:val="4A4C2296"/>
    <w:rsid w:val="4AE80A8C"/>
    <w:rsid w:val="4B0B6B4D"/>
    <w:rsid w:val="4B423C92"/>
    <w:rsid w:val="4B574CAA"/>
    <w:rsid w:val="4B977C57"/>
    <w:rsid w:val="4B9D5BAA"/>
    <w:rsid w:val="4BB20E78"/>
    <w:rsid w:val="4BD2139A"/>
    <w:rsid w:val="4BE168A0"/>
    <w:rsid w:val="4C3C03A9"/>
    <w:rsid w:val="4C684C1E"/>
    <w:rsid w:val="4C9361E9"/>
    <w:rsid w:val="4CD46DEC"/>
    <w:rsid w:val="4CF211F0"/>
    <w:rsid w:val="4D0A6F77"/>
    <w:rsid w:val="4D1C3CD0"/>
    <w:rsid w:val="4D22698C"/>
    <w:rsid w:val="4D8E71D5"/>
    <w:rsid w:val="4E0350F8"/>
    <w:rsid w:val="4E243B8D"/>
    <w:rsid w:val="4E436B37"/>
    <w:rsid w:val="4EA656DA"/>
    <w:rsid w:val="4EC970E1"/>
    <w:rsid w:val="4EE11397"/>
    <w:rsid w:val="4EE61ACA"/>
    <w:rsid w:val="4EFE2072"/>
    <w:rsid w:val="4EFE4AE3"/>
    <w:rsid w:val="4F2549BE"/>
    <w:rsid w:val="4F3B6619"/>
    <w:rsid w:val="4F8739D1"/>
    <w:rsid w:val="4F8F2C0C"/>
    <w:rsid w:val="4FB563EF"/>
    <w:rsid w:val="4FB64583"/>
    <w:rsid w:val="4FDD21D9"/>
    <w:rsid w:val="50120BFD"/>
    <w:rsid w:val="5014690D"/>
    <w:rsid w:val="504659F0"/>
    <w:rsid w:val="50491DE4"/>
    <w:rsid w:val="506D034B"/>
    <w:rsid w:val="50787F57"/>
    <w:rsid w:val="50D0255D"/>
    <w:rsid w:val="50D90D5F"/>
    <w:rsid w:val="5155574D"/>
    <w:rsid w:val="51634EAC"/>
    <w:rsid w:val="51745F08"/>
    <w:rsid w:val="517C59CC"/>
    <w:rsid w:val="523732E4"/>
    <w:rsid w:val="524A0CA9"/>
    <w:rsid w:val="5282130E"/>
    <w:rsid w:val="52984670"/>
    <w:rsid w:val="52CF5403"/>
    <w:rsid w:val="5339798C"/>
    <w:rsid w:val="534501D7"/>
    <w:rsid w:val="535D4D2F"/>
    <w:rsid w:val="53DC561E"/>
    <w:rsid w:val="53EF1D12"/>
    <w:rsid w:val="54BA33AD"/>
    <w:rsid w:val="555653CF"/>
    <w:rsid w:val="558B43E9"/>
    <w:rsid w:val="55C57C62"/>
    <w:rsid w:val="55D716CF"/>
    <w:rsid w:val="565A144E"/>
    <w:rsid w:val="56734CC6"/>
    <w:rsid w:val="5680145C"/>
    <w:rsid w:val="56AD2C7D"/>
    <w:rsid w:val="56BD0BB6"/>
    <w:rsid w:val="56CB45AE"/>
    <w:rsid w:val="56D7638C"/>
    <w:rsid w:val="57293CFA"/>
    <w:rsid w:val="57390D5B"/>
    <w:rsid w:val="574D07EE"/>
    <w:rsid w:val="57792FDC"/>
    <w:rsid w:val="5795304D"/>
    <w:rsid w:val="57C652E5"/>
    <w:rsid w:val="57EB09A3"/>
    <w:rsid w:val="580D008A"/>
    <w:rsid w:val="58150E72"/>
    <w:rsid w:val="583F0A9B"/>
    <w:rsid w:val="58510921"/>
    <w:rsid w:val="587E4484"/>
    <w:rsid w:val="58873694"/>
    <w:rsid w:val="58991371"/>
    <w:rsid w:val="58DB5FA5"/>
    <w:rsid w:val="58E163D7"/>
    <w:rsid w:val="5916085F"/>
    <w:rsid w:val="595C7288"/>
    <w:rsid w:val="59921D99"/>
    <w:rsid w:val="59B158F4"/>
    <w:rsid w:val="59BE5BAA"/>
    <w:rsid w:val="59C437FE"/>
    <w:rsid w:val="59CE3BCF"/>
    <w:rsid w:val="59FE517B"/>
    <w:rsid w:val="5A267527"/>
    <w:rsid w:val="5B2C134D"/>
    <w:rsid w:val="5B962F9A"/>
    <w:rsid w:val="5BD61C15"/>
    <w:rsid w:val="5C0266B2"/>
    <w:rsid w:val="5C1E33C4"/>
    <w:rsid w:val="5C4C5654"/>
    <w:rsid w:val="5C8D16E1"/>
    <w:rsid w:val="5D04765F"/>
    <w:rsid w:val="5D1426A8"/>
    <w:rsid w:val="5D2525BB"/>
    <w:rsid w:val="5D270646"/>
    <w:rsid w:val="5D587593"/>
    <w:rsid w:val="5D6632BE"/>
    <w:rsid w:val="5D79362F"/>
    <w:rsid w:val="5DFD4B8A"/>
    <w:rsid w:val="5E2E6D07"/>
    <w:rsid w:val="5E7163CA"/>
    <w:rsid w:val="5EE540DA"/>
    <w:rsid w:val="5EEA34F4"/>
    <w:rsid w:val="5EF27C7E"/>
    <w:rsid w:val="5F0741A8"/>
    <w:rsid w:val="5F322FC1"/>
    <w:rsid w:val="5F3C1DA9"/>
    <w:rsid w:val="5F930D63"/>
    <w:rsid w:val="5F93783B"/>
    <w:rsid w:val="60040CB9"/>
    <w:rsid w:val="60326878"/>
    <w:rsid w:val="6039647F"/>
    <w:rsid w:val="60586B40"/>
    <w:rsid w:val="606F4BAD"/>
    <w:rsid w:val="60897EB4"/>
    <w:rsid w:val="60AF4B45"/>
    <w:rsid w:val="60C8132B"/>
    <w:rsid w:val="60CD5FF7"/>
    <w:rsid w:val="60FC0F63"/>
    <w:rsid w:val="610D23F7"/>
    <w:rsid w:val="610D2E70"/>
    <w:rsid w:val="610F2437"/>
    <w:rsid w:val="61563C74"/>
    <w:rsid w:val="615E7924"/>
    <w:rsid w:val="61A3229B"/>
    <w:rsid w:val="61CB6E43"/>
    <w:rsid w:val="61FE2DAE"/>
    <w:rsid w:val="625D5ECF"/>
    <w:rsid w:val="627A2E03"/>
    <w:rsid w:val="62983893"/>
    <w:rsid w:val="629F4473"/>
    <w:rsid w:val="62C41DFD"/>
    <w:rsid w:val="631B55AD"/>
    <w:rsid w:val="6339262C"/>
    <w:rsid w:val="633950CF"/>
    <w:rsid w:val="63EE3DDA"/>
    <w:rsid w:val="64317378"/>
    <w:rsid w:val="6486230B"/>
    <w:rsid w:val="64AA0728"/>
    <w:rsid w:val="64D178EE"/>
    <w:rsid w:val="64FE675E"/>
    <w:rsid w:val="656A44D5"/>
    <w:rsid w:val="65F35FF0"/>
    <w:rsid w:val="65F375CB"/>
    <w:rsid w:val="6637683D"/>
    <w:rsid w:val="66580DBE"/>
    <w:rsid w:val="66612E6A"/>
    <w:rsid w:val="66911818"/>
    <w:rsid w:val="66E14CA0"/>
    <w:rsid w:val="66FA713B"/>
    <w:rsid w:val="67120BD8"/>
    <w:rsid w:val="674C7B73"/>
    <w:rsid w:val="67552C37"/>
    <w:rsid w:val="675E3F8C"/>
    <w:rsid w:val="681A03FA"/>
    <w:rsid w:val="686328D9"/>
    <w:rsid w:val="68663DEF"/>
    <w:rsid w:val="686A13E8"/>
    <w:rsid w:val="688F4A85"/>
    <w:rsid w:val="68D7106C"/>
    <w:rsid w:val="68EC254E"/>
    <w:rsid w:val="68F94CAE"/>
    <w:rsid w:val="695B657F"/>
    <w:rsid w:val="69653473"/>
    <w:rsid w:val="696A10AD"/>
    <w:rsid w:val="697B7C18"/>
    <w:rsid w:val="69D35E64"/>
    <w:rsid w:val="6A192068"/>
    <w:rsid w:val="6A2717A4"/>
    <w:rsid w:val="6A875E44"/>
    <w:rsid w:val="6A8E2BD7"/>
    <w:rsid w:val="6AA428F0"/>
    <w:rsid w:val="6B250556"/>
    <w:rsid w:val="6B7C4F05"/>
    <w:rsid w:val="6BDD6438"/>
    <w:rsid w:val="6BE469A7"/>
    <w:rsid w:val="6BF144F7"/>
    <w:rsid w:val="6BFC05B5"/>
    <w:rsid w:val="6C041747"/>
    <w:rsid w:val="6C2E63F3"/>
    <w:rsid w:val="6C3F3C8F"/>
    <w:rsid w:val="6CA4065B"/>
    <w:rsid w:val="6CEA248B"/>
    <w:rsid w:val="6CF02525"/>
    <w:rsid w:val="6DA31861"/>
    <w:rsid w:val="6DEB2CA1"/>
    <w:rsid w:val="6E333440"/>
    <w:rsid w:val="6E7A1526"/>
    <w:rsid w:val="6E8C07C4"/>
    <w:rsid w:val="6E955E22"/>
    <w:rsid w:val="6EA27422"/>
    <w:rsid w:val="6EBE346C"/>
    <w:rsid w:val="6ECC66E0"/>
    <w:rsid w:val="6EF91155"/>
    <w:rsid w:val="6F0C72EE"/>
    <w:rsid w:val="6F173DD6"/>
    <w:rsid w:val="6F6C5419"/>
    <w:rsid w:val="6F977989"/>
    <w:rsid w:val="6FBA409B"/>
    <w:rsid w:val="6FBC714B"/>
    <w:rsid w:val="6FE82174"/>
    <w:rsid w:val="70055EC7"/>
    <w:rsid w:val="70336F5A"/>
    <w:rsid w:val="707130F4"/>
    <w:rsid w:val="70CC5FE9"/>
    <w:rsid w:val="70F071B0"/>
    <w:rsid w:val="711B75A2"/>
    <w:rsid w:val="71BB3162"/>
    <w:rsid w:val="71D7696F"/>
    <w:rsid w:val="71FF5BB1"/>
    <w:rsid w:val="72005C2B"/>
    <w:rsid w:val="72492811"/>
    <w:rsid w:val="726B496A"/>
    <w:rsid w:val="729001EE"/>
    <w:rsid w:val="72EC1F89"/>
    <w:rsid w:val="72FF148A"/>
    <w:rsid w:val="73013145"/>
    <w:rsid w:val="73577DB2"/>
    <w:rsid w:val="73E77669"/>
    <w:rsid w:val="73EF0F11"/>
    <w:rsid w:val="73F80A65"/>
    <w:rsid w:val="740645AC"/>
    <w:rsid w:val="74262C68"/>
    <w:rsid w:val="747C59C7"/>
    <w:rsid w:val="74874888"/>
    <w:rsid w:val="74D15B2C"/>
    <w:rsid w:val="74E33AF0"/>
    <w:rsid w:val="75025100"/>
    <w:rsid w:val="75392624"/>
    <w:rsid w:val="754F316E"/>
    <w:rsid w:val="75AC3286"/>
    <w:rsid w:val="75AF53FF"/>
    <w:rsid w:val="75F94F46"/>
    <w:rsid w:val="760427CF"/>
    <w:rsid w:val="761914B7"/>
    <w:rsid w:val="767E7E96"/>
    <w:rsid w:val="768D7127"/>
    <w:rsid w:val="76E52C6F"/>
    <w:rsid w:val="76E8529D"/>
    <w:rsid w:val="770C4FF9"/>
    <w:rsid w:val="77465F26"/>
    <w:rsid w:val="77620F31"/>
    <w:rsid w:val="779A2975"/>
    <w:rsid w:val="77B47658"/>
    <w:rsid w:val="77D976DB"/>
    <w:rsid w:val="77ED11DA"/>
    <w:rsid w:val="783368F4"/>
    <w:rsid w:val="78906088"/>
    <w:rsid w:val="78DD04F7"/>
    <w:rsid w:val="78E32148"/>
    <w:rsid w:val="791051F1"/>
    <w:rsid w:val="793C51A6"/>
    <w:rsid w:val="795507C0"/>
    <w:rsid w:val="79717ADD"/>
    <w:rsid w:val="799A4154"/>
    <w:rsid w:val="79DE077F"/>
    <w:rsid w:val="7A441E6D"/>
    <w:rsid w:val="7A4D3E5E"/>
    <w:rsid w:val="7A7705EC"/>
    <w:rsid w:val="7A7E0E86"/>
    <w:rsid w:val="7AB22185"/>
    <w:rsid w:val="7AF85B45"/>
    <w:rsid w:val="7B007493"/>
    <w:rsid w:val="7B0B4BCC"/>
    <w:rsid w:val="7B2D7314"/>
    <w:rsid w:val="7B3210E5"/>
    <w:rsid w:val="7BC91B84"/>
    <w:rsid w:val="7BCE339E"/>
    <w:rsid w:val="7C2305C1"/>
    <w:rsid w:val="7C7763B7"/>
    <w:rsid w:val="7C9E175C"/>
    <w:rsid w:val="7D1E6714"/>
    <w:rsid w:val="7DB608A6"/>
    <w:rsid w:val="7DB7501F"/>
    <w:rsid w:val="7DD73DDE"/>
    <w:rsid w:val="7DE26F2E"/>
    <w:rsid w:val="7E2A3ED8"/>
    <w:rsid w:val="7E553559"/>
    <w:rsid w:val="7E694E23"/>
    <w:rsid w:val="7E902EEF"/>
    <w:rsid w:val="7EA60F62"/>
    <w:rsid w:val="7FBD7C93"/>
    <w:rsid w:val="7FF30A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9"/>
    <w:pPr>
      <w:keepNext/>
      <w:keepLines/>
      <w:adjustRightInd w:val="0"/>
      <w:snapToGrid w:val="0"/>
      <w:spacing w:before="120" w:after="120"/>
      <w:outlineLvl w:val="3"/>
    </w:pPr>
    <w:rPr>
      <w:rFonts w:ascii="Arial" w:hAnsi="Arial" w:cs="Arial"/>
      <w:b/>
      <w:bCs/>
      <w:sz w:val="28"/>
      <w:szCs w:val="28"/>
    </w:rPr>
  </w:style>
  <w:style w:type="paragraph" w:styleId="7">
    <w:name w:val="heading 5"/>
    <w:basedOn w:val="1"/>
    <w:next w:val="8"/>
    <w:link w:val="49"/>
    <w:qFormat/>
    <w:uiPriority w:val="99"/>
    <w:pPr>
      <w:keepNext/>
      <w:keepLines/>
      <w:spacing w:before="280" w:after="290" w:line="376" w:lineRule="auto"/>
      <w:outlineLvl w:val="4"/>
    </w:pPr>
    <w:rPr>
      <w:b/>
      <w:bCs/>
      <w:sz w:val="28"/>
      <w:szCs w:val="28"/>
    </w:rPr>
  </w:style>
  <w:style w:type="paragraph" w:styleId="9">
    <w:name w:val="heading 6"/>
    <w:basedOn w:val="1"/>
    <w:next w:val="8"/>
    <w:link w:val="50"/>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8"/>
    <w:link w:val="51"/>
    <w:qFormat/>
    <w:uiPriority w:val="99"/>
    <w:pPr>
      <w:keepNext/>
      <w:keepLines/>
      <w:spacing w:before="240" w:after="64" w:line="320" w:lineRule="auto"/>
      <w:outlineLvl w:val="6"/>
    </w:pPr>
    <w:rPr>
      <w:b/>
      <w:bCs/>
      <w:sz w:val="24"/>
      <w:szCs w:val="24"/>
    </w:rPr>
  </w:style>
  <w:style w:type="paragraph" w:styleId="11">
    <w:name w:val="heading 8"/>
    <w:basedOn w:val="1"/>
    <w:next w:val="8"/>
    <w:link w:val="52"/>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8"/>
    <w:link w:val="53"/>
    <w:qFormat/>
    <w:uiPriority w:val="99"/>
    <w:pPr>
      <w:keepNext/>
      <w:keepLines/>
      <w:spacing w:before="240" w:after="64" w:line="320" w:lineRule="auto"/>
      <w:outlineLvl w:val="8"/>
    </w:pPr>
    <w:rPr>
      <w:rFonts w:ascii="Arial" w:hAnsi="Arial" w:eastAsia="黑体" w:cs="Arial"/>
    </w:rPr>
  </w:style>
  <w:style w:type="character" w:default="1" w:styleId="37">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4"/>
    <w:qFormat/>
    <w:uiPriority w:val="0"/>
    <w:pPr>
      <w:spacing w:line="380" w:lineRule="exact"/>
    </w:pPr>
    <w:rPr>
      <w:sz w:val="24"/>
      <w:szCs w:val="24"/>
    </w:rPr>
  </w:style>
  <w:style w:type="paragraph" w:styleId="8">
    <w:name w:val="Normal Indent"/>
    <w:basedOn w:val="1"/>
    <w:qFormat/>
    <w:uiPriority w:val="99"/>
    <w:pPr>
      <w:ind w:firstLine="420"/>
    </w:pPr>
  </w:style>
  <w:style w:type="paragraph" w:styleId="13">
    <w:name w:val="annotation subject"/>
    <w:basedOn w:val="14"/>
    <w:next w:val="14"/>
    <w:link w:val="67"/>
    <w:semiHidden/>
    <w:qFormat/>
    <w:uiPriority w:val="99"/>
    <w:rPr>
      <w:b/>
      <w:bCs/>
    </w:rPr>
  </w:style>
  <w:style w:type="paragraph" w:styleId="14">
    <w:name w:val="annotation text"/>
    <w:basedOn w:val="1"/>
    <w:link w:val="56"/>
    <w:semiHidden/>
    <w:qFormat/>
    <w:uiPriority w:val="99"/>
    <w:pPr>
      <w:jc w:val="left"/>
    </w:pPr>
  </w:style>
  <w:style w:type="paragraph" w:styleId="15">
    <w:name w:val="List Number"/>
    <w:basedOn w:val="1"/>
    <w:qFormat/>
    <w:uiPriority w:val="99"/>
    <w:pPr>
      <w:widowControl/>
      <w:tabs>
        <w:tab w:val="left" w:pos="454"/>
        <w:tab w:val="left" w:pos="720"/>
        <w:tab w:val="left" w:pos="840"/>
        <w:tab w:val="left" w:pos="900"/>
      </w:tabs>
      <w:spacing w:afterLines="50"/>
      <w:ind w:left="454" w:hanging="284"/>
      <w:jc w:val="left"/>
    </w:pPr>
    <w:rPr>
      <w:kern w:val="0"/>
      <w:sz w:val="24"/>
      <w:szCs w:val="24"/>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55"/>
    <w:semiHidden/>
    <w:qFormat/>
    <w:uiPriority w:val="99"/>
    <w:pPr>
      <w:shd w:val="clear" w:color="auto" w:fill="000080"/>
    </w:pPr>
  </w:style>
  <w:style w:type="paragraph" w:styleId="18">
    <w:name w:val="Body Text 3"/>
    <w:basedOn w:val="1"/>
    <w:link w:val="57"/>
    <w:qFormat/>
    <w:uiPriority w:val="99"/>
    <w:pPr>
      <w:spacing w:line="500" w:lineRule="exact"/>
    </w:pPr>
    <w:rPr>
      <w:b/>
      <w:bCs/>
      <w:sz w:val="24"/>
      <w:szCs w:val="24"/>
    </w:rPr>
  </w:style>
  <w:style w:type="paragraph" w:styleId="19">
    <w:name w:val="Body Text Indent"/>
    <w:basedOn w:val="1"/>
    <w:link w:val="58"/>
    <w:qFormat/>
    <w:uiPriority w:val="99"/>
    <w:pPr>
      <w:ind w:firstLine="830" w:firstLineChars="352"/>
    </w:pPr>
    <w:rPr>
      <w:rFonts w:ascii="仿宋_GB2312" w:eastAsia="仿宋_GB2312" w:cs="仿宋_GB2312"/>
      <w:sz w:val="32"/>
      <w:szCs w:val="32"/>
    </w:rPr>
  </w:style>
  <w:style w:type="paragraph" w:styleId="20">
    <w:name w:val="List Number 3"/>
    <w:basedOn w:val="1"/>
    <w:qFormat/>
    <w:uiPriority w:val="99"/>
  </w:style>
  <w:style w:type="paragraph" w:styleId="21">
    <w:name w:val="List 2"/>
    <w:basedOn w:val="1"/>
    <w:qFormat/>
    <w:uiPriority w:val="99"/>
    <w:pPr>
      <w:ind w:left="100" w:leftChars="200" w:hanging="200" w:hangingChars="200"/>
    </w:pPr>
    <w:rPr>
      <w:sz w:val="28"/>
      <w:szCs w:val="28"/>
    </w:rPr>
  </w:style>
  <w:style w:type="paragraph" w:styleId="22">
    <w:name w:val="Block Text"/>
    <w:basedOn w:val="1"/>
    <w:qFormat/>
    <w:uiPriority w:val="99"/>
    <w:pPr>
      <w:spacing w:line="600" w:lineRule="exact"/>
      <w:ind w:left="-40" w:right="-198" w:firstLine="560" w:firstLineChars="200"/>
    </w:pPr>
    <w:rPr>
      <w:rFonts w:ascii="宋体" w:hAnsi="宋体" w:cs="宋体"/>
      <w:sz w:val="28"/>
      <w:szCs w:val="28"/>
    </w:rPr>
  </w:style>
  <w:style w:type="paragraph" w:styleId="23">
    <w:name w:val="toc 3"/>
    <w:basedOn w:val="1"/>
    <w:next w:val="1"/>
    <w:semiHidden/>
    <w:qFormat/>
    <w:uiPriority w:val="99"/>
    <w:pPr>
      <w:ind w:left="840" w:leftChars="400"/>
    </w:pPr>
  </w:style>
  <w:style w:type="paragraph" w:styleId="24">
    <w:name w:val="Plain Text"/>
    <w:basedOn w:val="1"/>
    <w:link w:val="70"/>
    <w:qFormat/>
    <w:uiPriority w:val="0"/>
    <w:rPr>
      <w:rFonts w:ascii="宋体" w:hAnsi="Courier New" w:cs="宋体"/>
    </w:rPr>
  </w:style>
  <w:style w:type="paragraph" w:styleId="25">
    <w:name w:val="Date"/>
    <w:basedOn w:val="1"/>
    <w:next w:val="1"/>
    <w:link w:val="60"/>
    <w:qFormat/>
    <w:uiPriority w:val="99"/>
    <w:pPr>
      <w:ind w:left="100" w:leftChars="2500"/>
    </w:pPr>
    <w:rPr>
      <w:rFonts w:ascii="宋体" w:hAnsi="Courier New" w:cs="宋体"/>
    </w:rPr>
  </w:style>
  <w:style w:type="paragraph" w:styleId="26">
    <w:name w:val="Body Text Indent 2"/>
    <w:basedOn w:val="1"/>
    <w:link w:val="61"/>
    <w:qFormat/>
    <w:uiPriority w:val="99"/>
    <w:pPr>
      <w:ind w:firstLine="630"/>
    </w:pPr>
    <w:rPr>
      <w:sz w:val="32"/>
      <w:szCs w:val="32"/>
    </w:rPr>
  </w:style>
  <w:style w:type="paragraph" w:styleId="27">
    <w:name w:val="Balloon Text"/>
    <w:basedOn w:val="1"/>
    <w:link w:val="62"/>
    <w:semiHidden/>
    <w:qFormat/>
    <w:uiPriority w:val="99"/>
    <w:rPr>
      <w:sz w:val="18"/>
      <w:szCs w:val="18"/>
    </w:rPr>
  </w:style>
  <w:style w:type="paragraph" w:styleId="28">
    <w:name w:val="footer"/>
    <w:basedOn w:val="1"/>
    <w:link w:val="63"/>
    <w:qFormat/>
    <w:uiPriority w:val="99"/>
    <w:pPr>
      <w:tabs>
        <w:tab w:val="center" w:pos="4153"/>
        <w:tab w:val="right" w:pos="8306"/>
      </w:tabs>
      <w:snapToGrid w:val="0"/>
      <w:jc w:val="left"/>
    </w:pPr>
    <w:rPr>
      <w:sz w:val="18"/>
      <w:szCs w:val="18"/>
    </w:rPr>
  </w:style>
  <w:style w:type="paragraph" w:styleId="29">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tabs>
        <w:tab w:val="right" w:leader="dot" w:pos="8398"/>
      </w:tabs>
      <w:spacing w:before="120" w:after="120"/>
      <w:ind w:firstLine="240" w:firstLineChars="100"/>
      <w:jc w:val="left"/>
    </w:pPr>
    <w:rPr>
      <w:rFonts w:ascii="宋体" w:hAnsi="宋体" w:cs="宋体"/>
      <w:b/>
      <w:bCs/>
      <w:caps/>
      <w:sz w:val="24"/>
      <w:szCs w:val="24"/>
    </w:rPr>
  </w:style>
  <w:style w:type="paragraph" w:styleId="31">
    <w:name w:val="List"/>
    <w:basedOn w:val="1"/>
    <w:qFormat/>
    <w:uiPriority w:val="99"/>
    <w:pPr>
      <w:ind w:left="200" w:hanging="200" w:hangingChars="200"/>
    </w:pPr>
    <w:rPr>
      <w:sz w:val="28"/>
      <w:szCs w:val="28"/>
    </w:rPr>
  </w:style>
  <w:style w:type="paragraph" w:styleId="32">
    <w:name w:val="Body Text Indent 3"/>
    <w:basedOn w:val="1"/>
    <w:link w:val="65"/>
    <w:qFormat/>
    <w:uiPriority w:val="99"/>
    <w:pPr>
      <w:spacing w:after="120"/>
      <w:ind w:left="420" w:leftChars="200"/>
    </w:pPr>
    <w:rPr>
      <w:sz w:val="16"/>
      <w:szCs w:val="16"/>
    </w:rPr>
  </w:style>
  <w:style w:type="paragraph" w:styleId="33">
    <w:name w:val="toc 2"/>
    <w:basedOn w:val="1"/>
    <w:next w:val="1"/>
    <w:semiHidden/>
    <w:qFormat/>
    <w:uiPriority w:val="99"/>
    <w:pPr>
      <w:ind w:left="420" w:leftChars="200"/>
    </w:pPr>
  </w:style>
  <w:style w:type="paragraph" w:styleId="34">
    <w:name w:val="Body Text 2"/>
    <w:basedOn w:val="1"/>
    <w:link w:val="66"/>
    <w:qFormat/>
    <w:uiPriority w:val="99"/>
    <w:pPr>
      <w:spacing w:after="120" w:line="480" w:lineRule="auto"/>
    </w:pPr>
  </w:style>
  <w:style w:type="paragraph" w:styleId="35">
    <w:name w:val="Normal (Web)"/>
    <w:basedOn w:val="1"/>
    <w:link w:val="71"/>
    <w:qFormat/>
    <w:uiPriority w:val="99"/>
    <w:pPr>
      <w:widowControl/>
      <w:spacing w:before="100" w:beforeAutospacing="1" w:after="100" w:afterAutospacing="1"/>
      <w:jc w:val="left"/>
    </w:pPr>
    <w:rPr>
      <w:rFonts w:ascii="宋体" w:hAnsi="宋体" w:cs="宋体"/>
      <w:kern w:val="0"/>
      <w:sz w:val="24"/>
      <w:szCs w:val="24"/>
    </w:rPr>
  </w:style>
  <w:style w:type="paragraph" w:styleId="36">
    <w:name w:val="index 1"/>
    <w:basedOn w:val="1"/>
    <w:next w:val="1"/>
    <w:semiHidden/>
    <w:qFormat/>
    <w:uiPriority w:val="99"/>
    <w:pPr>
      <w:spacing w:line="400" w:lineRule="exact"/>
      <w:ind w:firstLine="420" w:firstLineChars="200"/>
    </w:pPr>
    <w:rPr>
      <w:rFonts w:ascii="宋体" w:hAnsi="Courier New" w:cs="宋体"/>
      <w:b/>
      <w:bCs/>
    </w:rPr>
  </w:style>
  <w:style w:type="character" w:styleId="38">
    <w:name w:val="Strong"/>
    <w:qFormat/>
    <w:uiPriority w:val="99"/>
    <w:rPr>
      <w:b/>
      <w:bCs/>
    </w:rPr>
  </w:style>
  <w:style w:type="character" w:styleId="39">
    <w:name w:val="page number"/>
    <w:basedOn w:val="37"/>
    <w:qFormat/>
    <w:uiPriority w:val="99"/>
  </w:style>
  <w:style w:type="character" w:styleId="40">
    <w:name w:val="FollowedHyperlink"/>
    <w:qFormat/>
    <w:uiPriority w:val="99"/>
    <w:rPr>
      <w:color w:val="auto"/>
      <w:u w:val="none"/>
    </w:rPr>
  </w:style>
  <w:style w:type="character" w:styleId="41">
    <w:name w:val="Hyperlink"/>
    <w:qFormat/>
    <w:uiPriority w:val="99"/>
    <w:rPr>
      <w:color w:val="auto"/>
      <w:u w:val="none"/>
    </w:rPr>
  </w:style>
  <w:style w:type="character" w:styleId="42">
    <w:name w:val="annotation reference"/>
    <w:semiHidden/>
    <w:qFormat/>
    <w:uiPriority w:val="99"/>
    <w:rPr>
      <w:sz w:val="21"/>
      <w:szCs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标题 1 Char"/>
    <w:link w:val="3"/>
    <w:qFormat/>
    <w:locked/>
    <w:uiPriority w:val="99"/>
    <w:rPr>
      <w:b/>
      <w:bCs/>
      <w:kern w:val="44"/>
      <w:sz w:val="44"/>
      <w:szCs w:val="44"/>
    </w:rPr>
  </w:style>
  <w:style w:type="character" w:customStyle="1" w:styleId="46">
    <w:name w:val="标题 2 Char"/>
    <w:link w:val="4"/>
    <w:semiHidden/>
    <w:qFormat/>
    <w:uiPriority w:val="9"/>
    <w:rPr>
      <w:rFonts w:ascii="Cambria" w:hAnsi="Cambria" w:eastAsia="宋体" w:cs="Times New Roman"/>
      <w:b/>
      <w:bCs/>
      <w:sz w:val="32"/>
      <w:szCs w:val="32"/>
    </w:rPr>
  </w:style>
  <w:style w:type="character" w:customStyle="1" w:styleId="47">
    <w:name w:val="标题 3 Char"/>
    <w:link w:val="5"/>
    <w:semiHidden/>
    <w:qFormat/>
    <w:uiPriority w:val="9"/>
    <w:rPr>
      <w:b/>
      <w:bCs/>
      <w:sz w:val="32"/>
      <w:szCs w:val="32"/>
    </w:rPr>
  </w:style>
  <w:style w:type="character" w:customStyle="1" w:styleId="48">
    <w:name w:val="标题 4 Char"/>
    <w:link w:val="6"/>
    <w:qFormat/>
    <w:locked/>
    <w:uiPriority w:val="99"/>
    <w:rPr>
      <w:rFonts w:ascii="Arial" w:hAnsi="Arial" w:cs="Arial"/>
      <w:b/>
      <w:bCs/>
      <w:kern w:val="2"/>
      <w:sz w:val="28"/>
      <w:szCs w:val="28"/>
    </w:rPr>
  </w:style>
  <w:style w:type="character" w:customStyle="1" w:styleId="49">
    <w:name w:val="标题 5 Char"/>
    <w:link w:val="7"/>
    <w:semiHidden/>
    <w:qFormat/>
    <w:uiPriority w:val="9"/>
    <w:rPr>
      <w:b/>
      <w:bCs/>
      <w:sz w:val="28"/>
      <w:szCs w:val="28"/>
    </w:rPr>
  </w:style>
  <w:style w:type="character" w:customStyle="1" w:styleId="50">
    <w:name w:val="标题 6 Char"/>
    <w:link w:val="9"/>
    <w:semiHidden/>
    <w:qFormat/>
    <w:uiPriority w:val="9"/>
    <w:rPr>
      <w:rFonts w:ascii="Cambria" w:hAnsi="Cambria" w:eastAsia="宋体" w:cs="Times New Roman"/>
      <w:b/>
      <w:bCs/>
      <w:sz w:val="24"/>
      <w:szCs w:val="24"/>
    </w:rPr>
  </w:style>
  <w:style w:type="character" w:customStyle="1" w:styleId="51">
    <w:name w:val="标题 7 Char"/>
    <w:link w:val="10"/>
    <w:semiHidden/>
    <w:qFormat/>
    <w:uiPriority w:val="9"/>
    <w:rPr>
      <w:b/>
      <w:bCs/>
      <w:sz w:val="24"/>
      <w:szCs w:val="24"/>
    </w:rPr>
  </w:style>
  <w:style w:type="character" w:customStyle="1" w:styleId="52">
    <w:name w:val="标题 8 Char"/>
    <w:link w:val="11"/>
    <w:semiHidden/>
    <w:qFormat/>
    <w:uiPriority w:val="9"/>
    <w:rPr>
      <w:rFonts w:ascii="Cambria" w:hAnsi="Cambria" w:eastAsia="宋体" w:cs="Times New Roman"/>
      <w:sz w:val="24"/>
      <w:szCs w:val="24"/>
    </w:rPr>
  </w:style>
  <w:style w:type="character" w:customStyle="1" w:styleId="53">
    <w:name w:val="标题 9 Char"/>
    <w:link w:val="12"/>
    <w:semiHidden/>
    <w:qFormat/>
    <w:uiPriority w:val="9"/>
    <w:rPr>
      <w:rFonts w:ascii="Cambria" w:hAnsi="Cambria" w:eastAsia="宋体" w:cs="Times New Roman"/>
      <w:szCs w:val="21"/>
    </w:rPr>
  </w:style>
  <w:style w:type="character" w:customStyle="1" w:styleId="54">
    <w:name w:val="正文文本 Char"/>
    <w:link w:val="2"/>
    <w:qFormat/>
    <w:uiPriority w:val="0"/>
    <w:rPr>
      <w:szCs w:val="21"/>
    </w:rPr>
  </w:style>
  <w:style w:type="character" w:customStyle="1" w:styleId="55">
    <w:name w:val="文档结构图 Char"/>
    <w:link w:val="17"/>
    <w:semiHidden/>
    <w:qFormat/>
    <w:uiPriority w:val="99"/>
    <w:rPr>
      <w:sz w:val="0"/>
      <w:szCs w:val="0"/>
    </w:rPr>
  </w:style>
  <w:style w:type="character" w:customStyle="1" w:styleId="56">
    <w:name w:val="批注文字 Char"/>
    <w:link w:val="14"/>
    <w:qFormat/>
    <w:locked/>
    <w:uiPriority w:val="99"/>
    <w:rPr>
      <w:kern w:val="2"/>
      <w:sz w:val="24"/>
      <w:szCs w:val="24"/>
    </w:rPr>
  </w:style>
  <w:style w:type="character" w:customStyle="1" w:styleId="57">
    <w:name w:val="正文文本 3 Char"/>
    <w:link w:val="18"/>
    <w:semiHidden/>
    <w:qFormat/>
    <w:uiPriority w:val="99"/>
    <w:rPr>
      <w:sz w:val="16"/>
      <w:szCs w:val="16"/>
    </w:rPr>
  </w:style>
  <w:style w:type="character" w:customStyle="1" w:styleId="58">
    <w:name w:val="正文文本缩进 Char"/>
    <w:link w:val="19"/>
    <w:qFormat/>
    <w:locked/>
    <w:uiPriority w:val="99"/>
    <w:rPr>
      <w:rFonts w:ascii="仿宋_GB2312" w:eastAsia="仿宋_GB2312" w:cs="仿宋_GB2312"/>
      <w:kern w:val="2"/>
      <w:sz w:val="32"/>
      <w:szCs w:val="32"/>
    </w:rPr>
  </w:style>
  <w:style w:type="character" w:customStyle="1" w:styleId="59">
    <w:name w:val="Plain Text Char"/>
    <w:qFormat/>
    <w:locked/>
    <w:uiPriority w:val="99"/>
    <w:rPr>
      <w:rFonts w:ascii="宋体" w:hAnsi="Courier New" w:eastAsia="宋体" w:cs="宋体"/>
      <w:kern w:val="2"/>
      <w:sz w:val="21"/>
      <w:szCs w:val="21"/>
      <w:lang w:val="en-US" w:eastAsia="zh-CN"/>
    </w:rPr>
  </w:style>
  <w:style w:type="character" w:customStyle="1" w:styleId="60">
    <w:name w:val="日期 Char"/>
    <w:link w:val="25"/>
    <w:semiHidden/>
    <w:qFormat/>
    <w:uiPriority w:val="99"/>
    <w:rPr>
      <w:szCs w:val="21"/>
    </w:rPr>
  </w:style>
  <w:style w:type="character" w:customStyle="1" w:styleId="61">
    <w:name w:val="正文文本缩进 2 Char"/>
    <w:link w:val="26"/>
    <w:semiHidden/>
    <w:qFormat/>
    <w:uiPriority w:val="99"/>
    <w:rPr>
      <w:szCs w:val="21"/>
    </w:rPr>
  </w:style>
  <w:style w:type="character" w:customStyle="1" w:styleId="62">
    <w:name w:val="批注框文本 Char"/>
    <w:link w:val="27"/>
    <w:semiHidden/>
    <w:qFormat/>
    <w:uiPriority w:val="99"/>
    <w:rPr>
      <w:sz w:val="0"/>
      <w:szCs w:val="0"/>
    </w:rPr>
  </w:style>
  <w:style w:type="character" w:customStyle="1" w:styleId="63">
    <w:name w:val="页脚 Char"/>
    <w:link w:val="28"/>
    <w:qFormat/>
    <w:locked/>
    <w:uiPriority w:val="99"/>
    <w:rPr>
      <w:kern w:val="2"/>
      <w:sz w:val="18"/>
      <w:szCs w:val="18"/>
    </w:rPr>
  </w:style>
  <w:style w:type="character" w:customStyle="1" w:styleId="64">
    <w:name w:val="页眉 Char"/>
    <w:link w:val="29"/>
    <w:qFormat/>
    <w:locked/>
    <w:uiPriority w:val="99"/>
    <w:rPr>
      <w:kern w:val="2"/>
      <w:sz w:val="18"/>
      <w:szCs w:val="18"/>
    </w:rPr>
  </w:style>
  <w:style w:type="character" w:customStyle="1" w:styleId="65">
    <w:name w:val="正文文本缩进 3 Char"/>
    <w:link w:val="32"/>
    <w:semiHidden/>
    <w:qFormat/>
    <w:uiPriority w:val="99"/>
    <w:rPr>
      <w:sz w:val="16"/>
      <w:szCs w:val="16"/>
    </w:rPr>
  </w:style>
  <w:style w:type="character" w:customStyle="1" w:styleId="66">
    <w:name w:val="正文文本 2 Char"/>
    <w:link w:val="34"/>
    <w:semiHidden/>
    <w:qFormat/>
    <w:uiPriority w:val="99"/>
    <w:rPr>
      <w:szCs w:val="21"/>
    </w:rPr>
  </w:style>
  <w:style w:type="character" w:customStyle="1" w:styleId="67">
    <w:name w:val="批注主题 Char"/>
    <w:link w:val="13"/>
    <w:qFormat/>
    <w:locked/>
    <w:uiPriority w:val="99"/>
    <w:rPr>
      <w:b/>
      <w:bCs/>
      <w:kern w:val="2"/>
      <w:sz w:val="24"/>
      <w:szCs w:val="24"/>
    </w:rPr>
  </w:style>
  <w:style w:type="character" w:customStyle="1" w:styleId="68">
    <w:name w:val="普通文字 Char Char2"/>
    <w:qFormat/>
    <w:uiPriority w:val="99"/>
    <w:rPr>
      <w:rFonts w:ascii="宋体" w:hAnsi="Courier New" w:eastAsia="宋体" w:cs="宋体"/>
      <w:b/>
      <w:bCs/>
      <w:i/>
      <w:iCs/>
      <w:color w:val="000000"/>
      <w:kern w:val="2"/>
      <w:sz w:val="21"/>
      <w:szCs w:val="21"/>
      <w:lang w:val="en-US" w:eastAsia="zh-CN"/>
    </w:rPr>
  </w:style>
  <w:style w:type="character" w:customStyle="1" w:styleId="69">
    <w:name w:val="Char Char4"/>
    <w:qFormat/>
    <w:uiPriority w:val="99"/>
    <w:rPr>
      <w:rFonts w:ascii="宋体" w:hAnsi="Courier New" w:eastAsia="宋体" w:cs="宋体"/>
      <w:kern w:val="2"/>
      <w:sz w:val="21"/>
      <w:szCs w:val="21"/>
      <w:lang w:val="en-US" w:eastAsia="zh-CN"/>
    </w:rPr>
  </w:style>
  <w:style w:type="character" w:customStyle="1" w:styleId="70">
    <w:name w:val="纯文本 Char"/>
    <w:link w:val="24"/>
    <w:qFormat/>
    <w:locked/>
    <w:uiPriority w:val="0"/>
    <w:rPr>
      <w:rFonts w:ascii="宋体" w:hAnsi="Courier New" w:eastAsia="宋体" w:cs="宋体"/>
      <w:kern w:val="2"/>
      <w:sz w:val="21"/>
      <w:szCs w:val="21"/>
      <w:lang w:val="en-US" w:eastAsia="zh-CN"/>
    </w:rPr>
  </w:style>
  <w:style w:type="character" w:customStyle="1" w:styleId="71">
    <w:name w:val="普通(网站) Char"/>
    <w:link w:val="35"/>
    <w:qFormat/>
    <w:locked/>
    <w:uiPriority w:val="99"/>
    <w:rPr>
      <w:rFonts w:ascii="宋体" w:eastAsia="宋体" w:cs="宋体"/>
      <w:sz w:val="24"/>
      <w:szCs w:val="24"/>
    </w:rPr>
  </w:style>
  <w:style w:type="character" w:customStyle="1" w:styleId="72">
    <w:name w:val="apple-converted-space"/>
    <w:basedOn w:val="37"/>
    <w:qFormat/>
    <w:uiPriority w:val="99"/>
  </w:style>
  <w:style w:type="character" w:customStyle="1" w:styleId="73">
    <w:name w:val="Char Char2"/>
    <w:qFormat/>
    <w:uiPriority w:val="99"/>
    <w:rPr>
      <w:rFonts w:ascii="宋体" w:hAnsi="宋体" w:eastAsia="宋体" w:cs="宋体"/>
      <w:kern w:val="2"/>
      <w:sz w:val="24"/>
      <w:szCs w:val="24"/>
      <w:lang w:val="en-US" w:eastAsia="zh-CN"/>
    </w:rPr>
  </w:style>
  <w:style w:type="character" w:customStyle="1" w:styleId="74">
    <w:name w:val="无间隔 Char"/>
    <w:link w:val="75"/>
    <w:qFormat/>
    <w:locked/>
    <w:uiPriority w:val="99"/>
    <w:rPr>
      <w:rFonts w:ascii="Calibri" w:hAnsi="Calibri" w:cs="Calibri"/>
      <w:sz w:val="22"/>
      <w:szCs w:val="22"/>
      <w:lang w:val="en-US" w:eastAsia="zh-CN"/>
    </w:rPr>
  </w:style>
  <w:style w:type="paragraph" w:customStyle="1" w:styleId="75">
    <w:name w:val="无间隔1"/>
    <w:link w:val="74"/>
    <w:qFormat/>
    <w:uiPriority w:val="99"/>
    <w:rPr>
      <w:rFonts w:ascii="Calibri" w:hAnsi="Calibri" w:eastAsia="宋体" w:cs="Calibri"/>
      <w:sz w:val="22"/>
      <w:szCs w:val="22"/>
      <w:lang w:val="en-US" w:eastAsia="zh-CN" w:bidi="ar-SA"/>
    </w:rPr>
  </w:style>
  <w:style w:type="character" w:customStyle="1" w:styleId="76">
    <w:name w:val="case31"/>
    <w:qFormat/>
    <w:uiPriority w:val="99"/>
    <w:rPr>
      <w:sz w:val="21"/>
      <w:szCs w:val="21"/>
    </w:rPr>
  </w:style>
  <w:style w:type="character" w:customStyle="1" w:styleId="77">
    <w:name w:val="样式 body + 仿宋_GB2312 三号"/>
    <w:qFormat/>
    <w:uiPriority w:val="99"/>
    <w:rPr>
      <w:rFonts w:ascii="宋体" w:eastAsia="宋体" w:cs="宋体"/>
      <w:kern w:val="0"/>
      <w:sz w:val="24"/>
      <w:szCs w:val="24"/>
      <w:lang w:val="en-US" w:eastAsia="zh-CN"/>
    </w:rPr>
  </w:style>
  <w:style w:type="character" w:customStyle="1" w:styleId="78">
    <w:name w:val="14"/>
    <w:basedOn w:val="37"/>
    <w:qFormat/>
    <w:uiPriority w:val="99"/>
  </w:style>
  <w:style w:type="character" w:customStyle="1" w:styleId="79">
    <w:name w:val="lb1"/>
    <w:qFormat/>
    <w:uiPriority w:val="99"/>
    <w:rPr>
      <w:b/>
      <w:bCs/>
      <w:color w:val="auto"/>
      <w:sz w:val="27"/>
      <w:szCs w:val="27"/>
    </w:rPr>
  </w:style>
  <w:style w:type="character" w:customStyle="1" w:styleId="80">
    <w:name w:val="textcontents"/>
    <w:basedOn w:val="37"/>
    <w:qFormat/>
    <w:uiPriority w:val="99"/>
  </w:style>
  <w:style w:type="character" w:customStyle="1" w:styleId="81">
    <w:name w:val="Char Char Char"/>
    <w:qFormat/>
    <w:uiPriority w:val="99"/>
    <w:rPr>
      <w:rFonts w:ascii="宋体" w:hAnsi="Courier New" w:eastAsia="宋体" w:cs="宋体"/>
      <w:kern w:val="2"/>
      <w:sz w:val="21"/>
      <w:szCs w:val="21"/>
      <w:lang w:val="en-US" w:eastAsia="zh-CN"/>
    </w:rPr>
  </w:style>
  <w:style w:type="paragraph" w:customStyle="1" w:styleId="82">
    <w:name w:val="xl5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85">
    <w:name w:val="正文段"/>
    <w:basedOn w:val="1"/>
    <w:qFormat/>
    <w:uiPriority w:val="99"/>
    <w:pPr>
      <w:widowControl/>
      <w:snapToGrid w:val="0"/>
      <w:spacing w:afterLines="50"/>
      <w:ind w:firstLine="200" w:firstLineChars="200"/>
    </w:pPr>
    <w:rPr>
      <w:kern w:val="0"/>
      <w:sz w:val="24"/>
      <w:szCs w:val="24"/>
    </w:rPr>
  </w:style>
  <w:style w:type="paragraph" w:customStyle="1" w:styleId="8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88">
    <w:name w:val="正文首行缩进两字符"/>
    <w:basedOn w:val="1"/>
    <w:qFormat/>
    <w:uiPriority w:val="99"/>
    <w:pPr>
      <w:spacing w:line="360" w:lineRule="auto"/>
      <w:ind w:firstLine="200" w:firstLineChars="200"/>
    </w:pPr>
  </w:style>
  <w:style w:type="paragraph" w:customStyle="1" w:styleId="89">
    <w:name w:val="font6"/>
    <w:basedOn w:val="1"/>
    <w:qFormat/>
    <w:uiPriority w:val="99"/>
    <w:pPr>
      <w:widowControl/>
      <w:spacing w:before="100" w:beforeAutospacing="1" w:after="100" w:afterAutospacing="1"/>
      <w:jc w:val="left"/>
    </w:pPr>
    <w:rPr>
      <w:rFonts w:ascii="宋体" w:hAnsi="宋体" w:cs="宋体"/>
      <w:kern w:val="0"/>
      <w:sz w:val="16"/>
      <w:szCs w:val="16"/>
    </w:rPr>
  </w:style>
  <w:style w:type="paragraph" w:customStyle="1" w:styleId="90">
    <w:name w:val="Char2"/>
    <w:basedOn w:val="17"/>
    <w:semiHidden/>
    <w:qFormat/>
    <w:uiPriority w:val="99"/>
    <w:rPr>
      <w:rFonts w:ascii="Tahoma" w:hAnsi="Tahoma" w:cs="Tahoma"/>
      <w:kern w:val="0"/>
      <w:sz w:val="18"/>
      <w:szCs w:val="18"/>
    </w:rPr>
  </w:style>
  <w:style w:type="paragraph" w:customStyle="1" w:styleId="91">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92">
    <w:name w:val="样式 标题 1第A章标题 1 Char Char CharH1h1Level 1 Topic HeadingH11..."/>
    <w:basedOn w:val="3"/>
    <w:qFormat/>
    <w:uiPriority w:val="99"/>
    <w:pPr>
      <w:spacing w:before="0" w:after="0" w:line="460" w:lineRule="exact"/>
      <w:ind w:left="-4"/>
      <w:jc w:val="left"/>
    </w:pPr>
    <w:rPr>
      <w:rFonts w:ascii="仿宋_GB2312" w:hAnsi="宋体" w:eastAsia="仿宋_GB2312" w:cs="仿宋_GB2312"/>
      <w:sz w:val="32"/>
      <w:szCs w:val="32"/>
    </w:rPr>
  </w:style>
  <w:style w:type="paragraph" w:customStyle="1" w:styleId="93">
    <w:name w:val="表格"/>
    <w:basedOn w:val="1"/>
    <w:qFormat/>
    <w:uiPriority w:val="99"/>
    <w:pPr>
      <w:spacing w:line="400" w:lineRule="exact"/>
    </w:pPr>
    <w:rPr>
      <w:sz w:val="24"/>
      <w:szCs w:val="24"/>
    </w:rPr>
  </w:style>
  <w:style w:type="paragraph" w:customStyle="1" w:styleId="94">
    <w:name w:val="xl5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5">
    <w:name w:val="_Style 81"/>
    <w:basedOn w:val="17"/>
    <w:qFormat/>
    <w:uiPriority w:val="99"/>
    <w:pPr>
      <w:widowControl/>
      <w:ind w:firstLine="454"/>
      <w:jc w:val="left"/>
    </w:pPr>
  </w:style>
  <w:style w:type="paragraph" w:customStyle="1" w:styleId="96">
    <w:name w:val="样式 首行缩进:  2 字符"/>
    <w:basedOn w:val="1"/>
    <w:qFormat/>
    <w:uiPriority w:val="99"/>
    <w:pPr>
      <w:spacing w:line="400" w:lineRule="exact"/>
      <w:ind w:firstLine="200" w:firstLineChars="200"/>
    </w:pPr>
    <w:rPr>
      <w:sz w:val="24"/>
      <w:szCs w:val="24"/>
    </w:rPr>
  </w:style>
  <w:style w:type="paragraph" w:customStyle="1" w:styleId="97">
    <w:name w:val="font8"/>
    <w:basedOn w:val="1"/>
    <w:qFormat/>
    <w:uiPriority w:val="99"/>
    <w:pPr>
      <w:widowControl/>
      <w:spacing w:before="100" w:beforeAutospacing="1" w:after="100" w:afterAutospacing="1"/>
      <w:jc w:val="left"/>
    </w:pPr>
    <w:rPr>
      <w:rFonts w:ascii="宋体" w:hAnsi="宋体" w:cs="宋体"/>
      <w:color w:val="FF0000"/>
      <w:kern w:val="0"/>
      <w:sz w:val="16"/>
      <w:szCs w:val="16"/>
    </w:rPr>
  </w:style>
  <w:style w:type="paragraph" w:customStyle="1" w:styleId="98">
    <w:name w:val="Char1"/>
    <w:basedOn w:val="1"/>
    <w:qFormat/>
    <w:uiPriority w:val="99"/>
  </w:style>
  <w:style w:type="paragraph" w:customStyle="1" w:styleId="99">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0">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01">
    <w:name w:val="font9"/>
    <w:basedOn w:val="1"/>
    <w:qFormat/>
    <w:uiPriority w:val="99"/>
    <w:pPr>
      <w:widowControl/>
      <w:spacing w:before="100" w:beforeAutospacing="1" w:after="100" w:afterAutospacing="1"/>
      <w:jc w:val="left"/>
    </w:pPr>
    <w:rPr>
      <w:color w:val="FF0000"/>
      <w:kern w:val="0"/>
      <w:sz w:val="16"/>
      <w:szCs w:val="16"/>
    </w:rPr>
  </w:style>
  <w:style w:type="paragraph" w:customStyle="1" w:styleId="102">
    <w:name w:val="xl31"/>
    <w:basedOn w:val="1"/>
    <w:qFormat/>
    <w:uiPriority w:val="99"/>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0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04">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6">
    <w:name w:val="xl5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Char Char Char Char Char Char"/>
    <w:basedOn w:val="1"/>
    <w:qFormat/>
    <w:uiPriority w:val="99"/>
  </w:style>
  <w:style w:type="paragraph" w:customStyle="1" w:styleId="108">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9">
    <w:name w:val="列出段落1"/>
    <w:basedOn w:val="1"/>
    <w:qFormat/>
    <w:uiPriority w:val="99"/>
    <w:pPr>
      <w:widowControl/>
      <w:spacing w:after="200" w:line="276" w:lineRule="auto"/>
      <w:ind w:left="720"/>
      <w:jc w:val="left"/>
    </w:pPr>
    <w:rPr>
      <w:rFonts w:ascii="Calibri" w:hAnsi="Calibri" w:cs="Calibri"/>
      <w:kern w:val="0"/>
      <w:sz w:val="22"/>
      <w:szCs w:val="22"/>
    </w:rPr>
  </w:style>
  <w:style w:type="paragraph" w:customStyle="1" w:styleId="110">
    <w:name w:val="修订1"/>
    <w:qFormat/>
    <w:uiPriority w:val="99"/>
    <w:rPr>
      <w:rFonts w:ascii="Times New Roman" w:hAnsi="Times New Roman" w:eastAsia="宋体" w:cs="Times New Roman"/>
      <w:kern w:val="2"/>
      <w:sz w:val="21"/>
      <w:szCs w:val="21"/>
      <w:lang w:val="en-US" w:eastAsia="zh-CN" w:bidi="ar-SA"/>
    </w:rPr>
  </w:style>
  <w:style w:type="paragraph" w:customStyle="1" w:styleId="111">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2">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13">
    <w:name w:val="font7"/>
    <w:basedOn w:val="1"/>
    <w:qFormat/>
    <w:uiPriority w:val="99"/>
    <w:pPr>
      <w:widowControl/>
      <w:spacing w:before="100" w:beforeAutospacing="1" w:after="100" w:afterAutospacing="1"/>
      <w:jc w:val="left"/>
    </w:pPr>
    <w:rPr>
      <w:kern w:val="0"/>
      <w:sz w:val="16"/>
      <w:szCs w:val="16"/>
    </w:rPr>
  </w:style>
  <w:style w:type="paragraph" w:customStyle="1" w:styleId="114">
    <w:name w:val="Char"/>
    <w:basedOn w:val="1"/>
    <w:qFormat/>
    <w:uiPriority w:val="99"/>
  </w:style>
  <w:style w:type="paragraph" w:customStyle="1" w:styleId="115">
    <w:name w:val="默认段落字体 Para Char"/>
    <w:basedOn w:val="1"/>
    <w:qFormat/>
    <w:uiPriority w:val="99"/>
    <w:pPr>
      <w:adjustRightInd w:val="0"/>
      <w:spacing w:line="360" w:lineRule="auto"/>
    </w:pPr>
    <w:rPr>
      <w:kern w:val="0"/>
      <w:sz w:val="24"/>
      <w:szCs w:val="24"/>
    </w:rPr>
  </w:style>
  <w:style w:type="paragraph" w:customStyle="1" w:styleId="116">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17">
    <w:name w:val="Char3"/>
    <w:basedOn w:val="17"/>
    <w:qFormat/>
    <w:uiPriority w:val="99"/>
    <w:pPr>
      <w:widowControl/>
      <w:ind w:firstLine="454"/>
      <w:jc w:val="left"/>
    </w:pPr>
    <w:rPr>
      <w:rFonts w:ascii="Tahoma" w:hAnsi="Tahoma" w:cs="Tahoma"/>
      <w:kern w:val="0"/>
      <w:sz w:val="24"/>
      <w:szCs w:val="24"/>
    </w:rPr>
  </w:style>
  <w:style w:type="paragraph" w:customStyle="1" w:styleId="11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9">
    <w:name w:val="列出段落2"/>
    <w:basedOn w:val="1"/>
    <w:qFormat/>
    <w:uiPriority w:val="99"/>
    <w:pPr>
      <w:widowControl/>
      <w:ind w:firstLine="420" w:firstLineChars="200"/>
      <w:jc w:val="left"/>
    </w:pPr>
    <w:rPr>
      <w:rFonts w:ascii="宋体" w:hAnsi="宋体" w:cs="宋体"/>
      <w:kern w:val="0"/>
      <w:sz w:val="24"/>
      <w:szCs w:val="24"/>
    </w:rPr>
  </w:style>
  <w:style w:type="paragraph" w:customStyle="1" w:styleId="120">
    <w:name w:val="默认段落字体 Para Char Char Char Char Char Char Char Char Char1 Char Char Char Char"/>
    <w:basedOn w:val="1"/>
    <w:qFormat/>
    <w:uiPriority w:val="99"/>
    <w:rPr>
      <w:rFonts w:ascii="Tahoma" w:hAnsi="Tahoma" w:cs="Tahoma"/>
      <w:sz w:val="24"/>
      <w:szCs w:val="24"/>
    </w:rPr>
  </w:style>
  <w:style w:type="paragraph" w:customStyle="1" w:styleId="12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2">
    <w:name w:val="表内文字"/>
    <w:basedOn w:val="1"/>
    <w:qFormat/>
    <w:uiPriority w:val="99"/>
    <w:pPr>
      <w:snapToGrid w:val="0"/>
      <w:jc w:val="center"/>
    </w:pPr>
    <w:rPr>
      <w:rFonts w:ascii="宋体" w:hAnsi="宋体" w:cs="宋体"/>
      <w:color w:val="FF0000"/>
      <w:sz w:val="24"/>
      <w:szCs w:val="24"/>
    </w:rPr>
  </w:style>
  <w:style w:type="paragraph" w:customStyle="1" w:styleId="12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黑体"/>
      <w:b/>
      <w:bCs/>
      <w:kern w:val="0"/>
      <w:sz w:val="18"/>
      <w:szCs w:val="18"/>
    </w:rPr>
  </w:style>
  <w:style w:type="paragraph" w:customStyle="1" w:styleId="124">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25">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6">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8">
    <w:name w:val="char"/>
    <w:basedOn w:val="1"/>
    <w:qFormat/>
    <w:uiPriority w:val="99"/>
    <w:pPr>
      <w:widowControl/>
      <w:adjustRightInd w:val="0"/>
      <w:snapToGrid w:val="0"/>
      <w:spacing w:beforeLines="50" w:after="160" w:line="360" w:lineRule="exact"/>
      <w:ind w:firstLine="496" w:firstLineChars="200"/>
      <w:jc w:val="left"/>
    </w:pPr>
    <w:rPr>
      <w:rFonts w:ascii="宋体" w:hAnsi="宋体" w:cs="宋体"/>
      <w:color w:val="000000"/>
      <w:spacing w:val="4"/>
      <w:kern w:val="0"/>
      <w:sz w:val="24"/>
      <w:szCs w:val="24"/>
      <w:lang w:eastAsia="en-US"/>
    </w:rPr>
  </w:style>
  <w:style w:type="paragraph" w:customStyle="1" w:styleId="12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kern w:val="0"/>
    </w:rPr>
  </w:style>
  <w:style w:type="paragraph" w:customStyle="1" w:styleId="130">
    <w:name w:val="1"/>
    <w:basedOn w:val="1"/>
    <w:next w:val="24"/>
    <w:qFormat/>
    <w:uiPriority w:val="99"/>
    <w:rPr>
      <w:rFonts w:ascii="宋体" w:hAnsi="Courier New" w:cs="宋体"/>
    </w:rPr>
  </w:style>
  <w:style w:type="paragraph" w:customStyle="1" w:styleId="131">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32">
    <w:name w:val="Body text|1"/>
    <w:basedOn w:val="1"/>
    <w:qFormat/>
    <w:uiPriority w:val="99"/>
    <w:pPr>
      <w:spacing w:line="442" w:lineRule="auto"/>
      <w:ind w:firstLine="400"/>
    </w:pPr>
    <w:rPr>
      <w:rFonts w:ascii="宋体" w:hAnsi="宋体" w:cs="宋体"/>
      <w:color w:val="2E2F2F"/>
      <w:sz w:val="28"/>
      <w:szCs w:val="28"/>
      <w:lang w:val="zh-TW" w:eastAsia="zh-TW"/>
    </w:rPr>
  </w:style>
  <w:style w:type="paragraph" w:customStyle="1" w:styleId="133">
    <w:name w:val="Body text|2"/>
    <w:basedOn w:val="1"/>
    <w:qFormat/>
    <w:uiPriority w:val="99"/>
    <w:pPr>
      <w:spacing w:line="596" w:lineRule="exact"/>
      <w:ind w:firstLine="670"/>
    </w:pPr>
    <w:rPr>
      <w:rFonts w:ascii="宋体" w:hAnsi="宋体" w:cs="宋体"/>
      <w:color w:val="2E2F2F"/>
      <w:sz w:val="32"/>
      <w:szCs w:val="32"/>
      <w:lang w:val="zh-TW" w:eastAsia="zh-TW"/>
    </w:rPr>
  </w:style>
  <w:style w:type="paragraph" w:customStyle="1" w:styleId="134">
    <w:name w:val="Table of contents|1"/>
    <w:basedOn w:val="1"/>
    <w:qFormat/>
    <w:uiPriority w:val="99"/>
    <w:pPr>
      <w:spacing w:line="605" w:lineRule="exact"/>
      <w:ind w:firstLine="750"/>
    </w:pPr>
    <w:rPr>
      <w:rFonts w:ascii="宋体" w:hAnsi="宋体" w:cs="宋体"/>
      <w:color w:val="2E2F2F"/>
      <w:sz w:val="28"/>
      <w:szCs w:val="28"/>
      <w:lang w:val="zh-TW" w:eastAsia="zh-TW"/>
    </w:rPr>
  </w:style>
  <w:style w:type="paragraph" w:customStyle="1" w:styleId="135">
    <w:name w:val="Header or footer|2"/>
    <w:basedOn w:val="1"/>
    <w:qFormat/>
    <w:uiPriority w:val="99"/>
    <w:rPr>
      <w:sz w:val="20"/>
      <w:szCs w:val="20"/>
      <w:lang w:val="zh-TW" w:eastAsia="zh-TW"/>
    </w:rPr>
  </w:style>
  <w:style w:type="paragraph" w:customStyle="1" w:styleId="136">
    <w:name w:val="Heading #3|1"/>
    <w:qFormat/>
    <w:uiPriority w:val="99"/>
    <w:pPr>
      <w:widowControl w:val="0"/>
      <w:spacing w:after="340" w:line="600" w:lineRule="exact"/>
      <w:jc w:val="center"/>
      <w:outlineLvl w:val="2"/>
    </w:pPr>
    <w:rPr>
      <w:rFonts w:ascii="宋体" w:hAnsi="宋体" w:eastAsia="宋体" w:cs="宋体"/>
      <w:color w:val="2E2F2F"/>
      <w:kern w:val="2"/>
      <w:sz w:val="42"/>
      <w:szCs w:val="42"/>
      <w:lang w:val="zh-TW" w:eastAsia="zh-TW" w:bidi="ar-SA"/>
    </w:rPr>
  </w:style>
  <w:style w:type="paragraph" w:customStyle="1" w:styleId="137">
    <w:name w:val="Other|1"/>
    <w:qFormat/>
    <w:uiPriority w:val="99"/>
    <w:pPr>
      <w:widowControl w:val="0"/>
      <w:spacing w:line="307" w:lineRule="exact"/>
      <w:jc w:val="both"/>
    </w:pPr>
    <w:rPr>
      <w:rFonts w:ascii="宋体" w:hAnsi="宋体" w:eastAsia="宋体" w:cs="宋体"/>
      <w:color w:val="2E2F2F"/>
      <w:kern w:val="2"/>
      <w:lang w:val="zh-TW" w:eastAsia="zh-TW" w:bidi="ar-SA"/>
    </w:rPr>
  </w:style>
  <w:style w:type="paragraph" w:customStyle="1" w:styleId="138">
    <w:name w:val="Other|2"/>
    <w:qFormat/>
    <w:uiPriority w:val="99"/>
    <w:pPr>
      <w:widowControl w:val="0"/>
      <w:jc w:val="center"/>
    </w:pPr>
    <w:rPr>
      <w:rFonts w:ascii="宋体" w:hAnsi="宋体" w:eastAsia="宋体" w:cs="宋体"/>
      <w:color w:val="2E2F2F"/>
      <w:kern w:val="2"/>
      <w:lang w:val="zh-TW" w:eastAsia="zh-TW" w:bidi="ar-SA"/>
    </w:rPr>
  </w:style>
  <w:style w:type="paragraph" w:customStyle="1" w:styleId="139">
    <w:name w:val="Header or footer|1"/>
    <w:qFormat/>
    <w:uiPriority w:val="99"/>
    <w:pPr>
      <w:widowControl w:val="0"/>
      <w:jc w:val="both"/>
    </w:pPr>
    <w:rPr>
      <w:rFonts w:ascii="Times New Roman" w:hAnsi="Times New Roman" w:eastAsia="宋体" w:cs="Times New Roman"/>
      <w:color w:val="2E2F2F"/>
      <w:kern w:val="2"/>
      <w:sz w:val="28"/>
      <w:szCs w:val="28"/>
      <w:lang w:val="zh-CN" w:eastAsia="zh-CN" w:bidi="ar-SA"/>
    </w:rPr>
  </w:style>
  <w:style w:type="paragraph" w:customStyle="1" w:styleId="140">
    <w:name w:val="表格内容"/>
    <w:basedOn w:val="1"/>
    <w:qFormat/>
    <w:uiPriority w:val="99"/>
    <w:pPr>
      <w:jc w:val="center"/>
    </w:pPr>
    <w:rPr>
      <w:rFonts w:ascii="宋体" w:hAnsi="宋体" w:cs="宋体"/>
      <w:kern w:val="0"/>
    </w:rPr>
  </w:style>
  <w:style w:type="paragraph" w:customStyle="1" w:styleId="141">
    <w:name w:val="正文_2_0"/>
    <w:basedOn w:val="142"/>
    <w:qFormat/>
    <w:uiPriority w:val="99"/>
  </w:style>
  <w:style w:type="paragraph" w:customStyle="1" w:styleId="142">
    <w:name w:val="正文_2_1"/>
    <w:basedOn w:val="143"/>
    <w:qFormat/>
    <w:uiPriority w:val="99"/>
  </w:style>
  <w:style w:type="paragraph" w:customStyle="1" w:styleId="143">
    <w:name w:val="正文_2_2"/>
    <w:qFormat/>
    <w:uiPriority w:val="99"/>
    <w:pPr>
      <w:widowControl w:val="0"/>
      <w:jc w:val="both"/>
    </w:pPr>
    <w:rPr>
      <w:rFonts w:ascii="Calibri" w:hAnsi="Calibri" w:eastAsia="宋体" w:cs="Calibri"/>
      <w:kern w:val="2"/>
      <w:sz w:val="21"/>
      <w:szCs w:val="21"/>
      <w:lang w:val="en-US" w:eastAsia="zh-CN" w:bidi="ar-SA"/>
    </w:rPr>
  </w:style>
  <w:style w:type="character" w:customStyle="1" w:styleId="144">
    <w:name w:val="10_1"/>
    <w:qFormat/>
    <w:uiPriority w:val="99"/>
    <w:rPr>
      <w:rFonts w:ascii="Times New Roman" w:hAnsi="Times New Roman" w:eastAsia="宋体" w:cs="Times New Roman"/>
    </w:rPr>
  </w:style>
  <w:style w:type="character" w:customStyle="1" w:styleId="145">
    <w:name w:val="font11"/>
    <w:basedOn w:val="37"/>
    <w:qFormat/>
    <w:uiPriority w:val="0"/>
    <w:rPr>
      <w:rFonts w:hint="eastAsia" w:ascii="宋体" w:hAnsi="宋体" w:eastAsia="宋体" w:cs="宋体"/>
      <w:color w:val="FF0000"/>
      <w:sz w:val="22"/>
      <w:szCs w:val="22"/>
      <w:u w:val="none"/>
    </w:rPr>
  </w:style>
  <w:style w:type="character" w:customStyle="1" w:styleId="146">
    <w:name w:val="font21"/>
    <w:basedOn w:val="3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25148</Words>
  <Characters>3950</Characters>
  <Lines>32</Lines>
  <Paragraphs>58</Paragraphs>
  <TotalTime>3</TotalTime>
  <ScaleCrop>false</ScaleCrop>
  <LinksUpToDate>false</LinksUpToDate>
  <CharactersWithSpaces>29040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2020-08-26T07:22:00Z</dcterms:created>
  <dc:creator>User</dc:creator>
  <cp:lastModifiedBy>wiki</cp:lastModifiedBy>
  <cp:lastPrinted>2020-05-09T02:55:00Z</cp:lastPrinted>
  <dcterms:modified xsi:type="dcterms:W3CDTF">2020-09-17T03:52:43Z</dcterms:modified>
  <dc:title>广西壮族自治区建设工程机电设备招标中心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