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auto"/>
          <w:sz w:val="24"/>
          <w:szCs w:val="24"/>
          <w:highlight w:val="none"/>
          <w:vertAlign w:val="subscript"/>
        </w:rPr>
      </w:pPr>
      <w:bookmarkStart w:id="227" w:name="_GoBack"/>
      <w:r>
        <w:rPr>
          <w:rFonts w:hint="eastAsia" w:ascii="宋体"/>
          <w:color w:val="auto"/>
          <w:sz w:val="24"/>
          <w:szCs w:val="24"/>
          <w:highlight w:val="none"/>
          <w:vertAlign w:val="subscript"/>
        </w:rPr>
        <w:t xml:space="preserve">  </w:t>
      </w:r>
    </w:p>
    <w:p>
      <w:pPr>
        <w:jc w:val="center"/>
        <w:rPr>
          <w:rFonts w:ascii="宋体"/>
          <w:b/>
          <w:bCs/>
          <w:color w:val="auto"/>
          <w:sz w:val="76"/>
          <w:szCs w:val="76"/>
          <w:highlight w:val="none"/>
        </w:rPr>
      </w:pPr>
      <w:r>
        <w:rPr>
          <w:rFonts w:hint="eastAsia" w:ascii="宋体" w:hAnsi="宋体" w:cs="宋体"/>
          <w:b/>
          <w:bCs/>
          <w:color w:val="auto"/>
          <w:sz w:val="56"/>
          <w:szCs w:val="56"/>
          <w:highlight w:val="none"/>
        </w:rPr>
        <w:t>南宁政府采购服务</w:t>
      </w:r>
    </w:p>
    <w:p>
      <w:pPr>
        <w:jc w:val="center"/>
        <w:rPr>
          <w:rFonts w:ascii="宋体"/>
          <w:b/>
          <w:bCs/>
          <w:color w:val="auto"/>
          <w:sz w:val="58"/>
          <w:szCs w:val="58"/>
          <w:highlight w:val="none"/>
        </w:rPr>
      </w:pPr>
    </w:p>
    <w:p>
      <w:pPr>
        <w:jc w:val="center"/>
        <w:rPr>
          <w:rFonts w:ascii="宋体"/>
          <w:b/>
          <w:bCs/>
          <w:color w:val="auto"/>
          <w:sz w:val="84"/>
          <w:szCs w:val="84"/>
          <w:highlight w:val="none"/>
        </w:rPr>
      </w:pPr>
      <w:r>
        <w:rPr>
          <w:rFonts w:hint="eastAsia" w:ascii="宋体" w:hAnsi="宋体" w:cs="宋体"/>
          <w:b/>
          <w:bCs/>
          <w:color w:val="auto"/>
          <w:sz w:val="84"/>
          <w:szCs w:val="84"/>
          <w:highlight w:val="none"/>
        </w:rPr>
        <w:t>公开招标文件</w:t>
      </w:r>
    </w:p>
    <w:p>
      <w:pPr>
        <w:jc w:val="center"/>
        <w:rPr>
          <w:rFonts w:ascii="宋体"/>
          <w:b/>
          <w:bCs/>
          <w:color w:val="auto"/>
          <w:sz w:val="56"/>
          <w:szCs w:val="56"/>
          <w:highlight w:val="none"/>
        </w:rPr>
      </w:pPr>
    </w:p>
    <w:p>
      <w:pPr>
        <w:pStyle w:val="25"/>
        <w:snapToGrid w:val="0"/>
        <w:ind w:firstLine="708" w:firstLineChars="196"/>
        <w:jc w:val="center"/>
        <w:rPr>
          <w:rFonts w:hAnsi="宋体" w:cs="Times New Roman"/>
          <w:b/>
          <w:bCs/>
          <w:color w:val="auto"/>
          <w:sz w:val="36"/>
          <w:szCs w:val="36"/>
          <w:highlight w:val="none"/>
        </w:rPr>
      </w:pPr>
    </w:p>
    <w:p>
      <w:pPr>
        <w:pStyle w:val="25"/>
        <w:snapToGrid w:val="0"/>
        <w:ind w:firstLine="708" w:firstLineChars="196"/>
        <w:jc w:val="center"/>
        <w:rPr>
          <w:rFonts w:hAnsi="宋体" w:cs="Times New Roman"/>
          <w:b/>
          <w:bCs/>
          <w:color w:val="auto"/>
          <w:sz w:val="36"/>
          <w:szCs w:val="36"/>
          <w:highlight w:val="none"/>
        </w:rPr>
      </w:pPr>
    </w:p>
    <w:p>
      <w:pPr>
        <w:pStyle w:val="25"/>
        <w:snapToGrid w:val="0"/>
        <w:ind w:firstLine="708" w:firstLineChars="196"/>
        <w:jc w:val="center"/>
        <w:rPr>
          <w:rFonts w:hAnsi="宋体" w:cs="Times New Roman"/>
          <w:b/>
          <w:bCs/>
          <w:color w:val="auto"/>
          <w:sz w:val="36"/>
          <w:szCs w:val="36"/>
          <w:highlight w:val="none"/>
        </w:rPr>
      </w:pPr>
    </w:p>
    <w:p>
      <w:pPr>
        <w:pStyle w:val="25"/>
        <w:snapToGrid w:val="0"/>
        <w:ind w:firstLine="708" w:firstLineChars="196"/>
        <w:jc w:val="center"/>
        <w:rPr>
          <w:rFonts w:hAnsi="宋体" w:cs="Times New Roman"/>
          <w:b/>
          <w:bCs/>
          <w:color w:val="auto"/>
          <w:sz w:val="36"/>
          <w:szCs w:val="36"/>
          <w:highlight w:val="none"/>
        </w:rPr>
      </w:pPr>
    </w:p>
    <w:p>
      <w:pPr>
        <w:pStyle w:val="25"/>
        <w:snapToGrid w:val="0"/>
        <w:ind w:firstLine="708" w:firstLineChars="196"/>
        <w:jc w:val="center"/>
        <w:rPr>
          <w:rFonts w:hAnsi="宋体" w:cs="Times New Roman"/>
          <w:b/>
          <w:bCs/>
          <w:color w:val="auto"/>
          <w:sz w:val="36"/>
          <w:szCs w:val="36"/>
          <w:highlight w:val="none"/>
        </w:rPr>
      </w:pPr>
    </w:p>
    <w:p>
      <w:pPr>
        <w:pStyle w:val="25"/>
        <w:snapToGrid w:val="0"/>
        <w:ind w:firstLine="708" w:firstLineChars="196"/>
        <w:jc w:val="center"/>
        <w:rPr>
          <w:rFonts w:hAnsi="宋体" w:cs="Times New Roman"/>
          <w:b/>
          <w:bCs/>
          <w:color w:val="auto"/>
          <w:sz w:val="36"/>
          <w:szCs w:val="36"/>
          <w:highlight w:val="none"/>
        </w:rPr>
      </w:pPr>
    </w:p>
    <w:p>
      <w:pPr>
        <w:pStyle w:val="25"/>
        <w:snapToGrid w:val="0"/>
        <w:ind w:firstLine="708" w:firstLineChars="196"/>
        <w:jc w:val="center"/>
        <w:rPr>
          <w:rFonts w:hAnsi="宋体" w:cs="Times New Roman"/>
          <w:b/>
          <w:bCs/>
          <w:color w:val="auto"/>
          <w:sz w:val="36"/>
          <w:szCs w:val="36"/>
          <w:highlight w:val="none"/>
        </w:rPr>
      </w:pPr>
    </w:p>
    <w:p>
      <w:pPr>
        <w:pStyle w:val="25"/>
        <w:snapToGrid w:val="0"/>
        <w:ind w:firstLine="708" w:firstLineChars="196"/>
        <w:jc w:val="center"/>
        <w:rPr>
          <w:rFonts w:hAnsi="宋体" w:cs="Times New Roman"/>
          <w:b/>
          <w:bCs/>
          <w:color w:val="auto"/>
          <w:sz w:val="36"/>
          <w:szCs w:val="36"/>
          <w:highlight w:val="none"/>
        </w:rPr>
      </w:pPr>
    </w:p>
    <w:p>
      <w:pPr>
        <w:pStyle w:val="25"/>
        <w:tabs>
          <w:tab w:val="left" w:pos="5640"/>
        </w:tabs>
        <w:snapToGrid w:val="0"/>
        <w:spacing w:line="360" w:lineRule="auto"/>
        <w:ind w:firstLine="964" w:firstLineChars="400"/>
        <w:rPr>
          <w:rFonts w:hAnsi="宋体"/>
          <w:b/>
          <w:bCs/>
          <w:color w:val="auto"/>
          <w:sz w:val="24"/>
          <w:szCs w:val="24"/>
          <w:highlight w:val="none"/>
        </w:rPr>
      </w:pPr>
      <w:r>
        <w:rPr>
          <w:rFonts w:hint="eastAsia" w:hAnsi="宋体"/>
          <w:b/>
          <w:bCs/>
          <w:color w:val="auto"/>
          <w:sz w:val="24"/>
          <w:szCs w:val="24"/>
          <w:highlight w:val="none"/>
        </w:rPr>
        <w:t>项目名称：</w:t>
      </w:r>
      <w:r>
        <w:rPr>
          <w:rFonts w:hint="eastAsia" w:hAnsi="宋体"/>
          <w:b/>
          <w:bCs/>
          <w:color w:val="auto"/>
          <w:sz w:val="24"/>
          <w:szCs w:val="24"/>
          <w:highlight w:val="none"/>
          <w:u w:val="single"/>
        </w:rPr>
        <w:t>强首府战略作战云项目</w:t>
      </w:r>
    </w:p>
    <w:p>
      <w:pPr>
        <w:pStyle w:val="25"/>
        <w:tabs>
          <w:tab w:val="left" w:pos="5640"/>
        </w:tabs>
        <w:snapToGrid w:val="0"/>
        <w:spacing w:line="360" w:lineRule="auto"/>
        <w:ind w:firstLine="964" w:firstLineChars="400"/>
        <w:rPr>
          <w:rFonts w:hAnsi="宋体"/>
          <w:b/>
          <w:bCs/>
          <w:color w:val="auto"/>
          <w:sz w:val="24"/>
          <w:szCs w:val="24"/>
          <w:highlight w:val="none"/>
          <w:u w:val="single"/>
        </w:rPr>
      </w:pPr>
      <w:r>
        <w:rPr>
          <w:rFonts w:hint="eastAsia" w:hAnsi="宋体"/>
          <w:b/>
          <w:bCs/>
          <w:color w:val="auto"/>
          <w:sz w:val="24"/>
          <w:szCs w:val="24"/>
          <w:highlight w:val="none"/>
        </w:rPr>
        <w:t>项目编号：</w:t>
      </w:r>
      <w:r>
        <w:rPr>
          <w:rFonts w:hint="eastAsia" w:hAnsi="宋体"/>
          <w:b/>
          <w:bCs/>
          <w:color w:val="auto"/>
          <w:sz w:val="24"/>
          <w:szCs w:val="24"/>
          <w:highlight w:val="none"/>
          <w:u w:val="single"/>
        </w:rPr>
        <w:t>NNZC2020-G3-990617-JGJD</w:t>
      </w:r>
    </w:p>
    <w:p>
      <w:pPr>
        <w:pStyle w:val="25"/>
        <w:snapToGrid w:val="0"/>
        <w:ind w:firstLine="670" w:firstLineChars="196"/>
        <w:jc w:val="center"/>
        <w:rPr>
          <w:rFonts w:hAnsi="宋体" w:cs="Times New Roman"/>
          <w:color w:val="auto"/>
          <w:w w:val="95"/>
          <w:sz w:val="36"/>
          <w:szCs w:val="36"/>
          <w:highlight w:val="none"/>
        </w:rPr>
      </w:pPr>
    </w:p>
    <w:p>
      <w:pPr>
        <w:pStyle w:val="25"/>
        <w:snapToGrid w:val="0"/>
        <w:ind w:firstLine="673" w:firstLineChars="196"/>
        <w:jc w:val="center"/>
        <w:rPr>
          <w:rFonts w:hAnsi="宋体" w:cs="Times New Roman"/>
          <w:b/>
          <w:bCs/>
          <w:color w:val="auto"/>
          <w:w w:val="95"/>
          <w:sz w:val="36"/>
          <w:szCs w:val="36"/>
          <w:highlight w:val="none"/>
        </w:rPr>
      </w:pPr>
    </w:p>
    <w:p>
      <w:pPr>
        <w:pStyle w:val="25"/>
        <w:snapToGrid w:val="0"/>
        <w:ind w:firstLine="673" w:firstLineChars="196"/>
        <w:jc w:val="center"/>
        <w:rPr>
          <w:rFonts w:hAnsi="宋体" w:cs="Times New Roman"/>
          <w:b/>
          <w:bCs/>
          <w:color w:val="auto"/>
          <w:w w:val="95"/>
          <w:sz w:val="36"/>
          <w:szCs w:val="36"/>
          <w:highlight w:val="none"/>
        </w:rPr>
      </w:pPr>
    </w:p>
    <w:p>
      <w:pPr>
        <w:pStyle w:val="25"/>
        <w:snapToGrid w:val="0"/>
        <w:spacing w:line="360" w:lineRule="auto"/>
        <w:ind w:firstLine="1068" w:firstLineChars="400"/>
        <w:jc w:val="left"/>
        <w:rPr>
          <w:rFonts w:hAnsi="宋体" w:cs="Times New Roman"/>
          <w:b/>
          <w:bCs/>
          <w:color w:val="auto"/>
          <w:sz w:val="28"/>
          <w:szCs w:val="28"/>
          <w:highlight w:val="none"/>
          <w:u w:val="single"/>
        </w:rPr>
      </w:pPr>
      <w:r>
        <w:rPr>
          <w:rFonts w:hint="eastAsia" w:hAnsi="宋体"/>
          <w:b/>
          <w:bCs/>
          <w:color w:val="auto"/>
          <w:w w:val="95"/>
          <w:sz w:val="28"/>
          <w:szCs w:val="28"/>
          <w:highlight w:val="none"/>
        </w:rPr>
        <w:t>采购单位：</w:t>
      </w:r>
      <w:r>
        <w:rPr>
          <w:rFonts w:hint="eastAsia" w:hAnsi="宋体"/>
          <w:b/>
          <w:bCs/>
          <w:color w:val="auto"/>
          <w:sz w:val="28"/>
          <w:szCs w:val="28"/>
          <w:highlight w:val="none"/>
          <w:u w:val="single"/>
        </w:rPr>
        <w:t>南宁市固定资产投资项目前期服务中心</w:t>
      </w:r>
    </w:p>
    <w:p>
      <w:pPr>
        <w:pStyle w:val="25"/>
        <w:snapToGrid w:val="0"/>
        <w:spacing w:line="360" w:lineRule="auto"/>
        <w:ind w:firstLine="1068" w:firstLineChars="400"/>
        <w:jc w:val="left"/>
        <w:rPr>
          <w:rFonts w:hAnsi="宋体" w:cs="Times New Roman"/>
          <w:b/>
          <w:bCs/>
          <w:color w:val="auto"/>
          <w:sz w:val="28"/>
          <w:szCs w:val="28"/>
          <w:highlight w:val="none"/>
          <w:u w:val="single"/>
        </w:rPr>
      </w:pPr>
      <w:r>
        <w:rPr>
          <w:rFonts w:hint="eastAsia" w:hAnsi="宋体"/>
          <w:b/>
          <w:bCs/>
          <w:color w:val="auto"/>
          <w:w w:val="95"/>
          <w:sz w:val="28"/>
          <w:szCs w:val="28"/>
          <w:highlight w:val="none"/>
        </w:rPr>
        <w:t>代理机构：</w:t>
      </w:r>
      <w:r>
        <w:rPr>
          <w:rFonts w:hint="eastAsia" w:hAnsi="宋体"/>
          <w:b/>
          <w:bCs/>
          <w:color w:val="auto"/>
          <w:sz w:val="28"/>
          <w:szCs w:val="28"/>
          <w:highlight w:val="none"/>
          <w:u w:val="single"/>
        </w:rPr>
        <w:t>广西建设工程机电设备招标中心有限公司</w:t>
      </w:r>
    </w:p>
    <w:p>
      <w:pPr>
        <w:pStyle w:val="25"/>
        <w:snapToGrid w:val="0"/>
        <w:spacing w:line="360" w:lineRule="auto"/>
        <w:ind w:firstLine="3576" w:firstLineChars="1272"/>
        <w:rPr>
          <w:rFonts w:hAnsi="宋体" w:cs="Times New Roman"/>
          <w:b/>
          <w:bCs/>
          <w:color w:val="auto"/>
          <w:w w:val="95"/>
          <w:sz w:val="28"/>
          <w:szCs w:val="28"/>
          <w:highlight w:val="none"/>
        </w:rPr>
      </w:pPr>
      <w:r>
        <w:rPr>
          <w:rFonts w:hAnsi="宋体"/>
          <w:b/>
          <w:bCs/>
          <w:color w:val="auto"/>
          <w:sz w:val="28"/>
          <w:szCs w:val="28"/>
          <w:highlight w:val="none"/>
          <w:u w:val="single"/>
        </w:rPr>
        <w:t>2020</w:t>
      </w:r>
      <w:r>
        <w:rPr>
          <w:rFonts w:hint="eastAsia" w:hAnsi="宋体"/>
          <w:b/>
          <w:bCs/>
          <w:color w:val="auto"/>
          <w:w w:val="95"/>
          <w:sz w:val="28"/>
          <w:szCs w:val="28"/>
          <w:highlight w:val="none"/>
        </w:rPr>
        <w:t>年</w:t>
      </w:r>
      <w:r>
        <w:rPr>
          <w:rFonts w:hint="eastAsia" w:hAnsi="宋体"/>
          <w:b/>
          <w:bCs/>
          <w:color w:val="auto"/>
          <w:w w:val="95"/>
          <w:sz w:val="28"/>
          <w:szCs w:val="28"/>
          <w:highlight w:val="none"/>
          <w:u w:val="single"/>
        </w:rPr>
        <w:t xml:space="preserve"> </w:t>
      </w:r>
      <w:r>
        <w:rPr>
          <w:rFonts w:hint="eastAsia" w:hAnsi="宋体"/>
          <w:b/>
          <w:bCs/>
          <w:color w:val="auto"/>
          <w:w w:val="95"/>
          <w:sz w:val="28"/>
          <w:szCs w:val="28"/>
          <w:highlight w:val="none"/>
          <w:u w:val="single"/>
          <w:lang w:val="en-US" w:eastAsia="zh-CN"/>
        </w:rPr>
        <w:t>12</w:t>
      </w:r>
      <w:r>
        <w:rPr>
          <w:rFonts w:hint="eastAsia" w:hAnsi="宋体"/>
          <w:b/>
          <w:bCs/>
          <w:color w:val="auto"/>
          <w:w w:val="95"/>
          <w:sz w:val="28"/>
          <w:szCs w:val="28"/>
          <w:highlight w:val="none"/>
          <w:u w:val="single"/>
        </w:rPr>
        <w:t xml:space="preserve"> </w:t>
      </w:r>
      <w:r>
        <w:rPr>
          <w:rFonts w:hint="eastAsia" w:hAnsi="宋体"/>
          <w:b/>
          <w:bCs/>
          <w:color w:val="auto"/>
          <w:w w:val="95"/>
          <w:sz w:val="28"/>
          <w:szCs w:val="28"/>
          <w:highlight w:val="none"/>
        </w:rPr>
        <w:t>月</w:t>
      </w:r>
      <w:r>
        <w:rPr>
          <w:rFonts w:hint="eastAsia" w:hAnsi="宋体"/>
          <w:b/>
          <w:bCs/>
          <w:color w:val="auto"/>
          <w:w w:val="95"/>
          <w:sz w:val="28"/>
          <w:szCs w:val="28"/>
          <w:highlight w:val="none"/>
          <w:u w:val="single"/>
        </w:rPr>
        <w:t xml:space="preserve"> </w:t>
      </w:r>
      <w:r>
        <w:rPr>
          <w:rFonts w:hint="eastAsia" w:hAnsi="宋体"/>
          <w:b/>
          <w:bCs/>
          <w:color w:val="auto"/>
          <w:w w:val="95"/>
          <w:sz w:val="28"/>
          <w:szCs w:val="28"/>
          <w:highlight w:val="none"/>
          <w:u w:val="single"/>
          <w:lang w:val="en-US" w:eastAsia="zh-CN"/>
        </w:rPr>
        <w:t>28</w:t>
      </w:r>
      <w:r>
        <w:rPr>
          <w:rFonts w:hint="eastAsia" w:hAnsi="宋体"/>
          <w:b/>
          <w:bCs/>
          <w:color w:val="auto"/>
          <w:w w:val="95"/>
          <w:sz w:val="28"/>
          <w:szCs w:val="28"/>
          <w:highlight w:val="none"/>
          <w:u w:val="single"/>
        </w:rPr>
        <w:t xml:space="preserve"> </w:t>
      </w:r>
      <w:r>
        <w:rPr>
          <w:rFonts w:hint="eastAsia" w:hAnsi="宋体"/>
          <w:b/>
          <w:bCs/>
          <w:color w:val="auto"/>
          <w:w w:val="95"/>
          <w:sz w:val="28"/>
          <w:szCs w:val="28"/>
          <w:highlight w:val="none"/>
        </w:rPr>
        <w:t>日</w:t>
      </w:r>
    </w:p>
    <w:p>
      <w:pPr>
        <w:pStyle w:val="25"/>
        <w:snapToGrid w:val="0"/>
        <w:rPr>
          <w:rFonts w:hAnsi="宋体" w:cs="Times New Roman"/>
          <w:b/>
          <w:bCs/>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9"/>
        <w:framePr w:wrap="around" w:vAnchor="text" w:hAnchor="page" w:x="9837" w:y="1"/>
        <w:rPr>
          <w:rStyle w:val="40"/>
          <w:rFonts w:ascii="仿宋" w:hAnsi="仿宋" w:eastAsia="仿宋"/>
          <w:color w:val="auto"/>
          <w:sz w:val="28"/>
          <w:szCs w:val="28"/>
          <w:highlight w:val="none"/>
        </w:rPr>
      </w:pPr>
    </w:p>
    <w:p>
      <w:pPr>
        <w:pStyle w:val="25"/>
        <w:snapToGrid w:val="0"/>
        <w:jc w:val="right"/>
        <w:rPr>
          <w:rFonts w:cs="Times New Roman"/>
          <w:color w:val="auto"/>
          <w:highlight w:val="none"/>
        </w:rPr>
      </w:pPr>
    </w:p>
    <w:p>
      <w:pPr>
        <w:pStyle w:val="25"/>
        <w:snapToGrid w:val="0"/>
        <w:rPr>
          <w:rFonts w:hAnsi="宋体"/>
          <w:b/>
          <w:bCs/>
          <w:color w:val="auto"/>
          <w:sz w:val="28"/>
          <w:szCs w:val="28"/>
          <w:highlight w:val="none"/>
        </w:rPr>
      </w:pPr>
    </w:p>
    <w:p>
      <w:pPr>
        <w:pStyle w:val="25"/>
        <w:snapToGrid w:val="0"/>
        <w:rPr>
          <w:rFonts w:hAnsi="宋体"/>
          <w:b/>
          <w:bCs/>
          <w:color w:val="auto"/>
          <w:sz w:val="28"/>
          <w:szCs w:val="28"/>
          <w:highlight w:val="none"/>
        </w:rPr>
      </w:pPr>
    </w:p>
    <w:p>
      <w:pPr>
        <w:rPr>
          <w:rFonts w:ascii="宋体"/>
          <w:b/>
          <w:bCs/>
          <w:color w:val="auto"/>
          <w:sz w:val="44"/>
          <w:szCs w:val="44"/>
          <w:highlight w:val="none"/>
        </w:rPr>
      </w:pPr>
    </w:p>
    <w:p>
      <w:pPr>
        <w:pStyle w:val="25"/>
        <w:snapToGrid w:val="0"/>
        <w:ind w:right="140"/>
        <w:jc w:val="center"/>
        <w:rPr>
          <w:rFonts w:hAnsi="宋体" w:cs="Times New Roman"/>
          <w:b/>
          <w:bCs/>
          <w:color w:val="auto"/>
          <w:sz w:val="44"/>
          <w:szCs w:val="44"/>
          <w:highlight w:val="none"/>
        </w:rPr>
      </w:pPr>
      <w:r>
        <w:rPr>
          <w:rFonts w:hint="eastAsia" w:hAnsi="宋体"/>
          <w:b/>
          <w:bCs/>
          <w:color w:val="auto"/>
          <w:sz w:val="44"/>
          <w:szCs w:val="44"/>
          <w:highlight w:val="none"/>
        </w:rPr>
        <w:t>目录</w:t>
      </w:r>
    </w:p>
    <w:p>
      <w:pPr>
        <w:pStyle w:val="31"/>
        <w:tabs>
          <w:tab w:val="right" w:leader="dot" w:pos="9406"/>
          <w:tab w:val="clear" w:pos="8398"/>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_Toc19614 </w:instrText>
      </w:r>
      <w:r>
        <w:rPr>
          <w:color w:val="auto"/>
          <w:highlight w:val="none"/>
        </w:rPr>
        <w:fldChar w:fldCharType="separate"/>
      </w:r>
      <w:r>
        <w:rPr>
          <w:rFonts w:hint="eastAsia" w:hAnsi="宋体"/>
          <w:bCs/>
          <w:color w:val="auto"/>
          <w:szCs w:val="44"/>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_Toc19614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1"/>
        <w:tabs>
          <w:tab w:val="right" w:leader="dot" w:pos="9406"/>
          <w:tab w:val="clear" w:pos="8398"/>
        </w:tabs>
        <w:rPr>
          <w:color w:val="auto"/>
          <w:highlight w:val="none"/>
        </w:rPr>
      </w:pPr>
      <w:r>
        <w:rPr>
          <w:color w:val="auto"/>
          <w:highlight w:val="none"/>
        </w:rPr>
        <w:fldChar w:fldCharType="begin"/>
      </w:r>
      <w:r>
        <w:rPr>
          <w:color w:val="auto"/>
          <w:highlight w:val="none"/>
        </w:rPr>
        <w:instrText xml:space="preserve"> HYPERLINK \l _Toc6619 </w:instrText>
      </w:r>
      <w:r>
        <w:rPr>
          <w:color w:val="auto"/>
          <w:highlight w:val="none"/>
        </w:rPr>
        <w:fldChar w:fldCharType="separate"/>
      </w:r>
      <w:r>
        <w:rPr>
          <w:rFonts w:hint="eastAsia" w:ascii="宋体" w:hAnsi="宋体" w:cs="宋体"/>
          <w:bCs/>
          <w:color w:val="auto"/>
          <w:szCs w:val="44"/>
          <w:highlight w:val="none"/>
        </w:rPr>
        <w:t>第二章招标项目采购需求</w:t>
      </w:r>
      <w:r>
        <w:rPr>
          <w:color w:val="auto"/>
          <w:highlight w:val="none"/>
        </w:rPr>
        <w:tab/>
      </w:r>
      <w:r>
        <w:rPr>
          <w:color w:val="auto"/>
          <w:highlight w:val="none"/>
        </w:rPr>
        <w:fldChar w:fldCharType="begin"/>
      </w:r>
      <w:r>
        <w:rPr>
          <w:color w:val="auto"/>
          <w:highlight w:val="none"/>
        </w:rPr>
        <w:instrText xml:space="preserve"> PAGEREF _Toc6619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1"/>
        <w:tabs>
          <w:tab w:val="right" w:leader="dot" w:pos="9406"/>
          <w:tab w:val="clear" w:pos="8398"/>
        </w:tabs>
        <w:rPr>
          <w:color w:val="auto"/>
          <w:highlight w:val="none"/>
        </w:rPr>
      </w:pPr>
      <w:r>
        <w:rPr>
          <w:color w:val="auto"/>
          <w:highlight w:val="none"/>
        </w:rPr>
        <w:fldChar w:fldCharType="begin"/>
      </w:r>
      <w:r>
        <w:rPr>
          <w:color w:val="auto"/>
          <w:highlight w:val="none"/>
        </w:rPr>
        <w:instrText xml:space="preserve"> HYPERLINK \l _Toc22685 </w:instrText>
      </w:r>
      <w:r>
        <w:rPr>
          <w:color w:val="auto"/>
          <w:highlight w:val="none"/>
        </w:rPr>
        <w:fldChar w:fldCharType="separate"/>
      </w:r>
      <w:r>
        <w:rPr>
          <w:rFonts w:hint="eastAsia" w:ascii="宋体" w:hAnsi="宋体" w:cs="宋体"/>
          <w:bCs/>
          <w:color w:val="auto"/>
          <w:szCs w:val="44"/>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_Toc22685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1"/>
        <w:tabs>
          <w:tab w:val="right" w:leader="dot" w:pos="9406"/>
          <w:tab w:val="clear" w:pos="8398"/>
        </w:tabs>
        <w:rPr>
          <w:color w:val="auto"/>
          <w:highlight w:val="none"/>
        </w:rPr>
      </w:pPr>
      <w:r>
        <w:rPr>
          <w:color w:val="auto"/>
          <w:highlight w:val="none"/>
        </w:rPr>
        <w:fldChar w:fldCharType="begin"/>
      </w:r>
      <w:r>
        <w:rPr>
          <w:color w:val="auto"/>
          <w:highlight w:val="none"/>
        </w:rPr>
        <w:instrText xml:space="preserve"> HYPERLINK \l _Toc1092 </w:instrText>
      </w:r>
      <w:r>
        <w:rPr>
          <w:color w:val="auto"/>
          <w:highlight w:val="none"/>
        </w:rPr>
        <w:fldChar w:fldCharType="separate"/>
      </w:r>
      <w:r>
        <w:rPr>
          <w:rFonts w:hint="eastAsia" w:hAnsi="宋体"/>
          <w:bCs/>
          <w:color w:val="auto"/>
          <w:szCs w:val="44"/>
          <w:highlight w:val="none"/>
        </w:rPr>
        <w:t>第四章评标办法及评分标准</w:t>
      </w:r>
      <w:r>
        <w:rPr>
          <w:color w:val="auto"/>
          <w:highlight w:val="none"/>
        </w:rPr>
        <w:tab/>
      </w:r>
      <w:r>
        <w:rPr>
          <w:color w:val="auto"/>
          <w:highlight w:val="none"/>
        </w:rPr>
        <w:fldChar w:fldCharType="begin"/>
      </w:r>
      <w:r>
        <w:rPr>
          <w:color w:val="auto"/>
          <w:highlight w:val="none"/>
        </w:rPr>
        <w:instrText xml:space="preserve"> PAGEREF _Toc1092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1"/>
        <w:tabs>
          <w:tab w:val="right" w:leader="dot" w:pos="9406"/>
          <w:tab w:val="clear" w:pos="8398"/>
        </w:tabs>
        <w:rPr>
          <w:color w:val="auto"/>
          <w:highlight w:val="none"/>
        </w:rPr>
      </w:pPr>
      <w:r>
        <w:rPr>
          <w:color w:val="auto"/>
          <w:highlight w:val="none"/>
        </w:rPr>
        <w:fldChar w:fldCharType="begin"/>
      </w:r>
      <w:r>
        <w:rPr>
          <w:color w:val="auto"/>
          <w:highlight w:val="none"/>
        </w:rPr>
        <w:instrText xml:space="preserve"> HYPERLINK \l _Toc4271 </w:instrText>
      </w:r>
      <w:r>
        <w:rPr>
          <w:color w:val="auto"/>
          <w:highlight w:val="none"/>
        </w:rPr>
        <w:fldChar w:fldCharType="separate"/>
      </w:r>
      <w:r>
        <w:rPr>
          <w:rFonts w:hint="eastAsia" w:ascii="宋体" w:hAnsi="宋体" w:cs="宋体"/>
          <w:bCs/>
          <w:color w:val="auto"/>
          <w:szCs w:val="44"/>
          <w:highlight w:val="none"/>
        </w:rPr>
        <w:t>第五章合同主要条款格式</w:t>
      </w:r>
      <w:r>
        <w:rPr>
          <w:color w:val="auto"/>
          <w:highlight w:val="none"/>
        </w:rPr>
        <w:tab/>
      </w:r>
      <w:r>
        <w:rPr>
          <w:color w:val="auto"/>
          <w:highlight w:val="none"/>
        </w:rPr>
        <w:fldChar w:fldCharType="begin"/>
      </w:r>
      <w:r>
        <w:rPr>
          <w:color w:val="auto"/>
          <w:highlight w:val="none"/>
        </w:rPr>
        <w:instrText xml:space="preserve"> PAGEREF _Toc4271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31"/>
        <w:tabs>
          <w:tab w:val="right" w:leader="dot" w:pos="9406"/>
          <w:tab w:val="clear" w:pos="8398"/>
        </w:tabs>
        <w:rPr>
          <w:color w:val="auto"/>
          <w:highlight w:val="none"/>
        </w:rPr>
      </w:pPr>
      <w:r>
        <w:rPr>
          <w:color w:val="auto"/>
          <w:highlight w:val="none"/>
        </w:rPr>
        <w:fldChar w:fldCharType="begin"/>
      </w:r>
      <w:r>
        <w:rPr>
          <w:color w:val="auto"/>
          <w:highlight w:val="none"/>
        </w:rPr>
        <w:instrText xml:space="preserve"> HYPERLINK \l _Toc6714 </w:instrText>
      </w:r>
      <w:r>
        <w:rPr>
          <w:color w:val="auto"/>
          <w:highlight w:val="none"/>
        </w:rPr>
        <w:fldChar w:fldCharType="separate"/>
      </w:r>
      <w:r>
        <w:rPr>
          <w:rFonts w:hint="eastAsia" w:hAnsi="宋体"/>
          <w:bCs/>
          <w:color w:val="auto"/>
          <w:szCs w:val="44"/>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_Toc6714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1"/>
        <w:tabs>
          <w:tab w:val="right" w:leader="dot" w:pos="9406"/>
          <w:tab w:val="clear" w:pos="8398"/>
        </w:tabs>
        <w:rPr>
          <w:color w:val="auto"/>
          <w:highlight w:val="none"/>
        </w:rPr>
      </w:pPr>
      <w:r>
        <w:rPr>
          <w:color w:val="auto"/>
          <w:highlight w:val="none"/>
        </w:rPr>
        <w:fldChar w:fldCharType="begin"/>
      </w:r>
      <w:r>
        <w:rPr>
          <w:color w:val="auto"/>
          <w:highlight w:val="none"/>
        </w:rPr>
        <w:instrText xml:space="preserve"> HYPERLINK \l _Toc24242 </w:instrText>
      </w:r>
      <w:r>
        <w:rPr>
          <w:color w:val="auto"/>
          <w:highlight w:val="none"/>
        </w:rPr>
        <w:fldChar w:fldCharType="separate"/>
      </w:r>
      <w:r>
        <w:rPr>
          <w:rFonts w:hint="eastAsia" w:cs="宋体"/>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_Toc24242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31"/>
        <w:spacing w:line="480" w:lineRule="auto"/>
        <w:ind w:firstLine="241"/>
        <w:rPr>
          <w:color w:val="auto"/>
          <w:highlight w:val="none"/>
        </w:rPr>
      </w:pPr>
      <w:r>
        <w:rPr>
          <w:color w:val="auto"/>
          <w:highlight w:val="none"/>
        </w:rPr>
        <w:fldChar w:fldCharType="end"/>
      </w: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pStyle w:val="25"/>
        <w:snapToGrid w:val="0"/>
        <w:jc w:val="center"/>
        <w:outlineLvl w:val="0"/>
        <w:rPr>
          <w:rFonts w:hAnsi="宋体" w:cs="Times New Roman"/>
          <w:color w:val="auto"/>
          <w:highlight w:val="none"/>
        </w:rPr>
      </w:pPr>
      <w:bookmarkStart w:id="0" w:name="_Toc254970489"/>
      <w:bookmarkStart w:id="1" w:name="_Toc254970630"/>
      <w:r>
        <w:rPr>
          <w:rFonts w:hAnsi="宋体" w:cs="Times New Roman"/>
          <w:color w:val="auto"/>
          <w:highlight w:val="none"/>
        </w:rPr>
        <w:br w:type="page"/>
      </w: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color w:val="auto"/>
          <w:highlight w:val="none"/>
        </w:rPr>
      </w:pPr>
    </w:p>
    <w:p>
      <w:pPr>
        <w:pStyle w:val="25"/>
        <w:snapToGrid w:val="0"/>
        <w:jc w:val="center"/>
        <w:outlineLvl w:val="0"/>
        <w:rPr>
          <w:rFonts w:hAnsi="宋体" w:cs="Times New Roman"/>
          <w:b/>
          <w:bCs/>
          <w:color w:val="auto"/>
          <w:sz w:val="44"/>
          <w:szCs w:val="44"/>
          <w:highlight w:val="none"/>
        </w:rPr>
      </w:pPr>
      <w:bookmarkStart w:id="2" w:name="_Toc30585"/>
      <w:bookmarkStart w:id="3" w:name="_Toc31691"/>
      <w:bookmarkStart w:id="4" w:name="_Toc19614"/>
      <w:r>
        <w:rPr>
          <w:rFonts w:hint="eastAsia" w:hAnsi="宋体"/>
          <w:b/>
          <w:bCs/>
          <w:color w:val="auto"/>
          <w:sz w:val="44"/>
          <w:szCs w:val="44"/>
          <w:highlight w:val="none"/>
        </w:rPr>
        <w:t>第一章公开招标公告</w:t>
      </w:r>
      <w:bookmarkEnd w:id="0"/>
      <w:bookmarkEnd w:id="1"/>
      <w:bookmarkEnd w:id="2"/>
      <w:bookmarkEnd w:id="3"/>
      <w:bookmarkEnd w:id="4"/>
    </w:p>
    <w:p>
      <w:pPr>
        <w:overflowPunct w:val="0"/>
        <w:autoSpaceDE w:val="0"/>
        <w:autoSpaceDN w:val="0"/>
        <w:adjustRightInd w:val="0"/>
        <w:spacing w:line="400" w:lineRule="exact"/>
        <w:ind w:firstLine="420" w:firstLineChars="200"/>
        <w:jc w:val="center"/>
        <w:rPr>
          <w:rFonts w:ascii="宋体"/>
          <w:b/>
          <w:bCs/>
          <w:color w:val="auto"/>
          <w:spacing w:val="-6"/>
          <w:sz w:val="30"/>
          <w:szCs w:val="30"/>
          <w:highlight w:val="none"/>
        </w:rPr>
      </w:pPr>
      <w:r>
        <w:rPr>
          <w:rFonts w:ascii="宋体"/>
          <w:color w:val="auto"/>
          <w:highlight w:val="none"/>
        </w:rPr>
        <w:br w:type="page"/>
      </w:r>
      <w:r>
        <w:rPr>
          <w:rFonts w:hint="eastAsia" w:ascii="宋体" w:hAnsi="宋体" w:cs="宋体"/>
          <w:b/>
          <w:bCs/>
          <w:color w:val="auto"/>
          <w:spacing w:val="-6"/>
          <w:sz w:val="30"/>
          <w:szCs w:val="30"/>
          <w:highlight w:val="none"/>
        </w:rPr>
        <w:t>广西建设工程机电设备招标中心有限公司</w:t>
      </w:r>
    </w:p>
    <w:p>
      <w:pPr>
        <w:overflowPunct w:val="0"/>
        <w:autoSpaceDE w:val="0"/>
        <w:autoSpaceDN w:val="0"/>
        <w:adjustRightInd w:val="0"/>
        <w:spacing w:line="400" w:lineRule="exact"/>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rPr>
        <w:t>强首府战略作战云项目（NNZC2020-G3-990617-JGJD）</w:t>
      </w:r>
    </w:p>
    <w:p>
      <w:pPr>
        <w:overflowPunct w:val="0"/>
        <w:autoSpaceDE w:val="0"/>
        <w:autoSpaceDN w:val="0"/>
        <w:adjustRightInd w:val="0"/>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u w:val="single"/>
        </w:rPr>
        <w:t>强首府战略作战云项目</w:t>
      </w:r>
      <w:r>
        <w:rPr>
          <w:rFonts w:hint="eastAsia" w:ascii="宋体" w:hAnsi="宋体" w:cs="宋体"/>
          <w:color w:val="auto"/>
          <w:sz w:val="24"/>
          <w:highlight w:val="none"/>
        </w:rPr>
        <w:t>采购项目的潜在投标人应</w:t>
      </w:r>
      <w:r>
        <w:rPr>
          <w:rFonts w:hint="eastAsia" w:ascii="宋体" w:hAnsi="宋体" w:cs="宋体"/>
          <w:color w:val="auto"/>
          <w:sz w:val="24"/>
          <w:highlight w:val="none"/>
          <w:u w:val="single"/>
        </w:rPr>
        <w:t>登陆南宁市公共资源交易中心网站（网址：</w:t>
      </w:r>
      <w:r>
        <w:rPr>
          <w:color w:val="auto"/>
          <w:highlight w:val="none"/>
        </w:rPr>
        <w:fldChar w:fldCharType="begin"/>
      </w:r>
      <w:r>
        <w:rPr>
          <w:color w:val="auto"/>
          <w:highlight w:val="none"/>
        </w:rPr>
        <w:instrText xml:space="preserve"> HYPERLINK "http://www.nnggzy.org.cn），在南宁市公共资源交易中心的采购公告栏内查找相关项目的采购公告，并点击该公告的附件，即可免费浏览或下载项目的采购文件，并于2020年" </w:instrText>
      </w:r>
      <w:r>
        <w:rPr>
          <w:color w:val="auto"/>
          <w:highlight w:val="none"/>
        </w:rPr>
        <w:fldChar w:fldCharType="separate"/>
      </w:r>
      <w:r>
        <w:rPr>
          <w:rStyle w:val="42"/>
          <w:rFonts w:hint="eastAsia" w:ascii="宋体" w:hAnsi="宋体" w:cs="宋体"/>
          <w:sz w:val="24"/>
          <w:highlight w:val="none"/>
        </w:rPr>
        <w:t>www.nnggzy.org.cn），在南宁市公共资源交易中心的采购公告栏内查找相关项目的采购公告，并点击该公告的附件，即可免费浏览或下载项目的采购文件，并于</w:t>
      </w:r>
      <w:r>
        <w:rPr>
          <w:rStyle w:val="42"/>
          <w:rFonts w:hint="eastAsia" w:ascii="宋体" w:hAnsi="宋体" w:cs="宋体"/>
          <w:bCs/>
          <w:sz w:val="24"/>
          <w:highlight w:val="none"/>
        </w:rPr>
        <w:t>年</w:t>
      </w:r>
      <w:r>
        <w:rPr>
          <w:rStyle w:val="42"/>
          <w:rFonts w:hint="eastAsia" w:ascii="宋体" w:hAnsi="宋体" w:cs="宋体"/>
          <w:bCs/>
          <w:sz w:val="24"/>
          <w:highlight w:val="none"/>
        </w:rPr>
        <w:fldChar w:fldCharType="end"/>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rPr>
        <w:t>9点30分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4"/>
        <w:spacing w:line="240" w:lineRule="auto"/>
        <w:rPr>
          <w:rFonts w:ascii="宋体" w:hAnsi="宋体" w:cs="宋体"/>
          <w:bCs w:val="0"/>
          <w:color w:val="auto"/>
          <w:sz w:val="24"/>
          <w:szCs w:val="24"/>
          <w:highlight w:val="none"/>
        </w:rPr>
      </w:pPr>
      <w:bookmarkStart w:id="5" w:name="_Toc28359089"/>
      <w:bookmarkStart w:id="6" w:name="_Toc35393629"/>
      <w:bookmarkStart w:id="7" w:name="_Toc28359012"/>
      <w:bookmarkStart w:id="8" w:name="_Toc35393798"/>
      <w:bookmarkStart w:id="9" w:name="_Toc31577"/>
      <w:r>
        <w:rPr>
          <w:rFonts w:hint="eastAsia" w:ascii="宋体" w:hAnsi="宋体" w:cs="宋体"/>
          <w:bCs w:val="0"/>
          <w:color w:val="auto"/>
          <w:sz w:val="24"/>
          <w:szCs w:val="24"/>
          <w:highlight w:val="none"/>
        </w:rPr>
        <w:t>一、项目基本情况</w:t>
      </w:r>
      <w:bookmarkEnd w:id="5"/>
      <w:bookmarkEnd w:id="6"/>
      <w:bookmarkEnd w:id="7"/>
      <w:bookmarkEnd w:id="8"/>
      <w:bookmarkEnd w:id="9"/>
    </w:p>
    <w:p>
      <w:pPr>
        <w:ind w:firstLine="480" w:firstLineChars="200"/>
        <w:rPr>
          <w:rFonts w:ascii="宋体" w:hAnsi="宋体" w:cs="宋体"/>
          <w:bCs/>
          <w:color w:val="auto"/>
          <w:sz w:val="24"/>
          <w:highlight w:val="none"/>
        </w:rPr>
      </w:pPr>
      <w:r>
        <w:rPr>
          <w:rFonts w:hint="eastAsia" w:ascii="宋体" w:hAnsi="宋体" w:cs="宋体"/>
          <w:color w:val="auto"/>
          <w:sz w:val="24"/>
          <w:highlight w:val="none"/>
        </w:rPr>
        <w:t>项目编号：</w:t>
      </w:r>
      <w:r>
        <w:rPr>
          <w:rFonts w:hint="eastAsia" w:ascii="宋体" w:hAnsi="宋体" w:cs="宋体"/>
          <w:bCs/>
          <w:color w:val="auto"/>
          <w:sz w:val="24"/>
          <w:highlight w:val="none"/>
        </w:rPr>
        <w:t>NNZC2020-G3-990617-JGJD</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政府采购计划编号：[2020]NCCJA111    </w:t>
      </w:r>
    </w:p>
    <w:p>
      <w:pP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项目名称：强首府战略作战云项目</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预算金额：914.63万元整</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最高限价：914.63万元整</w:t>
      </w:r>
    </w:p>
    <w:p>
      <w:pPr>
        <w:ind w:firstLine="480" w:firstLineChars="200"/>
        <w:rPr>
          <w:rFonts w:ascii="宋体" w:hAnsi="宋体"/>
          <w:color w:val="auto"/>
          <w:sz w:val="24"/>
          <w:highlight w:val="none"/>
        </w:rPr>
      </w:pPr>
      <w:r>
        <w:rPr>
          <w:rFonts w:hint="eastAsia" w:ascii="宋体" w:hAnsi="宋体" w:cs="宋体"/>
          <w:color w:val="auto"/>
          <w:sz w:val="24"/>
          <w:highlight w:val="none"/>
        </w:rPr>
        <w:t>采购需求：</w:t>
      </w:r>
      <w:r>
        <w:rPr>
          <w:rFonts w:hint="eastAsia" w:ascii="宋体" w:hAnsi="宋体"/>
          <w:color w:val="auto"/>
          <w:sz w:val="24"/>
          <w:highlight w:val="none"/>
        </w:rPr>
        <w:t xml:space="preserve"> </w:t>
      </w:r>
    </w:p>
    <w:p>
      <w:pPr>
        <w:ind w:firstLine="480" w:firstLineChars="200"/>
        <w:rPr>
          <w:rFonts w:ascii="宋体" w:hAnsi="宋体"/>
          <w:color w:val="auto"/>
          <w:sz w:val="24"/>
          <w:highlight w:val="none"/>
        </w:rPr>
      </w:pPr>
      <w:r>
        <w:rPr>
          <w:rFonts w:hint="eastAsia" w:ascii="宋体" w:hAnsi="宋体"/>
          <w:color w:val="auto"/>
          <w:sz w:val="24"/>
          <w:highlight w:val="none"/>
        </w:rPr>
        <w:t>强首府战略作战云项目，项目应用覆盖</w:t>
      </w:r>
      <w:r>
        <w:rPr>
          <w:rFonts w:hint="eastAsia" w:ascii="宋体" w:hAnsi="宋体"/>
          <w:color w:val="auto"/>
          <w:sz w:val="24"/>
          <w:highlight w:val="none"/>
          <w:lang w:eastAsia="zh-CN"/>
        </w:rPr>
        <w:t>自治区层面</w:t>
      </w:r>
      <w:r>
        <w:rPr>
          <w:rFonts w:hint="eastAsia" w:ascii="宋体" w:hAnsi="宋体"/>
          <w:color w:val="auto"/>
          <w:sz w:val="24"/>
          <w:highlight w:val="none"/>
        </w:rPr>
        <w:t>、南宁市</w:t>
      </w:r>
      <w:r>
        <w:rPr>
          <w:rFonts w:hint="eastAsia" w:ascii="宋体" w:hAnsi="宋体"/>
          <w:color w:val="auto"/>
          <w:sz w:val="24"/>
          <w:highlight w:val="none"/>
          <w:lang w:eastAsia="zh-CN"/>
        </w:rPr>
        <w:t>层面、南宁市各县区单位和项目业主</w:t>
      </w:r>
      <w:r>
        <w:rPr>
          <w:rFonts w:hint="eastAsia" w:ascii="宋体" w:hAnsi="宋体"/>
          <w:color w:val="auto"/>
          <w:sz w:val="24"/>
          <w:highlight w:val="none"/>
        </w:rPr>
        <w:t>，内容</w:t>
      </w:r>
      <w:r>
        <w:rPr>
          <w:rFonts w:hint="eastAsia" w:ascii="宋体" w:hAnsi="宋体"/>
          <w:color w:val="auto"/>
          <w:sz w:val="24"/>
          <w:highlight w:val="none"/>
        </w:rPr>
        <w:t>含</w:t>
      </w:r>
      <w:r>
        <w:rPr>
          <w:rFonts w:hint="eastAsia" w:ascii="宋体" w:hAnsi="宋体"/>
          <w:color w:val="auto"/>
          <w:sz w:val="24"/>
          <w:highlight w:val="none"/>
        </w:rPr>
        <w:t>基础信息管理、强首府项目和“双百双新”产业项目全流程管理监督、主要经济指标数据展示分析、项目数据可视化分析、移动办公管理等，需结合云计算、大数据、人工智能等先进技术，建设强首府战略大数据资源中心、强首府指标管理云、强首府监管云、强首府项目服务云、强首府基础服务云、日常事务管理系统、强首府战略大脑、强首府战略作战云APP、视频会议系统、应用支撑平台。</w:t>
      </w:r>
    </w:p>
    <w:p>
      <w:pPr>
        <w:ind w:firstLine="480" w:firstLineChars="200"/>
        <w:rPr>
          <w:rFonts w:ascii="宋体" w:hAnsi="宋体"/>
          <w:color w:val="auto"/>
          <w:sz w:val="24"/>
          <w:highlight w:val="none"/>
        </w:rPr>
      </w:pPr>
      <w:r>
        <w:rPr>
          <w:rFonts w:hint="eastAsia" w:ascii="宋体" w:hAnsi="宋体"/>
          <w:color w:val="auto"/>
          <w:sz w:val="24"/>
          <w:highlight w:val="none"/>
        </w:rPr>
        <w:t>如需进一步了解详细内容，详见招标文件。</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合同履行期限：自合同签订之日起1个月内完成本系统的深化设计方案、交付本项目各系统软件原型，8个月内完成系统全部软件开发、部署、上线试运行。10个月内全部交付，通过相关测试、完成验收。</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本项目（是/否）接受联合体投标:否。</w:t>
      </w:r>
    </w:p>
    <w:p>
      <w:pPr>
        <w:pStyle w:val="4"/>
        <w:spacing w:line="240" w:lineRule="auto"/>
        <w:rPr>
          <w:rFonts w:ascii="宋体" w:hAnsi="宋体" w:cs="宋体"/>
          <w:bCs w:val="0"/>
          <w:color w:val="auto"/>
          <w:sz w:val="24"/>
          <w:szCs w:val="24"/>
          <w:highlight w:val="none"/>
        </w:rPr>
      </w:pPr>
      <w:bookmarkStart w:id="10" w:name="_Toc28359013"/>
      <w:bookmarkStart w:id="11" w:name="_Toc35393799"/>
      <w:bookmarkStart w:id="12" w:name="_Toc28359090"/>
      <w:bookmarkStart w:id="13" w:name="_Toc35393630"/>
      <w:bookmarkStart w:id="14" w:name="_Toc12753"/>
      <w:r>
        <w:rPr>
          <w:rFonts w:hint="eastAsia" w:ascii="宋体" w:hAnsi="宋体" w:cs="宋体"/>
          <w:bCs w:val="0"/>
          <w:color w:val="auto"/>
          <w:sz w:val="24"/>
          <w:szCs w:val="24"/>
          <w:highlight w:val="none"/>
        </w:rPr>
        <w:t>二、申请人的资格要求：</w:t>
      </w:r>
      <w:bookmarkEnd w:id="10"/>
      <w:bookmarkEnd w:id="11"/>
      <w:bookmarkEnd w:id="12"/>
      <w:bookmarkEnd w:id="13"/>
      <w:bookmarkEnd w:id="14"/>
    </w:p>
    <w:p>
      <w:pPr>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ind w:firstLine="480" w:firstLineChars="200"/>
        <w:rPr>
          <w:rFonts w:ascii="宋体" w:hAnsi="宋体" w:cs="宋体"/>
          <w:color w:val="auto"/>
          <w:sz w:val="24"/>
          <w:highlight w:val="none"/>
        </w:rPr>
      </w:pPr>
      <w:bookmarkStart w:id="15" w:name="_Toc28359014"/>
      <w:bookmarkStart w:id="16" w:name="_Toc28359091"/>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szCs w:val="24"/>
          <w:highlight w:val="none"/>
        </w:rPr>
        <w:t>关于印发2020 年广西优化营商环境百日攻坚行动方案的通知（桂政办发〔2020〕59 号）</w:t>
      </w:r>
      <w:r>
        <w:rPr>
          <w:rFonts w:hint="eastAsia" w:ascii="宋体" w:hAnsi="宋体" w:cs="宋体"/>
          <w:color w:val="auto"/>
          <w:sz w:val="24"/>
          <w:highlight w:val="none"/>
        </w:rPr>
        <w:t>，评审时残疾人福利性单位、小型和微型企业产品的价格给予10%的扣除。监狱企业视同小型和微型企业，其产品在评审时给予相同的价格扣除。残疾人福利性单位属于小型、微型企业的，不重复享受政策。</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pStyle w:val="4"/>
        <w:spacing w:line="240" w:lineRule="auto"/>
        <w:rPr>
          <w:rFonts w:ascii="宋体" w:hAnsi="宋体" w:cs="宋体"/>
          <w:bCs w:val="0"/>
          <w:color w:val="auto"/>
          <w:sz w:val="24"/>
          <w:szCs w:val="24"/>
          <w:highlight w:val="none"/>
        </w:rPr>
      </w:pPr>
      <w:bookmarkStart w:id="17" w:name="_Toc35393800"/>
      <w:bookmarkStart w:id="18" w:name="_Toc35393631"/>
      <w:bookmarkStart w:id="19" w:name="_Toc20194"/>
      <w:r>
        <w:rPr>
          <w:rFonts w:hint="eastAsia" w:ascii="宋体" w:hAnsi="宋体" w:cs="宋体"/>
          <w:bCs w:val="0"/>
          <w:color w:val="auto"/>
          <w:sz w:val="24"/>
          <w:szCs w:val="24"/>
          <w:highlight w:val="none"/>
        </w:rPr>
        <w:t>三、获取采购文件</w:t>
      </w:r>
      <w:bookmarkEnd w:id="15"/>
      <w:bookmarkEnd w:id="16"/>
      <w:bookmarkEnd w:id="17"/>
      <w:bookmarkEnd w:id="18"/>
      <w:bookmarkEnd w:id="19"/>
    </w:p>
    <w:p>
      <w:pPr>
        <w:ind w:firstLine="54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p>
    <w:p>
      <w:pPr>
        <w:ind w:firstLine="540"/>
        <w:rPr>
          <w:rFonts w:ascii="宋体" w:hAnsi="宋体" w:cs="宋体"/>
          <w:color w:val="auto"/>
          <w:sz w:val="24"/>
          <w:highlight w:val="none"/>
          <w:u w:val="single"/>
        </w:rPr>
      </w:pPr>
      <w:r>
        <w:rPr>
          <w:rFonts w:hint="eastAsia" w:ascii="宋体" w:hAnsi="宋体" w:cs="宋体"/>
          <w:color w:val="auto"/>
          <w:sz w:val="24"/>
          <w:highlight w:val="none"/>
        </w:rPr>
        <w:t>地点：南宁市公共资源交易中心网站（网址：www.nnggzy.org.cn）</w:t>
      </w:r>
    </w:p>
    <w:p>
      <w:pPr>
        <w:ind w:firstLine="540"/>
        <w:rPr>
          <w:rFonts w:ascii="宋体" w:hAnsi="宋体" w:cs="宋体"/>
          <w:color w:val="auto"/>
          <w:sz w:val="24"/>
          <w:highlight w:val="none"/>
          <w:u w:val="single"/>
        </w:rPr>
      </w:pPr>
      <w:r>
        <w:rPr>
          <w:rFonts w:hint="eastAsia" w:ascii="宋体" w:hAnsi="宋体" w:cs="宋体"/>
          <w:color w:val="auto"/>
          <w:sz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招标文件。 </w:t>
      </w:r>
    </w:p>
    <w:p>
      <w:pPr>
        <w:ind w:firstLine="540"/>
        <w:rPr>
          <w:rFonts w:ascii="宋体" w:hAnsi="宋体" w:cs="宋体"/>
          <w:color w:val="auto"/>
          <w:sz w:val="24"/>
          <w:highlight w:val="none"/>
        </w:rPr>
      </w:pPr>
      <w:r>
        <w:rPr>
          <w:rFonts w:hint="eastAsia" w:ascii="宋体" w:hAnsi="宋体" w:cs="宋体"/>
          <w:color w:val="auto"/>
          <w:sz w:val="24"/>
          <w:highlight w:val="none"/>
        </w:rPr>
        <w:t>售价：0元。</w:t>
      </w:r>
    </w:p>
    <w:p>
      <w:pPr>
        <w:pStyle w:val="4"/>
        <w:spacing w:line="240" w:lineRule="auto"/>
        <w:rPr>
          <w:rFonts w:ascii="宋体" w:hAnsi="宋体" w:cs="宋体"/>
          <w:bCs w:val="0"/>
          <w:color w:val="auto"/>
          <w:sz w:val="24"/>
          <w:szCs w:val="24"/>
          <w:highlight w:val="none"/>
        </w:rPr>
      </w:pPr>
      <w:bookmarkStart w:id="20" w:name="_Toc35393801"/>
      <w:bookmarkStart w:id="21" w:name="_Toc28359092"/>
      <w:bookmarkStart w:id="22" w:name="_Toc28359015"/>
      <w:bookmarkStart w:id="23" w:name="_Toc35393632"/>
      <w:bookmarkStart w:id="24" w:name="_Toc23792"/>
      <w:r>
        <w:rPr>
          <w:rFonts w:hint="eastAsia" w:ascii="宋体" w:hAnsi="宋体" w:cs="宋体"/>
          <w:bCs w:val="0"/>
          <w:color w:val="auto"/>
          <w:sz w:val="24"/>
          <w:szCs w:val="24"/>
          <w:highlight w:val="none"/>
        </w:rPr>
        <w:t>四、</w:t>
      </w:r>
      <w:bookmarkEnd w:id="20"/>
      <w:bookmarkEnd w:id="21"/>
      <w:bookmarkEnd w:id="22"/>
      <w:bookmarkEnd w:id="23"/>
      <w:r>
        <w:rPr>
          <w:rFonts w:hint="eastAsia" w:ascii="宋体" w:hAnsi="宋体" w:cs="宋体"/>
          <w:bCs w:val="0"/>
          <w:color w:val="auto"/>
          <w:sz w:val="24"/>
          <w:szCs w:val="24"/>
          <w:highlight w:val="none"/>
        </w:rPr>
        <w:t>提交投标文件截止时间、开标时间和地点</w:t>
      </w:r>
      <w:bookmarkEnd w:id="24"/>
    </w:p>
    <w:p>
      <w:pP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rPr>
        <w:t>9点30分</w:t>
      </w:r>
      <w:r>
        <w:rPr>
          <w:rFonts w:hint="eastAsia" w:ascii="宋体" w:hAnsi="宋体" w:cs="宋体"/>
          <w:bCs/>
          <w:color w:val="auto"/>
          <w:sz w:val="24"/>
          <w:highlight w:val="none"/>
        </w:rPr>
        <w:t>（北京时间）</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根据《南宁市机关事务管理局关于疫情防控期间恢复全市公共资源现场交易活动的通知》文件精神，疫情防控期间，按照“不见面、少接触”的原则，投标人不参加现场开标会。</w:t>
      </w:r>
    </w:p>
    <w:p>
      <w:pPr>
        <w:pStyle w:val="18"/>
        <w:spacing w:line="240" w:lineRule="auto"/>
        <w:ind w:firstLine="480" w:firstLineChars="200"/>
        <w:rPr>
          <w:rFonts w:ascii="宋体" w:hAnsi="宋体" w:cs="宋体"/>
          <w:color w:val="auto"/>
          <w:highlight w:val="none"/>
        </w:rPr>
      </w:pPr>
      <w:r>
        <w:rPr>
          <w:rFonts w:hint="eastAsia" w:ascii="宋体" w:hAnsi="宋体" w:cs="宋体"/>
          <w:color w:val="auto"/>
          <w:highlight w:val="none"/>
        </w:rPr>
        <w:t>1、本项目的投标文件通过邮寄快递的方式送达(不接受现场递交)。</w:t>
      </w:r>
    </w:p>
    <w:p>
      <w:pPr>
        <w:pStyle w:val="18"/>
        <w:spacing w:line="240" w:lineRule="auto"/>
        <w:ind w:firstLine="480" w:firstLineChars="200"/>
        <w:rPr>
          <w:rFonts w:ascii="宋体" w:hAnsi="宋体" w:cs="宋体"/>
          <w:color w:val="auto"/>
          <w:highlight w:val="none"/>
        </w:rPr>
      </w:pPr>
      <w:r>
        <w:rPr>
          <w:rFonts w:hint="eastAsia" w:ascii="宋体" w:hAnsi="宋体" w:cs="宋体"/>
          <w:color w:val="auto"/>
          <w:highlight w:val="none"/>
        </w:rPr>
        <w:t>2、投标文件邮寄地址：南宁市青秀区纬武路165号招标中心3楼303室；收件人：韦吉；联系电话：0771-2808057。</w:t>
      </w:r>
    </w:p>
    <w:p>
      <w:pPr>
        <w:pStyle w:val="18"/>
        <w:spacing w:line="240" w:lineRule="auto"/>
        <w:ind w:firstLine="480" w:firstLineChars="200"/>
        <w:rPr>
          <w:rFonts w:ascii="宋体" w:hAnsi="宋体" w:cs="宋体"/>
          <w:color w:val="auto"/>
          <w:highlight w:val="none"/>
        </w:rPr>
      </w:pPr>
      <w:r>
        <w:rPr>
          <w:rFonts w:hint="eastAsia" w:ascii="宋体" w:hAnsi="宋体" w:cs="宋体"/>
          <w:color w:val="auto"/>
          <w:highlight w:val="none"/>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p>
    <w:p>
      <w:pPr>
        <w:pStyle w:val="18"/>
        <w:spacing w:line="240" w:lineRule="auto"/>
        <w:ind w:firstLine="480" w:firstLineChars="200"/>
        <w:rPr>
          <w:rFonts w:ascii="宋体" w:hAnsi="宋体" w:cs="宋体"/>
          <w:color w:val="auto"/>
          <w:highlight w:val="none"/>
        </w:rPr>
      </w:pPr>
      <w:r>
        <w:rPr>
          <w:rFonts w:hint="eastAsia" w:ascii="宋体" w:hAnsi="宋体" w:cs="宋体"/>
          <w:color w:val="auto"/>
          <w:highlight w:val="none"/>
        </w:rPr>
        <w:t>4、采购代理机构将在投标截止时间前一小时统一将收到的投标运送至南宁市公共资源交易中心，以确保本项目能在截止（开标）时间准时截标。投标人应充分预留投标文件邮寄、送达所需要的时间。为确保疫情防控期间邮寄包裹能及时送达，应选择邮寄运送时间有保障的快递公司寄送投标，并确保在投标截止日期1个工作日前内送达。</w:t>
      </w:r>
    </w:p>
    <w:p>
      <w:pPr>
        <w:pStyle w:val="18"/>
        <w:spacing w:line="240" w:lineRule="auto"/>
        <w:ind w:firstLine="480" w:firstLineChars="200"/>
        <w:rPr>
          <w:rFonts w:ascii="宋体" w:hAnsi="宋体" w:cs="宋体"/>
          <w:color w:val="auto"/>
          <w:highlight w:val="none"/>
        </w:rPr>
      </w:pPr>
      <w:r>
        <w:rPr>
          <w:rFonts w:hint="eastAsia" w:ascii="宋体" w:hAnsi="宋体" w:cs="宋体"/>
          <w:color w:val="auto"/>
          <w:highlight w:val="none"/>
        </w:rPr>
        <w:t>5、投标人在按照招标文件的要求装订、密封好投标文件后，应使用不透明、防水的邮寄袋或箱子再次包裹已密封好的投标，并在邮寄袋或箱子上粘牢注明项目名称、项目编号、项目开标日期、有效的电子邮箱等内容的纸质表格（表格格式详见附件）。</w:t>
      </w:r>
    </w:p>
    <w:tbl>
      <w:tblPr>
        <w:tblStyle w:val="44"/>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20" w:type="dxa"/>
          </w:tcPr>
          <w:p>
            <w:pPr>
              <w:widowControl/>
              <w:spacing w:before="100" w:after="100"/>
              <w:jc w:val="left"/>
              <w:rPr>
                <w:color w:val="auto"/>
                <w:sz w:val="24"/>
                <w:highlight w:val="none"/>
              </w:rPr>
            </w:pPr>
            <w:r>
              <w:rPr>
                <w:rFonts w:hint="eastAsia" w:ascii="宋体" w:hAnsi="宋体" w:cs="宋体"/>
                <w:color w:val="auto"/>
                <w:kern w:val="0"/>
                <w:sz w:val="24"/>
                <w:highlight w:val="none"/>
              </w:rPr>
              <w:t>附件：</w:t>
            </w:r>
          </w:p>
          <w:p>
            <w:pPr>
              <w:widowControl/>
              <w:spacing w:before="100" w:after="100"/>
              <w:ind w:firstLine="960" w:firstLineChars="400"/>
              <w:jc w:val="left"/>
              <w:rPr>
                <w:color w:val="auto"/>
                <w:sz w:val="24"/>
                <w:highlight w:val="none"/>
              </w:rPr>
            </w:pPr>
            <w:r>
              <w:rPr>
                <w:rFonts w:hint="eastAsia" w:ascii="宋体" w:hAnsi="宋体" w:cs="宋体"/>
                <w:color w:val="auto"/>
                <w:kern w:val="0"/>
                <w:sz w:val="24"/>
                <w:highlight w:val="none"/>
              </w:rPr>
              <w:t>邮件外包粘贴表格（格式）</w:t>
            </w:r>
          </w:p>
          <w:p>
            <w:pPr>
              <w:widowControl/>
              <w:spacing w:before="100" w:after="100"/>
              <w:ind w:firstLine="960" w:firstLineChars="400"/>
              <w:jc w:val="left"/>
              <w:rPr>
                <w:color w:val="auto"/>
                <w:sz w:val="24"/>
                <w:highlight w:val="none"/>
              </w:rPr>
            </w:pPr>
            <w:r>
              <w:rPr>
                <w:rFonts w:hint="eastAsia" w:ascii="宋体" w:hAnsi="宋体" w:cs="宋体"/>
                <w:color w:val="auto"/>
                <w:kern w:val="0"/>
                <w:sz w:val="24"/>
                <w:highlight w:val="none"/>
              </w:rPr>
              <w:t>项目名称：</w:t>
            </w:r>
          </w:p>
          <w:p>
            <w:pPr>
              <w:widowControl/>
              <w:spacing w:before="100" w:after="100"/>
              <w:ind w:firstLine="960" w:firstLineChars="400"/>
              <w:jc w:val="left"/>
              <w:rPr>
                <w:color w:val="auto"/>
                <w:sz w:val="24"/>
                <w:highlight w:val="none"/>
              </w:rPr>
            </w:pPr>
            <w:r>
              <w:rPr>
                <w:rFonts w:hint="eastAsia" w:ascii="宋体" w:hAnsi="宋体" w:cs="宋体"/>
                <w:color w:val="auto"/>
                <w:kern w:val="0"/>
                <w:sz w:val="24"/>
                <w:highlight w:val="none"/>
              </w:rPr>
              <w:t>项目编号：</w:t>
            </w:r>
          </w:p>
          <w:p>
            <w:pPr>
              <w:widowControl/>
              <w:spacing w:before="100" w:after="100"/>
              <w:ind w:firstLine="960" w:firstLineChars="400"/>
              <w:jc w:val="left"/>
              <w:rPr>
                <w:color w:val="auto"/>
                <w:sz w:val="24"/>
                <w:highlight w:val="none"/>
              </w:rPr>
            </w:pPr>
            <w:r>
              <w:rPr>
                <w:rFonts w:hint="eastAsia" w:ascii="宋体" w:hAnsi="宋体" w:cs="宋体"/>
                <w:color w:val="auto"/>
                <w:kern w:val="0"/>
                <w:sz w:val="24"/>
                <w:highlight w:val="none"/>
              </w:rPr>
              <w:t>项目开标日期：</w:t>
            </w:r>
          </w:p>
          <w:p>
            <w:pPr>
              <w:widowControl/>
              <w:spacing w:before="100" w:after="100"/>
              <w:ind w:firstLine="960" w:firstLineChars="400"/>
              <w:jc w:val="left"/>
              <w:rPr>
                <w:color w:val="auto"/>
                <w:sz w:val="24"/>
                <w:highlight w:val="none"/>
              </w:rPr>
            </w:pPr>
            <w:r>
              <w:rPr>
                <w:rFonts w:hint="eastAsia" w:ascii="宋体" w:hAnsi="宋体" w:cs="宋体"/>
                <w:color w:val="auto"/>
                <w:kern w:val="0"/>
                <w:sz w:val="24"/>
                <w:highlight w:val="none"/>
              </w:rPr>
              <w:t>联系电话：</w:t>
            </w:r>
          </w:p>
          <w:p>
            <w:pPr>
              <w:pStyle w:val="18"/>
              <w:spacing w:line="240" w:lineRule="auto"/>
              <w:ind w:firstLine="960" w:firstLineChars="400"/>
              <w:rPr>
                <w:rFonts w:ascii="宋体" w:hAnsi="宋体" w:cs="宋体"/>
                <w:color w:val="auto"/>
                <w:highlight w:val="none"/>
              </w:rPr>
            </w:pPr>
            <w:r>
              <w:rPr>
                <w:rFonts w:hint="eastAsia" w:ascii="宋体" w:hAnsi="宋体" w:cs="宋体"/>
                <w:color w:val="auto"/>
                <w:kern w:val="0"/>
                <w:highlight w:val="none"/>
              </w:rPr>
              <w:t>联系电子邮箱：</w:t>
            </w:r>
          </w:p>
        </w:tc>
      </w:tr>
    </w:tbl>
    <w:p>
      <w:pPr>
        <w:pStyle w:val="18"/>
        <w:spacing w:line="240" w:lineRule="auto"/>
        <w:ind w:firstLine="480" w:firstLineChars="200"/>
        <w:rPr>
          <w:rFonts w:ascii="宋体" w:hAnsi="宋体" w:cs="宋体"/>
          <w:color w:val="auto"/>
          <w:highlight w:val="none"/>
        </w:rPr>
      </w:pPr>
      <w:r>
        <w:rPr>
          <w:rFonts w:hint="eastAsia" w:ascii="宋体" w:hAnsi="宋体" w:cs="宋体"/>
          <w:color w:val="auto"/>
          <w:highlight w:val="none"/>
        </w:rPr>
        <w:t>6、招标采购人或招标采购代理机构工作人员在收到投标文件的邮寄包裹后，第一时间按照供应商在邮寄包裹上所预留的电子邮箱告知投标收件情况，请投标人务必确保所预留电子邮箱的有效性，并注意查收邮件。</w:t>
      </w:r>
    </w:p>
    <w:p>
      <w:pPr>
        <w:pStyle w:val="4"/>
        <w:spacing w:line="240" w:lineRule="auto"/>
        <w:rPr>
          <w:rFonts w:ascii="宋体" w:hAnsi="宋体" w:cs="宋体"/>
          <w:bCs w:val="0"/>
          <w:color w:val="auto"/>
          <w:sz w:val="24"/>
          <w:szCs w:val="24"/>
          <w:highlight w:val="none"/>
        </w:rPr>
      </w:pPr>
      <w:bookmarkStart w:id="25" w:name="_Toc35393633"/>
      <w:bookmarkStart w:id="26" w:name="_Toc28359093"/>
      <w:bookmarkStart w:id="27" w:name="_Toc28359016"/>
      <w:bookmarkStart w:id="28" w:name="_Toc35393802"/>
      <w:bookmarkStart w:id="29" w:name="_Toc20209"/>
      <w:r>
        <w:rPr>
          <w:rFonts w:hint="eastAsia" w:ascii="宋体" w:hAnsi="宋体" w:cs="宋体"/>
          <w:bCs w:val="0"/>
          <w:color w:val="auto"/>
          <w:sz w:val="24"/>
          <w:szCs w:val="24"/>
          <w:highlight w:val="none"/>
        </w:rPr>
        <w:t>五、开启</w:t>
      </w:r>
      <w:bookmarkEnd w:id="25"/>
      <w:bookmarkEnd w:id="26"/>
      <w:bookmarkEnd w:id="27"/>
      <w:bookmarkEnd w:id="28"/>
      <w:bookmarkEnd w:id="29"/>
    </w:p>
    <w:p>
      <w:pP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 xml:space="preserve">时间：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rPr>
        <w:t>9点30分</w:t>
      </w:r>
      <w:r>
        <w:rPr>
          <w:rFonts w:hint="eastAsia" w:ascii="宋体" w:hAnsi="宋体" w:cs="宋体"/>
          <w:bCs/>
          <w:color w:val="auto"/>
          <w:sz w:val="24"/>
          <w:highlight w:val="none"/>
        </w:rPr>
        <w:t>（北京时间）投标文件提交</w:t>
      </w:r>
      <w:r>
        <w:rPr>
          <w:rFonts w:hint="eastAsia" w:ascii="宋体" w:hAnsi="宋体" w:cs="宋体"/>
          <w:color w:val="auto"/>
          <w:sz w:val="24"/>
          <w:highlight w:val="none"/>
        </w:rPr>
        <w:t>截止时间后</w:t>
      </w:r>
    </w:p>
    <w:p>
      <w:pP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pStyle w:val="4"/>
        <w:spacing w:line="240" w:lineRule="auto"/>
        <w:rPr>
          <w:rFonts w:ascii="宋体" w:hAnsi="宋体" w:cs="宋体"/>
          <w:bCs w:val="0"/>
          <w:color w:val="auto"/>
          <w:sz w:val="24"/>
          <w:szCs w:val="24"/>
          <w:highlight w:val="none"/>
        </w:rPr>
      </w:pPr>
      <w:bookmarkStart w:id="30" w:name="_Toc35393803"/>
      <w:bookmarkStart w:id="31" w:name="_Toc28359017"/>
      <w:bookmarkStart w:id="32" w:name="_Toc28359094"/>
      <w:bookmarkStart w:id="33" w:name="_Toc35393634"/>
      <w:bookmarkStart w:id="34" w:name="_Toc163"/>
      <w:r>
        <w:rPr>
          <w:rFonts w:hint="eastAsia" w:ascii="宋体" w:hAnsi="宋体" w:cs="宋体"/>
          <w:bCs w:val="0"/>
          <w:color w:val="auto"/>
          <w:sz w:val="24"/>
          <w:szCs w:val="24"/>
          <w:highlight w:val="none"/>
        </w:rPr>
        <w:t>六、公告期限</w:t>
      </w:r>
      <w:bookmarkEnd w:id="30"/>
      <w:bookmarkEnd w:id="31"/>
      <w:bookmarkEnd w:id="32"/>
      <w:bookmarkEnd w:id="33"/>
      <w:bookmarkEnd w:id="34"/>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4"/>
        <w:spacing w:line="240" w:lineRule="auto"/>
        <w:rPr>
          <w:rFonts w:ascii="宋体" w:hAnsi="宋体" w:cs="宋体"/>
          <w:bCs w:val="0"/>
          <w:color w:val="auto"/>
          <w:sz w:val="24"/>
          <w:szCs w:val="24"/>
          <w:highlight w:val="none"/>
        </w:rPr>
      </w:pPr>
      <w:bookmarkStart w:id="35" w:name="_Toc35393804"/>
      <w:bookmarkStart w:id="36" w:name="_Toc35393635"/>
      <w:bookmarkStart w:id="37" w:name="_Toc32737"/>
      <w:r>
        <w:rPr>
          <w:rFonts w:hint="eastAsia" w:ascii="宋体" w:hAnsi="宋体" w:cs="宋体"/>
          <w:bCs w:val="0"/>
          <w:color w:val="auto"/>
          <w:sz w:val="24"/>
          <w:szCs w:val="24"/>
          <w:highlight w:val="none"/>
        </w:rPr>
        <w:t>七、其他补充事宜</w:t>
      </w:r>
      <w:bookmarkEnd w:id="35"/>
      <w:bookmarkEnd w:id="36"/>
      <w:bookmarkEnd w:id="37"/>
    </w:p>
    <w:p>
      <w:pPr>
        <w:ind w:firstLine="480" w:firstLineChars="200"/>
        <w:rPr>
          <w:rFonts w:ascii="宋体" w:hAnsi="宋体" w:cs="宋体"/>
          <w:color w:val="auto"/>
          <w:sz w:val="24"/>
          <w:highlight w:val="none"/>
        </w:rPr>
      </w:pPr>
      <w:r>
        <w:rPr>
          <w:rFonts w:hint="eastAsia" w:ascii="宋体" w:hAnsi="宋体" w:cs="宋体"/>
          <w:color w:val="auto"/>
          <w:sz w:val="24"/>
          <w:szCs w:val="24"/>
          <w:highlight w:val="none"/>
        </w:rPr>
        <w:t>发布媒体：中国政府采购网、广西壮族自治区政府采购网、南宁政府采购网、</w:t>
      </w:r>
      <w:r>
        <w:rPr>
          <w:rFonts w:hint="eastAsia" w:ascii="宋体" w:hAnsi="宋体" w:cs="宋体"/>
          <w:color w:val="auto"/>
          <w:kern w:val="0"/>
          <w:sz w:val="24"/>
          <w:szCs w:val="24"/>
          <w:highlight w:val="none"/>
        </w:rPr>
        <w:t>南宁市公共资源交易中心网</w:t>
      </w:r>
      <w:r>
        <w:rPr>
          <w:rFonts w:hint="eastAsia" w:ascii="宋体" w:hAnsi="宋体" w:cs="宋体"/>
          <w:color w:val="auto"/>
          <w:sz w:val="24"/>
          <w:szCs w:val="24"/>
          <w:highlight w:val="none"/>
        </w:rPr>
        <w:t>、广西招标网</w:t>
      </w:r>
      <w:r>
        <w:rPr>
          <w:rFonts w:hint="eastAsia" w:ascii="宋体" w:hAnsi="宋体" w:cs="宋体"/>
          <w:color w:val="auto"/>
          <w:kern w:val="0"/>
          <w:sz w:val="24"/>
          <w:highlight w:val="none"/>
        </w:rPr>
        <w:t>。</w:t>
      </w:r>
    </w:p>
    <w:p>
      <w:pPr>
        <w:pStyle w:val="4"/>
        <w:spacing w:line="240" w:lineRule="auto"/>
        <w:rPr>
          <w:rFonts w:ascii="宋体" w:hAnsi="宋体" w:cs="宋体"/>
          <w:bCs w:val="0"/>
          <w:color w:val="auto"/>
          <w:sz w:val="24"/>
          <w:szCs w:val="24"/>
          <w:highlight w:val="none"/>
        </w:rPr>
      </w:pPr>
      <w:bookmarkStart w:id="38" w:name="_Toc35393636"/>
      <w:bookmarkStart w:id="39" w:name="_Toc28359018"/>
      <w:bookmarkStart w:id="40" w:name="_Toc35393805"/>
      <w:bookmarkStart w:id="41" w:name="_Toc28359095"/>
      <w:bookmarkStart w:id="42" w:name="_Toc731"/>
      <w:r>
        <w:rPr>
          <w:rFonts w:hint="eastAsia" w:ascii="宋体" w:hAnsi="宋体" w:cs="宋体"/>
          <w:bCs w:val="0"/>
          <w:color w:val="auto"/>
          <w:sz w:val="24"/>
          <w:szCs w:val="24"/>
          <w:highlight w:val="none"/>
        </w:rPr>
        <w:t>八、对本次招标提出询问，请按</w:t>
      </w:r>
      <w:r>
        <w:rPr>
          <w:rFonts w:ascii="宋体" w:hAnsi="宋体" w:cs="宋体"/>
          <w:bCs w:val="0"/>
          <w:color w:val="auto"/>
          <w:sz w:val="24"/>
          <w:szCs w:val="24"/>
          <w:highlight w:val="none"/>
        </w:rPr>
        <w:t>以下方式</w:t>
      </w:r>
      <w:r>
        <w:rPr>
          <w:rFonts w:hint="eastAsia" w:ascii="宋体" w:hAnsi="宋体" w:cs="宋体"/>
          <w:bCs w:val="0"/>
          <w:color w:val="auto"/>
          <w:sz w:val="24"/>
          <w:szCs w:val="24"/>
          <w:highlight w:val="none"/>
        </w:rPr>
        <w:t>联系。</w:t>
      </w:r>
      <w:bookmarkEnd w:id="38"/>
      <w:bookmarkEnd w:id="39"/>
      <w:bookmarkEnd w:id="40"/>
      <w:bookmarkEnd w:id="41"/>
      <w:bookmarkEnd w:id="42"/>
    </w:p>
    <w:p>
      <w:pPr>
        <w:pStyle w:val="4"/>
        <w:spacing w:line="240" w:lineRule="auto"/>
        <w:ind w:firstLine="720" w:firstLineChars="300"/>
        <w:rPr>
          <w:rFonts w:ascii="宋体" w:hAnsi="宋体" w:cs="宋体"/>
          <w:b w:val="0"/>
          <w:color w:val="auto"/>
          <w:sz w:val="24"/>
          <w:szCs w:val="24"/>
          <w:highlight w:val="none"/>
        </w:rPr>
      </w:pPr>
      <w:bookmarkStart w:id="43" w:name="_Toc28359096"/>
      <w:bookmarkStart w:id="44" w:name="_Toc35393806"/>
      <w:bookmarkStart w:id="45" w:name="_Toc35393637"/>
      <w:bookmarkStart w:id="46" w:name="_Toc28359019"/>
      <w:bookmarkStart w:id="47" w:name="_Toc32446"/>
      <w:r>
        <w:rPr>
          <w:rFonts w:hint="eastAsia" w:ascii="宋体" w:hAnsi="宋体" w:cs="宋体"/>
          <w:b w:val="0"/>
          <w:color w:val="auto"/>
          <w:sz w:val="24"/>
          <w:szCs w:val="24"/>
          <w:highlight w:val="none"/>
        </w:rPr>
        <w:t>1.采购人信息</w:t>
      </w:r>
      <w:bookmarkEnd w:id="43"/>
      <w:bookmarkEnd w:id="44"/>
      <w:bookmarkEnd w:id="45"/>
      <w:bookmarkEnd w:id="46"/>
      <w:bookmarkEnd w:id="47"/>
    </w:p>
    <w:p>
      <w:pPr>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称：南宁市固定资产投资项目前期服务中心</w:t>
      </w:r>
    </w:p>
    <w:p>
      <w:pPr>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olor w:val="auto"/>
          <w:sz w:val="24"/>
          <w:szCs w:val="24"/>
          <w:highlight w:val="none"/>
        </w:rPr>
        <w:t>南宁市桂春路南一里1号</w:t>
      </w:r>
    </w:p>
    <w:p>
      <w:pPr>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eastAsia="宋体" w:cs="宋体"/>
          <w:color w:val="auto"/>
          <w:sz w:val="24"/>
          <w:highlight w:val="none"/>
        </w:rPr>
        <w:t xml:space="preserve">苏荣祥 联系电话：0771-5773108 </w:t>
      </w:r>
    </w:p>
    <w:p>
      <w:pPr>
        <w:pStyle w:val="4"/>
        <w:spacing w:line="240" w:lineRule="auto"/>
        <w:ind w:firstLine="720" w:firstLineChars="300"/>
        <w:rPr>
          <w:rFonts w:ascii="宋体" w:hAnsi="宋体" w:cs="宋体"/>
          <w:b w:val="0"/>
          <w:color w:val="auto"/>
          <w:sz w:val="24"/>
          <w:szCs w:val="24"/>
          <w:highlight w:val="none"/>
        </w:rPr>
      </w:pPr>
      <w:bookmarkStart w:id="48" w:name="_Toc28359020"/>
      <w:bookmarkStart w:id="49" w:name="_Toc35393807"/>
      <w:bookmarkStart w:id="50" w:name="_Toc35393638"/>
      <w:bookmarkStart w:id="51" w:name="_Toc28359097"/>
      <w:bookmarkStart w:id="52" w:name="_Toc10194"/>
      <w:r>
        <w:rPr>
          <w:rFonts w:hint="eastAsia" w:ascii="宋体" w:hAnsi="宋体" w:cs="宋体"/>
          <w:b w:val="0"/>
          <w:color w:val="auto"/>
          <w:sz w:val="24"/>
          <w:szCs w:val="24"/>
          <w:highlight w:val="none"/>
        </w:rPr>
        <w:t>2.采购代理机构信息</w:t>
      </w:r>
      <w:bookmarkEnd w:id="48"/>
      <w:bookmarkEnd w:id="49"/>
      <w:bookmarkEnd w:id="50"/>
      <w:bookmarkEnd w:id="51"/>
      <w:bookmarkEnd w:id="52"/>
    </w:p>
    <w:p>
      <w:pPr>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名    称：广西建设工程机电设备招标中心有限公司</w:t>
      </w:r>
    </w:p>
    <w:p>
      <w:pPr>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　　址：南宁市青秀区纬武路165号</w:t>
      </w:r>
    </w:p>
    <w:p>
      <w:pPr>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联系方式：韦吉 电话：0771-2808057   传真：0771-2808057</w:t>
      </w:r>
    </w:p>
    <w:p>
      <w:pPr>
        <w:pStyle w:val="4"/>
        <w:spacing w:line="240" w:lineRule="auto"/>
        <w:ind w:firstLine="720" w:firstLineChars="300"/>
        <w:rPr>
          <w:rFonts w:ascii="宋体" w:hAnsi="宋体" w:cs="宋体"/>
          <w:b w:val="0"/>
          <w:color w:val="auto"/>
          <w:sz w:val="24"/>
          <w:szCs w:val="24"/>
          <w:highlight w:val="none"/>
        </w:rPr>
      </w:pPr>
      <w:bookmarkStart w:id="53" w:name="_Toc28359098"/>
      <w:bookmarkStart w:id="54" w:name="_Toc28359021"/>
      <w:bookmarkStart w:id="55" w:name="_Toc35393639"/>
      <w:bookmarkStart w:id="56" w:name="_Toc35393808"/>
      <w:bookmarkStart w:id="57" w:name="_Toc5327"/>
      <w:r>
        <w:rPr>
          <w:rFonts w:hint="eastAsia" w:ascii="宋体" w:hAnsi="宋体" w:cs="宋体"/>
          <w:b w:val="0"/>
          <w:color w:val="auto"/>
          <w:sz w:val="24"/>
          <w:szCs w:val="24"/>
          <w:highlight w:val="none"/>
        </w:rPr>
        <w:t>3.项目联系方式</w:t>
      </w:r>
      <w:bookmarkEnd w:id="53"/>
      <w:bookmarkEnd w:id="54"/>
      <w:bookmarkEnd w:id="55"/>
      <w:bookmarkEnd w:id="56"/>
      <w:bookmarkEnd w:id="57"/>
    </w:p>
    <w:p>
      <w:pPr>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项目联系人：韦吉    </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电　　 话：0771-2808057</w:t>
      </w:r>
    </w:p>
    <w:p>
      <w:pPr>
        <w:wordWrap w:val="0"/>
        <w:snapToGrid w:val="0"/>
        <w:jc w:val="right"/>
        <w:rPr>
          <w:rFonts w:ascii="宋体"/>
          <w:color w:val="auto"/>
          <w:sz w:val="24"/>
          <w:szCs w:val="24"/>
          <w:highlight w:val="none"/>
        </w:rPr>
      </w:pPr>
    </w:p>
    <w:p>
      <w:pPr>
        <w:snapToGrid w:val="0"/>
        <w:jc w:val="right"/>
        <w:rPr>
          <w:rFonts w:ascii="宋体" w:hAnsi="宋体" w:cs="宋体"/>
          <w:color w:val="auto"/>
          <w:sz w:val="24"/>
          <w:szCs w:val="24"/>
          <w:highlight w:val="none"/>
        </w:rPr>
      </w:pPr>
      <w:r>
        <w:rPr>
          <w:rFonts w:hint="eastAsia" w:ascii="宋体" w:hAnsi="宋体" w:cs="宋体"/>
          <w:color w:val="auto"/>
          <w:sz w:val="24"/>
          <w:szCs w:val="24"/>
          <w:highlight w:val="none"/>
        </w:rPr>
        <w:t>采购代理机构：广西建设工程机电设备招标中心有限公司</w:t>
      </w:r>
    </w:p>
    <w:p>
      <w:pPr>
        <w:snapToGrid w:val="0"/>
        <w:jc w:val="right"/>
        <w:rPr>
          <w:rFonts w:ascii="宋体" w:cs="宋体"/>
          <w:color w:val="auto"/>
          <w:sz w:val="24"/>
          <w:szCs w:val="24"/>
          <w:highlight w:val="none"/>
        </w:rPr>
      </w:pPr>
      <w:r>
        <w:rPr>
          <w:rFonts w:ascii="宋体" w:hAnsi="宋体" w:cs="宋体"/>
          <w:color w:val="auto"/>
          <w:sz w:val="24"/>
          <w:szCs w:val="24"/>
          <w:highlight w:val="none"/>
          <w:u w:val="single"/>
        </w:rPr>
        <w:t xml:space="preserve"> 2020</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12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rPr>
        <w:t>日</w:t>
      </w:r>
    </w:p>
    <w:p>
      <w:pPr>
        <w:spacing w:line="560" w:lineRule="exact"/>
        <w:rPr>
          <w:rFonts w:ascii="仿宋_GB2312" w:eastAsia="仿宋_GB2312"/>
          <w:color w:val="auto"/>
          <w:sz w:val="28"/>
          <w:szCs w:val="28"/>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pStyle w:val="18"/>
        <w:rPr>
          <w:rFonts w:ascii="宋体"/>
          <w:color w:val="auto"/>
          <w:highlight w:val="none"/>
        </w:rPr>
      </w:pPr>
    </w:p>
    <w:p>
      <w:pPr>
        <w:pStyle w:val="18"/>
        <w:rPr>
          <w:rFonts w:ascii="宋体"/>
          <w:color w:val="auto"/>
          <w:highlight w:val="none"/>
        </w:rPr>
      </w:pPr>
    </w:p>
    <w:p>
      <w:pPr>
        <w:pStyle w:val="18"/>
        <w:rPr>
          <w:rFonts w:ascii="宋体"/>
          <w:color w:val="auto"/>
          <w:highlight w:val="none"/>
        </w:rPr>
      </w:pPr>
    </w:p>
    <w:p>
      <w:pPr>
        <w:pStyle w:val="18"/>
        <w:rPr>
          <w:rFonts w:ascii="宋体"/>
          <w:color w:val="auto"/>
          <w:highlight w:val="none"/>
        </w:rPr>
      </w:pPr>
    </w:p>
    <w:p>
      <w:pPr>
        <w:pStyle w:val="18"/>
        <w:rPr>
          <w:rFonts w:ascii="宋体"/>
          <w:color w:val="auto"/>
          <w:highlight w:val="none"/>
        </w:rPr>
      </w:pPr>
    </w:p>
    <w:p>
      <w:pPr>
        <w:pStyle w:val="18"/>
        <w:rPr>
          <w:rFonts w:ascii="宋体"/>
          <w:color w:val="auto"/>
          <w:highlight w:val="none"/>
        </w:rPr>
      </w:pPr>
    </w:p>
    <w:p>
      <w:pPr>
        <w:pStyle w:val="18"/>
        <w:rPr>
          <w:rFonts w:ascii="宋体"/>
          <w:color w:val="auto"/>
          <w:highlight w:val="none"/>
        </w:rPr>
      </w:pPr>
    </w:p>
    <w:p>
      <w:pPr>
        <w:snapToGrid w:val="0"/>
        <w:rPr>
          <w:rFonts w:ascii="宋体"/>
          <w:color w:val="auto"/>
          <w:highlight w:val="none"/>
        </w:rPr>
      </w:pPr>
    </w:p>
    <w:p>
      <w:pPr>
        <w:snapToGrid w:val="0"/>
        <w:jc w:val="center"/>
        <w:outlineLvl w:val="0"/>
        <w:rPr>
          <w:rFonts w:ascii="宋体"/>
          <w:b/>
          <w:bCs/>
          <w:color w:val="auto"/>
          <w:sz w:val="44"/>
          <w:szCs w:val="44"/>
          <w:highlight w:val="none"/>
        </w:rPr>
      </w:pPr>
      <w:bookmarkStart w:id="58" w:name="_Toc25743"/>
      <w:bookmarkStart w:id="59" w:name="_Toc6659"/>
      <w:bookmarkStart w:id="60" w:name="_Toc6619"/>
      <w:r>
        <w:rPr>
          <w:rFonts w:hint="eastAsia" w:ascii="宋体" w:hAnsi="宋体" w:cs="宋体"/>
          <w:b/>
          <w:bCs/>
          <w:color w:val="auto"/>
          <w:sz w:val="44"/>
          <w:szCs w:val="44"/>
          <w:highlight w:val="none"/>
        </w:rPr>
        <w:t>第二章招标项目采购需求</w:t>
      </w:r>
      <w:bookmarkEnd w:id="58"/>
      <w:bookmarkEnd w:id="59"/>
      <w:bookmarkEnd w:id="60"/>
    </w:p>
    <w:p>
      <w:pPr>
        <w:spacing w:line="320" w:lineRule="exact"/>
        <w:ind w:firstLine="482" w:firstLineChars="200"/>
        <w:jc w:val="center"/>
        <w:rPr>
          <w:rFonts w:hAnsi="宋体"/>
          <w:b/>
          <w:bCs/>
          <w:color w:val="auto"/>
          <w:sz w:val="24"/>
          <w:szCs w:val="24"/>
          <w:highlight w:val="none"/>
        </w:rPr>
      </w:pPr>
    </w:p>
    <w:p>
      <w:pPr>
        <w:spacing w:line="320" w:lineRule="exact"/>
        <w:ind w:firstLine="482" w:firstLineChars="200"/>
        <w:jc w:val="center"/>
        <w:rPr>
          <w:rFonts w:hAnsi="宋体"/>
          <w:b/>
          <w:bCs/>
          <w:color w:val="auto"/>
          <w:sz w:val="24"/>
          <w:szCs w:val="24"/>
          <w:highlight w:val="none"/>
        </w:rPr>
      </w:pPr>
      <w:r>
        <w:rPr>
          <w:rFonts w:hint="eastAsia" w:hAnsi="宋体" w:cs="宋体"/>
          <w:b/>
          <w:bCs/>
          <w:color w:val="auto"/>
          <w:sz w:val="24"/>
          <w:szCs w:val="24"/>
          <w:highlight w:val="none"/>
        </w:rPr>
        <w:t>服务需求一览表</w:t>
      </w:r>
    </w:p>
    <w:p>
      <w:pPr>
        <w:adjustRightInd w:val="0"/>
        <w:spacing w:line="3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p>
      <w:pPr>
        <w:adjustRightInd w:val="0"/>
        <w:spacing w:line="340" w:lineRule="exact"/>
        <w:ind w:left="6" w:firstLine="431"/>
        <w:rPr>
          <w:rFonts w:ascii="宋体" w:hAns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、本服务需求一览表中标注★号的部分为实质性要求和条件。</w:t>
      </w:r>
    </w:p>
    <w:p>
      <w:pPr>
        <w:spacing w:line="32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、本服务需求一览表中内容如与第五章“合同条款及格式”相关条款不一致的，以本表为准。</w:t>
      </w:r>
    </w:p>
    <w:p>
      <w:pPr>
        <w:spacing w:line="320" w:lineRule="exact"/>
        <w:ind w:firstLine="482" w:firstLineChars="200"/>
        <w:jc w:val="center"/>
        <w:rPr>
          <w:rFonts w:ascii="宋体" w:hAnsi="宋体"/>
          <w:b/>
          <w:bCs/>
          <w:color w:val="auto"/>
          <w:sz w:val="24"/>
          <w:szCs w:val="24"/>
          <w:highlight w:val="none"/>
        </w:rPr>
      </w:pPr>
    </w:p>
    <w:tbl>
      <w:tblPr>
        <w:tblStyle w:val="44"/>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9752" w:type="dxa"/>
            <w:vAlign w:val="center"/>
          </w:tcPr>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一、项目概况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项目应用覆盖</w:t>
            </w:r>
            <w:r>
              <w:rPr>
                <w:rFonts w:hint="eastAsia" w:ascii="宋体" w:hAnsi="宋体"/>
                <w:color w:val="auto"/>
                <w:sz w:val="24"/>
                <w:highlight w:val="none"/>
                <w:lang w:eastAsia="zh-CN"/>
              </w:rPr>
              <w:t>自治区层面</w:t>
            </w:r>
            <w:r>
              <w:rPr>
                <w:rFonts w:hint="eastAsia" w:ascii="宋体" w:hAnsi="宋体"/>
                <w:color w:val="auto"/>
                <w:sz w:val="24"/>
                <w:highlight w:val="none"/>
              </w:rPr>
              <w:t>、南宁市</w:t>
            </w:r>
            <w:r>
              <w:rPr>
                <w:rFonts w:hint="eastAsia" w:ascii="宋体" w:hAnsi="宋体"/>
                <w:color w:val="auto"/>
                <w:sz w:val="24"/>
                <w:highlight w:val="none"/>
                <w:lang w:eastAsia="zh-CN"/>
              </w:rPr>
              <w:t>层面、南宁市各县区单位和项目业主</w:t>
            </w:r>
            <w:r>
              <w:rPr>
                <w:rFonts w:hint="eastAsia" w:ascii="宋体" w:hAnsi="宋体" w:cs="宋体"/>
                <w:color w:val="auto"/>
                <w:sz w:val="24"/>
                <w:highlight w:val="none"/>
                <w:lang w:eastAsia="zh-CN"/>
              </w:rPr>
              <w:t>，</w:t>
            </w:r>
            <w:r>
              <w:rPr>
                <w:rFonts w:hint="eastAsia" w:ascii="宋体" w:hAnsi="宋体" w:cs="宋体"/>
                <w:color w:val="auto"/>
                <w:sz w:val="24"/>
                <w:highlight w:val="none"/>
              </w:rPr>
              <w:t>内容</w:t>
            </w:r>
            <w:r>
              <w:rPr>
                <w:rFonts w:hint="eastAsia" w:ascii="宋体" w:hAnsi="宋体" w:cs="宋体"/>
                <w:color w:val="auto"/>
                <w:sz w:val="24"/>
                <w:highlight w:val="none"/>
              </w:rPr>
              <w:t>含</w:t>
            </w:r>
            <w:r>
              <w:rPr>
                <w:rFonts w:hint="eastAsia" w:ascii="宋体" w:hAnsi="宋体" w:cs="宋体"/>
                <w:color w:val="auto"/>
                <w:sz w:val="24"/>
                <w:highlight w:val="none"/>
              </w:rPr>
              <w:t>基础信息管理、强首府项目和“双百双新”产业项目全流程管理监督、主要经济指标数据展示分析、项目数据可视化分析、移动办公管理等，需结合云计算、大数据、人工智能等先进技术，建设强首府战略大数据资源中心、强首府指标管理云、强首府监管云、强首府项目服务云、强首府基础服务云、日常事务管理系统、强首府战略大脑、强首府战略作战云APP、视频会议系统、应用支撑平台。</w:t>
            </w:r>
          </w:p>
        </w:tc>
      </w:tr>
    </w:tbl>
    <w:p>
      <w:pPr>
        <w:pStyle w:val="2"/>
        <w:rPr>
          <w:rFonts w:ascii="宋体" w:hAnsi="宋体"/>
          <w:b/>
          <w:bCs/>
          <w:color w:val="auto"/>
          <w:sz w:val="24"/>
          <w:szCs w:val="24"/>
          <w:highlight w:val="none"/>
        </w:rPr>
      </w:pPr>
    </w:p>
    <w:tbl>
      <w:tblPr>
        <w:tblStyle w:val="44"/>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3"/>
        <w:gridCol w:w="2461"/>
        <w:gridCol w:w="819"/>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9752" w:type="dxa"/>
            <w:gridSpan w:val="4"/>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二、项目要求及技术需求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8"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项号</w:t>
            </w:r>
          </w:p>
        </w:tc>
        <w:tc>
          <w:tcPr>
            <w:tcW w:w="2461"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服务名称</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数量及单位</w:t>
            </w:r>
          </w:p>
        </w:tc>
        <w:tc>
          <w:tcPr>
            <w:tcW w:w="593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服务要求和说明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w:t>
            </w:r>
          </w:p>
        </w:tc>
        <w:tc>
          <w:tcPr>
            <w:tcW w:w="2461"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强首府战略大数据资源中心</w:t>
            </w:r>
          </w:p>
          <w:p>
            <w:pPr>
              <w:spacing w:line="400" w:lineRule="exact"/>
              <w:jc w:val="left"/>
              <w:rPr>
                <w:rFonts w:ascii="宋体" w:hAnsi="宋体" w:cs="宋体"/>
                <w:color w:val="auto"/>
                <w:sz w:val="24"/>
                <w:highlight w:val="none"/>
              </w:rPr>
            </w:pP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汇聚强首府相关信息资源，建设强首府基础信息数据库、“6+1”专题数据库和指标库。</w:t>
            </w:r>
          </w:p>
          <w:p>
            <w:p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（1）基础信息库</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管理存储用户数据、角色数据、用户功能权限数据、用户数据权限数据、角色功能权限数据、角色数据权限数据、标准字典数据、系统参数数据、系统操作日志和错误日志等。</w:t>
            </w:r>
          </w:p>
          <w:p>
            <w:p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（2）专题库</w:t>
            </w:r>
          </w:p>
          <w:p>
            <w:pPr>
              <w:numPr>
                <w:ilvl w:val="255"/>
                <w:numId w:val="0"/>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1）强首府“6+1”专项数据库</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管理存储强首府“6+1”指标库、主要经济指标专项数据库、“366”重大项目管理库、强首府监管库、强首府综合业务库。</w:t>
            </w:r>
          </w:p>
          <w:p>
            <w:pPr>
              <w:numPr>
                <w:ilvl w:val="255"/>
                <w:numId w:val="0"/>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2）“双百双新”产业项目专题数据库</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管理存储“双百双新”产业项目指标库、“双百双新”产业项目管理库、“双百双新”产业项目综合业务库。</w:t>
            </w:r>
          </w:p>
          <w:p>
            <w:pPr>
              <w:numPr>
                <w:ilvl w:val="255"/>
                <w:numId w:val="0"/>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3）大数据可视化分析数据仓库</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管理存储强首府“6+1”综合统计分析数据、强首府“6+1”专项指标完成情况综合分析数据、主要经济指标综合分析数据、项目信息分析数据、问题协调综合分析数据、绩效评价综合分析数据。</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（3）指标库</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管理存储南宁市</w:t>
            </w:r>
            <w:r>
              <w:rPr>
                <w:rFonts w:hint="eastAsia" w:ascii="宋体" w:hAnsi="宋体" w:cs="宋体"/>
                <w:color w:val="auto"/>
                <w:sz w:val="24"/>
                <w:highlight w:val="none"/>
                <w:lang w:eastAsia="zh-CN"/>
              </w:rPr>
              <w:t>市级及各</w:t>
            </w:r>
            <w:r>
              <w:rPr>
                <w:rFonts w:hint="eastAsia" w:ascii="宋体" w:hAnsi="宋体" w:cs="宋体"/>
                <w:color w:val="auto"/>
                <w:sz w:val="24"/>
                <w:highlight w:val="none"/>
              </w:rPr>
              <w:t>县</w:t>
            </w:r>
            <w:r>
              <w:rPr>
                <w:rFonts w:hint="eastAsia" w:ascii="宋体" w:hAnsi="宋体" w:cs="宋体"/>
                <w:color w:val="auto"/>
                <w:sz w:val="24"/>
                <w:highlight w:val="none"/>
                <w:lang w:eastAsia="zh-CN"/>
              </w:rPr>
              <w:t>（</w:t>
            </w:r>
            <w:r>
              <w:rPr>
                <w:rFonts w:hint="eastAsia" w:ascii="宋体" w:hAnsi="宋体" w:cs="宋体"/>
                <w:color w:val="auto"/>
                <w:sz w:val="24"/>
                <w:highlight w:val="none"/>
              </w:rPr>
              <w:t>区</w:t>
            </w:r>
            <w:r>
              <w:rPr>
                <w:rFonts w:hint="eastAsia" w:ascii="宋体" w:hAnsi="宋体" w:cs="宋体"/>
                <w:color w:val="auto"/>
                <w:sz w:val="24"/>
                <w:highlight w:val="none"/>
                <w:lang w:eastAsia="zh-CN"/>
              </w:rPr>
              <w:t>）级主要</w:t>
            </w:r>
            <w:r>
              <w:rPr>
                <w:rFonts w:hint="eastAsia" w:ascii="宋体" w:hAnsi="宋体" w:cs="宋体"/>
                <w:color w:val="auto"/>
                <w:sz w:val="24"/>
                <w:highlight w:val="none"/>
              </w:rPr>
              <w:t>经济指标和全国27个省会城市</w:t>
            </w:r>
            <w:r>
              <w:rPr>
                <w:rFonts w:hint="eastAsia" w:ascii="宋体" w:hAnsi="宋体" w:cs="宋体"/>
                <w:color w:val="auto"/>
                <w:sz w:val="24"/>
                <w:highlight w:val="none"/>
                <w:lang w:eastAsia="zh-CN"/>
              </w:rPr>
              <w:t>（不含直辖市和特别行政区）主要</w:t>
            </w:r>
            <w:r>
              <w:rPr>
                <w:rFonts w:hint="eastAsia" w:ascii="宋体" w:hAnsi="宋体" w:cs="宋体"/>
                <w:color w:val="auto"/>
                <w:sz w:val="24"/>
                <w:highlight w:val="none"/>
              </w:rPr>
              <w:t>经济指标数据。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2</w:t>
            </w:r>
          </w:p>
        </w:tc>
        <w:tc>
          <w:tcPr>
            <w:tcW w:w="2461" w:type="dxa"/>
            <w:vAlign w:val="center"/>
          </w:tcPr>
          <w:p>
            <w:pPr>
              <w:numPr>
                <w:ilvl w:val="255"/>
                <w:numId w:val="0"/>
              </w:numPr>
              <w:spacing w:line="400" w:lineRule="exact"/>
              <w:jc w:val="left"/>
              <w:rPr>
                <w:rFonts w:ascii="宋体" w:hAnsi="宋体" w:cs="宋体"/>
                <w:color w:val="auto"/>
                <w:sz w:val="24"/>
                <w:highlight w:val="none"/>
              </w:rPr>
            </w:pPr>
            <w:r>
              <w:rPr>
                <w:rFonts w:hint="eastAsia" w:ascii="宋体" w:hAnsi="宋体" w:cs="宋体"/>
                <w:color w:val="auto"/>
                <w:sz w:val="24"/>
                <w:highlight w:val="none"/>
              </w:rPr>
              <w:t>强首府指标管理云</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rPr>
              <w:t>构建强首府指标体系、关联管理指标体系，实现项目指标体系化和规范化管理，指标体系主要内容包括“6+1”专项小组、“双百双新”相关指标，以及智能预警指标、进度分析指标、绩效评价指标、主要经济指标等</w:t>
            </w:r>
            <w:r>
              <w:rPr>
                <w:rFonts w:hint="eastAsia" w:ascii="宋体" w:hAnsi="宋体" w:cs="宋体"/>
                <w:color w:val="auto"/>
                <w:sz w:val="24"/>
                <w:highlight w:val="none"/>
              </w:rPr>
              <w:t>。</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（1）强首府指标体系管理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提供层级化、规则化、模型化、数据化、可动态管理指标管理机制。将指标设置与项目管理、智能预警、进度分析和绩效考核等具体业务应用解耦并实现上架和下架的动态化管理。</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（2）指标体系的关联管理</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建立对接和关联关系，实现与强首府项目服务云、强首府监管云智能预警、项目建设进度分析、绩效评价子系统中指标体系的关联管理。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1）与强首府项目服务云的关联</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支持强首府项目服务云的相关工作，包括与基础指标数据的关联对接。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2）与强首府监管云智能预警的关联</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支持强首府监管云智能预警的相关工作。包括多种风险指标的识别与研判，相关风险的智能预警和自动预警。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3）与项目建设进度分析的关联</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配合指标规则与指标模型，支持项目建设进度分析的相关工作。包括与项目建设进度评估的相关要素指标关联对接。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4）与绩效评价子系统的关联</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利用指标识别与规则处理能力，关联对接不同考核要素实现自动评分，支持绩效评价子系统的相关工作。包括与设置的针对性考核指标规则关联对接。</w:t>
            </w:r>
          </w:p>
          <w:p>
            <w:pPr>
              <w:numPr>
                <w:ilvl w:val="255"/>
                <w:numId w:val="0"/>
              </w:numPr>
              <w:spacing w:line="400" w:lineRule="exact"/>
              <w:jc w:val="left"/>
              <w:rPr>
                <w:rFonts w:ascii="宋体" w:hAnsi="宋体" w:cs="宋体"/>
                <w:b/>
                <w:bCs/>
                <w:color w:val="auto"/>
                <w:sz w:val="24"/>
                <w:highlight w:val="none"/>
              </w:rPr>
            </w:pPr>
            <w:bookmarkStart w:id="61" w:name="_Toc56526721"/>
            <w:r>
              <w:rPr>
                <w:rFonts w:hint="eastAsia" w:ascii="宋体" w:hAnsi="宋体" w:cs="宋体"/>
                <w:b/>
                <w:bCs/>
                <w:color w:val="auto"/>
                <w:sz w:val="24"/>
                <w:highlight w:val="none"/>
              </w:rPr>
              <w:t>（3）指标建设</w:t>
            </w:r>
            <w:bookmarkEnd w:id="61"/>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整合“6+1”专项指标、“双百双新”产业项目指标、主要经济指标等指标。建设指标填报管理、指标导入导出、指标展示、指标对比分析等功能。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3</w:t>
            </w:r>
          </w:p>
        </w:tc>
        <w:tc>
          <w:tcPr>
            <w:tcW w:w="2461"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强首府监管云</w:t>
            </w:r>
          </w:p>
          <w:p>
            <w:pPr>
              <w:spacing w:line="400" w:lineRule="exact"/>
              <w:jc w:val="left"/>
              <w:rPr>
                <w:rFonts w:ascii="宋体" w:hAnsi="宋体" w:cs="宋体"/>
                <w:color w:val="auto"/>
                <w:sz w:val="24"/>
                <w:highlight w:val="none"/>
              </w:rPr>
            </w:pP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对强首府“366”重大项目、“双百双新”产业项目全过程、重大任务和重点工作、问题协调落实情况等工作监督管理需求，建设包括指令下达子系统、问题协调子系统、智能预警子系统、督导督办子系统、绩效评价子系统等。</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（1）指令下达子系统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上级部门可以运用即时通信，通过站内信、短信方式向下级部门发送工作指令。包括指令发送、指令接收、指令回复等功能。。</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（2）问题协调子系统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建立重大项目、重大任务和重点工作推进中难点问题的协调流程，包括问题上报、问题转办、问题回退等功能。</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（3）智能预警子系统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时监控强首府“6+1”专项工作中各业务过程进度情况。建立预警机制实现对项目进度、资金、重大任务和重点工作、指标任务、问题协调等智能预警。包括预项目进度预警、问题协调预警、任务推进预警、绩效评价预警、审批进度完成预警等功能。</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（4）督导督办子系统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跟踪项目进度、资金、重大任务和重点工作、指标任务、问题解决落实情况等进度情况，可以对相关单位发送督办函、督办件等进行督导督办。</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（5）绩效评价子系统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评价分析“366”重大项目指标完成情况、重大任务和重点工作阶段性工作完成情况，实现对责任单位绩效评价。包括考核指标制定、考核任务下发、绩效考核上报、自动绩效评价、评价结果查询等功能。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4</w:t>
            </w:r>
          </w:p>
        </w:tc>
        <w:tc>
          <w:tcPr>
            <w:tcW w:w="2461" w:type="dxa"/>
            <w:vAlign w:val="center"/>
          </w:tcPr>
          <w:p>
            <w:pPr>
              <w:numPr>
                <w:ilvl w:val="255"/>
                <w:numId w:val="0"/>
              </w:numPr>
              <w:spacing w:line="400" w:lineRule="exact"/>
              <w:jc w:val="left"/>
              <w:rPr>
                <w:rFonts w:ascii="宋体" w:hAnsi="宋体" w:cs="宋体"/>
                <w:color w:val="auto"/>
                <w:sz w:val="24"/>
                <w:highlight w:val="none"/>
              </w:rPr>
            </w:pPr>
            <w:r>
              <w:rPr>
                <w:rFonts w:hint="eastAsia" w:ascii="宋体" w:hAnsi="宋体" w:cs="宋体"/>
                <w:color w:val="auto"/>
                <w:sz w:val="24"/>
                <w:highlight w:val="none"/>
              </w:rPr>
              <w:t>强首府项目服务云</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实现对“366”重大项目、“双百双新”产业项目全过程管理，升级建设城建计划管理分析支持系统，实现不同类型项目之间数据互通共享，包括系统首页、</w:t>
            </w:r>
            <w:bookmarkStart w:id="62" w:name="_Toc54368401"/>
            <w:r>
              <w:rPr>
                <w:rFonts w:hint="eastAsia" w:ascii="宋体" w:hAnsi="宋体" w:cs="宋体"/>
                <w:color w:val="auto"/>
                <w:sz w:val="24"/>
                <w:highlight w:val="none"/>
              </w:rPr>
              <w:t>强首府“6+1”专项工作衍生指标管理子系统</w:t>
            </w:r>
            <w:bookmarkEnd w:id="62"/>
            <w:r>
              <w:rPr>
                <w:rFonts w:hint="eastAsia" w:ascii="宋体" w:hAnsi="宋体" w:cs="宋体"/>
                <w:color w:val="auto"/>
                <w:sz w:val="24"/>
                <w:highlight w:val="none"/>
              </w:rPr>
              <w:t>、</w:t>
            </w:r>
            <w:bookmarkStart w:id="63" w:name="_Toc54368402"/>
            <w:r>
              <w:rPr>
                <w:rFonts w:hint="eastAsia" w:ascii="宋体" w:hAnsi="宋体" w:cs="宋体"/>
                <w:color w:val="auto"/>
                <w:sz w:val="24"/>
                <w:highlight w:val="none"/>
              </w:rPr>
              <w:t>强首府“6+1”任务事项管理子系统</w:t>
            </w:r>
            <w:bookmarkEnd w:id="63"/>
            <w:r>
              <w:rPr>
                <w:rFonts w:hint="eastAsia" w:ascii="宋体" w:hAnsi="宋体" w:cs="宋体"/>
                <w:color w:val="auto"/>
                <w:sz w:val="24"/>
                <w:highlight w:val="none"/>
              </w:rPr>
              <w:t>、</w:t>
            </w:r>
            <w:bookmarkStart w:id="64" w:name="_Toc54368403"/>
            <w:r>
              <w:rPr>
                <w:rFonts w:hint="eastAsia" w:ascii="宋体" w:hAnsi="宋体" w:cs="宋体"/>
                <w:color w:val="auto"/>
                <w:sz w:val="24"/>
                <w:highlight w:val="none"/>
              </w:rPr>
              <w:t>项目全生命周期管理子系统</w:t>
            </w:r>
            <w:bookmarkEnd w:id="64"/>
            <w:r>
              <w:rPr>
                <w:rFonts w:hint="eastAsia" w:ascii="宋体" w:hAnsi="宋体" w:cs="宋体"/>
                <w:color w:val="auto"/>
                <w:sz w:val="24"/>
                <w:highlight w:val="none"/>
              </w:rPr>
              <w:t>、</w:t>
            </w:r>
            <w:bookmarkStart w:id="65" w:name="_Toc54368404"/>
            <w:r>
              <w:rPr>
                <w:rFonts w:hint="eastAsia" w:ascii="宋体" w:hAnsi="宋体" w:cs="宋体"/>
                <w:color w:val="auto"/>
                <w:sz w:val="24"/>
                <w:highlight w:val="none"/>
              </w:rPr>
              <w:t>城建计划管理分析支持系统升级</w:t>
            </w:r>
            <w:bookmarkEnd w:id="65"/>
            <w:r>
              <w:rPr>
                <w:rFonts w:hint="eastAsia" w:ascii="宋体" w:hAnsi="宋体" w:cs="宋体"/>
                <w:color w:val="auto"/>
                <w:sz w:val="24"/>
                <w:highlight w:val="none"/>
              </w:rPr>
              <w:t>。</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（1）系统首页</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强首府总体信息的展示页面，包括项目清单、地图展示、消息任务、可视化展示和个人中心等内容。</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（2）强首府“6+1”专项工作衍生指标管理子系统</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汇集各年度强首府“6+1”专项工作主要基础指标数据和衍生指标，实现指标数据统一管理。</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（3）强首府“6+1”任务事项管理子系统</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汇集各年度强首府“6+1”专项工作重大任务数据、重点工作数据、下放事项数据，实现任务事项数据的统一管理。包括重大任务管理、重点工作管理、下放事项等功能。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（4）项目全生命周期管理子系统</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现对强首府“366”重大项目、“双百双新”产业项目前期审批、建设、竣工验收等全生命周期过程的管理。包括项目基础信息管理、项目文档信息管理、“366”重大项目推进路线图管理、“双百双新”产业项目推进路线图管理、项目进度管理、监测预警、标签管理、填报配置管理、全生命周期信息展示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（5）城建计划管理分析支持系统升级</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升级完善现有的南宁市城建计划管理分析支持系统，包括数据资源扩展、城建计划编制分析升级、影响预警分析、项目巡查追踪管理升级、计划实施评估升级、时间交叉分析、空间叠加分析、扩展原数据库、界面优化升级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5</w:t>
            </w:r>
          </w:p>
        </w:tc>
        <w:tc>
          <w:tcPr>
            <w:tcW w:w="2461" w:type="dxa"/>
            <w:vAlign w:val="center"/>
          </w:tcPr>
          <w:p>
            <w:pPr>
              <w:numPr>
                <w:ilvl w:val="255"/>
                <w:numId w:val="0"/>
              </w:numPr>
              <w:spacing w:line="400" w:lineRule="exact"/>
              <w:jc w:val="left"/>
              <w:rPr>
                <w:rFonts w:ascii="宋体" w:hAnsi="宋体" w:cs="宋体"/>
                <w:color w:val="auto"/>
                <w:sz w:val="24"/>
                <w:highlight w:val="none"/>
              </w:rPr>
            </w:pPr>
            <w:r>
              <w:rPr>
                <w:rFonts w:hint="eastAsia" w:ascii="宋体" w:hAnsi="宋体" w:cs="宋体"/>
                <w:color w:val="auto"/>
                <w:sz w:val="24"/>
                <w:highlight w:val="none"/>
              </w:rPr>
              <w:t>强首府基础服务云</w:t>
            </w:r>
          </w:p>
          <w:p>
            <w:pPr>
              <w:spacing w:line="400" w:lineRule="exact"/>
              <w:jc w:val="left"/>
              <w:rPr>
                <w:rFonts w:ascii="宋体" w:hAnsi="宋体" w:cs="宋体"/>
                <w:color w:val="auto"/>
                <w:sz w:val="24"/>
                <w:highlight w:val="none"/>
              </w:rPr>
            </w:pP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为强首府战略作战云提供资源发布、消息管理、基础信息管理等基础服务，包括资源发布子系统、消息管理子系统、基础功能子系统。</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（1）资源发布子系统</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管理发布强首府战略相关政策、文件、资讯，包括图文、新闻等内容的发布、更新、删除等功能。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（2）消息管理子系统</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为用户提供向指定单个或多个用户发送即时消息，督促建设单位、责任单位加强项目建设管理和重点任务的落实。包括站内信、短信等功能。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（3）基础信息子系统</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提供项目的基础设置和操作。包括组织机构管理、用户及权限管理、角色管理、系统参数设置、系统日志管理等功能。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6</w:t>
            </w:r>
          </w:p>
        </w:tc>
        <w:tc>
          <w:tcPr>
            <w:tcW w:w="2461"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日常事务管理系统</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利用信息技术解决日常办公问题，实现内部文件、行政事务管理。包括短信管理、电子签章、文件管理、个人事务、政策文件查询等功能。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（1）短信管理</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为文件交换、数据中心等提供短信即时提醒。包括短信群发、发送状态查询，常用短语库，短信发送日志、短信内容分类保存及查询统计等功能。</w:t>
            </w:r>
          </w:p>
          <w:p>
            <w:pPr>
              <w:numPr>
                <w:ilvl w:val="0"/>
                <w:numId w:val="1"/>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电子签章</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利用南宁市电子签章系统，实现相关发文的电子签章。</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（3）文件管理</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管理日常工作产生的各类文件，包含文件流转、文件编辑、收文管理、发文管理、督办管理、立卷归档等功能。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（4）个人事务</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管理工作中产生的个人事务，展示个人事务安排信息，包括日程安排、个人事务平台等功能。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（5）政策文件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可按照时间查询政策文件，查看序号、类型、标题、年度、文号、发布时间等内容。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7</w:t>
            </w:r>
          </w:p>
        </w:tc>
        <w:tc>
          <w:tcPr>
            <w:tcW w:w="2461"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强首府战略大脑</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依托强首府战略大数据资源中心，形成可视化业务数据仓库，为数据可视化分析和展示提供数据支撑。包括强首府可视化展示、强首府运行分析。</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（1）强首府可视化展示</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基于大屏显示系统硬件设施按照实际业务需要等进行可视化展示。包括强首府总体大盘、“双百双新”产业项目一张图展示、强工业一张图展示、强创新一张图展示、强金融一张图展示、强枢纽一张图展示、强开放一张图展示、强治理一张图展示、强五象新区一张图展示、主要经济指标一张图展示等内容。</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1）强首府总体大盘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展示强首府可视化展示总览图、强首府的运行情况、总体情况展示、各专项小组情况展示，实时监控、历史回顾、展示强首府总体运行态势。</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2）“双百双新”产业项目一张图展示</w:t>
            </w:r>
          </w:p>
          <w:p>
            <w:pPr>
              <w:spacing w:line="400" w:lineRule="exact"/>
              <w:ind w:firstLine="480" w:firstLineChars="200"/>
              <w:rPr>
                <w:rFonts w:ascii="宋体" w:hAnsi="宋体" w:cs="宋体"/>
                <w:color w:val="auto"/>
                <w:highlight w:val="none"/>
              </w:rPr>
            </w:pPr>
            <w:r>
              <w:rPr>
                <w:rFonts w:hint="eastAsia" w:ascii="宋体" w:hAnsi="宋体" w:cs="宋体"/>
                <w:color w:val="auto"/>
                <w:sz w:val="24"/>
                <w:highlight w:val="none"/>
              </w:rPr>
              <w:t>展示“双百双新”产业项目总数、策划项目总数、前期项目总数、新开工项目总数、续建项目总数、投产项目总数、已完成项目总数、未完成项目总数、进度滞后项目数、项目总产值等内容，实时监控、历史回顾、展示双百双新”产业项目近期、远期运行趋势。</w:t>
            </w:r>
          </w:p>
          <w:p>
            <w:pPr>
              <w:pStyle w:val="18"/>
              <w:ind w:firstLine="480" w:firstLineChars="200"/>
              <w:rPr>
                <w:rFonts w:ascii="宋体" w:hAnsi="宋体" w:cs="宋体"/>
                <w:color w:val="auto"/>
                <w:highlight w:val="none"/>
              </w:rPr>
            </w:pPr>
            <w:r>
              <w:rPr>
                <w:rFonts w:hint="eastAsia" w:ascii="宋体" w:hAnsi="宋体" w:cs="宋体"/>
                <w:color w:val="auto"/>
                <w:highlight w:val="none"/>
              </w:rPr>
              <w:t>3）“6+1”专项小组一张图展示</w:t>
            </w:r>
          </w:p>
          <w:p>
            <w:pPr>
              <w:pStyle w:val="18"/>
              <w:numPr>
                <w:ilvl w:val="255"/>
                <w:numId w:val="0"/>
              </w:numPr>
              <w:ind w:firstLine="480" w:firstLineChars="200"/>
              <w:rPr>
                <w:rFonts w:ascii="宋体" w:hAnsi="宋体" w:cs="宋体"/>
                <w:color w:val="auto"/>
                <w:highlight w:val="none"/>
              </w:rPr>
            </w:pPr>
            <w:r>
              <w:rPr>
                <w:rFonts w:hint="eastAsia" w:ascii="宋体" w:hAnsi="宋体" w:cs="宋体"/>
                <w:color w:val="auto"/>
                <w:highlight w:val="none"/>
              </w:rPr>
              <w:t>一张图展示强工业、强创新、强金融、强枢纽、强开放、强治理、强五象新区的运行成果，实时监控、历史回顾、展示运行情况。</w:t>
            </w:r>
          </w:p>
          <w:p>
            <w:pPr>
              <w:pStyle w:val="18"/>
              <w:ind w:firstLine="480" w:firstLineChars="200"/>
              <w:rPr>
                <w:rFonts w:ascii="宋体" w:hAnsi="宋体" w:cs="宋体"/>
                <w:color w:val="auto"/>
                <w:highlight w:val="none"/>
              </w:rPr>
            </w:pPr>
            <w:r>
              <w:rPr>
                <w:rFonts w:hint="eastAsia" w:ascii="宋体" w:hAnsi="宋体" w:cs="宋体"/>
                <w:color w:val="auto"/>
                <w:highlight w:val="none"/>
              </w:rPr>
              <w:t>4)主要经济指标一张图展示</w:t>
            </w:r>
          </w:p>
          <w:p>
            <w:pPr>
              <w:pStyle w:val="18"/>
              <w:numPr>
                <w:ilvl w:val="255"/>
                <w:numId w:val="0"/>
              </w:numPr>
              <w:ind w:firstLine="480" w:firstLineChars="200"/>
              <w:rPr>
                <w:rFonts w:ascii="宋体" w:hAnsi="宋体" w:cs="宋体"/>
                <w:color w:val="auto"/>
                <w:highlight w:val="none"/>
              </w:rPr>
            </w:pPr>
            <w:r>
              <w:rPr>
                <w:rFonts w:hint="eastAsia" w:ascii="宋体" w:hAnsi="宋体" w:cs="宋体"/>
                <w:color w:val="auto"/>
                <w:highlight w:val="none"/>
              </w:rPr>
              <w:t>展示</w:t>
            </w:r>
            <w:r>
              <w:rPr>
                <w:rFonts w:hint="eastAsia" w:ascii="宋体" w:hAnsi="宋体" w:cs="宋体"/>
                <w:color w:val="auto"/>
                <w:sz w:val="24"/>
                <w:highlight w:val="none"/>
              </w:rPr>
              <w:t>南宁市</w:t>
            </w:r>
            <w:r>
              <w:rPr>
                <w:rFonts w:hint="eastAsia" w:ascii="宋体" w:hAnsi="宋体" w:cs="宋体"/>
                <w:color w:val="auto"/>
                <w:sz w:val="24"/>
                <w:highlight w:val="none"/>
                <w:lang w:eastAsia="zh-CN"/>
              </w:rPr>
              <w:t>市级及各</w:t>
            </w:r>
            <w:r>
              <w:rPr>
                <w:rFonts w:hint="eastAsia" w:ascii="宋体" w:hAnsi="宋体" w:cs="宋体"/>
                <w:color w:val="auto"/>
                <w:sz w:val="24"/>
                <w:highlight w:val="none"/>
              </w:rPr>
              <w:t>县</w:t>
            </w:r>
            <w:r>
              <w:rPr>
                <w:rFonts w:hint="eastAsia" w:ascii="宋体" w:hAnsi="宋体" w:cs="宋体"/>
                <w:color w:val="auto"/>
                <w:sz w:val="24"/>
                <w:highlight w:val="none"/>
                <w:lang w:eastAsia="zh-CN"/>
              </w:rPr>
              <w:t>（</w:t>
            </w:r>
            <w:r>
              <w:rPr>
                <w:rFonts w:hint="eastAsia" w:ascii="宋体" w:hAnsi="宋体" w:cs="宋体"/>
                <w:color w:val="auto"/>
                <w:sz w:val="24"/>
                <w:highlight w:val="none"/>
              </w:rPr>
              <w:t>区</w:t>
            </w:r>
            <w:r>
              <w:rPr>
                <w:rFonts w:hint="eastAsia" w:ascii="宋体" w:hAnsi="宋体" w:cs="宋体"/>
                <w:color w:val="auto"/>
                <w:sz w:val="24"/>
                <w:highlight w:val="none"/>
                <w:lang w:eastAsia="zh-CN"/>
              </w:rPr>
              <w:t>）级主要</w:t>
            </w:r>
            <w:r>
              <w:rPr>
                <w:rFonts w:hint="eastAsia" w:ascii="宋体" w:hAnsi="宋体" w:cs="宋体"/>
                <w:color w:val="auto"/>
                <w:sz w:val="24"/>
                <w:highlight w:val="none"/>
              </w:rPr>
              <w:t>经济指标和全国27个省会城市</w:t>
            </w:r>
            <w:r>
              <w:rPr>
                <w:rFonts w:hint="eastAsia" w:ascii="宋体" w:hAnsi="宋体" w:cs="宋体"/>
                <w:color w:val="auto"/>
                <w:sz w:val="24"/>
                <w:highlight w:val="none"/>
                <w:lang w:eastAsia="zh-CN"/>
              </w:rPr>
              <w:t>（不含直辖市和特别行政区）主要</w:t>
            </w:r>
            <w:r>
              <w:rPr>
                <w:rFonts w:hint="eastAsia" w:ascii="宋体" w:hAnsi="宋体" w:cs="宋体"/>
                <w:color w:val="auto"/>
                <w:sz w:val="24"/>
                <w:highlight w:val="none"/>
              </w:rPr>
              <w:t>经济指标数据</w:t>
            </w:r>
            <w:r>
              <w:rPr>
                <w:rFonts w:hint="eastAsia" w:ascii="宋体" w:hAnsi="宋体" w:cs="宋体"/>
                <w:color w:val="auto"/>
                <w:sz w:val="24"/>
                <w:highlight w:val="none"/>
                <w:lang w:eastAsia="zh-CN"/>
              </w:rPr>
              <w:t>内容</w:t>
            </w:r>
            <w:r>
              <w:rPr>
                <w:rFonts w:hint="eastAsia" w:ascii="宋体" w:hAnsi="宋体" w:cs="宋体"/>
                <w:color w:val="auto"/>
                <w:sz w:val="24"/>
                <w:highlight w:val="none"/>
              </w:rPr>
              <w:t>。</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（2）强首府运行分析</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实际运行分析需求，借助柱状图、折线图、饼图、散点图、雷达图、热力图等表现方式，在PC端、移动端实现对强首府的多维度运行分析，包括“双百双新”产业项目运行分析、强工业运行分析、强创新运行分析、强金融运行分析、强枢纽运行分析、强开放运行分析、强治理运行分析、强五象新区运行分析、主要经济指标运行分析等内容。实时监控、历史回顾、推演主要经济指标运行趋势。</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1)“双百双新”产业项目运行分析</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图表样式分析“双百双新”产业项目各类型项目数量、资金情况。</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2)“6+1”专项小组运行分析</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多维图表样式分析强工业、强创新、强金融、强枢纽、强开放、强治理、强五象新区的运行情况。</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3）主要经济指标运行分析</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多维图表样式分析</w:t>
            </w:r>
            <w:r>
              <w:rPr>
                <w:rFonts w:hint="eastAsia" w:ascii="宋体" w:hAnsi="宋体" w:cs="宋体"/>
                <w:color w:val="auto"/>
                <w:sz w:val="24"/>
                <w:highlight w:val="none"/>
              </w:rPr>
              <w:t>南宁市</w:t>
            </w:r>
            <w:r>
              <w:rPr>
                <w:rFonts w:hint="eastAsia" w:ascii="宋体" w:hAnsi="宋体" w:cs="宋体"/>
                <w:color w:val="auto"/>
                <w:sz w:val="24"/>
                <w:highlight w:val="none"/>
                <w:lang w:eastAsia="zh-CN"/>
              </w:rPr>
              <w:t>市级及各</w:t>
            </w:r>
            <w:r>
              <w:rPr>
                <w:rFonts w:hint="eastAsia" w:ascii="宋体" w:hAnsi="宋体" w:cs="宋体"/>
                <w:color w:val="auto"/>
                <w:sz w:val="24"/>
                <w:highlight w:val="none"/>
              </w:rPr>
              <w:t>县</w:t>
            </w:r>
            <w:r>
              <w:rPr>
                <w:rFonts w:hint="eastAsia" w:ascii="宋体" w:hAnsi="宋体" w:cs="宋体"/>
                <w:color w:val="auto"/>
                <w:sz w:val="24"/>
                <w:highlight w:val="none"/>
                <w:lang w:eastAsia="zh-CN"/>
              </w:rPr>
              <w:t>（</w:t>
            </w:r>
            <w:r>
              <w:rPr>
                <w:rFonts w:hint="eastAsia" w:ascii="宋体" w:hAnsi="宋体" w:cs="宋体"/>
                <w:color w:val="auto"/>
                <w:sz w:val="24"/>
                <w:highlight w:val="none"/>
              </w:rPr>
              <w:t>区</w:t>
            </w:r>
            <w:r>
              <w:rPr>
                <w:rFonts w:hint="eastAsia" w:ascii="宋体" w:hAnsi="宋体" w:cs="宋体"/>
                <w:color w:val="auto"/>
                <w:sz w:val="24"/>
                <w:highlight w:val="none"/>
                <w:lang w:eastAsia="zh-CN"/>
              </w:rPr>
              <w:t>）级主要</w:t>
            </w:r>
            <w:r>
              <w:rPr>
                <w:rFonts w:hint="eastAsia" w:ascii="宋体" w:hAnsi="宋体" w:cs="宋体"/>
                <w:color w:val="auto"/>
                <w:sz w:val="24"/>
                <w:highlight w:val="none"/>
              </w:rPr>
              <w:t>经济指标和全国27个省会城市</w:t>
            </w:r>
            <w:r>
              <w:rPr>
                <w:rFonts w:hint="eastAsia" w:ascii="宋体" w:hAnsi="宋体" w:cs="宋体"/>
                <w:color w:val="auto"/>
                <w:sz w:val="24"/>
                <w:highlight w:val="none"/>
                <w:lang w:eastAsia="zh-CN"/>
              </w:rPr>
              <w:t>（不含直辖市和特别行政区）主要</w:t>
            </w:r>
            <w:r>
              <w:rPr>
                <w:rFonts w:hint="eastAsia" w:ascii="宋体" w:hAnsi="宋体" w:cs="宋体"/>
                <w:color w:val="auto"/>
                <w:sz w:val="24"/>
                <w:highlight w:val="none"/>
              </w:rPr>
              <w:t>经济指标数据</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8</w:t>
            </w:r>
          </w:p>
        </w:tc>
        <w:tc>
          <w:tcPr>
            <w:tcW w:w="2461"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强首府战略作战云APP</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通过移动端实现全面落实强首府战略各项工作的便捷式管理，包括强首府指挥部模块、日常事务管理模块等，支持IOS、Android系统。</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（1）强首府指挥模块</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包括首页、指挥部（领导小组）、指令任务、问题协调、项目概况、项目一张图、重点任务、重点工作、下放事项、项目进度、督办、红黑榜、视频会议、即时通讯、消息中心、政策支持、工作快讯、统计报表、消息提醒等模块。</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（2）日常事务管理模块</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包括工作流、短信系统、文件管理、个人事务、政策文件查询等功能。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9</w:t>
            </w:r>
          </w:p>
        </w:tc>
        <w:tc>
          <w:tcPr>
            <w:tcW w:w="2461" w:type="dxa"/>
            <w:vAlign w:val="center"/>
          </w:tcPr>
          <w:p>
            <w:pPr>
              <w:numPr>
                <w:ilvl w:val="255"/>
                <w:numId w:val="0"/>
              </w:numPr>
              <w:spacing w:line="400" w:lineRule="exact"/>
              <w:jc w:val="left"/>
              <w:rPr>
                <w:rFonts w:ascii="宋体" w:hAnsi="宋体" w:cs="宋体"/>
                <w:color w:val="auto"/>
                <w:sz w:val="24"/>
                <w:highlight w:val="none"/>
              </w:rPr>
            </w:pPr>
            <w:r>
              <w:rPr>
                <w:rFonts w:hint="eastAsia" w:ascii="宋体" w:hAnsi="宋体" w:cs="宋体"/>
                <w:color w:val="auto"/>
                <w:sz w:val="24"/>
                <w:highlight w:val="none"/>
              </w:rPr>
              <w:t>视频会议系统</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对接PC端、移动端建设视频会议系统，依托内部通讯录，包括发起会议、加入会议、会议控制、会议交互等功能。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（1）发起会议</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通讯录内的用户均可直接通过该模块发起会议，也可以直接召集项目小组成员进行视频会议。</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（2）加入会议</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参会人员通过该模块输入会议口令即可进入会议。</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（3）会议控制</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实现会议中使用控制以及会议辅助，包括会议管理、会议管控、会议录制、带宽适应等功能。</w:t>
            </w:r>
          </w:p>
          <w:p>
            <w:pPr>
              <w:numPr>
                <w:ilvl w:val="255"/>
                <w:numId w:val="0"/>
              </w:num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（4）会议交互</w:t>
            </w:r>
          </w:p>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实现会议过程中内容交互，包括文件共享、协同浏览、媒体播放、文字交流、文件传输等功能。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33"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10</w:t>
            </w:r>
          </w:p>
        </w:tc>
        <w:tc>
          <w:tcPr>
            <w:tcW w:w="2461" w:type="dxa"/>
            <w:vAlign w:val="center"/>
          </w:tcPr>
          <w:p>
            <w:pPr>
              <w:numPr>
                <w:ilvl w:val="255"/>
                <w:numId w:val="0"/>
              </w:numPr>
              <w:spacing w:line="400" w:lineRule="exact"/>
              <w:jc w:val="left"/>
              <w:rPr>
                <w:rFonts w:ascii="宋体" w:hAnsi="宋体" w:cs="宋体"/>
                <w:color w:val="auto"/>
                <w:sz w:val="24"/>
                <w:highlight w:val="none"/>
              </w:rPr>
            </w:pPr>
            <w:r>
              <w:rPr>
                <w:rFonts w:hint="eastAsia" w:ascii="宋体" w:hAnsi="宋体" w:cs="宋体"/>
                <w:color w:val="auto"/>
                <w:sz w:val="24"/>
                <w:highlight w:val="none"/>
              </w:rPr>
              <w:t>应用支撑平台</w:t>
            </w:r>
          </w:p>
        </w:tc>
        <w:tc>
          <w:tcPr>
            <w:tcW w:w="819" w:type="dxa"/>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1项</w:t>
            </w:r>
          </w:p>
        </w:tc>
        <w:tc>
          <w:tcPr>
            <w:tcW w:w="5939" w:type="dxa"/>
            <w:vAlign w:val="center"/>
          </w:tcPr>
          <w:p>
            <w:pPr>
              <w:numPr>
                <w:ilvl w:val="255"/>
                <w:numId w:val="0"/>
              </w:num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依托南宁市电子政务云平台提供的数据库、应用中间件、服务器操作系统等基础软件建设，并根据项目实际建设可视化报表引擎、工作流引擎、统一身份认证等内容。</w:t>
            </w:r>
          </w:p>
          <w:p>
            <w:pPr>
              <w:spacing w:line="400" w:lineRule="exact"/>
              <w:rPr>
                <w:rFonts w:ascii="宋体" w:hAnsi="宋体" w:cs="宋体"/>
                <w:b/>
                <w:bCs/>
                <w:color w:val="auto"/>
                <w:sz w:val="24"/>
                <w:highlight w:val="none"/>
              </w:rPr>
            </w:pPr>
            <w:bookmarkStart w:id="66" w:name="_Toc56526772"/>
            <w:r>
              <w:rPr>
                <w:rFonts w:hint="eastAsia" w:ascii="宋体" w:hAnsi="宋体" w:cs="宋体"/>
                <w:b/>
                <w:bCs/>
                <w:color w:val="auto"/>
                <w:sz w:val="24"/>
                <w:highlight w:val="none"/>
              </w:rPr>
              <w:t>（1）可视化报表引擎</w:t>
            </w:r>
            <w:bookmarkEnd w:id="6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将经过加工后的数据转换成知识、分析和结论，辅助数据管理提高数据质量。辅助强首府战略作战云项目的运行监控，包含数据源管理、数据预处理、自助探索式分析、系统运维等功能。</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（2）工作流引擎</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通过设置应用表单间的信息关联，实现日常工作过程中上下级之间、部门岗位之间、工作任务之间、流程步骤之间的信息关联，包含数据库应用定制、流程定制，实现文件处理、问题协调、督导督办。</w:t>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（3）统一身份认证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集中管理本项目用户，面向用户提供统一身份认证服务，基于统一身份认证实现用户单点登录。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9752" w:type="dxa"/>
            <w:gridSpan w:val="4"/>
            <w:vAlign w:val="center"/>
          </w:tcPr>
          <w:p>
            <w:pPr>
              <w:spacing w:line="400" w:lineRule="exact"/>
              <w:rPr>
                <w:rFonts w:ascii="宋体" w:hAnsi="宋体" w:cs="宋体"/>
                <w:color w:val="auto"/>
                <w:sz w:val="24"/>
                <w:szCs w:val="24"/>
                <w:highlight w:val="none"/>
              </w:rPr>
            </w:pPr>
            <w:r>
              <w:rPr>
                <w:rFonts w:hint="eastAsia" w:ascii="宋体" w:hAnsi="宋体" w:cs="宋体"/>
                <w:color w:val="auto"/>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94" w:type="dxa"/>
            <w:gridSpan w:val="2"/>
            <w:vAlign w:val="center"/>
          </w:tcPr>
          <w:p>
            <w:pPr>
              <w:spacing w:line="400" w:lineRule="exact"/>
              <w:jc w:val="left"/>
              <w:rPr>
                <w:rFonts w:ascii="宋体" w:hAnsi="宋体" w:cs="宋体"/>
                <w:color w:val="auto"/>
                <w:sz w:val="24"/>
                <w:szCs w:val="24"/>
                <w:highlight w:val="none"/>
              </w:rPr>
            </w:pPr>
            <w:r>
              <w:rPr>
                <w:rFonts w:hint="eastAsia" w:ascii="宋体" w:hAnsi="宋体" w:cs="宋体"/>
                <w:color w:val="auto"/>
                <w:sz w:val="24"/>
                <w:highlight w:val="none"/>
              </w:rPr>
              <w:t>投标报价要求</w:t>
            </w:r>
          </w:p>
        </w:tc>
        <w:tc>
          <w:tcPr>
            <w:tcW w:w="6758" w:type="dxa"/>
            <w:gridSpan w:val="2"/>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投标报价为招标人指定地点的现场交货价，包括：</w:t>
            </w:r>
          </w:p>
          <w:p>
            <w:pPr>
              <w:spacing w:line="400" w:lineRule="exact"/>
              <w:rPr>
                <w:rFonts w:ascii="宋体" w:hAnsi="宋体" w:cs="宋体"/>
                <w:color w:val="auto"/>
                <w:sz w:val="24"/>
                <w:highlight w:val="none"/>
              </w:rPr>
            </w:pPr>
            <w:r>
              <w:rPr>
                <w:rFonts w:hint="eastAsia" w:ascii="宋体" w:hAnsi="宋体" w:cs="宋体"/>
                <w:color w:val="auto"/>
                <w:sz w:val="24"/>
                <w:highlight w:val="none"/>
              </w:rPr>
              <w:t>1、服务的价格；</w:t>
            </w:r>
          </w:p>
          <w:p>
            <w:pPr>
              <w:spacing w:line="400" w:lineRule="exact"/>
              <w:rPr>
                <w:rFonts w:ascii="宋体" w:hAnsi="宋体" w:cs="宋体"/>
                <w:color w:val="auto"/>
                <w:sz w:val="24"/>
                <w:highlight w:val="none"/>
              </w:rPr>
            </w:pPr>
            <w:r>
              <w:rPr>
                <w:rFonts w:hint="eastAsia" w:ascii="宋体" w:hAnsi="宋体" w:cs="宋体"/>
                <w:color w:val="auto"/>
                <w:sz w:val="24"/>
                <w:highlight w:val="none"/>
              </w:rPr>
              <w:t>2、其他费用（包括但不限于运输、装卸、软件开发、软件部署、调试、培训、技术支持、售后服务、检测、更新升级等费用）；</w:t>
            </w:r>
          </w:p>
          <w:p>
            <w:pPr>
              <w:spacing w:line="400" w:lineRule="exact"/>
              <w:rPr>
                <w:rFonts w:ascii="宋体" w:hAnsi="宋体" w:cs="宋体"/>
                <w:color w:val="auto"/>
                <w:sz w:val="24"/>
                <w:highlight w:val="none"/>
              </w:rPr>
            </w:pPr>
            <w:r>
              <w:rPr>
                <w:rFonts w:hint="eastAsia" w:ascii="宋体" w:hAnsi="宋体" w:cs="宋体"/>
                <w:color w:val="auto"/>
                <w:sz w:val="24"/>
                <w:highlight w:val="none"/>
              </w:rPr>
              <w:t>3、必要的保险费用和各项税费；</w:t>
            </w:r>
          </w:p>
          <w:p>
            <w:pPr>
              <w:spacing w:line="400" w:lineRule="exact"/>
              <w:rPr>
                <w:rFonts w:ascii="宋体" w:hAnsi="宋体" w:cs="宋体"/>
                <w:color w:val="auto"/>
                <w:sz w:val="24"/>
                <w:highlight w:val="none"/>
              </w:rPr>
            </w:pPr>
            <w:r>
              <w:rPr>
                <w:rFonts w:hint="eastAsia" w:ascii="宋体" w:hAnsi="宋体" w:cs="宋体"/>
                <w:color w:val="auto"/>
                <w:sz w:val="24"/>
                <w:highlight w:val="none"/>
              </w:rPr>
              <w:t>4、安装费用（包括但不限于各类软件、系统等的安装、集成、试运行等费用）；</w:t>
            </w:r>
          </w:p>
          <w:p>
            <w:pPr>
              <w:spacing w:line="400" w:lineRule="exact"/>
              <w:rPr>
                <w:rFonts w:ascii="宋体" w:hAnsi="宋体" w:cs="宋体"/>
                <w:color w:val="auto"/>
                <w:sz w:val="24"/>
                <w:highlight w:val="none"/>
              </w:rPr>
            </w:pPr>
            <w:r>
              <w:rPr>
                <w:rFonts w:hint="eastAsia" w:ascii="宋体" w:hAnsi="宋体" w:cs="宋体"/>
                <w:color w:val="auto"/>
                <w:sz w:val="24"/>
                <w:highlight w:val="none"/>
              </w:rPr>
              <w:t>5、培训费用（包括但不限于场地费、教材等）；</w:t>
            </w:r>
          </w:p>
          <w:p>
            <w:pPr>
              <w:spacing w:line="400" w:lineRule="exact"/>
              <w:rPr>
                <w:rFonts w:ascii="宋体" w:hAnsi="宋体" w:cs="宋体"/>
                <w:color w:val="auto"/>
                <w:sz w:val="24"/>
                <w:highlight w:val="none"/>
              </w:rPr>
            </w:pPr>
            <w:r>
              <w:rPr>
                <w:rFonts w:hint="eastAsia" w:ascii="宋体" w:hAnsi="宋体" w:cs="宋体"/>
                <w:color w:val="auto"/>
                <w:sz w:val="24"/>
                <w:highlight w:val="none"/>
              </w:rPr>
              <w:t>6、与各类相关系统对接的费用（含第三方接口费）；</w:t>
            </w:r>
          </w:p>
          <w:p>
            <w:pPr>
              <w:spacing w:line="400" w:lineRule="exact"/>
              <w:rPr>
                <w:rFonts w:ascii="宋体" w:hAnsi="宋体" w:cs="宋体"/>
                <w:color w:val="auto"/>
                <w:sz w:val="24"/>
                <w:highlight w:val="none"/>
              </w:rPr>
            </w:pPr>
            <w:r>
              <w:rPr>
                <w:rFonts w:hint="eastAsia" w:ascii="宋体" w:hAnsi="宋体" w:cs="宋体"/>
                <w:color w:val="auto"/>
                <w:sz w:val="24"/>
                <w:highlight w:val="none"/>
              </w:rPr>
              <w:t>7、项目验收各项费用。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jc w:val="center"/>
        </w:trPr>
        <w:tc>
          <w:tcPr>
            <w:tcW w:w="2994" w:type="dxa"/>
            <w:gridSpan w:val="2"/>
            <w:vAlign w:val="center"/>
          </w:tcPr>
          <w:p>
            <w:pPr>
              <w:spacing w:line="400" w:lineRule="exact"/>
              <w:jc w:val="left"/>
              <w:rPr>
                <w:rFonts w:ascii="宋体" w:hAnsi="宋体" w:cs="宋体"/>
                <w:color w:val="auto"/>
                <w:sz w:val="24"/>
                <w:szCs w:val="24"/>
                <w:highlight w:val="none"/>
              </w:rPr>
            </w:pPr>
            <w:r>
              <w:rPr>
                <w:rFonts w:hint="eastAsia" w:ascii="宋体" w:hAnsi="宋体" w:cs="宋体"/>
                <w:color w:val="auto"/>
                <w:sz w:val="24"/>
                <w:highlight w:val="none"/>
              </w:rPr>
              <w:t>▲合同签订期</w:t>
            </w:r>
          </w:p>
        </w:tc>
        <w:tc>
          <w:tcPr>
            <w:tcW w:w="6758" w:type="dxa"/>
            <w:gridSpan w:val="2"/>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自中标通知书发出之日起 7 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▲服务期限及服务地点</w:t>
            </w:r>
          </w:p>
        </w:tc>
        <w:tc>
          <w:tcPr>
            <w:tcW w:w="6758" w:type="dxa"/>
            <w:gridSpan w:val="2"/>
            <w:vAlign w:val="center"/>
          </w:tcPr>
          <w:p>
            <w:pPr>
              <w:rPr>
                <w:rFonts w:ascii="宋体" w:hAnsi="宋体" w:cs="宋体"/>
                <w:color w:val="auto"/>
                <w:sz w:val="24"/>
                <w:highlight w:val="none"/>
              </w:rPr>
            </w:pPr>
            <w:r>
              <w:rPr>
                <w:rFonts w:hint="eastAsia" w:ascii="宋体" w:hAnsi="宋体" w:cs="宋体"/>
                <w:color w:val="auto"/>
                <w:sz w:val="24"/>
                <w:highlight w:val="none"/>
              </w:rPr>
              <w:t>1、服务期限：自合同签订之日起1个月内完成本系统的深化设计方案、交付本项目各系统软件原型，8个月内完成系统全部软件开发、部署、上线试运行。10个月内全部交付，通过相关测试、完成验收。</w:t>
            </w:r>
          </w:p>
          <w:p>
            <w:pPr>
              <w:rPr>
                <w:rFonts w:ascii="宋体" w:hAnsi="宋体" w:cs="宋体"/>
                <w:color w:val="auto"/>
                <w:sz w:val="24"/>
                <w:highlight w:val="none"/>
              </w:rPr>
            </w:pPr>
            <w:r>
              <w:rPr>
                <w:rFonts w:hint="eastAsia" w:ascii="宋体" w:hAnsi="宋体" w:cs="宋体"/>
                <w:color w:val="auto"/>
                <w:sz w:val="24"/>
                <w:highlight w:val="none"/>
              </w:rPr>
              <w:t>2、服务地点：广西壮族自治区内采购人指定地点。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▲质保期</w:t>
            </w:r>
          </w:p>
        </w:tc>
        <w:tc>
          <w:tcPr>
            <w:tcW w:w="6758" w:type="dxa"/>
            <w:gridSpan w:val="2"/>
            <w:vAlign w:val="center"/>
          </w:tcPr>
          <w:p>
            <w:pPr>
              <w:rPr>
                <w:rFonts w:ascii="宋体" w:hAnsi="宋体" w:cs="宋体"/>
                <w:color w:val="auto"/>
                <w:sz w:val="24"/>
                <w:highlight w:val="none"/>
              </w:rPr>
            </w:pPr>
            <w:r>
              <w:rPr>
                <w:rFonts w:hint="eastAsia" w:ascii="宋体" w:hAnsi="宋体" w:cs="宋体"/>
                <w:color w:val="auto"/>
                <w:sz w:val="24"/>
                <w:highlight w:val="none"/>
              </w:rPr>
              <w:t>质量保证期1年（自最终验收合格之日起计）。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▲实施要求</w:t>
            </w:r>
          </w:p>
        </w:tc>
        <w:tc>
          <w:tcPr>
            <w:tcW w:w="6758" w:type="dxa"/>
            <w:gridSpan w:val="2"/>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1、投标人须在投标时提供详细的设计方案、实施方案，中标供应商应在此基础上结合对实际情况编制完整全面、符合实际、合理可行的项目深化设计方案，方案通过招标人审核通过后方可实施。</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中标供应商在提供服务前应提供实施过程的工作内容和方法、工作日程表等进度计划方案，并在征得招标人的认可和同意后，中标供应商应立即开始严格按照进度计划方案执行。进度计划方案至少应包括到项目组人员、软件开发进度安排、软件开发具体内容、系统测试、系统联调、系统试运行、验收、应用系统上线、技术培训等等内容。自实施工作开始，招标人有权指定本单位技术人员参与中标供应商的实施、诊断及解决遇到的问题等各项工作。</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中标供应商须安排不少于2人的技术团队开展需求调研、系统部署、标准规范编制、数据分析处理等工作，且投标人必须在投标时提供详细的项目技术团队实施人员花名册（项目实施人员必须为投标人在职人员，提供近半年连续3个月社保缴纳证明材料复印件）。中标供应商在实施项目的过程中所安排的实施人员身份及数量必须与投标时一致，招标人将现场核实。</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4、本项目软件开发应结合本项目建设需求进行系统开发。同时，提供的服务必须达到招标方关于功能性要求和易用性评价标准。各功能模块需达到招标方的要求，如达不到要求，需进行整改完善。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服务要求</w:t>
            </w:r>
          </w:p>
        </w:tc>
        <w:tc>
          <w:tcPr>
            <w:tcW w:w="6758" w:type="dxa"/>
            <w:gridSpan w:val="2"/>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▲1、质保期内提供1名维保人员（由招标人核实投标文件及服务人员身份）实行非驻场服务，须提供该人员在中标供应商单位近半年连续3个月社保缴纳证明材料，提供7×8小时本地化技术服务支持。</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2、中标供应商须承诺在重大节日、重大活动期间提供服务保障工作。</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3、处理问题响应时间：电话响应时间要求为7×24小时，接到服务问题报告后30分钟内响应处理。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培训要求</w:t>
            </w:r>
          </w:p>
        </w:tc>
        <w:tc>
          <w:tcPr>
            <w:tcW w:w="6758" w:type="dxa"/>
            <w:gridSpan w:val="2"/>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中标供应商须在项目终验前和质保期内分别对招标人及项目各使用单位免费开展至少1次集中现场培训（具体培训人数、时间及地点由招标人确定），并在项目实施和维护过程中根据实际工作要求对相关人员进行免费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验收要求</w:t>
            </w:r>
          </w:p>
        </w:tc>
        <w:tc>
          <w:tcPr>
            <w:tcW w:w="6758" w:type="dxa"/>
            <w:gridSpan w:val="2"/>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由采购人组织成立验收小组。验收包括系统通过试运行证实所有性能、功能指标达到要求以及非软件成果（全部有关产品需求调研报告、需求分析报告、需求规格说明书、系统设计说明书、数据库设计说明书、测试记录、测试分析报告、安装部署文档、数据字典、软件工具清单、需求及实施变更说明、测试方法、测试用例、测试数据及结论、系统维护说明、系统操作手册、用户手册、系统培训资料以及相关接口说明（包括第三方软件接入样例程序说明）等全部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94" w:type="dxa"/>
            <w:gridSpan w:val="2"/>
            <w:vAlign w:val="center"/>
          </w:tcPr>
          <w:p>
            <w:pPr>
              <w:spacing w:line="400" w:lineRule="exact"/>
              <w:jc w:val="left"/>
              <w:rPr>
                <w:rFonts w:ascii="宋体" w:hAnsi="宋体" w:cs="宋体"/>
                <w:color w:val="auto"/>
                <w:sz w:val="24"/>
                <w:szCs w:val="24"/>
                <w:highlight w:val="none"/>
              </w:rPr>
            </w:pPr>
            <w:r>
              <w:rPr>
                <w:rFonts w:hint="eastAsia" w:ascii="宋体" w:hAnsi="宋体" w:cs="宋体"/>
                <w:color w:val="auto"/>
                <w:sz w:val="24"/>
                <w:highlight w:val="none"/>
              </w:rPr>
              <w:t>▲付款条件</w:t>
            </w:r>
          </w:p>
        </w:tc>
        <w:tc>
          <w:tcPr>
            <w:tcW w:w="6758" w:type="dxa"/>
            <w:gridSpan w:val="2"/>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按实施进度分期付款，具体付款方式如下：1、合同签订之日起7个工作日内，招标人支付合同金额的40%；2、完成项目全部软件开发、部署、安装调试、上线试运行后15个工作日内支付合同金额的50%；3、项目通过相关测试、完成验收后15个工作日内支付合同金额的10%。中标供应商在每次收到款项后5个工作日内向招标人开具正式等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9752" w:type="dxa"/>
            <w:gridSpan w:val="4"/>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三、录制演示（如有）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录制演示</w:t>
            </w:r>
          </w:p>
        </w:tc>
        <w:tc>
          <w:tcPr>
            <w:tcW w:w="6758" w:type="dxa"/>
            <w:gridSpan w:val="2"/>
          </w:tcPr>
          <w:p>
            <w:pPr>
              <w:ind w:firstLine="480" w:firstLineChars="200"/>
              <w:rPr>
                <w:rFonts w:ascii="宋体" w:hAnsi="宋体" w:cs="宋体"/>
                <w:color w:val="auto"/>
                <w:sz w:val="24"/>
                <w:highlight w:val="none"/>
              </w:rPr>
            </w:pPr>
            <w:r>
              <w:rPr>
                <w:rFonts w:hint="eastAsia" w:ascii="宋体" w:hAnsi="宋体" w:cs="宋体"/>
                <w:color w:val="auto"/>
                <w:sz w:val="24"/>
                <w:highlight w:val="none"/>
              </w:rPr>
              <w:t>根据《南宁市机关事务管理局关于疫情防控期间恢复全市公共资源现场交易活动的通知》（南机事函〔2020〕25号）文件精神，疫情防控期间，按照“不见面、少接触”的原则，投标人不参加现场竞标活动，系统演示将通过录制方式进行，录制演示时间应小于</w:t>
            </w:r>
            <w:r>
              <w:rPr>
                <w:rFonts w:hint="eastAsia" w:ascii="宋体" w:hAnsi="宋体" w:cs="宋体"/>
                <w:b/>
                <w:bCs/>
                <w:color w:val="auto"/>
                <w:sz w:val="24"/>
                <w:highlight w:val="none"/>
              </w:rPr>
              <w:t>20</w:t>
            </w:r>
            <w:r>
              <w:rPr>
                <w:rFonts w:hint="eastAsia" w:ascii="宋体" w:hAnsi="宋体" w:cs="宋体"/>
                <w:color w:val="auto"/>
                <w:sz w:val="24"/>
                <w:highlight w:val="none"/>
              </w:rPr>
              <w:t>分钟，如“演示录制声像视频”演示及讲解内容与投标文件响应不同，以“演示录制声像视频”演示及讲解内容为准，评标委员会通过播放观看“演示录制声像视频”进行评分。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9752" w:type="dxa"/>
            <w:gridSpan w:val="4"/>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四、采购人对项目的特殊要求及说明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2994" w:type="dxa"/>
            <w:gridSpan w:val="2"/>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特殊要求及说明</w:t>
            </w:r>
          </w:p>
        </w:tc>
        <w:tc>
          <w:tcPr>
            <w:tcW w:w="6758" w:type="dxa"/>
            <w:gridSpan w:val="2"/>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1、中标供应商须接受和配合相关部门对本项目的监管；</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2、安全与保密问题：</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①中标供应商对可能出现的安全问题需提出详细的解决方案和具体的措施，不允许通过设置“后门”实现服务。</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②中标供应商应无条件接受招标人的保密约定，包括在合同期结束后承诺保密义务，并承担相应的涉密责任，未经许可不得对外泄露用户个人信息等机密信息。</w:t>
            </w:r>
          </w:p>
        </w:tc>
      </w:tr>
    </w:tbl>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18"/>
        <w:rPr>
          <w:rFonts w:ascii="宋体"/>
          <w:b/>
          <w:bCs/>
          <w:color w:val="auto"/>
          <w:sz w:val="44"/>
          <w:szCs w:val="44"/>
          <w:highlight w:val="none"/>
        </w:rPr>
      </w:pPr>
    </w:p>
    <w:p>
      <w:pPr>
        <w:snapToGrid w:val="0"/>
        <w:jc w:val="center"/>
        <w:outlineLvl w:val="0"/>
        <w:rPr>
          <w:rFonts w:ascii="宋体"/>
          <w:b/>
          <w:bCs/>
          <w:color w:val="auto"/>
          <w:sz w:val="44"/>
          <w:szCs w:val="44"/>
          <w:highlight w:val="none"/>
        </w:rPr>
      </w:pPr>
      <w:bookmarkStart w:id="67" w:name="_Toc20956"/>
      <w:bookmarkStart w:id="68" w:name="_Toc22043"/>
      <w:bookmarkStart w:id="69" w:name="_Toc22685"/>
      <w:r>
        <w:rPr>
          <w:rFonts w:hint="eastAsia" w:ascii="宋体" w:hAnsi="宋体" w:cs="宋体"/>
          <w:b/>
          <w:bCs/>
          <w:color w:val="auto"/>
          <w:sz w:val="44"/>
          <w:szCs w:val="44"/>
          <w:highlight w:val="none"/>
        </w:rPr>
        <w:t>第三章投标人须知</w:t>
      </w:r>
      <w:bookmarkEnd w:id="67"/>
      <w:bookmarkEnd w:id="68"/>
      <w:bookmarkEnd w:id="69"/>
    </w:p>
    <w:p>
      <w:pPr>
        <w:snapToGrid w:val="0"/>
        <w:jc w:val="center"/>
        <w:rPr>
          <w:rFonts w:ascii="宋体"/>
          <w:b/>
          <w:bCs/>
          <w:color w:val="auto"/>
          <w:sz w:val="32"/>
          <w:szCs w:val="32"/>
          <w:highlight w:val="none"/>
        </w:rPr>
      </w:pPr>
      <w:bookmarkStart w:id="70" w:name="_Toc254970526"/>
      <w:bookmarkStart w:id="71" w:name="_Toc254970667"/>
      <w:r>
        <w:rPr>
          <w:rFonts w:hint="eastAsia" w:ascii="宋体" w:hAnsi="宋体" w:cs="宋体"/>
          <w:b/>
          <w:bCs/>
          <w:color w:val="auto"/>
          <w:sz w:val="32"/>
          <w:szCs w:val="32"/>
          <w:highlight w:val="none"/>
        </w:rPr>
        <w:t>前附表</w:t>
      </w:r>
      <w:bookmarkEnd w:id="70"/>
      <w:bookmarkEnd w:id="71"/>
    </w:p>
    <w:tbl>
      <w:tblPr>
        <w:tblStyle w:val="44"/>
        <w:tblW w:w="946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8800" w:type="dxa"/>
            <w:tcBorders>
              <w:top w:val="single" w:color="auto" w:sz="4" w:space="0"/>
              <w:left w:val="single" w:color="auto" w:sz="4" w:space="0"/>
              <w:bottom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项目名称：强首府战略作战云项目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总采购预算：914.63万元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投标报价及费用：</w:t>
            </w:r>
            <w:r>
              <w:rPr>
                <w:rFonts w:hint="eastAsia" w:ascii="宋体" w:hAnsi="宋体" w:cs="宋体"/>
                <w:color w:val="auto"/>
                <w:sz w:val="24"/>
                <w:szCs w:val="24"/>
                <w:highlight w:val="none"/>
              </w:rPr>
              <w:t>1、本项目投标应以人民币报价；2、不论投标结果如何，投标人均应自行承担所有与投标有关的全部费用；3、本项目代理服务费按国家计委《招标代理服务收费管理暂行办法》（计价格[2002]1980号）规定标准下浮20%向中标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投标有效期：</w:t>
            </w:r>
            <w:r>
              <w:rPr>
                <w:rFonts w:hint="eastAsia" w:ascii="宋体" w:hAnsi="宋体" w:cs="宋体"/>
                <w:color w:val="auto"/>
                <w:sz w:val="24"/>
                <w:szCs w:val="24"/>
                <w:highlight w:val="none"/>
              </w:rPr>
              <w:t>□45天☑60天□90天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现场踏勘</w:t>
            </w: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答疑、澄清</w:t>
            </w:r>
            <w:r>
              <w:rPr>
                <w:rFonts w:hint="eastAsia" w:ascii="宋体" w:hAnsi="宋体" w:cs="宋体"/>
                <w:color w:val="auto"/>
                <w:sz w:val="24"/>
                <w:szCs w:val="24"/>
                <w:highlight w:val="none"/>
              </w:rPr>
              <w:t>：投标人应认真阅读本招标文件，发现其中有误或有不合理要求的，投标人应当于公告届满之日起7个工作日前，以书面形式要求招标采购单位澄清。如果澄清、答复、修改或补充的内容可能影响投标文件编制的，采购人或者采购代理机构应当在投标截止时间至少15日前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auto"/>
                <w:sz w:val="24"/>
                <w:szCs w:val="24"/>
                <w:highlight w:val="none"/>
              </w:rPr>
            </w:pPr>
            <w:r>
              <w:rPr>
                <w:rFonts w:hint="eastAsia" w:ascii="宋体" w:hAnsi="宋体" w:cs="宋体"/>
                <w:b/>
                <w:bCs/>
                <w:color w:val="auto"/>
                <w:sz w:val="24"/>
                <w:szCs w:val="24"/>
                <w:highlight w:val="none"/>
              </w:rPr>
              <w:t>投标文件份数</w:t>
            </w:r>
            <w:r>
              <w:rPr>
                <w:rFonts w:hint="eastAsia" w:ascii="宋体" w:hAnsi="宋体" w:cs="宋体"/>
                <w:color w:val="auto"/>
                <w:sz w:val="24"/>
                <w:szCs w:val="24"/>
                <w:highlight w:val="none"/>
              </w:rPr>
              <w:t>：资格审查文件</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份；投标文件（包括商务文件、技术文件和报价文件）正本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4 </w:t>
            </w:r>
            <w:r>
              <w:rPr>
                <w:rFonts w:hint="eastAsia" w:ascii="宋体" w:hAnsi="宋体" w:cs="宋体"/>
                <w:color w:val="auto"/>
                <w:sz w:val="24"/>
                <w:szCs w:val="24"/>
                <w:highlight w:val="none"/>
              </w:rPr>
              <w:t>份；开标一览表</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份；</w:t>
            </w:r>
            <w:commentRangeStart w:id="0"/>
            <w:r>
              <w:rPr>
                <w:rFonts w:hint="eastAsia" w:ascii="宋体" w:hAnsi="宋体" w:cs="宋体"/>
                <w:color w:val="auto"/>
                <w:sz w:val="24"/>
                <w:highlight w:val="none"/>
              </w:rPr>
              <w:t>投标文件电子版</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份（U盘）；</w:t>
            </w:r>
            <w:commentRangeEnd w:id="0"/>
            <w:r>
              <w:rPr>
                <w:rStyle w:val="43"/>
                <w:color w:val="auto"/>
                <w:highlight w:val="none"/>
              </w:rPr>
              <w:commentReference w:id="0"/>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8800" w:type="dxa"/>
            <w:tcBorders>
              <w:top w:val="single" w:color="auto" w:sz="4" w:space="0"/>
              <w:left w:val="single" w:color="auto" w:sz="4" w:space="0"/>
              <w:bottom w:val="single" w:color="auto" w:sz="4" w:space="0"/>
            </w:tcBorders>
            <w:vAlign w:val="center"/>
          </w:tcPr>
          <w:p>
            <w:pPr>
              <w:snapToGrid w:val="0"/>
              <w:spacing w:line="320" w:lineRule="exact"/>
              <w:ind w:left="60" w:hanging="60" w:hangingChars="25"/>
              <w:rPr>
                <w:rFonts w:ascii="宋体" w:hAnsi="宋体" w:cs="宋体"/>
                <w:color w:val="auto"/>
                <w:sz w:val="24"/>
                <w:szCs w:val="24"/>
                <w:highlight w:val="none"/>
              </w:rPr>
            </w:pPr>
            <w:r>
              <w:rPr>
                <w:rFonts w:hint="eastAsia" w:ascii="宋体" w:hAnsi="宋体" w:cs="宋体"/>
                <w:b/>
                <w:bCs/>
                <w:color w:val="auto"/>
                <w:sz w:val="24"/>
                <w:szCs w:val="24"/>
                <w:highlight w:val="none"/>
              </w:rPr>
              <w:t>投标文件签署：</w:t>
            </w:r>
            <w:r>
              <w:rPr>
                <w:rFonts w:hint="eastAsia" w:ascii="宋体" w:hAnsi="宋体" w:cs="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3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u w:val="single"/>
              </w:rPr>
            </w:pPr>
            <w:r>
              <w:rPr>
                <w:rFonts w:hint="eastAsia" w:ascii="宋体" w:hAnsi="宋体" w:cs="宋体"/>
                <w:b/>
                <w:bCs/>
                <w:color w:val="auto"/>
                <w:sz w:val="24"/>
                <w:szCs w:val="24"/>
                <w:highlight w:val="none"/>
              </w:rPr>
              <w:t>装订要求：</w:t>
            </w:r>
            <w:r>
              <w:rPr>
                <w:rFonts w:hint="eastAsia" w:ascii="宋体" w:hAnsi="宋体" w:cs="宋体"/>
                <w:color w:val="auto"/>
                <w:sz w:val="24"/>
                <w:szCs w:val="24"/>
                <w:highlight w:val="none"/>
              </w:rPr>
              <w:t>按照投标人须知第三部分第（一）项规定的投标文件组成内容，投标文件应按以下要求装订：分册装订，共分</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册，分别为：</w:t>
            </w:r>
            <w:r>
              <w:rPr>
                <w:rFonts w:hint="eastAsia" w:ascii="宋体" w:hAnsi="宋体" w:cs="宋体"/>
                <w:color w:val="auto"/>
                <w:sz w:val="24"/>
                <w:szCs w:val="24"/>
                <w:highlight w:val="none"/>
                <w:u w:val="single"/>
              </w:rPr>
              <w:t>资格审查文件为一册；商务文件、技术文件、报价文件（开标一览表除外）为一册</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开标一览表为一册</w:t>
            </w:r>
            <w:r>
              <w:rPr>
                <w:rFonts w:hint="eastAsia" w:ascii="宋体" w:hAnsi="宋体" w:cs="宋体"/>
                <w:color w:val="auto"/>
                <w:sz w:val="24"/>
                <w:szCs w:val="24"/>
                <w:highlight w:val="none"/>
              </w:rPr>
              <w:t>；</w:t>
            </w:r>
            <w:commentRangeStart w:id="1"/>
            <w:r>
              <w:rPr>
                <w:rFonts w:hint="eastAsia" w:ascii="宋体" w:hAnsi="宋体" w:cs="宋体"/>
                <w:color w:val="auto"/>
                <w:sz w:val="24"/>
                <w:szCs w:val="24"/>
                <w:highlight w:val="none"/>
              </w:rPr>
              <w:t>同时提供投标文件电子版（U盘）</w:t>
            </w:r>
            <w:commentRangeEnd w:id="1"/>
            <w:r>
              <w:rPr>
                <w:rStyle w:val="43"/>
                <w:color w:val="auto"/>
                <w:highlight w:val="none"/>
              </w:rPr>
              <w:commentReference w:id="1"/>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演示录制声像视频U盘1份（如有，请提供）。</w:t>
            </w:r>
            <w:r>
              <w:rPr>
                <w:rFonts w:hint="eastAsia" w:ascii="宋体" w:hAnsi="宋体" w:cs="宋体"/>
                <w:b/>
                <w:bCs/>
                <w:color w:val="auto"/>
                <w:sz w:val="24"/>
                <w:highlight w:val="none"/>
              </w:rPr>
              <w:t>（“演示录制声像视频”提交方式：“演示录制声像视频”应拷贝到U盘中，“演示录制声像视频”视频文件保存格式为.mp4或.m4v或.mp4v；U盘先用小信封单独封装，封面应注明“演示录制声像视频”字样，封面上写明项目名称、项目编号、投标人名称，然后与投标文件正副本一起包封提交；不提供“演示录制声像视频”U盘视为放弃演示）</w:t>
            </w:r>
          </w:p>
          <w:p>
            <w:pPr>
              <w:snapToGrid w:val="0"/>
              <w:spacing w:line="320" w:lineRule="exact"/>
              <w:ind w:left="60" w:hanging="60" w:hangingChars="25"/>
              <w:rPr>
                <w:rFonts w:ascii="宋体" w:hAnsi="宋体" w:cs="宋体"/>
                <w:color w:val="auto"/>
                <w:sz w:val="24"/>
                <w:szCs w:val="24"/>
                <w:highlight w:val="none"/>
              </w:rPr>
            </w:pPr>
            <w:r>
              <w:rPr>
                <w:rFonts w:hint="eastAsia" w:ascii="宋体" w:hAnsi="宋体" w:cs="宋体"/>
                <w:color w:val="auto"/>
                <w:sz w:val="24"/>
                <w:szCs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880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包装、密封：</w:t>
            </w:r>
            <w:r>
              <w:rPr>
                <w:rFonts w:hint="eastAsia" w:ascii="宋体" w:hAnsi="宋体" w:cs="宋体"/>
                <w:color w:val="auto"/>
                <w:sz w:val="24"/>
                <w:szCs w:val="24"/>
                <w:highlight w:val="none"/>
              </w:rPr>
              <w:t>投标人应将所有投标文件的</w:t>
            </w:r>
            <w:r>
              <w:rPr>
                <w:rFonts w:hint="eastAsia" w:ascii="宋体" w:hAnsi="宋体" w:cs="宋体"/>
                <w:color w:val="auto"/>
                <w:sz w:val="24"/>
                <w:szCs w:val="24"/>
                <w:highlight w:val="none"/>
                <w:u w:val="single"/>
              </w:rPr>
              <w:t>资格审查文件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商务及技术文件、报价文件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开标一览表、</w:t>
            </w:r>
            <w:r>
              <w:rPr>
                <w:rFonts w:hint="eastAsia" w:ascii="宋体" w:hAnsi="宋体" w:eastAsia="宋体"/>
                <w:color w:val="auto"/>
                <w:sz w:val="24"/>
                <w:highlight w:val="none"/>
                <w:u w:val="single"/>
              </w:rPr>
              <w:t>投标文件电子版</w:t>
            </w:r>
            <w:r>
              <w:rPr>
                <w:rFonts w:ascii="宋体" w:hAnsi="宋体" w:eastAsia="宋体"/>
                <w:color w:val="auto"/>
                <w:sz w:val="24"/>
                <w:highlight w:val="none"/>
              </w:rPr>
              <w:t>分别密封在</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四</w:t>
            </w:r>
            <w:r>
              <w:rPr>
                <w:rFonts w:ascii="宋体" w:hAnsi="宋体" w:eastAsia="宋体"/>
                <w:color w:val="auto"/>
                <w:sz w:val="24"/>
                <w:highlight w:val="none"/>
                <w:u w:val="single"/>
              </w:rPr>
              <w:t xml:space="preserve"> </w:t>
            </w:r>
            <w:r>
              <w:rPr>
                <w:rFonts w:ascii="宋体" w:hAnsi="宋体" w:eastAsia="宋体"/>
                <w:color w:val="auto"/>
                <w:sz w:val="24"/>
                <w:highlight w:val="none"/>
              </w:rPr>
              <w:t>个密封袋内</w:t>
            </w:r>
            <w:r>
              <w:rPr>
                <w:rFonts w:hint="eastAsia" w:ascii="宋体" w:hAnsi="宋体" w:cs="宋体"/>
                <w:color w:val="auto"/>
                <w:sz w:val="24"/>
                <w:szCs w:val="24"/>
                <w:highlight w:val="none"/>
              </w:rPr>
              <w:t>，密封袋上清楚地标明“资格审查文件”或“商务及技术文件、报价文件”或“开标一览表”或</w:t>
            </w:r>
            <w:r>
              <w:rPr>
                <w:rFonts w:hint="eastAsia" w:ascii="宋体" w:hAnsi="宋体" w:eastAsia="宋体"/>
                <w:color w:val="auto"/>
                <w:sz w:val="24"/>
                <w:highlight w:val="none"/>
              </w:rPr>
              <w:t>“投标文件电子版”</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演示录制声像视频U盘</w:t>
            </w:r>
            <w:r>
              <w:rPr>
                <w:rFonts w:hint="eastAsia" w:ascii="宋体" w:hAnsi="宋体" w:cs="宋体"/>
                <w:color w:val="auto"/>
                <w:sz w:val="24"/>
                <w:szCs w:val="24"/>
                <w:highlight w:val="none"/>
              </w:rPr>
              <w:t>（如有，请提供，</w:t>
            </w:r>
            <w:r>
              <w:rPr>
                <w:rFonts w:hint="eastAsia" w:ascii="宋体" w:hAnsi="宋体" w:cs="宋体"/>
                <w:b/>
                <w:bCs/>
                <w:color w:val="auto"/>
                <w:sz w:val="24"/>
                <w:szCs w:val="24"/>
                <w:highlight w:val="none"/>
              </w:rPr>
              <w:t>U盘先用小信封单独封装，封面应注明“演示录制声像视频”字样，封面上写明项目名称、项目编号、投标人名称</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提交投标文件时应为</w:t>
            </w:r>
            <w:r>
              <w:rPr>
                <w:rFonts w:hint="eastAsia" w:ascii="宋体" w:hAnsi="宋体" w:cs="宋体"/>
                <w:color w:val="auto"/>
                <w:sz w:val="24"/>
                <w:szCs w:val="24"/>
                <w:highlight w:val="none"/>
                <w:u w:val="single"/>
              </w:rPr>
              <w:t>一</w:t>
            </w:r>
            <w:r>
              <w:rPr>
                <w:rFonts w:hint="eastAsia" w:ascii="宋体" w:hAnsi="宋体" w:cs="宋体"/>
                <w:color w:val="auto"/>
                <w:sz w:val="24"/>
                <w:szCs w:val="24"/>
                <w:highlight w:val="none"/>
              </w:rPr>
              <w:t>个密封袋。</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投标文件密封袋的封口处应加贴封条并签章（公章、密封章、法定代表人或其委托代理人签名均可）以示密封。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3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auto"/>
                <w:sz w:val="24"/>
                <w:szCs w:val="24"/>
                <w:highlight w:val="none"/>
              </w:rPr>
            </w:pPr>
            <w:r>
              <w:rPr>
                <w:rFonts w:hint="eastAsia" w:ascii="宋体" w:hAnsi="宋体" w:cs="宋体"/>
                <w:b/>
                <w:bCs/>
                <w:color w:val="auto"/>
                <w:sz w:val="24"/>
                <w:szCs w:val="24"/>
                <w:highlight w:val="none"/>
              </w:rPr>
              <w:t>封套上写明：</w:t>
            </w:r>
          </w:p>
          <w:p>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投标文件</w:t>
            </w:r>
          </w:p>
          <w:p>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项目编号：</w:t>
            </w:r>
          </w:p>
          <w:p>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投标人地址：</w:t>
            </w:r>
          </w:p>
          <w:p>
            <w:pPr>
              <w:autoSpaceDE w:val="0"/>
              <w:autoSpaceDN w:val="0"/>
              <w:snapToGrid w:val="0"/>
              <w:jc w:val="righ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Cs/>
                <w:color w:val="auto"/>
                <w:sz w:val="24"/>
                <w:szCs w:val="24"/>
                <w:highlight w:val="none"/>
              </w:rPr>
              <w:t>1、投标文件递交截止时间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日9时30分</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2、本项目的投标文件通过邮寄快递的方式送达</w:t>
            </w:r>
            <w:r>
              <w:rPr>
                <w:rFonts w:hint="eastAsia" w:ascii="宋体" w:hAnsi="宋体" w:cs="宋体"/>
                <w:color w:val="auto"/>
                <w:sz w:val="24"/>
                <w:szCs w:val="24"/>
                <w:highlight w:val="none"/>
              </w:rPr>
              <w:t>(不接受现场递交)</w:t>
            </w:r>
            <w:r>
              <w:rPr>
                <w:rFonts w:hint="eastAsia" w:ascii="宋体" w:hAnsi="宋体" w:cs="宋体"/>
                <w:bCs/>
                <w:color w:val="auto"/>
                <w:sz w:val="24"/>
                <w:szCs w:val="24"/>
                <w:highlight w:val="none"/>
              </w:rPr>
              <w:t>。</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3、投标文件邮寄地址：南宁市青秀区纬武路165号招标中心3楼303室；收件人：韦吉；联系电话：0771-2808057。</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4、接收邮寄包裹的时间为工作日8：00～18：00。投标文件必须在投标截止时间前送达。招标采购人或招标采购代理机构工作人员签收邮寄包裹的时间即为投标人投标文件的送达时间，逾期送达的投标文件无效，后果由供应商自行承担。</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5、采购代理机构将在投标标截止时间前一小时统一将收到的投标文件运送至南宁市公共资源交易中心，以确保本项目能在竞标截止（开标）时间准时截标。投标人应充分预留投标文件邮寄、送达所需要的时间。为确保疫情防控期间邮寄包裹能及时送达，应选择邮寄运送时间有保障的快递公司寄送投标文件，并确保在投标截止日期1个工作日前内送达。</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6、投标人在按照招标文件的要求装订、密封好投标文件后，应使用不透明、防水的邮寄袋或箱子再次包裹已密封好的投标文件，并在邮寄袋或箱子上粘牢注明项目名称、项目编号、项目开标日期、有效的电子邮箱等内容的纸质表格（表格格式详见附件）。</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7、招标采购人或招标采购代理机构工作人员在收到投标文件的邮寄包裹后，第一时间按照投标人在邮寄包裹上所预留的电子邮箱告知投标文件收件情况，请供投标人必确保所预留的电子邮箱的有效性，并注意查收邮件。</w:t>
            </w:r>
          </w:p>
          <w:p>
            <w:pPr>
              <w:snapToGrid w:val="0"/>
              <w:rPr>
                <w:rFonts w:ascii="宋体" w:hAnsi="宋体" w:cs="宋体"/>
                <w:bCs/>
                <w:color w:val="auto"/>
                <w:sz w:val="24"/>
                <w:szCs w:val="24"/>
                <w:highlight w:val="none"/>
              </w:rPr>
            </w:pPr>
          </w:p>
          <w:p>
            <w:pPr>
              <w:pStyle w:val="18"/>
              <w:rPr>
                <w:rFonts w:ascii="宋体" w:hAnsi="宋体" w:cs="宋体"/>
                <w:bCs/>
                <w:color w:val="auto"/>
                <w:highlight w:val="none"/>
              </w:rPr>
            </w:pPr>
          </w:p>
          <w:p>
            <w:pPr>
              <w:pStyle w:val="18"/>
              <w:rPr>
                <w:rFonts w:ascii="宋体" w:hAnsi="宋体" w:cs="宋体"/>
                <w:bCs/>
                <w:color w:val="auto"/>
                <w:highlight w:val="none"/>
              </w:rPr>
            </w:pPr>
          </w:p>
          <w:p>
            <w:pPr>
              <w:pStyle w:val="19"/>
              <w:ind w:firstLine="480"/>
              <w:rPr>
                <w:rFonts w:ascii="宋体" w:cs="宋体"/>
                <w:bCs/>
                <w:color w:val="auto"/>
                <w:sz w:val="24"/>
                <w:highlight w:val="none"/>
              </w:rPr>
            </w:pP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附件：</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邮件外包粘贴表格（格式）</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项目编号：</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项目开标日期：</w:t>
            </w:r>
          </w:p>
          <w:p>
            <w:pPr>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联系电话：</w:t>
            </w:r>
          </w:p>
          <w:p>
            <w:pPr>
              <w:snapToGrid w:val="0"/>
              <w:rPr>
                <w:rFonts w:ascii="宋体" w:hAnsi="宋体" w:cs="宋体"/>
                <w:color w:val="auto"/>
                <w:sz w:val="24"/>
                <w:szCs w:val="24"/>
                <w:highlight w:val="none"/>
              </w:rPr>
            </w:pPr>
            <w:r>
              <w:rPr>
                <w:rFonts w:hint="eastAsia" w:ascii="宋体" w:hAnsi="宋体" w:cs="宋体"/>
                <w:bCs/>
                <w:color w:val="auto"/>
                <w:sz w:val="24"/>
                <w:szCs w:val="24"/>
                <w:highlight w:val="none"/>
              </w:rPr>
              <w:t>联系电子邮箱：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开标时间：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日9时30分</w:t>
            </w:r>
          </w:p>
          <w:p>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地点：</w:t>
            </w:r>
            <w:r>
              <w:rPr>
                <w:rFonts w:hint="eastAsia" w:ascii="宋体" w:hAnsi="宋体" w:cs="宋体"/>
                <w:color w:val="auto"/>
                <w:sz w:val="24"/>
                <w:szCs w:val="24"/>
                <w:highlight w:val="none"/>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auto"/>
                <w:sz w:val="24"/>
                <w:szCs w:val="24"/>
                <w:highlight w:val="none"/>
              </w:rPr>
            </w:pPr>
            <w:r>
              <w:rPr>
                <w:rFonts w:hint="eastAsia" w:ascii="宋体" w:hAnsi="宋体" w:cs="宋体"/>
                <w:b/>
                <w:bCs/>
                <w:color w:val="auto"/>
                <w:sz w:val="24"/>
                <w:szCs w:val="24"/>
                <w:highlight w:val="none"/>
              </w:rPr>
              <w:t>评标办法及评分标准：</w:t>
            </w:r>
            <w:r>
              <w:rPr>
                <w:rFonts w:hint="eastAsia" w:ascii="宋体" w:hAnsi="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3"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spacing w:line="440" w:lineRule="exact"/>
              <w:textAlignment w:val="bottom"/>
              <w:rPr>
                <w:rFonts w:ascii="宋体" w:hAnsi="宋体" w:cs="宋体"/>
                <w:color w:val="auto"/>
                <w:sz w:val="24"/>
                <w:szCs w:val="24"/>
                <w:highlight w:val="none"/>
              </w:rPr>
            </w:pPr>
            <w:r>
              <w:rPr>
                <w:rFonts w:hint="eastAsia" w:ascii="宋体" w:hAnsi="宋体" w:cs="宋体"/>
                <w:b/>
                <w:bCs/>
                <w:color w:val="auto"/>
                <w:sz w:val="24"/>
                <w:szCs w:val="24"/>
                <w:highlight w:val="none"/>
              </w:rPr>
              <w:t>信用查询：</w:t>
            </w:r>
            <w:r>
              <w:rPr>
                <w:rFonts w:hint="eastAsia" w:ascii="宋体" w:hAnsi="宋体" w:cs="宋体"/>
                <w:color w:val="auto"/>
                <w:sz w:val="24"/>
                <w:szCs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pStyle w:val="131"/>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5"/>
              <w:spacing w:line="380" w:lineRule="exact"/>
              <w:ind w:firstLine="472" w:firstLineChars="196"/>
              <w:rPr>
                <w:rFonts w:hAns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宋体" w:hAnsi="宋体" w:cs="宋体"/>
                <w:color w:val="auto"/>
                <w:sz w:val="24"/>
                <w:szCs w:val="24"/>
                <w:highlight w:val="none"/>
              </w:rPr>
            </w:pPr>
            <w:r>
              <w:rPr>
                <w:rFonts w:hint="eastAsia" w:ascii="宋体" w:hAnsi="宋体" w:cs="宋体"/>
                <w:b/>
                <w:bCs/>
                <w:color w:val="auto"/>
                <w:sz w:val="24"/>
                <w:szCs w:val="24"/>
                <w:highlight w:val="none"/>
              </w:rPr>
              <w:t>中标公告及中标通知书：</w:t>
            </w:r>
            <w:r>
              <w:rPr>
                <w:rFonts w:hint="eastAsia" w:ascii="宋体" w:hAnsi="宋体" w:cs="宋体"/>
                <w:color w:val="auto"/>
                <w:sz w:val="24"/>
                <w:szCs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auto"/>
                <w:sz w:val="24"/>
                <w:szCs w:val="24"/>
                <w:highlight w:val="none"/>
              </w:rPr>
            </w:pPr>
            <w:r>
              <w:rPr>
                <w:rFonts w:hint="eastAsia" w:ascii="宋体" w:hAnsi="宋体" w:cs="宋体"/>
                <w:b/>
                <w:bCs/>
                <w:color w:val="auto"/>
                <w:sz w:val="24"/>
                <w:szCs w:val="24"/>
                <w:highlight w:val="none"/>
              </w:rPr>
              <w:t>签订合同时间：</w:t>
            </w:r>
            <w:r>
              <w:rPr>
                <w:rFonts w:hint="eastAsia" w:ascii="宋体" w:hAnsi="宋体" w:cs="宋体"/>
                <w:color w:val="auto"/>
                <w:sz w:val="24"/>
                <w:highlight w:val="none"/>
              </w:rPr>
              <w:t>自中标通知书发出之日起 7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8800" w:type="dxa"/>
            <w:tcBorders>
              <w:top w:val="single" w:color="auto" w:sz="4" w:space="0"/>
              <w:left w:val="single" w:color="auto" w:sz="4" w:space="0"/>
              <w:bottom w:val="single" w:color="auto" w:sz="4" w:space="0"/>
            </w:tcBorders>
          </w:tcPr>
          <w:p>
            <w:pPr>
              <w:spacing w:line="450" w:lineRule="exact"/>
              <w:rPr>
                <w:rFonts w:ascii="宋体" w:hAnsi="宋体" w:cs="宋体"/>
                <w:color w:val="auto"/>
                <w:sz w:val="24"/>
                <w:szCs w:val="24"/>
                <w:highlight w:val="none"/>
              </w:rPr>
            </w:pPr>
            <w:r>
              <w:rPr>
                <w:rFonts w:hint="eastAsia" w:ascii="宋体" w:hAnsi="宋体" w:cs="宋体"/>
                <w:color w:val="auto"/>
                <w:sz w:val="24"/>
                <w:szCs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19</w:t>
            </w:r>
          </w:p>
        </w:tc>
        <w:tc>
          <w:tcPr>
            <w:tcW w:w="8800" w:type="dxa"/>
            <w:tcBorders>
              <w:top w:val="single" w:color="auto" w:sz="4" w:space="0"/>
              <w:left w:val="single" w:color="auto" w:sz="4" w:space="0"/>
              <w:bottom w:val="single" w:color="auto" w:sz="4" w:space="0"/>
            </w:tcBorders>
          </w:tcPr>
          <w:p>
            <w:pPr>
              <w:spacing w:line="450" w:lineRule="exact"/>
              <w:rPr>
                <w:rFonts w:ascii="宋体" w:hAnsi="宋体" w:cs="宋体"/>
                <w:color w:val="auto"/>
                <w:sz w:val="24"/>
                <w:szCs w:val="24"/>
                <w:highlight w:val="none"/>
              </w:rPr>
            </w:pPr>
            <w:r>
              <w:rPr>
                <w:rFonts w:hint="eastAsia" w:ascii="宋体" w:hAnsi="宋体" w:cs="宋体"/>
                <w:color w:val="auto"/>
                <w:sz w:val="24"/>
                <w:szCs w:val="24"/>
                <w:highlight w:val="none"/>
              </w:rPr>
              <w:t>付款方式：1、合同签订之日起7个工作日内，招标人支付合同金额的40%；2、完成项目全部软件开发、部署、安装调试、上线试运行后15个工作日内支付合同金额的50%；3、项目通过相关测试、完成验收后15个工作日内支付合同金额的10%。</w:t>
            </w:r>
            <w:r>
              <w:rPr>
                <w:rFonts w:hint="eastAsia" w:ascii="宋体" w:hAnsi="宋体" w:cs="宋体"/>
                <w:color w:val="auto"/>
                <w:sz w:val="24"/>
                <w:highlight w:val="none"/>
              </w:rPr>
              <w:t>中标供应商在每次收到款项后5个工作日内向招标人开具正式等额发票</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660"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8800" w:type="dxa"/>
            <w:tcBorders>
              <w:top w:val="single" w:color="auto" w:sz="4" w:space="0"/>
              <w:left w:val="single" w:color="auto" w:sz="4" w:space="0"/>
              <w:bottom w:val="single" w:color="auto" w:sz="4" w:space="0"/>
            </w:tcBorders>
            <w:vAlign w:val="cente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解释：本招标文件的解释权属于招标采购代理机构。</w:t>
            </w:r>
          </w:p>
        </w:tc>
      </w:tr>
    </w:tbl>
    <w:p>
      <w:pPr>
        <w:pStyle w:val="25"/>
        <w:tabs>
          <w:tab w:val="left" w:pos="426"/>
        </w:tabs>
        <w:snapToGrid w:val="0"/>
        <w:jc w:val="center"/>
        <w:rPr>
          <w:rFonts w:hAnsi="宋体" w:cs="Times New Roman"/>
          <w:b/>
          <w:bCs/>
          <w:color w:val="auto"/>
          <w:sz w:val="32"/>
          <w:szCs w:val="32"/>
          <w:highlight w:val="none"/>
        </w:rPr>
      </w:pPr>
      <w:r>
        <w:rPr>
          <w:rFonts w:hAnsi="宋体" w:cs="Times New Roman"/>
          <w:b/>
          <w:bCs/>
          <w:color w:val="auto"/>
          <w:highlight w:val="none"/>
        </w:rPr>
        <w:br w:type="page"/>
      </w:r>
      <w:r>
        <w:rPr>
          <w:rFonts w:hint="eastAsia" w:hAnsi="宋体"/>
          <w:b/>
          <w:bCs/>
          <w:color w:val="auto"/>
          <w:sz w:val="32"/>
          <w:szCs w:val="32"/>
          <w:highlight w:val="none"/>
        </w:rPr>
        <w:t>一、总则</w:t>
      </w:r>
    </w:p>
    <w:p>
      <w:pPr>
        <w:snapToGrid w:val="0"/>
        <w:spacing w:line="360" w:lineRule="exact"/>
        <w:jc w:val="left"/>
        <w:rPr>
          <w:rFonts w:ascii="宋体" w:cs="宋体"/>
          <w:b/>
          <w:bCs/>
          <w:color w:val="auto"/>
          <w:sz w:val="24"/>
          <w:szCs w:val="24"/>
          <w:highlight w:val="none"/>
        </w:rPr>
      </w:pPr>
      <w:bookmarkStart w:id="72" w:name="_Toc254970527"/>
      <w:bookmarkStart w:id="73" w:name="_Toc254970668"/>
      <w:r>
        <w:rPr>
          <w:rFonts w:hint="eastAsia" w:ascii="宋体" w:hAnsi="宋体" w:cs="宋体"/>
          <w:b/>
          <w:bCs/>
          <w:color w:val="auto"/>
          <w:sz w:val="24"/>
          <w:szCs w:val="24"/>
          <w:highlight w:val="none"/>
        </w:rPr>
        <w:t>（一）适用范围</w:t>
      </w:r>
      <w:bookmarkEnd w:id="72"/>
      <w:bookmarkEnd w:id="73"/>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本招标文件适用于南宁市固定资产投资项目前期服务中心单位的强首府战略作战云项目的招标、投标、评标、定标、验收、合同履约、付款等行为（法律、法规另有规定的，从其规定）。</w:t>
      </w:r>
    </w:p>
    <w:p>
      <w:pPr>
        <w:snapToGrid w:val="0"/>
        <w:spacing w:line="360" w:lineRule="exact"/>
        <w:jc w:val="left"/>
        <w:rPr>
          <w:rFonts w:ascii="宋体" w:cs="宋体"/>
          <w:b/>
          <w:bCs/>
          <w:color w:val="auto"/>
          <w:sz w:val="24"/>
          <w:szCs w:val="24"/>
          <w:highlight w:val="none"/>
        </w:rPr>
      </w:pPr>
      <w:bookmarkStart w:id="74" w:name="_Toc254970528"/>
      <w:bookmarkStart w:id="75" w:name="_Toc254970669"/>
      <w:r>
        <w:rPr>
          <w:rFonts w:hint="eastAsia" w:ascii="宋体" w:hAnsi="宋体" w:cs="宋体"/>
          <w:b/>
          <w:bCs/>
          <w:color w:val="auto"/>
          <w:sz w:val="24"/>
          <w:szCs w:val="24"/>
          <w:highlight w:val="none"/>
        </w:rPr>
        <w:t>（二）定义</w:t>
      </w:r>
      <w:bookmarkEnd w:id="74"/>
      <w:bookmarkEnd w:id="75"/>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招标采购单位系指组织本次招标的采购人和代理机构。</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“投标人”系指向招标方提交投标文件的单位或自然人。</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“服务”系指招标文件规定投标人须承担的安装、调试、技术协助、校准、培训、技术指导以及其他类似的义务。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“项目”系指投标人按招标文件规定向采购人提供的产品和服务。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“书面形式”包括信函、传真、电子邮件等。</w:t>
      </w:r>
    </w:p>
    <w:p>
      <w:pPr>
        <w:snapToGrid w:val="0"/>
        <w:spacing w:line="360" w:lineRule="exact"/>
        <w:jc w:val="left"/>
        <w:rPr>
          <w:rFonts w:ascii="宋体" w:cs="宋体"/>
          <w:b/>
          <w:bCs/>
          <w:color w:val="auto"/>
          <w:sz w:val="24"/>
          <w:szCs w:val="24"/>
          <w:highlight w:val="none"/>
        </w:rPr>
      </w:pPr>
      <w:bookmarkStart w:id="76" w:name="_Toc254970529"/>
      <w:bookmarkStart w:id="77" w:name="_Toc254970670"/>
      <w:r>
        <w:rPr>
          <w:rFonts w:hint="eastAsia" w:ascii="宋体" w:hAnsi="宋体" w:cs="宋体"/>
          <w:b/>
          <w:bCs/>
          <w:color w:val="auto"/>
          <w:sz w:val="24"/>
          <w:szCs w:val="24"/>
          <w:highlight w:val="none"/>
        </w:rPr>
        <w:t>（三）招标方式</w:t>
      </w:r>
      <w:bookmarkEnd w:id="76"/>
      <w:bookmarkEnd w:id="77"/>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公开招标方式。</w:t>
      </w:r>
    </w:p>
    <w:p>
      <w:pPr>
        <w:tabs>
          <w:tab w:val="left" w:pos="426"/>
        </w:tabs>
        <w:snapToGrid w:val="0"/>
        <w:spacing w:line="360" w:lineRule="exact"/>
        <w:jc w:val="left"/>
        <w:rPr>
          <w:rFonts w:ascii="宋体" w:cs="宋体"/>
          <w:b/>
          <w:bCs/>
          <w:color w:val="auto"/>
          <w:sz w:val="24"/>
          <w:szCs w:val="24"/>
          <w:highlight w:val="none"/>
        </w:rPr>
      </w:pPr>
      <w:bookmarkStart w:id="78" w:name="_Toc254970530"/>
      <w:bookmarkStart w:id="79" w:name="_Toc254970671"/>
      <w:r>
        <w:rPr>
          <w:rFonts w:hint="eastAsia" w:ascii="宋体" w:hAnsi="宋体" w:cs="宋体"/>
          <w:b/>
          <w:bCs/>
          <w:color w:val="auto"/>
          <w:sz w:val="24"/>
          <w:szCs w:val="24"/>
          <w:highlight w:val="none"/>
        </w:rPr>
        <w:t>（四）投标委托</w:t>
      </w:r>
      <w:bookmarkEnd w:id="78"/>
      <w:bookmarkEnd w:id="79"/>
    </w:p>
    <w:p>
      <w:pPr>
        <w:pStyle w:val="20"/>
        <w:snapToGrid w:val="0"/>
        <w:spacing w:line="360" w:lineRule="exact"/>
        <w:ind w:firstLine="360" w:firstLineChars="15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宋体" w:cs="宋体"/>
          <w:b/>
          <w:bCs/>
          <w:color w:val="auto"/>
          <w:sz w:val="24"/>
          <w:szCs w:val="24"/>
          <w:highlight w:val="none"/>
        </w:rPr>
      </w:pPr>
      <w:bookmarkStart w:id="80" w:name="_Toc254970672"/>
      <w:bookmarkStart w:id="81" w:name="_Toc254970531"/>
      <w:r>
        <w:rPr>
          <w:rFonts w:hint="eastAsia" w:ascii="宋体" w:hAnsi="宋体" w:cs="宋体"/>
          <w:b/>
          <w:bCs/>
          <w:color w:val="auto"/>
          <w:sz w:val="24"/>
          <w:szCs w:val="24"/>
          <w:highlight w:val="none"/>
        </w:rPr>
        <w:t>（五）投标费用</w:t>
      </w:r>
      <w:bookmarkEnd w:id="80"/>
      <w:bookmarkEnd w:id="81"/>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不论投标结果如何，投标人均应自行承担所有与投标有关的全部费用（招标文件有相关的规定除外）。</w:t>
      </w:r>
    </w:p>
    <w:p>
      <w:pPr>
        <w:tabs>
          <w:tab w:val="left" w:pos="426"/>
        </w:tabs>
        <w:snapToGrid w:val="0"/>
        <w:spacing w:line="360" w:lineRule="exact"/>
        <w:jc w:val="left"/>
        <w:rPr>
          <w:rFonts w:ascii="宋体" w:cs="宋体"/>
          <w:b/>
          <w:bCs/>
          <w:color w:val="auto"/>
          <w:sz w:val="24"/>
          <w:szCs w:val="24"/>
          <w:highlight w:val="none"/>
        </w:rPr>
      </w:pPr>
      <w:bookmarkStart w:id="82" w:name="_Toc254970673"/>
      <w:bookmarkStart w:id="83" w:name="_Toc254970532"/>
      <w:r>
        <w:rPr>
          <w:rFonts w:hint="eastAsia" w:ascii="宋体" w:hAnsi="宋体" w:cs="宋体"/>
          <w:b/>
          <w:bCs/>
          <w:color w:val="auto"/>
          <w:sz w:val="24"/>
          <w:szCs w:val="24"/>
          <w:highlight w:val="none"/>
        </w:rPr>
        <w:t>（六）特别说明：</w:t>
      </w:r>
      <w:bookmarkEnd w:id="82"/>
      <w:bookmarkEnd w:id="83"/>
    </w:p>
    <w:p>
      <w:pPr>
        <w:widowControl/>
        <w:shd w:val="clear" w:color="auto"/>
        <w:spacing w:line="360" w:lineRule="exact"/>
        <w:ind w:firstLine="360" w:firstLineChars="150"/>
        <w:jc w:val="left"/>
        <w:rPr>
          <w:rFonts w:ascii="宋体" w:hAnsi="宋体" w:cs="宋体"/>
          <w:color w:val="auto"/>
          <w:sz w:val="24"/>
          <w:szCs w:val="24"/>
          <w:highlight w:val="none"/>
        </w:rPr>
      </w:pPr>
      <w:bookmarkStart w:id="84" w:name="_Toc254970533"/>
      <w:bookmarkStart w:id="85" w:name="_Toc254970674"/>
      <w:r>
        <w:rPr>
          <w:rFonts w:ascii="宋体" w:hAnsi="宋体" w:cs="宋体"/>
          <w:color w:val="auto"/>
          <w:sz w:val="24"/>
          <w:szCs w:val="24"/>
          <w:highlight w:val="none"/>
        </w:rPr>
        <w:t>1</w:t>
      </w:r>
      <w:r>
        <w:rPr>
          <w:rFonts w:hint="eastAsia" w:ascii="宋体" w:hAnsi="宋体" w:cs="宋体"/>
          <w:color w:val="auto"/>
          <w:sz w:val="24"/>
          <w:szCs w:val="24"/>
          <w:highlight w:val="none"/>
        </w:rPr>
        <w:t>、投标人投标所使用的资格、信誉、荣誉、业绩与企业认证必须为本法人或提供服务的服务商所拥有。投标人投标所使用的采购项目实施人员必须为本法人员工（或必须为本法人或控股公司正式员工）。</w:t>
      </w:r>
    </w:p>
    <w:p>
      <w:pPr>
        <w:widowControl/>
        <w:shd w:val="clear" w:color="auto"/>
        <w:spacing w:line="360" w:lineRule="exact"/>
        <w:ind w:firstLine="360" w:firstLineChars="150"/>
        <w:jc w:val="left"/>
        <w:rPr>
          <w:rFonts w:ascii="宋体" w:cs="宋体"/>
          <w:color w:val="auto"/>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sz w:val="24"/>
          <w:szCs w:val="24"/>
          <w:highlight w:val="none"/>
        </w:rPr>
        <w:t>投标人应仔细阅读招标文件的所有内容，按照招标文件的要求提交投标文件，并对所提供的全部资料的真实性承担法律责任。</w:t>
      </w:r>
    </w:p>
    <w:p>
      <w:pPr>
        <w:pStyle w:val="25"/>
        <w:snapToGrid w:val="0"/>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投标人在投标活动中提供任何虚假材料</w:t>
      </w:r>
      <w:r>
        <w:rPr>
          <w:rFonts w:hAnsi="宋体"/>
          <w:color w:val="auto"/>
          <w:sz w:val="24"/>
          <w:szCs w:val="24"/>
          <w:highlight w:val="none"/>
        </w:rPr>
        <w:t>,</w:t>
      </w:r>
      <w:r>
        <w:rPr>
          <w:rFonts w:hint="eastAsia" w:hAnsi="宋体"/>
          <w:color w:val="auto"/>
          <w:sz w:val="24"/>
          <w:szCs w:val="24"/>
          <w:highlight w:val="none"/>
        </w:rPr>
        <w:t>其投标无效，并报监管部门查处；中标后发现的</w:t>
      </w:r>
      <w:r>
        <w:rPr>
          <w:rFonts w:hAnsi="宋体"/>
          <w:color w:val="auto"/>
          <w:sz w:val="24"/>
          <w:szCs w:val="24"/>
          <w:highlight w:val="none"/>
        </w:rPr>
        <w:t>,</w:t>
      </w:r>
      <w:r>
        <w:rPr>
          <w:rFonts w:hint="eastAsia" w:hAnsi="宋体"/>
          <w:color w:val="auto"/>
          <w:sz w:val="24"/>
          <w:szCs w:val="24"/>
          <w:highlight w:val="none"/>
        </w:rPr>
        <w:t>中标人须依照《中华人民共和国消费者权益保护法》第</w:t>
      </w:r>
      <w:r>
        <w:rPr>
          <w:rFonts w:hAnsi="宋体"/>
          <w:color w:val="auto"/>
          <w:sz w:val="24"/>
          <w:szCs w:val="24"/>
          <w:highlight w:val="none"/>
        </w:rPr>
        <w:t>49</w:t>
      </w:r>
      <w:r>
        <w:rPr>
          <w:rFonts w:hint="eastAsia" w:hAnsi="宋体"/>
          <w:color w:val="auto"/>
          <w:sz w:val="24"/>
          <w:szCs w:val="24"/>
          <w:highlight w:val="none"/>
        </w:rPr>
        <w:t>条之规定双倍赔偿采购人，且民事赔偿并不免除违法投标人的行政与刑事责任。</w:t>
      </w:r>
    </w:p>
    <w:p>
      <w:pPr>
        <w:pStyle w:val="25"/>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投标截止时间结束后参加投标的供应商不足三家的</w:t>
      </w:r>
      <w:r>
        <w:rPr>
          <w:rFonts w:hAnsi="宋体"/>
          <w:color w:val="auto"/>
          <w:sz w:val="24"/>
          <w:szCs w:val="24"/>
          <w:highlight w:val="none"/>
        </w:rPr>
        <w:t>,</w:t>
      </w:r>
      <w:r>
        <w:rPr>
          <w:rFonts w:hint="eastAsia" w:hAnsi="宋体"/>
          <w:color w:val="auto"/>
          <w:sz w:val="24"/>
          <w:szCs w:val="24"/>
          <w:highlight w:val="none"/>
        </w:rPr>
        <w:t>不予开标，此时将按《政府采购货物和服务招标投标管理办法》（中华人民共和国财政部第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条的有关规定进行办理。</w:t>
      </w:r>
    </w:p>
    <w:p>
      <w:pPr>
        <w:pStyle w:val="25"/>
        <w:spacing w:line="360" w:lineRule="exact"/>
        <w:ind w:firstLine="480" w:firstLineChars="200"/>
        <w:rPr>
          <w:rFonts w:hAnsi="宋体" w:cs="Times New Roman"/>
          <w:color w:val="auto"/>
          <w:sz w:val="24"/>
          <w:szCs w:val="24"/>
          <w:highlight w:val="none"/>
        </w:rPr>
      </w:pPr>
      <w:r>
        <w:rPr>
          <w:rFonts w:hint="eastAsia" w:hAnsi="宋体"/>
          <w:color w:val="auto"/>
          <w:kern w:val="0"/>
          <w:sz w:val="24"/>
          <w:szCs w:val="24"/>
          <w:highlight w:val="none"/>
        </w:rPr>
        <w:t>通过资格审查或符合性审查的投标人不足</w:t>
      </w:r>
      <w:r>
        <w:rPr>
          <w:rFonts w:hAnsi="宋体"/>
          <w:color w:val="auto"/>
          <w:kern w:val="0"/>
          <w:sz w:val="24"/>
          <w:szCs w:val="24"/>
          <w:highlight w:val="none"/>
        </w:rPr>
        <w:t>3</w:t>
      </w:r>
      <w:r>
        <w:rPr>
          <w:rFonts w:hint="eastAsia" w:hAnsi="宋体"/>
          <w:color w:val="auto"/>
          <w:kern w:val="0"/>
          <w:sz w:val="24"/>
          <w:szCs w:val="24"/>
          <w:highlight w:val="none"/>
        </w:rPr>
        <w:t>家的</w:t>
      </w:r>
      <w:r>
        <w:rPr>
          <w:rFonts w:hint="eastAsia" w:hAnsi="宋体"/>
          <w:color w:val="auto"/>
          <w:sz w:val="24"/>
          <w:szCs w:val="24"/>
          <w:highlight w:val="none"/>
        </w:rPr>
        <w:t>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条的有关规定执行。</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有下列情形之一的视为投标人相互串通，投标文件将视为无效：</w:t>
      </w:r>
    </w:p>
    <w:p>
      <w:pPr>
        <w:widowControl/>
        <w:shd w:val="clear" w:color="auto"/>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）不同投标人的投标文件由同一单位或者个人编制；</w:t>
      </w:r>
    </w:p>
    <w:p>
      <w:pPr>
        <w:widowControl/>
        <w:shd w:val="clear" w:color="auto"/>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）不同投标人委托同一单位或者个人办理投标事宜</w:t>
      </w:r>
      <w:r>
        <w:rPr>
          <w:rFonts w:ascii="宋体" w:hAnsi="宋体" w:cs="宋体"/>
          <w:color w:val="auto"/>
          <w:kern w:val="0"/>
          <w:sz w:val="24"/>
          <w:szCs w:val="24"/>
          <w:highlight w:val="none"/>
        </w:rPr>
        <w:t>;</w:t>
      </w:r>
    </w:p>
    <w:p>
      <w:pPr>
        <w:widowControl/>
        <w:shd w:val="clear" w:color="auto"/>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）不同的投标人的投标文件载明的项目管理员为同一个人</w:t>
      </w:r>
      <w:r>
        <w:rPr>
          <w:rFonts w:ascii="宋体" w:hAnsi="宋体" w:cs="宋体"/>
          <w:color w:val="auto"/>
          <w:kern w:val="0"/>
          <w:sz w:val="24"/>
          <w:szCs w:val="24"/>
          <w:highlight w:val="none"/>
        </w:rPr>
        <w:t>;</w:t>
      </w:r>
    </w:p>
    <w:p>
      <w:pPr>
        <w:widowControl/>
        <w:shd w:val="clear" w:color="auto"/>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）不同投标人的投标文件异常一致或投标报价呈规律性差异</w:t>
      </w:r>
      <w:r>
        <w:rPr>
          <w:rFonts w:ascii="宋体" w:hAnsi="宋体" w:cs="宋体"/>
          <w:color w:val="auto"/>
          <w:kern w:val="0"/>
          <w:sz w:val="24"/>
          <w:szCs w:val="24"/>
          <w:highlight w:val="none"/>
        </w:rPr>
        <w:t>;</w:t>
      </w:r>
    </w:p>
    <w:p>
      <w:pPr>
        <w:widowControl/>
        <w:shd w:val="clear" w:color="auto"/>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）不同投标人的投标文件相互混装</w:t>
      </w:r>
      <w:r>
        <w:rPr>
          <w:rFonts w:ascii="宋体" w:hAnsi="宋体" w:cs="宋体"/>
          <w:color w:val="auto"/>
          <w:kern w:val="0"/>
          <w:sz w:val="24"/>
          <w:szCs w:val="24"/>
          <w:highlight w:val="none"/>
        </w:rPr>
        <w:t>;</w:t>
      </w:r>
    </w:p>
    <w:p>
      <w:pPr>
        <w:pStyle w:val="25"/>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（七）质疑和投诉</w:t>
      </w:r>
      <w:bookmarkEnd w:id="84"/>
      <w:bookmarkEnd w:id="85"/>
    </w:p>
    <w:p>
      <w:pPr>
        <w:pStyle w:val="25"/>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5"/>
        <w:snapToGrid w:val="0"/>
        <w:spacing w:line="360" w:lineRule="exact"/>
        <w:ind w:firstLine="352" w:firstLineChars="147"/>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）对可以质疑的招标采购文件提出质疑的，为公告届满之日；</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）对招标采购过程提出质疑的，为各采购程序环节结束之日；</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）对中标结果提出质疑的，为中标结果公告期限届满之日。</w:t>
      </w:r>
    </w:p>
    <w:p>
      <w:pPr>
        <w:adjustRightInd w:val="0"/>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kern w:val="0"/>
          <w:sz w:val="24"/>
          <w:szCs w:val="24"/>
          <w:highlight w:val="none"/>
          <w:lang w:val="zh-CN"/>
        </w:rPr>
        <w:t>供应商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时，应当提交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函和必要的证明材料，</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函应当包括下列主要内容：</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）供应商的姓名或者名称、地址、邮编、联系人及联系电话；</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）质疑项目的名称、编号；</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）具体、明确的质疑事项和与质疑事项相关的请求；</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）事实依据；</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）必要的法律依据；</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）提出质疑的日期。</w:t>
      </w:r>
    </w:p>
    <w:p>
      <w:pPr>
        <w:spacing w:line="36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函应当署名。</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供应商为自然人的，应当由本人签字；</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供应商为法人或者其他组织的，应当由法定代表人、主要负责人或者其授权代表签字或者盖章，并加盖公章。</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供应商可以委托代理人办理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事务时，除提交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函外，还应当提交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供应商的授权委托书原件，</w:t>
      </w:r>
      <w:r>
        <w:rPr>
          <w:rFonts w:hint="eastAsia" w:ascii="宋体" w:hAnsi="宋体" w:cs="宋体"/>
          <w:color w:val="auto"/>
          <w:kern w:val="0"/>
          <w:sz w:val="24"/>
          <w:szCs w:val="24"/>
          <w:highlight w:val="none"/>
        </w:rPr>
        <w:t>授权委托书应载明代理人的姓名或者名称、代理事项、具体权限、期限和相关事项。</w:t>
      </w:r>
    </w:p>
    <w:p>
      <w:pPr>
        <w:spacing w:line="360" w:lineRule="exact"/>
        <w:ind w:firstLine="480" w:firstLineChars="200"/>
        <w:rPr>
          <w:rFonts w:ascii="宋体" w:cs="宋体"/>
          <w:color w:val="auto"/>
          <w:kern w:val="0"/>
          <w:sz w:val="24"/>
          <w:szCs w:val="24"/>
          <w:highlight w:val="none"/>
          <w:lang w:val="zh-CN"/>
        </w:rPr>
      </w:pPr>
      <w:r>
        <w:rPr>
          <w:rFonts w:ascii="宋体" w:hAnsi="宋体" w:cs="宋体"/>
          <w:color w:val="auto"/>
          <w:kern w:val="0"/>
          <w:sz w:val="24"/>
          <w:szCs w:val="24"/>
          <w:highlight w:val="none"/>
        </w:rPr>
        <w:t>3.</w:t>
      </w:r>
      <w:r>
        <w:rPr>
          <w:rFonts w:hint="eastAsia" w:ascii="宋体" w:hAnsi="宋体" w:cs="宋体"/>
          <w:color w:val="auto"/>
          <w:sz w:val="24"/>
          <w:szCs w:val="24"/>
          <w:highlight w:val="none"/>
        </w:rPr>
        <w:t>投标人对招标采购单位的质疑答复不满意或者招标采购单位未在规定时间内做出答复的，可以在答复期满后十五个工作日内向同级采购监管部门投诉。</w:t>
      </w:r>
    </w:p>
    <w:p>
      <w:pPr>
        <w:pStyle w:val="25"/>
        <w:snapToGrid w:val="0"/>
        <w:spacing w:line="360" w:lineRule="exact"/>
        <w:ind w:firstLine="472" w:firstLineChars="196"/>
        <w:jc w:val="center"/>
        <w:rPr>
          <w:rFonts w:hAnsi="宋体" w:cs="Times New Roman"/>
          <w:b/>
          <w:bCs/>
          <w:color w:val="auto"/>
          <w:sz w:val="24"/>
          <w:szCs w:val="24"/>
          <w:highlight w:val="none"/>
        </w:rPr>
      </w:pPr>
      <w:bookmarkStart w:id="86" w:name="_Toc254970534"/>
      <w:bookmarkStart w:id="87" w:name="_Toc254970675"/>
    </w:p>
    <w:p>
      <w:pPr>
        <w:pStyle w:val="25"/>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二、招标文件</w:t>
      </w:r>
      <w:bookmarkEnd w:id="86"/>
      <w:bookmarkEnd w:id="87"/>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（一）招标文件的组成：</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、公开招标公告</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、招标项目采购需求</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、投标人须知</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、评标办法及评分标准</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、合同主要条款格式</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、投标文件格式</w:t>
      </w:r>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（二）投标人的风险</w:t>
      </w:r>
    </w:p>
    <w:p>
      <w:pPr>
        <w:pStyle w:val="33"/>
        <w:spacing w:after="0" w:line="360" w:lineRule="exact"/>
        <w:ind w:left="0" w:leftChars="0"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投标人没有按照招标文件要求提供全部资料，或者投标人没有对招标文件在各方面做出实质性响应是投标人的风险，并可能导致其投标被拒绝。</w:t>
      </w:r>
    </w:p>
    <w:p>
      <w:pPr>
        <w:pStyle w:val="14"/>
        <w:widowControl w:val="0"/>
        <w:tabs>
          <w:tab w:val="clear" w:pos="840"/>
          <w:tab w:val="clear" w:pos="900"/>
        </w:tabs>
        <w:snapToGrid w:val="0"/>
        <w:spacing w:line="360" w:lineRule="exact"/>
        <w:ind w:left="0" w:firstLine="0"/>
        <w:rPr>
          <w:rFonts w:ascii="宋体" w:hAnsi="宋体" w:cs="宋体"/>
          <w:b/>
          <w:bCs/>
          <w:color w:val="auto"/>
          <w:highlight w:val="none"/>
        </w:rPr>
      </w:pPr>
      <w:r>
        <w:rPr>
          <w:rFonts w:hint="eastAsia" w:ascii="宋体" w:hAnsi="宋体" w:cs="宋体"/>
          <w:b/>
          <w:bCs/>
          <w:color w:val="auto"/>
          <w:highlight w:val="none"/>
        </w:rPr>
        <w:t>（三）招标文件的澄清与修改</w:t>
      </w:r>
    </w:p>
    <w:p>
      <w:pPr>
        <w:spacing w:line="360" w:lineRule="exact"/>
        <w:ind w:firstLine="480" w:firstLineChars="200"/>
        <w:rPr>
          <w:rFonts w:ascii="宋体" w:cs="宋体"/>
          <w:color w:val="auto"/>
          <w:sz w:val="24"/>
          <w:szCs w:val="24"/>
          <w:highlight w:val="none"/>
        </w:rPr>
      </w:pPr>
      <w:bookmarkStart w:id="88" w:name="_Toc254970676"/>
      <w:bookmarkStart w:id="89" w:name="_Toc254970535"/>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投标人应认真阅读本招标文件，发现其中有误或有不合理要求的，投标人应当于</w:t>
      </w:r>
      <w:r>
        <w:rPr>
          <w:rFonts w:hint="eastAsia" w:hAnsi="宋体" w:cs="宋体"/>
          <w:color w:val="auto"/>
          <w:sz w:val="24"/>
          <w:szCs w:val="24"/>
          <w:highlight w:val="none"/>
        </w:rPr>
        <w:t>公告届满之日起</w:t>
      </w:r>
      <w:r>
        <w:rPr>
          <w:rFonts w:hAnsi="宋体"/>
          <w:color w:val="auto"/>
          <w:sz w:val="24"/>
          <w:szCs w:val="24"/>
          <w:highlight w:val="none"/>
        </w:rPr>
        <w:t>7</w:t>
      </w:r>
      <w:r>
        <w:rPr>
          <w:rFonts w:hint="eastAsia" w:hAnsi="宋体" w:cs="宋体"/>
          <w:color w:val="auto"/>
          <w:sz w:val="24"/>
          <w:szCs w:val="24"/>
          <w:highlight w:val="none"/>
        </w:rPr>
        <w:t>个工作日前</w:t>
      </w:r>
      <w:r>
        <w:rPr>
          <w:rFonts w:hint="eastAsia" w:ascii="宋体" w:hAnsi="宋体" w:cs="宋体"/>
          <w:color w:val="auto"/>
          <w:sz w:val="24"/>
          <w:szCs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日前发出；不足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日的，采购人或者采购代理机构应当顺延提交投标文件的截止时间。</w:t>
      </w:r>
    </w:p>
    <w:p>
      <w:pPr>
        <w:pStyle w:val="25"/>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招标文件澄清、答复、修改、补充的内容为招标文件的组成部分。当招标文件与招标文件的答复、澄清、修改、补充通知就同一内容的表述不一致时，以最后发出的文件为准。</w:t>
      </w:r>
    </w:p>
    <w:p>
      <w:pPr>
        <w:pStyle w:val="25"/>
        <w:snapToGrid w:val="0"/>
        <w:spacing w:line="360" w:lineRule="exact"/>
        <w:ind w:firstLine="480" w:firstLineChars="200"/>
        <w:rPr>
          <w:rFonts w:hAnsi="宋体" w:cs="Times New Roman"/>
          <w:color w:val="auto"/>
          <w:sz w:val="24"/>
          <w:szCs w:val="24"/>
          <w:highlight w:val="none"/>
        </w:rPr>
      </w:pPr>
    </w:p>
    <w:p>
      <w:pPr>
        <w:pStyle w:val="25"/>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三、投标文件</w:t>
      </w:r>
      <w:bookmarkEnd w:id="88"/>
      <w:bookmarkEnd w:id="89"/>
    </w:p>
    <w:p>
      <w:pPr>
        <w:snapToGrid w:val="0"/>
        <w:spacing w:line="360" w:lineRule="exact"/>
        <w:jc w:val="left"/>
        <w:rPr>
          <w:rFonts w:ascii="宋体" w:cs="宋体"/>
          <w:b/>
          <w:bCs/>
          <w:color w:val="auto"/>
          <w:sz w:val="24"/>
          <w:szCs w:val="24"/>
          <w:highlight w:val="none"/>
        </w:rPr>
      </w:pPr>
      <w:bookmarkStart w:id="90" w:name="_Toc254970536"/>
      <w:bookmarkStart w:id="91" w:name="_Toc254970677"/>
      <w:r>
        <w:rPr>
          <w:rFonts w:hint="eastAsia" w:ascii="宋体" w:hAnsi="宋体" w:cs="宋体"/>
          <w:b/>
          <w:bCs/>
          <w:color w:val="auto"/>
          <w:sz w:val="24"/>
          <w:szCs w:val="24"/>
          <w:highlight w:val="none"/>
        </w:rPr>
        <w:t>（一）投标文件的组成</w:t>
      </w:r>
      <w:bookmarkEnd w:id="90"/>
      <w:bookmarkEnd w:id="91"/>
    </w:p>
    <w:p>
      <w:pPr>
        <w:tabs>
          <w:tab w:val="left" w:pos="3870"/>
          <w:tab w:val="left" w:pos="4085"/>
        </w:tabs>
        <w:snapToGrid w:val="0"/>
        <w:spacing w:line="360" w:lineRule="exact"/>
        <w:ind w:firstLine="480" w:firstLineChars="200"/>
        <w:jc w:val="left"/>
        <w:rPr>
          <w:rFonts w:ascii="宋体" w:cs="宋体"/>
          <w:b/>
          <w:bCs/>
          <w:color w:val="auto"/>
          <w:sz w:val="24"/>
          <w:szCs w:val="24"/>
          <w:highlight w:val="none"/>
        </w:rPr>
      </w:pPr>
      <w:r>
        <w:rPr>
          <w:rFonts w:hint="eastAsia" w:ascii="宋体" w:hAnsi="宋体" w:cs="宋体"/>
          <w:color w:val="auto"/>
          <w:sz w:val="24"/>
          <w:szCs w:val="24"/>
          <w:highlight w:val="none"/>
        </w:rPr>
        <w:t>投标文件由资格审查文件、商务文件、技术文件、投标报价文件组成。</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资格审查文件（必须提供）</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）法人或者其他组织的营业执照复印件等证明文件复印件，（投标人属自然人的提供自然人的身份证明）。</w:t>
      </w:r>
    </w:p>
    <w:p>
      <w:pPr>
        <w:pStyle w:val="25"/>
        <w:snapToGrid w:val="0"/>
        <w:spacing w:line="360" w:lineRule="exact"/>
        <w:ind w:firstLine="354" w:firstLineChars="147"/>
        <w:rPr>
          <w:rFonts w:hAnsi="宋体" w:cs="Times New Roman"/>
          <w:b/>
          <w:bCs/>
          <w:color w:val="auto"/>
          <w:sz w:val="24"/>
          <w:szCs w:val="24"/>
          <w:highlight w:val="none"/>
        </w:rPr>
      </w:pPr>
      <w:r>
        <w:rPr>
          <w:rFonts w:hint="eastAsia" w:hAnsi="宋体"/>
          <w:b/>
          <w:bCs/>
          <w:color w:val="auto"/>
          <w:sz w:val="24"/>
          <w:szCs w:val="24"/>
          <w:highlight w:val="none"/>
        </w:rPr>
        <w:t>注：</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1</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法人包括企业法人、机关法人和社会团体法人；其他组织主要包括合伙企业、非企业专业服务机构、个体工商户、农村承包经营户。</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2</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投标人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5"/>
        <w:snapToGrid w:val="0"/>
        <w:spacing w:line="360" w:lineRule="exact"/>
        <w:ind w:firstLine="352" w:firstLineChars="147"/>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投标人半年内连续三个月的依法缴纳社保费的缴费凭证（复印件，原件备查，格式自拟）（必须提供）；无缴费记录的，应提供由投标人所在地社保部门出具的《依法缴纳或依法免缴社保费证明》（格式自拟，复印件，原件备查）。</w:t>
      </w:r>
    </w:p>
    <w:p>
      <w:pPr>
        <w:pStyle w:val="25"/>
        <w:spacing w:line="360" w:lineRule="exact"/>
        <w:ind w:firstLine="352" w:firstLineChars="147"/>
        <w:rPr>
          <w:color w:val="auto"/>
          <w:highlight w:val="none"/>
        </w:rPr>
      </w:pPr>
      <w:commentRangeStart w:id="2"/>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201</w:t>
      </w:r>
      <w:r>
        <w:rPr>
          <w:rFonts w:hint="eastAsia" w:hAnsi="宋体"/>
          <w:color w:val="auto"/>
          <w:sz w:val="24"/>
          <w:szCs w:val="24"/>
          <w:highlight w:val="none"/>
        </w:rPr>
        <w:t>7年、</w:t>
      </w:r>
      <w:r>
        <w:rPr>
          <w:rFonts w:hAnsi="宋体"/>
          <w:color w:val="auto"/>
          <w:sz w:val="24"/>
          <w:szCs w:val="24"/>
          <w:highlight w:val="none"/>
        </w:rPr>
        <w:t>2018</w:t>
      </w:r>
      <w:r>
        <w:rPr>
          <w:rFonts w:hint="eastAsia" w:hAnsi="宋体"/>
          <w:color w:val="auto"/>
          <w:sz w:val="24"/>
          <w:szCs w:val="24"/>
          <w:highlight w:val="none"/>
        </w:rPr>
        <w:t>年、</w:t>
      </w:r>
      <w:r>
        <w:rPr>
          <w:rFonts w:hAnsi="宋体"/>
          <w:color w:val="auto"/>
          <w:sz w:val="24"/>
          <w:szCs w:val="24"/>
          <w:highlight w:val="none"/>
        </w:rPr>
        <w:t>2019</w:t>
      </w:r>
      <w:r>
        <w:rPr>
          <w:rFonts w:hint="eastAsia" w:hAnsi="宋体"/>
          <w:color w:val="auto"/>
          <w:sz w:val="24"/>
          <w:szCs w:val="24"/>
          <w:highlight w:val="none"/>
        </w:rPr>
        <w:t>年</w:t>
      </w:r>
      <w:r>
        <w:rPr>
          <w:rFonts w:hAnsi="宋体"/>
          <w:color w:val="auto"/>
          <w:sz w:val="24"/>
          <w:highlight w:val="none"/>
        </w:rPr>
        <w:t>财务状况报告</w:t>
      </w:r>
      <w:r>
        <w:rPr>
          <w:rFonts w:hint="eastAsia" w:hAnsi="宋体"/>
          <w:color w:val="auto"/>
          <w:sz w:val="24"/>
          <w:highlight w:val="none"/>
        </w:rPr>
        <w:t>（供应商近三年的经会计师事务所或审计机构审计的财务会计报表，包括资产负债表、现金流量表、利润表、财务情况说明书和审计报告；若为新成立的企业，可根据实际情况提供月度财务报表，或供应商开户行2019年以来出具的银行资信证明文件复印件，格式自拟，如有请提供）</w:t>
      </w:r>
      <w:r>
        <w:rPr>
          <w:rFonts w:hint="eastAsia" w:hAnsi="宋体"/>
          <w:color w:val="auto"/>
          <w:sz w:val="24"/>
          <w:szCs w:val="24"/>
          <w:highlight w:val="none"/>
        </w:rPr>
        <w:t>。</w:t>
      </w:r>
      <w:commentRangeEnd w:id="2"/>
      <w:r>
        <w:rPr>
          <w:rStyle w:val="43"/>
          <w:rFonts w:ascii="Times New Roman" w:hAnsi="Times New Roman" w:cs="Times New Roman"/>
          <w:color w:val="auto"/>
          <w:highlight w:val="none"/>
        </w:rPr>
        <w:commentReference w:id="2"/>
      </w:r>
    </w:p>
    <w:p>
      <w:pPr>
        <w:pStyle w:val="25"/>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（5）投标人参加政府采购活动前</w:t>
      </w:r>
      <w:r>
        <w:rPr>
          <w:rFonts w:hAnsi="宋体"/>
          <w:color w:val="auto"/>
          <w:sz w:val="24"/>
          <w:szCs w:val="24"/>
          <w:highlight w:val="none"/>
        </w:rPr>
        <w:t>3</w:t>
      </w:r>
      <w:r>
        <w:rPr>
          <w:rFonts w:hint="eastAsia" w:hAnsi="宋体"/>
          <w:color w:val="auto"/>
          <w:sz w:val="24"/>
          <w:szCs w:val="24"/>
          <w:highlight w:val="none"/>
        </w:rPr>
        <w:t>年内在经营活动中没有重大违法记录的书面声明。</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商务文件</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▲必须提供项目</w:t>
      </w:r>
      <w:r>
        <w:rPr>
          <w:rFonts w:ascii="宋体" w:hAnsi="宋体" w:cs="宋体"/>
          <w:b/>
          <w:bCs/>
          <w:color w:val="auto"/>
          <w:sz w:val="24"/>
          <w:szCs w:val="24"/>
          <w:highlight w:val="none"/>
        </w:rPr>
        <w:t>:</w:t>
      </w:r>
    </w:p>
    <w:p>
      <w:pPr>
        <w:tabs>
          <w:tab w:val="left" w:pos="1305"/>
        </w:tabs>
        <w:spacing w:line="33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）投标声明书</w:t>
      </w:r>
      <w:r>
        <w:rPr>
          <w:rFonts w:ascii="宋体" w:hAnsi="宋体" w:cs="宋体"/>
          <w:color w:val="auto"/>
          <w:sz w:val="24"/>
          <w:szCs w:val="24"/>
          <w:highlight w:val="none"/>
        </w:rPr>
        <w:t>(</w:t>
      </w:r>
      <w:r>
        <w:rPr>
          <w:rFonts w:hint="eastAsia" w:ascii="宋体" w:hAnsi="宋体" w:cs="宋体"/>
          <w:color w:val="auto"/>
          <w:sz w:val="24"/>
          <w:szCs w:val="24"/>
          <w:highlight w:val="none"/>
        </w:rPr>
        <w:t>格式见附件，必须提供</w:t>
      </w:r>
      <w:r>
        <w:rPr>
          <w:rFonts w:ascii="宋体" w:hAnsi="宋体" w:cs="宋体"/>
          <w:color w:val="auto"/>
          <w:sz w:val="24"/>
          <w:szCs w:val="24"/>
          <w:highlight w:val="none"/>
        </w:rPr>
        <w:t>)</w:t>
      </w:r>
    </w:p>
    <w:p>
      <w:pPr>
        <w:tabs>
          <w:tab w:val="left" w:pos="1305"/>
        </w:tabs>
        <w:spacing w:line="330" w:lineRule="exact"/>
        <w:ind w:firstLine="240" w:firstLineChars="1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）法定代表人身份证明书、相应的法定代表人身份证正反两面复印件</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投标人若为自然人的提供自然人身份证正反两面复印件，投标人若为其他组织形式无法定代表人的提供负责人身份证正反两面复印件）；</w:t>
      </w:r>
      <w:r>
        <w:rPr>
          <w:rFonts w:ascii="宋体" w:hAnsi="宋体" w:cs="宋体"/>
          <w:color w:val="auto"/>
          <w:sz w:val="24"/>
          <w:szCs w:val="24"/>
          <w:highlight w:val="none"/>
        </w:rPr>
        <w:t>(</w:t>
      </w:r>
      <w:r>
        <w:rPr>
          <w:rFonts w:hint="eastAsia" w:ascii="宋体" w:hAnsi="宋体" w:cs="宋体"/>
          <w:color w:val="auto"/>
          <w:sz w:val="24"/>
          <w:szCs w:val="24"/>
          <w:highlight w:val="none"/>
        </w:rPr>
        <w:t>格式见附件，必须提供</w:t>
      </w:r>
      <w:r>
        <w:rPr>
          <w:rFonts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）授权委托书原件、委托代理人身份证正反面复印件（格式见附件，委托代理时必须提供）；</w:t>
      </w:r>
    </w:p>
    <w:p>
      <w:pPr>
        <w:spacing w:line="360" w:lineRule="exact"/>
        <w:ind w:left="141" w:leftChars="67" w:firstLine="120" w:firstLineChars="5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）商务条款偏离表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格式见附件，必须提供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）拟投入人员配备情况表；（格式自拟，必须提供）；</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可作为投标人资信评分的资质证明材料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可选</w:t>
      </w:r>
      <w:r>
        <w:rPr>
          <w:rFonts w:ascii="宋体" w:hAnsi="宋体" w:cs="宋体"/>
          <w:b/>
          <w:bCs/>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）承接过类似业绩</w:t>
      </w:r>
      <w:r>
        <w:rPr>
          <w:rFonts w:ascii="宋体" w:hAnsi="宋体" w:cs="宋体"/>
          <w:color w:val="auto"/>
          <w:sz w:val="24"/>
          <w:szCs w:val="24"/>
          <w:highlight w:val="none"/>
        </w:rPr>
        <w:t>(</w:t>
      </w:r>
      <w:r>
        <w:rPr>
          <w:rFonts w:hint="eastAsia" w:ascii="宋体" w:hAnsi="宋体" w:cs="宋体"/>
          <w:color w:val="auto"/>
          <w:sz w:val="24"/>
          <w:szCs w:val="24"/>
          <w:highlight w:val="none"/>
        </w:rPr>
        <w:t>提供合同复印件</w:t>
      </w:r>
      <w:r>
        <w:rPr>
          <w:rFonts w:ascii="宋体" w:hAnsi="宋体" w:cs="宋体"/>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）其他特殊资质证书</w:t>
      </w:r>
      <w:r>
        <w:rPr>
          <w:rFonts w:ascii="宋体" w:hAnsi="宋体" w:cs="宋体"/>
          <w:color w:val="auto"/>
          <w:sz w:val="24"/>
          <w:szCs w:val="24"/>
          <w:highlight w:val="none"/>
        </w:rPr>
        <w:t>(</w:t>
      </w:r>
      <w:r>
        <w:rPr>
          <w:rFonts w:hint="eastAsia" w:ascii="宋体" w:hAnsi="宋体" w:cs="宋体"/>
          <w:color w:val="auto"/>
          <w:sz w:val="24"/>
          <w:szCs w:val="24"/>
          <w:highlight w:val="none"/>
        </w:rPr>
        <w:t>如本地化服务能力等</w:t>
      </w:r>
      <w:r>
        <w:rPr>
          <w:rFonts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）质量管理和质量保证体系等方面的认证证书</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）投标人认为可以证明其能力或业绩的其他材料</w:t>
      </w:r>
      <w:r>
        <w:rPr>
          <w:rFonts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技术文件</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）技术资料表（必须提供）；</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）技术方案（格式自拟，如有请提供）；</w:t>
      </w:r>
    </w:p>
    <w:p>
      <w:pPr>
        <w:spacing w:line="360" w:lineRule="exact"/>
        <w:ind w:left="141" w:leftChars="67"/>
        <w:rPr>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）项目进度安排与服务承诺书（应据项目实际要求描述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格式自拟，如有请提供）</w:t>
      </w:r>
    </w:p>
    <w:p>
      <w:pPr>
        <w:spacing w:line="360" w:lineRule="exact"/>
        <w:ind w:left="141" w:leftChars="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）项目实施人员一览表（格式自拟，如有请提供）；</w:t>
      </w:r>
    </w:p>
    <w:p>
      <w:pPr>
        <w:spacing w:line="360" w:lineRule="exact"/>
        <w:ind w:left="141" w:leftChars="67"/>
        <w:rPr>
          <w:rFonts w:ascii="宋体" w:cs="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）投标人需要说明的其他文件和说明</w:t>
      </w:r>
      <w:r>
        <w:rPr>
          <w:rFonts w:ascii="宋体" w:hAnsi="宋体" w:cs="宋体"/>
          <w:color w:val="auto"/>
          <w:sz w:val="24"/>
          <w:szCs w:val="24"/>
          <w:highlight w:val="none"/>
        </w:rPr>
        <w:t>(</w:t>
      </w:r>
      <w:r>
        <w:rPr>
          <w:rFonts w:hint="eastAsia" w:ascii="宋体" w:hAnsi="宋体" w:cs="宋体"/>
          <w:color w:val="auto"/>
          <w:sz w:val="24"/>
          <w:szCs w:val="24"/>
          <w:highlight w:val="none"/>
        </w:rPr>
        <w:t>格式自拟，如有请提供）；</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报价文件</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投标函</w:t>
      </w:r>
      <w:r>
        <w:rPr>
          <w:rFonts w:ascii="宋体" w:hAnsi="宋体" w:cs="宋体"/>
          <w:color w:val="auto"/>
          <w:sz w:val="24"/>
          <w:szCs w:val="24"/>
          <w:highlight w:val="none"/>
        </w:rPr>
        <w:t>(</w:t>
      </w:r>
      <w:r>
        <w:rPr>
          <w:rFonts w:hint="eastAsia" w:ascii="宋体" w:hAnsi="宋体" w:cs="宋体"/>
          <w:color w:val="auto"/>
          <w:sz w:val="24"/>
          <w:szCs w:val="24"/>
          <w:highlight w:val="none"/>
        </w:rPr>
        <w:t>格式见附件，必须提供</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投标报价明细表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格式见附件，必须提供</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投标人针对报价需要说明的其他文件和说明</w:t>
      </w:r>
      <w:r>
        <w:rPr>
          <w:rFonts w:ascii="宋体" w:hAnsi="宋体" w:cs="宋体"/>
          <w:color w:val="auto"/>
          <w:sz w:val="24"/>
          <w:szCs w:val="24"/>
          <w:highlight w:val="none"/>
        </w:rPr>
        <w:t>(</w:t>
      </w:r>
      <w:r>
        <w:rPr>
          <w:rFonts w:hint="eastAsia" w:ascii="宋体" w:hAnsi="宋体" w:cs="宋体"/>
          <w:color w:val="auto"/>
          <w:sz w:val="24"/>
          <w:szCs w:val="24"/>
          <w:highlight w:val="none"/>
        </w:rPr>
        <w:t>格式自拟，如有请提供</w:t>
      </w:r>
      <w:r>
        <w:rPr>
          <w:rFonts w:ascii="宋体" w:hAnsi="宋体" w:cs="宋体"/>
          <w:color w:val="auto"/>
          <w:sz w:val="24"/>
          <w:szCs w:val="24"/>
          <w:highlight w:val="none"/>
        </w:rPr>
        <w:t>);</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单独分册，格式见附件，必须提供</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法定代表人授权委托书必须由法定代表人签名（或盖章）并加盖单位公章；投标声明书、投标函、开标一览表必须由法定代表人或授权代表签名（或盖章）并加盖单位公章。</w:t>
      </w:r>
    </w:p>
    <w:p>
      <w:pPr>
        <w:pStyle w:val="18"/>
        <w:numPr>
          <w:ilvl w:val="255"/>
          <w:numId w:val="0"/>
        </w:numPr>
        <w:ind w:firstLine="241" w:firstLineChars="100"/>
        <w:rPr>
          <w:rFonts w:ascii="宋体" w:hAnsi="宋体" w:cs="宋体"/>
          <w:b/>
          <w:bCs/>
          <w:color w:val="auto"/>
          <w:highlight w:val="none"/>
        </w:rPr>
      </w:pPr>
      <w:r>
        <w:rPr>
          <w:rFonts w:hint="eastAsia" w:ascii="宋体" w:hAnsi="宋体" w:cs="宋体"/>
          <w:b/>
          <w:bCs/>
          <w:color w:val="auto"/>
          <w:highlight w:val="none"/>
        </w:rPr>
        <w:t>5.投标文件电子版（U盘）</w:t>
      </w:r>
    </w:p>
    <w:p>
      <w:pPr>
        <w:pStyle w:val="18"/>
        <w:numPr>
          <w:ilvl w:val="255"/>
          <w:numId w:val="0"/>
        </w:numPr>
        <w:ind w:firstLine="241" w:firstLineChars="100"/>
        <w:rPr>
          <w:b/>
          <w:bCs/>
          <w:color w:val="auto"/>
          <w:highlight w:val="none"/>
        </w:rPr>
      </w:pPr>
      <w:r>
        <w:rPr>
          <w:rFonts w:hint="eastAsia" w:ascii="宋体" w:hAnsi="宋体" w:cs="宋体"/>
          <w:b/>
          <w:bCs/>
          <w:color w:val="auto"/>
          <w:highlight w:val="none"/>
        </w:rPr>
        <w:t>6.演示录制声像视频U盘1份（如有，请提供）。</w:t>
      </w:r>
    </w:p>
    <w:p>
      <w:pPr>
        <w:snapToGrid w:val="0"/>
        <w:spacing w:line="360" w:lineRule="exact"/>
        <w:jc w:val="left"/>
        <w:rPr>
          <w:rFonts w:ascii="宋体" w:cs="宋体"/>
          <w:b/>
          <w:bCs/>
          <w:color w:val="auto"/>
          <w:sz w:val="24"/>
          <w:szCs w:val="24"/>
          <w:highlight w:val="none"/>
        </w:rPr>
      </w:pPr>
      <w:bookmarkStart w:id="92" w:name="_Toc254970537"/>
      <w:bookmarkStart w:id="93" w:name="_Toc254970678"/>
      <w:r>
        <w:rPr>
          <w:rFonts w:hint="eastAsia" w:ascii="宋体" w:hAnsi="宋体" w:cs="宋体"/>
          <w:b/>
          <w:bCs/>
          <w:color w:val="auto"/>
          <w:sz w:val="24"/>
          <w:szCs w:val="24"/>
          <w:highlight w:val="none"/>
        </w:rPr>
        <w:t>（二）投标文件的语言及计量</w:t>
      </w:r>
      <w:bookmarkEnd w:id="92"/>
      <w:bookmarkEnd w:id="93"/>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宋体" w:cs="宋体"/>
          <w:b/>
          <w:bCs/>
          <w:color w:val="auto"/>
          <w:sz w:val="24"/>
          <w:szCs w:val="24"/>
          <w:highlight w:val="none"/>
        </w:rPr>
      </w:pPr>
      <w:bookmarkStart w:id="94" w:name="_Toc254970679"/>
      <w:bookmarkStart w:id="95" w:name="_Toc254970538"/>
      <w:r>
        <w:rPr>
          <w:rFonts w:hint="eastAsia" w:ascii="宋体" w:hAnsi="宋体" w:cs="宋体"/>
          <w:b/>
          <w:bCs/>
          <w:color w:val="auto"/>
          <w:sz w:val="24"/>
          <w:szCs w:val="24"/>
          <w:highlight w:val="none"/>
        </w:rPr>
        <w:t>（三）投标报价</w:t>
      </w:r>
      <w:bookmarkEnd w:id="94"/>
      <w:bookmarkEnd w:id="95"/>
    </w:p>
    <w:p>
      <w:pPr>
        <w:pStyle w:val="25"/>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投标报价应按招标文件中相关附表格式填写。</w:t>
      </w:r>
    </w:p>
    <w:p>
      <w:pPr>
        <w:pStyle w:val="25"/>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投标报价是履行合同的最终价格，应包括服务、以及培训等一切税金和费用。</w:t>
      </w:r>
    </w:p>
    <w:p>
      <w:pPr>
        <w:pStyle w:val="25"/>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投标文件只允许有一个报价，有选择的或有条件的报价将不予接受。</w:t>
      </w:r>
    </w:p>
    <w:p>
      <w:pPr>
        <w:pStyle w:val="14"/>
        <w:widowControl w:val="0"/>
        <w:tabs>
          <w:tab w:val="clear" w:pos="840"/>
          <w:tab w:val="clear" w:pos="900"/>
        </w:tabs>
        <w:snapToGrid w:val="0"/>
        <w:spacing w:line="360" w:lineRule="exact"/>
        <w:ind w:left="0" w:firstLine="0"/>
        <w:rPr>
          <w:rFonts w:ascii="宋体" w:cs="宋体"/>
          <w:b/>
          <w:bCs/>
          <w:color w:val="auto"/>
          <w:highlight w:val="none"/>
        </w:rPr>
      </w:pPr>
      <w:r>
        <w:rPr>
          <w:rFonts w:hint="eastAsia" w:ascii="宋体" w:hAnsi="宋体" w:cs="宋体"/>
          <w:b/>
          <w:bCs/>
          <w:color w:val="auto"/>
          <w:highlight w:val="none"/>
        </w:rPr>
        <w:t>（四）投标文件的有效期</w:t>
      </w:r>
    </w:p>
    <w:p>
      <w:pPr>
        <w:pStyle w:val="14"/>
        <w:widowControl w:val="0"/>
        <w:tabs>
          <w:tab w:val="clear" w:pos="454"/>
        </w:tabs>
        <w:snapToGrid w:val="0"/>
        <w:spacing w:line="360" w:lineRule="exact"/>
        <w:ind w:left="0" w:firstLine="48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投标文件有效期按投标人须知前附表规定的时间。有效期不足的投标文件将被拒绝。</w:t>
      </w:r>
    </w:p>
    <w:p>
      <w:pPr>
        <w:pStyle w:val="14"/>
        <w:widowControl w:val="0"/>
        <w:tabs>
          <w:tab w:val="clear" w:pos="454"/>
        </w:tabs>
        <w:snapToGrid w:val="0"/>
        <w:spacing w:line="360" w:lineRule="exact"/>
        <w:ind w:left="0" w:firstLine="48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在特殊情况下，招标人可与投标人协商延长投标书的有效期，这种要求和答复均以书面形式进行。</w:t>
      </w:r>
    </w:p>
    <w:p>
      <w:pPr>
        <w:snapToGrid w:val="0"/>
        <w:spacing w:line="360" w:lineRule="exact"/>
        <w:ind w:firstLine="480" w:firstLineChars="200"/>
        <w:jc w:val="left"/>
        <w:rPr>
          <w:rFonts w:ascii="宋体" w:hAnsi="宋体" w:cs="宋体"/>
          <w:b/>
          <w:bCs/>
          <w:color w:val="auto"/>
          <w:sz w:val="24"/>
          <w:szCs w:val="24"/>
          <w:highlight w:val="none"/>
        </w:rPr>
      </w:pPr>
      <w:bookmarkStart w:id="96" w:name="_Toc254970680"/>
      <w:bookmarkStart w:id="97" w:name="_Toc254970539"/>
      <w:r>
        <w:rPr>
          <w:rFonts w:ascii="宋体" w:hAnsi="宋体" w:cs="宋体"/>
          <w:color w:val="auto"/>
          <w:sz w:val="24"/>
          <w:szCs w:val="24"/>
          <w:highlight w:val="none"/>
        </w:rPr>
        <w:t>3.</w:t>
      </w:r>
      <w:r>
        <w:rPr>
          <w:rFonts w:hint="eastAsia" w:ascii="宋体" w:hAnsi="宋体" w:cs="宋体"/>
          <w:color w:val="auto"/>
          <w:sz w:val="24"/>
          <w:szCs w:val="24"/>
          <w:highlight w:val="none"/>
        </w:rPr>
        <w:t>投标人可拒绝接受延期要求，但不能修改投标文件。</w:t>
      </w:r>
      <w:bookmarkEnd w:id="96"/>
      <w:bookmarkEnd w:id="97"/>
    </w:p>
    <w:p>
      <w:pPr>
        <w:snapToGrid w:val="0"/>
        <w:spacing w:line="360" w:lineRule="exact"/>
        <w:ind w:firstLine="480" w:firstLineChars="200"/>
        <w:jc w:val="left"/>
        <w:rPr>
          <w:rFonts w:ascii="宋体" w:cs="宋体"/>
          <w:b/>
          <w:bCs/>
          <w:color w:val="auto"/>
          <w:sz w:val="24"/>
          <w:szCs w:val="24"/>
          <w:highlight w:val="none"/>
        </w:rPr>
      </w:pPr>
      <w:bookmarkStart w:id="98" w:name="_Toc254970681"/>
      <w:bookmarkStart w:id="99" w:name="_Toc254970540"/>
      <w:r>
        <w:rPr>
          <w:rFonts w:ascii="宋体" w:hAnsi="宋体" w:cs="宋体"/>
          <w:color w:val="auto"/>
          <w:sz w:val="24"/>
          <w:szCs w:val="24"/>
          <w:highlight w:val="none"/>
        </w:rPr>
        <w:t>4.</w:t>
      </w:r>
      <w:r>
        <w:rPr>
          <w:rFonts w:hint="eastAsia" w:ascii="宋体" w:hAnsi="宋体" w:cs="宋体"/>
          <w:color w:val="auto"/>
          <w:sz w:val="24"/>
          <w:szCs w:val="24"/>
          <w:highlight w:val="none"/>
        </w:rPr>
        <w:t>中标人的投标文件自开标之日起至合同履行完毕止均应保持有效。</w:t>
      </w:r>
      <w:bookmarkEnd w:id="98"/>
      <w:bookmarkEnd w:id="99"/>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（六）投标文件的编制</w:t>
      </w:r>
    </w:p>
    <w:p>
      <w:pPr>
        <w:snapToGrid w:val="0"/>
        <w:spacing w:line="360" w:lineRule="exact"/>
        <w:ind w:firstLine="480" w:firstLineChars="200"/>
        <w:jc w:val="left"/>
        <w:rPr>
          <w:rFonts w:ascii="宋体" w:cs="宋体"/>
          <w:color w:val="auto"/>
          <w:sz w:val="24"/>
          <w:szCs w:val="24"/>
          <w:highlight w:val="none"/>
        </w:rPr>
      </w:pPr>
      <w:bookmarkStart w:id="100" w:name="_Toc254970684"/>
      <w:bookmarkStart w:id="101" w:name="_Toc254970543"/>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投标文件正本一份，副本份数见“投标人须知前附表”。正本和副本的封面上应清楚地标记“正本”或“副本”的字样。书面投标文件副本与书面投标文件正本不符，以投标文件正本为准。</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投标文件的正本需打印或用不褪色的墨水填写，投标文件正本除本投标人须知中规定的可提供复印件外均须提供原件。副本可为正本的复印件。</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4. </w:t>
      </w:r>
      <w:r>
        <w:rPr>
          <w:rFonts w:hint="eastAsia" w:hAnsi="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投标文件不得涂改，若有修改错漏处，须加盖单位公章或者法定代表人或授权委托人签字或盖章。投标文件因字迹潦草或表达不清或提供的资料模糊不清所引起的后果由投标人负责。</w:t>
      </w:r>
    </w:p>
    <w:p>
      <w:pPr>
        <w:pStyle w:val="25"/>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四、投标</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（一）投标文件的密封</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．投标文件应按“投标人须知前附表”的要求进行包装。</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．投标文件封套上应写明的其他内容见“投标人须知前附表”。</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（二）投标文件的递交</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投标人应在“投标人须知前附表”规定的投标文件递交截止时间前递交投标文件。</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投标人递交投标文件的地点：见“投标人须知前附表”。</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除“投标人须知前附表”另有规定外，投标人所递交的投标文件不予退还。</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招标人收到投标文件后，向投标人出具签收凭证。</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逾期送达的或者未送达指定地点的投标文件，招标人不予受理。</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（三）投标文件的修改与撤回</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在“投标人须知前附表”规定的投标文件递交截止时间前，投标人可以补充、修改或撤回已递交的投标文件，但应以书面形式通知招标人或者招标代理机构。</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投标人补充、修改或撤回已递交投标文件的书面通知，应按照本章第三、投标文件第（六）、投标文件第</w:t>
      </w:r>
      <w:r>
        <w:rPr>
          <w:rFonts w:hAnsi="宋体"/>
          <w:color w:val="auto"/>
          <w:sz w:val="24"/>
          <w:szCs w:val="24"/>
          <w:highlight w:val="none"/>
        </w:rPr>
        <w:t>4</w:t>
      </w:r>
      <w:r>
        <w:rPr>
          <w:rFonts w:hint="eastAsia" w:hAnsi="宋体"/>
          <w:color w:val="auto"/>
          <w:sz w:val="24"/>
          <w:szCs w:val="24"/>
          <w:highlight w:val="none"/>
        </w:rPr>
        <w:t>款的要求签字和盖章。招标人或招标代理机构收到书面通知后，向投标人出具签收凭证。</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修改的内容为投标文件的组成部分。修改的投标文件应按照本章第三、投标文件和第四、投标第（一）投标文件密封规定进行编制、密封、标记和递交，并标明“修改”字样。</w:t>
      </w:r>
    </w:p>
    <w:p>
      <w:pPr>
        <w:pStyle w:val="25"/>
        <w:spacing w:line="360" w:lineRule="exact"/>
        <w:ind w:firstLine="480" w:firstLineChars="200"/>
        <w:rPr>
          <w:rFonts w:hAnsi="宋体" w:cs="Times New Roman"/>
          <w:color w:val="auto"/>
          <w:sz w:val="24"/>
          <w:szCs w:val="24"/>
          <w:highlight w:val="none"/>
        </w:rPr>
      </w:pPr>
    </w:p>
    <w:bookmarkEnd w:id="100"/>
    <w:bookmarkEnd w:id="101"/>
    <w:p>
      <w:pPr>
        <w:pStyle w:val="20"/>
        <w:snapToGrid w:val="0"/>
        <w:spacing w:line="360" w:lineRule="exact"/>
        <w:ind w:firstLine="630" w:firstLineChars="196"/>
        <w:jc w:val="center"/>
        <w:rPr>
          <w:rFonts w:ascii="宋体" w:hAnsi="宋体" w:eastAsia="宋体" w:cs="Times New Roman"/>
          <w:b/>
          <w:bCs/>
          <w:snapToGrid w:val="0"/>
          <w:color w:val="auto"/>
          <w:highlight w:val="none"/>
        </w:rPr>
      </w:pPr>
      <w:bookmarkStart w:id="102" w:name="_Toc254970544"/>
      <w:bookmarkStart w:id="103" w:name="_Toc254970685"/>
      <w:r>
        <w:rPr>
          <w:rFonts w:hint="eastAsia" w:ascii="宋体" w:hAnsi="宋体" w:eastAsia="宋体" w:cs="宋体"/>
          <w:b/>
          <w:bCs/>
          <w:color w:val="auto"/>
          <w:highlight w:val="none"/>
        </w:rPr>
        <w:t>五、开标</w:t>
      </w:r>
      <w:bookmarkEnd w:id="102"/>
      <w:bookmarkEnd w:id="103"/>
    </w:p>
    <w:p>
      <w:pPr>
        <w:pStyle w:val="25"/>
        <w:snapToGrid w:val="0"/>
        <w:spacing w:after="120" w:line="400" w:lineRule="exact"/>
        <w:ind w:firstLine="472" w:firstLineChars="196"/>
        <w:rPr>
          <w:rFonts w:hAnsi="宋体"/>
          <w:b/>
          <w:color w:val="auto"/>
          <w:sz w:val="24"/>
          <w:szCs w:val="24"/>
          <w:highlight w:val="none"/>
        </w:rPr>
      </w:pPr>
      <w:r>
        <w:rPr>
          <w:rFonts w:hint="eastAsia" w:hAnsi="宋体"/>
          <w:b/>
          <w:color w:val="auto"/>
          <w:sz w:val="24"/>
          <w:szCs w:val="24"/>
          <w:highlight w:val="none"/>
        </w:rPr>
        <w:t>（一）投标人不参加现场开标活动。</w:t>
      </w:r>
    </w:p>
    <w:p>
      <w:pPr>
        <w:pStyle w:val="25"/>
        <w:snapToGrid w:val="0"/>
        <w:spacing w:line="400" w:lineRule="exact"/>
        <w:ind w:firstLine="472" w:firstLineChars="196"/>
        <w:rPr>
          <w:rFonts w:hAnsi="宋体"/>
          <w:b/>
          <w:color w:val="auto"/>
          <w:sz w:val="24"/>
          <w:szCs w:val="24"/>
          <w:highlight w:val="none"/>
        </w:rPr>
      </w:pPr>
      <w:r>
        <w:rPr>
          <w:rFonts w:hint="eastAsia" w:hAnsi="宋体"/>
          <w:b/>
          <w:color w:val="auto"/>
          <w:sz w:val="24"/>
          <w:szCs w:val="24"/>
          <w:highlight w:val="none"/>
        </w:rPr>
        <w:t>（二）投标文件拆封及密封性检查：</w:t>
      </w:r>
    </w:p>
    <w:p>
      <w:pPr>
        <w:pStyle w:val="25"/>
        <w:snapToGrid w:val="0"/>
        <w:spacing w:line="400" w:lineRule="exact"/>
        <w:ind w:firstLine="480" w:firstLineChars="200"/>
        <w:rPr>
          <w:rFonts w:hAnsi="宋体"/>
          <w:color w:val="auto"/>
          <w:sz w:val="24"/>
          <w:szCs w:val="24"/>
          <w:highlight w:val="none"/>
        </w:rPr>
      </w:pPr>
      <w:r>
        <w:rPr>
          <w:rFonts w:hint="eastAsia" w:hAnsi="宋体"/>
          <w:color w:val="auto"/>
          <w:sz w:val="24"/>
          <w:szCs w:val="24"/>
          <w:highlight w:val="none"/>
        </w:rPr>
        <w:t>截标后，采购代理机构工作人员在公共资源交易中心工作人员和采购人的见证下拆开投标文件包封，采购人对投标文件密封性和投标文件正副本数量进行签字确认。</w:t>
      </w:r>
    </w:p>
    <w:p>
      <w:pPr>
        <w:pStyle w:val="25"/>
        <w:snapToGrid w:val="0"/>
        <w:spacing w:line="400" w:lineRule="exact"/>
        <w:ind w:left="720" w:leftChars="228" w:hanging="241" w:hangingChars="100"/>
        <w:rPr>
          <w:rFonts w:hAnsi="宋体"/>
          <w:b/>
          <w:color w:val="auto"/>
          <w:sz w:val="24"/>
          <w:szCs w:val="24"/>
          <w:highlight w:val="none"/>
        </w:rPr>
      </w:pPr>
      <w:r>
        <w:rPr>
          <w:rFonts w:hint="eastAsia" w:hAnsi="宋体"/>
          <w:b/>
          <w:color w:val="auto"/>
          <w:sz w:val="24"/>
          <w:szCs w:val="24"/>
          <w:highlight w:val="none"/>
        </w:rPr>
        <w:t>（三）关于投标人的报价</w:t>
      </w:r>
    </w:p>
    <w:p>
      <w:pPr>
        <w:pStyle w:val="25"/>
        <w:snapToGrid w:val="0"/>
        <w:spacing w:line="400" w:lineRule="exact"/>
        <w:ind w:firstLine="480" w:firstLineChars="200"/>
        <w:rPr>
          <w:rFonts w:hAnsi="宋体"/>
          <w:color w:val="auto"/>
          <w:sz w:val="24"/>
          <w:szCs w:val="24"/>
          <w:highlight w:val="none"/>
        </w:rPr>
      </w:pPr>
      <w:r>
        <w:rPr>
          <w:rFonts w:hint="eastAsia" w:hAnsi="宋体"/>
          <w:color w:val="auto"/>
          <w:sz w:val="24"/>
          <w:szCs w:val="24"/>
          <w:highlight w:val="none"/>
        </w:rPr>
        <w:t>由采购代理机构在投标文件商务技术符合性审查结束后，根据投标人的投标报价情况填写开标记录表，交由评标委员会对投标人的报价、交货期等内容进行签字确认。</w:t>
      </w:r>
    </w:p>
    <w:p>
      <w:pPr>
        <w:pStyle w:val="25"/>
        <w:snapToGrid w:val="0"/>
        <w:spacing w:line="400" w:lineRule="exact"/>
        <w:ind w:left="720" w:leftChars="228" w:hanging="241" w:hangingChars="100"/>
        <w:rPr>
          <w:rFonts w:hAnsi="宋体"/>
          <w:b/>
          <w:color w:val="auto"/>
          <w:sz w:val="24"/>
          <w:szCs w:val="24"/>
          <w:highlight w:val="none"/>
        </w:rPr>
      </w:pPr>
      <w:r>
        <w:rPr>
          <w:rFonts w:hint="eastAsia" w:hAnsi="宋体"/>
          <w:b/>
          <w:color w:val="auto"/>
          <w:sz w:val="24"/>
          <w:szCs w:val="24"/>
          <w:highlight w:val="none"/>
        </w:rPr>
        <w:t>（四）关于投标文件澄清的有关要求</w:t>
      </w:r>
    </w:p>
    <w:p>
      <w:pPr>
        <w:pStyle w:val="25"/>
        <w:snapToGrid w:val="0"/>
        <w:spacing w:line="400" w:lineRule="exact"/>
        <w:ind w:firstLine="480" w:firstLineChars="200"/>
        <w:rPr>
          <w:rFonts w:hAnsi="宋体"/>
          <w:b/>
          <w:color w:val="auto"/>
          <w:sz w:val="24"/>
          <w:szCs w:val="24"/>
          <w:highlight w:val="none"/>
        </w:rPr>
      </w:pPr>
      <w:r>
        <w:rPr>
          <w:rFonts w:hint="eastAsia" w:hAnsi="宋体"/>
          <w:color w:val="auto"/>
          <w:sz w:val="24"/>
          <w:szCs w:val="24"/>
          <w:highlight w:val="none"/>
        </w:rPr>
        <w:t>1、为便于采购代理机构或评标委员会在项目评标期间与投标人取得联系，做好评标过程中投标人对投标文件的澄清、说明或者补正等工作，投标人务必做到：</w:t>
      </w:r>
      <w:r>
        <w:rPr>
          <w:rFonts w:hint="eastAsia" w:hAnsi="宋体"/>
          <w:b/>
          <w:color w:val="auto"/>
          <w:sz w:val="24"/>
          <w:szCs w:val="24"/>
          <w:highlight w:val="none"/>
        </w:rPr>
        <w:t>“第六章投标文件格式”中“投标函（格式）”落款处的“电话”务必填写法定代表人或委托代理人的电话联系方式。</w:t>
      </w:r>
    </w:p>
    <w:p>
      <w:pPr>
        <w:pStyle w:val="25"/>
        <w:snapToGrid w:val="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pPr>
        <w:pStyle w:val="25"/>
        <w:snapToGrid w:val="0"/>
        <w:spacing w:line="400" w:lineRule="exact"/>
        <w:ind w:firstLine="480" w:firstLineChars="200"/>
        <w:rPr>
          <w:rFonts w:hAnsi="宋体"/>
          <w:color w:val="auto"/>
          <w:sz w:val="24"/>
          <w:szCs w:val="24"/>
          <w:highlight w:val="none"/>
        </w:rPr>
      </w:pPr>
      <w:r>
        <w:rPr>
          <w:rFonts w:hint="eastAsia" w:hAnsi="宋体"/>
          <w:color w:val="auto"/>
          <w:sz w:val="24"/>
          <w:szCs w:val="24"/>
          <w:highlight w:val="none"/>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5"/>
        <w:snapToGrid w:val="0"/>
        <w:spacing w:line="400" w:lineRule="exact"/>
        <w:ind w:left="720" w:leftChars="228" w:hanging="241" w:hangingChars="100"/>
        <w:rPr>
          <w:rFonts w:hAnsi="宋体"/>
          <w:b/>
          <w:color w:val="auto"/>
          <w:sz w:val="24"/>
          <w:szCs w:val="24"/>
          <w:highlight w:val="none"/>
        </w:rPr>
      </w:pPr>
      <w:r>
        <w:rPr>
          <w:rFonts w:hint="eastAsia" w:hAnsi="宋体"/>
          <w:b/>
          <w:color w:val="auto"/>
          <w:sz w:val="24"/>
          <w:szCs w:val="24"/>
          <w:highlight w:val="none"/>
        </w:rPr>
        <w:t>（五）错误修正：</w:t>
      </w:r>
    </w:p>
    <w:p>
      <w:pPr>
        <w:pStyle w:val="25"/>
        <w:snapToGrid w:val="0"/>
        <w:spacing w:line="400" w:lineRule="exact"/>
        <w:ind w:left="719" w:leftChars="228" w:hanging="240" w:hangingChars="100"/>
        <w:rPr>
          <w:rFonts w:hAnsi="宋体"/>
          <w:color w:val="auto"/>
          <w:sz w:val="24"/>
          <w:szCs w:val="24"/>
          <w:highlight w:val="none"/>
        </w:rPr>
      </w:pPr>
      <w:r>
        <w:rPr>
          <w:rFonts w:hint="eastAsia" w:hAnsi="宋体"/>
          <w:color w:val="auto"/>
          <w:sz w:val="24"/>
          <w:szCs w:val="24"/>
          <w:highlight w:val="none"/>
        </w:rPr>
        <w:t>1、开标时，开标一览表如果出现计算上的错误，修正错误的原则如下：</w:t>
      </w:r>
    </w:p>
    <w:p>
      <w:pPr>
        <w:pStyle w:val="25"/>
        <w:snapToGrid w:val="0"/>
        <w:spacing w:line="400" w:lineRule="exact"/>
        <w:ind w:firstLine="480" w:firstLineChars="200"/>
        <w:rPr>
          <w:rFonts w:hAnsi="宋体"/>
          <w:color w:val="auto"/>
          <w:sz w:val="24"/>
          <w:szCs w:val="24"/>
          <w:highlight w:val="none"/>
        </w:rPr>
      </w:pPr>
      <w:r>
        <w:rPr>
          <w:rFonts w:hint="eastAsia" w:hAnsi="宋体"/>
          <w:color w:val="auto"/>
          <w:sz w:val="24"/>
          <w:szCs w:val="24"/>
          <w:highlight w:val="none"/>
        </w:rPr>
        <w:t>（1）大写金额和小写金额不一致的，以大写金额为准；</w:t>
      </w:r>
    </w:p>
    <w:p>
      <w:pPr>
        <w:pStyle w:val="25"/>
        <w:snapToGrid w:val="0"/>
        <w:spacing w:line="400" w:lineRule="exact"/>
        <w:ind w:firstLine="480" w:firstLineChars="200"/>
        <w:rPr>
          <w:rFonts w:hAnsi="宋体"/>
          <w:color w:val="auto"/>
          <w:sz w:val="24"/>
          <w:szCs w:val="24"/>
          <w:highlight w:val="none"/>
        </w:rPr>
      </w:pPr>
      <w:r>
        <w:rPr>
          <w:rFonts w:hint="eastAsia" w:hAnsi="宋体"/>
          <w:color w:val="auto"/>
          <w:sz w:val="24"/>
          <w:szCs w:val="24"/>
          <w:highlight w:val="none"/>
        </w:rPr>
        <w:t>（2）总价金额与按单价汇总金额不一致的，以单价金额计算结果为准。</w:t>
      </w:r>
    </w:p>
    <w:p>
      <w:pPr>
        <w:pStyle w:val="25"/>
        <w:snapToGrid w:val="0"/>
        <w:spacing w:line="400" w:lineRule="exact"/>
        <w:ind w:firstLine="480" w:firstLineChars="200"/>
        <w:rPr>
          <w:rFonts w:hAnsi="宋体"/>
          <w:b/>
          <w:bCs/>
          <w:color w:val="auto"/>
          <w:sz w:val="24"/>
          <w:szCs w:val="24"/>
          <w:highlight w:val="none"/>
        </w:rPr>
      </w:pPr>
      <w:r>
        <w:rPr>
          <w:rFonts w:hint="eastAsia" w:hAnsi="宋体"/>
          <w:bCs/>
          <w:color w:val="auto"/>
          <w:sz w:val="24"/>
          <w:szCs w:val="24"/>
          <w:highlight w:val="none"/>
        </w:rPr>
        <w:t>▲</w:t>
      </w:r>
      <w:r>
        <w:rPr>
          <w:rFonts w:hint="eastAsia" w:hAnsi="宋体"/>
          <w:b/>
          <w:color w:val="auto"/>
          <w:sz w:val="24"/>
          <w:szCs w:val="24"/>
          <w:highlight w:val="none"/>
        </w:rPr>
        <w:t>同时出现两种以上不一致的，按照前款规定的顺序修正。</w:t>
      </w:r>
      <w:r>
        <w:rPr>
          <w:rFonts w:hint="eastAsia" w:hAnsi="宋体"/>
          <w:b/>
          <w:bCs/>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5"/>
        <w:snapToGrid w:val="0"/>
        <w:spacing w:line="400" w:lineRule="exact"/>
        <w:ind w:left="801" w:leftChars="267" w:hanging="240" w:hangingChars="100"/>
        <w:outlineLvl w:val="1"/>
        <w:rPr>
          <w:rFonts w:hAnsi="宋体"/>
          <w:color w:val="auto"/>
          <w:sz w:val="24"/>
          <w:szCs w:val="24"/>
          <w:highlight w:val="none"/>
        </w:rPr>
      </w:pPr>
      <w:bookmarkStart w:id="104" w:name="_Toc483648464"/>
      <w:bookmarkStart w:id="105" w:name="_Toc23769"/>
      <w:r>
        <w:rPr>
          <w:rFonts w:hint="eastAsia" w:hAnsi="宋体"/>
          <w:bCs/>
          <w:color w:val="auto"/>
          <w:sz w:val="24"/>
          <w:szCs w:val="24"/>
          <w:highlight w:val="none"/>
        </w:rPr>
        <w:t>▲</w:t>
      </w:r>
      <w:r>
        <w:rPr>
          <w:rFonts w:hint="eastAsia" w:hAnsi="宋体"/>
          <w:color w:val="auto"/>
          <w:sz w:val="24"/>
          <w:szCs w:val="24"/>
          <w:highlight w:val="none"/>
        </w:rPr>
        <w:t>2、修正后的最终投标报价若超过采购预算金额，投标人的投标文件作废标处理。</w:t>
      </w:r>
      <w:bookmarkEnd w:id="104"/>
      <w:bookmarkEnd w:id="105"/>
    </w:p>
    <w:p>
      <w:pPr>
        <w:pStyle w:val="25"/>
        <w:snapToGrid w:val="0"/>
        <w:spacing w:line="400" w:lineRule="exact"/>
        <w:ind w:left="801" w:leftChars="267" w:hanging="240" w:hangingChars="100"/>
        <w:outlineLvl w:val="1"/>
        <w:rPr>
          <w:rFonts w:hAnsi="宋体"/>
          <w:color w:val="auto"/>
          <w:sz w:val="24"/>
          <w:szCs w:val="24"/>
          <w:highlight w:val="none"/>
        </w:rPr>
      </w:pPr>
      <w:bookmarkStart w:id="106" w:name="_Toc483648465"/>
      <w:bookmarkStart w:id="107" w:name="_Toc20494"/>
      <w:r>
        <w:rPr>
          <w:rFonts w:hint="eastAsia" w:hAnsi="宋体"/>
          <w:color w:val="auto"/>
          <w:sz w:val="24"/>
          <w:szCs w:val="24"/>
          <w:highlight w:val="none"/>
        </w:rPr>
        <w:t>3、修正后的最终投标报价仅作为签订合同的一个依据，不参与价格分得分的计算</w:t>
      </w:r>
      <w:bookmarkEnd w:id="106"/>
      <w:r>
        <w:rPr>
          <w:rFonts w:hint="eastAsia" w:hAnsi="宋体"/>
          <w:color w:val="auto"/>
          <w:sz w:val="24"/>
          <w:szCs w:val="24"/>
          <w:highlight w:val="none"/>
        </w:rPr>
        <w:t>：</w:t>
      </w:r>
      <w:bookmarkEnd w:id="107"/>
    </w:p>
    <w:p>
      <w:pPr>
        <w:pStyle w:val="25"/>
        <w:snapToGrid w:val="0"/>
        <w:spacing w:line="400" w:lineRule="exact"/>
        <w:ind w:firstLine="480" w:firstLineChars="200"/>
        <w:outlineLvl w:val="1"/>
        <w:rPr>
          <w:rFonts w:hAnsi="宋体"/>
          <w:color w:val="auto"/>
          <w:sz w:val="24"/>
          <w:szCs w:val="24"/>
          <w:highlight w:val="none"/>
        </w:rPr>
      </w:pPr>
      <w:bookmarkStart w:id="108" w:name="_Toc483648466"/>
      <w:bookmarkStart w:id="109" w:name="_Toc29278"/>
      <w:r>
        <w:rPr>
          <w:rFonts w:hint="eastAsia" w:hAnsi="宋体"/>
          <w:color w:val="auto"/>
          <w:sz w:val="24"/>
          <w:szCs w:val="24"/>
          <w:highlight w:val="none"/>
        </w:rPr>
        <w:t>（1）若修正后的最终投标报价小于开标时的开标一览表文字报价，则签订合同时以修正后的最终投标报价为准；</w:t>
      </w:r>
      <w:bookmarkEnd w:id="108"/>
      <w:bookmarkEnd w:id="109"/>
    </w:p>
    <w:p>
      <w:pPr>
        <w:pStyle w:val="25"/>
        <w:snapToGrid w:val="0"/>
        <w:spacing w:after="120" w:line="400" w:lineRule="exact"/>
        <w:ind w:firstLine="480" w:firstLineChars="200"/>
        <w:rPr>
          <w:rFonts w:hAnsi="宋体"/>
          <w:color w:val="auto"/>
          <w:sz w:val="24"/>
          <w:szCs w:val="24"/>
          <w:highlight w:val="none"/>
        </w:rPr>
      </w:pPr>
      <w:r>
        <w:rPr>
          <w:rFonts w:hint="eastAsia" w:hAnsi="宋体"/>
          <w:color w:val="auto"/>
          <w:sz w:val="24"/>
          <w:szCs w:val="24"/>
          <w:highlight w:val="none"/>
        </w:rPr>
        <w:t>（2）若修正后的最终投标报价大于开标时的开标一览表文字报价，则签订合同时以开标时的开标一览表文字报价为准，同时按比例修正相应项目的单价或总价。</w:t>
      </w:r>
    </w:p>
    <w:p>
      <w:pPr>
        <w:pStyle w:val="25"/>
        <w:snapToGrid w:val="0"/>
        <w:spacing w:line="360" w:lineRule="exact"/>
        <w:ind w:left="241" w:hanging="241" w:hangingChars="100"/>
        <w:rPr>
          <w:rFonts w:hAnsi="宋体" w:cs="Times New Roman"/>
          <w:b/>
          <w:bCs/>
          <w:color w:val="auto"/>
          <w:sz w:val="24"/>
          <w:szCs w:val="24"/>
          <w:highlight w:val="none"/>
        </w:rPr>
      </w:pPr>
      <w:bookmarkStart w:id="110" w:name="_Toc254970545"/>
      <w:bookmarkStart w:id="111" w:name="_Toc254970686"/>
    </w:p>
    <w:p>
      <w:pPr>
        <w:pStyle w:val="25"/>
        <w:snapToGrid w:val="0"/>
        <w:spacing w:line="360" w:lineRule="exact"/>
        <w:ind w:left="321" w:hanging="321" w:hangingChars="100"/>
        <w:jc w:val="center"/>
        <w:rPr>
          <w:rFonts w:hAnsi="宋体" w:cs="Times New Roman"/>
          <w:b/>
          <w:bCs/>
          <w:color w:val="auto"/>
          <w:sz w:val="32"/>
          <w:szCs w:val="32"/>
          <w:highlight w:val="none"/>
        </w:rPr>
      </w:pPr>
      <w:r>
        <w:rPr>
          <w:rFonts w:hint="eastAsia" w:hAnsi="宋体"/>
          <w:b/>
          <w:bCs/>
          <w:color w:val="auto"/>
          <w:sz w:val="32"/>
          <w:szCs w:val="32"/>
          <w:highlight w:val="none"/>
        </w:rPr>
        <w:t>六、评标</w:t>
      </w:r>
    </w:p>
    <w:bookmarkEnd w:id="110"/>
    <w:bookmarkEnd w:id="111"/>
    <w:p>
      <w:pPr>
        <w:pStyle w:val="25"/>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（一）组建评标委员会</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评标委员会由采购人代表和评审专家组成，成员人数应当为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采购项目符合下列情形之一的，评标委员会成员人数应当为</w:t>
      </w:r>
      <w:r>
        <w:rPr>
          <w:rFonts w:ascii="宋体" w:hAnsi="宋体" w:cs="宋体"/>
          <w:color w:val="auto"/>
          <w:sz w:val="24"/>
          <w:szCs w:val="24"/>
          <w:highlight w:val="none"/>
        </w:rPr>
        <w:t>7</w:t>
      </w:r>
      <w:r>
        <w:rPr>
          <w:rFonts w:hint="eastAsia" w:ascii="宋体" w:hAnsi="宋体" w:cs="宋体"/>
          <w:color w:val="auto"/>
          <w:sz w:val="24"/>
          <w:szCs w:val="24"/>
          <w:highlight w:val="none"/>
        </w:rPr>
        <w:t>人以上单数：</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．采购预算金额在</w:t>
      </w:r>
      <w:r>
        <w:rPr>
          <w:rFonts w:ascii="宋体" w:hAnsi="宋体" w:cs="宋体"/>
          <w:color w:val="auto"/>
          <w:sz w:val="24"/>
          <w:szCs w:val="24"/>
          <w:highlight w:val="none"/>
        </w:rPr>
        <w:t>1000</w:t>
      </w:r>
      <w:r>
        <w:rPr>
          <w:rFonts w:hint="eastAsia" w:ascii="宋体" w:hAnsi="宋体" w:cs="宋体"/>
          <w:color w:val="auto"/>
          <w:sz w:val="24"/>
          <w:szCs w:val="24"/>
          <w:highlight w:val="none"/>
        </w:rPr>
        <w:t>万元以上；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．技术复杂；</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．社会影响较大。</w:t>
      </w:r>
    </w:p>
    <w:p>
      <w:pPr>
        <w:pStyle w:val="25"/>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（二）评标的方式</w:t>
      </w:r>
    </w:p>
    <w:p>
      <w:pPr>
        <w:pStyle w:val="25"/>
        <w:snapToGrid w:val="0"/>
        <w:spacing w:line="360" w:lineRule="exact"/>
        <w:ind w:left="210" w:leftChars="100" w:firstLine="240" w:firstLineChars="100"/>
        <w:rPr>
          <w:rFonts w:hAnsi="宋体" w:cs="Times New Roman"/>
          <w:color w:val="auto"/>
          <w:sz w:val="24"/>
          <w:szCs w:val="24"/>
          <w:highlight w:val="none"/>
        </w:rPr>
      </w:pPr>
      <w:r>
        <w:rPr>
          <w:rFonts w:hint="eastAsia" w:hAnsi="宋体"/>
          <w:color w:val="auto"/>
          <w:sz w:val="24"/>
          <w:szCs w:val="24"/>
          <w:highlight w:val="none"/>
        </w:rPr>
        <w:t>本项目采用不公开方式评标，评标的依据为招标文件和投标文件。</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（三）资格审查</w:t>
      </w:r>
    </w:p>
    <w:p>
      <w:pPr>
        <w:pStyle w:val="25"/>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采购人代表对投标人的资格进行审查。合格投标人不足</w:t>
      </w:r>
      <w:r>
        <w:rPr>
          <w:rFonts w:hAnsi="宋体"/>
          <w:color w:val="auto"/>
          <w:sz w:val="24"/>
          <w:szCs w:val="24"/>
          <w:highlight w:val="none"/>
        </w:rPr>
        <w:t>3</w:t>
      </w:r>
      <w:r>
        <w:rPr>
          <w:rFonts w:hint="eastAsia" w:hAnsi="宋体"/>
          <w:color w:val="auto"/>
          <w:sz w:val="24"/>
          <w:szCs w:val="24"/>
          <w:highlight w:val="none"/>
        </w:rPr>
        <w:t>家的，不得评标。</w:t>
      </w:r>
    </w:p>
    <w:p>
      <w:pPr>
        <w:pStyle w:val="25"/>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评标委员会仅对通过资格审查的投标人进行评审。</w:t>
      </w:r>
    </w:p>
    <w:p>
      <w:pPr>
        <w:pStyle w:val="25"/>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（四）评标程序</w:t>
      </w:r>
    </w:p>
    <w:p>
      <w:pPr>
        <w:snapToGrid w:val="0"/>
        <w:spacing w:line="36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实质审查与比较</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）评标委员会对通过资格审查的投标文件进行符合性审查。</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）评标委员会审查投标文件的实质性内容是否符合招标文件的实质性要求。</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）评标委员会将根据投标人的投标文件进行审查、核对</w:t>
      </w:r>
      <w:r>
        <w:rPr>
          <w:rFonts w:ascii="宋体" w:hAnsi="宋体" w:cs="宋体"/>
          <w:color w:val="auto"/>
          <w:sz w:val="24"/>
          <w:szCs w:val="24"/>
          <w:highlight w:val="none"/>
        </w:rPr>
        <w:t>,</w:t>
      </w:r>
      <w:r>
        <w:rPr>
          <w:rFonts w:hint="eastAsia" w:ascii="宋体" w:hAnsi="宋体" w:cs="宋体"/>
          <w:color w:val="auto"/>
          <w:sz w:val="24"/>
          <w:szCs w:val="24"/>
          <w:highlight w:val="none"/>
        </w:rPr>
        <w:t>如有疑问</w:t>
      </w:r>
      <w:r>
        <w:rPr>
          <w:rFonts w:ascii="宋体" w:hAnsi="宋体" w:cs="宋体"/>
          <w:color w:val="auto"/>
          <w:sz w:val="24"/>
          <w:szCs w:val="24"/>
          <w:highlight w:val="none"/>
        </w:rPr>
        <w:t>,</w:t>
      </w:r>
      <w:r>
        <w:rPr>
          <w:rFonts w:hint="eastAsia" w:ascii="宋体" w:hAnsi="宋体" w:cs="宋体"/>
          <w:color w:val="auto"/>
          <w:sz w:val="24"/>
          <w:szCs w:val="24"/>
          <w:highlight w:val="none"/>
        </w:rPr>
        <w:t>将对投标人进行询标</w:t>
      </w:r>
      <w:r>
        <w:rPr>
          <w:rFonts w:ascii="宋体" w:hAnsi="宋体" w:cs="宋体"/>
          <w:color w:val="auto"/>
          <w:sz w:val="24"/>
          <w:szCs w:val="24"/>
          <w:highlight w:val="none"/>
        </w:rPr>
        <w:t>,</w:t>
      </w:r>
      <w:r>
        <w:rPr>
          <w:rFonts w:hint="eastAsia" w:ascii="宋体" w:hAnsi="宋体" w:cs="宋体"/>
          <w:color w:val="auto"/>
          <w:sz w:val="24"/>
          <w:szCs w:val="24"/>
          <w:highlight w:val="none"/>
        </w:rPr>
        <w:t>投标人要向评标委员会澄清有关问题</w:t>
      </w:r>
      <w:r>
        <w:rPr>
          <w:rFonts w:ascii="宋体" w:hAnsi="宋体" w:cs="宋体"/>
          <w:color w:val="auto"/>
          <w:sz w:val="24"/>
          <w:szCs w:val="24"/>
          <w:highlight w:val="none"/>
        </w:rPr>
        <w:t>,</w:t>
      </w:r>
      <w:r>
        <w:rPr>
          <w:rFonts w:hint="eastAsia" w:ascii="宋体" w:hAnsi="宋体" w:cs="宋体"/>
          <w:color w:val="auto"/>
          <w:sz w:val="24"/>
          <w:szCs w:val="24"/>
          <w:highlight w:val="none"/>
        </w:rPr>
        <w:t>并最终以书面形式进行答复。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）各投标人的技术得分为所有评委的有效评分的算术平均数，由指定专人进行计算复核。</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）代理机构工作人员协助评标委员会根据本项目的评分标准计算各投标人的商务报价得分。</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）评标委员会完成评标后</w:t>
      </w:r>
      <w:r>
        <w:rPr>
          <w:rFonts w:ascii="宋体" w:hAnsi="宋体" w:cs="宋体"/>
          <w:color w:val="auto"/>
          <w:sz w:val="24"/>
          <w:szCs w:val="24"/>
          <w:highlight w:val="none"/>
        </w:rPr>
        <w:t>,</w:t>
      </w:r>
      <w:r>
        <w:rPr>
          <w:rFonts w:hint="eastAsia" w:ascii="宋体" w:hAnsi="宋体" w:cs="宋体"/>
          <w:color w:val="auto"/>
          <w:sz w:val="24"/>
          <w:szCs w:val="24"/>
          <w:highlight w:val="none"/>
        </w:rPr>
        <w:t>评委对各部分得分汇总</w:t>
      </w:r>
      <w:r>
        <w:rPr>
          <w:rFonts w:ascii="宋体" w:hAnsi="宋体" w:cs="宋体"/>
          <w:color w:val="auto"/>
          <w:sz w:val="24"/>
          <w:szCs w:val="24"/>
          <w:highlight w:val="none"/>
        </w:rPr>
        <w:t>,</w:t>
      </w:r>
      <w:r>
        <w:rPr>
          <w:rFonts w:hint="eastAsia" w:ascii="宋体" w:hAnsi="宋体" w:cs="宋体"/>
          <w:color w:val="auto"/>
          <w:sz w:val="24"/>
          <w:szCs w:val="24"/>
          <w:highlight w:val="none"/>
        </w:rPr>
        <w:t>计算出本项目最终得分。评标委员会按评标原则推荐中标候选人同时起草评标报告。</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（五）澄清问题的形式</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5"/>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（六）错误修正</w:t>
      </w:r>
    </w:p>
    <w:p>
      <w:pPr>
        <w:pStyle w:val="25"/>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投标文件如果出现计算或表达上的错误，修正错误的原则如下：</w:t>
      </w:r>
    </w:p>
    <w:p>
      <w:pPr>
        <w:pStyle w:val="36"/>
        <w:spacing w:before="0" w:beforeAutospacing="0" w:after="0" w:afterAutospacing="0" w:line="360" w:lineRule="exact"/>
        <w:ind w:firstLine="480" w:firstLineChars="200"/>
        <w:rPr>
          <w:rFonts w:cs="Times New Roman"/>
          <w:color w:val="auto"/>
          <w:kern w:val="2"/>
          <w:highlight w:val="none"/>
        </w:rPr>
      </w:pPr>
      <w:r>
        <w:rPr>
          <w:color w:val="auto"/>
          <w:kern w:val="2"/>
          <w:highlight w:val="none"/>
        </w:rPr>
        <w:t>1</w:t>
      </w:r>
      <w:r>
        <w:rPr>
          <w:rFonts w:hint="eastAsia"/>
          <w:color w:val="auto"/>
          <w:kern w:val="2"/>
          <w:highlight w:val="none"/>
        </w:rPr>
        <w:t>、投标文件中开标一览表（报价表）内容与投标文件中相应内容不一致的，以开标一览表（报价表）为准；</w:t>
      </w:r>
    </w:p>
    <w:p>
      <w:pPr>
        <w:pStyle w:val="36"/>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2</w:t>
      </w:r>
      <w:r>
        <w:rPr>
          <w:rFonts w:hint="eastAsia"/>
          <w:color w:val="auto"/>
          <w:kern w:val="2"/>
          <w:highlight w:val="none"/>
        </w:rPr>
        <w:t>、大写金额和小写金额不一致的，以大写金额为准；</w:t>
      </w:r>
    </w:p>
    <w:p>
      <w:pPr>
        <w:pStyle w:val="36"/>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3</w:t>
      </w:r>
      <w:r>
        <w:rPr>
          <w:rFonts w:hint="eastAsia"/>
          <w:color w:val="auto"/>
          <w:kern w:val="2"/>
          <w:highlight w:val="none"/>
        </w:rPr>
        <w:t>、单价金额小数点或者百分比有明显错位的，以开标一览表的总价为准，并修改单价；</w:t>
      </w:r>
    </w:p>
    <w:p>
      <w:pPr>
        <w:pStyle w:val="36"/>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4</w:t>
      </w:r>
      <w:r>
        <w:rPr>
          <w:rFonts w:hint="eastAsia"/>
          <w:color w:val="auto"/>
          <w:kern w:val="2"/>
          <w:highlight w:val="none"/>
        </w:rPr>
        <w:t>、总价金额与按单价汇总金额不一致的，以单价金额计算结果为准。</w:t>
      </w:r>
    </w:p>
    <w:p>
      <w:pPr>
        <w:pStyle w:val="25"/>
        <w:tabs>
          <w:tab w:val="left" w:pos="567"/>
        </w:tabs>
        <w:snapToGrid w:val="0"/>
        <w:spacing w:line="36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5"/>
        <w:tabs>
          <w:tab w:val="left" w:pos="630"/>
        </w:tabs>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（七）评标原则和评标办法</w:t>
      </w:r>
    </w:p>
    <w:p>
      <w:pPr>
        <w:pStyle w:val="25"/>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评标办法。本项目评标办法是</w:t>
      </w:r>
      <w:r>
        <w:rPr>
          <w:rFonts w:hint="eastAsia" w:hAnsi="宋体"/>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pPr>
        <w:snapToGrid w:val="0"/>
        <w:spacing w:line="400" w:lineRule="exact"/>
        <w:rPr>
          <w:rFonts w:ascii="宋体" w:cs="宋体"/>
          <w:b/>
          <w:bCs/>
          <w:color w:val="auto"/>
          <w:sz w:val="24"/>
          <w:szCs w:val="24"/>
          <w:highlight w:val="none"/>
        </w:rPr>
      </w:pPr>
      <w:r>
        <w:rPr>
          <w:rFonts w:hint="eastAsia" w:ascii="宋体" w:hAnsi="宋体" w:cs="宋体"/>
          <w:b/>
          <w:bCs/>
          <w:color w:val="auto"/>
          <w:sz w:val="24"/>
          <w:szCs w:val="24"/>
          <w:highlight w:val="none"/>
        </w:rPr>
        <w:t>（八）投标无效的情形</w:t>
      </w:r>
    </w:p>
    <w:p>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实质上没有响应招标文件要求的投标将被视为无效投标。投标人不得通过修正或撤销不合要求的偏离或保留从而使其投标成为实质上响应的投标</w:t>
      </w:r>
      <w:r>
        <w:rPr>
          <w:rFonts w:ascii="宋体" w:hAnsi="宋体" w:cs="宋体"/>
          <w:color w:val="auto"/>
          <w:sz w:val="24"/>
          <w:szCs w:val="24"/>
          <w:highlight w:val="none"/>
        </w:rPr>
        <w:t>,</w:t>
      </w:r>
      <w:r>
        <w:rPr>
          <w:rFonts w:hint="eastAsia" w:ascii="宋体" w:hAnsi="宋体" w:cs="宋体"/>
          <w:color w:val="auto"/>
          <w:sz w:val="24"/>
          <w:szCs w:val="24"/>
          <w:highlight w:val="none"/>
        </w:rPr>
        <w:t>但经评标委员会认定属于投标人疏忽、笔误所造成的差错</w:t>
      </w:r>
      <w:r>
        <w:rPr>
          <w:rFonts w:ascii="宋体" w:hAnsi="宋体" w:cs="宋体"/>
          <w:color w:val="auto"/>
          <w:sz w:val="24"/>
          <w:szCs w:val="24"/>
          <w:highlight w:val="none"/>
        </w:rPr>
        <w:t>,</w:t>
      </w:r>
      <w:r>
        <w:rPr>
          <w:rFonts w:hint="eastAsia" w:ascii="宋体" w:hAnsi="宋体" w:cs="宋体"/>
          <w:color w:val="auto"/>
          <w:sz w:val="24"/>
          <w:szCs w:val="24"/>
          <w:highlight w:val="none"/>
        </w:rPr>
        <w:t>应当允许其在评标结束之前进行修改或者补正</w:t>
      </w:r>
      <w:r>
        <w:rPr>
          <w:rFonts w:ascii="宋体" w:hAnsi="宋体" w:cs="宋体"/>
          <w:color w:val="auto"/>
          <w:sz w:val="24"/>
          <w:szCs w:val="24"/>
          <w:highlight w:val="none"/>
        </w:rPr>
        <w:t>(</w:t>
      </w:r>
      <w:r>
        <w:rPr>
          <w:rFonts w:hint="eastAsia" w:ascii="宋体" w:hAnsi="宋体" w:cs="宋体"/>
          <w:color w:val="auto"/>
          <w:sz w:val="24"/>
          <w:szCs w:val="24"/>
          <w:highlight w:val="none"/>
        </w:rPr>
        <w:t>可以是复印件、传真件等</w:t>
      </w:r>
      <w:r>
        <w:rPr>
          <w:rFonts w:ascii="宋体" w:hAnsi="宋体" w:cs="宋体"/>
          <w:color w:val="auto"/>
          <w:sz w:val="24"/>
          <w:szCs w:val="24"/>
          <w:highlight w:val="none"/>
        </w:rPr>
        <w:t>,</w:t>
      </w:r>
      <w:r>
        <w:rPr>
          <w:rFonts w:hint="eastAsia" w:ascii="宋体" w:hAnsi="宋体" w:cs="宋体"/>
          <w:color w:val="auto"/>
          <w:sz w:val="24"/>
          <w:szCs w:val="24"/>
          <w:highlight w:val="none"/>
        </w:rPr>
        <w:t>原件必须加盖单位公章</w:t>
      </w:r>
      <w:r>
        <w:rPr>
          <w:rFonts w:ascii="宋体" w:hAnsi="宋体" w:cs="宋体"/>
          <w:color w:val="auto"/>
          <w:sz w:val="24"/>
          <w:szCs w:val="24"/>
          <w:highlight w:val="none"/>
        </w:rPr>
        <w:t>)</w:t>
      </w:r>
      <w:r>
        <w:rPr>
          <w:rFonts w:hint="eastAsia" w:ascii="宋体" w:hAnsi="宋体" w:cs="宋体"/>
          <w:color w:val="auto"/>
          <w:sz w:val="24"/>
          <w:szCs w:val="24"/>
          <w:highlight w:val="none"/>
        </w:rPr>
        <w:t>。修改或者补正投标文件必须以书面形式进行</w:t>
      </w:r>
      <w:r>
        <w:rPr>
          <w:rFonts w:ascii="宋体" w:hAnsi="宋体" w:cs="宋体"/>
          <w:color w:val="auto"/>
          <w:sz w:val="24"/>
          <w:szCs w:val="24"/>
          <w:highlight w:val="none"/>
        </w:rPr>
        <w:t>,</w:t>
      </w:r>
      <w:r>
        <w:rPr>
          <w:rFonts w:hint="eastAsia" w:ascii="宋体" w:hAnsi="宋体" w:cs="宋体"/>
          <w:color w:val="auto"/>
          <w:sz w:val="24"/>
          <w:szCs w:val="24"/>
          <w:highlight w:val="none"/>
        </w:rPr>
        <w:t>并在中标结果公告之前核查原件。限期内不补正或经补正后仍不符合招标文件要求的</w:t>
      </w:r>
      <w:r>
        <w:rPr>
          <w:rFonts w:ascii="宋体" w:hAnsi="宋体" w:cs="宋体"/>
          <w:color w:val="auto"/>
          <w:sz w:val="24"/>
          <w:szCs w:val="24"/>
          <w:highlight w:val="none"/>
        </w:rPr>
        <w:t>,</w:t>
      </w:r>
      <w:r>
        <w:rPr>
          <w:rFonts w:hint="eastAsia" w:ascii="宋体" w:hAnsi="宋体" w:cs="宋体"/>
          <w:color w:val="auto"/>
          <w:sz w:val="24"/>
          <w:szCs w:val="24"/>
          <w:highlight w:val="none"/>
        </w:rPr>
        <w:t>应认定其投标无效。投标人修改、补正投标文件后</w:t>
      </w:r>
      <w:r>
        <w:rPr>
          <w:rFonts w:ascii="宋体" w:hAnsi="宋体" w:cs="宋体"/>
          <w:color w:val="auto"/>
          <w:sz w:val="24"/>
          <w:szCs w:val="24"/>
          <w:highlight w:val="none"/>
        </w:rPr>
        <w:t>,</w:t>
      </w:r>
      <w:r>
        <w:rPr>
          <w:rFonts w:hint="eastAsia" w:ascii="宋体" w:hAnsi="宋体" w:cs="宋体"/>
          <w:color w:val="auto"/>
          <w:sz w:val="24"/>
          <w:szCs w:val="24"/>
          <w:highlight w:val="none"/>
        </w:rPr>
        <w:t>不影响评标委员会对其投标文件所作的评价和评分结果。</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在资格性审查时，如发现下列情形之一的，投标文件将被视为无效：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）不符合招标公告中对投标人的资格要求的（包括超越了按照法律法规规定必须获得行政许可证或者行政审批的经营范围的）；</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）资格证明文件不全或不符合招标文件表明的资格要求的。</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在符合性审查时，如发现下列情形之一的，投标文件将被视为无效：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）投标文件无法定代表人或其授权委托代理人签字</w:t>
      </w:r>
      <w:r>
        <w:rPr>
          <w:rFonts w:ascii="宋体" w:hAnsi="宋体" w:cs="宋体"/>
          <w:color w:val="auto"/>
          <w:sz w:val="24"/>
          <w:szCs w:val="24"/>
          <w:highlight w:val="none"/>
        </w:rPr>
        <w:t>,</w:t>
      </w:r>
      <w:r>
        <w:rPr>
          <w:rFonts w:hint="eastAsia" w:ascii="宋体" w:hAnsi="宋体" w:cs="宋体"/>
          <w:color w:val="auto"/>
          <w:sz w:val="24"/>
          <w:szCs w:val="24"/>
          <w:highlight w:val="none"/>
        </w:rPr>
        <w:t>或未</w:t>
      </w:r>
      <w:r>
        <w:rPr>
          <w:rFonts w:hint="eastAsia" w:ascii="宋体" w:hAnsi="宋体" w:cs="宋体"/>
          <w:color w:val="auto"/>
          <w:kern w:val="0"/>
          <w:sz w:val="24"/>
          <w:szCs w:val="24"/>
          <w:highlight w:val="none"/>
        </w:rPr>
        <w:t>提供法定代表人授权委托书、声明书或者填写项目不齐全的；</w:t>
      </w:r>
    </w:p>
    <w:p>
      <w:pPr>
        <w:snapToGrid w:val="0"/>
        <w:spacing w:line="40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）投标代表人未能出具身份证明或与法定代表人授权委托人身份不符的；</w:t>
      </w:r>
    </w:p>
    <w:p>
      <w:pPr>
        <w:pStyle w:val="20"/>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项目不齐全或者内容虚假的；</w:t>
      </w:r>
    </w:p>
    <w:p>
      <w:pPr>
        <w:pStyle w:val="20"/>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20"/>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rPr>
        <w:t>）投标有效期、服务期限等商务条款不能满足招标文件要求的；</w:t>
      </w:r>
    </w:p>
    <w:p>
      <w:pPr>
        <w:pStyle w:val="20"/>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）未实质性响应招标文件要求或者投标文件有招标方不能接受的附加条件或者</w:t>
      </w:r>
      <w:r>
        <w:rPr>
          <w:rFonts w:hint="eastAsia" w:ascii="宋体" w:hAnsi="宋体" w:eastAsia="宋体" w:cs="宋体"/>
          <w:color w:val="auto"/>
          <w:kern w:val="0"/>
          <w:sz w:val="24"/>
          <w:szCs w:val="24"/>
          <w:highlight w:val="none"/>
        </w:rPr>
        <w:t>投标人有相互串通行为</w:t>
      </w:r>
      <w:r>
        <w:rPr>
          <w:rFonts w:hint="eastAsia" w:ascii="宋体" w:hAnsi="宋体" w:eastAsia="宋体" w:cs="宋体"/>
          <w:color w:val="auto"/>
          <w:sz w:val="24"/>
          <w:szCs w:val="24"/>
          <w:highlight w:val="none"/>
        </w:rPr>
        <w:t>的；</w:t>
      </w:r>
    </w:p>
    <w:p>
      <w:pPr>
        <w:pStyle w:val="20"/>
        <w:snapToGrid w:val="0"/>
        <w:spacing w:line="400" w:lineRule="exact"/>
        <w:ind w:firstLine="590" w:firstLineChars="246"/>
        <w:rPr>
          <w:rFonts w:ascii="宋体" w:hAnsi="宋体" w:eastAsia="宋体" w:cs="Times New Roman"/>
          <w:color w:val="auto"/>
          <w:sz w:val="24"/>
          <w:szCs w:val="24"/>
          <w:highlight w:val="none"/>
        </w:rPr>
      </w:pPr>
      <w:r>
        <w:rPr>
          <w:rFonts w:hint="eastAsia" w:ascii="宋体" w:hAnsi="宋体" w:eastAsia="宋体" w:cs="宋体"/>
          <w:snapToGrid w:val="0"/>
          <w:color w:val="auto"/>
          <w:sz w:val="24"/>
          <w:szCs w:val="24"/>
          <w:highlight w:val="none"/>
        </w:rPr>
        <w:t>（</w:t>
      </w:r>
      <w:r>
        <w:rPr>
          <w:rFonts w:ascii="宋体" w:hAnsi="宋体" w:eastAsia="宋体" w:cs="宋体"/>
          <w:snapToGrid w:val="0"/>
          <w:color w:val="auto"/>
          <w:sz w:val="24"/>
          <w:szCs w:val="24"/>
          <w:highlight w:val="none"/>
        </w:rPr>
        <w:t>8</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法律、法规规定“投标无效”或招标文件规定的其他“投标无效”的情形的。</w:t>
      </w:r>
    </w:p>
    <w:p>
      <w:pPr>
        <w:pStyle w:val="20"/>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在技术评审时，如发现下列情形之一的，投标文件将被视为无效：</w:t>
      </w:r>
    </w:p>
    <w:p>
      <w:pPr>
        <w:pStyle w:val="20"/>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）未提供或未如实提供投标服务的技术参数，或者投标文件标明的响应或偏离与事实不符或虚假投标的；</w:t>
      </w:r>
    </w:p>
    <w:p>
      <w:pPr>
        <w:pStyle w:val="20"/>
        <w:snapToGrid w:val="0"/>
        <w:spacing w:line="400" w:lineRule="exact"/>
        <w:ind w:firstLine="470" w:firstLineChars="196"/>
        <w:rPr>
          <w:rFonts w:ascii="宋体" w:hAnsi="宋体" w:eastAsia="宋体" w:cs="Times New Roman"/>
          <w:color w:val="auto"/>
          <w:sz w:val="24"/>
          <w:szCs w:val="24"/>
          <w:highlight w:val="none"/>
        </w:rPr>
      </w:pPr>
      <w:commentRangeStart w:id="3"/>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明显不符合招标文件要求的质量标准，或者与</w:t>
      </w:r>
      <w:r>
        <w:rPr>
          <w:rFonts w:hint="eastAsia" w:ascii="宋体" w:hAnsi="宋体" w:eastAsia="宋体" w:cs="宋体"/>
          <w:color w:val="auto"/>
          <w:sz w:val="24"/>
          <w:szCs w:val="24"/>
          <w:highlight w:val="none"/>
        </w:rPr>
        <w:t>招标文件中标“▲或★”的任何一项技术指标、主要功能项目或技术要求发生实质性负偏离的；</w:t>
      </w:r>
      <w:commentRangeEnd w:id="3"/>
      <w:r>
        <w:rPr>
          <w:rStyle w:val="43"/>
          <w:rFonts w:ascii="Times New Roman" w:eastAsia="宋体" w:cs="Times New Roman"/>
          <w:color w:val="auto"/>
          <w:highlight w:val="none"/>
        </w:rPr>
        <w:commentReference w:id="3"/>
      </w:r>
    </w:p>
    <w:p>
      <w:pPr>
        <w:pStyle w:val="20"/>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20"/>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在报价评审时，如发现下列情形之一的，投标文件将被视为无效：</w:t>
      </w:r>
    </w:p>
    <w:p>
      <w:pPr>
        <w:pStyle w:val="20"/>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）未采用人民币报价或者未按照招标文件标明的币种报价的；</w:t>
      </w:r>
    </w:p>
    <w:p>
      <w:pPr>
        <w:pStyle w:val="20"/>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）报价超出最高限价，或者超出总采购预算金额或分项采购预算，采购人不能支付的；</w:t>
      </w:r>
    </w:p>
    <w:p>
      <w:pPr>
        <w:pStyle w:val="20"/>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）投标报价具有选择性，或者开标价格与投标文件承诺的优惠（折扣）价格不一致的；</w:t>
      </w:r>
    </w:p>
    <w:p>
      <w:pPr>
        <w:pStyle w:val="20"/>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20"/>
        <w:snapToGrid w:val="0"/>
        <w:spacing w:line="400" w:lineRule="exact"/>
        <w:ind w:firstLine="470" w:firstLineChars="196"/>
        <w:outlineLvl w:val="0"/>
        <w:rPr>
          <w:rFonts w:ascii="宋体" w:hAnsi="宋体" w:eastAsia="宋体" w:cs="宋体"/>
          <w:color w:val="auto"/>
          <w:sz w:val="24"/>
          <w:szCs w:val="24"/>
          <w:highlight w:val="none"/>
        </w:rPr>
      </w:pPr>
      <w:bookmarkStart w:id="112" w:name="_Toc2878"/>
      <w:bookmarkStart w:id="113" w:name="_Toc25683"/>
      <w:bookmarkStart w:id="114" w:name="_Toc22501"/>
      <w:bookmarkStart w:id="115" w:name="_Toc27262"/>
      <w:bookmarkStart w:id="116" w:name="_Toc25747"/>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有下列情形之一的视为关联供应商参加同一合同项下政府采购活动，投标文件将被视为无效</w:t>
      </w:r>
      <w:r>
        <w:rPr>
          <w:rFonts w:ascii="宋体" w:hAnsi="宋体" w:eastAsia="宋体" w:cs="宋体"/>
          <w:color w:val="auto"/>
          <w:sz w:val="24"/>
          <w:szCs w:val="24"/>
          <w:highlight w:val="none"/>
        </w:rPr>
        <w:t>:</w:t>
      </w:r>
      <w:bookmarkEnd w:id="112"/>
      <w:bookmarkEnd w:id="113"/>
      <w:bookmarkEnd w:id="114"/>
      <w:bookmarkEnd w:id="115"/>
      <w:bookmarkEnd w:id="116"/>
    </w:p>
    <w:p>
      <w:pPr>
        <w:pStyle w:val="20"/>
        <w:snapToGrid w:val="0"/>
        <w:spacing w:line="400" w:lineRule="exact"/>
        <w:ind w:firstLine="470" w:firstLineChars="196"/>
        <w:outlineLvl w:val="0"/>
        <w:rPr>
          <w:rFonts w:ascii="宋体" w:hAnsi="宋体" w:eastAsia="宋体" w:cs="Times New Roman"/>
          <w:color w:val="auto"/>
          <w:sz w:val="24"/>
          <w:szCs w:val="24"/>
          <w:highlight w:val="none"/>
        </w:rPr>
      </w:pPr>
      <w:bookmarkStart w:id="117" w:name="_Toc30706"/>
      <w:bookmarkStart w:id="118" w:name="_Toc17878"/>
      <w:bookmarkStart w:id="119" w:name="_Toc31174"/>
      <w:bookmarkStart w:id="120" w:name="_Toc23032"/>
      <w:bookmarkStart w:id="121" w:name="_Toc23480"/>
      <w:r>
        <w:rPr>
          <w:rFonts w:hint="eastAsia" w:ascii="宋体" w:hAnsi="宋体" w:eastAsia="宋体" w:cs="宋体"/>
          <w:color w:val="auto"/>
          <w:sz w:val="24"/>
          <w:szCs w:val="24"/>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117"/>
      <w:bookmarkEnd w:id="118"/>
      <w:bookmarkEnd w:id="119"/>
      <w:bookmarkEnd w:id="120"/>
      <w:bookmarkEnd w:id="121"/>
    </w:p>
    <w:p>
      <w:pPr>
        <w:pStyle w:val="20"/>
        <w:snapToGrid w:val="0"/>
        <w:spacing w:line="400" w:lineRule="exact"/>
        <w:ind w:firstLine="470" w:firstLineChars="196"/>
        <w:outlineLvl w:val="0"/>
        <w:rPr>
          <w:rFonts w:ascii="宋体" w:hAnsi="宋体" w:eastAsia="宋体" w:cs="Times New Roman"/>
          <w:color w:val="auto"/>
          <w:sz w:val="24"/>
          <w:szCs w:val="24"/>
          <w:highlight w:val="none"/>
        </w:rPr>
      </w:pPr>
      <w:bookmarkStart w:id="122" w:name="_Toc3126"/>
      <w:bookmarkStart w:id="123" w:name="_Toc7850"/>
      <w:bookmarkStart w:id="124" w:name="_Toc27011"/>
      <w:bookmarkStart w:id="125" w:name="_Toc27356"/>
      <w:bookmarkStart w:id="126" w:name="_Toc16754"/>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有本须知总则特别说明（八）第</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款情形之一的视为投标人相互串通，投标文件将视为无效。</w:t>
      </w:r>
      <w:bookmarkEnd w:id="122"/>
      <w:bookmarkEnd w:id="123"/>
      <w:bookmarkEnd w:id="124"/>
      <w:bookmarkEnd w:id="125"/>
      <w:bookmarkEnd w:id="126"/>
    </w:p>
    <w:p>
      <w:pPr>
        <w:pStyle w:val="25"/>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（九）评标过程的监控</w:t>
      </w:r>
    </w:p>
    <w:p>
      <w:pPr>
        <w:pStyle w:val="25"/>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本项目评标过程实行全程录音、录像监控，投标人在评标过程中所进行的试图影响评标结果的不公正活动，可能导致其投标被拒绝。</w:t>
      </w:r>
    </w:p>
    <w:p>
      <w:pPr>
        <w:pStyle w:val="25"/>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⑵查询截止时点：中标通知书发出前；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⑷信用信息使用规则：对在“信用中国”网站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渠道列入失信被执行人、重大税收违法案件当事人名单、政府采购严重违法失信行为记录名单及其他不符合《中华人民共和国政府采购法》第二十二条规定，生产或经营本次招标采购货物的供应商条件的供应商，取消其中标候选人资格。</w:t>
      </w:r>
    </w:p>
    <w:p>
      <w:pPr>
        <w:pStyle w:val="25"/>
        <w:snapToGrid w:val="0"/>
        <w:spacing w:line="360" w:lineRule="exact"/>
        <w:rPr>
          <w:rFonts w:hAnsi="宋体" w:cs="Times New Roman"/>
          <w:b/>
          <w:bCs/>
          <w:color w:val="auto"/>
          <w:sz w:val="24"/>
          <w:szCs w:val="24"/>
          <w:highlight w:val="none"/>
        </w:rPr>
      </w:pPr>
      <w:bookmarkStart w:id="127" w:name="_Toc254970687"/>
      <w:bookmarkStart w:id="128" w:name="_Toc254970546"/>
      <w:r>
        <w:rPr>
          <w:rFonts w:hint="eastAsia" w:hAnsi="宋体"/>
          <w:b/>
          <w:bCs/>
          <w:color w:val="auto"/>
          <w:sz w:val="24"/>
          <w:szCs w:val="24"/>
          <w:highlight w:val="none"/>
        </w:rPr>
        <w:t>（十一）、评标结果</w:t>
      </w:r>
    </w:p>
    <w:bookmarkEnd w:id="127"/>
    <w:bookmarkEnd w:id="128"/>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中标供应商确定后，采购代理机构二个工作日内在原发布招标公告的网上发布中标公告。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发布中标公告的同时，采购代理机构向中标供应商发出中标通知书。</w:t>
      </w:r>
    </w:p>
    <w:p>
      <w:pPr>
        <w:pStyle w:val="25"/>
        <w:snapToGrid w:val="0"/>
        <w:spacing w:line="360" w:lineRule="exact"/>
        <w:ind w:firstLine="470" w:firstLineChars="196"/>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投标人认为招标文件、招标过程或中标结果使自己的权益受到损害的，可以在规定的期限内，以书面形式向采购代理机构提出质疑。并及时索要书面回执。</w:t>
      </w:r>
    </w:p>
    <w:p>
      <w:pPr>
        <w:pStyle w:val="25"/>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采购代理机构应当按照有关规定就采购人委托授权范围内的事项在收到投标人的书面质疑后七个工作日内做出答复，但答复的内容不得涉及商业秘密。</w:t>
      </w:r>
    </w:p>
    <w:p>
      <w:pPr>
        <w:snapToGrid w:val="0"/>
        <w:spacing w:line="36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采购代理机构无义务向未中标人退还其投标文件。</w:t>
      </w:r>
    </w:p>
    <w:p>
      <w:pPr>
        <w:pStyle w:val="25"/>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（十二）废标和重新招标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在招标过程中，出现下列情形之一的，予以废标：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符合专业条件的供应商或者对招标文件作实质响应的供应商不足三家的；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出现影响采购公正的违法、违规行为的；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投标人的报价均超过了总采购预算或分项采购预算</w:t>
      </w:r>
      <w:r>
        <w:rPr>
          <w:rFonts w:ascii="宋体" w:hAnsi="宋体" w:cs="宋体"/>
          <w:color w:val="auto"/>
          <w:sz w:val="24"/>
          <w:szCs w:val="24"/>
          <w:highlight w:val="none"/>
        </w:rPr>
        <w:t>(</w:t>
      </w:r>
      <w:r>
        <w:rPr>
          <w:rFonts w:hint="eastAsia" w:ascii="宋体" w:hAnsi="宋体" w:cs="宋体"/>
          <w:color w:val="auto"/>
          <w:sz w:val="24"/>
          <w:szCs w:val="24"/>
          <w:highlight w:val="none"/>
        </w:rPr>
        <w:t>根据项目增减</w:t>
      </w:r>
      <w:r>
        <w:rPr>
          <w:rFonts w:ascii="宋体" w:hAnsi="宋体" w:cs="宋体"/>
          <w:color w:val="auto"/>
          <w:sz w:val="24"/>
          <w:szCs w:val="24"/>
          <w:highlight w:val="none"/>
        </w:rPr>
        <w:t>)</w:t>
      </w:r>
      <w:r>
        <w:rPr>
          <w:rFonts w:hint="eastAsia" w:ascii="宋体" w:hAnsi="宋体" w:cs="宋体"/>
          <w:color w:val="auto"/>
          <w:sz w:val="24"/>
          <w:szCs w:val="24"/>
          <w:highlight w:val="none"/>
        </w:rPr>
        <w:t>，采购人不能支付的；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废标后，采购代理机构将在原政府采购信息发布媒体上公告废标理由，不再另行通知。</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重新招标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公开招标数额标准以上的采购项目，投标截止后投标人不足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家或者通过资格审查或符合性审查的投标人不足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家的，除采购任务取消情形外，按照以下方式处理：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招标文件存在不合理条款或者招标程序不符合规定的，采购人、采购代理机构改正后依法重新招标；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招标文件没有不合理条款、招标程序符合规定，需要采用其他采购方式采购的，采购人应当依法报同级财政部门批准。</w:t>
      </w:r>
    </w:p>
    <w:p>
      <w:pPr>
        <w:snapToGrid w:val="0"/>
        <w:spacing w:line="360" w:lineRule="exact"/>
        <w:rPr>
          <w:rFonts w:ascii="宋体" w:cs="宋体"/>
          <w:color w:val="auto"/>
          <w:sz w:val="24"/>
          <w:szCs w:val="24"/>
          <w:highlight w:val="none"/>
        </w:rPr>
      </w:pPr>
    </w:p>
    <w:p>
      <w:pPr>
        <w:snapToGrid w:val="0"/>
        <w:spacing w:line="360" w:lineRule="exact"/>
        <w:ind w:firstLine="630" w:firstLineChars="196"/>
        <w:jc w:val="center"/>
        <w:rPr>
          <w:rFonts w:ascii="宋体" w:cs="宋体"/>
          <w:b/>
          <w:bCs/>
          <w:color w:val="auto"/>
          <w:sz w:val="32"/>
          <w:szCs w:val="32"/>
          <w:highlight w:val="none"/>
        </w:rPr>
      </w:pPr>
      <w:r>
        <w:rPr>
          <w:rFonts w:hint="eastAsia" w:ascii="宋体" w:hAnsi="宋体" w:cs="宋体"/>
          <w:b/>
          <w:bCs/>
          <w:color w:val="auto"/>
          <w:sz w:val="32"/>
          <w:szCs w:val="32"/>
          <w:highlight w:val="none"/>
        </w:rPr>
        <w:t>七、签订合同</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（一）合同授予标准</w:t>
      </w:r>
    </w:p>
    <w:p>
      <w:pPr>
        <w:pStyle w:val="25"/>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合同将授予被确定为实质上响应招标文件要求，具备履行合同能力，综合评分排名第一的投标人。</w:t>
      </w:r>
    </w:p>
    <w:p>
      <w:pPr>
        <w:pStyle w:val="25"/>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（二）签订合同</w:t>
      </w:r>
    </w:p>
    <w:p>
      <w:pPr>
        <w:pStyle w:val="25"/>
        <w:spacing w:line="360" w:lineRule="exact"/>
        <w:ind w:firstLine="42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投标人收到中标通知书后，应按中标通知书中规定的时间、地点与采购人签订合同。</w:t>
      </w:r>
    </w:p>
    <w:p>
      <w:pPr>
        <w:pStyle w:val="25"/>
        <w:spacing w:line="360" w:lineRule="exact"/>
        <w:ind w:firstLine="425"/>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如果中标供应商不按中标通知书中规定签订合同，则按中标供应商违约处理。</w:t>
      </w:r>
    </w:p>
    <w:p>
      <w:pPr>
        <w:pStyle w:val="25"/>
        <w:spacing w:line="360" w:lineRule="exact"/>
        <w:ind w:firstLine="42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中标供应商因不可抗力或者自身原因不能履行政府采购合同的，采购人可以与中标供应商之后排名第一的中标候选供应商签订采购合同，以此类推。采购人也可以重新开展采购活动。</w:t>
      </w:r>
    </w:p>
    <w:p>
      <w:pPr>
        <w:pStyle w:val="25"/>
        <w:spacing w:line="360" w:lineRule="exact"/>
        <w:ind w:firstLine="420"/>
        <w:rPr>
          <w:rFonts w:hAnsi="宋体" w:cs="Times New Roman"/>
          <w:b/>
          <w:bCs/>
          <w:color w:val="auto"/>
          <w:sz w:val="24"/>
          <w:szCs w:val="24"/>
          <w:highlight w:val="none"/>
        </w:rPr>
      </w:pPr>
    </w:p>
    <w:p>
      <w:pPr>
        <w:pStyle w:val="25"/>
        <w:snapToGrid w:val="0"/>
        <w:spacing w:line="360" w:lineRule="exact"/>
        <w:ind w:firstLine="315" w:firstLineChars="98"/>
        <w:jc w:val="center"/>
        <w:rPr>
          <w:rFonts w:hAnsi="宋体" w:cs="Times New Roman"/>
          <w:b/>
          <w:bCs/>
          <w:color w:val="auto"/>
          <w:sz w:val="32"/>
          <w:szCs w:val="32"/>
          <w:highlight w:val="none"/>
        </w:rPr>
      </w:pPr>
      <w:r>
        <w:rPr>
          <w:rFonts w:hint="eastAsia" w:hAnsi="宋体"/>
          <w:b/>
          <w:bCs/>
          <w:color w:val="auto"/>
          <w:sz w:val="32"/>
          <w:szCs w:val="32"/>
          <w:highlight w:val="none"/>
        </w:rPr>
        <w:t>八、其他事项</w:t>
      </w:r>
    </w:p>
    <w:p>
      <w:pPr>
        <w:pStyle w:val="25"/>
        <w:snapToGrid w:val="0"/>
        <w:spacing w:line="360" w:lineRule="exact"/>
        <w:outlineLvl w:val="0"/>
        <w:rPr>
          <w:rFonts w:hAnsi="宋体" w:cs="Times New Roman"/>
          <w:b/>
          <w:bCs/>
          <w:color w:val="auto"/>
          <w:sz w:val="24"/>
          <w:szCs w:val="24"/>
          <w:highlight w:val="none"/>
        </w:rPr>
      </w:pPr>
      <w:bookmarkStart w:id="129" w:name="_Toc21936"/>
      <w:bookmarkStart w:id="130" w:name="_Toc28793"/>
      <w:bookmarkStart w:id="131" w:name="_Toc1021"/>
      <w:bookmarkStart w:id="132" w:name="_Toc14317"/>
      <w:bookmarkStart w:id="133" w:name="_Toc20857"/>
      <w:r>
        <w:rPr>
          <w:rFonts w:hint="eastAsia" w:hAnsi="宋体"/>
          <w:b/>
          <w:bCs/>
          <w:color w:val="auto"/>
          <w:sz w:val="24"/>
          <w:szCs w:val="24"/>
          <w:highlight w:val="none"/>
        </w:rPr>
        <w:t>（一）招标代理服务费</w:t>
      </w:r>
      <w:bookmarkStart w:id="134" w:name="_Toc254970689"/>
      <w:bookmarkStart w:id="135" w:name="_Toc254970548"/>
      <w:r>
        <w:rPr>
          <w:rFonts w:hint="eastAsia" w:hAnsi="宋体"/>
          <w:color w:val="auto"/>
          <w:sz w:val="24"/>
          <w:szCs w:val="24"/>
          <w:highlight w:val="none"/>
          <w:u w:val="single"/>
        </w:rPr>
        <w:t>按国家计委《招标代理服务收费管理暂行办法》（计价格</w:t>
      </w:r>
      <w:r>
        <w:rPr>
          <w:rFonts w:hAnsi="宋体"/>
          <w:color w:val="auto"/>
          <w:sz w:val="24"/>
          <w:szCs w:val="24"/>
          <w:highlight w:val="none"/>
          <w:u w:val="single"/>
        </w:rPr>
        <w:t>[2002]1980</w:t>
      </w:r>
      <w:r>
        <w:rPr>
          <w:rFonts w:hint="eastAsia" w:hAnsi="宋体"/>
          <w:color w:val="auto"/>
          <w:sz w:val="24"/>
          <w:szCs w:val="24"/>
          <w:highlight w:val="none"/>
          <w:u w:val="single"/>
        </w:rPr>
        <w:t>号）规定标准下浮20%</w:t>
      </w:r>
      <w:r>
        <w:rPr>
          <w:rFonts w:hint="eastAsia" w:hAnsi="宋体"/>
          <w:color w:val="auto"/>
          <w:sz w:val="24"/>
          <w:szCs w:val="24"/>
          <w:highlight w:val="none"/>
        </w:rPr>
        <w:t>向</w:t>
      </w:r>
      <w:r>
        <w:rPr>
          <w:rFonts w:hint="eastAsia" w:hAnsi="宋体"/>
          <w:color w:val="auto"/>
          <w:sz w:val="24"/>
          <w:szCs w:val="24"/>
          <w:highlight w:val="none"/>
          <w:u w:val="single"/>
        </w:rPr>
        <w:t>中标人</w:t>
      </w:r>
      <w:r>
        <w:rPr>
          <w:rFonts w:hint="eastAsia" w:hAnsi="宋体"/>
          <w:color w:val="auto"/>
          <w:sz w:val="24"/>
          <w:szCs w:val="24"/>
          <w:highlight w:val="none"/>
        </w:rPr>
        <w:t>收取。缴纳方式：</w:t>
      </w:r>
      <w:bookmarkEnd w:id="129"/>
      <w:r>
        <w:rPr>
          <w:rFonts w:hint="eastAsia" w:hAnsi="宋体"/>
          <w:color w:val="auto"/>
          <w:sz w:val="24"/>
          <w:szCs w:val="24"/>
          <w:highlight w:val="none"/>
        </w:rPr>
        <w:t>转账。</w:t>
      </w:r>
      <w:bookmarkEnd w:id="130"/>
      <w:bookmarkEnd w:id="131"/>
      <w:bookmarkEnd w:id="132"/>
      <w:bookmarkEnd w:id="133"/>
    </w:p>
    <w:p>
      <w:pPr>
        <w:pStyle w:val="25"/>
        <w:snapToGrid w:val="0"/>
        <w:outlineLvl w:val="0"/>
        <w:rPr>
          <w:rFonts w:hAnsi="宋体" w:cs="Times New Roman"/>
          <w:b/>
          <w:bCs/>
          <w:color w:val="auto"/>
          <w:sz w:val="30"/>
          <w:szCs w:val="30"/>
          <w:highlight w:val="none"/>
        </w:rPr>
      </w:pPr>
      <w:bookmarkStart w:id="136" w:name="_Toc18866"/>
      <w:bookmarkStart w:id="137" w:name="_Toc11441"/>
      <w:bookmarkStart w:id="138" w:name="_Toc20376"/>
      <w:bookmarkStart w:id="139" w:name="_Toc13747"/>
      <w:r>
        <w:rPr>
          <w:rFonts w:hint="eastAsia" w:hAnsi="宋体"/>
          <w:color w:val="auto"/>
          <w:sz w:val="24"/>
          <w:szCs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bookmarkEnd w:id="136"/>
      <w:bookmarkEnd w:id="137"/>
      <w:bookmarkEnd w:id="138"/>
      <w:bookmarkEnd w:id="139"/>
    </w:p>
    <w:p>
      <w:pPr>
        <w:pStyle w:val="25"/>
        <w:snapToGrid w:val="0"/>
        <w:jc w:val="center"/>
        <w:outlineLvl w:val="0"/>
        <w:rPr>
          <w:rFonts w:hAnsi="宋体" w:cs="Times New Roman"/>
          <w:b/>
          <w:bCs/>
          <w:color w:val="auto"/>
          <w:sz w:val="30"/>
          <w:szCs w:val="30"/>
          <w:highlight w:val="none"/>
        </w:rPr>
      </w:pPr>
    </w:p>
    <w:p>
      <w:pPr>
        <w:pStyle w:val="25"/>
        <w:snapToGrid w:val="0"/>
        <w:jc w:val="center"/>
        <w:outlineLvl w:val="0"/>
        <w:rPr>
          <w:rFonts w:hAnsi="宋体" w:cs="Times New Roman"/>
          <w:b/>
          <w:bCs/>
          <w:color w:val="auto"/>
          <w:sz w:val="30"/>
          <w:szCs w:val="30"/>
          <w:highlight w:val="none"/>
        </w:rPr>
      </w:pPr>
    </w:p>
    <w:p>
      <w:pPr>
        <w:pStyle w:val="25"/>
        <w:snapToGrid w:val="0"/>
        <w:jc w:val="center"/>
        <w:outlineLvl w:val="0"/>
        <w:rPr>
          <w:rFonts w:hAnsi="宋体" w:cs="Times New Roman"/>
          <w:b/>
          <w:bCs/>
          <w:color w:val="auto"/>
          <w:sz w:val="30"/>
          <w:szCs w:val="30"/>
          <w:highlight w:val="none"/>
        </w:rPr>
      </w:pPr>
    </w:p>
    <w:p>
      <w:pPr>
        <w:pStyle w:val="25"/>
        <w:snapToGrid w:val="0"/>
        <w:jc w:val="center"/>
        <w:outlineLvl w:val="0"/>
        <w:rPr>
          <w:rFonts w:hAnsi="宋体" w:cs="Times New Roman"/>
          <w:b/>
          <w:bCs/>
          <w:color w:val="auto"/>
          <w:sz w:val="30"/>
          <w:szCs w:val="30"/>
          <w:highlight w:val="none"/>
        </w:rPr>
      </w:pPr>
    </w:p>
    <w:p>
      <w:pPr>
        <w:pStyle w:val="25"/>
        <w:snapToGrid w:val="0"/>
        <w:jc w:val="center"/>
        <w:outlineLvl w:val="0"/>
        <w:rPr>
          <w:rFonts w:hAnsi="宋体"/>
          <w:b/>
          <w:bCs/>
          <w:color w:val="auto"/>
          <w:sz w:val="44"/>
          <w:szCs w:val="44"/>
          <w:highlight w:val="none"/>
        </w:rPr>
      </w:pPr>
      <w:bookmarkStart w:id="140" w:name="_Toc330"/>
      <w:bookmarkStart w:id="141" w:name="_Toc26858"/>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b/>
          <w:bCs/>
          <w:color w:val="auto"/>
          <w:sz w:val="44"/>
          <w:szCs w:val="44"/>
          <w:highlight w:val="none"/>
        </w:rPr>
      </w:pPr>
    </w:p>
    <w:p>
      <w:pPr>
        <w:pStyle w:val="25"/>
        <w:snapToGrid w:val="0"/>
        <w:jc w:val="center"/>
        <w:outlineLvl w:val="0"/>
        <w:rPr>
          <w:rFonts w:hAnsi="宋体" w:cs="Times New Roman"/>
          <w:b/>
          <w:bCs/>
          <w:color w:val="auto"/>
          <w:sz w:val="44"/>
          <w:szCs w:val="44"/>
          <w:highlight w:val="none"/>
        </w:rPr>
      </w:pPr>
      <w:bookmarkStart w:id="142" w:name="_Toc1092"/>
      <w:r>
        <w:rPr>
          <w:rFonts w:hint="eastAsia" w:hAnsi="宋体"/>
          <w:b/>
          <w:bCs/>
          <w:color w:val="auto"/>
          <w:sz w:val="44"/>
          <w:szCs w:val="44"/>
          <w:highlight w:val="none"/>
        </w:rPr>
        <w:t>第四章评标办法及评分标准</w:t>
      </w:r>
      <w:bookmarkEnd w:id="134"/>
      <w:bookmarkEnd w:id="135"/>
      <w:bookmarkEnd w:id="140"/>
      <w:bookmarkEnd w:id="141"/>
      <w:bookmarkEnd w:id="142"/>
    </w:p>
    <w:p>
      <w:pPr>
        <w:pStyle w:val="25"/>
        <w:outlineLvl w:val="0"/>
        <w:rPr>
          <w:rFonts w:hAnsi="宋体" w:cs="Times New Roman"/>
          <w:b/>
          <w:bCs/>
          <w:color w:val="auto"/>
          <w:highlight w:val="none"/>
        </w:rPr>
      </w:pPr>
      <w:bookmarkStart w:id="143" w:name="_Toc254970549"/>
      <w:bookmarkStart w:id="144" w:name="_Toc254970690"/>
    </w:p>
    <w:p>
      <w:pPr>
        <w:ind w:firstLine="420" w:firstLineChars="200"/>
        <w:jc w:val="center"/>
        <w:rPr>
          <w:rFonts w:ascii="宋体"/>
          <w:b/>
          <w:bCs/>
          <w:color w:val="auto"/>
          <w:sz w:val="32"/>
          <w:szCs w:val="32"/>
          <w:highlight w:val="none"/>
        </w:rPr>
      </w:pPr>
      <w:r>
        <w:rPr>
          <w:rFonts w:ascii="宋体"/>
          <w:color w:val="auto"/>
          <w:highlight w:val="none"/>
        </w:rPr>
        <w:br w:type="page"/>
      </w:r>
      <w:bookmarkEnd w:id="143"/>
      <w:bookmarkEnd w:id="144"/>
      <w:r>
        <w:rPr>
          <w:rFonts w:hint="eastAsia" w:ascii="宋体" w:hAnsi="宋体" w:cs="宋体"/>
          <w:b/>
          <w:bCs/>
          <w:color w:val="auto"/>
          <w:sz w:val="32"/>
          <w:szCs w:val="32"/>
          <w:highlight w:val="none"/>
        </w:rPr>
        <w:t>评标方法和评标标准（综合评分法）</w:t>
      </w:r>
    </w:p>
    <w:p>
      <w:pPr>
        <w:pStyle w:val="25"/>
        <w:ind w:firstLine="48" w:firstLineChars="20"/>
        <w:rPr>
          <w:rFonts w:hAnsi="宋体" w:cs="Times New Roman"/>
          <w:b/>
          <w:bCs/>
          <w:color w:val="auto"/>
          <w:sz w:val="24"/>
          <w:szCs w:val="24"/>
          <w:highlight w:val="none"/>
        </w:rPr>
      </w:pPr>
      <w:r>
        <w:rPr>
          <w:rFonts w:hint="eastAsia" w:hAnsi="宋体"/>
          <w:b/>
          <w:bCs/>
          <w:color w:val="auto"/>
          <w:sz w:val="24"/>
          <w:szCs w:val="24"/>
          <w:highlight w:val="none"/>
        </w:rPr>
        <w:t>一、评标原则</w:t>
      </w:r>
    </w:p>
    <w:p>
      <w:pPr>
        <w:pStyle w:val="25"/>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一</w:t>
      </w:r>
      <w:r>
        <w:rPr>
          <w:rFonts w:hAnsi="宋体"/>
          <w:color w:val="auto"/>
          <w:sz w:val="24"/>
          <w:szCs w:val="24"/>
          <w:highlight w:val="none"/>
        </w:rPr>
        <w:t>)</w:t>
      </w:r>
      <w:r>
        <w:rPr>
          <w:rFonts w:hint="eastAsia" w:hAnsi="宋体"/>
          <w:color w:val="auto"/>
          <w:sz w:val="24"/>
          <w:szCs w:val="24"/>
          <w:highlight w:val="none"/>
        </w:rPr>
        <w:t>评委构成：本招标采购项目的评委分别由依法组成的专家、采购单位代表共</w:t>
      </w:r>
      <w:r>
        <w:rPr>
          <w:rFonts w:hAnsi="宋体"/>
          <w:color w:val="auto"/>
          <w:sz w:val="24"/>
          <w:szCs w:val="24"/>
          <w:highlight w:val="none"/>
        </w:rPr>
        <w:t xml:space="preserve"> 5</w:t>
      </w:r>
      <w:r>
        <w:rPr>
          <w:rFonts w:hint="eastAsia" w:hAnsi="宋体"/>
          <w:color w:val="auto"/>
          <w:sz w:val="24"/>
          <w:szCs w:val="24"/>
          <w:highlight w:val="none"/>
        </w:rPr>
        <w:t>人以上单数构成，其中专家人数不少于成员总数的三分之二。</w:t>
      </w:r>
    </w:p>
    <w:p>
      <w:pPr>
        <w:pStyle w:val="25"/>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二</w:t>
      </w:r>
      <w:r>
        <w:rPr>
          <w:rFonts w:hAnsi="宋体"/>
          <w:color w:val="auto"/>
          <w:sz w:val="24"/>
          <w:szCs w:val="24"/>
          <w:highlight w:val="none"/>
        </w:rPr>
        <w:t>)</w:t>
      </w:r>
      <w:r>
        <w:rPr>
          <w:rFonts w:hint="eastAsia" w:hAnsi="宋体"/>
          <w:color w:val="auto"/>
          <w:sz w:val="24"/>
          <w:szCs w:val="24"/>
          <w:highlight w:val="none"/>
        </w:rPr>
        <w:t>评标依据：对投标人的投标报价、技术、商务等方面内容打分。</w:t>
      </w:r>
      <w:r>
        <w:rPr>
          <w:rFonts w:hint="eastAsia"/>
          <w:color w:val="auto"/>
          <w:sz w:val="24"/>
          <w:szCs w:val="24"/>
          <w:highlight w:val="none"/>
        </w:rPr>
        <w:t>其中价格分1</w:t>
      </w:r>
      <w:r>
        <w:rPr>
          <w:color w:val="auto"/>
          <w:sz w:val="24"/>
          <w:szCs w:val="24"/>
          <w:highlight w:val="none"/>
        </w:rPr>
        <w:t>0</w:t>
      </w:r>
      <w:r>
        <w:rPr>
          <w:rFonts w:hint="eastAsia"/>
          <w:color w:val="auto"/>
          <w:sz w:val="24"/>
          <w:szCs w:val="24"/>
          <w:highlight w:val="none"/>
        </w:rPr>
        <w:t>分、技术分70分、商务分20分</w:t>
      </w:r>
      <w:r>
        <w:rPr>
          <w:rFonts w:hint="eastAsia" w:hAnsi="宋体"/>
          <w:color w:val="auto"/>
          <w:sz w:val="24"/>
          <w:szCs w:val="24"/>
          <w:highlight w:val="none"/>
        </w:rPr>
        <w:t>。</w:t>
      </w:r>
    </w:p>
    <w:p>
      <w:pPr>
        <w:pStyle w:val="25"/>
        <w:ind w:firstLine="585" w:firstLineChars="244"/>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三</w:t>
      </w:r>
      <w:r>
        <w:rPr>
          <w:rFonts w:hAnsi="宋体"/>
          <w:color w:val="auto"/>
          <w:sz w:val="24"/>
          <w:szCs w:val="24"/>
          <w:highlight w:val="none"/>
        </w:rPr>
        <w:t>)</w:t>
      </w:r>
      <w:r>
        <w:rPr>
          <w:rFonts w:hint="eastAsia" w:hAnsi="宋体"/>
          <w:color w:val="auto"/>
          <w:sz w:val="24"/>
          <w:szCs w:val="24"/>
          <w:highlight w:val="none"/>
        </w:rPr>
        <w:t>评标方式：以封闭方式进行。</w:t>
      </w:r>
    </w:p>
    <w:p>
      <w:pPr>
        <w:pStyle w:val="25"/>
        <w:rPr>
          <w:rFonts w:hAnsi="宋体" w:cs="Times New Roman"/>
          <w:b/>
          <w:bCs/>
          <w:color w:val="auto"/>
          <w:sz w:val="24"/>
          <w:szCs w:val="24"/>
          <w:highlight w:val="none"/>
        </w:rPr>
      </w:pPr>
      <w:r>
        <w:rPr>
          <w:rFonts w:hint="eastAsia" w:hAnsi="宋体"/>
          <w:b/>
          <w:bCs/>
          <w:color w:val="auto"/>
          <w:sz w:val="24"/>
          <w:szCs w:val="24"/>
          <w:highlight w:val="none"/>
        </w:rPr>
        <w:t>二、评定方法</w:t>
      </w:r>
    </w:p>
    <w:p>
      <w:pPr>
        <w:pStyle w:val="25"/>
        <w:ind w:firstLine="480" w:firstLineChars="200"/>
        <w:rPr>
          <w:rFonts w:hAnsi="宋体" w:cs="Times New Roman"/>
          <w:color w:val="auto"/>
          <w:sz w:val="24"/>
          <w:szCs w:val="24"/>
          <w:highlight w:val="none"/>
        </w:rPr>
      </w:pPr>
      <w:r>
        <w:rPr>
          <w:rFonts w:hint="eastAsia" w:hAnsi="宋体"/>
          <w:color w:val="auto"/>
          <w:sz w:val="24"/>
          <w:szCs w:val="24"/>
          <w:highlight w:val="none"/>
        </w:rPr>
        <w:t>（一）对进入详评的，采用综合评分法。</w:t>
      </w:r>
    </w:p>
    <w:p>
      <w:pPr>
        <w:pStyle w:val="25"/>
        <w:ind w:firstLine="480" w:firstLineChars="200"/>
        <w:rPr>
          <w:rFonts w:hAnsi="宋体" w:cs="Times New Roman"/>
          <w:color w:val="auto"/>
          <w:sz w:val="24"/>
          <w:szCs w:val="24"/>
          <w:highlight w:val="none"/>
        </w:rPr>
      </w:pPr>
      <w:r>
        <w:rPr>
          <w:rFonts w:hint="eastAsia" w:hAnsi="宋体"/>
          <w:color w:val="auto"/>
          <w:sz w:val="24"/>
          <w:szCs w:val="24"/>
          <w:highlight w:val="none"/>
        </w:rPr>
        <w:t>（二）</w:t>
      </w:r>
      <w:r>
        <w:rPr>
          <w:rFonts w:hint="eastAsia" w:hAnsi="宋体"/>
          <w:color w:val="auto"/>
          <w:kern w:val="0"/>
          <w:sz w:val="24"/>
          <w:szCs w:val="24"/>
          <w:highlight w:val="none"/>
        </w:rPr>
        <w:t>根据《政府采购促进中小企业发展暂行办法》（财库</w:t>
      </w:r>
      <w:r>
        <w:rPr>
          <w:rFonts w:hAnsi="宋体"/>
          <w:color w:val="auto"/>
          <w:kern w:val="0"/>
          <w:sz w:val="24"/>
          <w:szCs w:val="24"/>
          <w:highlight w:val="none"/>
        </w:rPr>
        <w:t>[2011]181</w:t>
      </w:r>
      <w:r>
        <w:rPr>
          <w:rFonts w:hint="eastAsia" w:hAnsi="宋体"/>
          <w:color w:val="auto"/>
          <w:kern w:val="0"/>
          <w:sz w:val="24"/>
          <w:szCs w:val="24"/>
          <w:highlight w:val="none"/>
        </w:rPr>
        <w:t>号）、</w:t>
      </w:r>
      <w:r>
        <w:rPr>
          <w:rFonts w:hint="eastAsia" w:hAnsi="宋体"/>
          <w:color w:val="auto"/>
          <w:sz w:val="24"/>
          <w:szCs w:val="24"/>
          <w:highlight w:val="none"/>
        </w:rPr>
        <w:t>关于印发2020 年广西优化营商环境百日攻坚行动方案的通知（桂政办发〔2020〕59 号）</w:t>
      </w:r>
      <w:r>
        <w:rPr>
          <w:rFonts w:hint="eastAsia" w:hAnsi="宋体"/>
          <w:color w:val="auto"/>
          <w:sz w:val="24"/>
          <w:highlight w:val="none"/>
        </w:rPr>
        <w:t>，</w:t>
      </w:r>
      <w:r>
        <w:rPr>
          <w:rFonts w:hint="eastAsia" w:hAnsi="宋体"/>
          <w:color w:val="auto"/>
          <w:kern w:val="0"/>
          <w:sz w:val="24"/>
          <w:szCs w:val="24"/>
          <w:highlight w:val="none"/>
        </w:rPr>
        <w:t>规定：</w:t>
      </w:r>
    </w:p>
    <w:p>
      <w:pPr>
        <w:pStyle w:val="25"/>
        <w:ind w:firstLine="480" w:firstLineChars="200"/>
        <w:rPr>
          <w:rFonts w:hAnsi="宋体" w:cs="Times New Roman"/>
          <w:color w:val="auto"/>
          <w:sz w:val="24"/>
          <w:szCs w:val="24"/>
          <w:highlight w:val="none"/>
        </w:rPr>
      </w:pPr>
      <w:r>
        <w:rPr>
          <w:rFonts w:hint="eastAsia" w:hAnsi="宋体"/>
          <w:color w:val="auto"/>
          <w:kern w:val="0"/>
          <w:sz w:val="24"/>
          <w:szCs w:val="24"/>
          <w:highlight w:val="none"/>
        </w:rPr>
        <w:t>对小型或微型企业产品的价格给予10%的扣除，用扣除后的价格参与评审，</w:t>
      </w:r>
      <w:r>
        <w:rPr>
          <w:rFonts w:hint="eastAsia" w:hAnsi="宋体"/>
          <w:color w:val="auto"/>
          <w:sz w:val="24"/>
          <w:szCs w:val="24"/>
          <w:highlight w:val="none"/>
        </w:rPr>
        <w:t>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w:t>
      </w:r>
      <w:r>
        <w:rPr>
          <w:rFonts w:hint="eastAsia" w:hAnsi="宋体"/>
          <w:color w:val="auto"/>
          <w:sz w:val="24"/>
          <w:szCs w:val="24"/>
          <w:highlight w:val="none"/>
        </w:rPr>
        <w:t>10</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。（投标人如实填写中小企业声明函，否则不予价格扣除）。</w:t>
      </w:r>
    </w:p>
    <w:p>
      <w:pPr>
        <w:pStyle w:val="25"/>
        <w:ind w:firstLine="480"/>
        <w:rPr>
          <w:rFonts w:hAnsi="宋体" w:cs="Times New Roman"/>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w:t>
      </w:r>
      <w:r>
        <w:rPr>
          <w:rFonts w:hAnsi="宋体"/>
          <w:color w:val="auto"/>
          <w:sz w:val="24"/>
          <w:szCs w:val="24"/>
          <w:highlight w:val="none"/>
        </w:rPr>
        <w:t>30%</w:t>
      </w:r>
      <w:r>
        <w:rPr>
          <w:rFonts w:hint="eastAsia" w:hAnsi="宋体"/>
          <w:color w:val="auto"/>
          <w:sz w:val="24"/>
          <w:szCs w:val="24"/>
          <w:highlight w:val="none"/>
        </w:rPr>
        <w:t>以上的，联合体投标价给予</w:t>
      </w:r>
      <w:r>
        <w:rPr>
          <w:rFonts w:hAnsi="宋体"/>
          <w:color w:val="auto"/>
          <w:sz w:val="24"/>
          <w:szCs w:val="24"/>
          <w:highlight w:val="none"/>
        </w:rPr>
        <w:t>2%</w:t>
      </w:r>
      <w:r>
        <w:rPr>
          <w:rFonts w:hint="eastAsia" w:hAnsi="宋体"/>
          <w:color w:val="auto"/>
          <w:sz w:val="24"/>
          <w:szCs w:val="24"/>
          <w:highlight w:val="none"/>
        </w:rPr>
        <w:t>的扣除，扣除后的价格为评标价，即：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-2%</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w:t>
      </w:r>
    </w:p>
    <w:p>
      <w:pPr>
        <w:pStyle w:val="25"/>
        <w:ind w:firstLine="480"/>
        <w:rPr>
          <w:rFonts w:hAnsi="宋体" w:cs="Times New Roman"/>
          <w:color w:val="auto"/>
          <w:sz w:val="24"/>
          <w:szCs w:val="24"/>
          <w:highlight w:val="none"/>
        </w:rPr>
      </w:pPr>
      <w:r>
        <w:rPr>
          <w:rFonts w:hint="eastAsia" w:hAnsi="宋体"/>
          <w:color w:val="auto"/>
          <w:sz w:val="24"/>
          <w:szCs w:val="24"/>
          <w:highlight w:val="none"/>
        </w:rPr>
        <w:t>另：根据《关于政府采购支持监狱企业发展有关问题的通知》（财库</w:t>
      </w:r>
      <w:r>
        <w:rPr>
          <w:rFonts w:hAnsi="宋体"/>
          <w:color w:val="auto"/>
          <w:sz w:val="24"/>
          <w:szCs w:val="24"/>
          <w:highlight w:val="none"/>
        </w:rPr>
        <w:t>[2014]68</w:t>
      </w:r>
      <w:r>
        <w:rPr>
          <w:rFonts w:hint="eastAsia" w:hAnsi="宋体"/>
          <w:color w:val="auto"/>
          <w:sz w:val="24"/>
          <w:szCs w:val="24"/>
          <w:highlight w:val="none"/>
        </w:rPr>
        <w:t>号、桂财采</w:t>
      </w:r>
      <w:r>
        <w:rPr>
          <w:rFonts w:hAnsi="宋体"/>
          <w:color w:val="auto"/>
          <w:sz w:val="24"/>
          <w:szCs w:val="24"/>
          <w:highlight w:val="none"/>
        </w:rPr>
        <w:t>[2016]25</w:t>
      </w:r>
      <w:r>
        <w:rPr>
          <w:rFonts w:hint="eastAsia" w:hAnsi="宋体"/>
          <w:color w:val="auto"/>
          <w:sz w:val="24"/>
          <w:szCs w:val="24"/>
          <w:highlight w:val="none"/>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ind w:firstLine="480"/>
        <w:rPr>
          <w:rFonts w:hAnsi="宋体" w:cs="Times New Roman"/>
          <w:color w:val="auto"/>
          <w:sz w:val="24"/>
          <w:szCs w:val="24"/>
          <w:highlight w:val="none"/>
        </w:rPr>
      </w:pPr>
      <w:r>
        <w:rPr>
          <w:rFonts w:hint="eastAsia" w:hAnsi="宋体"/>
          <w:color w:val="auto"/>
          <w:sz w:val="24"/>
          <w:szCs w:val="24"/>
          <w:highlight w:val="none"/>
        </w:rPr>
        <w:t>根据《关于促进残疾人就业政府采购政策的通知》（财库【</w:t>
      </w:r>
      <w:r>
        <w:rPr>
          <w:rFonts w:hAnsi="宋体"/>
          <w:color w:val="auto"/>
          <w:sz w:val="24"/>
          <w:szCs w:val="24"/>
          <w:highlight w:val="none"/>
        </w:rPr>
        <w:t>2017</w:t>
      </w:r>
      <w:r>
        <w:rPr>
          <w:rFonts w:hint="eastAsia" w:hAnsi="宋体"/>
          <w:color w:val="auto"/>
          <w:sz w:val="24"/>
          <w:szCs w:val="24"/>
          <w:highlight w:val="none"/>
        </w:rPr>
        <w:t>】</w:t>
      </w:r>
      <w:r>
        <w:rPr>
          <w:rFonts w:hAnsi="宋体"/>
          <w:color w:val="auto"/>
          <w:sz w:val="24"/>
          <w:szCs w:val="24"/>
          <w:highlight w:val="none"/>
        </w:rPr>
        <w:t>141</w:t>
      </w:r>
      <w:r>
        <w:rPr>
          <w:rFonts w:hint="eastAsia" w:hAnsi="宋体"/>
          <w:color w:val="auto"/>
          <w:sz w:val="24"/>
          <w:szCs w:val="24"/>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5"/>
        <w:ind w:firstLine="616" w:firstLineChars="257"/>
        <w:rPr>
          <w:rFonts w:hAnsi="宋体" w:cs="Times New Roman"/>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5"/>
        <w:ind w:firstLine="480" w:firstLineChars="200"/>
        <w:rPr>
          <w:rFonts w:hAnsi="宋体" w:cs="Times New Roman"/>
          <w:color w:val="auto"/>
          <w:sz w:val="24"/>
          <w:szCs w:val="24"/>
          <w:highlight w:val="none"/>
        </w:rPr>
      </w:pPr>
      <w:r>
        <w:rPr>
          <w:rFonts w:hint="eastAsia" w:hAnsi="宋体"/>
          <w:color w:val="auto"/>
          <w:sz w:val="24"/>
          <w:szCs w:val="24"/>
          <w:highlight w:val="none"/>
        </w:rPr>
        <w:t>（三）计分办法（按四舍五入取至百分位）：</w:t>
      </w:r>
    </w:p>
    <w:p>
      <w:pPr>
        <w:pStyle w:val="25"/>
        <w:spacing w:line="460" w:lineRule="exact"/>
        <w:ind w:firstLine="480" w:firstLineChars="200"/>
        <w:rPr>
          <w:rFonts w:hAnsi="宋体"/>
          <w:color w:val="auto"/>
          <w:sz w:val="24"/>
          <w:szCs w:val="24"/>
          <w:highlight w:val="none"/>
        </w:rPr>
      </w:pPr>
      <w:bookmarkStart w:id="145" w:name="_Toc453061765"/>
      <w:r>
        <w:rPr>
          <w:rFonts w:hint="eastAsia" w:hAnsi="宋体"/>
          <w:bCs/>
          <w:color w:val="auto"/>
          <w:sz w:val="24"/>
          <w:szCs w:val="24"/>
          <w:highlight w:val="none"/>
        </w:rPr>
        <w:t>（</w:t>
      </w:r>
      <w:r>
        <w:rPr>
          <w:rFonts w:hAnsi="宋体"/>
          <w:bCs/>
          <w:color w:val="auto"/>
          <w:sz w:val="24"/>
          <w:szCs w:val="24"/>
          <w:highlight w:val="none"/>
        </w:rPr>
        <w:t>四</w:t>
      </w:r>
      <w:r>
        <w:rPr>
          <w:rFonts w:hint="eastAsia" w:hAnsi="宋体"/>
          <w:bCs/>
          <w:color w:val="auto"/>
          <w:sz w:val="24"/>
          <w:szCs w:val="24"/>
          <w:highlight w:val="none"/>
        </w:rPr>
        <w:t>）评分细则：</w:t>
      </w:r>
      <w:r>
        <w:rPr>
          <w:rFonts w:hint="eastAsia" w:hAnsi="宋体"/>
          <w:color w:val="auto"/>
          <w:sz w:val="24"/>
          <w:szCs w:val="24"/>
          <w:highlight w:val="none"/>
        </w:rPr>
        <w:t>（按四舍五入取至</w:t>
      </w:r>
      <w:r>
        <w:rPr>
          <w:rFonts w:hint="eastAsia"/>
          <w:color w:val="auto"/>
          <w:sz w:val="24"/>
          <w:szCs w:val="24"/>
          <w:highlight w:val="none"/>
        </w:rPr>
        <w:t>小数点后四位</w:t>
      </w:r>
      <w:r>
        <w:rPr>
          <w:rFonts w:hint="eastAsia" w:hAnsi="宋体"/>
          <w:color w:val="auto"/>
          <w:sz w:val="24"/>
          <w:szCs w:val="24"/>
          <w:highlight w:val="none"/>
        </w:rPr>
        <w:t>）</w:t>
      </w:r>
    </w:p>
    <w:p>
      <w:pPr>
        <w:pStyle w:val="25"/>
        <w:ind w:firstLine="482" w:firstLineChars="200"/>
        <w:rPr>
          <w:rFonts w:hAnsi="宋体"/>
          <w:b/>
          <w:color w:val="auto"/>
          <w:sz w:val="24"/>
          <w:szCs w:val="24"/>
          <w:highlight w:val="none"/>
        </w:rPr>
      </w:pPr>
      <w:r>
        <w:rPr>
          <w:rFonts w:hint="eastAsia" w:hAnsi="宋体"/>
          <w:b/>
          <w:color w:val="auto"/>
          <w:sz w:val="24"/>
          <w:szCs w:val="24"/>
          <w:highlight w:val="none"/>
        </w:rPr>
        <w:t>1．价格分…………………………………………………………10分</w:t>
      </w:r>
    </w:p>
    <w:p>
      <w:pPr>
        <w:pStyle w:val="25"/>
        <w:ind w:firstLine="480" w:firstLineChars="200"/>
        <w:rPr>
          <w:rFonts w:hAnsi="宋体"/>
          <w:color w:val="auto"/>
          <w:sz w:val="24"/>
          <w:szCs w:val="24"/>
          <w:highlight w:val="none"/>
        </w:rPr>
      </w:pPr>
      <w:r>
        <w:rPr>
          <w:rFonts w:hint="eastAsia" w:hAnsi="宋体"/>
          <w:color w:val="auto"/>
          <w:sz w:val="24"/>
          <w:szCs w:val="24"/>
          <w:highlight w:val="none"/>
        </w:rPr>
        <w:t>（1）价格分计算公式：</w:t>
      </w:r>
    </w:p>
    <w:p>
      <w:pPr>
        <w:pStyle w:val="2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8"/>
        <w:ind w:firstLine="3432" w:firstLineChars="1430"/>
        <w:rPr>
          <w:rFonts w:cs="宋体"/>
          <w:color w:val="auto"/>
          <w:sz w:val="24"/>
          <w:szCs w:val="24"/>
          <w:highlight w:val="none"/>
          <w:lang w:eastAsia="zh-CN"/>
        </w:rPr>
      </w:pPr>
      <w:r>
        <w:rPr>
          <w:rFonts w:hint="eastAsia" w:cs="宋体"/>
          <w:color w:val="auto"/>
          <w:sz w:val="24"/>
          <w:szCs w:val="24"/>
          <w:highlight w:val="none"/>
        </w:rPr>
        <w:t>有效投标人最低评标价（金额）</w:t>
      </w:r>
    </w:p>
    <w:p>
      <w:pPr>
        <w:pStyle w:val="148"/>
        <w:ind w:firstLine="960" w:firstLineChars="400"/>
        <w:rPr>
          <w:rFonts w:cs="宋体"/>
          <w:color w:val="auto"/>
          <w:sz w:val="24"/>
          <w:szCs w:val="24"/>
          <w:highlight w:val="none"/>
          <w:shd w:val="clear" w:color="auto" w:fill="FFFF00"/>
        </w:rPr>
      </w:pPr>
      <w:r>
        <w:rPr>
          <w:rFonts w:hint="eastAsia" w:cs="宋体"/>
          <w:color w:val="auto"/>
          <w:sz w:val="24"/>
          <w:szCs w:val="24"/>
          <w:highlight w:val="none"/>
        </w:rPr>
        <mc:AlternateContent>
          <mc:Choice Requires="wps">
            <w:drawing>
              <wp:anchor distT="0" distB="0" distL="0" distR="0" simplePos="0" relativeHeight="1024" behindDoc="0" locked="0" layoutInCell="1" allowOverlap="1">
                <wp:simplePos x="0" y="0"/>
                <wp:positionH relativeFrom="column">
                  <wp:posOffset>2272665</wp:posOffset>
                </wp:positionH>
                <wp:positionV relativeFrom="paragraph">
                  <wp:posOffset>147320</wp:posOffset>
                </wp:positionV>
                <wp:extent cx="1896110" cy="0"/>
                <wp:effectExtent l="0" t="0" r="0" b="0"/>
                <wp:wrapNone/>
                <wp:docPr id="1026" name="Line 23"/>
                <wp:cNvGraphicFramePr/>
                <a:graphic xmlns:a="http://schemas.openxmlformats.org/drawingml/2006/main">
                  <a:graphicData uri="http://schemas.microsoft.com/office/word/2010/wordprocessingShape">
                    <wps:wsp>
                      <wps:cNvCnPr/>
                      <wps:spPr>
                        <a:xfrm>
                          <a:off x="0" y="0"/>
                          <a:ext cx="1896110" cy="0"/>
                        </a:xfrm>
                        <a:prstGeom prst="line">
                          <a:avLst/>
                        </a:prstGeom>
                        <a:ln w="9360" cap="flat" cmpd="sng">
                          <a:solidFill>
                            <a:srgbClr val="000000"/>
                          </a:solidFill>
                          <a:prstDash val="solid"/>
                          <a:round/>
                          <a:headEnd type="none" w="med" len="med"/>
                          <a:tailEnd type="none" w="med" len="med"/>
                        </a:ln>
                      </wps:spPr>
                      <wps:bodyPr/>
                    </wps:wsp>
                  </a:graphicData>
                </a:graphic>
              </wp:anchor>
            </w:drawing>
          </mc:Choice>
          <mc:Fallback>
            <w:pict>
              <v:line id="Line 23" o:spid="_x0000_s1026" o:spt="20" style="position:absolute;left:0pt;margin-left:178.95pt;margin-top:11.6pt;height:0pt;width:149.3pt;z-index:1024;mso-width-relative:page;mso-height-relative:page;" filled="f" stroked="t" coordsize="21600,21600" o:gfxdata="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lgq33YAAAACQEAAA8AAAAAAAAAAQAgAAAAIgAAAGRycy9kb3ducmV2Lnht&#10;bFBLAQIUABQAAAAIAIdO4kBmVgU+wAEAAI0DAAAOAAAAAAAAAAEAIAAAACcBAABkcnMvZTJvRG9j&#10;LnhtbFBLBQYAAAAABgAGAFkBAABZBQAAAAA=&#10;">
                <v:fill on="f" focussize="0,0"/>
                <v:stroke weight="0.737007874015748pt" color="#000000" joinstyle="round"/>
                <v:imagedata o:title=""/>
                <o:lock v:ext="edit" aspectratio="f"/>
              </v:line>
            </w:pict>
          </mc:Fallback>
        </mc:AlternateContent>
      </w:r>
      <w:r>
        <w:rPr>
          <w:rFonts w:hint="eastAsia" w:cs="宋体"/>
          <w:color w:val="auto"/>
          <w:sz w:val="24"/>
          <w:szCs w:val="24"/>
          <w:highlight w:val="none"/>
        </w:rPr>
        <w:t xml:space="preserve">某投标人价格分 = </w:t>
      </w:r>
      <w:r>
        <w:rPr>
          <w:rFonts w:hint="eastAsia" w:cs="宋体"/>
          <w:color w:val="auto"/>
          <w:sz w:val="24"/>
          <w:szCs w:val="24"/>
          <w:highlight w:val="none"/>
          <w:lang w:eastAsia="zh-CN"/>
        </w:rPr>
        <w:t xml:space="preserve">    </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w:t>
      </w:r>
      <w:r>
        <w:rPr>
          <w:rFonts w:hint="eastAsia" w:cs="宋体"/>
          <w:color w:val="auto"/>
          <w:sz w:val="24"/>
          <w:szCs w:val="24"/>
          <w:highlight w:val="none"/>
        </w:rPr>
        <w:t>×</w:t>
      </w:r>
      <w:r>
        <w:rPr>
          <w:rFonts w:hint="eastAsia" w:cs="宋体"/>
          <w:bCs/>
          <w:color w:val="auto"/>
          <w:sz w:val="24"/>
          <w:szCs w:val="24"/>
          <w:highlight w:val="none"/>
          <w:lang w:eastAsia="zh-CN"/>
        </w:rPr>
        <w:t>10</w:t>
      </w:r>
      <w:r>
        <w:rPr>
          <w:rFonts w:hint="eastAsia" w:cs="宋体"/>
          <w:bCs/>
          <w:color w:val="auto"/>
          <w:sz w:val="24"/>
          <w:szCs w:val="24"/>
          <w:highlight w:val="none"/>
        </w:rPr>
        <w:t>分</w:t>
      </w:r>
    </w:p>
    <w:p>
      <w:pPr>
        <w:tabs>
          <w:tab w:val="left" w:pos="6172"/>
        </w:tabs>
        <w:ind w:left="412" w:hanging="206"/>
        <w:rPr>
          <w:rFonts w:ascii="宋体" w:hAnsi="宋体" w:cs="宋体"/>
          <w:color w:val="auto"/>
          <w:sz w:val="24"/>
          <w:highlight w:val="none"/>
        </w:rPr>
      </w:pPr>
      <w:r>
        <w:rPr>
          <w:rFonts w:hint="eastAsia" w:ascii="宋体" w:hAnsi="宋体" w:cs="宋体"/>
          <w:color w:val="auto"/>
          <w:sz w:val="24"/>
          <w:highlight w:val="none"/>
        </w:rPr>
        <w:t xml:space="preserve">                            某有效投标人评标价（金额）</w:t>
      </w:r>
    </w:p>
    <w:p>
      <w:pPr>
        <w:pStyle w:val="25"/>
        <w:snapToGrid w:val="0"/>
        <w:spacing w:before="120" w:after="120"/>
        <w:ind w:firstLine="482" w:firstLineChars="200"/>
        <w:outlineLvl w:val="0"/>
        <w:rPr>
          <w:rFonts w:hAnsi="宋体"/>
          <w:b/>
          <w:color w:val="auto"/>
          <w:sz w:val="24"/>
          <w:szCs w:val="24"/>
          <w:highlight w:val="none"/>
        </w:rPr>
      </w:pPr>
      <w:bookmarkStart w:id="146" w:name="_Toc15941"/>
      <w:r>
        <w:rPr>
          <w:rFonts w:hint="eastAsia" w:hAnsi="宋体"/>
          <w:b/>
          <w:color w:val="auto"/>
          <w:sz w:val="24"/>
          <w:szCs w:val="24"/>
          <w:highlight w:val="none"/>
        </w:rPr>
        <w:t>2、技术分…………………………………………………………70分</w:t>
      </w:r>
      <w:bookmarkEnd w:id="146"/>
      <w:r>
        <w:rPr>
          <w:rFonts w:hint="eastAsia" w:hAnsi="宋体"/>
          <w:b/>
          <w:color w:val="auto"/>
          <w:sz w:val="24"/>
          <w:szCs w:val="24"/>
          <w:highlight w:val="none"/>
        </w:rPr>
        <w:t xml:space="preserve">  </w:t>
      </w:r>
    </w:p>
    <w:p>
      <w:pPr>
        <w:pStyle w:val="25"/>
        <w:snapToGrid w:val="0"/>
        <w:spacing w:before="120" w:after="120"/>
        <w:ind w:firstLine="482" w:firstLineChars="200"/>
        <w:outlineLvl w:val="0"/>
        <w:rPr>
          <w:rFonts w:hAnsi="宋体"/>
          <w:b/>
          <w:bCs/>
          <w:color w:val="auto"/>
          <w:sz w:val="24"/>
          <w:szCs w:val="24"/>
          <w:highlight w:val="none"/>
        </w:rPr>
      </w:pPr>
      <w:bookmarkStart w:id="147" w:name="_Toc6362"/>
      <w:r>
        <w:rPr>
          <w:rFonts w:hint="eastAsia" w:hAnsi="宋体"/>
          <w:b/>
          <w:bCs/>
          <w:color w:val="auto"/>
          <w:sz w:val="24"/>
          <w:szCs w:val="24"/>
          <w:highlight w:val="none"/>
        </w:rPr>
        <w:t>（1）项目设计方案分（满分</w:t>
      </w:r>
      <w:r>
        <w:rPr>
          <w:rFonts w:hAnsi="宋体"/>
          <w:b/>
          <w:bCs/>
          <w:color w:val="auto"/>
          <w:sz w:val="24"/>
          <w:szCs w:val="24"/>
          <w:highlight w:val="none"/>
        </w:rPr>
        <w:t>20</w:t>
      </w:r>
      <w:r>
        <w:rPr>
          <w:rFonts w:hint="eastAsia" w:hAnsi="宋体"/>
          <w:b/>
          <w:bCs/>
          <w:color w:val="auto"/>
          <w:sz w:val="24"/>
          <w:szCs w:val="24"/>
          <w:highlight w:val="none"/>
        </w:rPr>
        <w:t>分）</w:t>
      </w:r>
      <w:bookmarkEnd w:id="147"/>
    </w:p>
    <w:p>
      <w:pPr>
        <w:pStyle w:val="25"/>
        <w:snapToGrid w:val="0"/>
        <w:spacing w:before="120" w:after="120"/>
        <w:ind w:firstLine="480" w:firstLineChars="200"/>
        <w:outlineLvl w:val="0"/>
        <w:rPr>
          <w:rFonts w:hAnsi="宋体"/>
          <w:color w:val="auto"/>
          <w:sz w:val="24"/>
          <w:szCs w:val="24"/>
          <w:highlight w:val="none"/>
        </w:rPr>
      </w:pPr>
      <w:bookmarkStart w:id="148" w:name="_Toc16962"/>
      <w:r>
        <w:rPr>
          <w:rFonts w:hint="eastAsia" w:hAnsi="宋体"/>
          <w:color w:val="auto"/>
          <w:sz w:val="24"/>
          <w:szCs w:val="24"/>
          <w:highlight w:val="none"/>
        </w:rPr>
        <w:t>（要求投标人提供项目整体设计方案、未提供不得分）</w:t>
      </w:r>
      <w:bookmarkEnd w:id="148"/>
    </w:p>
    <w:p>
      <w:pPr>
        <w:pStyle w:val="25"/>
        <w:snapToGrid w:val="0"/>
        <w:spacing w:before="120" w:after="120"/>
        <w:ind w:firstLine="600" w:firstLineChars="250"/>
        <w:outlineLvl w:val="0"/>
        <w:rPr>
          <w:rFonts w:hAnsi="宋体"/>
          <w:color w:val="auto"/>
          <w:sz w:val="24"/>
          <w:szCs w:val="24"/>
          <w:highlight w:val="none"/>
        </w:rPr>
      </w:pPr>
      <w:bookmarkStart w:id="149" w:name="_Toc25025"/>
      <w:r>
        <w:rPr>
          <w:rFonts w:hint="eastAsia" w:hAnsi="宋体"/>
          <w:color w:val="auto"/>
          <w:sz w:val="24"/>
          <w:szCs w:val="24"/>
          <w:highlight w:val="none"/>
        </w:rPr>
        <w:t>一档（</w:t>
      </w:r>
      <w:r>
        <w:rPr>
          <w:rFonts w:hAnsi="宋体"/>
          <w:color w:val="auto"/>
          <w:sz w:val="24"/>
          <w:szCs w:val="24"/>
          <w:highlight w:val="none"/>
        </w:rPr>
        <w:t>6</w:t>
      </w:r>
      <w:r>
        <w:rPr>
          <w:rFonts w:hint="eastAsia" w:hAnsi="宋体"/>
          <w:color w:val="auto"/>
          <w:sz w:val="24"/>
          <w:szCs w:val="24"/>
          <w:highlight w:val="none"/>
        </w:rPr>
        <w:t>分）：投标人能阐述项目服务需求，提供简单的设计方案，设计方案比较简单，无明显错误。</w:t>
      </w:r>
      <w:bookmarkEnd w:id="149"/>
    </w:p>
    <w:p>
      <w:pPr>
        <w:pStyle w:val="25"/>
        <w:snapToGrid w:val="0"/>
        <w:spacing w:before="120" w:after="120"/>
        <w:ind w:firstLine="600" w:firstLineChars="250"/>
        <w:outlineLvl w:val="0"/>
        <w:rPr>
          <w:rFonts w:hAnsi="宋体"/>
          <w:color w:val="auto"/>
          <w:sz w:val="24"/>
          <w:szCs w:val="24"/>
          <w:highlight w:val="none"/>
        </w:rPr>
      </w:pPr>
      <w:bookmarkStart w:id="150" w:name="_Toc6798"/>
      <w:r>
        <w:rPr>
          <w:rFonts w:hint="eastAsia" w:hAnsi="宋体"/>
          <w:color w:val="auto"/>
          <w:sz w:val="24"/>
          <w:szCs w:val="24"/>
          <w:highlight w:val="none"/>
        </w:rPr>
        <w:t>二档（</w:t>
      </w:r>
      <w:r>
        <w:rPr>
          <w:rFonts w:hAnsi="宋体"/>
          <w:color w:val="auto"/>
          <w:sz w:val="24"/>
          <w:szCs w:val="24"/>
          <w:highlight w:val="none"/>
        </w:rPr>
        <w:t>13</w:t>
      </w:r>
      <w:r>
        <w:rPr>
          <w:rFonts w:hint="eastAsia" w:hAnsi="宋体"/>
          <w:color w:val="auto"/>
          <w:sz w:val="24"/>
          <w:szCs w:val="24"/>
          <w:highlight w:val="none"/>
        </w:rPr>
        <w:t>分）：投标人能阐述项目服务需求，提出比较详细的设计方案，满足招标文件要求的。</w:t>
      </w:r>
      <w:bookmarkEnd w:id="150"/>
    </w:p>
    <w:p>
      <w:pPr>
        <w:pStyle w:val="25"/>
        <w:snapToGrid w:val="0"/>
        <w:spacing w:before="120" w:after="120"/>
        <w:ind w:firstLine="600" w:firstLineChars="250"/>
        <w:outlineLvl w:val="0"/>
        <w:rPr>
          <w:rFonts w:hAnsi="宋体"/>
          <w:color w:val="auto"/>
          <w:sz w:val="24"/>
          <w:szCs w:val="24"/>
          <w:highlight w:val="none"/>
        </w:rPr>
      </w:pPr>
      <w:bookmarkStart w:id="151" w:name="_Toc11006"/>
      <w:r>
        <w:rPr>
          <w:rFonts w:hint="eastAsia" w:hAnsi="宋体"/>
          <w:color w:val="auto"/>
          <w:sz w:val="24"/>
          <w:szCs w:val="24"/>
          <w:highlight w:val="none"/>
        </w:rPr>
        <w:t>三档（</w:t>
      </w:r>
      <w:r>
        <w:rPr>
          <w:rFonts w:hint="eastAsia" w:hAnsi="宋体"/>
          <w:color w:val="auto"/>
          <w:sz w:val="24"/>
          <w:szCs w:val="24"/>
          <w:highlight w:val="none"/>
        </w:rPr>
        <w:t>20</w:t>
      </w:r>
      <w:r>
        <w:rPr>
          <w:rFonts w:hint="eastAsia" w:hAnsi="宋体"/>
          <w:color w:val="auto"/>
          <w:sz w:val="24"/>
          <w:szCs w:val="24"/>
          <w:highlight w:val="none"/>
        </w:rPr>
        <w:t>分）：投标人能阐述项目服务需求，对需求进行详细分析；提完整详细的设计方案，且对本项目建设现状把握全面，对项目建设的重点及难点有详细阐述，提出有针对性的、建设性的建议，能够完全满足项目的需求、准确体现招标人对该项目的实际需求的。</w:t>
      </w:r>
      <w:bookmarkEnd w:id="151"/>
    </w:p>
    <w:p>
      <w:pPr>
        <w:pStyle w:val="25"/>
        <w:numPr>
          <w:ilvl w:val="255"/>
          <w:numId w:val="0"/>
        </w:numPr>
        <w:snapToGrid w:val="0"/>
        <w:spacing w:before="120" w:after="120"/>
        <w:outlineLvl w:val="0"/>
        <w:rPr>
          <w:rFonts w:hAnsi="宋体"/>
          <w:b/>
          <w:bCs/>
          <w:color w:val="auto"/>
          <w:sz w:val="24"/>
          <w:szCs w:val="24"/>
          <w:highlight w:val="none"/>
        </w:rPr>
      </w:pPr>
      <w:r>
        <w:rPr>
          <w:rFonts w:hAnsi="宋体"/>
          <w:b/>
          <w:bCs/>
          <w:color w:val="auto"/>
          <w:sz w:val="24"/>
          <w:szCs w:val="24"/>
          <w:highlight w:val="none"/>
        </w:rPr>
        <w:t xml:space="preserve"> </w:t>
      </w:r>
      <w:r>
        <w:rPr>
          <w:rFonts w:hint="eastAsia" w:hAnsi="宋体"/>
          <w:b/>
          <w:bCs/>
          <w:color w:val="auto"/>
          <w:sz w:val="24"/>
          <w:szCs w:val="24"/>
          <w:highlight w:val="none"/>
        </w:rPr>
        <w:t xml:space="preserve"> </w:t>
      </w:r>
      <w:bookmarkStart w:id="152" w:name="_Toc1818"/>
      <w:r>
        <w:rPr>
          <w:rFonts w:hAnsi="宋体"/>
          <w:b/>
          <w:bCs/>
          <w:color w:val="auto"/>
          <w:sz w:val="24"/>
          <w:szCs w:val="24"/>
          <w:highlight w:val="none"/>
        </w:rPr>
        <w:t>（2）</w:t>
      </w:r>
      <w:r>
        <w:rPr>
          <w:rFonts w:hint="eastAsia" w:hAnsi="宋体"/>
          <w:b/>
          <w:bCs/>
          <w:color w:val="auto"/>
          <w:sz w:val="24"/>
          <w:szCs w:val="24"/>
          <w:highlight w:val="none"/>
        </w:rPr>
        <w:t>项目实施方案分（满分</w:t>
      </w:r>
      <w:r>
        <w:rPr>
          <w:rFonts w:hint="eastAsia" w:hAnsi="宋体"/>
          <w:b/>
          <w:bCs/>
          <w:color w:val="auto"/>
          <w:sz w:val="24"/>
          <w:szCs w:val="24"/>
          <w:highlight w:val="none"/>
        </w:rPr>
        <w:t>1</w:t>
      </w:r>
      <w:r>
        <w:rPr>
          <w:rFonts w:hAnsi="宋体"/>
          <w:b/>
          <w:bCs/>
          <w:color w:val="auto"/>
          <w:sz w:val="24"/>
          <w:szCs w:val="24"/>
          <w:highlight w:val="none"/>
        </w:rPr>
        <w:t>5</w:t>
      </w:r>
      <w:r>
        <w:rPr>
          <w:rFonts w:hint="eastAsia" w:hAnsi="宋体"/>
          <w:b/>
          <w:bCs/>
          <w:color w:val="auto"/>
          <w:sz w:val="24"/>
          <w:szCs w:val="24"/>
          <w:highlight w:val="none"/>
        </w:rPr>
        <w:t>分）</w:t>
      </w:r>
      <w:bookmarkEnd w:id="152"/>
    </w:p>
    <w:p>
      <w:pPr>
        <w:pStyle w:val="25"/>
        <w:snapToGrid w:val="0"/>
        <w:spacing w:before="120" w:after="120"/>
        <w:outlineLvl w:val="0"/>
        <w:rPr>
          <w:rFonts w:hAnsi="宋体"/>
          <w:color w:val="auto"/>
          <w:sz w:val="24"/>
          <w:szCs w:val="24"/>
          <w:highlight w:val="none"/>
        </w:rPr>
      </w:pPr>
      <w:bookmarkStart w:id="153" w:name="_Toc20658"/>
      <w:r>
        <w:rPr>
          <w:rFonts w:hint="eastAsia" w:hAnsi="宋体"/>
          <w:color w:val="auto"/>
          <w:sz w:val="24"/>
          <w:szCs w:val="24"/>
          <w:highlight w:val="none"/>
        </w:rPr>
        <w:t>（要求投标人提供项目整体实施方案、未提供不得分）</w:t>
      </w:r>
      <w:bookmarkEnd w:id="153"/>
    </w:p>
    <w:p>
      <w:pPr>
        <w:pStyle w:val="25"/>
        <w:snapToGrid w:val="0"/>
        <w:spacing w:before="120" w:after="120"/>
        <w:ind w:firstLine="480" w:firstLineChars="200"/>
        <w:outlineLvl w:val="0"/>
        <w:rPr>
          <w:rFonts w:hAnsi="宋体"/>
          <w:color w:val="auto"/>
          <w:sz w:val="24"/>
          <w:szCs w:val="24"/>
          <w:highlight w:val="none"/>
        </w:rPr>
      </w:pPr>
      <w:bookmarkStart w:id="154" w:name="_Toc1938"/>
      <w:r>
        <w:rPr>
          <w:rFonts w:hint="eastAsia" w:hAnsi="宋体"/>
          <w:color w:val="auto"/>
          <w:sz w:val="24"/>
          <w:szCs w:val="24"/>
          <w:highlight w:val="none"/>
        </w:rPr>
        <w:t>一档（</w:t>
      </w:r>
      <w:r>
        <w:rPr>
          <w:rFonts w:hint="eastAsia" w:hAnsi="宋体"/>
          <w:color w:val="auto"/>
          <w:sz w:val="24"/>
          <w:szCs w:val="24"/>
          <w:highlight w:val="none"/>
        </w:rPr>
        <w:t>5</w:t>
      </w:r>
      <w:r>
        <w:rPr>
          <w:rFonts w:hint="eastAsia" w:hAnsi="宋体"/>
          <w:color w:val="auto"/>
          <w:sz w:val="24"/>
          <w:szCs w:val="24"/>
          <w:highlight w:val="none"/>
        </w:rPr>
        <w:t>分）：投标人能提供简单的实施方案的，满足招标需要，基本阐述清楚实施方法及保障措施、形成项目管理文档计划。</w:t>
      </w:r>
      <w:bookmarkEnd w:id="154"/>
    </w:p>
    <w:p>
      <w:pPr>
        <w:pStyle w:val="25"/>
        <w:snapToGrid w:val="0"/>
        <w:spacing w:before="120" w:after="120"/>
        <w:ind w:firstLine="480" w:firstLineChars="200"/>
        <w:outlineLvl w:val="0"/>
        <w:rPr>
          <w:rFonts w:hAnsi="宋体"/>
          <w:color w:val="auto"/>
          <w:sz w:val="24"/>
          <w:szCs w:val="24"/>
          <w:highlight w:val="none"/>
        </w:rPr>
      </w:pPr>
      <w:bookmarkStart w:id="155" w:name="_Toc24484"/>
      <w:r>
        <w:rPr>
          <w:rFonts w:hint="eastAsia" w:hAnsi="宋体"/>
          <w:color w:val="auto"/>
          <w:sz w:val="24"/>
          <w:szCs w:val="24"/>
          <w:highlight w:val="none"/>
        </w:rPr>
        <w:t>二档（</w:t>
      </w:r>
      <w:r>
        <w:rPr>
          <w:rFonts w:hint="eastAsia" w:hAnsi="宋体"/>
          <w:color w:val="auto"/>
          <w:sz w:val="24"/>
          <w:szCs w:val="24"/>
          <w:highlight w:val="none"/>
        </w:rPr>
        <w:t>10</w:t>
      </w:r>
      <w:r>
        <w:rPr>
          <w:rFonts w:hint="eastAsia" w:hAnsi="宋体"/>
          <w:color w:val="auto"/>
          <w:sz w:val="24"/>
          <w:szCs w:val="24"/>
          <w:highlight w:val="none"/>
        </w:rPr>
        <w:t>分）：投标人能提供比较详细的实施方案，有项目管理组织机构图、工作安排能说明人员安排及施工进度安排，方案可行、科学合理的。</w:t>
      </w:r>
      <w:bookmarkEnd w:id="155"/>
    </w:p>
    <w:p>
      <w:pPr>
        <w:pStyle w:val="25"/>
        <w:snapToGrid w:val="0"/>
        <w:spacing w:before="120" w:after="120"/>
        <w:ind w:firstLine="480" w:firstLineChars="200"/>
        <w:outlineLvl w:val="0"/>
        <w:rPr>
          <w:rFonts w:hAnsi="宋体"/>
          <w:color w:val="auto"/>
          <w:sz w:val="24"/>
          <w:szCs w:val="24"/>
          <w:highlight w:val="none"/>
        </w:rPr>
      </w:pPr>
      <w:bookmarkStart w:id="156" w:name="_Toc31308"/>
      <w:r>
        <w:rPr>
          <w:rFonts w:hint="eastAsia" w:hAnsi="宋体"/>
          <w:color w:val="auto"/>
          <w:sz w:val="24"/>
          <w:szCs w:val="24"/>
          <w:highlight w:val="none"/>
        </w:rPr>
        <w:t>三档（</w:t>
      </w:r>
      <w:r>
        <w:rPr>
          <w:rFonts w:hint="eastAsia" w:hAnsi="宋体"/>
          <w:color w:val="auto"/>
          <w:sz w:val="24"/>
          <w:szCs w:val="24"/>
          <w:highlight w:val="none"/>
        </w:rPr>
        <w:t>15</w:t>
      </w:r>
      <w:r>
        <w:rPr>
          <w:rFonts w:hint="eastAsia" w:hAnsi="宋体"/>
          <w:color w:val="auto"/>
          <w:sz w:val="24"/>
          <w:szCs w:val="24"/>
          <w:highlight w:val="none"/>
        </w:rPr>
        <w:t>分）：投标人根据招标需求提供详细的、有针对性的项目实施方案，详细说明各个阶段工作安排，阐述清楚实施组织办法及保障体系，说明质量、进度、安全</w:t>
      </w:r>
      <w:r>
        <w:rPr>
          <w:rFonts w:hint="eastAsia" w:hAnsi="宋体"/>
          <w:color w:val="auto"/>
          <w:sz w:val="24"/>
          <w:szCs w:val="24"/>
          <w:highlight w:val="none"/>
        </w:rPr>
        <w:t>实施</w:t>
      </w:r>
      <w:r>
        <w:rPr>
          <w:rFonts w:hint="eastAsia" w:hAnsi="宋体"/>
          <w:color w:val="auto"/>
          <w:sz w:val="24"/>
          <w:szCs w:val="24"/>
          <w:highlight w:val="none"/>
        </w:rPr>
        <w:t>计划，具有较完备的管理组织、项目实施规范和管理制度，有较完备的质量管理体系和安全保障措施，指明项目重点难点及解决办法，确保项目在计划工期内完成，项目实施方案表述清晰、完整、合理，可操作性强的。</w:t>
      </w:r>
      <w:bookmarkEnd w:id="156"/>
    </w:p>
    <w:p>
      <w:pPr>
        <w:pStyle w:val="25"/>
        <w:numPr>
          <w:ilvl w:val="255"/>
          <w:numId w:val="0"/>
        </w:numPr>
        <w:snapToGrid w:val="0"/>
        <w:spacing w:before="120" w:after="120"/>
        <w:outlineLvl w:val="0"/>
        <w:rPr>
          <w:rFonts w:hAnsi="宋体"/>
          <w:b/>
          <w:bCs/>
          <w:color w:val="auto"/>
          <w:sz w:val="24"/>
          <w:szCs w:val="24"/>
          <w:highlight w:val="none"/>
        </w:rPr>
      </w:pPr>
      <w:r>
        <w:rPr>
          <w:rFonts w:hAnsi="宋体"/>
          <w:b/>
          <w:bCs/>
          <w:color w:val="auto"/>
          <w:sz w:val="24"/>
          <w:szCs w:val="24"/>
          <w:highlight w:val="none"/>
        </w:rPr>
        <w:t xml:space="preserve"> </w:t>
      </w:r>
      <w:r>
        <w:rPr>
          <w:rFonts w:hint="eastAsia" w:hAnsi="宋体"/>
          <w:b/>
          <w:bCs/>
          <w:color w:val="auto"/>
          <w:sz w:val="24"/>
          <w:szCs w:val="24"/>
          <w:highlight w:val="none"/>
        </w:rPr>
        <w:t xml:space="preserve"> </w:t>
      </w:r>
      <w:bookmarkStart w:id="157" w:name="_Toc14064"/>
      <w:r>
        <w:rPr>
          <w:rFonts w:hAnsi="宋体"/>
          <w:b/>
          <w:bCs/>
          <w:color w:val="auto"/>
          <w:sz w:val="24"/>
          <w:szCs w:val="24"/>
          <w:highlight w:val="none"/>
        </w:rPr>
        <w:t>（3）</w:t>
      </w:r>
      <w:r>
        <w:rPr>
          <w:rFonts w:hint="eastAsia" w:hAnsi="宋体"/>
          <w:b/>
          <w:bCs/>
          <w:color w:val="auto"/>
          <w:sz w:val="24"/>
          <w:szCs w:val="24"/>
          <w:highlight w:val="none"/>
        </w:rPr>
        <w:t>售后服务方案分（满分</w:t>
      </w:r>
      <w:r>
        <w:rPr>
          <w:rFonts w:hint="eastAsia" w:hAnsi="宋体"/>
          <w:b/>
          <w:bCs/>
          <w:color w:val="auto"/>
          <w:sz w:val="24"/>
          <w:szCs w:val="24"/>
          <w:highlight w:val="none"/>
        </w:rPr>
        <w:t>1</w:t>
      </w:r>
      <w:r>
        <w:rPr>
          <w:rFonts w:hAnsi="宋体"/>
          <w:b/>
          <w:bCs/>
          <w:color w:val="auto"/>
          <w:sz w:val="24"/>
          <w:szCs w:val="24"/>
          <w:highlight w:val="none"/>
        </w:rPr>
        <w:t>5</w:t>
      </w:r>
      <w:r>
        <w:rPr>
          <w:rFonts w:hint="eastAsia" w:hAnsi="宋体"/>
          <w:b/>
          <w:bCs/>
          <w:color w:val="auto"/>
          <w:sz w:val="24"/>
          <w:szCs w:val="24"/>
          <w:highlight w:val="none"/>
        </w:rPr>
        <w:t>分）</w:t>
      </w:r>
      <w:bookmarkEnd w:id="157"/>
    </w:p>
    <w:p>
      <w:pPr>
        <w:pStyle w:val="25"/>
        <w:snapToGrid w:val="0"/>
        <w:spacing w:before="120" w:after="120"/>
        <w:ind w:firstLine="480" w:firstLineChars="200"/>
        <w:outlineLvl w:val="0"/>
        <w:rPr>
          <w:color w:val="auto"/>
          <w:highlight w:val="none"/>
        </w:rPr>
      </w:pPr>
      <w:bookmarkStart w:id="158" w:name="_Toc15260"/>
      <w:r>
        <w:rPr>
          <w:rFonts w:hint="eastAsia" w:hAnsi="宋体"/>
          <w:color w:val="auto"/>
          <w:sz w:val="24"/>
          <w:szCs w:val="24"/>
          <w:highlight w:val="none"/>
        </w:rPr>
        <w:t>（要求投标人提供项目售后服务方案、未提供不得分）</w:t>
      </w:r>
      <w:bookmarkEnd w:id="158"/>
    </w:p>
    <w:p>
      <w:pPr>
        <w:pStyle w:val="25"/>
        <w:snapToGrid w:val="0"/>
        <w:spacing w:before="120" w:after="120"/>
        <w:ind w:firstLine="600" w:firstLineChars="250"/>
        <w:outlineLvl w:val="0"/>
        <w:rPr>
          <w:rFonts w:hAnsi="宋体"/>
          <w:color w:val="auto"/>
          <w:sz w:val="24"/>
          <w:szCs w:val="24"/>
          <w:highlight w:val="none"/>
        </w:rPr>
      </w:pPr>
      <w:bookmarkStart w:id="159" w:name="_Toc7297"/>
      <w:r>
        <w:rPr>
          <w:rFonts w:hint="eastAsia" w:hAnsi="宋体"/>
          <w:color w:val="auto"/>
          <w:sz w:val="24"/>
          <w:szCs w:val="24"/>
          <w:highlight w:val="none"/>
        </w:rPr>
        <w:t>一档（</w:t>
      </w:r>
      <w:r>
        <w:rPr>
          <w:rFonts w:hint="eastAsia" w:hAnsi="宋体"/>
          <w:color w:val="auto"/>
          <w:sz w:val="24"/>
          <w:szCs w:val="24"/>
          <w:highlight w:val="none"/>
        </w:rPr>
        <w:t>5</w:t>
      </w:r>
      <w:r>
        <w:rPr>
          <w:rFonts w:hint="eastAsia" w:hAnsi="宋体"/>
          <w:color w:val="auto"/>
          <w:sz w:val="24"/>
          <w:szCs w:val="24"/>
          <w:highlight w:val="none"/>
        </w:rPr>
        <w:t>分）：提交的售后服务方案基本满足招标文件的售后服务要求，针对本项目提供专门的售后服务支持，能提供快速的售后服务响应。</w:t>
      </w:r>
      <w:bookmarkEnd w:id="159"/>
    </w:p>
    <w:p>
      <w:pPr>
        <w:pStyle w:val="25"/>
        <w:snapToGrid w:val="0"/>
        <w:spacing w:before="120" w:after="120"/>
        <w:ind w:firstLine="600" w:firstLineChars="250"/>
        <w:outlineLvl w:val="0"/>
        <w:rPr>
          <w:rFonts w:hAnsi="宋体"/>
          <w:color w:val="auto"/>
          <w:sz w:val="24"/>
          <w:szCs w:val="24"/>
          <w:highlight w:val="none"/>
        </w:rPr>
      </w:pPr>
      <w:bookmarkStart w:id="160" w:name="_Toc4361"/>
      <w:r>
        <w:rPr>
          <w:rFonts w:hint="eastAsia" w:hAnsi="宋体"/>
          <w:color w:val="auto"/>
          <w:sz w:val="24"/>
          <w:szCs w:val="24"/>
          <w:highlight w:val="none"/>
        </w:rPr>
        <w:t>二档（</w:t>
      </w:r>
      <w:r>
        <w:rPr>
          <w:rFonts w:hint="eastAsia" w:hAnsi="宋体"/>
          <w:color w:val="auto"/>
          <w:sz w:val="24"/>
          <w:szCs w:val="24"/>
          <w:highlight w:val="none"/>
        </w:rPr>
        <w:t>10</w:t>
      </w:r>
      <w:r>
        <w:rPr>
          <w:rFonts w:hint="eastAsia" w:hAnsi="宋体"/>
          <w:color w:val="auto"/>
          <w:sz w:val="24"/>
          <w:szCs w:val="24"/>
          <w:highlight w:val="none"/>
        </w:rPr>
        <w:t>）：提交的售后服务方案满足招标文件的售后服务要求，针对本项目提供专门的售后服务支持，能提供本地化服务</w:t>
      </w:r>
      <w:r>
        <w:rPr>
          <w:rFonts w:hint="eastAsia" w:hAnsi="宋体"/>
          <w:color w:val="auto"/>
          <w:sz w:val="24"/>
          <w:szCs w:val="24"/>
          <w:highlight w:val="none"/>
        </w:rPr>
        <w:t>（需提供营业执照或事业单位法人证或场地租赁合同或承诺中标后在南宁市设立服务站点的承诺书等相关证明材料复印）</w:t>
      </w:r>
      <w:r>
        <w:rPr>
          <w:rFonts w:hint="eastAsia" w:hAnsi="宋体"/>
          <w:color w:val="auto"/>
          <w:sz w:val="24"/>
          <w:szCs w:val="24"/>
          <w:highlight w:val="none"/>
        </w:rPr>
        <w:t>，提供快速的售后服务响应。</w:t>
      </w:r>
      <w:bookmarkEnd w:id="160"/>
      <w:r>
        <w:rPr>
          <w:rFonts w:hint="eastAsia" w:hAnsi="宋体"/>
          <w:color w:val="auto"/>
          <w:sz w:val="24"/>
          <w:szCs w:val="24"/>
          <w:highlight w:val="none"/>
        </w:rPr>
        <w:t xml:space="preserve"> </w:t>
      </w:r>
    </w:p>
    <w:p>
      <w:pPr>
        <w:pStyle w:val="25"/>
        <w:snapToGrid w:val="0"/>
        <w:spacing w:before="120" w:after="120"/>
        <w:ind w:firstLine="600" w:firstLineChars="250"/>
        <w:outlineLvl w:val="0"/>
        <w:rPr>
          <w:rFonts w:hAnsi="宋体"/>
          <w:color w:val="auto"/>
          <w:sz w:val="24"/>
          <w:szCs w:val="24"/>
          <w:highlight w:val="none"/>
        </w:rPr>
      </w:pPr>
      <w:bookmarkStart w:id="161" w:name="_Toc506"/>
      <w:r>
        <w:rPr>
          <w:rFonts w:hint="eastAsia" w:hAnsi="宋体"/>
          <w:color w:val="auto"/>
          <w:sz w:val="24"/>
          <w:szCs w:val="24"/>
          <w:highlight w:val="none"/>
        </w:rPr>
        <w:t>三档（</w:t>
      </w:r>
      <w:r>
        <w:rPr>
          <w:rFonts w:hint="eastAsia" w:hAnsi="宋体"/>
          <w:color w:val="auto"/>
          <w:sz w:val="24"/>
          <w:szCs w:val="24"/>
          <w:highlight w:val="none"/>
        </w:rPr>
        <w:t>15</w:t>
      </w:r>
      <w:r>
        <w:rPr>
          <w:rFonts w:hint="eastAsia" w:hAnsi="宋体"/>
          <w:color w:val="auto"/>
          <w:sz w:val="24"/>
          <w:szCs w:val="24"/>
          <w:highlight w:val="none"/>
        </w:rPr>
        <w:t>分）：提交的售后服务方案满足招标文件的售后服务要求，提供故障处理流程、维护保障流程及组织架构；能根据用户情况提供技术支持服务、定期回访服务；针对本项目提供专门的售后服务支持，能提供本地化服务</w:t>
      </w:r>
      <w:r>
        <w:rPr>
          <w:rFonts w:hint="eastAsia" w:hAnsi="宋体"/>
          <w:color w:val="auto"/>
          <w:sz w:val="24"/>
          <w:szCs w:val="24"/>
          <w:highlight w:val="none"/>
        </w:rPr>
        <w:t>（（需提供营业执照或事业单位法人证或场地租赁合同或承诺中标后在南宁市设立服务站点的承诺书等相关证明材料复印））</w:t>
      </w:r>
      <w:r>
        <w:rPr>
          <w:rFonts w:hint="eastAsia" w:hAnsi="宋体"/>
          <w:color w:val="auto"/>
          <w:sz w:val="24"/>
          <w:szCs w:val="24"/>
          <w:highlight w:val="none"/>
        </w:rPr>
        <w:t>，提供快速的售后服务响应</w:t>
      </w:r>
      <w:r>
        <w:rPr>
          <w:rFonts w:hint="eastAsia" w:hAnsi="宋体"/>
          <w:color w:val="auto"/>
          <w:sz w:val="24"/>
          <w:szCs w:val="24"/>
          <w:highlight w:val="none"/>
        </w:rPr>
        <w:t>，有专门的技术服务人员，</w:t>
      </w:r>
      <w:r>
        <w:rPr>
          <w:rFonts w:hint="eastAsia" w:hAnsi="宋体"/>
          <w:color w:val="auto"/>
          <w:sz w:val="24"/>
          <w:szCs w:val="24"/>
          <w:highlight w:val="none"/>
        </w:rPr>
        <w:t>并提供技术服务人员名册、</w:t>
      </w:r>
      <w:r>
        <w:rPr>
          <w:rFonts w:hint="eastAsia" w:hAnsi="宋体"/>
          <w:color w:val="auto"/>
          <w:sz w:val="24"/>
          <w:szCs w:val="24"/>
          <w:highlight w:val="none"/>
        </w:rPr>
        <w:t>身份证复印件、联系电话、社保证明等</w:t>
      </w:r>
      <w:r>
        <w:rPr>
          <w:rFonts w:hint="eastAsia" w:hAnsi="宋体"/>
          <w:color w:val="auto"/>
          <w:sz w:val="24"/>
          <w:szCs w:val="24"/>
          <w:highlight w:val="none"/>
        </w:rPr>
        <w:t>。</w:t>
      </w:r>
      <w:bookmarkEnd w:id="161"/>
    </w:p>
    <w:p>
      <w:pPr>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（4）录制演示（</w:t>
      </w:r>
      <w:commentRangeStart w:id="4"/>
      <w:r>
        <w:rPr>
          <w:rFonts w:hint="eastAsia" w:ascii="宋体" w:hAnsi="宋体" w:cs="宋体"/>
          <w:b/>
          <w:color w:val="auto"/>
          <w:sz w:val="24"/>
          <w:szCs w:val="24"/>
          <w:highlight w:val="none"/>
        </w:rPr>
        <w:t>满分</w:t>
      </w:r>
      <w:r>
        <w:rPr>
          <w:rFonts w:ascii="宋体" w:hAnsi="宋体" w:cs="宋体"/>
          <w:b/>
          <w:color w:val="auto"/>
          <w:sz w:val="24"/>
          <w:szCs w:val="24"/>
          <w:highlight w:val="none"/>
        </w:rPr>
        <w:t>20</w:t>
      </w:r>
      <w:r>
        <w:rPr>
          <w:rFonts w:hint="eastAsia" w:ascii="宋体" w:hAnsi="宋体" w:cs="宋体"/>
          <w:b/>
          <w:color w:val="auto"/>
          <w:sz w:val="24"/>
          <w:szCs w:val="24"/>
          <w:highlight w:val="none"/>
        </w:rPr>
        <w:t>分</w:t>
      </w:r>
      <w:commentRangeEnd w:id="4"/>
      <w:r>
        <w:rPr>
          <w:rStyle w:val="43"/>
          <w:color w:val="auto"/>
          <w:highlight w:val="none"/>
        </w:rPr>
        <w:commentReference w:id="4"/>
      </w:r>
      <w:r>
        <w:rPr>
          <w:rFonts w:hint="eastAsia" w:ascii="宋体" w:hAnsi="宋体" w:cs="宋体"/>
          <w:b/>
          <w:color w:val="auto"/>
          <w:sz w:val="24"/>
          <w:szCs w:val="24"/>
          <w:highlight w:val="none"/>
        </w:rPr>
        <w:t>）</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根据《南宁市机关事务管理局关于疫情防控期间恢复全市公共资源现场交易活动的通知》（南机事函〔2020〕25号）文件精神，疫情防控期间，按照“不见面、少接触”的原则，投标人不参加现场竞标活动，系统演示将通过录制方式进行，录制演示时间应小于</w:t>
      </w:r>
      <w:r>
        <w:rPr>
          <w:rFonts w:hint="eastAsia" w:ascii="宋体" w:hAnsi="宋体" w:cs="宋体"/>
          <w:b/>
          <w:bCs/>
          <w:color w:val="auto"/>
          <w:sz w:val="24"/>
          <w:highlight w:val="none"/>
        </w:rPr>
        <w:t>20</w:t>
      </w:r>
      <w:r>
        <w:rPr>
          <w:rFonts w:hint="eastAsia" w:ascii="宋体" w:hAnsi="宋体" w:cs="宋体"/>
          <w:color w:val="auto"/>
          <w:sz w:val="24"/>
          <w:highlight w:val="none"/>
        </w:rPr>
        <w:t>分钟，如“演示录制声像视频”演示及讲解内容与投标文件响应不同，以“演示录制声像视频”演示及讲解内容为准，评标委员会通过播放观看“演示录制声像视频”进行评分。</w:t>
      </w:r>
    </w:p>
    <w:p>
      <w:pPr>
        <w:numPr>
          <w:ilvl w:val="255"/>
          <w:numId w:val="0"/>
        </w:numPr>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演示录制声像视频”提交方式：“演示录制声像视频”应拷贝到U盘中，“演示录制声像视频”视频文件保存格式为.mp4或.m4v或.mp4v；U盘先用小信封单独封装，封面应注明“演示录制声像视频”字样，封面上写明项目名称、项目编号、投标人名称，然后与投标文件正副本一起包封提交；不提供“演示录制声像视频”U盘视为放弃演示）</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评分标准：演示分按照单项功能点计分，放弃演示或非实体软件功能演示得0分，不进行原型程序录制演示的，或仅用图片、演示文稿、静态网页等成果资料演示的，此项分值为0分。</w:t>
      </w:r>
    </w:p>
    <w:p>
      <w:pPr>
        <w:pStyle w:val="25"/>
        <w:snapToGrid w:val="0"/>
        <w:spacing w:before="120" w:after="120"/>
        <w:ind w:firstLine="360" w:firstLineChars="150"/>
        <w:outlineLvl w:val="0"/>
        <w:rPr>
          <w:rFonts w:hAnsi="宋体"/>
          <w:color w:val="auto"/>
          <w:sz w:val="24"/>
          <w:szCs w:val="24"/>
          <w:highlight w:val="none"/>
        </w:rPr>
      </w:pPr>
      <w:bookmarkStart w:id="162" w:name="_Toc18170"/>
      <w:r>
        <w:rPr>
          <w:rFonts w:hint="eastAsia" w:hAnsi="宋体"/>
          <w:color w:val="auto"/>
          <w:sz w:val="24"/>
          <w:szCs w:val="24"/>
          <w:highlight w:val="none"/>
        </w:rPr>
        <w:t>功能演示：</w:t>
      </w:r>
      <w:bookmarkEnd w:id="162"/>
    </w:p>
    <w:p>
      <w:pPr>
        <w:pStyle w:val="25"/>
        <w:numPr>
          <w:ilvl w:val="0"/>
          <w:numId w:val="2"/>
        </w:numPr>
        <w:snapToGrid w:val="0"/>
        <w:spacing w:before="120" w:after="120"/>
        <w:ind w:firstLine="361" w:firstLineChars="150"/>
        <w:outlineLvl w:val="0"/>
        <w:rPr>
          <w:rFonts w:hAnsi="宋体"/>
          <w:b/>
          <w:bCs/>
          <w:color w:val="auto"/>
          <w:sz w:val="24"/>
          <w:highlight w:val="none"/>
        </w:rPr>
      </w:pPr>
      <w:bookmarkStart w:id="163" w:name="_Toc26165"/>
      <w:r>
        <w:rPr>
          <w:rFonts w:hint="eastAsia" w:hAnsi="宋体"/>
          <w:b/>
          <w:bCs/>
          <w:color w:val="auto"/>
          <w:sz w:val="24"/>
          <w:highlight w:val="none"/>
        </w:rPr>
        <w:t>强首府指标管理云（能够演示所有功能，功能设计科学合理，可用性稳定性高，得</w:t>
      </w:r>
      <w:r>
        <w:rPr>
          <w:rFonts w:hAnsi="宋体"/>
          <w:b/>
          <w:bCs/>
          <w:color w:val="auto"/>
          <w:sz w:val="24"/>
          <w:highlight w:val="none"/>
        </w:rPr>
        <w:t>5</w:t>
      </w:r>
      <w:r>
        <w:rPr>
          <w:rFonts w:hint="eastAsia" w:hAnsi="宋体"/>
          <w:b/>
          <w:bCs/>
          <w:color w:val="auto"/>
          <w:sz w:val="24"/>
          <w:highlight w:val="none"/>
        </w:rPr>
        <w:t>分；能够演示3项以上的功能，功能设计有一定合理性和可用性，得</w:t>
      </w:r>
      <w:r>
        <w:rPr>
          <w:rFonts w:hAnsi="宋体"/>
          <w:b/>
          <w:bCs/>
          <w:color w:val="auto"/>
          <w:sz w:val="24"/>
          <w:highlight w:val="none"/>
        </w:rPr>
        <w:t>3</w:t>
      </w:r>
      <w:r>
        <w:rPr>
          <w:rFonts w:hint="eastAsia" w:hAnsi="宋体"/>
          <w:b/>
          <w:bCs/>
          <w:color w:val="auto"/>
          <w:sz w:val="24"/>
          <w:highlight w:val="none"/>
        </w:rPr>
        <w:t>分；只能演示1项或以下所要求的功能，功能设计合理性和可用性差的，得0分）。</w:t>
      </w:r>
      <w:bookmarkEnd w:id="163"/>
    </w:p>
    <w:p>
      <w:pPr>
        <w:pStyle w:val="25"/>
        <w:numPr>
          <w:ilvl w:val="0"/>
          <w:numId w:val="3"/>
        </w:numPr>
        <w:tabs>
          <w:tab w:val="left" w:pos="876"/>
        </w:tabs>
        <w:snapToGrid w:val="0"/>
        <w:spacing w:before="120" w:after="120"/>
        <w:ind w:firstLine="480" w:firstLineChars="200"/>
        <w:outlineLvl w:val="0"/>
        <w:rPr>
          <w:rFonts w:hAnsi="宋体"/>
          <w:color w:val="auto"/>
          <w:sz w:val="24"/>
          <w:szCs w:val="24"/>
          <w:highlight w:val="none"/>
        </w:rPr>
      </w:pPr>
      <w:bookmarkStart w:id="164" w:name="_Toc23747"/>
      <w:r>
        <w:rPr>
          <w:rFonts w:hint="eastAsia" w:hAnsi="宋体"/>
          <w:color w:val="auto"/>
          <w:sz w:val="24"/>
          <w:szCs w:val="24"/>
          <w:highlight w:val="none"/>
        </w:rPr>
        <w:t>演示指标填报</w:t>
      </w:r>
      <w:bookmarkEnd w:id="164"/>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分为月度、季度、年度填报，用户可以填报采购需求要求的指标。</w:t>
      </w:r>
    </w:p>
    <w:p>
      <w:pPr>
        <w:pStyle w:val="25"/>
        <w:numPr>
          <w:ilvl w:val="0"/>
          <w:numId w:val="3"/>
        </w:numPr>
        <w:tabs>
          <w:tab w:val="left" w:pos="876"/>
        </w:tabs>
        <w:snapToGrid w:val="0"/>
        <w:spacing w:before="120" w:after="120"/>
        <w:ind w:firstLine="480" w:firstLineChars="200"/>
        <w:outlineLvl w:val="0"/>
        <w:rPr>
          <w:rFonts w:hAnsi="宋体"/>
          <w:color w:val="auto"/>
          <w:sz w:val="24"/>
          <w:szCs w:val="24"/>
          <w:highlight w:val="none"/>
        </w:rPr>
      </w:pPr>
      <w:bookmarkStart w:id="165" w:name="_Toc24460"/>
      <w:r>
        <w:rPr>
          <w:rFonts w:hint="eastAsia" w:hAnsi="宋体"/>
          <w:color w:val="auto"/>
          <w:sz w:val="24"/>
          <w:szCs w:val="24"/>
          <w:highlight w:val="none"/>
        </w:rPr>
        <w:t>演示指标导入</w:t>
      </w:r>
      <w:bookmarkEnd w:id="165"/>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用户可以导入指标，下载填报模版，填写上传Excel。</w:t>
      </w:r>
    </w:p>
    <w:p>
      <w:pPr>
        <w:pStyle w:val="25"/>
        <w:numPr>
          <w:ilvl w:val="0"/>
          <w:numId w:val="3"/>
        </w:numPr>
        <w:tabs>
          <w:tab w:val="left" w:pos="876"/>
        </w:tabs>
        <w:snapToGrid w:val="0"/>
        <w:spacing w:before="120" w:after="120"/>
        <w:ind w:firstLine="480" w:firstLineChars="200"/>
        <w:outlineLvl w:val="0"/>
        <w:rPr>
          <w:rFonts w:hAnsi="宋体"/>
          <w:color w:val="auto"/>
          <w:sz w:val="24"/>
          <w:szCs w:val="24"/>
          <w:highlight w:val="none"/>
        </w:rPr>
      </w:pPr>
      <w:bookmarkStart w:id="166" w:name="_Toc14920"/>
      <w:r>
        <w:rPr>
          <w:rFonts w:hint="eastAsia" w:hAnsi="宋体"/>
          <w:color w:val="auto"/>
          <w:sz w:val="24"/>
          <w:szCs w:val="24"/>
          <w:highlight w:val="none"/>
        </w:rPr>
        <w:t>演示指标导出</w:t>
      </w:r>
      <w:bookmarkEnd w:id="166"/>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支持导出已填报的指标数据，用户可以按照条件筛选查询结果导出该对应的全部指标。</w:t>
      </w:r>
    </w:p>
    <w:p>
      <w:pPr>
        <w:pStyle w:val="25"/>
        <w:numPr>
          <w:ilvl w:val="0"/>
          <w:numId w:val="3"/>
        </w:numPr>
        <w:tabs>
          <w:tab w:val="left" w:pos="876"/>
        </w:tabs>
        <w:snapToGrid w:val="0"/>
        <w:spacing w:before="120" w:after="120"/>
        <w:ind w:firstLine="480" w:firstLineChars="200"/>
        <w:outlineLvl w:val="0"/>
        <w:rPr>
          <w:rFonts w:hAnsi="宋体"/>
          <w:color w:val="auto"/>
          <w:sz w:val="24"/>
          <w:szCs w:val="24"/>
          <w:highlight w:val="none"/>
        </w:rPr>
      </w:pPr>
      <w:bookmarkStart w:id="167" w:name="_Toc32126"/>
      <w:r>
        <w:rPr>
          <w:rFonts w:hint="eastAsia" w:hAnsi="宋体"/>
          <w:color w:val="auto"/>
          <w:sz w:val="24"/>
          <w:szCs w:val="24"/>
          <w:highlight w:val="none"/>
        </w:rPr>
        <w:t>演示指标展示</w:t>
      </w:r>
      <w:bookmarkEnd w:id="167"/>
    </w:p>
    <w:p>
      <w:pPr>
        <w:pStyle w:val="25"/>
        <w:tabs>
          <w:tab w:val="left" w:pos="876"/>
        </w:tabs>
        <w:snapToGrid w:val="0"/>
        <w:spacing w:before="120" w:after="120"/>
        <w:ind w:left="420" w:leftChars="200"/>
        <w:outlineLvl w:val="0"/>
        <w:rPr>
          <w:rFonts w:hAnsi="宋体"/>
          <w:color w:val="auto"/>
          <w:kern w:val="0"/>
          <w:sz w:val="24"/>
          <w:highlight w:val="none"/>
        </w:rPr>
      </w:pPr>
      <w:bookmarkStart w:id="168" w:name="_Toc911"/>
      <w:r>
        <w:rPr>
          <w:rFonts w:hint="eastAsia" w:hAnsi="宋体"/>
          <w:color w:val="auto"/>
          <w:kern w:val="0"/>
          <w:sz w:val="24"/>
          <w:highlight w:val="none"/>
        </w:rPr>
        <w:t>可以对指标进行分组，并且设置指标在指标展示模块中进行展示和分析。</w:t>
      </w:r>
      <w:bookmarkEnd w:id="168"/>
    </w:p>
    <w:p>
      <w:pPr>
        <w:pStyle w:val="25"/>
        <w:numPr>
          <w:ilvl w:val="0"/>
          <w:numId w:val="3"/>
        </w:numPr>
        <w:tabs>
          <w:tab w:val="left" w:pos="876"/>
        </w:tabs>
        <w:snapToGrid w:val="0"/>
        <w:spacing w:before="120" w:after="120"/>
        <w:ind w:firstLine="480" w:firstLineChars="200"/>
        <w:outlineLvl w:val="0"/>
        <w:rPr>
          <w:rFonts w:hAnsi="宋体"/>
          <w:color w:val="auto"/>
          <w:sz w:val="24"/>
          <w:szCs w:val="24"/>
          <w:highlight w:val="none"/>
        </w:rPr>
      </w:pPr>
      <w:bookmarkStart w:id="169" w:name="_Toc25715"/>
      <w:r>
        <w:rPr>
          <w:rFonts w:hint="eastAsia" w:hAnsi="宋体"/>
          <w:color w:val="auto"/>
          <w:sz w:val="24"/>
          <w:szCs w:val="24"/>
          <w:highlight w:val="none"/>
        </w:rPr>
        <w:t>演示创建指标</w:t>
      </w:r>
      <w:bookmarkEnd w:id="169"/>
    </w:p>
    <w:p>
      <w:pPr>
        <w:pStyle w:val="25"/>
        <w:tabs>
          <w:tab w:val="left" w:pos="876"/>
        </w:tabs>
        <w:snapToGrid w:val="0"/>
        <w:spacing w:before="120" w:after="120"/>
        <w:ind w:left="420" w:leftChars="200"/>
        <w:outlineLvl w:val="0"/>
        <w:rPr>
          <w:rFonts w:hAnsi="宋体"/>
          <w:color w:val="auto"/>
          <w:sz w:val="24"/>
          <w:highlight w:val="none"/>
        </w:rPr>
      </w:pPr>
      <w:bookmarkStart w:id="170" w:name="_Toc497"/>
      <w:r>
        <w:rPr>
          <w:rFonts w:hint="eastAsia" w:hAnsi="宋体"/>
          <w:color w:val="auto"/>
          <w:kern w:val="0"/>
          <w:sz w:val="24"/>
          <w:highlight w:val="none"/>
        </w:rPr>
        <w:t>可以根据需要随时新增创建指标，实现指标数据的收集、展示和分析。</w:t>
      </w:r>
      <w:bookmarkEnd w:id="170"/>
    </w:p>
    <w:p>
      <w:pPr>
        <w:pStyle w:val="25"/>
        <w:numPr>
          <w:ilvl w:val="0"/>
          <w:numId w:val="2"/>
        </w:numPr>
        <w:snapToGrid w:val="0"/>
        <w:spacing w:before="120" w:after="120"/>
        <w:ind w:firstLine="361" w:firstLineChars="150"/>
        <w:outlineLvl w:val="0"/>
        <w:rPr>
          <w:rFonts w:hAnsi="宋体"/>
          <w:b/>
          <w:bCs/>
          <w:color w:val="auto"/>
          <w:sz w:val="24"/>
          <w:highlight w:val="none"/>
        </w:rPr>
      </w:pPr>
      <w:bookmarkStart w:id="171" w:name="_Toc23723"/>
      <w:r>
        <w:rPr>
          <w:rFonts w:hint="eastAsia" w:hAnsi="宋体"/>
          <w:b/>
          <w:bCs/>
          <w:color w:val="auto"/>
          <w:sz w:val="24"/>
          <w:highlight w:val="none"/>
        </w:rPr>
        <w:t>强首府监管云（能够演示所有功能，功能设计科学合理，可用性稳定性高，得5分；能够演示3项以上的功能，功能设计有一定合理性和可用性，得3分；只能演示1项或以下所要求的功能，功能设计合理性和可用性差的，得0分）。</w:t>
      </w:r>
      <w:bookmarkEnd w:id="171"/>
    </w:p>
    <w:p>
      <w:pPr>
        <w:pStyle w:val="25"/>
        <w:numPr>
          <w:ilvl w:val="0"/>
          <w:numId w:val="4"/>
        </w:numPr>
        <w:tabs>
          <w:tab w:val="left" w:pos="876"/>
        </w:tabs>
        <w:snapToGrid w:val="0"/>
        <w:spacing w:before="120" w:after="120"/>
        <w:ind w:firstLine="480" w:firstLineChars="200"/>
        <w:outlineLvl w:val="0"/>
        <w:rPr>
          <w:rFonts w:hAnsi="宋体"/>
          <w:color w:val="auto"/>
          <w:sz w:val="24"/>
          <w:szCs w:val="24"/>
          <w:highlight w:val="none"/>
        </w:rPr>
      </w:pPr>
      <w:bookmarkStart w:id="172" w:name="_Toc6094"/>
      <w:r>
        <w:rPr>
          <w:rFonts w:hint="eastAsia" w:hAnsi="宋体"/>
          <w:color w:val="auto"/>
          <w:sz w:val="24"/>
          <w:szCs w:val="24"/>
          <w:highlight w:val="none"/>
        </w:rPr>
        <w:t>演示指令下达</w:t>
      </w:r>
      <w:bookmarkEnd w:id="172"/>
    </w:p>
    <w:p>
      <w:pPr>
        <w:pStyle w:val="25"/>
        <w:snapToGrid w:val="0"/>
        <w:spacing w:before="120" w:after="120"/>
        <w:outlineLvl w:val="0"/>
        <w:rPr>
          <w:rFonts w:hAnsi="宋体"/>
          <w:color w:val="auto"/>
          <w:sz w:val="24"/>
          <w:szCs w:val="24"/>
          <w:highlight w:val="none"/>
        </w:rPr>
      </w:pPr>
      <w:r>
        <w:rPr>
          <w:rFonts w:hint="eastAsia" w:hAnsi="宋体"/>
          <w:color w:val="auto"/>
          <w:sz w:val="24"/>
          <w:szCs w:val="24"/>
          <w:highlight w:val="none"/>
        </w:rPr>
        <w:t xml:space="preserve">    </w:t>
      </w:r>
      <w:bookmarkStart w:id="173" w:name="_Toc5535"/>
      <w:r>
        <w:rPr>
          <w:rFonts w:hint="eastAsia" w:hAnsi="宋体"/>
          <w:color w:val="auto"/>
          <w:sz w:val="24"/>
          <w:szCs w:val="24"/>
          <w:highlight w:val="none"/>
        </w:rPr>
        <w:t>用户可以实时发送指令、接收指令、回复指令、编辑指令和查看指令详情。</w:t>
      </w:r>
      <w:bookmarkEnd w:id="173"/>
    </w:p>
    <w:p>
      <w:pPr>
        <w:pStyle w:val="25"/>
        <w:numPr>
          <w:ilvl w:val="0"/>
          <w:numId w:val="4"/>
        </w:numPr>
        <w:tabs>
          <w:tab w:val="left" w:pos="876"/>
        </w:tabs>
        <w:snapToGrid w:val="0"/>
        <w:spacing w:before="120" w:after="120"/>
        <w:ind w:firstLine="480" w:firstLineChars="200"/>
        <w:outlineLvl w:val="0"/>
        <w:rPr>
          <w:rFonts w:hAnsi="宋体"/>
          <w:color w:val="auto"/>
          <w:sz w:val="24"/>
          <w:szCs w:val="24"/>
          <w:highlight w:val="none"/>
        </w:rPr>
      </w:pPr>
      <w:bookmarkStart w:id="174" w:name="_Toc6898"/>
      <w:r>
        <w:rPr>
          <w:rFonts w:hint="eastAsia" w:hAnsi="宋体"/>
          <w:color w:val="auto"/>
          <w:sz w:val="24"/>
          <w:szCs w:val="24"/>
          <w:highlight w:val="none"/>
        </w:rPr>
        <w:t>演示问题协调</w:t>
      </w:r>
      <w:bookmarkEnd w:id="174"/>
    </w:p>
    <w:p>
      <w:pPr>
        <w:pStyle w:val="25"/>
        <w:snapToGrid w:val="0"/>
        <w:spacing w:before="120" w:after="120"/>
        <w:ind w:firstLine="360" w:firstLineChars="150"/>
        <w:outlineLvl w:val="0"/>
        <w:rPr>
          <w:rFonts w:hAnsi="宋体"/>
          <w:color w:val="auto"/>
          <w:sz w:val="24"/>
          <w:szCs w:val="24"/>
          <w:highlight w:val="none"/>
        </w:rPr>
      </w:pPr>
      <w:bookmarkStart w:id="175" w:name="_Toc10580"/>
      <w:r>
        <w:rPr>
          <w:rFonts w:hint="eastAsia" w:hAnsi="宋体"/>
          <w:color w:val="auto"/>
          <w:sz w:val="24"/>
          <w:szCs w:val="24"/>
          <w:highlight w:val="none"/>
        </w:rPr>
        <w:t>支持用户可以随时查询问题和上报问题，并支持对问题发起承办、转办、回退、回复，设置落实状态、跟踪问题进展情况、状态及查看问题详情。</w:t>
      </w:r>
      <w:bookmarkEnd w:id="175"/>
    </w:p>
    <w:p>
      <w:pPr>
        <w:pStyle w:val="25"/>
        <w:numPr>
          <w:ilvl w:val="0"/>
          <w:numId w:val="4"/>
        </w:numPr>
        <w:tabs>
          <w:tab w:val="left" w:pos="876"/>
        </w:tabs>
        <w:snapToGrid w:val="0"/>
        <w:spacing w:before="120" w:after="120"/>
        <w:ind w:firstLine="480" w:firstLineChars="200"/>
        <w:outlineLvl w:val="0"/>
        <w:rPr>
          <w:rFonts w:hAnsi="宋体"/>
          <w:color w:val="auto"/>
          <w:sz w:val="24"/>
          <w:szCs w:val="24"/>
          <w:highlight w:val="none"/>
        </w:rPr>
      </w:pPr>
      <w:bookmarkStart w:id="176" w:name="_Toc4876"/>
      <w:r>
        <w:rPr>
          <w:rFonts w:hint="eastAsia" w:hAnsi="宋体"/>
          <w:color w:val="auto"/>
          <w:sz w:val="24"/>
          <w:szCs w:val="24"/>
          <w:highlight w:val="none"/>
        </w:rPr>
        <w:t>演示智能预警</w:t>
      </w:r>
      <w:bookmarkEnd w:id="176"/>
    </w:p>
    <w:p>
      <w:pPr>
        <w:pStyle w:val="25"/>
        <w:snapToGrid w:val="0"/>
        <w:spacing w:before="120" w:after="120"/>
        <w:ind w:firstLine="360" w:firstLineChars="150"/>
        <w:outlineLvl w:val="0"/>
        <w:rPr>
          <w:rFonts w:hAnsi="宋体"/>
          <w:color w:val="auto"/>
          <w:sz w:val="24"/>
          <w:szCs w:val="24"/>
          <w:highlight w:val="none"/>
        </w:rPr>
      </w:pPr>
      <w:bookmarkStart w:id="177" w:name="_Toc1914"/>
      <w:r>
        <w:rPr>
          <w:rFonts w:hint="eastAsia" w:hAnsi="宋体"/>
          <w:color w:val="auto"/>
          <w:sz w:val="24"/>
          <w:szCs w:val="24"/>
          <w:highlight w:val="none"/>
        </w:rPr>
        <w:t>交互筛选查看项目进度、资金进度、任务进度、问题协调等预警状态。</w:t>
      </w:r>
      <w:bookmarkEnd w:id="177"/>
    </w:p>
    <w:p>
      <w:pPr>
        <w:pStyle w:val="25"/>
        <w:numPr>
          <w:ilvl w:val="0"/>
          <w:numId w:val="4"/>
        </w:numPr>
        <w:tabs>
          <w:tab w:val="left" w:pos="876"/>
        </w:tabs>
        <w:snapToGrid w:val="0"/>
        <w:spacing w:before="120" w:after="120"/>
        <w:ind w:firstLine="480" w:firstLineChars="200"/>
        <w:outlineLvl w:val="0"/>
        <w:rPr>
          <w:rFonts w:hAnsi="宋体"/>
          <w:color w:val="auto"/>
          <w:sz w:val="24"/>
          <w:szCs w:val="24"/>
          <w:highlight w:val="none"/>
        </w:rPr>
      </w:pPr>
      <w:bookmarkStart w:id="178" w:name="_Toc1249"/>
      <w:r>
        <w:rPr>
          <w:rFonts w:hint="eastAsia" w:hAnsi="宋体"/>
          <w:color w:val="auto"/>
          <w:sz w:val="24"/>
          <w:szCs w:val="24"/>
          <w:highlight w:val="none"/>
        </w:rPr>
        <w:t>演示督导督办</w:t>
      </w:r>
      <w:bookmarkEnd w:id="178"/>
    </w:p>
    <w:p>
      <w:pPr>
        <w:snapToGrid w:val="0"/>
        <w:ind w:firstLine="360" w:firstLineChars="150"/>
        <w:outlineLvl w:val="0"/>
        <w:rPr>
          <w:rFonts w:ascii="宋体" w:hAnsi="宋体" w:cs="宋体"/>
          <w:color w:val="auto"/>
          <w:sz w:val="24"/>
          <w:szCs w:val="24"/>
          <w:highlight w:val="none"/>
        </w:rPr>
      </w:pPr>
      <w:bookmarkStart w:id="179" w:name="_Toc28233"/>
      <w:r>
        <w:rPr>
          <w:rFonts w:hint="eastAsia" w:ascii="宋体" w:hAnsi="宋体" w:cs="宋体"/>
          <w:color w:val="auto"/>
          <w:sz w:val="24"/>
          <w:szCs w:val="24"/>
          <w:highlight w:val="none"/>
        </w:rPr>
        <w:t>通过线上发送督办函方式进行督导督办，并以站内信、短信通知提醒用户查看。</w:t>
      </w:r>
      <w:bookmarkEnd w:id="179"/>
    </w:p>
    <w:p>
      <w:pPr>
        <w:pStyle w:val="25"/>
        <w:numPr>
          <w:ilvl w:val="0"/>
          <w:numId w:val="4"/>
        </w:numPr>
        <w:tabs>
          <w:tab w:val="left" w:pos="876"/>
        </w:tabs>
        <w:snapToGrid w:val="0"/>
        <w:spacing w:before="120" w:after="120"/>
        <w:ind w:firstLine="480" w:firstLineChars="200"/>
        <w:outlineLvl w:val="0"/>
        <w:rPr>
          <w:rFonts w:hAnsi="宋体"/>
          <w:color w:val="auto"/>
          <w:sz w:val="24"/>
          <w:szCs w:val="24"/>
          <w:highlight w:val="none"/>
        </w:rPr>
      </w:pPr>
      <w:bookmarkStart w:id="180" w:name="_Toc30760"/>
      <w:r>
        <w:rPr>
          <w:rFonts w:hint="eastAsia" w:hAnsi="宋体"/>
          <w:color w:val="auto"/>
          <w:sz w:val="24"/>
          <w:szCs w:val="24"/>
          <w:highlight w:val="none"/>
        </w:rPr>
        <w:t>演示绩效评价</w:t>
      </w:r>
      <w:bookmarkEnd w:id="180"/>
    </w:p>
    <w:p>
      <w:pPr>
        <w:pStyle w:val="25"/>
        <w:snapToGrid w:val="0"/>
        <w:spacing w:before="120" w:after="120"/>
        <w:ind w:firstLine="360" w:firstLineChars="150"/>
        <w:outlineLvl w:val="0"/>
        <w:rPr>
          <w:rFonts w:hAnsi="宋体"/>
          <w:color w:val="auto"/>
          <w:sz w:val="24"/>
          <w:szCs w:val="24"/>
          <w:highlight w:val="none"/>
        </w:rPr>
      </w:pPr>
      <w:bookmarkStart w:id="181" w:name="_Toc1912"/>
      <w:r>
        <w:rPr>
          <w:rFonts w:hint="eastAsia" w:hAnsi="宋体"/>
          <w:color w:val="auto"/>
          <w:sz w:val="24"/>
          <w:szCs w:val="24"/>
          <w:highlight w:val="none"/>
        </w:rPr>
        <w:t>演示绩效评价分析，提供考核任务下发、绩效考核上报、自动绩效评价、评价结果查询等功能展示。</w:t>
      </w:r>
      <w:bookmarkEnd w:id="181"/>
    </w:p>
    <w:p>
      <w:pPr>
        <w:pStyle w:val="25"/>
        <w:numPr>
          <w:ilvl w:val="0"/>
          <w:numId w:val="2"/>
        </w:numPr>
        <w:snapToGrid w:val="0"/>
        <w:spacing w:before="120" w:after="120"/>
        <w:ind w:firstLine="361" w:firstLineChars="150"/>
        <w:outlineLvl w:val="0"/>
        <w:rPr>
          <w:rFonts w:hAnsi="宋体"/>
          <w:color w:val="auto"/>
          <w:sz w:val="24"/>
          <w:highlight w:val="none"/>
        </w:rPr>
      </w:pPr>
      <w:bookmarkStart w:id="182" w:name="_Toc5422"/>
      <w:r>
        <w:rPr>
          <w:rFonts w:hint="eastAsia" w:hAnsi="宋体"/>
          <w:b/>
          <w:bCs/>
          <w:color w:val="auto"/>
          <w:sz w:val="24"/>
          <w:highlight w:val="none"/>
        </w:rPr>
        <w:t>强首府项目服务云（功能全部满足要求，且重点演示功能能全部演示和满足要求，功能设计科学合理，可用性稳定性高，得</w:t>
      </w:r>
      <w:r>
        <w:rPr>
          <w:rFonts w:hAnsi="宋体"/>
          <w:b/>
          <w:bCs/>
          <w:color w:val="auto"/>
          <w:sz w:val="24"/>
          <w:highlight w:val="none"/>
        </w:rPr>
        <w:t>5</w:t>
      </w:r>
      <w:r>
        <w:rPr>
          <w:rFonts w:hint="eastAsia" w:hAnsi="宋体"/>
          <w:b/>
          <w:bCs/>
          <w:color w:val="auto"/>
          <w:sz w:val="24"/>
          <w:highlight w:val="none"/>
        </w:rPr>
        <w:t>分；全部功能及重点演示功能满足一半以上的，功能设计有一定合理性和可用性，得</w:t>
      </w:r>
      <w:r>
        <w:rPr>
          <w:rFonts w:hAnsi="宋体"/>
          <w:b/>
          <w:bCs/>
          <w:color w:val="auto"/>
          <w:sz w:val="24"/>
          <w:highlight w:val="none"/>
        </w:rPr>
        <w:t>3</w:t>
      </w:r>
      <w:r>
        <w:rPr>
          <w:rFonts w:hint="eastAsia" w:hAnsi="宋体"/>
          <w:b/>
          <w:bCs/>
          <w:color w:val="auto"/>
          <w:sz w:val="24"/>
          <w:highlight w:val="none"/>
        </w:rPr>
        <w:t>分；全部功能及重点演示功能满足三分之一或以下，功能设计合理性和可用性差的，得0分）</w:t>
      </w:r>
      <w:r>
        <w:rPr>
          <w:rFonts w:hint="eastAsia" w:hAnsi="宋体"/>
          <w:color w:val="auto"/>
          <w:sz w:val="24"/>
          <w:highlight w:val="none"/>
        </w:rPr>
        <w:t>。</w:t>
      </w:r>
      <w:bookmarkEnd w:id="182"/>
    </w:p>
    <w:p>
      <w:pPr>
        <w:pStyle w:val="25"/>
        <w:snapToGrid w:val="0"/>
        <w:spacing w:before="120" w:after="120"/>
        <w:ind w:firstLine="360" w:firstLineChars="150"/>
        <w:outlineLvl w:val="0"/>
        <w:rPr>
          <w:rFonts w:hAnsi="宋体"/>
          <w:color w:val="auto"/>
          <w:sz w:val="24"/>
          <w:highlight w:val="none"/>
        </w:rPr>
      </w:pPr>
      <w:bookmarkStart w:id="183" w:name="_Toc12744"/>
      <w:r>
        <w:rPr>
          <w:rFonts w:hint="eastAsia" w:hAnsi="宋体"/>
          <w:color w:val="auto"/>
          <w:sz w:val="24"/>
          <w:highlight w:val="none"/>
        </w:rPr>
        <w:t>强首府项目服务云需包括项目清单、消息任务、个人中心、强首府“6+1”任务事项管理中的重大任务管理、重点工作管理、下放事项管理，项目管理全生命周期的项目基础信息管理、文档信息管理、推进路线图管理、进度管理、监测预警、填报配置管理。并重点演示以下五个功能：</w:t>
      </w:r>
      <w:bookmarkEnd w:id="183"/>
    </w:p>
    <w:p>
      <w:pPr>
        <w:pStyle w:val="25"/>
        <w:numPr>
          <w:ilvl w:val="0"/>
          <w:numId w:val="5"/>
        </w:numPr>
        <w:tabs>
          <w:tab w:val="left" w:pos="876"/>
        </w:tabs>
        <w:snapToGrid w:val="0"/>
        <w:spacing w:before="120" w:after="120"/>
        <w:ind w:firstLine="480" w:firstLineChars="200"/>
        <w:outlineLvl w:val="0"/>
        <w:rPr>
          <w:rFonts w:hAnsi="宋体"/>
          <w:color w:val="auto"/>
          <w:sz w:val="24"/>
          <w:szCs w:val="24"/>
          <w:highlight w:val="none"/>
        </w:rPr>
      </w:pPr>
      <w:bookmarkStart w:id="184" w:name="_Toc24757"/>
      <w:r>
        <w:rPr>
          <w:rFonts w:hint="eastAsia" w:hAnsi="宋体"/>
          <w:color w:val="auto"/>
          <w:sz w:val="24"/>
          <w:szCs w:val="24"/>
          <w:highlight w:val="none"/>
        </w:rPr>
        <w:t>演示项目清单</w:t>
      </w:r>
      <w:bookmarkEnd w:id="184"/>
    </w:p>
    <w:p>
      <w:pPr>
        <w:pStyle w:val="25"/>
        <w:tabs>
          <w:tab w:val="left" w:pos="876"/>
        </w:tabs>
        <w:snapToGrid w:val="0"/>
        <w:spacing w:before="120" w:after="120"/>
        <w:ind w:firstLine="480" w:firstLineChars="200"/>
        <w:outlineLvl w:val="0"/>
        <w:rPr>
          <w:rFonts w:hAnsi="宋体"/>
          <w:color w:val="auto"/>
          <w:sz w:val="24"/>
          <w:szCs w:val="24"/>
          <w:highlight w:val="none"/>
        </w:rPr>
      </w:pPr>
      <w:bookmarkStart w:id="185" w:name="_Toc1007"/>
      <w:r>
        <w:rPr>
          <w:rFonts w:hint="eastAsia" w:hAnsi="宋体"/>
          <w:color w:val="auto"/>
          <w:sz w:val="24"/>
          <w:szCs w:val="24"/>
          <w:highlight w:val="none"/>
        </w:rPr>
        <w:t>支持对项目基础数据的管理，能够新增、批量导入、导出项目报表，并可展示项目地图。</w:t>
      </w:r>
      <w:bookmarkEnd w:id="185"/>
    </w:p>
    <w:p>
      <w:pPr>
        <w:pStyle w:val="25"/>
        <w:numPr>
          <w:ilvl w:val="0"/>
          <w:numId w:val="5"/>
        </w:numPr>
        <w:tabs>
          <w:tab w:val="left" w:pos="876"/>
        </w:tabs>
        <w:snapToGrid w:val="0"/>
        <w:spacing w:before="120" w:after="120"/>
        <w:ind w:firstLine="480" w:firstLineChars="200"/>
        <w:outlineLvl w:val="0"/>
        <w:rPr>
          <w:rFonts w:hAnsi="宋体"/>
          <w:color w:val="auto"/>
          <w:sz w:val="24"/>
          <w:szCs w:val="24"/>
          <w:highlight w:val="none"/>
        </w:rPr>
      </w:pPr>
      <w:bookmarkStart w:id="186" w:name="_Toc4010"/>
      <w:r>
        <w:rPr>
          <w:rFonts w:hint="eastAsia" w:hAnsi="宋体"/>
          <w:color w:val="auto"/>
          <w:sz w:val="24"/>
          <w:szCs w:val="24"/>
          <w:highlight w:val="none"/>
        </w:rPr>
        <w:t>演示推进路线图</w:t>
      </w:r>
      <w:bookmarkEnd w:id="186"/>
    </w:p>
    <w:p>
      <w:pPr>
        <w:pStyle w:val="25"/>
        <w:tabs>
          <w:tab w:val="left" w:pos="876"/>
        </w:tabs>
        <w:snapToGrid w:val="0"/>
        <w:spacing w:before="120" w:after="120"/>
        <w:ind w:firstLine="480" w:firstLineChars="200"/>
        <w:outlineLvl w:val="0"/>
        <w:rPr>
          <w:rFonts w:hAnsi="宋体"/>
          <w:color w:val="auto"/>
          <w:sz w:val="24"/>
          <w:szCs w:val="24"/>
          <w:highlight w:val="none"/>
        </w:rPr>
      </w:pPr>
      <w:bookmarkStart w:id="187" w:name="_Toc15347"/>
      <w:r>
        <w:rPr>
          <w:rFonts w:hint="eastAsia" w:hAnsi="宋体"/>
          <w:color w:val="auto"/>
          <w:sz w:val="24"/>
          <w:szCs w:val="24"/>
          <w:highlight w:val="none"/>
        </w:rPr>
        <w:t>实现个性化添加、审核不同建设性质类型的项目的推进路线图等，审核通过后，在移动端上通过图表可视化展示。</w:t>
      </w:r>
      <w:bookmarkEnd w:id="187"/>
    </w:p>
    <w:p>
      <w:pPr>
        <w:pStyle w:val="25"/>
        <w:numPr>
          <w:ilvl w:val="0"/>
          <w:numId w:val="5"/>
        </w:numPr>
        <w:tabs>
          <w:tab w:val="left" w:pos="876"/>
        </w:tabs>
        <w:snapToGrid w:val="0"/>
        <w:spacing w:before="120" w:after="120"/>
        <w:ind w:firstLine="480" w:firstLineChars="200"/>
        <w:outlineLvl w:val="0"/>
        <w:rPr>
          <w:rFonts w:hAnsi="宋体"/>
          <w:color w:val="auto"/>
          <w:sz w:val="24"/>
          <w:szCs w:val="24"/>
          <w:highlight w:val="none"/>
        </w:rPr>
      </w:pPr>
      <w:bookmarkStart w:id="188" w:name="_Toc31137"/>
      <w:r>
        <w:rPr>
          <w:rFonts w:hint="eastAsia" w:hAnsi="宋体"/>
          <w:color w:val="auto"/>
          <w:sz w:val="24"/>
          <w:szCs w:val="24"/>
          <w:highlight w:val="none"/>
        </w:rPr>
        <w:t>演示进度管理</w:t>
      </w:r>
      <w:bookmarkEnd w:id="188"/>
    </w:p>
    <w:p>
      <w:pPr>
        <w:pStyle w:val="25"/>
        <w:tabs>
          <w:tab w:val="left" w:pos="876"/>
        </w:tabs>
        <w:snapToGrid w:val="0"/>
        <w:spacing w:before="120" w:after="120"/>
        <w:ind w:firstLine="480" w:firstLineChars="200"/>
        <w:outlineLvl w:val="0"/>
        <w:rPr>
          <w:rFonts w:hAnsi="宋体"/>
          <w:color w:val="auto"/>
          <w:sz w:val="24"/>
          <w:szCs w:val="24"/>
          <w:highlight w:val="none"/>
        </w:rPr>
      </w:pPr>
      <w:bookmarkStart w:id="189" w:name="_Toc9770"/>
      <w:r>
        <w:rPr>
          <w:rFonts w:hint="eastAsia" w:hAnsi="宋体"/>
          <w:color w:val="auto"/>
          <w:sz w:val="24"/>
          <w:szCs w:val="24"/>
          <w:highlight w:val="none"/>
        </w:rPr>
        <w:t>支持项目进度填报，包括填报项目进度、任务节点进展情况等，填报后能够分类导出进度明细表。</w:t>
      </w:r>
      <w:bookmarkEnd w:id="189"/>
    </w:p>
    <w:p>
      <w:pPr>
        <w:pStyle w:val="25"/>
        <w:numPr>
          <w:ilvl w:val="0"/>
          <w:numId w:val="5"/>
        </w:numPr>
        <w:tabs>
          <w:tab w:val="left" w:pos="876"/>
        </w:tabs>
        <w:snapToGrid w:val="0"/>
        <w:spacing w:before="120" w:after="120"/>
        <w:ind w:firstLine="480" w:firstLineChars="200"/>
        <w:outlineLvl w:val="0"/>
        <w:rPr>
          <w:rFonts w:hAnsi="宋体"/>
          <w:color w:val="auto"/>
          <w:sz w:val="24"/>
          <w:szCs w:val="24"/>
          <w:highlight w:val="none"/>
        </w:rPr>
      </w:pPr>
      <w:bookmarkStart w:id="190" w:name="_Toc10309"/>
      <w:r>
        <w:rPr>
          <w:rFonts w:hint="eastAsia" w:hAnsi="宋体"/>
          <w:color w:val="auto"/>
          <w:sz w:val="24"/>
          <w:szCs w:val="24"/>
          <w:highlight w:val="none"/>
        </w:rPr>
        <w:t>演示全生命周期</w:t>
      </w:r>
      <w:bookmarkEnd w:id="190"/>
    </w:p>
    <w:p>
      <w:pPr>
        <w:pStyle w:val="25"/>
        <w:tabs>
          <w:tab w:val="left" w:pos="876"/>
        </w:tabs>
        <w:snapToGrid w:val="0"/>
        <w:spacing w:before="120" w:after="120"/>
        <w:ind w:firstLine="480" w:firstLineChars="200"/>
        <w:outlineLvl w:val="0"/>
        <w:rPr>
          <w:rFonts w:hAnsi="宋体"/>
          <w:color w:val="auto"/>
          <w:sz w:val="24"/>
          <w:szCs w:val="24"/>
          <w:highlight w:val="none"/>
        </w:rPr>
      </w:pPr>
      <w:bookmarkStart w:id="191" w:name="_Toc8576"/>
      <w:r>
        <w:rPr>
          <w:rFonts w:hint="eastAsia" w:hAnsi="宋体"/>
          <w:color w:val="auto"/>
          <w:sz w:val="24"/>
          <w:szCs w:val="24"/>
          <w:highlight w:val="none"/>
        </w:rPr>
        <w:t>支持综合性查看项目从前期工作、开工建设到竣工投产全生命周期管理的数据和内容。</w:t>
      </w:r>
      <w:bookmarkEnd w:id="191"/>
    </w:p>
    <w:p>
      <w:pPr>
        <w:pStyle w:val="25"/>
        <w:numPr>
          <w:ilvl w:val="0"/>
          <w:numId w:val="5"/>
        </w:numPr>
        <w:tabs>
          <w:tab w:val="left" w:pos="876"/>
        </w:tabs>
        <w:snapToGrid w:val="0"/>
        <w:spacing w:before="120" w:after="120"/>
        <w:ind w:firstLine="480" w:firstLineChars="200"/>
        <w:outlineLvl w:val="0"/>
        <w:rPr>
          <w:rFonts w:hAnsi="宋体"/>
          <w:color w:val="auto"/>
          <w:sz w:val="24"/>
          <w:highlight w:val="none"/>
        </w:rPr>
      </w:pPr>
      <w:bookmarkStart w:id="192" w:name="_Toc13076"/>
      <w:r>
        <w:rPr>
          <w:rFonts w:hint="eastAsia" w:hAnsi="宋体"/>
          <w:color w:val="auto"/>
          <w:sz w:val="24"/>
          <w:szCs w:val="24"/>
          <w:highlight w:val="none"/>
        </w:rPr>
        <w:t>演示任务管理</w:t>
      </w:r>
      <w:bookmarkEnd w:id="192"/>
    </w:p>
    <w:p>
      <w:pPr>
        <w:pStyle w:val="25"/>
        <w:tabs>
          <w:tab w:val="left" w:pos="876"/>
        </w:tabs>
        <w:snapToGrid w:val="0"/>
        <w:spacing w:before="120" w:after="120"/>
        <w:ind w:firstLine="480" w:firstLineChars="200"/>
        <w:outlineLvl w:val="0"/>
        <w:rPr>
          <w:rFonts w:hAnsi="宋体"/>
          <w:color w:val="auto"/>
          <w:sz w:val="24"/>
          <w:highlight w:val="none"/>
        </w:rPr>
      </w:pPr>
      <w:bookmarkStart w:id="193" w:name="_Toc21177"/>
      <w:r>
        <w:rPr>
          <w:rFonts w:hint="eastAsia" w:hAnsi="宋体"/>
          <w:color w:val="auto"/>
          <w:sz w:val="24"/>
          <w:szCs w:val="24"/>
          <w:highlight w:val="none"/>
        </w:rPr>
        <w:t>支持可以随时添加、删除、修改</w:t>
      </w:r>
      <w:r>
        <w:rPr>
          <w:rFonts w:hint="eastAsia" w:hAnsi="宋体"/>
          <w:color w:val="auto"/>
          <w:sz w:val="24"/>
          <w:highlight w:val="none"/>
        </w:rPr>
        <w:t>重大任务管理、重点工作管理、下放事项管理等。</w:t>
      </w:r>
      <w:bookmarkEnd w:id="193"/>
    </w:p>
    <w:p>
      <w:pPr>
        <w:pStyle w:val="25"/>
        <w:numPr>
          <w:ilvl w:val="0"/>
          <w:numId w:val="2"/>
        </w:numPr>
        <w:snapToGrid w:val="0"/>
        <w:spacing w:before="120" w:after="120"/>
        <w:ind w:firstLine="361" w:firstLineChars="150"/>
        <w:outlineLvl w:val="0"/>
        <w:rPr>
          <w:rFonts w:hAnsi="宋体"/>
          <w:b/>
          <w:bCs/>
          <w:color w:val="auto"/>
          <w:sz w:val="24"/>
          <w:highlight w:val="none"/>
        </w:rPr>
      </w:pPr>
      <w:bookmarkStart w:id="194" w:name="_Toc21020"/>
      <w:r>
        <w:rPr>
          <w:rFonts w:hint="eastAsia" w:hAnsi="宋体"/>
          <w:b/>
          <w:bCs/>
          <w:color w:val="auto"/>
          <w:sz w:val="24"/>
          <w:highlight w:val="none"/>
        </w:rPr>
        <w:t>强首府战略作战云APP（功能全部满足要求，且重点演示功能能全部演示和满足要求，功能设计科学合理，可用性稳定性高，得</w:t>
      </w:r>
      <w:r>
        <w:rPr>
          <w:rFonts w:hAnsi="宋体"/>
          <w:b/>
          <w:bCs/>
          <w:color w:val="auto"/>
          <w:sz w:val="24"/>
          <w:highlight w:val="none"/>
        </w:rPr>
        <w:t>5</w:t>
      </w:r>
      <w:r>
        <w:rPr>
          <w:rFonts w:hint="eastAsia" w:hAnsi="宋体"/>
          <w:b/>
          <w:bCs/>
          <w:color w:val="auto"/>
          <w:sz w:val="24"/>
          <w:highlight w:val="none"/>
        </w:rPr>
        <w:t>分；全部功能及重点演示功能满足一半以上的，功能设计有一定合理性和可用性，得</w:t>
      </w:r>
      <w:r>
        <w:rPr>
          <w:rFonts w:hAnsi="宋体"/>
          <w:b/>
          <w:bCs/>
          <w:color w:val="auto"/>
          <w:sz w:val="24"/>
          <w:highlight w:val="none"/>
        </w:rPr>
        <w:t>3</w:t>
      </w:r>
      <w:r>
        <w:rPr>
          <w:rFonts w:hint="eastAsia" w:hAnsi="宋体"/>
          <w:b/>
          <w:bCs/>
          <w:color w:val="auto"/>
          <w:sz w:val="24"/>
          <w:highlight w:val="none"/>
        </w:rPr>
        <w:t>分；全部功能及重点演示功能满足三分之一或以下，功能设计合理性和可用性差的，得0分）。</w:t>
      </w:r>
      <w:bookmarkEnd w:id="194"/>
    </w:p>
    <w:p>
      <w:pPr>
        <w:pStyle w:val="25"/>
        <w:tabs>
          <w:tab w:val="left" w:pos="876"/>
        </w:tabs>
        <w:snapToGrid w:val="0"/>
        <w:spacing w:before="120" w:after="120"/>
        <w:ind w:firstLine="480" w:firstLineChars="200"/>
        <w:outlineLvl w:val="0"/>
        <w:rPr>
          <w:rFonts w:hAnsi="宋体"/>
          <w:color w:val="auto"/>
          <w:sz w:val="24"/>
          <w:highlight w:val="none"/>
        </w:rPr>
      </w:pPr>
      <w:bookmarkStart w:id="195" w:name="_Toc26291"/>
      <w:r>
        <w:rPr>
          <w:rFonts w:hint="eastAsia" w:hAnsi="宋体"/>
          <w:color w:val="auto"/>
          <w:sz w:val="24"/>
          <w:highlight w:val="none"/>
        </w:rPr>
        <w:t>强首府战略作战云APP包括首页、指挥部（领导小组）、指令任务、重大项目、重点任务、下放事项、项目资讯、项目一张图、问题协调、工作动态、政策索引、红黑榜、重点工作、消息中心功能。并重点演示以下五个功能：</w:t>
      </w:r>
      <w:bookmarkEnd w:id="195"/>
    </w:p>
    <w:p>
      <w:pPr>
        <w:pStyle w:val="25"/>
        <w:numPr>
          <w:ilvl w:val="0"/>
          <w:numId w:val="6"/>
        </w:numPr>
        <w:tabs>
          <w:tab w:val="left" w:pos="876"/>
        </w:tabs>
        <w:snapToGrid w:val="0"/>
        <w:spacing w:before="120" w:after="120"/>
        <w:ind w:firstLine="480" w:firstLineChars="200"/>
        <w:outlineLvl w:val="0"/>
        <w:rPr>
          <w:rFonts w:hAnsi="宋体"/>
          <w:color w:val="auto"/>
          <w:sz w:val="24"/>
          <w:szCs w:val="24"/>
          <w:highlight w:val="none"/>
        </w:rPr>
      </w:pPr>
      <w:bookmarkStart w:id="196" w:name="_Toc10139"/>
      <w:r>
        <w:rPr>
          <w:rFonts w:hint="eastAsia" w:hAnsi="宋体"/>
          <w:color w:val="auto"/>
          <w:sz w:val="24"/>
          <w:szCs w:val="24"/>
          <w:highlight w:val="none"/>
        </w:rPr>
        <w:t>演示消息中心</w:t>
      </w:r>
      <w:bookmarkEnd w:id="196"/>
    </w:p>
    <w:p>
      <w:pPr>
        <w:pStyle w:val="25"/>
        <w:tabs>
          <w:tab w:val="left" w:pos="876"/>
        </w:tabs>
        <w:snapToGrid w:val="0"/>
        <w:spacing w:before="120" w:after="120"/>
        <w:ind w:firstLine="480" w:firstLineChars="200"/>
        <w:outlineLvl w:val="0"/>
        <w:rPr>
          <w:rFonts w:hAnsi="宋体"/>
          <w:color w:val="auto"/>
          <w:sz w:val="24"/>
          <w:szCs w:val="24"/>
          <w:highlight w:val="none"/>
        </w:rPr>
      </w:pPr>
      <w:bookmarkStart w:id="197" w:name="_Toc1034"/>
      <w:r>
        <w:rPr>
          <w:rFonts w:hint="eastAsia" w:hAnsi="宋体"/>
          <w:color w:val="auto"/>
          <w:sz w:val="24"/>
          <w:szCs w:val="24"/>
          <w:highlight w:val="none"/>
        </w:rPr>
        <w:t>发送指令、问题协调和督办函、进度填报后，实时接收站内信和短信的消息提醒，可分别对消息提醒进行查看和回复操作。</w:t>
      </w:r>
      <w:bookmarkEnd w:id="197"/>
    </w:p>
    <w:p>
      <w:pPr>
        <w:pStyle w:val="25"/>
        <w:numPr>
          <w:ilvl w:val="0"/>
          <w:numId w:val="6"/>
        </w:numPr>
        <w:tabs>
          <w:tab w:val="left" w:pos="876"/>
        </w:tabs>
        <w:snapToGrid w:val="0"/>
        <w:spacing w:before="120" w:after="120"/>
        <w:ind w:firstLine="480" w:firstLineChars="200"/>
        <w:outlineLvl w:val="0"/>
        <w:rPr>
          <w:rFonts w:hAnsi="宋体"/>
          <w:color w:val="auto"/>
          <w:sz w:val="24"/>
          <w:szCs w:val="24"/>
          <w:highlight w:val="none"/>
        </w:rPr>
      </w:pPr>
      <w:bookmarkStart w:id="198" w:name="_Toc32691"/>
      <w:r>
        <w:rPr>
          <w:rFonts w:hint="eastAsia" w:hAnsi="宋体"/>
          <w:color w:val="auto"/>
          <w:sz w:val="24"/>
          <w:szCs w:val="24"/>
          <w:highlight w:val="none"/>
        </w:rPr>
        <w:t>演示重大项目</w:t>
      </w:r>
      <w:bookmarkEnd w:id="198"/>
    </w:p>
    <w:p>
      <w:pPr>
        <w:pStyle w:val="25"/>
        <w:tabs>
          <w:tab w:val="left" w:pos="876"/>
        </w:tabs>
        <w:snapToGrid w:val="0"/>
        <w:spacing w:before="120" w:after="120"/>
        <w:ind w:firstLine="480" w:firstLineChars="200"/>
        <w:outlineLvl w:val="0"/>
        <w:rPr>
          <w:rFonts w:hAnsi="宋体"/>
          <w:color w:val="auto"/>
          <w:sz w:val="24"/>
          <w:szCs w:val="24"/>
          <w:highlight w:val="none"/>
        </w:rPr>
      </w:pPr>
      <w:bookmarkStart w:id="199" w:name="_Toc20105"/>
      <w:r>
        <w:rPr>
          <w:rFonts w:hint="eastAsia" w:hAnsi="宋体"/>
          <w:color w:val="auto"/>
          <w:sz w:val="24"/>
          <w:szCs w:val="24"/>
          <w:highlight w:val="none"/>
        </w:rPr>
        <w:t>支持查看项目全生命周期数据和信息；支持项目进度提醒预警；支持实时填报项目进度。</w:t>
      </w:r>
      <w:bookmarkEnd w:id="199"/>
    </w:p>
    <w:p>
      <w:pPr>
        <w:pStyle w:val="25"/>
        <w:numPr>
          <w:ilvl w:val="0"/>
          <w:numId w:val="6"/>
        </w:numPr>
        <w:tabs>
          <w:tab w:val="left" w:pos="876"/>
        </w:tabs>
        <w:snapToGrid w:val="0"/>
        <w:spacing w:before="120" w:after="120"/>
        <w:ind w:firstLine="480" w:firstLineChars="200"/>
        <w:outlineLvl w:val="0"/>
        <w:rPr>
          <w:rFonts w:hAnsi="宋体"/>
          <w:color w:val="auto"/>
          <w:sz w:val="24"/>
          <w:szCs w:val="24"/>
          <w:highlight w:val="none"/>
        </w:rPr>
      </w:pPr>
      <w:bookmarkStart w:id="200" w:name="_Toc32390"/>
      <w:r>
        <w:rPr>
          <w:rFonts w:hint="eastAsia" w:hAnsi="宋体"/>
          <w:color w:val="auto"/>
          <w:sz w:val="24"/>
          <w:szCs w:val="24"/>
          <w:highlight w:val="none"/>
        </w:rPr>
        <w:t>演示红黑榜</w:t>
      </w:r>
      <w:bookmarkEnd w:id="200"/>
    </w:p>
    <w:p>
      <w:pPr>
        <w:pStyle w:val="25"/>
        <w:tabs>
          <w:tab w:val="left" w:pos="876"/>
        </w:tabs>
        <w:snapToGrid w:val="0"/>
        <w:spacing w:before="120" w:after="120"/>
        <w:ind w:firstLine="480" w:firstLineChars="200"/>
        <w:outlineLvl w:val="0"/>
        <w:rPr>
          <w:rFonts w:hAnsi="宋体"/>
          <w:color w:val="auto"/>
          <w:sz w:val="24"/>
          <w:szCs w:val="24"/>
          <w:highlight w:val="none"/>
        </w:rPr>
      </w:pPr>
      <w:bookmarkStart w:id="201" w:name="_Toc13118"/>
      <w:r>
        <w:rPr>
          <w:rFonts w:hint="eastAsia" w:hAnsi="宋体"/>
          <w:color w:val="auto"/>
          <w:sz w:val="24"/>
          <w:szCs w:val="24"/>
          <w:highlight w:val="none"/>
        </w:rPr>
        <w:t>支持查看强工业、强创新、强金融、强枢纽、强开放、强治理六个专项小组的指标完成进度，能够跳转各指标掌握各县区、开发区红黑榜排名情况。</w:t>
      </w:r>
      <w:bookmarkEnd w:id="201"/>
    </w:p>
    <w:p>
      <w:pPr>
        <w:pStyle w:val="25"/>
        <w:numPr>
          <w:ilvl w:val="0"/>
          <w:numId w:val="6"/>
        </w:numPr>
        <w:tabs>
          <w:tab w:val="left" w:pos="876"/>
        </w:tabs>
        <w:snapToGrid w:val="0"/>
        <w:spacing w:before="120" w:after="120"/>
        <w:ind w:firstLine="480" w:firstLineChars="200"/>
        <w:outlineLvl w:val="0"/>
        <w:rPr>
          <w:rFonts w:hAnsi="宋体"/>
          <w:color w:val="auto"/>
          <w:sz w:val="24"/>
          <w:szCs w:val="24"/>
          <w:highlight w:val="none"/>
        </w:rPr>
      </w:pPr>
      <w:bookmarkStart w:id="202" w:name="_Toc14462"/>
      <w:r>
        <w:rPr>
          <w:rFonts w:hint="eastAsia" w:hAnsi="宋体"/>
          <w:color w:val="auto"/>
          <w:sz w:val="24"/>
          <w:szCs w:val="24"/>
          <w:highlight w:val="none"/>
        </w:rPr>
        <w:t>演示重点工作</w:t>
      </w:r>
      <w:bookmarkEnd w:id="202"/>
    </w:p>
    <w:p>
      <w:pPr>
        <w:pStyle w:val="25"/>
        <w:tabs>
          <w:tab w:val="left" w:pos="876"/>
        </w:tabs>
        <w:snapToGrid w:val="0"/>
        <w:spacing w:before="120" w:after="120"/>
        <w:ind w:firstLine="480" w:firstLineChars="200"/>
        <w:outlineLvl w:val="0"/>
        <w:rPr>
          <w:rFonts w:hAnsi="宋体"/>
          <w:color w:val="auto"/>
          <w:sz w:val="24"/>
          <w:szCs w:val="24"/>
          <w:highlight w:val="none"/>
        </w:rPr>
      </w:pPr>
      <w:bookmarkStart w:id="203" w:name="_Toc10807"/>
      <w:r>
        <w:rPr>
          <w:rFonts w:hint="eastAsia" w:hAnsi="宋体"/>
          <w:color w:val="auto"/>
          <w:sz w:val="24"/>
          <w:szCs w:val="24"/>
          <w:highlight w:val="none"/>
        </w:rPr>
        <w:t>支持随时根据下达的工作任务，填报工作进展情况，进行自评星级、点赞操作，并根据自评星级和点赞结果操作进行评分。</w:t>
      </w:r>
      <w:bookmarkEnd w:id="203"/>
    </w:p>
    <w:p>
      <w:pPr>
        <w:pStyle w:val="25"/>
        <w:numPr>
          <w:ilvl w:val="0"/>
          <w:numId w:val="6"/>
        </w:numPr>
        <w:tabs>
          <w:tab w:val="left" w:pos="876"/>
        </w:tabs>
        <w:snapToGrid w:val="0"/>
        <w:spacing w:before="120" w:after="120"/>
        <w:ind w:firstLine="480" w:firstLineChars="200"/>
        <w:outlineLvl w:val="0"/>
        <w:rPr>
          <w:rFonts w:hAnsi="宋体"/>
          <w:color w:val="auto"/>
          <w:sz w:val="24"/>
          <w:szCs w:val="24"/>
          <w:highlight w:val="none"/>
        </w:rPr>
      </w:pPr>
      <w:bookmarkStart w:id="204" w:name="_Toc19855"/>
      <w:r>
        <w:rPr>
          <w:rFonts w:hint="eastAsia" w:hAnsi="宋体"/>
          <w:color w:val="auto"/>
          <w:sz w:val="24"/>
          <w:szCs w:val="24"/>
          <w:highlight w:val="none"/>
        </w:rPr>
        <w:t>演示工作快讯</w:t>
      </w:r>
      <w:bookmarkEnd w:id="204"/>
    </w:p>
    <w:p>
      <w:pPr>
        <w:pStyle w:val="25"/>
        <w:tabs>
          <w:tab w:val="left" w:pos="876"/>
        </w:tabs>
        <w:snapToGrid w:val="0"/>
        <w:spacing w:before="120" w:after="120"/>
        <w:ind w:firstLine="480" w:firstLineChars="200"/>
        <w:outlineLvl w:val="0"/>
        <w:rPr>
          <w:rFonts w:hAnsi="宋体"/>
          <w:color w:val="auto"/>
          <w:sz w:val="24"/>
          <w:szCs w:val="24"/>
          <w:highlight w:val="none"/>
        </w:rPr>
      </w:pPr>
      <w:bookmarkStart w:id="205" w:name="_Toc17205"/>
      <w:r>
        <w:rPr>
          <w:rFonts w:hint="eastAsia" w:hAnsi="宋体"/>
          <w:color w:val="auto"/>
          <w:sz w:val="24"/>
          <w:szCs w:val="24"/>
          <w:highlight w:val="none"/>
        </w:rPr>
        <w:t>支持快捷发布和管理工作快讯，并在移动端上滚动播放。</w:t>
      </w:r>
      <w:bookmarkEnd w:id="205"/>
    </w:p>
    <w:p>
      <w:pPr>
        <w:pStyle w:val="25"/>
        <w:snapToGrid w:val="0"/>
        <w:spacing w:before="120" w:after="120"/>
        <w:outlineLvl w:val="0"/>
        <w:rPr>
          <w:rFonts w:hAnsi="宋体"/>
          <w:b/>
          <w:color w:val="auto"/>
          <w:sz w:val="24"/>
          <w:szCs w:val="24"/>
          <w:highlight w:val="none"/>
        </w:rPr>
      </w:pPr>
      <w:bookmarkStart w:id="206" w:name="_Toc10151"/>
      <w:r>
        <w:rPr>
          <w:rFonts w:hint="eastAsia" w:hAnsi="宋体"/>
          <w:b/>
          <w:color w:val="auto"/>
          <w:sz w:val="24"/>
          <w:szCs w:val="24"/>
          <w:highlight w:val="none"/>
        </w:rPr>
        <w:t>3、商务分……………………………………………………………………20分</w:t>
      </w:r>
      <w:bookmarkEnd w:id="206"/>
    </w:p>
    <w:p>
      <w:pPr>
        <w:pStyle w:val="25"/>
        <w:snapToGrid w:val="0"/>
        <w:spacing w:before="120" w:after="120"/>
        <w:ind w:firstLine="361" w:firstLineChars="150"/>
        <w:outlineLvl w:val="0"/>
        <w:rPr>
          <w:rFonts w:hAnsi="宋体"/>
          <w:b/>
          <w:bCs/>
          <w:color w:val="auto"/>
          <w:sz w:val="24"/>
          <w:szCs w:val="24"/>
          <w:highlight w:val="none"/>
        </w:rPr>
      </w:pPr>
      <w:bookmarkStart w:id="207" w:name="_Toc15570"/>
      <w:r>
        <w:rPr>
          <w:rFonts w:hint="eastAsia" w:hAnsi="宋体"/>
          <w:b/>
          <w:bCs/>
          <w:color w:val="auto"/>
          <w:sz w:val="24"/>
          <w:szCs w:val="24"/>
          <w:highlight w:val="none"/>
        </w:rPr>
        <w:t>（1）投标人管理体系认证情况（满分5分）</w:t>
      </w:r>
      <w:bookmarkEnd w:id="207"/>
    </w:p>
    <w:p>
      <w:pPr>
        <w:pStyle w:val="25"/>
        <w:snapToGrid w:val="0"/>
        <w:spacing w:before="120" w:after="120"/>
        <w:ind w:firstLine="480" w:firstLineChars="200"/>
        <w:outlineLvl w:val="0"/>
        <w:rPr>
          <w:color w:val="auto"/>
          <w:highlight w:val="none"/>
        </w:rPr>
      </w:pPr>
      <w:bookmarkStart w:id="208" w:name="_Toc15804"/>
      <w:r>
        <w:rPr>
          <w:rFonts w:hint="eastAsia" w:hAnsi="宋体"/>
          <w:color w:val="auto"/>
          <w:sz w:val="24"/>
          <w:szCs w:val="24"/>
          <w:highlight w:val="none"/>
        </w:rPr>
        <w:t>投标人同时具有ISO9001质量管理体系认证、ISO14001环境管理体系认证、ISO45001职业健康安全体系认证及信息安全管理体系认证的得5分，缺1项的不得分。（需提供有关证明材料复印件）</w:t>
      </w:r>
      <w:bookmarkEnd w:id="208"/>
    </w:p>
    <w:p>
      <w:pPr>
        <w:pStyle w:val="25"/>
        <w:snapToGrid w:val="0"/>
        <w:spacing w:before="120" w:after="120"/>
        <w:ind w:firstLine="361" w:firstLineChars="150"/>
        <w:outlineLvl w:val="0"/>
        <w:rPr>
          <w:rFonts w:hAnsi="宋体"/>
          <w:b/>
          <w:bCs/>
          <w:color w:val="auto"/>
          <w:sz w:val="24"/>
          <w:szCs w:val="24"/>
          <w:highlight w:val="none"/>
        </w:rPr>
      </w:pPr>
    </w:p>
    <w:p>
      <w:pPr>
        <w:pStyle w:val="25"/>
        <w:snapToGrid w:val="0"/>
        <w:spacing w:before="120" w:after="120"/>
        <w:ind w:firstLine="361" w:firstLineChars="150"/>
        <w:outlineLvl w:val="0"/>
        <w:rPr>
          <w:rFonts w:hAnsi="宋体"/>
          <w:b/>
          <w:bCs/>
          <w:color w:val="auto"/>
          <w:sz w:val="24"/>
          <w:szCs w:val="24"/>
          <w:highlight w:val="none"/>
        </w:rPr>
      </w:pPr>
      <w:bookmarkStart w:id="209" w:name="_Toc8683"/>
      <w:r>
        <w:rPr>
          <w:rFonts w:hint="eastAsia" w:hAnsi="宋体"/>
          <w:b/>
          <w:bCs/>
          <w:color w:val="auto"/>
          <w:sz w:val="24"/>
          <w:szCs w:val="24"/>
          <w:highlight w:val="none"/>
        </w:rPr>
        <w:t>（2）项目团队情况（满分10分）</w:t>
      </w:r>
      <w:bookmarkEnd w:id="209"/>
    </w:p>
    <w:p>
      <w:pPr>
        <w:pStyle w:val="25"/>
        <w:snapToGrid w:val="0"/>
        <w:spacing w:before="120" w:after="120"/>
        <w:ind w:firstLine="480" w:firstLineChars="200"/>
        <w:outlineLvl w:val="0"/>
        <w:rPr>
          <w:rFonts w:hAnsi="宋体"/>
          <w:color w:val="auto"/>
          <w:sz w:val="24"/>
          <w:szCs w:val="24"/>
          <w:highlight w:val="none"/>
        </w:rPr>
      </w:pPr>
      <w:bookmarkStart w:id="210" w:name="_Toc2059"/>
      <w:r>
        <w:rPr>
          <w:rFonts w:hint="eastAsia" w:hAnsi="宋体"/>
          <w:color w:val="auto"/>
          <w:sz w:val="24"/>
          <w:szCs w:val="24"/>
          <w:highlight w:val="none"/>
        </w:rPr>
        <w:t>①项目负责人具有5年以上（含）工作经验（以毕业证时间为准）同时具有相关专业之一的高级资格证书（含信息系统项目管理师、系统分析师、系统架构设计师），得5分；项目负责人具有3年以上（含）～5年以下工作经验（以毕业证时间为准）同时具有相关专业之一的高级资格证书（含信息系统项目管理师、系统分析师、系统架构设计师），得3分；项目负责人具有3年以下工作经验（以毕业证时间为准）同时具有相关专业之一的高级资格证书（含信息系统项目管理师、系统分析师、系统架构设计师），得1分。</w:t>
      </w:r>
      <w:r>
        <w:rPr>
          <w:rFonts w:hint="eastAsia" w:hAnsi="宋体"/>
          <w:color w:val="auto"/>
          <w:sz w:val="24"/>
          <w:szCs w:val="24"/>
          <w:highlight w:val="none"/>
          <w:lang w:eastAsia="zh-CN"/>
        </w:rPr>
        <w:t>此项</w:t>
      </w:r>
      <w:r>
        <w:rPr>
          <w:rFonts w:hint="eastAsia" w:hAnsi="宋体"/>
          <w:color w:val="auto"/>
          <w:sz w:val="24"/>
          <w:szCs w:val="24"/>
          <w:highlight w:val="none"/>
        </w:rPr>
        <w:t>满分5分。（需提供有关证书复印件及近半年连续3个月社保缴纳证明材料）</w:t>
      </w:r>
      <w:bookmarkEnd w:id="210"/>
    </w:p>
    <w:p>
      <w:pPr>
        <w:pStyle w:val="25"/>
        <w:snapToGrid w:val="0"/>
        <w:spacing w:before="120" w:after="120"/>
        <w:ind w:firstLine="480" w:firstLineChars="200"/>
        <w:outlineLvl w:val="0"/>
        <w:rPr>
          <w:rFonts w:hAnsi="宋体"/>
          <w:color w:val="auto"/>
          <w:sz w:val="24"/>
          <w:szCs w:val="24"/>
          <w:highlight w:val="none"/>
        </w:rPr>
      </w:pPr>
      <w:bookmarkStart w:id="211" w:name="_Toc1872"/>
      <w:r>
        <w:rPr>
          <w:rFonts w:hint="eastAsia" w:hAnsi="宋体"/>
          <w:color w:val="auto"/>
          <w:sz w:val="24"/>
          <w:szCs w:val="24"/>
          <w:highlight w:val="none"/>
        </w:rPr>
        <w:t>②投标人拟投入本项目15人以上（含）技术服务团队（所学专业含计算机、通信、信息、自动化、网络、软件等）的得5分；投标人拟投入本项目10人以上（含）、15人以下的技术服务团队（所学专业含计算机、通信、信息、自动化、网络、软件等）的得3分；投标人拟投入本项目10人以下的技术服务团队（所学专业含计算机、通信、信息、自动化、网络、软件等）的得1分。</w:t>
      </w:r>
      <w:r>
        <w:rPr>
          <w:rFonts w:hint="eastAsia" w:hAnsi="宋体"/>
          <w:color w:val="auto"/>
          <w:sz w:val="24"/>
          <w:szCs w:val="24"/>
          <w:highlight w:val="none"/>
          <w:lang w:eastAsia="zh-CN"/>
        </w:rPr>
        <w:t>此项</w:t>
      </w:r>
      <w:r>
        <w:rPr>
          <w:rFonts w:hint="eastAsia" w:hAnsi="宋体"/>
          <w:color w:val="auto"/>
          <w:sz w:val="24"/>
          <w:szCs w:val="24"/>
          <w:highlight w:val="none"/>
        </w:rPr>
        <w:t>满分5分。（需提供毕业证及近半年连续3个月社保缴纳证明材料，缺毕业证的不算分）</w:t>
      </w:r>
      <w:bookmarkEnd w:id="211"/>
    </w:p>
    <w:p>
      <w:pPr>
        <w:pStyle w:val="25"/>
        <w:snapToGrid w:val="0"/>
        <w:spacing w:before="120" w:after="120"/>
        <w:ind w:firstLine="361" w:firstLineChars="150"/>
        <w:outlineLvl w:val="0"/>
        <w:rPr>
          <w:rFonts w:hAnsi="宋体"/>
          <w:b/>
          <w:bCs/>
          <w:color w:val="auto"/>
          <w:sz w:val="24"/>
          <w:szCs w:val="24"/>
          <w:highlight w:val="none"/>
        </w:rPr>
      </w:pPr>
      <w:bookmarkStart w:id="212" w:name="_Toc30598"/>
      <w:r>
        <w:rPr>
          <w:rFonts w:hint="eastAsia" w:hAnsi="宋体"/>
          <w:b/>
          <w:bCs/>
          <w:color w:val="auto"/>
          <w:sz w:val="24"/>
          <w:szCs w:val="24"/>
          <w:highlight w:val="none"/>
        </w:rPr>
        <w:t>（3）类似业绩情况（满分5分）</w:t>
      </w:r>
      <w:bookmarkEnd w:id="212"/>
    </w:p>
    <w:p>
      <w:pPr>
        <w:pStyle w:val="25"/>
        <w:snapToGrid w:val="0"/>
        <w:spacing w:before="120" w:after="120"/>
        <w:ind w:firstLine="480" w:firstLineChars="200"/>
        <w:outlineLvl w:val="0"/>
        <w:rPr>
          <w:rFonts w:hAnsi="宋体"/>
          <w:color w:val="auto"/>
          <w:sz w:val="24"/>
          <w:szCs w:val="24"/>
          <w:highlight w:val="none"/>
        </w:rPr>
      </w:pPr>
      <w:bookmarkStart w:id="213" w:name="_Toc5128"/>
      <w:r>
        <w:rPr>
          <w:rFonts w:hint="eastAsia" w:hAnsi="宋体"/>
          <w:color w:val="auto"/>
          <w:sz w:val="24"/>
          <w:szCs w:val="24"/>
          <w:highlight w:val="none"/>
        </w:rPr>
        <w:t>投标人提供2018年1月以来有关系统开发、管理平台软件开发等类似业绩的，每个得1分，满分5分。（提供中标（成交）通知书或合同复印件）</w:t>
      </w:r>
      <w:bookmarkEnd w:id="213"/>
    </w:p>
    <w:p>
      <w:pPr>
        <w:ind w:firstLine="466" w:firstLineChars="200"/>
        <w:rPr>
          <w:rFonts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rPr>
        <w:t>4、诚信分</w:t>
      </w:r>
    </w:p>
    <w:p>
      <w:pPr>
        <w:widowControl/>
        <w:adjustRightInd w:val="0"/>
        <w:snapToGrid w:val="0"/>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（1）诚信处罚扣分</w:t>
      </w:r>
    </w:p>
    <w:p>
      <w:pPr>
        <w:widowControl/>
        <w:adjustRightInd w:val="0"/>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在截标日前一年内在政府采购活动中存在违约情况的，每次扣除3分，最高扣6分。（投标人须出具书面说明或其他有效证明材料作为评分依据，中标后由采购人进行核查，如未如实提供的，按提供虚假材料处理。）</w:t>
      </w:r>
    </w:p>
    <w:p>
      <w:pPr>
        <w:pStyle w:val="6"/>
        <w:rPr>
          <w:color w:val="auto"/>
          <w:highlight w:val="none"/>
        </w:rPr>
      </w:pPr>
    </w:p>
    <w:p>
      <w:pPr>
        <w:pStyle w:val="25"/>
        <w:snapToGrid w:val="0"/>
        <w:spacing w:before="120" w:after="120"/>
        <w:ind w:firstLine="355" w:firstLineChars="150"/>
        <w:outlineLvl w:val="0"/>
        <w:rPr>
          <w:rFonts w:hAnsi="宋体"/>
          <w:b/>
          <w:bCs/>
          <w:color w:val="auto"/>
          <w:sz w:val="24"/>
          <w:szCs w:val="24"/>
          <w:highlight w:val="none"/>
        </w:rPr>
      </w:pPr>
      <w:bookmarkStart w:id="214" w:name="_Toc4486"/>
      <w:r>
        <w:rPr>
          <w:rFonts w:hint="eastAsia" w:hAnsi="宋体"/>
          <w:b/>
          <w:bCs/>
          <w:color w:val="auto"/>
          <w:spacing w:val="-2"/>
          <w:sz w:val="24"/>
          <w:szCs w:val="24"/>
          <w:highlight w:val="none"/>
        </w:rPr>
        <w:t>（三）总得分=1 + 2 + 3 + 4项得分。</w:t>
      </w:r>
      <w:bookmarkEnd w:id="214"/>
    </w:p>
    <w:p>
      <w:pPr>
        <w:pStyle w:val="25"/>
        <w:rPr>
          <w:rFonts w:hAnsi="宋体"/>
          <w:b/>
          <w:bCs/>
          <w:color w:val="auto"/>
          <w:sz w:val="24"/>
          <w:szCs w:val="24"/>
          <w:highlight w:val="none"/>
        </w:rPr>
      </w:pPr>
    </w:p>
    <w:p>
      <w:pPr>
        <w:pStyle w:val="25"/>
        <w:rPr>
          <w:rFonts w:hAnsi="宋体"/>
          <w:b/>
          <w:bCs/>
          <w:color w:val="auto"/>
          <w:sz w:val="24"/>
          <w:szCs w:val="24"/>
          <w:highlight w:val="none"/>
        </w:rPr>
      </w:pPr>
      <w:r>
        <w:rPr>
          <w:rFonts w:hint="eastAsia" w:hAnsi="宋体"/>
          <w:b/>
          <w:bCs/>
          <w:color w:val="auto"/>
          <w:sz w:val="24"/>
          <w:szCs w:val="24"/>
          <w:highlight w:val="none"/>
        </w:rPr>
        <w:t>三、中标候选人推荐原则</w:t>
      </w:r>
    </w:p>
    <w:p>
      <w:pPr>
        <w:pStyle w:val="25"/>
        <w:ind w:firstLine="480" w:firstLineChars="200"/>
        <w:rPr>
          <w:rFonts w:hAnsi="宋体"/>
          <w:color w:val="auto"/>
          <w:sz w:val="24"/>
          <w:szCs w:val="24"/>
          <w:highlight w:val="none"/>
        </w:rPr>
      </w:pPr>
      <w:r>
        <w:rPr>
          <w:rFonts w:hint="eastAsia" w:hAnsi="宋体"/>
          <w:color w:val="auto"/>
          <w:sz w:val="24"/>
          <w:szCs w:val="24"/>
          <w:highlight w:val="none"/>
        </w:rPr>
        <w:t>评标委员会将根据综合得分由高到低排列次序（总得分相同时，依次按投标报价低优先、技术分高优先、质量保证期长优先、交货期短优先、故障响应时间短优先的顺序排列）并推荐3名中标候选人。招标采购单位应当确定评审委员会推荐排名第一的中标候选人为中标人。根据桂财采〔2016〕37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color w:val="auto"/>
          <w:sz w:val="24"/>
          <w:szCs w:val="24"/>
          <w:highlight w:val="none"/>
        </w:rPr>
        <w:t>采购代理机构</w:t>
      </w:r>
      <w:r>
        <w:rPr>
          <w:rFonts w:hint="eastAsia" w:hAnsi="宋体"/>
          <w:color w:val="auto"/>
          <w:sz w:val="24"/>
          <w:szCs w:val="24"/>
          <w:highlight w:val="none"/>
          <w:shd w:val="clear" w:color="auto" w:fill="FFFFFF"/>
        </w:rPr>
        <w:t>将对</w:t>
      </w:r>
      <w:r>
        <w:rPr>
          <w:rFonts w:hint="eastAsia" w:hAnsi="宋体"/>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color w:val="auto"/>
          <w:sz w:val="24"/>
          <w:szCs w:val="24"/>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rPr>
          <w:rFonts w:ascii="宋体" w:hAnsi="宋体" w:cs="宋体"/>
          <w:b/>
          <w:bCs/>
          <w:color w:val="auto"/>
          <w:sz w:val="24"/>
          <w:szCs w:val="24"/>
          <w:highlight w:val="none"/>
        </w:rPr>
      </w:pPr>
    </w:p>
    <w:p>
      <w:pPr>
        <w:rPr>
          <w:rFonts w:ascii="宋体" w:hAnsi="宋体" w:cs="宋体"/>
          <w:color w:val="auto"/>
          <w:sz w:val="24"/>
          <w:szCs w:val="24"/>
          <w:highlight w:val="none"/>
        </w:rPr>
      </w:pPr>
      <w:r>
        <w:rPr>
          <w:rFonts w:hint="eastAsia" w:ascii="宋体" w:hAnsi="宋体" w:cs="宋体"/>
          <w:b/>
          <w:bCs/>
          <w:color w:val="auto"/>
          <w:sz w:val="24"/>
          <w:szCs w:val="24"/>
          <w:highlight w:val="none"/>
        </w:rPr>
        <w:t>备注：</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45"/>
    <w:p>
      <w:pPr>
        <w:pStyle w:val="25"/>
        <w:rPr>
          <w:rFonts w:hAnsi="宋体"/>
          <w:b/>
          <w:bCs/>
          <w:color w:val="auto"/>
          <w:sz w:val="24"/>
          <w:szCs w:val="24"/>
          <w:highlight w:val="none"/>
        </w:rPr>
      </w:pPr>
    </w:p>
    <w:p>
      <w:pPr>
        <w:jc w:val="center"/>
        <w:outlineLvl w:val="0"/>
        <w:rPr>
          <w:color w:val="auto"/>
          <w:highlight w:val="none"/>
        </w:rPr>
      </w:pPr>
      <w:bookmarkStart w:id="215" w:name="_Toc15812"/>
      <w:r>
        <w:rPr>
          <w:color w:val="auto"/>
          <w:highlight w:val="none"/>
        </w:rPr>
        <w:br w:type="page"/>
      </w:r>
      <w:bookmarkStart w:id="216" w:name="_Toc31377"/>
    </w:p>
    <w:p>
      <w:pPr>
        <w:jc w:val="center"/>
        <w:outlineLvl w:val="0"/>
        <w:rPr>
          <w:color w:val="auto"/>
          <w:highlight w:val="none"/>
        </w:rPr>
      </w:pPr>
    </w:p>
    <w:p>
      <w:pPr>
        <w:jc w:val="center"/>
        <w:outlineLvl w:val="0"/>
        <w:rPr>
          <w:color w:val="auto"/>
          <w:highlight w:val="none"/>
        </w:rPr>
      </w:pPr>
    </w:p>
    <w:p>
      <w:pPr>
        <w:jc w:val="center"/>
        <w:outlineLvl w:val="0"/>
        <w:rPr>
          <w:color w:val="auto"/>
          <w:highlight w:val="none"/>
        </w:rPr>
      </w:pPr>
    </w:p>
    <w:p>
      <w:pPr>
        <w:jc w:val="center"/>
        <w:outlineLvl w:val="0"/>
        <w:rPr>
          <w:rFonts w:ascii="宋体"/>
          <w:b/>
          <w:bCs/>
          <w:color w:val="auto"/>
          <w:sz w:val="44"/>
          <w:szCs w:val="44"/>
          <w:highlight w:val="none"/>
        </w:rPr>
      </w:pPr>
      <w:bookmarkStart w:id="217" w:name="_Toc4271"/>
      <w:r>
        <w:rPr>
          <w:rFonts w:hint="eastAsia" w:ascii="宋体" w:hAnsi="宋体" w:cs="宋体"/>
          <w:b/>
          <w:bCs/>
          <w:color w:val="auto"/>
          <w:sz w:val="44"/>
          <w:szCs w:val="44"/>
          <w:highlight w:val="none"/>
        </w:rPr>
        <w:t>第五章合同主要条款格式</w:t>
      </w:r>
      <w:bookmarkEnd w:id="215"/>
      <w:bookmarkEnd w:id="216"/>
      <w:bookmarkEnd w:id="217"/>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color w:val="auto"/>
          <w:sz w:val="32"/>
          <w:szCs w:val="32"/>
          <w:highlight w:val="none"/>
        </w:rPr>
        <w:t>政府采购合同书</w:t>
      </w:r>
    </w:p>
    <w:p>
      <w:pPr>
        <w:snapToGrid w:val="0"/>
        <w:spacing w:line="360" w:lineRule="auto"/>
        <w:ind w:firstLine="6000" w:firstLineChars="2500"/>
        <w:rPr>
          <w:rFonts w:ascii="宋体" w:hAnsi="宋体"/>
          <w:bCs/>
          <w:color w:val="auto"/>
          <w:sz w:val="24"/>
          <w:szCs w:val="24"/>
          <w:highlight w:val="none"/>
          <w:u w:val="single"/>
        </w:rPr>
      </w:pPr>
      <w:r>
        <w:rPr>
          <w:rFonts w:hint="eastAsia" w:ascii="宋体" w:hAnsi="宋体"/>
          <w:bCs/>
          <w:color w:val="auto"/>
          <w:sz w:val="24"/>
          <w:szCs w:val="24"/>
          <w:highlight w:val="none"/>
        </w:rPr>
        <w:t>合同编号：</w:t>
      </w:r>
    </w:p>
    <w:p>
      <w:pPr>
        <w:snapToGri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 xml:space="preserve">采购单位（甲方）                      </w:t>
      </w:r>
      <w:r>
        <w:rPr>
          <w:rFonts w:hint="eastAsia" w:ascii="宋体" w:hAnsi="宋体"/>
          <w:color w:val="auto"/>
          <w:spacing w:val="-20"/>
          <w:sz w:val="24"/>
          <w:szCs w:val="24"/>
          <w:highlight w:val="none"/>
        </w:rPr>
        <w:t>采 购 计 划 号</w:t>
      </w:r>
    </w:p>
    <w:p>
      <w:pPr>
        <w:snapToGri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 xml:space="preserve">供 应 商（乙方）                      </w:t>
      </w:r>
      <w:r>
        <w:rPr>
          <w:rFonts w:hint="eastAsia" w:ascii="宋体" w:hAnsi="宋体"/>
          <w:color w:val="auto"/>
          <w:spacing w:val="-20"/>
          <w:sz w:val="24"/>
          <w:szCs w:val="24"/>
          <w:highlight w:val="none"/>
        </w:rPr>
        <w:t>招  标  编  号</w:t>
      </w:r>
    </w:p>
    <w:p>
      <w:pPr>
        <w:snapToGri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签  订  地  点                        签 订 时 间</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根据《中华人民共和国政府采购法》、《中华人民共和国合同法》等法律、法规规定，按照招投标文件（采购文件）规定条款和中标（成交）供应商承诺，甲乙双方签订本合同。</w:t>
      </w:r>
    </w:p>
    <w:p>
      <w:pPr>
        <w:pStyle w:val="25"/>
        <w:spacing w:line="360" w:lineRule="auto"/>
        <w:rPr>
          <w:rFonts w:hAnsi="宋体"/>
          <w:b/>
          <w:bCs/>
          <w:color w:val="auto"/>
          <w:sz w:val="24"/>
          <w:szCs w:val="24"/>
          <w:highlight w:val="none"/>
        </w:rPr>
      </w:pPr>
      <w:r>
        <w:rPr>
          <w:rFonts w:hint="eastAsia" w:hAnsi="宋体"/>
          <w:b/>
          <w:bCs/>
          <w:color w:val="auto"/>
          <w:sz w:val="24"/>
          <w:szCs w:val="24"/>
          <w:highlight w:val="none"/>
        </w:rPr>
        <w:t>1.  合同标的</w:t>
      </w:r>
    </w:p>
    <w:tbl>
      <w:tblPr>
        <w:tblStyle w:val="44"/>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507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33"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服务名称</w:t>
            </w:r>
          </w:p>
        </w:tc>
        <w:tc>
          <w:tcPr>
            <w:tcW w:w="5078"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服务内容</w:t>
            </w:r>
          </w:p>
        </w:tc>
        <w:tc>
          <w:tcPr>
            <w:tcW w:w="947"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单  价</w:t>
            </w:r>
          </w:p>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（元）</w:t>
            </w:r>
          </w:p>
        </w:tc>
        <w:tc>
          <w:tcPr>
            <w:tcW w:w="1189"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金  额</w:t>
            </w:r>
          </w:p>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233" w:type="dxa"/>
            <w:vAlign w:val="center"/>
          </w:tcPr>
          <w:p>
            <w:pPr>
              <w:snapToGrid w:val="0"/>
              <w:spacing w:line="360" w:lineRule="auto"/>
              <w:jc w:val="center"/>
              <w:rPr>
                <w:rFonts w:ascii="宋体" w:hAnsi="宋体"/>
                <w:color w:val="auto"/>
                <w:sz w:val="24"/>
                <w:szCs w:val="24"/>
                <w:highlight w:val="none"/>
              </w:rPr>
            </w:pPr>
          </w:p>
        </w:tc>
        <w:tc>
          <w:tcPr>
            <w:tcW w:w="5078" w:type="dxa"/>
            <w:vAlign w:val="center"/>
          </w:tcPr>
          <w:p>
            <w:pPr>
              <w:snapToGrid w:val="0"/>
              <w:spacing w:line="360" w:lineRule="auto"/>
              <w:jc w:val="center"/>
              <w:rPr>
                <w:rFonts w:ascii="宋体" w:hAnsi="宋体"/>
                <w:color w:val="auto"/>
                <w:sz w:val="24"/>
                <w:szCs w:val="24"/>
                <w:highlight w:val="none"/>
              </w:rPr>
            </w:pPr>
          </w:p>
        </w:tc>
        <w:tc>
          <w:tcPr>
            <w:tcW w:w="947" w:type="dxa"/>
            <w:vAlign w:val="center"/>
          </w:tcPr>
          <w:p>
            <w:pPr>
              <w:snapToGrid w:val="0"/>
              <w:spacing w:line="360" w:lineRule="auto"/>
              <w:jc w:val="center"/>
              <w:rPr>
                <w:rFonts w:ascii="宋体" w:hAnsi="宋体"/>
                <w:color w:val="auto"/>
                <w:sz w:val="24"/>
                <w:szCs w:val="24"/>
                <w:highlight w:val="none"/>
              </w:rPr>
            </w:pPr>
          </w:p>
        </w:tc>
        <w:tc>
          <w:tcPr>
            <w:tcW w:w="1189" w:type="dxa"/>
            <w:vAlign w:val="center"/>
          </w:tcPr>
          <w:p>
            <w:pPr>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233" w:type="dxa"/>
            <w:vAlign w:val="center"/>
          </w:tcPr>
          <w:p>
            <w:pPr>
              <w:snapToGrid w:val="0"/>
              <w:spacing w:line="360" w:lineRule="auto"/>
              <w:jc w:val="center"/>
              <w:rPr>
                <w:rFonts w:ascii="宋体" w:hAnsi="宋体"/>
                <w:color w:val="auto"/>
                <w:sz w:val="24"/>
                <w:szCs w:val="24"/>
                <w:highlight w:val="none"/>
              </w:rPr>
            </w:pPr>
          </w:p>
        </w:tc>
        <w:tc>
          <w:tcPr>
            <w:tcW w:w="5078" w:type="dxa"/>
            <w:vAlign w:val="center"/>
          </w:tcPr>
          <w:p>
            <w:pPr>
              <w:snapToGrid w:val="0"/>
              <w:spacing w:line="360" w:lineRule="auto"/>
              <w:jc w:val="center"/>
              <w:rPr>
                <w:rFonts w:ascii="宋体" w:hAnsi="宋体"/>
                <w:color w:val="auto"/>
                <w:sz w:val="24"/>
                <w:szCs w:val="24"/>
                <w:highlight w:val="none"/>
              </w:rPr>
            </w:pPr>
          </w:p>
        </w:tc>
        <w:tc>
          <w:tcPr>
            <w:tcW w:w="947" w:type="dxa"/>
            <w:vAlign w:val="center"/>
          </w:tcPr>
          <w:p>
            <w:pPr>
              <w:snapToGrid w:val="0"/>
              <w:spacing w:line="360" w:lineRule="auto"/>
              <w:jc w:val="center"/>
              <w:rPr>
                <w:rFonts w:ascii="宋体" w:hAnsi="宋体"/>
                <w:color w:val="auto"/>
                <w:sz w:val="24"/>
                <w:szCs w:val="24"/>
                <w:highlight w:val="none"/>
              </w:rPr>
            </w:pPr>
          </w:p>
        </w:tc>
        <w:tc>
          <w:tcPr>
            <w:tcW w:w="1189" w:type="dxa"/>
            <w:vAlign w:val="center"/>
          </w:tcPr>
          <w:p>
            <w:pPr>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233" w:type="dxa"/>
            <w:vAlign w:val="center"/>
          </w:tcPr>
          <w:p>
            <w:pPr>
              <w:snapToGrid w:val="0"/>
              <w:spacing w:line="360" w:lineRule="auto"/>
              <w:jc w:val="center"/>
              <w:rPr>
                <w:rFonts w:ascii="宋体" w:hAnsi="宋体"/>
                <w:color w:val="auto"/>
                <w:sz w:val="24"/>
                <w:szCs w:val="24"/>
                <w:highlight w:val="none"/>
              </w:rPr>
            </w:pPr>
          </w:p>
        </w:tc>
        <w:tc>
          <w:tcPr>
            <w:tcW w:w="5078" w:type="dxa"/>
            <w:vAlign w:val="center"/>
          </w:tcPr>
          <w:p>
            <w:pPr>
              <w:snapToGrid w:val="0"/>
              <w:spacing w:line="360" w:lineRule="auto"/>
              <w:jc w:val="center"/>
              <w:rPr>
                <w:rFonts w:ascii="宋体" w:hAnsi="宋体"/>
                <w:color w:val="auto"/>
                <w:sz w:val="24"/>
                <w:szCs w:val="24"/>
                <w:highlight w:val="none"/>
              </w:rPr>
            </w:pPr>
          </w:p>
        </w:tc>
        <w:tc>
          <w:tcPr>
            <w:tcW w:w="947" w:type="dxa"/>
            <w:vAlign w:val="center"/>
          </w:tcPr>
          <w:p>
            <w:pPr>
              <w:snapToGrid w:val="0"/>
              <w:spacing w:line="360" w:lineRule="auto"/>
              <w:jc w:val="center"/>
              <w:rPr>
                <w:rFonts w:ascii="宋体" w:hAnsi="宋体"/>
                <w:color w:val="auto"/>
                <w:sz w:val="24"/>
                <w:szCs w:val="24"/>
                <w:highlight w:val="none"/>
              </w:rPr>
            </w:pPr>
          </w:p>
        </w:tc>
        <w:tc>
          <w:tcPr>
            <w:tcW w:w="1189" w:type="dxa"/>
            <w:vAlign w:val="center"/>
          </w:tcPr>
          <w:p>
            <w:pPr>
              <w:snapToGrid w:val="0"/>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156" w:type="dxa"/>
            <w:gridSpan w:val="5"/>
            <w:vAlign w:val="center"/>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人民币合计金额（大写）                          （小写）                 </w:t>
            </w:r>
          </w:p>
        </w:tc>
      </w:tr>
    </w:tbl>
    <w:p>
      <w:pPr>
        <w:pStyle w:val="25"/>
        <w:tabs>
          <w:tab w:val="left" w:pos="5145"/>
        </w:tabs>
        <w:spacing w:line="360" w:lineRule="auto"/>
        <w:rPr>
          <w:rFonts w:hAnsi="宋体"/>
          <w:b/>
          <w:bCs/>
          <w:color w:val="auto"/>
          <w:sz w:val="24"/>
          <w:szCs w:val="24"/>
          <w:highlight w:val="none"/>
        </w:rPr>
      </w:pPr>
      <w:r>
        <w:rPr>
          <w:rFonts w:hint="eastAsia" w:hAnsi="宋体"/>
          <w:b/>
          <w:bCs/>
          <w:color w:val="auto"/>
          <w:sz w:val="24"/>
          <w:szCs w:val="24"/>
          <w:highlight w:val="none"/>
        </w:rPr>
        <w:t>2.  质量保证</w:t>
      </w:r>
    </w:p>
    <w:p>
      <w:pPr>
        <w:pStyle w:val="25"/>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2.1乙方提供服务的质量严格按照投标文件要求执行。</w:t>
      </w:r>
    </w:p>
    <w:p>
      <w:pPr>
        <w:pStyle w:val="25"/>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2.2在服务期内，乙方应对服务出现的问题负责处理解决并承担一切费用。</w:t>
      </w:r>
    </w:p>
    <w:p>
      <w:pPr>
        <w:pStyle w:val="25"/>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2.3乙方应保证所提供的服务或其任何一部分均不会侵犯任何第三方的专利权、商标权或著作权。</w:t>
      </w:r>
    </w:p>
    <w:p>
      <w:pPr>
        <w:pStyle w:val="25"/>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2.4乙方保证所交付的服务成果所有权完全属于乙方且无任何抵押、查封等产权瑕疵。如乙方所交服务有产权瑕疵的，视为乙方违约，应负担由此而产生的一切损失。但在已经全部支付完合同款后才发现有产权瑕疵的，除了支付违约金，乙方还应负担由此而产生的一切损失。</w:t>
      </w:r>
    </w:p>
    <w:p>
      <w:pPr>
        <w:pStyle w:val="25"/>
        <w:tabs>
          <w:tab w:val="left" w:pos="5940"/>
        </w:tabs>
        <w:spacing w:line="360" w:lineRule="auto"/>
        <w:rPr>
          <w:rFonts w:hAnsi="宋体"/>
          <w:b/>
          <w:bCs/>
          <w:color w:val="auto"/>
          <w:sz w:val="24"/>
          <w:szCs w:val="24"/>
          <w:highlight w:val="none"/>
        </w:rPr>
      </w:pPr>
      <w:r>
        <w:rPr>
          <w:rFonts w:hint="eastAsia" w:hAnsi="宋体"/>
          <w:b/>
          <w:bCs/>
          <w:color w:val="auto"/>
          <w:sz w:val="24"/>
          <w:szCs w:val="24"/>
          <w:highlight w:val="none"/>
        </w:rPr>
        <w:t>3. 服务时间和地点</w:t>
      </w:r>
    </w:p>
    <w:p>
      <w:pPr>
        <w:pStyle w:val="25"/>
        <w:tabs>
          <w:tab w:val="left" w:pos="5250"/>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3.1 服务时间：</w:t>
      </w:r>
    </w:p>
    <w:p>
      <w:pPr>
        <w:pStyle w:val="25"/>
        <w:tabs>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3.2 服务地点：</w:t>
      </w:r>
    </w:p>
    <w:p>
      <w:pPr>
        <w:pStyle w:val="25"/>
        <w:tabs>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 xml:space="preserve">3.3 </w:t>
      </w:r>
      <w:r>
        <w:rPr>
          <w:rFonts w:hint="eastAsia" w:hAnsi="宋体"/>
          <w:color w:val="auto"/>
          <w:sz w:val="24"/>
          <w:szCs w:val="24"/>
          <w:highlight w:val="none"/>
        </w:rPr>
        <w:t>乙方必须按投标文件承诺的服务响应条款向甲方提供服务。</w:t>
      </w:r>
    </w:p>
    <w:p>
      <w:pPr>
        <w:pStyle w:val="25"/>
        <w:spacing w:line="360" w:lineRule="auto"/>
        <w:ind w:left="410" w:hanging="410" w:hangingChars="170"/>
        <w:rPr>
          <w:rFonts w:hAnsi="宋体"/>
          <w:b/>
          <w:color w:val="auto"/>
          <w:sz w:val="24"/>
          <w:szCs w:val="24"/>
          <w:highlight w:val="none"/>
        </w:rPr>
      </w:pPr>
      <w:r>
        <w:rPr>
          <w:rFonts w:hint="eastAsia" w:hAnsi="宋体"/>
          <w:b/>
          <w:bCs/>
          <w:color w:val="auto"/>
          <w:sz w:val="24"/>
          <w:szCs w:val="24"/>
          <w:highlight w:val="none"/>
        </w:rPr>
        <w:t>4.  税费</w:t>
      </w:r>
    </w:p>
    <w:p>
      <w:pPr>
        <w:pStyle w:val="25"/>
        <w:tabs>
          <w:tab w:val="left" w:pos="5145"/>
        </w:tabs>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4.1 本合同执行中相关的一切税费均由乙方负担。</w:t>
      </w:r>
    </w:p>
    <w:p>
      <w:pPr>
        <w:pStyle w:val="25"/>
        <w:spacing w:line="360" w:lineRule="auto"/>
        <w:ind w:left="412" w:hanging="412" w:hangingChars="171"/>
        <w:rPr>
          <w:rFonts w:hAnsi="宋体"/>
          <w:b/>
          <w:color w:val="auto"/>
          <w:sz w:val="24"/>
          <w:szCs w:val="24"/>
          <w:highlight w:val="none"/>
        </w:rPr>
      </w:pPr>
      <w:r>
        <w:rPr>
          <w:rFonts w:hint="eastAsia" w:hAnsi="宋体"/>
          <w:b/>
          <w:bCs/>
          <w:color w:val="auto"/>
          <w:sz w:val="24"/>
          <w:szCs w:val="24"/>
          <w:highlight w:val="none"/>
        </w:rPr>
        <w:t>5.  产权</w:t>
      </w:r>
    </w:p>
    <w:p>
      <w:pPr>
        <w:pStyle w:val="25"/>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5.1 乙方应保证所提供的服务或其任何一部分均不会侵犯任何第三方的专利权、商标权或著作权</w:t>
      </w:r>
      <w:r>
        <w:rPr>
          <w:rFonts w:hint="eastAsia" w:hAnsi="宋体"/>
          <w:bCs/>
          <w:color w:val="auto"/>
          <w:sz w:val="24"/>
          <w:szCs w:val="24"/>
          <w:highlight w:val="none"/>
        </w:rPr>
        <w:t>。</w:t>
      </w:r>
    </w:p>
    <w:p>
      <w:pPr>
        <w:pStyle w:val="25"/>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5.2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pStyle w:val="25"/>
        <w:spacing w:line="360" w:lineRule="auto"/>
        <w:rPr>
          <w:rFonts w:hAnsi="宋体"/>
          <w:b/>
          <w:color w:val="auto"/>
          <w:sz w:val="24"/>
          <w:szCs w:val="24"/>
          <w:highlight w:val="none"/>
        </w:rPr>
      </w:pPr>
      <w:r>
        <w:rPr>
          <w:rFonts w:hint="eastAsia" w:hAnsi="宋体"/>
          <w:b/>
          <w:bCs/>
          <w:color w:val="auto"/>
          <w:sz w:val="24"/>
          <w:szCs w:val="24"/>
          <w:highlight w:val="none"/>
        </w:rPr>
        <w:t>6.  技术资料</w:t>
      </w:r>
    </w:p>
    <w:p>
      <w:pPr>
        <w:pStyle w:val="25"/>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6.1 甲方应向乙方提供提交服务成果所必需的有关数据、资料等。</w:t>
      </w:r>
    </w:p>
    <w:p>
      <w:pPr>
        <w:pStyle w:val="25"/>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rPr>
          <w:rFonts w:hAnsi="宋体"/>
          <w:b/>
          <w:bCs/>
          <w:color w:val="auto"/>
          <w:sz w:val="24"/>
          <w:szCs w:val="24"/>
          <w:highlight w:val="none"/>
        </w:rPr>
      </w:pPr>
      <w:r>
        <w:rPr>
          <w:rFonts w:hint="eastAsia" w:hAnsi="宋体"/>
          <w:b/>
          <w:bCs/>
          <w:color w:val="auto"/>
          <w:sz w:val="24"/>
          <w:szCs w:val="24"/>
          <w:highlight w:val="none"/>
        </w:rPr>
        <w:t>7.  验收</w:t>
      </w:r>
    </w:p>
    <w:p>
      <w:pPr>
        <w:pStyle w:val="25"/>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7.2 乙方在指定地点提交服务成果后，甲方应在5个工作日内依据采购文件、乙方的投标文件等组织验收，验收完毕后作出书面验收报告。验收时乙方必须在现场。</w:t>
      </w:r>
    </w:p>
    <w:p>
      <w:pPr>
        <w:pStyle w:val="25"/>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7.3 对复杂的服务，甲方可请国家认可的专业机构参与验收，并由其出具验收报告，相关费用由甲方承担。</w:t>
      </w:r>
    </w:p>
    <w:p>
      <w:pPr>
        <w:pStyle w:val="25"/>
        <w:spacing w:line="360" w:lineRule="auto"/>
        <w:rPr>
          <w:rFonts w:hAnsi="宋体"/>
          <w:b/>
          <w:bCs/>
          <w:color w:val="auto"/>
          <w:sz w:val="24"/>
          <w:szCs w:val="24"/>
          <w:highlight w:val="none"/>
        </w:rPr>
      </w:pPr>
      <w:r>
        <w:rPr>
          <w:rFonts w:hint="eastAsia" w:hAnsi="宋体"/>
          <w:b/>
          <w:bCs/>
          <w:color w:val="auto"/>
          <w:sz w:val="24"/>
          <w:szCs w:val="24"/>
          <w:highlight w:val="none"/>
        </w:rPr>
        <w:t>8.  合同款支付</w:t>
      </w:r>
    </w:p>
    <w:p>
      <w:pPr>
        <w:pStyle w:val="25"/>
        <w:tabs>
          <w:tab w:val="left" w:pos="5145"/>
          <w:tab w:val="left" w:pos="5355"/>
          <w:tab w:val="left" w:pos="6195"/>
        </w:tabs>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付款方式：</w:t>
      </w:r>
      <w:r>
        <w:rPr>
          <w:rFonts w:hint="eastAsia" w:hAnsi="宋体"/>
          <w:color w:val="auto"/>
          <w:sz w:val="24"/>
          <w:szCs w:val="24"/>
          <w:highlight w:val="none"/>
        </w:rPr>
        <w:t>1、合同签订之日起7个工作日内，招标人支付合同金额的40%；2、完成项目全部软件开发、部署、安装调试、上线试运行后15个工作日内支付合同金额的50%；3、项目通过相关测试、完成验收后15个工作日内支付合同金额的10%。</w:t>
      </w:r>
      <w:r>
        <w:rPr>
          <w:rFonts w:hint="eastAsia" w:hAnsi="宋体"/>
          <w:color w:val="auto"/>
          <w:sz w:val="24"/>
          <w:highlight w:val="none"/>
        </w:rPr>
        <w:t>中标供应商在每次收到款项后5个工作日内向招标人开具正式等额发票</w:t>
      </w:r>
      <w:r>
        <w:rPr>
          <w:rFonts w:hint="eastAsia" w:hAnsi="宋体"/>
          <w:color w:val="auto"/>
          <w:sz w:val="24"/>
          <w:szCs w:val="24"/>
          <w:highlight w:val="none"/>
        </w:rPr>
        <w:t>。</w:t>
      </w:r>
    </w:p>
    <w:p>
      <w:pPr>
        <w:pStyle w:val="25"/>
        <w:spacing w:line="360" w:lineRule="auto"/>
        <w:rPr>
          <w:rFonts w:hAnsi="宋体"/>
          <w:b/>
          <w:bCs/>
          <w:color w:val="auto"/>
          <w:sz w:val="24"/>
          <w:szCs w:val="24"/>
          <w:highlight w:val="none"/>
        </w:rPr>
      </w:pPr>
      <w:r>
        <w:rPr>
          <w:rFonts w:hint="eastAsia" w:hAnsi="宋体"/>
          <w:b/>
          <w:bCs/>
          <w:color w:val="auto"/>
          <w:sz w:val="24"/>
          <w:szCs w:val="24"/>
          <w:highlight w:val="none"/>
        </w:rPr>
        <w:t>9.  违约责任</w:t>
      </w:r>
    </w:p>
    <w:p>
      <w:pPr>
        <w:pStyle w:val="25"/>
        <w:spacing w:line="360" w:lineRule="auto"/>
        <w:ind w:firstLine="480" w:firstLineChars="200"/>
        <w:rPr>
          <w:rFonts w:hAnsi="宋体"/>
          <w:color w:val="auto"/>
          <w:sz w:val="24"/>
          <w:szCs w:val="24"/>
          <w:highlight w:val="none"/>
        </w:rPr>
      </w:pPr>
      <w:commentRangeStart w:id="5"/>
      <w:r>
        <w:rPr>
          <w:rFonts w:hint="eastAsia" w:hAnsi="宋体"/>
          <w:color w:val="auto"/>
          <w:sz w:val="24"/>
          <w:szCs w:val="24"/>
          <w:highlight w:val="none"/>
        </w:rPr>
        <w:t>9.1 乙方在收到甲方支付的合同款后，应严格按照其承诺的服务条款立即开展服务工作，保证专款专用，不得违反相关法律法规、弄虚作假、挪用、挤占预付款。甲方有权检查、监督合同款的使用情况，了解乙方的计划执行、工作进度等，如乙方不按规定使用合同款的，甲方有权收回部分或全部款项；乙方利用合同款进行违法活动的，由有关机关对乙方追究相关责任，情节严重的，由司法机关追究刑事责任。</w:t>
      </w:r>
      <w:commentRangeEnd w:id="5"/>
      <w:r>
        <w:rPr>
          <w:rStyle w:val="43"/>
          <w:rFonts w:ascii="Times New Roman" w:hAnsi="Times New Roman" w:cs="Times New Roman"/>
          <w:color w:val="auto"/>
          <w:highlight w:val="none"/>
        </w:rPr>
        <w:commentReference w:id="5"/>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9.2 甲方无正当理由拒收服务的，甲方向乙方偿付拒收服务费总值的百分之五违约金。</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9.3 甲方无故逾期验收或办理合同款支付手续的，甲方应按逾期付款总额每日万分之五向乙方支付违约金。</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9.4 乙方逾期提供服务的，乙方应按逾期提供服务总额每日万分之五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9.5 中标单位有以下违约行为之一的采购方报主管部门和财政监管部门审批后可解除本合同：</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（1）中标单位未按招标文件中《服务需求一览表》中的内容提供服务的；</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（2）造成恶劣影响的重大事故或是造成重大经济财产损失的。</w:t>
      </w:r>
    </w:p>
    <w:p>
      <w:pPr>
        <w:pStyle w:val="25"/>
        <w:spacing w:line="360" w:lineRule="auto"/>
        <w:rPr>
          <w:rFonts w:hAnsi="宋体"/>
          <w:b/>
          <w:bCs/>
          <w:color w:val="auto"/>
          <w:sz w:val="24"/>
          <w:szCs w:val="24"/>
          <w:highlight w:val="none"/>
        </w:rPr>
      </w:pPr>
      <w:r>
        <w:rPr>
          <w:rFonts w:hint="eastAsia" w:hAnsi="宋体"/>
          <w:b/>
          <w:bCs/>
          <w:color w:val="auto"/>
          <w:sz w:val="24"/>
          <w:szCs w:val="24"/>
          <w:highlight w:val="none"/>
        </w:rPr>
        <w:t>10.  不可抗力事件处理</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10.1 在合同有效期内，任何一方因不可抗力事件导致不能履行合同，则合同履行期可延长，其延长期与不可抗力影响期相同。</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10.2 不可抗力事件发生后，应立即通知对方，并寄送有关权威机构出具的证明。</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10.3 不可抗力事件延续120天以上，双方应通过友好协商，确定是否继续履行合同。</w:t>
      </w:r>
    </w:p>
    <w:p>
      <w:pPr>
        <w:pStyle w:val="25"/>
        <w:spacing w:line="360" w:lineRule="auto"/>
        <w:rPr>
          <w:rFonts w:hAnsi="宋体"/>
          <w:b/>
          <w:bCs/>
          <w:color w:val="auto"/>
          <w:sz w:val="24"/>
          <w:szCs w:val="24"/>
          <w:highlight w:val="none"/>
        </w:rPr>
      </w:pPr>
      <w:r>
        <w:rPr>
          <w:rFonts w:hint="eastAsia" w:hAnsi="宋体"/>
          <w:b/>
          <w:bCs/>
          <w:color w:val="auto"/>
          <w:sz w:val="24"/>
          <w:szCs w:val="24"/>
          <w:highlight w:val="none"/>
        </w:rPr>
        <w:t>11.  诉讼</w:t>
      </w:r>
    </w:p>
    <w:p>
      <w:pPr>
        <w:pStyle w:val="25"/>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11.1 双方在执行合同中所发生的一切争议，应通过协商解决。如协商不成，可向合同签订地法院起诉，合同签订地在此约定为广西南宁市。</w:t>
      </w:r>
    </w:p>
    <w:p>
      <w:pPr>
        <w:pStyle w:val="25"/>
        <w:spacing w:line="360" w:lineRule="auto"/>
        <w:rPr>
          <w:rFonts w:hAnsi="宋体"/>
          <w:b/>
          <w:bCs/>
          <w:color w:val="auto"/>
          <w:sz w:val="24"/>
          <w:szCs w:val="24"/>
          <w:highlight w:val="none"/>
        </w:rPr>
      </w:pPr>
      <w:r>
        <w:rPr>
          <w:rFonts w:hint="eastAsia" w:hAnsi="宋体"/>
          <w:b/>
          <w:bCs/>
          <w:color w:val="auto"/>
          <w:sz w:val="24"/>
          <w:szCs w:val="24"/>
          <w:highlight w:val="none"/>
        </w:rPr>
        <w:t>12.  合同生效及其它</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12.1 合同经双方法定代表人或授权委托代理人签字并加盖单位公章后生效。</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12.2 合同执行中涉及采购资金和采购内容修改或补充的，须经市财政部门审批，并签书面补充协议报南宁市政府采购监督管理部门备案，方可作为主合同不可分割的一部分。</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12.3 下述合同附件为本合同不可分割的部分并与本合同具有同等效力：</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（1）政府采购招标文件；</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（2）乙方提供的采购投标（或应答）文件；</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（3）中标或成交通知书。</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12.4 本合同未尽事宜，遵照《中华人民共和国合同法》有关条文执行。</w:t>
      </w:r>
    </w:p>
    <w:p>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12.5 本合同一式   份，具有同等法律效力，甲方  份，乙方  份，采购代理机构一份。</w:t>
      </w:r>
    </w:p>
    <w:p>
      <w:pPr>
        <w:pStyle w:val="25"/>
        <w:spacing w:line="360" w:lineRule="auto"/>
        <w:rPr>
          <w:rFonts w:hAnsi="宋体"/>
          <w:color w:val="auto"/>
          <w:sz w:val="24"/>
          <w:szCs w:val="24"/>
          <w:highlight w:val="none"/>
        </w:rPr>
      </w:pPr>
    </w:p>
    <w:p>
      <w:pPr>
        <w:pStyle w:val="7"/>
        <w:rPr>
          <w:rFonts w:hAnsi="宋体"/>
          <w:color w:val="auto"/>
          <w:sz w:val="24"/>
          <w:szCs w:val="24"/>
          <w:highlight w:val="none"/>
        </w:rPr>
      </w:pPr>
    </w:p>
    <w:p>
      <w:pPr>
        <w:pStyle w:val="7"/>
        <w:rPr>
          <w:rFonts w:hAnsi="宋体"/>
          <w:color w:val="auto"/>
          <w:sz w:val="24"/>
          <w:szCs w:val="24"/>
          <w:highlight w:val="none"/>
        </w:rPr>
      </w:pPr>
    </w:p>
    <w:p>
      <w:pPr>
        <w:pStyle w:val="7"/>
        <w:rPr>
          <w:rFonts w:hAnsi="宋体"/>
          <w:color w:val="auto"/>
          <w:sz w:val="24"/>
          <w:szCs w:val="24"/>
          <w:highlight w:val="none"/>
        </w:rPr>
      </w:pPr>
    </w:p>
    <w:p>
      <w:pPr>
        <w:pStyle w:val="25"/>
        <w:spacing w:line="360" w:lineRule="auto"/>
        <w:rPr>
          <w:rFonts w:hAnsi="宋体"/>
          <w:color w:val="auto"/>
          <w:sz w:val="24"/>
          <w:szCs w:val="24"/>
          <w:highlight w:val="none"/>
          <w:u w:val="single"/>
        </w:rPr>
      </w:pPr>
      <w:r>
        <w:rPr>
          <w:rFonts w:hint="eastAsia" w:hAnsi="宋体"/>
          <w:color w:val="auto"/>
          <w:sz w:val="24"/>
          <w:szCs w:val="24"/>
          <w:highlight w:val="none"/>
        </w:rPr>
        <w:t>甲方：                                乙方：</w:t>
      </w:r>
    </w:p>
    <w:p>
      <w:pPr>
        <w:pStyle w:val="25"/>
        <w:spacing w:line="360" w:lineRule="auto"/>
        <w:rPr>
          <w:rFonts w:hAnsi="宋体"/>
          <w:color w:val="auto"/>
          <w:sz w:val="24"/>
          <w:szCs w:val="24"/>
          <w:highlight w:val="none"/>
        </w:rPr>
      </w:pPr>
      <w:r>
        <w:rPr>
          <w:rFonts w:hint="eastAsia" w:hAnsi="宋体"/>
          <w:color w:val="auto"/>
          <w:sz w:val="24"/>
          <w:szCs w:val="24"/>
          <w:highlight w:val="none"/>
        </w:rPr>
        <w:t>地址：                                地址：</w:t>
      </w:r>
    </w:p>
    <w:p>
      <w:pPr>
        <w:pStyle w:val="25"/>
        <w:spacing w:line="360" w:lineRule="auto"/>
        <w:rPr>
          <w:rFonts w:hAnsi="宋体"/>
          <w:color w:val="auto"/>
          <w:sz w:val="24"/>
          <w:szCs w:val="24"/>
          <w:highlight w:val="none"/>
        </w:rPr>
      </w:pPr>
      <w:r>
        <w:rPr>
          <w:rFonts w:hint="eastAsia" w:hAnsi="宋体"/>
          <w:color w:val="auto"/>
          <w:sz w:val="24"/>
          <w:szCs w:val="24"/>
          <w:highlight w:val="none"/>
        </w:rPr>
        <w:t>法定代表人：                          法定代表人：</w:t>
      </w:r>
    </w:p>
    <w:p>
      <w:pPr>
        <w:pStyle w:val="25"/>
        <w:spacing w:line="360" w:lineRule="auto"/>
        <w:rPr>
          <w:rFonts w:hAnsi="宋体"/>
          <w:color w:val="auto"/>
          <w:sz w:val="24"/>
          <w:szCs w:val="24"/>
          <w:highlight w:val="none"/>
        </w:rPr>
      </w:pPr>
      <w:r>
        <w:rPr>
          <w:rFonts w:hint="eastAsia" w:hAnsi="宋体"/>
          <w:color w:val="auto"/>
          <w:sz w:val="24"/>
          <w:szCs w:val="24"/>
          <w:highlight w:val="none"/>
        </w:rPr>
        <w:t>委托代理人：                          委托代理人：</w:t>
      </w:r>
    </w:p>
    <w:p>
      <w:pPr>
        <w:pStyle w:val="25"/>
        <w:spacing w:line="360" w:lineRule="auto"/>
        <w:rPr>
          <w:rFonts w:hAnsi="宋体"/>
          <w:color w:val="auto"/>
          <w:sz w:val="24"/>
          <w:szCs w:val="24"/>
          <w:highlight w:val="none"/>
        </w:rPr>
      </w:pPr>
      <w:r>
        <w:rPr>
          <w:rFonts w:hint="eastAsia" w:hAnsi="宋体"/>
          <w:color w:val="auto"/>
          <w:sz w:val="24"/>
          <w:szCs w:val="24"/>
          <w:highlight w:val="none"/>
        </w:rPr>
        <w:t>电话：                                电话：</w:t>
      </w:r>
    </w:p>
    <w:p>
      <w:pPr>
        <w:pStyle w:val="25"/>
        <w:spacing w:line="360" w:lineRule="auto"/>
        <w:rPr>
          <w:rFonts w:hAnsi="宋体"/>
          <w:color w:val="auto"/>
          <w:sz w:val="24"/>
          <w:szCs w:val="24"/>
          <w:highlight w:val="none"/>
        </w:rPr>
      </w:pPr>
      <w:r>
        <w:rPr>
          <w:rFonts w:hint="eastAsia" w:hAnsi="宋体"/>
          <w:color w:val="auto"/>
          <w:sz w:val="24"/>
          <w:szCs w:val="24"/>
          <w:highlight w:val="none"/>
        </w:rPr>
        <w:t>传真：                                传真：</w:t>
      </w:r>
    </w:p>
    <w:p>
      <w:pPr>
        <w:pStyle w:val="25"/>
        <w:spacing w:line="360" w:lineRule="auto"/>
        <w:rPr>
          <w:rFonts w:hAnsi="宋体"/>
          <w:color w:val="auto"/>
          <w:sz w:val="24"/>
          <w:szCs w:val="24"/>
          <w:highlight w:val="none"/>
        </w:rPr>
      </w:pPr>
      <w:r>
        <w:rPr>
          <w:rFonts w:hint="eastAsia" w:hAnsi="宋体"/>
          <w:color w:val="auto"/>
          <w:sz w:val="24"/>
          <w:szCs w:val="24"/>
          <w:highlight w:val="none"/>
        </w:rPr>
        <w:t>邮政编码：                            邮政编码：</w:t>
      </w:r>
    </w:p>
    <w:p>
      <w:pPr>
        <w:pStyle w:val="25"/>
        <w:spacing w:line="360" w:lineRule="auto"/>
        <w:rPr>
          <w:rFonts w:hAnsi="宋体"/>
          <w:color w:val="auto"/>
          <w:sz w:val="24"/>
          <w:szCs w:val="24"/>
          <w:highlight w:val="none"/>
          <w:u w:val="single"/>
        </w:rPr>
      </w:pPr>
      <w:r>
        <w:rPr>
          <w:rFonts w:hint="eastAsia" w:hAnsi="宋体"/>
          <w:color w:val="auto"/>
          <w:sz w:val="24"/>
          <w:szCs w:val="24"/>
          <w:highlight w:val="none"/>
        </w:rPr>
        <w:t xml:space="preserve">                                       开户银行：</w:t>
      </w:r>
    </w:p>
    <w:p>
      <w:pPr>
        <w:pStyle w:val="25"/>
        <w:spacing w:line="360" w:lineRule="auto"/>
        <w:rPr>
          <w:rFonts w:hAnsi="宋体"/>
          <w:color w:val="auto"/>
          <w:sz w:val="24"/>
          <w:szCs w:val="24"/>
          <w:highlight w:val="none"/>
          <w:u w:val="single"/>
        </w:rPr>
      </w:pPr>
      <w:r>
        <w:rPr>
          <w:rFonts w:hint="eastAsia" w:hAnsi="宋体"/>
          <w:color w:val="auto"/>
          <w:sz w:val="24"/>
          <w:szCs w:val="24"/>
          <w:highlight w:val="none"/>
        </w:rPr>
        <w:t xml:space="preserve">                                       开户名称：</w:t>
      </w:r>
    </w:p>
    <w:p>
      <w:pPr>
        <w:pStyle w:val="25"/>
        <w:spacing w:line="360" w:lineRule="auto"/>
        <w:rPr>
          <w:rFonts w:hAnsi="宋体"/>
          <w:color w:val="auto"/>
          <w:sz w:val="24"/>
          <w:szCs w:val="24"/>
          <w:highlight w:val="none"/>
          <w:u w:val="single"/>
        </w:rPr>
      </w:pPr>
      <w:r>
        <w:rPr>
          <w:rFonts w:hint="eastAsia" w:hAnsi="宋体"/>
          <w:color w:val="auto"/>
          <w:sz w:val="24"/>
          <w:szCs w:val="24"/>
          <w:highlight w:val="none"/>
        </w:rPr>
        <w:t xml:space="preserve">                                       银行账号：</w:t>
      </w:r>
    </w:p>
    <w:p>
      <w:pPr>
        <w:pStyle w:val="25"/>
        <w:spacing w:line="360" w:lineRule="auto"/>
        <w:rPr>
          <w:rFonts w:hAnsi="宋体"/>
          <w:color w:val="auto"/>
          <w:sz w:val="24"/>
          <w:szCs w:val="24"/>
          <w:highlight w:val="none"/>
          <w:u w:val="single"/>
        </w:rPr>
      </w:pPr>
      <w:r>
        <w:rPr>
          <w:rFonts w:hint="eastAsia" w:hAnsi="宋体"/>
          <w:color w:val="auto"/>
          <w:sz w:val="24"/>
          <w:szCs w:val="24"/>
          <w:highlight w:val="none"/>
        </w:rPr>
        <w:t>合同签订地点：</w:t>
      </w:r>
    </w:p>
    <w:p>
      <w:pPr>
        <w:snapToGrid w:val="0"/>
        <w:spacing w:line="360" w:lineRule="auto"/>
        <w:rPr>
          <w:color w:val="auto"/>
          <w:highlight w:val="none"/>
        </w:rPr>
        <w:sectPr>
          <w:footerReference r:id="rId6" w:type="first"/>
          <w:footerReference r:id="rId5" w:type="default"/>
          <w:pgSz w:w="11900" w:h="16840"/>
          <w:pgMar w:top="1247" w:right="1247" w:bottom="1247" w:left="1247" w:header="851" w:footer="992" w:gutter="0"/>
          <w:cols w:space="720" w:num="1"/>
          <w:titlePg/>
          <w:docGrid w:linePitch="312" w:charSpace="0"/>
        </w:sectPr>
      </w:pPr>
      <w:r>
        <w:rPr>
          <w:rFonts w:hint="eastAsia" w:hAnsi="宋体" w:cs="宋体"/>
          <w:color w:val="auto"/>
          <w:sz w:val="24"/>
          <w:szCs w:val="24"/>
          <w:highlight w:val="none"/>
        </w:rPr>
        <w:t>合同签订日期： 年 月 日</w:t>
      </w:r>
    </w:p>
    <w:p>
      <w:pPr>
        <w:pStyle w:val="25"/>
        <w:spacing w:line="360" w:lineRule="auto"/>
        <w:jc w:val="center"/>
        <w:rPr>
          <w:rFonts w:hAnsi="宋体" w:cs="Times New Roman"/>
          <w:b/>
          <w:bCs/>
          <w:color w:val="auto"/>
          <w:sz w:val="36"/>
          <w:szCs w:val="36"/>
          <w:highlight w:val="none"/>
        </w:rPr>
      </w:pPr>
      <w:r>
        <w:rPr>
          <w:rFonts w:hint="eastAsia" w:hAnsi="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color w:val="auto"/>
          <w:kern w:val="0"/>
          <w:highlight w:val="none"/>
        </w:rPr>
      </w:pPr>
      <w:r>
        <w:rPr>
          <w:rFonts w:hint="eastAsia" w:ascii="宋体" w:hAnsi="宋体" w:cs="宋体"/>
          <w:color w:val="auto"/>
          <w:kern w:val="0"/>
          <w:highlight w:val="none"/>
        </w:rPr>
        <w:t>根据政府采购合同</w:t>
      </w:r>
      <w:r>
        <w:rPr>
          <w:rFonts w:hint="eastAsia" w:ascii="宋体" w:hAnsi="宋体" w:cs="宋体"/>
          <w:color w:val="auto"/>
          <w:kern w:val="0"/>
          <w:highlight w:val="none"/>
          <w:u w:val="single"/>
        </w:rPr>
        <w:t>（采购合同编号：</w:t>
      </w:r>
      <w:r>
        <w:rPr>
          <w:rFonts w:ascii="宋体"/>
          <w:color w:val="auto"/>
          <w:kern w:val="0"/>
          <w:highlight w:val="none"/>
          <w:u w:val="single"/>
        </w:rPr>
        <w:t>  </w:t>
      </w:r>
      <w:r>
        <w:rPr>
          <w:rFonts w:hint="eastAsia" w:ascii="宋体" w:hAnsi="宋体" w:cs="宋体"/>
          <w:color w:val="auto"/>
          <w:kern w:val="0"/>
          <w:highlight w:val="none"/>
          <w:u w:val="single"/>
        </w:rPr>
        <w:t>）的约定，我单位对（项目名称）政府采购项目中标（或成交）供应商（公司名称）</w:t>
      </w:r>
      <w:r>
        <w:rPr>
          <w:rFonts w:hint="eastAsia" w:ascii="宋体" w:hAnsi="宋体" w:cs="宋体"/>
          <w:color w:val="auto"/>
          <w:kern w:val="0"/>
          <w:highlight w:val="none"/>
        </w:rPr>
        <w:t>提供的或服务进行了验收，验收情况如下：</w:t>
      </w:r>
    </w:p>
    <w:tbl>
      <w:tblPr>
        <w:tblStyle w:val="44"/>
        <w:tblW w:w="97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验收方式：</w:t>
            </w:r>
          </w:p>
        </w:tc>
        <w:tc>
          <w:tcPr>
            <w:tcW w:w="6218" w:type="dxa"/>
            <w:gridSpan w:val="5"/>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□自行验收</w:t>
            </w:r>
            <w:r>
              <w:rPr>
                <w:rFonts w:ascii="宋体"/>
                <w:color w:val="auto"/>
                <w:kern w:val="0"/>
                <w:highlight w:val="none"/>
              </w:rPr>
              <w:t>        </w:t>
            </w:r>
            <w:r>
              <w:rPr>
                <w:rFonts w:hint="eastAsia" w:ascii="宋体" w:hAnsi="宋体" w:cs="宋体"/>
                <w:color w:val="auto"/>
                <w:kern w:val="0"/>
                <w:highlight w:val="none"/>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序号</w:t>
            </w:r>
          </w:p>
        </w:tc>
        <w:tc>
          <w:tcPr>
            <w:tcW w:w="1963"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名</w:t>
            </w:r>
            <w:r>
              <w:rPr>
                <w:rFonts w:ascii="宋体"/>
                <w:color w:val="auto"/>
                <w:kern w:val="0"/>
                <w:highlight w:val="none"/>
              </w:rPr>
              <w:t> </w:t>
            </w:r>
            <w:r>
              <w:rPr>
                <w:rFonts w:hint="eastAsia" w:ascii="宋体" w:hAnsi="宋体" w:cs="宋体"/>
                <w:color w:val="auto"/>
                <w:kern w:val="0"/>
                <w:highlight w:val="none"/>
              </w:rPr>
              <w:t>称</w:t>
            </w:r>
          </w:p>
        </w:tc>
        <w:tc>
          <w:tcPr>
            <w:tcW w:w="3441"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服务内容、标准</w:t>
            </w:r>
          </w:p>
        </w:tc>
        <w:tc>
          <w:tcPr>
            <w:tcW w:w="998"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数量</w:t>
            </w:r>
          </w:p>
        </w:tc>
        <w:tc>
          <w:tcPr>
            <w:tcW w:w="1779"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与合同约定</w:t>
            </w:r>
          </w:p>
          <w:p>
            <w:pPr>
              <w:widowControl/>
              <w:snapToGrid w:val="0"/>
              <w:ind w:left="-3"/>
              <w:jc w:val="center"/>
              <w:rPr>
                <w:rFonts w:ascii="宋体"/>
                <w:color w:val="auto"/>
                <w:kern w:val="0"/>
                <w:highlight w:val="none"/>
              </w:rPr>
            </w:pPr>
            <w:r>
              <w:rPr>
                <w:rFonts w:hint="eastAsia" w:ascii="宋体" w:hAnsi="宋体" w:cs="宋体"/>
                <w:color w:val="auto"/>
                <w:kern w:val="0"/>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实际供货日期</w:t>
            </w:r>
          </w:p>
        </w:tc>
        <w:tc>
          <w:tcPr>
            <w:tcW w:w="3542" w:type="dxa"/>
            <w:gridSpan w:val="2"/>
            <w:vAlign w:val="center"/>
          </w:tcPr>
          <w:p>
            <w:pPr>
              <w:snapToGrid w:val="0"/>
              <w:jc w:val="left"/>
              <w:rPr>
                <w:rFonts w:ascii="宋体"/>
                <w:color w:val="auto"/>
                <w:kern w:val="0"/>
                <w:highlight w:val="none"/>
              </w:rPr>
            </w:pPr>
          </w:p>
        </w:tc>
        <w:tc>
          <w:tcPr>
            <w:tcW w:w="2522" w:type="dxa"/>
            <w:gridSpan w:val="2"/>
            <w:vAlign w:val="center"/>
          </w:tcPr>
          <w:p>
            <w:pPr>
              <w:snapToGrid w:val="0"/>
              <w:ind w:left="590"/>
              <w:jc w:val="left"/>
              <w:rPr>
                <w:rFonts w:ascii="宋体"/>
                <w:color w:val="auto"/>
                <w:kern w:val="0"/>
                <w:highlight w:val="none"/>
              </w:rPr>
            </w:pPr>
            <w:r>
              <w:rPr>
                <w:rFonts w:hint="eastAsia" w:ascii="宋体" w:hAnsi="宋体" w:cs="宋体"/>
                <w:color w:val="auto"/>
                <w:kern w:val="0"/>
                <w:highlight w:val="none"/>
              </w:rPr>
              <w:t>合同交货验收日期</w:t>
            </w:r>
          </w:p>
        </w:tc>
        <w:tc>
          <w:tcPr>
            <w:tcW w:w="2117" w:type="dxa"/>
            <w:gridSpan w:val="2"/>
            <w:vAlign w:val="center"/>
          </w:tcPr>
          <w:p>
            <w:pPr>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color w:val="auto"/>
                <w:kern w:val="0"/>
                <w:highlight w:val="none"/>
              </w:rPr>
            </w:pPr>
            <w:r>
              <w:rPr>
                <w:rFonts w:ascii="宋体"/>
                <w:color w:val="auto"/>
                <w:kern w:val="0"/>
                <w:highlight w:val="none"/>
              </w:rPr>
              <w:t> </w:t>
            </w:r>
            <w:r>
              <w:rPr>
                <w:rFonts w:ascii="宋体" w:hAnsi="宋体" w:cs="宋体"/>
                <w:color w:val="auto"/>
                <w:kern w:val="0"/>
                <w:highlight w:val="none"/>
              </w:rPr>
              <w:t>(</w:t>
            </w:r>
            <w:r>
              <w:rPr>
                <w:rFonts w:hint="eastAsia" w:ascii="宋体" w:hAnsi="宋体" w:cs="宋体"/>
                <w:color w:val="auto"/>
                <w:kern w:val="0"/>
                <w:highlight w:val="none"/>
              </w:rPr>
              <w:t>按招标采购文件及验收方案等。可附件</w:t>
            </w:r>
            <w:r>
              <w:rPr>
                <w:rFonts w:ascii="宋体" w:hAnsi="宋体" w:cs="宋体"/>
                <w:color w:val="auto"/>
                <w:kern w:val="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验收小组意见</w:t>
            </w:r>
          </w:p>
        </w:tc>
        <w:tc>
          <w:tcPr>
            <w:tcW w:w="8181" w:type="dxa"/>
            <w:gridSpan w:val="6"/>
            <w:vAlign w:val="center"/>
          </w:tcPr>
          <w:p>
            <w:pPr>
              <w:widowControl/>
              <w:jc w:val="left"/>
              <w:rPr>
                <w:rFonts w:ascii="宋体"/>
                <w:color w:val="auto"/>
                <w:kern w:val="0"/>
                <w:highlight w:val="none"/>
              </w:rPr>
            </w:pPr>
            <w:r>
              <w:rPr>
                <w:rFonts w:ascii="宋体"/>
                <w:color w:val="auto"/>
                <w:kern w:val="0"/>
                <w:highlight w:val="none"/>
              </w:rPr>
              <w:t> </w:t>
            </w:r>
          </w:p>
          <w:p>
            <w:pPr>
              <w:widowControl/>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供应商签字或盖章：</w:t>
            </w:r>
          </w:p>
          <w:p>
            <w:pPr>
              <w:widowControl/>
              <w:jc w:val="left"/>
              <w:rPr>
                <w:rFonts w:ascii="宋体"/>
                <w:color w:val="auto"/>
                <w:kern w:val="0"/>
                <w:highlight w:val="none"/>
              </w:rPr>
            </w:pPr>
            <w:r>
              <w:rPr>
                <w:rFonts w:hint="eastAsia" w:ascii="宋体" w:hAnsi="宋体" w:cs="宋体"/>
                <w:color w:val="auto"/>
                <w:kern w:val="0"/>
                <w:highlight w:val="none"/>
              </w:rPr>
              <w:t>联系方式：</w:t>
            </w:r>
            <w:r>
              <w:rPr>
                <w:rFonts w:ascii="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c>
          <w:tcPr>
            <w:tcW w:w="4639" w:type="dxa"/>
            <w:gridSpan w:val="4"/>
            <w:vAlign w:val="center"/>
          </w:tcPr>
          <w:p>
            <w:pPr>
              <w:widowControl/>
              <w:jc w:val="left"/>
              <w:rPr>
                <w:rFonts w:ascii="宋体"/>
                <w:color w:val="auto"/>
                <w:kern w:val="0"/>
                <w:highlight w:val="none"/>
              </w:rPr>
            </w:pPr>
            <w:r>
              <w:rPr>
                <w:rFonts w:ascii="宋体"/>
                <w:color w:val="auto"/>
                <w:kern w:val="0"/>
                <w:highlight w:val="none"/>
              </w:rPr>
              <w:t> </w:t>
            </w:r>
            <w:r>
              <w:rPr>
                <w:rFonts w:hint="eastAsia" w:ascii="宋体" w:hAnsi="宋体" w:cs="宋体"/>
                <w:color w:val="auto"/>
                <w:kern w:val="0"/>
                <w:highlight w:val="none"/>
              </w:rPr>
              <w:t>采购单位盖章：</w:t>
            </w:r>
          </w:p>
          <w:p>
            <w:pPr>
              <w:widowControl/>
              <w:ind w:firstLine="2119"/>
              <w:jc w:val="left"/>
              <w:rPr>
                <w:rFonts w:ascii="宋体"/>
                <w:color w:val="auto"/>
                <w:kern w:val="0"/>
                <w:highlight w:val="none"/>
              </w:rPr>
            </w:pP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r>
    </w:tbl>
    <w:p>
      <w:pPr>
        <w:widowControl/>
        <w:jc w:val="left"/>
        <w:rPr>
          <w:rFonts w:ascii="宋体"/>
          <w:color w:val="auto"/>
          <w:kern w:val="0"/>
          <w:highlight w:val="none"/>
        </w:rPr>
      </w:pPr>
      <w:r>
        <w:rPr>
          <w:rFonts w:hint="eastAsia" w:ascii="宋体" w:hAnsi="宋体" w:cs="宋体"/>
          <w:color w:val="auto"/>
          <w:spacing w:val="-20"/>
          <w:kern w:val="0"/>
          <w:highlight w:val="none"/>
        </w:rPr>
        <w:t>备注：本报告单一式</w:t>
      </w:r>
      <w:r>
        <w:rPr>
          <w:rFonts w:ascii="宋体" w:hAnsi="宋体" w:cs="宋体"/>
          <w:color w:val="auto"/>
          <w:spacing w:val="-20"/>
          <w:kern w:val="0"/>
          <w:highlight w:val="none"/>
        </w:rPr>
        <w:t xml:space="preserve"> 4 </w:t>
      </w:r>
      <w:r>
        <w:rPr>
          <w:rFonts w:hint="eastAsia" w:ascii="宋体" w:hAnsi="宋体" w:cs="宋体"/>
          <w:color w:val="auto"/>
          <w:spacing w:val="-20"/>
          <w:kern w:val="0"/>
          <w:highlight w:val="none"/>
        </w:rPr>
        <w:t>份（采购单位</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份、供应商</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份、采购监督部门备案</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份、采购代理机构</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w:t>
      </w:r>
      <w:r>
        <w:rPr>
          <w:rFonts w:hint="eastAsia" w:ascii="宋体" w:hAnsi="宋体" w:cs="宋体"/>
          <w:color w:val="auto"/>
          <w:kern w:val="0"/>
          <w:highlight w:val="none"/>
        </w:rPr>
        <w:t>）。</w:t>
      </w:r>
    </w:p>
    <w:p>
      <w:pPr>
        <w:jc w:val="left"/>
        <w:rPr>
          <w:rFonts w:ascii="宋体"/>
          <w:color w:val="auto"/>
          <w:sz w:val="24"/>
          <w:szCs w:val="24"/>
          <w:highlight w:val="none"/>
        </w:rPr>
      </w:pPr>
    </w:p>
    <w:p>
      <w:pPr>
        <w:pStyle w:val="25"/>
        <w:tabs>
          <w:tab w:val="left" w:pos="2472"/>
        </w:tabs>
        <w:snapToGrid w:val="0"/>
        <w:jc w:val="center"/>
        <w:rPr>
          <w:rFonts w:hAnsi="宋体" w:cs="Times New Roman"/>
          <w:color w:val="auto"/>
          <w:highlight w:val="none"/>
        </w:rPr>
        <w:sectPr>
          <w:footerReference r:id="rId8" w:type="first"/>
          <w:footerReference r:id="rId7" w:type="default"/>
          <w:pgSz w:w="11900" w:h="16840"/>
          <w:pgMar w:top="1418" w:right="1418" w:bottom="1418" w:left="1418" w:header="851" w:footer="992" w:gutter="0"/>
          <w:cols w:space="720" w:num="1"/>
          <w:titlePg/>
          <w:docGrid w:linePitch="312" w:charSpace="0"/>
        </w:sectPr>
      </w:pPr>
    </w:p>
    <w:p>
      <w:pPr>
        <w:pStyle w:val="25"/>
        <w:tabs>
          <w:tab w:val="left" w:pos="2472"/>
        </w:tabs>
        <w:snapToGrid w:val="0"/>
        <w:jc w:val="center"/>
        <w:rPr>
          <w:rFonts w:hAnsi="宋体" w:cs="Times New Roman"/>
          <w:color w:val="auto"/>
          <w:highlight w:val="none"/>
        </w:rPr>
      </w:pPr>
    </w:p>
    <w:p>
      <w:pPr>
        <w:pStyle w:val="25"/>
        <w:tabs>
          <w:tab w:val="left" w:pos="2472"/>
        </w:tabs>
        <w:snapToGrid w:val="0"/>
        <w:jc w:val="center"/>
        <w:rPr>
          <w:rFonts w:hAnsi="宋体" w:cs="Times New Roman"/>
          <w:color w:val="auto"/>
          <w:highlight w:val="none"/>
        </w:rPr>
      </w:pPr>
    </w:p>
    <w:p>
      <w:pPr>
        <w:pStyle w:val="25"/>
        <w:tabs>
          <w:tab w:val="left" w:pos="2472"/>
        </w:tabs>
        <w:snapToGrid w:val="0"/>
        <w:jc w:val="center"/>
        <w:outlineLvl w:val="0"/>
        <w:rPr>
          <w:rFonts w:hAnsi="宋体" w:cs="Times New Roman"/>
          <w:b/>
          <w:bCs/>
          <w:color w:val="auto"/>
          <w:sz w:val="44"/>
          <w:szCs w:val="44"/>
          <w:highlight w:val="none"/>
        </w:rPr>
      </w:pPr>
    </w:p>
    <w:p>
      <w:pPr>
        <w:pStyle w:val="25"/>
        <w:tabs>
          <w:tab w:val="left" w:pos="2472"/>
        </w:tabs>
        <w:snapToGrid w:val="0"/>
        <w:jc w:val="center"/>
        <w:outlineLvl w:val="0"/>
        <w:rPr>
          <w:rFonts w:hAnsi="宋体" w:cs="Times New Roman"/>
          <w:b/>
          <w:bCs/>
          <w:color w:val="auto"/>
          <w:sz w:val="44"/>
          <w:szCs w:val="44"/>
          <w:highlight w:val="none"/>
        </w:rPr>
      </w:pPr>
    </w:p>
    <w:p>
      <w:pPr>
        <w:pStyle w:val="25"/>
        <w:tabs>
          <w:tab w:val="left" w:pos="2472"/>
        </w:tabs>
        <w:snapToGrid w:val="0"/>
        <w:jc w:val="center"/>
        <w:outlineLvl w:val="0"/>
        <w:rPr>
          <w:rFonts w:hAnsi="宋体" w:cs="Times New Roman"/>
          <w:b/>
          <w:bCs/>
          <w:color w:val="auto"/>
          <w:sz w:val="44"/>
          <w:szCs w:val="44"/>
          <w:highlight w:val="none"/>
        </w:rPr>
      </w:pPr>
      <w:bookmarkStart w:id="218" w:name="_Toc30020"/>
      <w:bookmarkStart w:id="219" w:name="_Toc26296"/>
      <w:bookmarkStart w:id="220" w:name="_Toc6714"/>
      <w:r>
        <w:rPr>
          <w:rFonts w:hint="eastAsia" w:hAnsi="宋体"/>
          <w:b/>
          <w:bCs/>
          <w:color w:val="auto"/>
          <w:sz w:val="44"/>
          <w:szCs w:val="44"/>
          <w:highlight w:val="none"/>
        </w:rPr>
        <w:t>第六章投标文件格式</w:t>
      </w:r>
      <w:bookmarkEnd w:id="218"/>
      <w:bookmarkEnd w:id="219"/>
      <w:bookmarkEnd w:id="220"/>
    </w:p>
    <w:p>
      <w:pPr>
        <w:snapToGrid w:val="0"/>
        <w:rPr>
          <w:rFonts w:ascii="宋体"/>
          <w:b/>
          <w:bCs/>
          <w:color w:val="auto"/>
          <w:sz w:val="24"/>
          <w:szCs w:val="24"/>
          <w:highlight w:val="none"/>
        </w:rPr>
      </w:pPr>
      <w:r>
        <w:rPr>
          <w:rFonts w:ascii="宋体"/>
          <w:color w:val="auto"/>
          <w:highlight w:val="none"/>
        </w:rPr>
        <w:br w:type="page"/>
      </w:r>
      <w:r>
        <w:rPr>
          <w:rFonts w:hint="eastAsia" w:ascii="宋体" w:hAnsi="宋体" w:cs="宋体"/>
          <w:b/>
          <w:bCs/>
          <w:color w:val="auto"/>
          <w:sz w:val="24"/>
          <w:szCs w:val="24"/>
          <w:highlight w:val="none"/>
        </w:rPr>
        <w:t>开标一览表信封封面格式（可以手写，密封）：</w:t>
      </w:r>
    </w:p>
    <w:p>
      <w:pPr>
        <w:snapToGrid w:val="0"/>
        <w:rPr>
          <w:rFonts w:ascii="宋体"/>
          <w:color w:val="auto"/>
          <w:sz w:val="24"/>
          <w:szCs w:val="24"/>
          <w:highlight w:val="none"/>
        </w:rPr>
      </w:pPr>
    </w:p>
    <w:p>
      <w:pPr>
        <w:snapToGrid w:val="0"/>
        <w:rPr>
          <w:rFonts w:ascii="宋体"/>
          <w:color w:val="auto"/>
          <w:sz w:val="24"/>
          <w:szCs w:val="24"/>
          <w:highlight w:val="none"/>
        </w:rPr>
      </w:pPr>
    </w:p>
    <w:p>
      <w:pPr>
        <w:pStyle w:val="25"/>
        <w:snapToGrid w:val="0"/>
        <w:jc w:val="center"/>
        <w:rPr>
          <w:rFonts w:hAnsi="宋体" w:cs="Times New Roman"/>
          <w:color w:val="auto"/>
          <w:sz w:val="24"/>
          <w:szCs w:val="24"/>
          <w:highlight w:val="none"/>
        </w:rPr>
      </w:pPr>
      <w:r>
        <w:rPr>
          <w:rFonts w:hint="eastAsia" w:hAnsi="宋体"/>
          <w:color w:val="auto"/>
          <w:sz w:val="24"/>
          <w:szCs w:val="24"/>
          <w:highlight w:val="none"/>
        </w:rPr>
        <w:t>开标一览表</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项目名称：</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分标（此处有分标时填写具体分标号，无分标时填写“无”）</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投标人名称：</w:t>
      </w:r>
    </w:p>
    <w:p>
      <w:pPr>
        <w:pStyle w:val="25"/>
        <w:snapToGrid w:val="0"/>
        <w:jc w:val="center"/>
        <w:rPr>
          <w:rFonts w:hAnsi="宋体" w:cs="Times New Roman"/>
          <w:color w:val="auto"/>
          <w:sz w:val="24"/>
          <w:szCs w:val="24"/>
          <w:highlight w:val="none"/>
        </w:rPr>
      </w:pPr>
    </w:p>
    <w:p>
      <w:pPr>
        <w:pStyle w:val="25"/>
        <w:snapToGrid w:val="0"/>
        <w:jc w:val="center"/>
        <w:rPr>
          <w:rFonts w:hAnsi="宋体" w:cs="Times New Roman"/>
          <w:color w:val="auto"/>
          <w:sz w:val="24"/>
          <w:szCs w:val="24"/>
          <w:highlight w:val="none"/>
        </w:rPr>
      </w:pPr>
    </w:p>
    <w:p>
      <w:pPr>
        <w:rPr>
          <w:rFonts w:ascii="宋体"/>
          <w:color w:val="auto"/>
          <w:sz w:val="24"/>
          <w:szCs w:val="24"/>
          <w:highlight w:val="none"/>
        </w:rPr>
      </w:pPr>
    </w:p>
    <w:p>
      <w:pPr>
        <w:pStyle w:val="7"/>
        <w:snapToGrid w:val="0"/>
        <w:ind w:firstLine="3960" w:firstLineChars="1650"/>
        <w:rPr>
          <w:rFonts w:ascii="宋体"/>
          <w:color w:val="auto"/>
          <w:sz w:val="24"/>
          <w:szCs w:val="24"/>
          <w:highlight w:val="none"/>
        </w:rPr>
      </w:pPr>
      <w:r>
        <w:rPr>
          <w:rFonts w:hint="eastAsia" w:ascii="宋体" w:hAnsi="宋体" w:cs="宋体"/>
          <w:color w:val="auto"/>
          <w:sz w:val="24"/>
          <w:szCs w:val="24"/>
          <w:highlight w:val="none"/>
        </w:rPr>
        <w:t>在开标时间之前不得启封</w:t>
      </w:r>
    </w:p>
    <w:p>
      <w:pPr>
        <w:pStyle w:val="7"/>
        <w:snapToGrid w:val="0"/>
        <w:ind w:firstLine="998" w:firstLineChars="416"/>
        <w:rPr>
          <w:rFonts w:ascii="宋体"/>
          <w:color w:val="auto"/>
          <w:sz w:val="24"/>
          <w:szCs w:val="24"/>
          <w:highlight w:val="none"/>
        </w:rPr>
      </w:pPr>
    </w:p>
    <w:p>
      <w:pPr>
        <w:snapToGrid w:val="0"/>
        <w:ind w:firstLine="645"/>
        <w:jc w:val="center"/>
        <w:rPr>
          <w:rFonts w:ascii="宋体"/>
          <w:color w:val="auto"/>
          <w:sz w:val="24"/>
          <w:szCs w:val="24"/>
          <w:highlight w:val="none"/>
        </w:rPr>
      </w:pPr>
      <w:r>
        <w:rPr>
          <w:rFonts w:hint="eastAsia" w:ascii="宋体" w:hAnsi="宋体" w:cs="宋体"/>
          <w:color w:val="auto"/>
          <w:sz w:val="24"/>
          <w:szCs w:val="24"/>
          <w:highlight w:val="none"/>
        </w:rPr>
        <w:t>年月日</w:t>
      </w:r>
    </w:p>
    <w:p>
      <w:pPr>
        <w:snapToGrid w:val="0"/>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开标一览表（格式）</w:t>
      </w: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napToGrid w:val="0"/>
        <w:jc w:val="center"/>
        <w:rPr>
          <w:rFonts w:ascii="宋体"/>
          <w:b/>
          <w:bCs/>
          <w:color w:val="auto"/>
          <w:sz w:val="24"/>
          <w:szCs w:val="24"/>
          <w:highlight w:val="none"/>
        </w:rPr>
      </w:pPr>
    </w:p>
    <w:p>
      <w:pPr>
        <w:pStyle w:val="18"/>
        <w:rPr>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仿宋_GB2312" w:eastAsia="仿宋_GB2312"/>
          <w:color w:val="auto"/>
          <w:sz w:val="24"/>
          <w:szCs w:val="24"/>
          <w:highlight w:val="none"/>
        </w:rPr>
      </w:pPr>
      <w:r>
        <w:rPr>
          <w:rFonts w:hint="eastAsia" w:ascii="宋体" w:hAnsi="宋体" w:cs="宋体"/>
          <w:color w:val="auto"/>
          <w:sz w:val="24"/>
          <w:szCs w:val="24"/>
          <w:highlight w:val="none"/>
        </w:rPr>
        <w:t>投标人名称：</w:t>
      </w:r>
    </w:p>
    <w:tbl>
      <w:tblPr>
        <w:tblStyle w:val="44"/>
        <w:tblpPr w:leftFromText="180" w:rightFromText="180" w:vertAnchor="text" w:horzAnchor="margin" w:tblpXSpec="right" w:tblpY="22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2065"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08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6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517"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957"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w:t>
      </w:r>
      <w:r>
        <w:rPr>
          <w:rFonts w:ascii="仿宋_GB2312" w:eastAsia="仿宋_GB2312" w:cs="仿宋_GB2312"/>
          <w:color w:val="auto"/>
          <w:sz w:val="24"/>
          <w:szCs w:val="24"/>
          <w:highlight w:val="none"/>
        </w:rPr>
        <w:t>1</w:t>
      </w:r>
      <w:r>
        <w:rPr>
          <w:rFonts w:hint="eastAsia" w:ascii="仿宋_GB2312" w:eastAsia="仿宋_GB2312" w:cs="仿宋_GB2312"/>
          <w:color w:val="auto"/>
          <w:sz w:val="24"/>
          <w:szCs w:val="24"/>
          <w:highlight w:val="none"/>
        </w:rPr>
        <w:t>、表格内容均需按要求填写并盖章，不得留空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snapToGrid w:val="0"/>
        <w:ind w:firstLine="480" w:firstLineChars="2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 xml:space="preserve">    2</w:t>
      </w:r>
      <w:r>
        <w:rPr>
          <w:rFonts w:hint="eastAsia" w:ascii="仿宋_GB2312" w:eastAsia="仿宋_GB2312" w:cs="仿宋_GB2312"/>
          <w:color w:val="auto"/>
          <w:sz w:val="24"/>
          <w:szCs w:val="24"/>
          <w:highlight w:val="none"/>
        </w:rPr>
        <w:t>、以上“报价合计”应与“投标报价明细表”中的“报价合计”相一致。</w:t>
      </w:r>
    </w:p>
    <w:p>
      <w:pPr>
        <w:pStyle w:val="7"/>
        <w:snapToGrid w:val="0"/>
        <w:ind w:firstLine="960" w:firstLineChars="4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3</w:t>
      </w:r>
      <w:r>
        <w:rPr>
          <w:rFonts w:hint="eastAsia" w:ascii="仿宋_GB2312" w:eastAsia="仿宋_GB2312" w:cs="仿宋_GB2312"/>
          <w:color w:val="auto"/>
          <w:sz w:val="24"/>
          <w:szCs w:val="24"/>
          <w:highlight w:val="none"/>
        </w:rPr>
        <w:t>、此表请单独用信封封装，信封封面请注明招标编号、标项、投标人名称及“开标一览表”字样。如有多个标段的，每表须分别单独用信封密封。</w:t>
      </w: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pStyle w:val="7"/>
        <w:snapToGrid w:val="0"/>
        <w:ind w:firstLine="960" w:firstLineChars="400"/>
        <w:jc w:val="left"/>
        <w:rPr>
          <w:rFonts w:ascii="仿宋_GB2312" w:eastAsia="仿宋_GB2312"/>
          <w:color w:val="auto"/>
          <w:sz w:val="24"/>
          <w:szCs w:val="24"/>
          <w:highlight w:val="none"/>
        </w:rPr>
      </w:pPr>
    </w:p>
    <w:p>
      <w:pPr>
        <w:snapToGrid w:val="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封套格式：</w:t>
      </w:r>
    </w:p>
    <w:p>
      <w:pPr>
        <w:snapToGrid w:val="0"/>
        <w:rPr>
          <w:rFonts w:ascii="宋体"/>
          <w:color w:val="auto"/>
          <w:sz w:val="24"/>
          <w:szCs w:val="2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285" w:firstLineChars="400"/>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1285" w:firstLineChars="40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1285" w:firstLineChars="400"/>
        <w:rPr>
          <w:rFonts w:ascii="宋体"/>
          <w:b/>
          <w:bCs/>
          <w:color w:val="auto"/>
          <w:sz w:val="32"/>
          <w:szCs w:val="32"/>
          <w:highlight w:val="none"/>
        </w:rPr>
      </w:pPr>
      <w:r>
        <w:rPr>
          <w:rFonts w:hint="eastAsia" w:ascii="宋体" w:hAnsi="宋体" w:cs="宋体"/>
          <w:b/>
          <w:bCs/>
          <w:color w:val="auto"/>
          <w:sz w:val="32"/>
          <w:szCs w:val="32"/>
          <w:highlight w:val="none"/>
        </w:rPr>
        <w:t>标项（如有）：</w:t>
      </w: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7"/>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7"/>
        <w:snapToGrid w:val="0"/>
        <w:ind w:firstLine="1336" w:firstLineChars="416"/>
        <w:rPr>
          <w:rFonts w:ascii="宋体"/>
          <w:b/>
          <w:bCs/>
          <w:color w:val="auto"/>
          <w:sz w:val="32"/>
          <w:szCs w:val="32"/>
          <w:highlight w:val="none"/>
        </w:rPr>
      </w:pPr>
    </w:p>
    <w:p>
      <w:pPr>
        <w:pStyle w:val="7"/>
        <w:snapToGrid w:val="0"/>
        <w:ind w:firstLine="1336" w:firstLineChars="416"/>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在年月日时分前不得开启日</w:t>
      </w:r>
    </w:p>
    <w:p>
      <w:pPr>
        <w:snapToGrid w:val="0"/>
        <w:rPr>
          <w:rFonts w:ascii="宋体"/>
          <w:b/>
          <w:bCs/>
          <w:color w:val="auto"/>
          <w:sz w:val="24"/>
          <w:szCs w:val="24"/>
          <w:highlight w:val="none"/>
        </w:rPr>
      </w:pPr>
    </w:p>
    <w:p>
      <w:pPr>
        <w:snapToGrid w:val="0"/>
        <w:rPr>
          <w:rFonts w:ascii="宋体"/>
          <w:b/>
          <w:bCs/>
          <w:color w:val="auto"/>
          <w:sz w:val="24"/>
          <w:szCs w:val="24"/>
          <w:highlight w:val="none"/>
        </w:rPr>
      </w:pPr>
      <w:r>
        <w:rPr>
          <w:rFonts w:ascii="宋体"/>
          <w:b/>
          <w:bCs/>
          <w:color w:val="auto"/>
          <w:sz w:val="24"/>
          <w:szCs w:val="24"/>
          <w:highlight w:val="none"/>
        </w:rPr>
        <w:br w:type="textWrapping"/>
      </w:r>
      <w:r>
        <w:rPr>
          <w:rFonts w:ascii="宋体"/>
          <w:b/>
          <w:bCs/>
          <w:color w:val="auto"/>
          <w:sz w:val="24"/>
          <w:szCs w:val="24"/>
          <w:highlight w:val="none"/>
        </w:rPr>
        <w:br w:type="page"/>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投标文件封面格式：</w:t>
      </w:r>
    </w:p>
    <w:p>
      <w:pPr>
        <w:snapToGrid w:val="0"/>
        <w:rPr>
          <w:rFonts w:ascii="宋体"/>
          <w:b/>
          <w:bCs/>
          <w:color w:val="auto"/>
          <w:sz w:val="44"/>
          <w:szCs w:val="44"/>
          <w:highlight w:val="none"/>
        </w:rPr>
      </w:pPr>
      <w:r>
        <w:rPr>
          <w:rFonts w:hint="eastAsia" w:ascii="宋体" w:hAnsi="宋体" w:cs="宋体"/>
          <w:b/>
          <w:bCs/>
          <w:color w:val="auto"/>
          <w:sz w:val="44"/>
          <w:szCs w:val="44"/>
          <w:highlight w:val="none"/>
        </w:rPr>
        <w:t>正本</w:t>
      </w:r>
      <w:r>
        <w:rPr>
          <w:rFonts w:ascii="宋体" w:hAnsi="宋体" w:cs="宋体"/>
          <w:b/>
          <w:bCs/>
          <w:color w:val="auto"/>
          <w:sz w:val="44"/>
          <w:szCs w:val="44"/>
          <w:highlight w:val="none"/>
        </w:rPr>
        <w:t>/</w:t>
      </w:r>
      <w:r>
        <w:rPr>
          <w:rFonts w:hint="eastAsia" w:ascii="宋体" w:hAnsi="宋体" w:cs="宋体"/>
          <w:b/>
          <w:bCs/>
          <w:color w:val="auto"/>
          <w:sz w:val="44"/>
          <w:szCs w:val="44"/>
          <w:highlight w:val="none"/>
        </w:rPr>
        <w:t>或副本</w:t>
      </w:r>
    </w:p>
    <w:p>
      <w:pPr>
        <w:snapToGrid w:val="0"/>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rPr>
          <w:rFonts w:ascii="宋体"/>
          <w:color w:val="auto"/>
          <w:sz w:val="24"/>
          <w:szCs w:val="24"/>
          <w:highlight w:val="none"/>
        </w:rPr>
      </w:pP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标项：</w:t>
      </w:r>
    </w:p>
    <w:p>
      <w:pPr>
        <w:snapToGrid w:val="0"/>
        <w:ind w:firstLine="643" w:firstLineChars="200"/>
        <w:rPr>
          <w:rFonts w:ascii="宋体"/>
          <w:b/>
          <w:bCs/>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1" w:firstLineChars="416"/>
        <w:rPr>
          <w:rFonts w:ascii="宋体"/>
          <w:color w:val="auto"/>
          <w:sz w:val="32"/>
          <w:szCs w:val="32"/>
          <w:highlight w:val="none"/>
        </w:rPr>
      </w:pPr>
    </w:p>
    <w:p>
      <w:pPr>
        <w:pStyle w:val="7"/>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7"/>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7"/>
        <w:snapToGrid w:val="0"/>
        <w:ind w:firstLine="1285" w:firstLineChars="400"/>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年月日</w:t>
      </w:r>
    </w:p>
    <w:p>
      <w:pPr>
        <w:snapToGrid w:val="0"/>
        <w:rPr>
          <w:rFonts w:ascii="宋体"/>
          <w:color w:val="auto"/>
          <w:sz w:val="24"/>
          <w:szCs w:val="24"/>
          <w:highlight w:val="none"/>
        </w:rPr>
      </w:pPr>
      <w:r>
        <w:rPr>
          <w:rFonts w:ascii="宋体"/>
          <w:color w:val="auto"/>
          <w:sz w:val="24"/>
          <w:szCs w:val="24"/>
          <w:highlight w:val="none"/>
        </w:rPr>
        <w:br w:type="page"/>
      </w:r>
      <w:r>
        <w:rPr>
          <w:rFonts w:ascii="宋体" w:hAnsi="宋体" w:cs="宋体"/>
          <w:color w:val="auto"/>
          <w:sz w:val="24"/>
          <w:szCs w:val="24"/>
          <w:highlight w:val="none"/>
        </w:rPr>
        <w:t>3.</w:t>
      </w:r>
      <w:r>
        <w:rPr>
          <w:rFonts w:hint="eastAsia" w:ascii="宋体" w:hAnsi="宋体" w:cs="宋体"/>
          <w:b/>
          <w:bCs/>
          <w:color w:val="auto"/>
          <w:sz w:val="24"/>
          <w:szCs w:val="24"/>
          <w:highlight w:val="none"/>
        </w:rPr>
        <w:t>投标文件目录</w:t>
      </w:r>
    </w:p>
    <w:p>
      <w:pPr>
        <w:snapToGrid w:val="0"/>
        <w:rPr>
          <w:rFonts w:ascii="宋体"/>
          <w:color w:val="auto"/>
          <w:sz w:val="24"/>
          <w:szCs w:val="24"/>
          <w:highlight w:val="none"/>
        </w:rPr>
      </w:pPr>
    </w:p>
    <w:p>
      <w:pPr>
        <w:snapToGrid w:val="0"/>
        <w:jc w:val="left"/>
        <w:rPr>
          <w:rFonts w:ascii="宋体"/>
          <w:color w:val="auto"/>
          <w:sz w:val="24"/>
          <w:szCs w:val="24"/>
          <w:highlight w:val="none"/>
        </w:rPr>
      </w:pPr>
      <w:r>
        <w:rPr>
          <w:rFonts w:hint="eastAsia" w:ascii="宋体" w:hAnsi="宋体" w:cs="宋体"/>
          <w:color w:val="auto"/>
          <w:sz w:val="24"/>
          <w:szCs w:val="24"/>
          <w:highlight w:val="none"/>
        </w:rPr>
        <w:t>按照招标文件第三章“投标人须知”中“三之（一）投标文件的组成”的顺序编排</w:t>
      </w:r>
    </w:p>
    <w:p>
      <w:pPr>
        <w:snapToGrid w:val="0"/>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投标函格式：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投标函</w:t>
      </w:r>
    </w:p>
    <w:p>
      <w:pPr>
        <w:snapToGrid w:val="0"/>
        <w:jc w:val="center"/>
        <w:rPr>
          <w:rFonts w:ascii="宋体"/>
          <w:b/>
          <w:bCs/>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（招标采购单位名称）：</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根据贵方为项目的招标公告（项目编号：</w:t>
      </w:r>
      <w:r>
        <w:rPr>
          <w:rFonts w:ascii="宋体" w:hAnsi="宋体" w:cs="宋体"/>
          <w:color w:val="auto"/>
          <w:sz w:val="24"/>
          <w:szCs w:val="24"/>
          <w:highlight w:val="none"/>
        </w:rPr>
        <w:t>____</w:t>
      </w:r>
      <w:r>
        <w:rPr>
          <w:rFonts w:hint="eastAsia" w:ascii="宋体" w:hAnsi="宋体" w:cs="宋体"/>
          <w:color w:val="auto"/>
          <w:sz w:val="24"/>
          <w:szCs w:val="24"/>
          <w:highlight w:val="none"/>
        </w:rPr>
        <w:t>），签字代表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（全名）经正式授权并代表投标人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投标人名称）提交投标文件正本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据此函，签字代表宣布同意如下：</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pStyle w:val="25"/>
        <w:snapToGrid w:val="0"/>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、按投标报价明细表报价。</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投标人在投标之前已经与贵方进行了充分的沟通，完全理解并接受招标文件的各项规定和要求，对招标文件的合理性、合法性不再有异议。</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如中标，本投标文件至本项目合同履行完毕止均保持有效，本投标人将按“招标文件”及政府采购法律、法规的规定履行合同责任和义务。</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投标人同意按照贵方要求提供与投标有关的一切数据或资料。</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与本投标有关的一切正式往来信函请寄：</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rPr>
        <w:t>____________</w:t>
      </w:r>
      <w:r>
        <w:rPr>
          <w:rFonts w:hint="eastAsia" w:ascii="宋体" w:hAnsi="宋体" w:cs="宋体"/>
          <w:color w:val="auto"/>
          <w:sz w:val="24"/>
          <w:szCs w:val="24"/>
          <w:highlight w:val="none"/>
        </w:rPr>
        <w:t>邮编：</w:t>
      </w:r>
      <w:r>
        <w:rPr>
          <w:rFonts w:ascii="宋体" w:hAnsi="宋体" w:cs="宋体"/>
          <w:color w:val="auto"/>
          <w:sz w:val="24"/>
          <w:szCs w:val="24"/>
          <w:highlight w:val="none"/>
        </w:rPr>
        <w:t xml:space="preserve">__________   </w:t>
      </w:r>
      <w:r>
        <w:rPr>
          <w:rFonts w:hint="eastAsia" w:ascii="宋体" w:hAnsi="宋体" w:cs="宋体"/>
          <w:color w:val="auto"/>
          <w:sz w:val="24"/>
          <w:szCs w:val="24"/>
          <w:highlight w:val="none"/>
        </w:rPr>
        <w:t>电话：</w:t>
      </w:r>
      <w:r>
        <w:rPr>
          <w:rFonts w:ascii="宋体" w:hAnsi="宋体" w:cs="宋体"/>
          <w:color w:val="auto"/>
          <w:sz w:val="24"/>
          <w:szCs w:val="24"/>
          <w:highlight w:val="none"/>
        </w:rPr>
        <w:t>_____________</w:t>
      </w:r>
    </w:p>
    <w:p>
      <w:pPr>
        <w:snapToGrid w:val="0"/>
        <w:ind w:firstLine="480" w:firstLineChars="200"/>
        <w:rPr>
          <w:rFonts w:ascii="宋体"/>
          <w:color w:val="auto"/>
          <w:sz w:val="24"/>
          <w:szCs w:val="24"/>
          <w:highlight w:val="none"/>
        </w:rPr>
      </w:pP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___________   </w:t>
      </w: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_________ </w:t>
      </w:r>
      <w:r>
        <w:rPr>
          <w:rFonts w:hint="eastAsia" w:ascii="宋体" w:hAnsi="宋体" w:cs="宋体"/>
          <w:color w:val="auto"/>
          <w:sz w:val="24"/>
          <w:szCs w:val="24"/>
          <w:highlight w:val="none"/>
        </w:rPr>
        <w:t>职务：</w:t>
      </w:r>
      <w:r>
        <w:rPr>
          <w:rFonts w:ascii="宋体" w:hAnsi="宋体" w:cs="宋体"/>
          <w:color w:val="auto"/>
          <w:sz w:val="24"/>
          <w:szCs w:val="24"/>
          <w:highlight w:val="none"/>
        </w:rPr>
        <w:t>_____________</w:t>
      </w:r>
    </w:p>
    <w:p>
      <w:pPr>
        <w:snapToGrid w:val="0"/>
        <w:rPr>
          <w:rFonts w:ascii="宋体"/>
          <w:color w:val="auto"/>
          <w:sz w:val="24"/>
          <w:szCs w:val="24"/>
          <w:highlight w:val="none"/>
        </w:rPr>
      </w:pP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投标人名称</w:t>
      </w:r>
      <w:r>
        <w:rPr>
          <w:rFonts w:ascii="宋体" w:hAnsi="宋体" w:cs="宋体"/>
          <w:color w:val="auto"/>
          <w:sz w:val="24"/>
          <w:szCs w:val="24"/>
          <w:highlight w:val="none"/>
        </w:rPr>
        <w:t>:_________________</w:t>
      </w: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开户银行：银行帐号：</w:t>
      </w:r>
    </w:p>
    <w:p>
      <w:pPr>
        <w:snapToGrid w:val="0"/>
        <w:jc w:val="center"/>
        <w:rPr>
          <w:rFonts w:ascii="宋体"/>
          <w:color w:val="auto"/>
          <w:sz w:val="24"/>
          <w:szCs w:val="24"/>
          <w:highlight w:val="none"/>
        </w:rPr>
      </w:pPr>
    </w:p>
    <w:p>
      <w:pPr>
        <w:snapToGrid w:val="0"/>
        <w:jc w:val="center"/>
        <w:rPr>
          <w:rFonts w:ascii="宋体"/>
          <w:color w:val="auto"/>
          <w:sz w:val="24"/>
          <w:szCs w:val="24"/>
          <w:highlight w:val="none"/>
        </w:rPr>
      </w:pPr>
    </w:p>
    <w:p>
      <w:pPr>
        <w:snapToGrid w:val="0"/>
        <w:ind w:firstLine="5040" w:firstLineChars="2100"/>
        <w:rPr>
          <w:rFonts w:ascii="宋体"/>
          <w:color w:val="auto"/>
          <w:sz w:val="24"/>
          <w:szCs w:val="24"/>
          <w:highlight w:val="none"/>
        </w:rPr>
      </w:pPr>
    </w:p>
    <w:p>
      <w:pPr>
        <w:snapToGrid w:val="0"/>
        <w:ind w:firstLine="1920" w:firstLineChars="800"/>
        <w:rPr>
          <w:rFonts w:ascii="宋体" w:hAnsi="宋体" w:cs="宋体"/>
          <w:color w:val="auto"/>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rPr>
          <w:rFonts w:ascii="宋体" w:cs="宋体"/>
          <w:color w:val="auto"/>
          <w:sz w:val="24"/>
          <w:szCs w:val="24"/>
          <w:highlight w:val="none"/>
        </w:rPr>
      </w:pPr>
      <w:r>
        <w:rPr>
          <w:rFonts w:hint="eastAsia" w:ascii="宋体" w:hAnsi="宋体" w:cs="宋体"/>
          <w:color w:val="auto"/>
          <w:sz w:val="24"/>
          <w:szCs w:val="24"/>
          <w:highlight w:val="none"/>
        </w:rPr>
        <w:t>（投标人属自然人的应由自然人签字并加盖指印，投标人若为其他组织形式无法定代表人的应由机构负责人签字或盖章）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widowControl/>
        <w:jc w:val="left"/>
        <w:rPr>
          <w:rFonts w:ascii="宋体"/>
          <w:color w:val="auto"/>
          <w:highlight w:val="none"/>
        </w:rPr>
      </w:pPr>
      <w:r>
        <w:rPr>
          <w:rFonts w:ascii="宋体"/>
          <w:color w:val="auto"/>
          <w:highlight w:val="none"/>
        </w:rPr>
        <w:br w:type="page"/>
      </w:r>
    </w:p>
    <w:p>
      <w:pPr>
        <w:snapToGrid w:val="0"/>
        <w:ind w:firstLine="2289" w:firstLineChars="950"/>
        <w:rPr>
          <w:rFonts w:ascii="宋体"/>
          <w:b/>
          <w:bCs/>
          <w:color w:val="auto"/>
          <w:sz w:val="24"/>
          <w:szCs w:val="24"/>
          <w:highlight w:val="none"/>
        </w:rPr>
      </w:pPr>
    </w:p>
    <w:p>
      <w:pPr>
        <w:snapToGrid w:val="0"/>
        <w:rPr>
          <w:rFonts w:ascii="宋体"/>
          <w:b/>
          <w:bCs/>
          <w:color w:val="auto"/>
          <w:sz w:val="24"/>
          <w:szCs w:val="24"/>
          <w:highlight w:val="none"/>
        </w:rPr>
      </w:pPr>
      <w:r>
        <w:rPr>
          <w:rFonts w:hint="eastAsia" w:ascii="宋体" w:hAnsi="宋体" w:cs="宋体"/>
          <w:b/>
          <w:bCs/>
          <w:color w:val="auto"/>
          <w:sz w:val="24"/>
          <w:szCs w:val="24"/>
          <w:highlight w:val="none"/>
        </w:rPr>
        <w:t>投标报价明细表格式：</w:t>
      </w:r>
    </w:p>
    <w:p>
      <w:pPr>
        <w:pStyle w:val="25"/>
        <w:snapToGrid w:val="0"/>
        <w:jc w:val="center"/>
        <w:rPr>
          <w:rFonts w:hAnsi="宋体" w:cs="Times New Roman"/>
          <w:b/>
          <w:bCs/>
          <w:color w:val="auto"/>
          <w:sz w:val="32"/>
          <w:szCs w:val="32"/>
          <w:highlight w:val="none"/>
        </w:rPr>
      </w:pPr>
    </w:p>
    <w:p>
      <w:pPr>
        <w:pStyle w:val="25"/>
        <w:snapToGrid w:val="0"/>
        <w:jc w:val="center"/>
        <w:rPr>
          <w:rFonts w:hAnsi="宋体" w:cs="Times New Roman"/>
          <w:b/>
          <w:bCs/>
          <w:color w:val="auto"/>
          <w:sz w:val="32"/>
          <w:szCs w:val="32"/>
          <w:highlight w:val="none"/>
        </w:rPr>
      </w:pPr>
      <w:r>
        <w:rPr>
          <w:rFonts w:hint="eastAsia" w:hAnsi="宋体"/>
          <w:b/>
          <w:bCs/>
          <w:color w:val="auto"/>
          <w:sz w:val="32"/>
          <w:szCs w:val="32"/>
          <w:highlight w:val="none"/>
        </w:rPr>
        <w:t>投标报价明细表</w:t>
      </w:r>
    </w:p>
    <w:tbl>
      <w:tblPr>
        <w:tblStyle w:val="44"/>
        <w:tblW w:w="885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2065"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08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6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517"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957"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ind w:firstLine="480" w:firstLineChars="200"/>
        <w:rPr>
          <w:rFonts w:ascii="仿宋_GB2312" w:eastAsia="仿宋_GB2312"/>
          <w:color w:val="auto"/>
          <w:sz w:val="24"/>
          <w:szCs w:val="24"/>
          <w:highlight w:val="none"/>
        </w:rPr>
      </w:pPr>
    </w:p>
    <w:p>
      <w:pPr>
        <w:ind w:firstLine="480" w:firstLineChars="200"/>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ind w:firstLine="480" w:firstLineChars="200"/>
        <w:rPr>
          <w:rFonts w:ascii="仿宋_GB2312" w:eastAsia="仿宋_GB2312"/>
          <w:color w:val="auto"/>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pStyle w:val="25"/>
        <w:ind w:firstLine="602" w:firstLineChars="250"/>
        <w:rPr>
          <w:rFonts w:hAnsi="宋体" w:cs="Times New Roman"/>
          <w:b/>
          <w:bCs/>
          <w:color w:val="auto"/>
          <w:sz w:val="24"/>
          <w:szCs w:val="24"/>
          <w:highlight w:val="none"/>
        </w:rPr>
      </w:pPr>
    </w:p>
    <w:p>
      <w:pPr>
        <w:tabs>
          <w:tab w:val="left" w:pos="3870"/>
          <w:tab w:val="left" w:pos="4085"/>
        </w:tabs>
        <w:snapToGrid w:val="0"/>
        <w:ind w:firstLine="480" w:firstLineChars="200"/>
        <w:rPr>
          <w:rFonts w:ascii="宋体"/>
          <w:color w:val="auto"/>
          <w:highlight w:val="none"/>
        </w:rPr>
      </w:pPr>
      <w:r>
        <w:rPr>
          <w:rFonts w:hAnsi="宋体"/>
          <w:color w:val="auto"/>
          <w:sz w:val="24"/>
          <w:szCs w:val="24"/>
          <w:highlight w:val="none"/>
        </w:rPr>
        <w:br w:type="page"/>
      </w:r>
    </w:p>
    <w:p>
      <w:pPr>
        <w:rPr>
          <w:rFonts w:ascii="宋体"/>
          <w:color w:val="auto"/>
          <w:highlight w:val="none"/>
        </w:rPr>
      </w:pPr>
    </w:p>
    <w:p>
      <w:pPr>
        <w:tabs>
          <w:tab w:val="left" w:pos="3870"/>
          <w:tab w:val="left" w:pos="4085"/>
        </w:tabs>
        <w:snapToGrid w:val="0"/>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投标声明书格式：</w:t>
      </w:r>
    </w:p>
    <w:p>
      <w:pPr>
        <w:snapToGrid w:val="0"/>
        <w:jc w:val="left"/>
        <w:rPr>
          <w:rFonts w:ascii="宋体"/>
          <w:color w:val="auto"/>
          <w:sz w:val="24"/>
          <w:szCs w:val="24"/>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投标声明书</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spacing w:line="460" w:lineRule="exact"/>
        <w:rPr>
          <w:rFonts w:ascii="宋体"/>
          <w:color w:val="auto"/>
          <w:highlight w:val="none"/>
        </w:rPr>
      </w:pPr>
      <w:r>
        <w:rPr>
          <w:rFonts w:hint="eastAsia" w:ascii="宋体" w:hAnsi="宋体" w:cs="宋体"/>
          <w:color w:val="auto"/>
          <w:highlight w:val="none"/>
        </w:rPr>
        <w:t>致：（招标采购单位名称）：</w:t>
      </w:r>
    </w:p>
    <w:p>
      <w:pPr>
        <w:snapToGrid w:val="0"/>
        <w:spacing w:line="460" w:lineRule="exact"/>
        <w:ind w:firstLine="630" w:firstLineChars="300"/>
        <w:rPr>
          <w:rFonts w:ascii="宋体"/>
          <w:color w:val="auto"/>
          <w:highlight w:val="none"/>
        </w:rPr>
      </w:pPr>
      <w:r>
        <w:rPr>
          <w:rFonts w:ascii="宋体" w:hAnsi="宋体" w:cs="宋体"/>
          <w:color w:val="auto"/>
          <w:highlight w:val="none"/>
        </w:rPr>
        <w:t>______</w:t>
      </w:r>
      <w:r>
        <w:rPr>
          <w:rFonts w:hint="eastAsia" w:ascii="宋体" w:hAnsi="宋体" w:cs="宋体"/>
          <w:color w:val="auto"/>
          <w:highlight w:val="none"/>
        </w:rPr>
        <w:t>（投标人名称）系中华人民共和国合法企业，经营地址。</w:t>
      </w:r>
    </w:p>
    <w:p>
      <w:pPr>
        <w:snapToGrid w:val="0"/>
        <w:spacing w:line="460" w:lineRule="exact"/>
        <w:ind w:firstLine="645"/>
        <w:rPr>
          <w:rFonts w:ascii="宋体"/>
          <w:color w:val="auto"/>
          <w:highlight w:val="none"/>
        </w:rPr>
      </w:pPr>
      <w:r>
        <w:rPr>
          <w:rFonts w:hint="eastAsia" w:ascii="宋体" w:hAnsi="宋体" w:cs="宋体"/>
          <w:color w:val="auto"/>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我方向贵方提交的所有投标文件、资料都是准确的和真实的。</w:t>
      </w:r>
    </w:p>
    <w:p>
      <w:pPr>
        <w:snapToGrid w:val="0"/>
        <w:spacing w:line="46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我方在参加政府采购活动前</w:t>
      </w:r>
      <w:r>
        <w:rPr>
          <w:rFonts w:ascii="宋体" w:hAnsi="宋体" w:cs="宋体"/>
          <w:color w:val="auto"/>
          <w:highlight w:val="none"/>
        </w:rPr>
        <w:t>3</w:t>
      </w:r>
      <w:r>
        <w:rPr>
          <w:rFonts w:hint="eastAsia" w:ascii="宋体" w:hAnsi="宋体" w:cs="宋体"/>
          <w:color w:val="auto"/>
          <w:highlight w:val="none"/>
        </w:rPr>
        <w:t>年内在经营活动中</w:t>
      </w:r>
      <w:r>
        <w:rPr>
          <w:rFonts w:hint="eastAsia" w:cs="宋体"/>
          <w:color w:val="auto"/>
          <w:highlight w:val="none"/>
          <w:u w:val="single"/>
        </w:rPr>
        <w:t>（填</w:t>
      </w:r>
      <w:r>
        <w:rPr>
          <w:rFonts w:hint="eastAsia" w:ascii="宋体" w:hAnsi="宋体" w:cs="宋体"/>
          <w:color w:val="auto"/>
          <w:highlight w:val="none"/>
          <w:u w:val="single"/>
        </w:rPr>
        <w:t>没有或有</w:t>
      </w:r>
      <w:r>
        <w:rPr>
          <w:rFonts w:hint="eastAsia" w:cs="宋体"/>
          <w:color w:val="auto"/>
          <w:highlight w:val="none"/>
          <w:u w:val="single"/>
        </w:rPr>
        <w:t>）</w:t>
      </w:r>
      <w:r>
        <w:rPr>
          <w:rFonts w:hint="eastAsia" w:ascii="宋体" w:hAnsi="宋体" w:cs="宋体"/>
          <w:color w:val="auto"/>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、我方在“信用中国”或“中国政府采购网”的被列为失信被执行人、重大税收违法案件当事人名单、政府采购严重违法失信行为记录名单情况：</w:t>
      </w:r>
      <w:r>
        <w:rPr>
          <w:rFonts w:hint="eastAsia" w:cs="宋体"/>
          <w:color w:val="auto"/>
          <w:highlight w:val="none"/>
        </w:rPr>
        <w:t>。</w:t>
      </w:r>
    </w:p>
    <w:p>
      <w:pPr>
        <w:snapToGrid w:val="0"/>
        <w:spacing w:line="460" w:lineRule="exact"/>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以上事项如有虚假或隐瞒，我方愿意承担一切后果，并不再寻求任何旨在减轻或免除法律责任的辩解。</w:t>
      </w:r>
    </w:p>
    <w:p>
      <w:pPr>
        <w:pStyle w:val="22"/>
        <w:tabs>
          <w:tab w:val="left" w:pos="939"/>
        </w:tabs>
        <w:snapToGrid w:val="0"/>
        <w:spacing w:line="460" w:lineRule="exact"/>
        <w:ind w:left="401" w:leftChars="0" w:hanging="401" w:hangingChars="191"/>
        <w:rPr>
          <w:rFonts w:ascii="宋体"/>
          <w:color w:val="auto"/>
          <w:sz w:val="21"/>
          <w:szCs w:val="21"/>
          <w:highlight w:val="none"/>
        </w:rPr>
      </w:pPr>
    </w:p>
    <w:p>
      <w:pPr>
        <w:pStyle w:val="22"/>
        <w:tabs>
          <w:tab w:val="left" w:pos="939"/>
        </w:tabs>
        <w:snapToGrid w:val="0"/>
        <w:spacing w:line="420" w:lineRule="exact"/>
        <w:ind w:left="401" w:leftChars="0" w:hanging="401" w:hangingChars="191"/>
        <w:rPr>
          <w:rFonts w:ascii="宋体"/>
          <w:color w:val="auto"/>
          <w:sz w:val="21"/>
          <w:szCs w:val="21"/>
          <w:highlight w:val="none"/>
        </w:rPr>
      </w:pPr>
    </w:p>
    <w:p>
      <w:pPr>
        <w:pStyle w:val="22"/>
        <w:tabs>
          <w:tab w:val="left" w:pos="939"/>
        </w:tabs>
        <w:snapToGrid w:val="0"/>
        <w:spacing w:line="420" w:lineRule="exact"/>
        <w:ind w:left="401" w:leftChars="0" w:hanging="401" w:hangingChars="191"/>
        <w:rPr>
          <w:rFonts w:ascii="宋体"/>
          <w:color w:val="auto"/>
          <w:sz w:val="21"/>
          <w:szCs w:val="21"/>
          <w:highlight w:val="none"/>
        </w:rPr>
      </w:pPr>
    </w:p>
    <w:p>
      <w:pPr>
        <w:pStyle w:val="22"/>
        <w:tabs>
          <w:tab w:val="left" w:pos="939"/>
        </w:tabs>
        <w:snapToGrid w:val="0"/>
        <w:spacing w:line="420" w:lineRule="exact"/>
        <w:ind w:left="401" w:leftChars="0" w:hanging="401" w:hangingChars="191"/>
        <w:rPr>
          <w:rFonts w:ascii="宋体"/>
          <w:color w:val="auto"/>
          <w:sz w:val="21"/>
          <w:szCs w:val="21"/>
          <w:highlight w:val="none"/>
        </w:rPr>
      </w:pPr>
    </w:p>
    <w:p>
      <w:pPr>
        <w:pStyle w:val="121"/>
        <w:snapToGrid w:val="0"/>
        <w:spacing w:line="420" w:lineRule="exact"/>
        <w:ind w:firstLine="200"/>
        <w:rPr>
          <w:rFonts w:ascii="宋体" w:cs="Times New Roman"/>
          <w:color w:val="auto"/>
          <w:sz w:val="21"/>
          <w:szCs w:val="21"/>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snapToGrid w:val="0"/>
        <w:jc w:val="left"/>
        <w:rPr>
          <w:rFonts w:ascii="宋体"/>
          <w:color w:val="auto"/>
          <w:highlight w:val="none"/>
        </w:rPr>
      </w:pPr>
    </w:p>
    <w:p>
      <w:pPr>
        <w:widowControl/>
        <w:jc w:val="left"/>
        <w:rPr>
          <w:rFonts w:ascii="宋体"/>
          <w:b/>
          <w:bCs/>
          <w:color w:val="auto"/>
          <w:kern w:val="0"/>
          <w:sz w:val="36"/>
          <w:szCs w:val="36"/>
          <w:highlight w:val="none"/>
        </w:rPr>
      </w:pPr>
      <w:r>
        <w:rPr>
          <w:rFonts w:ascii="宋体"/>
          <w:b/>
          <w:bCs/>
          <w:color w:val="auto"/>
          <w:kern w:val="0"/>
          <w:sz w:val="36"/>
          <w:szCs w:val="36"/>
          <w:highlight w:val="none"/>
        </w:rPr>
        <w:br w:type="page"/>
      </w:r>
    </w:p>
    <w:p>
      <w:pPr>
        <w:widowControl/>
        <w:shd w:val="clear" w:color="auto"/>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投标人参加政府采购活动前</w:t>
      </w:r>
      <w:r>
        <w:rPr>
          <w:rFonts w:ascii="宋体" w:hAnsi="宋体" w:cs="宋体"/>
          <w:b/>
          <w:bCs/>
          <w:color w:val="auto"/>
          <w:kern w:val="0"/>
          <w:sz w:val="36"/>
          <w:szCs w:val="36"/>
          <w:highlight w:val="none"/>
        </w:rPr>
        <w:t>3</w:t>
      </w:r>
      <w:r>
        <w:rPr>
          <w:rFonts w:hint="eastAsia" w:ascii="宋体" w:hAnsi="宋体" w:cs="宋体"/>
          <w:b/>
          <w:bCs/>
          <w:color w:val="auto"/>
          <w:kern w:val="0"/>
          <w:sz w:val="36"/>
          <w:szCs w:val="36"/>
          <w:highlight w:val="none"/>
        </w:rPr>
        <w:t>年内在经营活动中没有重大违法记录的声明</w:t>
      </w:r>
    </w:p>
    <w:p>
      <w:pPr>
        <w:widowControl/>
        <w:shd w:val="clear" w:color="auto"/>
        <w:spacing w:line="360" w:lineRule="auto"/>
        <w:jc w:val="left"/>
        <w:rPr>
          <w:rFonts w:ascii="宋体"/>
          <w:color w:val="auto"/>
          <w:kern w:val="0"/>
          <w:sz w:val="24"/>
          <w:szCs w:val="24"/>
          <w:highlight w:val="none"/>
        </w:rPr>
      </w:pPr>
    </w:p>
    <w:p>
      <w:pPr>
        <w:widowControl/>
        <w:shd w:val="clear" w:color="auto"/>
        <w:spacing w:line="360" w:lineRule="auto"/>
        <w:jc w:val="left"/>
        <w:rPr>
          <w:rFonts w:ascii="宋体"/>
          <w:color w:val="auto"/>
          <w:kern w:val="0"/>
          <w:sz w:val="24"/>
          <w:szCs w:val="24"/>
          <w:highlight w:val="none"/>
        </w:rPr>
      </w:pPr>
    </w:p>
    <w:p>
      <w:pPr>
        <w:widowControl/>
        <w:shd w:val="clear" w:color="auto"/>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致：广西建设工程机电设备招标中心有限公司</w:t>
      </w:r>
    </w:p>
    <w:p>
      <w:pPr>
        <w:widowControl/>
        <w:shd w:val="clear" w:color="auto"/>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本公司郑重声明，在参加投标人参加政府采购活动前</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年内在经营活动中没有重大违法记录（重大违法记录指因违法经营收到刑事处罚或者责令停产停业、吊销许可证或者执照、较大数额罚</w:t>
      </w:r>
      <w:r>
        <w:rPr>
          <w:rFonts w:hint="eastAsia" w:ascii="宋体" w:hAnsi="宋体" w:cs="宋体"/>
          <w:color w:val="auto"/>
          <w:sz w:val="24"/>
          <w:szCs w:val="24"/>
          <w:highlight w:val="none"/>
        </w:rPr>
        <w:t>款等行政处</w:t>
      </w:r>
      <w:r>
        <w:rPr>
          <w:rFonts w:hint="eastAsia" w:ascii="宋体" w:hAnsi="宋体" w:cs="宋体"/>
          <w:color w:val="auto"/>
          <w:kern w:val="0"/>
          <w:sz w:val="24"/>
          <w:szCs w:val="24"/>
          <w:highlight w:val="none"/>
        </w:rPr>
        <w:t>罚）</w:t>
      </w:r>
    </w:p>
    <w:p>
      <w:pPr>
        <w:widowControl/>
        <w:shd w:val="clear" w:color="auto"/>
        <w:spacing w:line="360" w:lineRule="auto"/>
        <w:ind w:firstLine="480"/>
        <w:jc w:val="left"/>
        <w:rPr>
          <w:rFonts w:ascii="宋体"/>
          <w:color w:val="auto"/>
          <w:kern w:val="0"/>
          <w:sz w:val="24"/>
          <w:szCs w:val="24"/>
          <w:highlight w:val="none"/>
        </w:rPr>
      </w:pPr>
    </w:p>
    <w:p>
      <w:pPr>
        <w:widowControl/>
        <w:shd w:val="clear" w:color="auto"/>
        <w:spacing w:line="360" w:lineRule="auto"/>
        <w:ind w:firstLine="480"/>
        <w:jc w:val="left"/>
        <w:rPr>
          <w:rFonts w:ascii="宋体"/>
          <w:color w:val="auto"/>
          <w:kern w:val="0"/>
          <w:sz w:val="24"/>
          <w:szCs w:val="24"/>
          <w:highlight w:val="none"/>
        </w:rPr>
      </w:pPr>
    </w:p>
    <w:p>
      <w:pPr>
        <w:widowControl/>
        <w:shd w:val="clear" w:color="auto"/>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法定代表人身份证明书格式：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法定代表人身份证明书</w:t>
      </w:r>
    </w:p>
    <w:p>
      <w:pPr>
        <w:ind w:firstLine="840" w:firstLineChars="400"/>
        <w:rPr>
          <w:rFonts w:ascii="宋体"/>
          <w:color w:val="auto"/>
          <w:highlight w:val="none"/>
          <w:u w:val="single"/>
        </w:rPr>
      </w:pPr>
    </w:p>
    <w:p>
      <w:pPr>
        <w:ind w:firstLine="960" w:firstLineChars="400"/>
        <w:rPr>
          <w:rFonts w:ascii="宋体"/>
          <w:color w:val="auto"/>
          <w:sz w:val="24"/>
          <w:szCs w:val="24"/>
          <w:highlight w:val="none"/>
        </w:rPr>
      </w:pPr>
      <w:r>
        <w:rPr>
          <w:rFonts w:hint="eastAsia" w:ascii="宋体" w:hAnsi="宋体" w:cs="宋体"/>
          <w:color w:val="auto"/>
          <w:sz w:val="24"/>
          <w:szCs w:val="24"/>
          <w:highlight w:val="none"/>
          <w:u w:val="single"/>
        </w:rPr>
        <w:t>（法定代表人名字）</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任职务，是</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的法定代表人。</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特此证明。</w:t>
      </w:r>
    </w:p>
    <w:p>
      <w:pPr>
        <w:rPr>
          <w:rFonts w:ascii="宋体"/>
          <w:color w:val="auto"/>
          <w:sz w:val="24"/>
          <w:szCs w:val="24"/>
          <w:highlight w:val="none"/>
        </w:rPr>
      </w:pPr>
    </w:p>
    <w:p>
      <w:pPr>
        <w:rPr>
          <w:rFonts w:ascii="宋体"/>
          <w:color w:val="auto"/>
          <w:sz w:val="24"/>
          <w:szCs w:val="24"/>
          <w:highlight w:val="none"/>
        </w:rPr>
      </w:pPr>
    </w:p>
    <w:p>
      <w:pPr>
        <w:rPr>
          <w:rFonts w:ascii="宋体"/>
          <w:color w:val="auto"/>
          <w:sz w:val="24"/>
          <w:szCs w:val="24"/>
          <w:highlight w:val="none"/>
          <w:u w:val="single"/>
        </w:rPr>
      </w:pPr>
      <w:r>
        <w:rPr>
          <w:rFonts w:hint="eastAsia" w:ascii="宋体" w:hAnsi="宋体" w:cs="宋体"/>
          <w:color w:val="auto"/>
          <w:sz w:val="24"/>
          <w:szCs w:val="24"/>
          <w:highlight w:val="none"/>
        </w:rPr>
        <w:t>单位名称：</w:t>
      </w:r>
    </w:p>
    <w:p>
      <w:pPr>
        <w:rPr>
          <w:rFonts w:ascii="宋体"/>
          <w:color w:val="auto"/>
          <w:sz w:val="24"/>
          <w:szCs w:val="24"/>
          <w:highlight w:val="none"/>
        </w:rPr>
      </w:pPr>
      <w:r>
        <w:rPr>
          <w:rFonts w:hint="eastAsia" w:ascii="宋体" w:hAnsi="宋体" w:cs="宋体"/>
          <w:color w:val="auto"/>
          <w:sz w:val="24"/>
          <w:szCs w:val="24"/>
          <w:highlight w:val="none"/>
        </w:rPr>
        <w:t>（单位公章）</w:t>
      </w:r>
    </w:p>
    <w:p>
      <w:pPr>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法定代表人身份证号码：</w:t>
      </w:r>
    </w:p>
    <w:p>
      <w:pPr>
        <w:ind w:firstLine="360" w:firstLineChars="150"/>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住址：</w:t>
      </w:r>
    </w:p>
    <w:p>
      <w:pPr>
        <w:pStyle w:val="25"/>
        <w:jc w:val="center"/>
        <w:rPr>
          <w:rFonts w:hAnsi="宋体" w:cs="Times New Roman"/>
          <w:color w:val="auto"/>
          <w:sz w:val="24"/>
          <w:szCs w:val="24"/>
          <w:highlight w:val="none"/>
        </w:rPr>
      </w:pPr>
    </w:p>
    <w:p>
      <w:pPr>
        <w:snapToGrid w:val="0"/>
        <w:ind w:firstLine="470" w:firstLineChars="196"/>
        <w:jc w:val="center"/>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投标人法定代表人身份证复印件</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投标人法定代表人身份证复印件：</w:t>
      </w:r>
    </w:p>
    <w:p>
      <w:pPr>
        <w:rPr>
          <w:rFonts w:ascii="宋体"/>
          <w:color w:val="auto"/>
          <w:highlight w:val="none"/>
        </w:rPr>
      </w:pPr>
    </w:p>
    <w:tbl>
      <w:tblPr>
        <w:tblStyle w:val="44"/>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44"/>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p>
            <w:pPr>
              <w:jc w:val="center"/>
              <w:rPr>
                <w:rFonts w:ascii="宋体"/>
                <w:color w:val="auto"/>
                <w:highlight w:val="none"/>
              </w:rPr>
            </w:pP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法定代表人签名（签章）：</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投标单位（公章）：</w:t>
      </w:r>
    </w:p>
    <w:p>
      <w:pPr>
        <w:rPr>
          <w:rFonts w:ascii="宋体"/>
          <w:color w:val="auto"/>
          <w:highlight w:val="none"/>
        </w:rPr>
      </w:pPr>
    </w:p>
    <w:p>
      <w:pPr>
        <w:ind w:firstLine="735" w:firstLineChars="350"/>
        <w:rPr>
          <w:rFonts w:ascii="宋体"/>
          <w:b/>
          <w:bCs/>
          <w:color w:val="auto"/>
          <w:sz w:val="24"/>
          <w:szCs w:val="24"/>
          <w:highlight w:val="none"/>
        </w:rPr>
      </w:pPr>
      <w:r>
        <w:rPr>
          <w:rFonts w:hint="eastAsia" w:ascii="宋体" w:hAnsi="宋体" w:cs="宋体"/>
          <w:color w:val="auto"/>
          <w:highlight w:val="none"/>
        </w:rPr>
        <w:t>年月日</w:t>
      </w:r>
      <w:r>
        <w:rPr>
          <w:rFonts w:ascii="宋体"/>
          <w:color w:val="auto"/>
          <w:highlight w:val="none"/>
        </w:rPr>
        <w:br w:type="page"/>
      </w:r>
      <w:r>
        <w:rPr>
          <w:rFonts w:hint="eastAsia" w:ascii="宋体" w:hAnsi="宋体" w:cs="宋体"/>
          <w:b/>
          <w:bCs/>
          <w:color w:val="auto"/>
          <w:sz w:val="24"/>
          <w:szCs w:val="24"/>
          <w:highlight w:val="none"/>
        </w:rPr>
        <w:t>授权委托书格式：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授权委托书（格式一）</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我（姓名）系（投标人名称）的法定代表人（投标人若为其他组织形式无法定代表人的应为机构负责人），现授权委托本单位在职职工（姓名）以我方的名义参加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项目的投标活动，并代表我方全权办理针对上述项目的投标、开标、评标、签约等具体事务和签署相关文件。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我方对被授权人的签名事项负全部责任。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所在部门：</w:t>
      </w:r>
    </w:p>
    <w:p>
      <w:pPr>
        <w:snapToGrid w:val="0"/>
        <w:rPr>
          <w:rFonts w:ascii="宋体"/>
          <w:color w:val="auto"/>
          <w:sz w:val="24"/>
          <w:szCs w:val="24"/>
          <w:highlight w:val="none"/>
        </w:rPr>
      </w:pPr>
      <w:r>
        <w:rPr>
          <w:rFonts w:hint="eastAsia" w:ascii="宋体" w:hAnsi="宋体" w:cs="宋体"/>
          <w:color w:val="auto"/>
          <w:sz w:val="24"/>
          <w:szCs w:val="24"/>
          <w:highlight w:val="none"/>
        </w:rPr>
        <w:t>职务：</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法定代表人（签字或盖章）：</w:t>
      </w: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投标人公章：</w:t>
      </w:r>
    </w:p>
    <w:p>
      <w:pPr>
        <w:snapToGrid w:val="0"/>
        <w:ind w:firstLine="470" w:firstLineChars="196"/>
        <w:jc w:val="left"/>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rPr>
          <w:rFonts w:ascii="宋体"/>
          <w:color w:val="auto"/>
          <w:highlight w:val="none"/>
        </w:rPr>
      </w:pPr>
    </w:p>
    <w:p>
      <w:pPr>
        <w:rPr>
          <w:rFonts w:ascii="宋体"/>
          <w:color w:val="auto"/>
          <w:highlight w:val="none"/>
        </w:rPr>
      </w:pP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授权委托书（格式二）</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我（姓名）系自然人，现授权委托（姓名）以本人名义参加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项目的投标活动，并代表本人全权办理针对上述项目的投标、开标、评标、签约等具体事务和签署相关文件。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本人对被授权人的签名事项负全部责任。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3000" w:firstLineChars="1250"/>
        <w:rPr>
          <w:rFonts w:ascii="宋体"/>
          <w:color w:val="auto"/>
          <w:sz w:val="24"/>
          <w:szCs w:val="24"/>
          <w:highlight w:val="none"/>
        </w:rPr>
      </w:pPr>
      <w:r>
        <w:rPr>
          <w:rFonts w:hint="eastAsia" w:ascii="宋体" w:hAnsi="宋体" w:cs="宋体"/>
          <w:color w:val="auto"/>
          <w:sz w:val="24"/>
          <w:szCs w:val="24"/>
          <w:highlight w:val="none"/>
        </w:rPr>
        <w:t>自然人签名并在签名处加盖指印：</w:t>
      </w:r>
    </w:p>
    <w:p>
      <w:pPr>
        <w:snapToGrid w:val="0"/>
        <w:ind w:firstLine="5400" w:firstLineChars="2250"/>
        <w:rPr>
          <w:rFonts w:ascii="宋体"/>
          <w:color w:val="auto"/>
          <w:sz w:val="24"/>
          <w:szCs w:val="24"/>
          <w:highlight w:val="none"/>
        </w:rPr>
      </w:pPr>
    </w:p>
    <w:p>
      <w:pPr>
        <w:snapToGrid w:val="0"/>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highlight w:val="none"/>
        </w:rPr>
      </w:pPr>
      <w:r>
        <w:rPr>
          <w:rFonts w:ascii="宋体"/>
          <w:color w:val="auto"/>
          <w:highlight w:val="none"/>
        </w:rPr>
        <w:br w:type="page"/>
      </w:r>
      <w:r>
        <w:rPr>
          <w:rFonts w:hint="eastAsia" w:ascii="宋体" w:hAnsi="宋体" w:cs="宋体"/>
          <w:color w:val="auto"/>
          <w:highlight w:val="none"/>
        </w:rPr>
        <w:t>委托代理人身份证复印件：</w:t>
      </w:r>
    </w:p>
    <w:p>
      <w:pPr>
        <w:rPr>
          <w:rFonts w:ascii="宋体"/>
          <w:color w:val="auto"/>
          <w:highlight w:val="none"/>
        </w:rPr>
      </w:pPr>
    </w:p>
    <w:tbl>
      <w:tblPr>
        <w:tblStyle w:val="44"/>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44"/>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委托代理人签名：</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委托单位（公章，自然人除外）：</w:t>
      </w:r>
    </w:p>
    <w:p>
      <w:pPr>
        <w:widowControl/>
        <w:jc w:val="left"/>
        <w:rPr>
          <w:rFonts w:ascii="宋体"/>
          <w:b/>
          <w:bCs/>
          <w:color w:val="auto"/>
          <w:sz w:val="24"/>
          <w:szCs w:val="24"/>
          <w:highlight w:val="none"/>
        </w:rPr>
      </w:pPr>
      <w:r>
        <w:rPr>
          <w:rFonts w:ascii="宋体"/>
          <w:b/>
          <w:bCs/>
          <w:color w:val="auto"/>
          <w:sz w:val="24"/>
          <w:szCs w:val="24"/>
          <w:highlight w:val="none"/>
        </w:rPr>
        <w:br w:type="page"/>
      </w:r>
    </w:p>
    <w:p>
      <w:pPr>
        <w:widowControl/>
        <w:jc w:val="left"/>
        <w:rPr>
          <w:rFonts w:ascii="宋体"/>
          <w:b/>
          <w:bCs/>
          <w:color w:val="auto"/>
          <w:sz w:val="24"/>
          <w:szCs w:val="24"/>
          <w:highlight w:val="none"/>
        </w:rPr>
      </w:pPr>
    </w:p>
    <w:p>
      <w:pPr>
        <w:snapToGrid w:val="0"/>
        <w:jc w:val="left"/>
        <w:rPr>
          <w:rFonts w:ascii="宋体"/>
          <w:b/>
          <w:bCs/>
          <w:color w:val="auto"/>
          <w:sz w:val="24"/>
          <w:szCs w:val="24"/>
          <w:highlight w:val="none"/>
        </w:rPr>
      </w:pPr>
      <w:r>
        <w:rPr>
          <w:rFonts w:hint="eastAsia" w:ascii="宋体" w:hAnsi="宋体" w:cs="宋体"/>
          <w:b/>
          <w:bCs/>
          <w:color w:val="auto"/>
          <w:sz w:val="24"/>
          <w:szCs w:val="24"/>
          <w:highlight w:val="none"/>
        </w:rPr>
        <w:t>商务条款偏离表格式：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商务条款偏离表</w:t>
      </w:r>
    </w:p>
    <w:p>
      <w:pPr>
        <w:pStyle w:val="25"/>
        <w:spacing w:line="4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商务条款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的要求，详细填写相应的具体内容。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p>
      <w:pPr>
        <w:pStyle w:val="25"/>
        <w:ind w:firstLine="640" w:firstLineChars="200"/>
        <w:rPr>
          <w:rFonts w:ascii="Times New Roman" w:hAnsi="Times New Roman" w:eastAsia="仿宋_GB2312" w:cs="Times New Roman"/>
          <w:color w:val="auto"/>
          <w:sz w:val="32"/>
          <w:szCs w:val="32"/>
          <w:highlight w:val="none"/>
        </w:rPr>
      </w:pPr>
    </w:p>
    <w:tbl>
      <w:tblPr>
        <w:tblStyle w:val="44"/>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center"/>
          </w:tcPr>
          <w:p>
            <w:pPr>
              <w:pStyle w:val="25"/>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项号</w:t>
            </w:r>
          </w:p>
        </w:tc>
        <w:tc>
          <w:tcPr>
            <w:tcW w:w="4071" w:type="dxa"/>
            <w:vAlign w:val="center"/>
          </w:tcPr>
          <w:p>
            <w:pPr>
              <w:pStyle w:val="25"/>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招标文件的商务需求</w:t>
            </w:r>
          </w:p>
        </w:tc>
        <w:tc>
          <w:tcPr>
            <w:tcW w:w="3720" w:type="dxa"/>
            <w:vAlign w:val="center"/>
          </w:tcPr>
          <w:p>
            <w:pPr>
              <w:pStyle w:val="25"/>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投标文件承诺的商务条款</w:t>
            </w:r>
          </w:p>
        </w:tc>
        <w:tc>
          <w:tcPr>
            <w:tcW w:w="1320" w:type="dxa"/>
            <w:vAlign w:val="center"/>
          </w:tcPr>
          <w:p>
            <w:pPr>
              <w:pStyle w:val="25"/>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5"/>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一</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5"/>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5"/>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二</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5"/>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4071" w:type="dxa"/>
          </w:tcPr>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仿宋_GB2312"/>
                <w:color w:val="auto"/>
                <w:highlight w:val="none"/>
              </w:rPr>
              <w:t>合同签订日期：</w:t>
            </w:r>
            <w:r>
              <w:rPr>
                <w:rFonts w:ascii="Times New Roman" w:hAnsi="Times New Roman" w:eastAsia="仿宋_GB2312" w:cs="Times New Roman"/>
                <w:color w:val="auto"/>
                <w:highlight w:val="none"/>
              </w:rPr>
              <w:t xml:space="preserve">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3720" w:type="dxa"/>
          </w:tcPr>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仿宋_GB2312"/>
                <w:color w:val="auto"/>
                <w:highlight w:val="none"/>
              </w:rPr>
              <w:t>合同签订日期：</w:t>
            </w:r>
            <w:r>
              <w:rPr>
                <w:rFonts w:ascii="Times New Roman" w:hAnsi="Times New Roman" w:eastAsia="仿宋_GB2312" w:cs="Times New Roman"/>
                <w:color w:val="auto"/>
                <w:highlight w:val="none"/>
              </w:rPr>
              <w:t xml:space="preserve"> ……</w:t>
            </w:r>
          </w:p>
          <w:p>
            <w:pPr>
              <w:pStyle w:val="25"/>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1320" w:type="dxa"/>
          </w:tcPr>
          <w:p>
            <w:pPr>
              <w:pStyle w:val="25"/>
              <w:spacing w:line="300" w:lineRule="exact"/>
              <w:rPr>
                <w:rFonts w:ascii="Times New Roman" w:hAnsi="Times New Roman" w:eastAsia="仿宋_GB2312" w:cs="Times New Roman"/>
                <w:color w:val="auto"/>
                <w:highlight w:val="none"/>
              </w:rPr>
            </w:pPr>
          </w:p>
          <w:p>
            <w:pPr>
              <w:pStyle w:val="25"/>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Pr>
          <w:p>
            <w:pPr>
              <w:pStyle w:val="25"/>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u w:val="single"/>
              </w:rPr>
              <w:t>　　</w:t>
            </w:r>
            <w:r>
              <w:rPr>
                <w:rFonts w:hint="eastAsia" w:ascii="Times New Roman" w:hAnsi="Times New Roman" w:eastAsia="仿宋_GB2312" w:cs="仿宋_GB2312"/>
                <w:color w:val="auto"/>
                <w:highlight w:val="none"/>
              </w:rPr>
              <w:t>分标（此处有分标时填写具体分标号，无分标时填写</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无</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5"/>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5"/>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5"/>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widowControl/>
        <w:jc w:val="left"/>
        <w:rPr>
          <w:rFonts w:ascii="宋体"/>
          <w:b/>
          <w:bCs/>
          <w:color w:val="auto"/>
          <w:sz w:val="32"/>
          <w:szCs w:val="32"/>
          <w:highlight w:val="none"/>
        </w:rPr>
      </w:pPr>
      <w:r>
        <w:rPr>
          <w:rFonts w:hAnsi="宋体"/>
          <w:b/>
          <w:bCs/>
          <w:color w:val="auto"/>
          <w:sz w:val="32"/>
          <w:szCs w:val="32"/>
          <w:highlight w:val="none"/>
        </w:rPr>
        <w:br w:type="page"/>
      </w:r>
    </w:p>
    <w:p>
      <w:pPr>
        <w:pStyle w:val="25"/>
        <w:ind w:firstLine="380"/>
        <w:jc w:val="center"/>
        <w:rPr>
          <w:rFonts w:hAnsi="宋体" w:cs="Times New Roman"/>
          <w:b/>
          <w:bCs/>
          <w:color w:val="auto"/>
          <w:sz w:val="32"/>
          <w:szCs w:val="32"/>
          <w:highlight w:val="none"/>
        </w:rPr>
      </w:pPr>
    </w:p>
    <w:p>
      <w:pPr>
        <w:pStyle w:val="25"/>
        <w:ind w:firstLine="380"/>
        <w:jc w:val="center"/>
        <w:rPr>
          <w:rFonts w:hAnsi="宋体" w:cs="Times New Roman"/>
          <w:b/>
          <w:bCs/>
          <w:color w:val="auto"/>
          <w:sz w:val="32"/>
          <w:szCs w:val="32"/>
          <w:highlight w:val="none"/>
        </w:rPr>
      </w:pPr>
    </w:p>
    <w:p>
      <w:pPr>
        <w:pStyle w:val="25"/>
        <w:ind w:firstLine="380"/>
        <w:jc w:val="center"/>
        <w:rPr>
          <w:rFonts w:hAnsi="宋体" w:cs="Times New Roman"/>
          <w:b/>
          <w:bCs/>
          <w:color w:val="auto"/>
          <w:sz w:val="32"/>
          <w:szCs w:val="32"/>
          <w:highlight w:val="none"/>
        </w:rPr>
      </w:pPr>
      <w:r>
        <w:rPr>
          <w:rFonts w:hint="eastAsia" w:hAnsi="宋体"/>
          <w:b/>
          <w:bCs/>
          <w:color w:val="auto"/>
          <w:sz w:val="32"/>
          <w:szCs w:val="32"/>
          <w:highlight w:val="none"/>
        </w:rPr>
        <w:t>售后服务承诺书</w:t>
      </w:r>
    </w:p>
    <w:p>
      <w:pPr>
        <w:snapToGrid w:val="0"/>
        <w:jc w:val="center"/>
        <w:rPr>
          <w:rFonts w:ascii="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由投标人按《招标需求》及评分办法的要求自行分别填写</w:t>
      </w:r>
      <w:r>
        <w:rPr>
          <w:rFonts w:ascii="宋体" w:hAnsi="宋体" w:cs="宋体"/>
          <w:color w:val="auto"/>
          <w:sz w:val="24"/>
          <w:szCs w:val="24"/>
          <w:highlight w:val="none"/>
        </w:rPr>
        <w:t>)</w:t>
      </w:r>
    </w:p>
    <w:p>
      <w:pPr>
        <w:rPr>
          <w:rFonts w:ascii="宋体"/>
          <w:color w:val="auto"/>
          <w:highlight w:val="none"/>
        </w:rPr>
      </w:pPr>
      <w:r>
        <w:rPr>
          <w:rFonts w:ascii="宋体"/>
          <w:b/>
          <w:bCs/>
          <w:color w:val="auto"/>
          <w:sz w:val="24"/>
          <w:szCs w:val="24"/>
          <w:highlight w:val="none"/>
        </w:rPr>
        <w:br w:type="page"/>
      </w:r>
    </w:p>
    <w:p>
      <w:pPr>
        <w:snapToGrid w:val="0"/>
        <w:ind w:firstLine="472" w:firstLineChars="196"/>
        <w:jc w:val="center"/>
        <w:rPr>
          <w:rFonts w:ascii="宋体"/>
          <w:b/>
          <w:bCs/>
          <w:color w:val="auto"/>
          <w:sz w:val="24"/>
          <w:szCs w:val="24"/>
          <w:highlight w:val="none"/>
        </w:rPr>
      </w:pPr>
    </w:p>
    <w:p>
      <w:pPr>
        <w:snapToGrid w:val="0"/>
        <w:rPr>
          <w:rFonts w:ascii="宋体"/>
          <w:b/>
          <w:bCs/>
          <w:color w:val="auto"/>
          <w:highlight w:val="none"/>
        </w:rPr>
      </w:pPr>
      <w:r>
        <w:rPr>
          <w:rFonts w:hint="eastAsia" w:ascii="宋体" w:hAnsi="宋体" w:cs="宋体"/>
          <w:b/>
          <w:bCs/>
          <w:color w:val="auto"/>
          <w:sz w:val="24"/>
          <w:szCs w:val="24"/>
          <w:highlight w:val="none"/>
        </w:rPr>
        <w:t>投标人类似项目业绩情况一览表格式：</w:t>
      </w:r>
    </w:p>
    <w:tbl>
      <w:tblPr>
        <w:tblStyle w:val="44"/>
        <w:tblW w:w="9213"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991"/>
        <w:gridCol w:w="1786"/>
        <w:gridCol w:w="2364"/>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2" w:hRule="atLeast"/>
        </w:trPr>
        <w:tc>
          <w:tcPr>
            <w:tcW w:w="1860" w:type="dxa"/>
            <w:tcBorders>
              <w:top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采购单位名称</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服务名称</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采购数量</w:t>
            </w:r>
          </w:p>
        </w:tc>
        <w:tc>
          <w:tcPr>
            <w:tcW w:w="23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合同金额（万元）</w:t>
            </w:r>
          </w:p>
        </w:tc>
        <w:tc>
          <w:tcPr>
            <w:tcW w:w="1212" w:type="dxa"/>
            <w:tcBorders>
              <w:top w:val="single" w:color="auto" w:sz="4" w:space="0"/>
              <w:lef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bl>
    <w:p>
      <w:pPr>
        <w:snapToGrid w:val="0"/>
        <w:rPr>
          <w:rFonts w:ascii="宋体"/>
          <w:color w:val="auto"/>
          <w:sz w:val="24"/>
          <w:szCs w:val="24"/>
          <w:highlight w:val="none"/>
        </w:rPr>
      </w:pPr>
      <w:r>
        <w:rPr>
          <w:rFonts w:hint="eastAsia" w:ascii="宋体" w:hAnsi="宋体" w:cs="宋体"/>
          <w:color w:val="auto"/>
          <w:sz w:val="24"/>
          <w:szCs w:val="24"/>
          <w:highlight w:val="none"/>
        </w:rPr>
        <w:t>附：销售合同等其他证明复印件</w:t>
      </w: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widowControl/>
        <w:shd w:val="clear" w:color="auto"/>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1995" w:firstLineChars="950"/>
        <w:rPr>
          <w:rFonts w:ascii="宋体"/>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snapToGrid w:val="0"/>
        <w:jc w:val="center"/>
        <w:rPr>
          <w:rFonts w:ascii="宋体"/>
          <w:color w:val="auto"/>
          <w:sz w:val="24"/>
          <w:szCs w:val="24"/>
          <w:highlight w:val="none"/>
        </w:rPr>
      </w:pPr>
    </w:p>
    <w:p>
      <w:pPr>
        <w:jc w:val="center"/>
        <w:rPr>
          <w:rFonts w:ascii="宋体"/>
          <w:b/>
          <w:bCs/>
          <w:color w:val="auto"/>
          <w:sz w:val="28"/>
          <w:szCs w:val="28"/>
          <w:highlight w:val="none"/>
        </w:rPr>
      </w:pPr>
      <w:r>
        <w:rPr>
          <w:rFonts w:ascii="宋体"/>
          <w:b/>
          <w:bCs/>
          <w:color w:val="auto"/>
          <w:sz w:val="24"/>
          <w:szCs w:val="24"/>
          <w:highlight w:val="none"/>
        </w:rPr>
        <w:br w:type="page"/>
      </w:r>
      <w:r>
        <w:rPr>
          <w:rFonts w:hint="eastAsia" w:ascii="宋体" w:hAnsi="宋体" w:cs="宋体"/>
          <w:b/>
          <w:bCs/>
          <w:color w:val="auto"/>
          <w:sz w:val="28"/>
          <w:szCs w:val="28"/>
          <w:highlight w:val="none"/>
        </w:rPr>
        <w:t>技术资料表</w:t>
      </w:r>
    </w:p>
    <w:p>
      <w:pPr>
        <w:pStyle w:val="25"/>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请根据所投服务的实际技术参数，逐条对应本项目招标文件第二章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中的服务内容及要求详细填写相应的具体内容。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tbl>
      <w:tblPr>
        <w:tblStyle w:val="44"/>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eastAsia="仿宋_GB2312"/>
                <w:color w:val="auto"/>
                <w:highlight w:val="none"/>
              </w:rPr>
            </w:pPr>
            <w:r>
              <w:rPr>
                <w:rFonts w:hint="eastAsia" w:eastAsia="仿宋_GB2312" w:cs="仿宋_GB2312"/>
                <w:color w:val="auto"/>
                <w:highlight w:val="none"/>
              </w:rPr>
              <w:t>项号</w:t>
            </w:r>
          </w:p>
        </w:tc>
        <w:tc>
          <w:tcPr>
            <w:tcW w:w="3570" w:type="dxa"/>
            <w:gridSpan w:val="2"/>
            <w:vAlign w:val="center"/>
          </w:tcPr>
          <w:p>
            <w:pPr>
              <w:jc w:val="center"/>
              <w:rPr>
                <w:rFonts w:eastAsia="仿宋_GB2312"/>
                <w:color w:val="auto"/>
                <w:highlight w:val="none"/>
              </w:rPr>
            </w:pPr>
            <w:r>
              <w:rPr>
                <w:rFonts w:hint="eastAsia" w:eastAsia="仿宋_GB2312" w:cs="仿宋_GB2312"/>
                <w:color w:val="auto"/>
                <w:highlight w:val="none"/>
              </w:rPr>
              <w:t>招标文件需求</w:t>
            </w:r>
          </w:p>
        </w:tc>
        <w:tc>
          <w:tcPr>
            <w:tcW w:w="4813" w:type="dxa"/>
            <w:gridSpan w:val="2"/>
            <w:vAlign w:val="center"/>
          </w:tcPr>
          <w:p>
            <w:pPr>
              <w:jc w:val="center"/>
              <w:rPr>
                <w:rFonts w:eastAsia="仿宋_GB2312"/>
                <w:color w:val="auto"/>
                <w:highlight w:val="none"/>
              </w:rPr>
            </w:pPr>
            <w:r>
              <w:rPr>
                <w:rFonts w:hint="eastAsia" w:eastAsia="仿宋_GB2312" w:cs="仿宋_GB2312"/>
                <w:color w:val="auto"/>
                <w:highlight w:val="none"/>
              </w:rPr>
              <w:t>投标文件承诺</w:t>
            </w:r>
          </w:p>
        </w:tc>
        <w:tc>
          <w:tcPr>
            <w:tcW w:w="1168" w:type="dxa"/>
            <w:vMerge w:val="restart"/>
            <w:vAlign w:val="center"/>
          </w:tcPr>
          <w:p>
            <w:pPr>
              <w:rPr>
                <w:rFonts w:eastAsia="仿宋_GB2312"/>
                <w:color w:val="auto"/>
                <w:highlight w:val="none"/>
              </w:rPr>
            </w:pPr>
            <w:r>
              <w:rPr>
                <w:rFonts w:hint="eastAsia"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eastAsia="仿宋_GB2312"/>
                <w:color w:val="auto"/>
                <w:highlight w:val="none"/>
              </w:rPr>
            </w:pPr>
          </w:p>
        </w:tc>
        <w:tc>
          <w:tcPr>
            <w:tcW w:w="1260"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2310" w:type="dxa"/>
            <w:vAlign w:val="center"/>
          </w:tcPr>
          <w:p>
            <w:pPr>
              <w:jc w:val="center"/>
              <w:rPr>
                <w:rFonts w:eastAsia="仿宋_GB2312"/>
                <w:color w:val="auto"/>
                <w:highlight w:val="none"/>
              </w:rPr>
            </w:pPr>
            <w:r>
              <w:rPr>
                <w:rFonts w:hint="eastAsia" w:eastAsia="仿宋_GB2312" w:cs="仿宋_GB2312"/>
                <w:color w:val="auto"/>
                <w:highlight w:val="none"/>
              </w:rPr>
              <w:t>服务内容及要求</w:t>
            </w:r>
          </w:p>
        </w:tc>
        <w:tc>
          <w:tcPr>
            <w:tcW w:w="1516"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3297" w:type="dxa"/>
            <w:vAlign w:val="center"/>
          </w:tcPr>
          <w:p>
            <w:pPr>
              <w:jc w:val="center"/>
              <w:rPr>
                <w:rFonts w:eastAsia="仿宋_GB2312"/>
                <w:color w:val="auto"/>
                <w:highlight w:val="none"/>
              </w:rPr>
            </w:pPr>
            <w:r>
              <w:rPr>
                <w:rFonts w:hint="eastAsia" w:eastAsia="仿宋_GB2312" w:cs="仿宋_GB2312"/>
                <w:color w:val="auto"/>
                <w:highlight w:val="none"/>
              </w:rPr>
              <w:t>所提供服务的内容</w:t>
            </w:r>
          </w:p>
        </w:tc>
        <w:tc>
          <w:tcPr>
            <w:tcW w:w="1168" w:type="dxa"/>
            <w:vMerge w:val="continue"/>
            <w:vAlign w:val="center"/>
          </w:tcPr>
          <w:p>
            <w:pPr>
              <w:widowControl/>
              <w:jc w:val="left"/>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310" w:type="dxa"/>
            <w:vAlign w:val="center"/>
          </w:tcPr>
          <w:p>
            <w:pPr>
              <w:rPr>
                <w:rFonts w:eastAsia="仿宋_GB2312"/>
                <w:color w:val="auto"/>
                <w:highlight w:val="none"/>
              </w:rPr>
            </w:pPr>
          </w:p>
        </w:tc>
        <w:tc>
          <w:tcPr>
            <w:tcW w:w="1516" w:type="dxa"/>
            <w:vAlign w:val="center"/>
          </w:tcPr>
          <w:p>
            <w:pPr>
              <w:rPr>
                <w:rFonts w:eastAsia="仿宋_GB2312"/>
                <w:color w:val="auto"/>
                <w:highlight w:val="none"/>
              </w:rPr>
            </w:pPr>
          </w:p>
        </w:tc>
        <w:tc>
          <w:tcPr>
            <w:tcW w:w="3297" w:type="dxa"/>
            <w:vAlign w:val="center"/>
          </w:tcPr>
          <w:p>
            <w:pPr>
              <w:rPr>
                <w:rFonts w:eastAsia="仿宋_GB2312"/>
                <w:color w:val="auto"/>
                <w:highlight w:val="none"/>
              </w:rPr>
            </w:pPr>
          </w:p>
        </w:tc>
        <w:tc>
          <w:tcPr>
            <w:tcW w:w="1168"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5"/>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5"/>
        <w:spacing w:line="400" w:lineRule="exact"/>
        <w:ind w:left="719" w:leftChars="228" w:hanging="240" w:hangingChars="100"/>
        <w:rPr>
          <w:rFonts w:ascii="Times New Roman" w:hAnsi="Times New Roman" w:eastAsia="楷体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5"/>
        <w:spacing w:line="4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pStyle w:val="25"/>
        <w:spacing w:line="600" w:lineRule="exact"/>
        <w:ind w:left="719" w:leftChars="228" w:hanging="240" w:hangingChars="100"/>
        <w:rPr>
          <w:rFonts w:ascii="Times New Roman" w:hAnsi="Times New Roman" w:eastAsia="仿宋_GB2312" w:cs="Times New Roman"/>
          <w:color w:val="auto"/>
          <w:sz w:val="24"/>
          <w:szCs w:val="24"/>
          <w:highlight w:val="none"/>
        </w:rPr>
      </w:pPr>
    </w:p>
    <w:p>
      <w:pPr>
        <w:snapToGrid w:val="0"/>
        <w:jc w:val="center"/>
        <w:rPr>
          <w:rFonts w:ascii="宋体"/>
          <w:color w:val="auto"/>
          <w:sz w:val="24"/>
          <w:szCs w:val="24"/>
          <w:highlight w:val="none"/>
        </w:rPr>
      </w:pPr>
    </w:p>
    <w:p>
      <w:pPr>
        <w:widowControl/>
        <w:shd w:val="clear" w:color="auto"/>
        <w:spacing w:after="240" w:line="360" w:lineRule="atLeast"/>
        <w:ind w:firstLine="480"/>
        <w:jc w:val="center"/>
        <w:rPr>
          <w:rFonts w:ascii="宋体"/>
          <w:b/>
          <w:bCs/>
          <w:color w:val="auto"/>
          <w:kern w:val="0"/>
          <w:sz w:val="28"/>
          <w:szCs w:val="28"/>
          <w:highlight w:val="none"/>
        </w:rPr>
      </w:pPr>
      <w:r>
        <w:rPr>
          <w:rFonts w:ascii="宋体"/>
          <w:color w:val="auto"/>
          <w:highlight w:val="none"/>
        </w:rPr>
        <w:br w:type="page"/>
      </w:r>
      <w:r>
        <w:rPr>
          <w:rFonts w:hint="eastAsia" w:ascii="宋体" w:hAnsi="宋体" w:cs="宋体"/>
          <w:b/>
          <w:bCs/>
          <w:color w:val="auto"/>
          <w:kern w:val="0"/>
          <w:sz w:val="28"/>
          <w:szCs w:val="28"/>
          <w:highlight w:val="none"/>
        </w:rPr>
        <w:t>中小企业声明函</w:t>
      </w:r>
    </w:p>
    <w:p>
      <w:pPr>
        <w:widowControl/>
        <w:shd w:val="clear" w:color="auto"/>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r>
        <w:rPr>
          <w:rFonts w:hint="eastAsia" w:ascii="宋体" w:hAnsi="宋体" w:cs="宋体"/>
          <w:color w:val="auto"/>
          <w:kern w:val="0"/>
          <w:sz w:val="24"/>
          <w:szCs w:val="24"/>
          <w:highlight w:val="none"/>
        </w:rPr>
        <w:t>本公司郑重声明，根据《政府采购促进中小企业发展暂行办法》（财库</w:t>
      </w:r>
      <w:r>
        <w:rPr>
          <w:rFonts w:ascii="宋体" w:hAnsi="宋体" w:cs="宋体"/>
          <w:color w:val="auto"/>
          <w:kern w:val="0"/>
          <w:sz w:val="24"/>
          <w:szCs w:val="24"/>
          <w:highlight w:val="none"/>
        </w:rPr>
        <w:t>[2011]181</w:t>
      </w:r>
      <w:r>
        <w:rPr>
          <w:rFonts w:hint="eastAsia" w:ascii="宋体" w:hAnsi="宋体" w:cs="宋体"/>
          <w:color w:val="auto"/>
          <w:kern w:val="0"/>
          <w:sz w:val="24"/>
          <w:szCs w:val="24"/>
          <w:highlight w:val="none"/>
        </w:rPr>
        <w:t>号）的规定，本公司为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（请填写：中型、小型、微型）企业。即，本公司同时满足以下条件：</w:t>
      </w:r>
    </w:p>
    <w:p>
      <w:pPr>
        <w:widowControl/>
        <w:shd w:val="clear" w:color="auto"/>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根据《工业和信息化部、国家统计局、国家发展和改革委员会、财政部关于印发中小企业划型标准规定的通知》（工信部联企业</w:t>
      </w:r>
      <w:r>
        <w:rPr>
          <w:rFonts w:ascii="宋体" w:hAnsi="宋体" w:cs="宋体"/>
          <w:color w:val="auto"/>
          <w:kern w:val="0"/>
          <w:sz w:val="24"/>
          <w:szCs w:val="24"/>
          <w:highlight w:val="none"/>
        </w:rPr>
        <w:t>[2011]300</w:t>
      </w:r>
      <w:r>
        <w:rPr>
          <w:rFonts w:hint="eastAsia" w:ascii="宋体" w:hAnsi="宋体" w:cs="宋体"/>
          <w:color w:val="auto"/>
          <w:kern w:val="0"/>
          <w:sz w:val="24"/>
          <w:szCs w:val="24"/>
          <w:highlight w:val="none"/>
        </w:rPr>
        <w:t>号）规定的划分标准，本公司为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w:t>
      </w:r>
    </w:p>
    <w:p>
      <w:pPr>
        <w:widowControl/>
        <w:shd w:val="clear" w:color="auto"/>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本公司参加</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单位的</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项目采购活动提供本企业制造的货物，由本企业承担工程、提供服务，或者提供其他</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（请填写：中型、小型、微型）企业制造的货物。本条所称货物不包括使用大型企业注册商标的货物。</w:t>
      </w:r>
    </w:p>
    <w:p>
      <w:pPr>
        <w:widowControl/>
        <w:shd w:val="clear" w:color="auto"/>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本公司对上述声明的真实性负责。如有虚假，将依法承担相应责任。</w:t>
      </w:r>
    </w:p>
    <w:p>
      <w:pPr>
        <w:widowControl/>
        <w:shd w:val="clear" w:color="auto"/>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企业名称（盖章）：</w:t>
      </w:r>
    </w:p>
    <w:p>
      <w:pPr>
        <w:widowControl/>
        <w:shd w:val="clear" w:color="auto"/>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日期：年月日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588" w:lineRule="exact"/>
        <w:jc w:val="center"/>
        <w:rPr>
          <w:rFonts w:ascii="宋体"/>
          <w:b/>
          <w:bCs/>
          <w:color w:val="auto"/>
          <w:spacing w:val="6"/>
          <w:sz w:val="24"/>
          <w:szCs w:val="24"/>
          <w:highlight w:val="none"/>
        </w:rPr>
      </w:pPr>
      <w:bookmarkStart w:id="221" w:name="OLE_LINK13"/>
      <w:bookmarkStart w:id="222" w:name="OLE_LINK14"/>
      <w:r>
        <w:rPr>
          <w:rFonts w:hint="eastAsia" w:ascii="宋体" w:hAnsi="宋体" w:cs="宋体"/>
          <w:b/>
          <w:bCs/>
          <w:color w:val="auto"/>
          <w:spacing w:val="6"/>
          <w:sz w:val="24"/>
          <w:szCs w:val="24"/>
          <w:highlight w:val="none"/>
        </w:rPr>
        <w:t>残疾人福利性单位声明函</w:t>
      </w:r>
    </w:p>
    <w:bookmarkEnd w:id="221"/>
    <w:bookmarkEnd w:id="222"/>
    <w:p>
      <w:pPr>
        <w:spacing w:line="588" w:lineRule="exact"/>
        <w:rPr>
          <w:rFonts w:ascii="宋体"/>
          <w:b/>
          <w:bCs/>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cs="宋体"/>
          <w:color w:val="auto"/>
          <w:sz w:val="24"/>
          <w:szCs w:val="24"/>
          <w:highlight w:val="none"/>
        </w:rPr>
        <w:t>〔</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pacing w:val="6"/>
          <w:sz w:val="24"/>
          <w:szCs w:val="24"/>
          <w:highlight w:val="none"/>
        </w:rPr>
        <w:t>号）的规定，本单位为符合条件的残疾人福利性单位，且本单位参加</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单位的</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项目采购活动提供本单位制造的货物（由本单位承担工程</w:t>
      </w:r>
      <w:r>
        <w:rPr>
          <w:rFonts w:ascii="宋体" w:hAnsi="宋体" w:cs="宋体"/>
          <w:color w:val="auto"/>
          <w:spacing w:val="6"/>
          <w:sz w:val="24"/>
          <w:szCs w:val="24"/>
          <w:highlight w:val="none"/>
        </w:rPr>
        <w:t>/</w:t>
      </w:r>
      <w:r>
        <w:rPr>
          <w:rFonts w:hint="eastAsia" w:ascii="宋体" w:hAnsi="宋体" w:cs="宋体"/>
          <w:color w:val="auto"/>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单位名称（盖章）：</w:t>
      </w: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kern w:val="0"/>
          <w:sz w:val="24"/>
          <w:szCs w:val="24"/>
          <w:highlight w:val="none"/>
        </w:rPr>
        <w:t>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pStyle w:val="2"/>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widowControl/>
        <w:shd w:val="clear" w:color="auto"/>
        <w:spacing w:line="360" w:lineRule="auto"/>
        <w:ind w:firstLine="480"/>
        <w:jc w:val="center"/>
        <w:rPr>
          <w:rFonts w:ascii="宋体" w:hAnsi="宋体" w:cs="宋体"/>
          <w:b/>
          <w:bCs/>
          <w:color w:val="auto"/>
          <w:kern w:val="0"/>
          <w:sz w:val="36"/>
          <w:szCs w:val="36"/>
          <w:highlight w:val="none"/>
        </w:rPr>
      </w:pPr>
    </w:p>
    <w:p>
      <w:pPr>
        <w:widowControl/>
        <w:shd w:val="clear" w:color="auto"/>
        <w:spacing w:line="360" w:lineRule="auto"/>
        <w:ind w:firstLine="480"/>
        <w:jc w:val="center"/>
        <w:rPr>
          <w:rFonts w:ascii="宋体" w:hAnsi="宋体" w:cs="宋体"/>
          <w:b/>
          <w:bCs/>
          <w:color w:val="auto"/>
          <w:kern w:val="0"/>
          <w:sz w:val="36"/>
          <w:szCs w:val="36"/>
          <w:highlight w:val="none"/>
        </w:rPr>
      </w:pPr>
    </w:p>
    <w:p>
      <w:pPr>
        <w:widowControl/>
        <w:shd w:val="clear" w:color="auto"/>
        <w:spacing w:line="360" w:lineRule="auto"/>
        <w:ind w:firstLine="480"/>
        <w:jc w:val="center"/>
        <w:rPr>
          <w:rFonts w:ascii="宋体" w:hAnsi="宋体" w:cs="宋体"/>
          <w:b/>
          <w:bCs/>
          <w:color w:val="auto"/>
          <w:kern w:val="0"/>
          <w:sz w:val="36"/>
          <w:szCs w:val="36"/>
          <w:highlight w:val="none"/>
        </w:rPr>
      </w:pPr>
    </w:p>
    <w:p>
      <w:pPr>
        <w:widowControl/>
        <w:shd w:val="clear" w:color="auto"/>
        <w:spacing w:line="360" w:lineRule="auto"/>
        <w:ind w:firstLine="480"/>
        <w:jc w:val="center"/>
        <w:rPr>
          <w:rFonts w:ascii="宋体" w:hAnsi="宋体" w:cs="宋体"/>
          <w:b/>
          <w:bCs/>
          <w:color w:val="auto"/>
          <w:kern w:val="0"/>
          <w:sz w:val="36"/>
          <w:szCs w:val="36"/>
          <w:highlight w:val="none"/>
        </w:rPr>
      </w:pPr>
    </w:p>
    <w:p>
      <w:pPr>
        <w:widowControl/>
        <w:shd w:val="clear" w:color="auto"/>
        <w:spacing w:line="360" w:lineRule="auto"/>
        <w:ind w:firstLine="480"/>
        <w:jc w:val="center"/>
        <w:rPr>
          <w:rFonts w:ascii="宋体" w:hAnsi="宋体" w:cs="宋体"/>
          <w:b/>
          <w:bCs/>
          <w:color w:val="auto"/>
          <w:kern w:val="0"/>
          <w:sz w:val="36"/>
          <w:szCs w:val="36"/>
          <w:highlight w:val="none"/>
        </w:rPr>
      </w:pPr>
    </w:p>
    <w:p>
      <w:pPr>
        <w:widowControl/>
        <w:shd w:val="clear" w:color="auto"/>
        <w:spacing w:line="360" w:lineRule="auto"/>
        <w:ind w:firstLine="480"/>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第七章质疑函及投诉书格式</w:t>
      </w: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pStyle w:val="2"/>
        <w:rPr>
          <w:rFonts w:ascii="宋体" w:hAnsi="宋体" w:cs="宋体"/>
          <w:b/>
          <w:bCs/>
          <w:color w:val="auto"/>
          <w:kern w:val="0"/>
          <w:sz w:val="36"/>
          <w:szCs w:val="36"/>
          <w:highlight w:val="none"/>
        </w:rPr>
      </w:pPr>
    </w:p>
    <w:p>
      <w:pPr>
        <w:spacing w:line="36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质疑函</w:t>
      </w:r>
    </w:p>
    <w:p>
      <w:pPr>
        <w:tabs>
          <w:tab w:val="left" w:pos="606"/>
        </w:tabs>
        <w:rPr>
          <w:rFonts w:ascii="宋体" w:cs="宋体"/>
          <w:color w:val="auto"/>
          <w:sz w:val="24"/>
          <w:szCs w:val="24"/>
          <w:highlight w:val="none"/>
        </w:rPr>
      </w:pPr>
      <w:r>
        <w:rPr>
          <w:rFonts w:hint="eastAsia" w:ascii="宋体" w:hAnsi="宋体" w:cs="宋体"/>
          <w:color w:val="auto"/>
          <w:sz w:val="24"/>
          <w:szCs w:val="24"/>
          <w:highlight w:val="none"/>
        </w:rPr>
        <w:t>一、质疑供应商基本信息</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联系人：联系电话：</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w:t>
      </w:r>
    </w:p>
    <w:p>
      <w:pPr>
        <w:adjustRightInd w:val="0"/>
        <w:snapToGrid w:val="0"/>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二、质疑项目基本情况</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质疑项目的编号：包号：</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采购文件获取日期：</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三、质疑事项具体内容</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p>
    <w:p>
      <w:pPr>
        <w:adjustRightInd w:val="0"/>
        <w:snapToGrid w:val="0"/>
        <w:spacing w:line="360" w:lineRule="exact"/>
        <w:rPr>
          <w:rFonts w:ascii="宋体" w:cs="宋体"/>
          <w:color w:val="auto"/>
          <w:sz w:val="24"/>
          <w:szCs w:val="24"/>
          <w:highlight w:val="none"/>
        </w:rPr>
      </w:pP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p>
    <w:p>
      <w:pPr>
        <w:adjustRightInd w:val="0"/>
        <w:snapToGrid w:val="0"/>
        <w:spacing w:line="360" w:lineRule="exact"/>
        <w:rPr>
          <w:rFonts w:ascii="宋体" w:hAnsi="宋体" w:cs="宋体"/>
          <w:color w:val="auto"/>
          <w:sz w:val="24"/>
          <w:szCs w:val="24"/>
          <w:highlight w:val="none"/>
          <w:u w:val="dotted"/>
        </w:rPr>
      </w:pPr>
    </w:p>
    <w:p>
      <w:pPr>
        <w:adjustRightInd w:val="0"/>
        <w:snapToGrid w:val="0"/>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四、与质疑事项相关的质疑请求</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adjustRightInd w:val="0"/>
        <w:snapToGrid w:val="0"/>
        <w:spacing w:line="360" w:lineRule="exact"/>
        <w:rPr>
          <w:rFonts w:ascii="宋体" w:cs="宋体"/>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质疑函制作说明：</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供应商提出质疑时，应提交质疑函和必要的证明材料。</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质疑供应商若对项目的某一分包进行质疑，质疑函中应列明具体分包号。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pStyle w:val="13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pStyle w:val="13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宋体" w:cs="宋体"/>
          <w:b/>
          <w:bCs/>
          <w:color w:val="auto"/>
          <w:sz w:val="28"/>
          <w:szCs w:val="28"/>
          <w:highlight w:val="none"/>
        </w:rPr>
      </w:pPr>
      <w:bookmarkStart w:id="223" w:name="page2"/>
      <w:bookmarkEnd w:id="223"/>
      <w:r>
        <w:rPr>
          <w:rFonts w:hint="eastAsia" w:ascii="宋体" w:hAnsi="宋体" w:cs="宋体"/>
          <w:b/>
          <w:bCs/>
          <w:color w:val="auto"/>
          <w:sz w:val="28"/>
          <w:szCs w:val="28"/>
          <w:highlight w:val="none"/>
        </w:rPr>
        <w:t>投诉书</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投诉人：</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tabs>
          <w:tab w:val="left" w:pos="6510"/>
        </w:tabs>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w:t>
      </w:r>
      <w:r>
        <w:rPr>
          <w:rFonts w:hint="eastAsia" w:ascii="宋体" w:hAnsi="宋体" w:cs="宋体"/>
          <w:color w:val="auto"/>
          <w:sz w:val="24"/>
          <w:szCs w:val="24"/>
          <w:highlight w:val="none"/>
        </w:rPr>
        <w:t>主要负责人：</w:t>
      </w:r>
    </w:p>
    <w:p>
      <w:pPr>
        <w:tabs>
          <w:tab w:val="left" w:pos="6510"/>
        </w:tabs>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联系电话：</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授权代表：联系电话</w:t>
      </w:r>
      <w:r>
        <w:rPr>
          <w:rFonts w:hint="eastAsia" w:ascii="宋体" w:hAnsi="宋体" w:cs="宋体"/>
          <w:color w:val="auto"/>
          <w:sz w:val="24"/>
          <w:szCs w:val="24"/>
          <w:highlight w:val="none"/>
          <w:u w:val="dotted"/>
        </w:rPr>
        <w:t>：</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相关供应商：</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采购项目名称：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采购项目编号：包号：</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采购人名称：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代理机构名称：</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采购文件公告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采购结果公告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三、质疑基本情况</w:t>
      </w:r>
    </w:p>
    <w:p>
      <w:pPr>
        <w:spacing w:line="360" w:lineRule="exact"/>
        <w:ind w:firstLine="480" w:firstLineChars="200"/>
        <w:rPr>
          <w:rFonts w:ascii="宋体" w:hAnsi="宋体" w:cs="宋体"/>
          <w:color w:val="auto"/>
          <w:sz w:val="24"/>
          <w:szCs w:val="24"/>
          <w:highlight w:val="none"/>
          <w:u w:val="dotted"/>
        </w:rPr>
      </w:pPr>
      <w:r>
        <w:rPr>
          <w:rFonts w:hint="eastAsia" w:ascii="宋体" w:hAnsi="宋体" w:cs="宋体"/>
          <w:color w:val="auto"/>
          <w:sz w:val="24"/>
          <w:szCs w:val="24"/>
          <w:highlight w:val="none"/>
        </w:rPr>
        <w:t>投诉人于年月日</w:t>
      </w:r>
      <w:r>
        <w:rPr>
          <w:rFonts w:ascii="宋体" w:hAnsi="宋体" w:cs="宋体"/>
          <w:color w:val="auto"/>
          <w:sz w:val="24"/>
          <w:szCs w:val="24"/>
          <w:highlight w:val="none"/>
        </w:rPr>
        <w:t>,</w:t>
      </w:r>
      <w:r>
        <w:rPr>
          <w:rFonts w:hint="eastAsia" w:ascii="宋体" w:hAnsi="宋体" w:cs="宋体"/>
          <w:color w:val="auto"/>
          <w:sz w:val="24"/>
          <w:szCs w:val="24"/>
          <w:highlight w:val="none"/>
        </w:rPr>
        <w:t>向提出质疑，质疑事项为：</w:t>
      </w:r>
    </w:p>
    <w:p>
      <w:pPr>
        <w:spacing w:line="360" w:lineRule="exact"/>
        <w:rPr>
          <w:rFonts w:ascii="宋体" w:cs="宋体"/>
          <w:color w:val="auto"/>
          <w:sz w:val="24"/>
          <w:szCs w:val="24"/>
          <w:highlight w:val="none"/>
          <w:u w:val="dotted"/>
        </w:rPr>
      </w:pPr>
    </w:p>
    <w:p>
      <w:pPr>
        <w:spacing w:line="360" w:lineRule="exact"/>
        <w:ind w:firstLine="360" w:firstLineChars="150"/>
        <w:rPr>
          <w:rFonts w:ascii="宋体" w:cs="宋体"/>
          <w:color w:val="auto"/>
          <w:sz w:val="24"/>
          <w:szCs w:val="24"/>
          <w:highlight w:val="none"/>
        </w:rPr>
      </w:pPr>
      <w:r>
        <w:rPr>
          <w:rFonts w:hint="eastAsia" w:ascii="宋体" w:hAnsi="宋体" w:cs="宋体"/>
          <w:color w:val="auto"/>
          <w:sz w:val="24"/>
          <w:szCs w:val="24"/>
          <w:highlight w:val="none"/>
          <w:u w:val="dotted"/>
        </w:rPr>
        <w:t>采购人</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代理机构</w:t>
      </w:r>
      <w:r>
        <w:rPr>
          <w:rFonts w:hint="eastAsia" w:ascii="宋体" w:hAnsi="宋体" w:cs="宋体"/>
          <w:color w:val="auto"/>
          <w:sz w:val="24"/>
          <w:szCs w:val="24"/>
          <w:highlight w:val="none"/>
        </w:rPr>
        <w:t>于年月日</w:t>
      </w:r>
      <w:r>
        <w:rPr>
          <w:rFonts w:ascii="宋体" w:hAnsi="宋体" w:cs="宋体"/>
          <w:color w:val="auto"/>
          <w:sz w:val="24"/>
          <w:szCs w:val="24"/>
          <w:highlight w:val="none"/>
        </w:rPr>
        <w:t>,</w:t>
      </w:r>
      <w:r>
        <w:rPr>
          <w:rFonts w:hint="eastAsia" w:ascii="宋体" w:hAnsi="宋体" w:cs="宋体"/>
          <w:color w:val="auto"/>
          <w:sz w:val="24"/>
          <w:szCs w:val="24"/>
          <w:highlight w:val="none"/>
        </w:rPr>
        <w:t>就质疑事项作出了答复</w:t>
      </w:r>
      <w:r>
        <w:rPr>
          <w:rFonts w:ascii="宋体" w:hAnsi="宋体" w:cs="宋体"/>
          <w:color w:val="auto"/>
          <w:sz w:val="24"/>
          <w:szCs w:val="24"/>
          <w:highlight w:val="none"/>
        </w:rPr>
        <w:t>/</w:t>
      </w:r>
      <w:r>
        <w:rPr>
          <w:rFonts w:hint="eastAsia" w:ascii="宋体" w:hAnsi="宋体" w:cs="宋体"/>
          <w:color w:val="auto"/>
          <w:sz w:val="24"/>
          <w:szCs w:val="24"/>
          <w:highlight w:val="none"/>
        </w:rPr>
        <w:t>没有在法定期限内作出答复。</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事实依据：</w:t>
      </w:r>
    </w:p>
    <w:p>
      <w:pPr>
        <w:spacing w:line="360" w:lineRule="exact"/>
        <w:rPr>
          <w:rFonts w:ascii="宋体" w:hAnsi="宋体" w:cs="宋体"/>
          <w:color w:val="auto"/>
          <w:sz w:val="24"/>
          <w:szCs w:val="24"/>
          <w:highlight w:val="none"/>
          <w:u w:val="dotted"/>
        </w:rPr>
      </w:pP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法律依据：</w:t>
      </w:r>
    </w:p>
    <w:p>
      <w:pPr>
        <w:spacing w:line="360" w:lineRule="exact"/>
        <w:rPr>
          <w:rFonts w:ascii="宋体" w:hAnsi="宋体" w:cs="宋体"/>
          <w:color w:val="auto"/>
          <w:sz w:val="24"/>
          <w:szCs w:val="24"/>
          <w:highlight w:val="none"/>
          <w:u w:val="dotted"/>
        </w:rPr>
      </w:pP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投诉书制作说明：</w:t>
      </w:r>
    </w:p>
    <w:p>
      <w:pPr>
        <w:widowControl/>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投诉人若对项目的某一分包进行投诉，投诉书应列明具体分包号。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投诉书应简要列明质疑事项，质疑函、质疑答复等作为附件材料提供。</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投诉书的投诉事项应具体、明确，并有必要的事实依据和法律依据。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投诉书的投诉请求应与投诉事项相关。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exact"/>
        <w:rPr>
          <w:rFonts w:ascii="宋体" w:cs="宋体"/>
          <w:color w:val="auto"/>
          <w:sz w:val="28"/>
          <w:szCs w:val="28"/>
          <w:highlight w:val="none"/>
        </w:rPr>
      </w:pPr>
    </w:p>
    <w:p>
      <w:pPr>
        <w:tabs>
          <w:tab w:val="left" w:pos="1087"/>
        </w:tabs>
        <w:spacing w:line="360" w:lineRule="auto"/>
        <w:rPr>
          <w:color w:val="auto"/>
          <w:sz w:val="24"/>
          <w:szCs w:val="24"/>
          <w:highlight w:val="none"/>
        </w:rPr>
      </w:pPr>
      <w:r>
        <w:rPr>
          <w:color w:val="auto"/>
          <w:sz w:val="24"/>
          <w:szCs w:val="24"/>
          <w:highlight w:val="none"/>
        </w:rPr>
        <w:tab/>
      </w:r>
    </w:p>
    <w:p>
      <w:pPr>
        <w:spacing w:line="360" w:lineRule="auto"/>
        <w:rPr>
          <w:color w:val="auto"/>
          <w:sz w:val="24"/>
          <w:szCs w:val="24"/>
          <w:highlight w:val="none"/>
        </w:rPr>
      </w:pPr>
    </w:p>
    <w:p>
      <w:pPr>
        <w:spacing w:line="360" w:lineRule="auto"/>
        <w:rPr>
          <w:color w:val="auto"/>
          <w:sz w:val="24"/>
          <w:szCs w:val="24"/>
          <w:highlight w:val="none"/>
        </w:rPr>
      </w:pPr>
    </w:p>
    <w:p>
      <w:pPr>
        <w:tabs>
          <w:tab w:val="left" w:pos="606"/>
        </w:tabs>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tabs>
          <w:tab w:val="left" w:pos="606"/>
        </w:tabs>
        <w:rPr>
          <w:color w:val="auto"/>
          <w:highlight w:val="none"/>
        </w:rPr>
      </w:pPr>
      <w:r>
        <w:rPr>
          <w:rFonts w:hint="eastAsia" w:ascii="宋体" w:hAnsi="宋体" w:cs="宋体"/>
          <w:b/>
          <w:bCs/>
          <w:color w:val="auto"/>
          <w:kern w:val="0"/>
          <w:sz w:val="36"/>
          <w:szCs w:val="36"/>
          <w:highlight w:val="none"/>
        </w:rPr>
        <w:t>附件</w:t>
      </w:r>
    </w:p>
    <w:p>
      <w:pPr>
        <w:tabs>
          <w:tab w:val="left" w:pos="606"/>
        </w:tabs>
        <w:rPr>
          <w:color w:val="auto"/>
          <w:highlight w:val="none"/>
        </w:rPr>
      </w:pPr>
    </w:p>
    <w:p>
      <w:pPr>
        <w:pStyle w:val="3"/>
        <w:jc w:val="center"/>
        <w:rPr>
          <w:color w:val="auto"/>
          <w:highlight w:val="none"/>
        </w:rPr>
      </w:pPr>
      <w:bookmarkStart w:id="224" w:name="_Toc27844"/>
      <w:bookmarkStart w:id="225" w:name="_Toc24796"/>
      <w:bookmarkStart w:id="226" w:name="_Toc24242"/>
      <w:r>
        <w:rPr>
          <w:rFonts w:hint="eastAsia" w:cs="宋体"/>
          <w:color w:val="auto"/>
          <w:highlight w:val="none"/>
        </w:rPr>
        <w:t>中标通知书</w:t>
      </w:r>
      <w:bookmarkEnd w:id="224"/>
      <w:bookmarkEnd w:id="225"/>
      <w:bookmarkEnd w:id="226"/>
    </w:p>
    <w:p>
      <w:pPr>
        <w:tabs>
          <w:tab w:val="left" w:pos="606"/>
        </w:tabs>
        <w:rPr>
          <w:color w:val="auto"/>
          <w:sz w:val="28"/>
          <w:szCs w:val="28"/>
          <w:highlight w:val="none"/>
        </w:rPr>
      </w:pPr>
      <w:r>
        <w:rPr>
          <w:rFonts w:hint="eastAsia" w:cs="宋体"/>
          <w:color w:val="auto"/>
          <w:sz w:val="28"/>
          <w:szCs w:val="28"/>
          <w:highlight w:val="none"/>
        </w:rPr>
        <w:t>公司：</w:t>
      </w:r>
    </w:p>
    <w:p>
      <w:pPr>
        <w:tabs>
          <w:tab w:val="left" w:pos="606"/>
        </w:tabs>
        <w:ind w:firstLine="420"/>
        <w:rPr>
          <w:color w:val="auto"/>
          <w:sz w:val="28"/>
          <w:szCs w:val="28"/>
          <w:highlight w:val="none"/>
        </w:rPr>
      </w:pPr>
      <w:r>
        <w:rPr>
          <w:rFonts w:hint="eastAsia" w:cs="宋体"/>
          <w:color w:val="auto"/>
          <w:sz w:val="28"/>
          <w:szCs w:val="28"/>
          <w:highlight w:val="none"/>
          <w:u w:val="single"/>
        </w:rPr>
        <w:t>（代理机构名称）</w:t>
      </w:r>
      <w:r>
        <w:rPr>
          <w:rFonts w:hint="eastAsia" w:cs="宋体"/>
          <w:color w:val="auto"/>
          <w:sz w:val="28"/>
          <w:szCs w:val="28"/>
          <w:highlight w:val="none"/>
        </w:rPr>
        <w:t>受</w:t>
      </w:r>
      <w:r>
        <w:rPr>
          <w:rFonts w:hint="eastAsia" w:cs="宋体"/>
          <w:color w:val="auto"/>
          <w:sz w:val="28"/>
          <w:szCs w:val="28"/>
          <w:highlight w:val="none"/>
          <w:u w:val="single"/>
        </w:rPr>
        <w:t>（采购单位名称）</w:t>
      </w:r>
      <w:r>
        <w:rPr>
          <w:rFonts w:hint="eastAsia" w:cs="宋体"/>
          <w:color w:val="auto"/>
          <w:sz w:val="28"/>
          <w:szCs w:val="28"/>
          <w:highlight w:val="none"/>
        </w:rPr>
        <w:t>的委托，就</w:t>
      </w:r>
      <w:r>
        <w:rPr>
          <w:rFonts w:hint="eastAsia" w:cs="宋体"/>
          <w:color w:val="auto"/>
          <w:sz w:val="28"/>
          <w:szCs w:val="28"/>
          <w:highlight w:val="none"/>
          <w:u w:val="single"/>
        </w:rPr>
        <w:t>项目</w:t>
      </w:r>
      <w:r>
        <w:rPr>
          <w:rFonts w:hint="eastAsia" w:cs="宋体"/>
          <w:color w:val="auto"/>
          <w:sz w:val="28"/>
          <w:szCs w:val="28"/>
          <w:highlight w:val="none"/>
        </w:rPr>
        <w:t>（项目编号：；审批编号：）采用方式进行采购。经采购人确认，贵单位为项目的中标单位，具体内容如下：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中标单位：公司</w:t>
      </w:r>
    </w:p>
    <w:p>
      <w:pPr>
        <w:tabs>
          <w:tab w:val="left" w:pos="606"/>
        </w:tabs>
        <w:ind w:firstLine="420"/>
        <w:rPr>
          <w:color w:val="auto"/>
          <w:sz w:val="28"/>
          <w:szCs w:val="28"/>
          <w:highlight w:val="none"/>
        </w:rPr>
      </w:pPr>
      <w:r>
        <w:rPr>
          <w:rFonts w:hint="eastAsia" w:cs="宋体"/>
          <w:color w:val="auto"/>
          <w:sz w:val="28"/>
          <w:szCs w:val="28"/>
          <w:highlight w:val="none"/>
        </w:rPr>
        <w:t>企业规模：□中型□小型□微型□其他</w:t>
      </w:r>
    </w:p>
    <w:p>
      <w:pPr>
        <w:tabs>
          <w:tab w:val="left" w:pos="606"/>
        </w:tabs>
        <w:ind w:firstLine="420"/>
        <w:rPr>
          <w:color w:val="auto"/>
          <w:sz w:val="28"/>
          <w:szCs w:val="28"/>
          <w:highlight w:val="none"/>
        </w:rPr>
      </w:pPr>
      <w:r>
        <w:rPr>
          <w:rFonts w:hint="eastAsia" w:cs="宋体"/>
          <w:color w:val="auto"/>
          <w:sz w:val="28"/>
          <w:szCs w:val="28"/>
          <w:highlight w:val="none"/>
        </w:rPr>
        <w:t>中标金额：（￥元）</w:t>
      </w:r>
    </w:p>
    <w:p>
      <w:pPr>
        <w:tabs>
          <w:tab w:val="left" w:pos="606"/>
        </w:tabs>
        <w:ind w:firstLine="420"/>
        <w:rPr>
          <w:color w:val="auto"/>
          <w:sz w:val="28"/>
          <w:szCs w:val="28"/>
          <w:highlight w:val="none"/>
        </w:rPr>
      </w:pPr>
      <w:r>
        <w:rPr>
          <w:rFonts w:hint="eastAsia" w:cs="宋体"/>
          <w:color w:val="auto"/>
          <w:sz w:val="28"/>
          <w:szCs w:val="28"/>
          <w:highlight w:val="none"/>
        </w:rPr>
        <w:t>交货时间：自合同签定之日起天内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s="宋体"/>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s="宋体"/>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s="宋体"/>
          <w:color w:val="auto"/>
          <w:sz w:val="28"/>
          <w:szCs w:val="28"/>
          <w:highlight w:val="none"/>
        </w:rPr>
        <w:t>代理机构（盖章）：</w:t>
      </w:r>
    </w:p>
    <w:p>
      <w:pPr>
        <w:tabs>
          <w:tab w:val="left" w:pos="606"/>
        </w:tabs>
        <w:ind w:firstLine="4480" w:firstLineChars="1600"/>
        <w:rPr>
          <w:color w:val="auto"/>
          <w:highlight w:val="none"/>
        </w:rPr>
      </w:pPr>
      <w:r>
        <w:rPr>
          <w:rFonts w:hint="eastAsia" w:cs="宋体"/>
          <w:color w:val="auto"/>
          <w:sz w:val="28"/>
          <w:szCs w:val="28"/>
          <w:highlight w:val="none"/>
        </w:rPr>
        <w:t>日期：年月日</w:t>
      </w:r>
    </w:p>
    <w:bookmarkEnd w:id="227"/>
    <w:sectPr>
      <w:pgSz w:w="11900" w:h="16840"/>
      <w:pgMar w:top="1418" w:right="1418" w:bottom="1418"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苏荣祥" w:date="2020-12-23T11:45:00Z" w:initials="苏荣祥">
    <w:p w14:paraId="1AD46E5D">
      <w:pPr>
        <w:pStyle w:val="2"/>
      </w:pPr>
      <w:r>
        <w:rPr>
          <w:rFonts w:hint="eastAsia"/>
        </w:rPr>
        <w:t>新加要求。</w:t>
      </w:r>
    </w:p>
  </w:comment>
  <w:comment w:id="1" w:author="苏荣祥" w:date="2020-12-23T11:45:00Z" w:initials="苏荣祥">
    <w:p w14:paraId="6BFC63CB">
      <w:pPr>
        <w:pStyle w:val="2"/>
      </w:pPr>
      <w:r>
        <w:rPr>
          <w:rFonts w:hint="eastAsia"/>
        </w:rPr>
        <w:t>新加要求。</w:t>
      </w:r>
    </w:p>
  </w:comment>
  <w:comment w:id="2" w:author="苏荣祥" w:date="2020-12-23T11:46:00Z" w:initials="苏荣祥">
    <w:p w14:paraId="7FF57F96">
      <w:pPr>
        <w:pStyle w:val="2"/>
      </w:pPr>
      <w:r>
        <w:rPr>
          <w:rFonts w:hint="eastAsia"/>
        </w:rPr>
        <w:t>原来所里删除的要求，按正常项目，还是要提供。</w:t>
      </w:r>
    </w:p>
  </w:comment>
  <w:comment w:id="3" w:author="苏荣祥" w:date="2020-12-23T11:48:00Z" w:initials="苏荣祥">
    <w:p w14:paraId="323B4E45">
      <w:pPr>
        <w:pStyle w:val="2"/>
      </w:pPr>
      <w:r>
        <w:rPr>
          <w:rFonts w:hint="eastAsia"/>
        </w:rPr>
        <w:t>删除了可以负偏离3项的条件。</w:t>
      </w:r>
    </w:p>
  </w:comment>
  <w:comment w:id="4" w:author="苏荣祥" w:date="2020-12-23T11:49:00Z" w:initials="苏荣祥">
    <w:p w14:paraId="260D2213">
      <w:pPr>
        <w:pStyle w:val="2"/>
      </w:pPr>
      <w:r>
        <w:rPr>
          <w:rFonts w:hint="eastAsia"/>
        </w:rPr>
        <w:t>3</w:t>
      </w:r>
      <w:r>
        <w:t>5</w:t>
      </w:r>
      <w:r>
        <w:rPr>
          <w:rFonts w:hint="eastAsia"/>
        </w:rPr>
        <w:t>太高，改为2</w:t>
      </w:r>
      <w:r>
        <w:t>0</w:t>
      </w:r>
      <w:r>
        <w:rPr>
          <w:rFonts w:hint="eastAsia"/>
        </w:rPr>
        <w:t>，后面子项每项5分</w:t>
      </w:r>
    </w:p>
  </w:comment>
  <w:comment w:id="5" w:author="苏荣祥" w:date="2020-12-23T11:46:00Z" w:initials="苏荣祥">
    <w:p w14:paraId="030A6B89">
      <w:pPr>
        <w:pStyle w:val="2"/>
      </w:pPr>
      <w:r>
        <w:rPr>
          <w:rFonts w:hint="eastAsia"/>
        </w:rPr>
        <w:t>增加专款专用的要求。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D46E5D" w15:done="0"/>
  <w15:commentEx w15:paraId="6BFC63CB" w15:done="0"/>
  <w15:commentEx w15:paraId="7FF57F96" w15:done="0"/>
  <w15:commentEx w15:paraId="323B4E45" w15:done="0"/>
  <w15:commentEx w15:paraId="260D2213" w15:done="0"/>
  <w15:commentEx w15:paraId="030A6B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Eg3EyupAQAAOQMAAA4A&#10;AAAAAAAAAQAgAAAAHwEAAGRycy9lMm9Eb2MueG1sUEsFBgAAAAAGAAYAWQEAADo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w:t>
                    </w:r>
                    <w:r>
                      <w:fldChar w:fldCharType="end"/>
                    </w:r>
                  </w:p>
                </w:txbxContent>
              </v:textbox>
            </v:rect>
          </w:pict>
        </mc:Fallback>
      </mc:AlternateContent>
    </w:r>
    <w:r>
      <mc:AlternateContent>
        <mc:Choice Requires="wps">
          <w:drawing>
            <wp:anchor distT="0" distB="0" distL="0" distR="0" simplePos="0" relativeHeight="1024" behindDoc="1" locked="0" layoutInCell="1" allowOverlap="1">
              <wp:simplePos x="0" y="0"/>
              <wp:positionH relativeFrom="page">
                <wp:posOffset>9525000</wp:posOffset>
              </wp:positionH>
              <wp:positionV relativeFrom="page">
                <wp:posOffset>6454775</wp:posOffset>
              </wp:positionV>
              <wp:extent cx="438785" cy="125095"/>
              <wp:effectExtent l="0" t="0" r="0" b="0"/>
              <wp:wrapNone/>
              <wp:docPr id="4098" name="文本框 8"/>
              <wp:cNvGraphicFramePr/>
              <a:graphic xmlns:a="http://schemas.openxmlformats.org/drawingml/2006/main">
                <a:graphicData uri="http://schemas.microsoft.com/office/word/2010/wordprocessingShape">
                  <wps:wsp>
                    <wps:cNvSpPr/>
                    <wps:spPr>
                      <a:xfrm>
                        <a:off x="0" y="0"/>
                        <a:ext cx="438784" cy="125094"/>
                      </a:xfrm>
                      <a:prstGeom prst="rect">
                        <a:avLst/>
                      </a:prstGeom>
                      <a:ln>
                        <a:noFill/>
                      </a:ln>
                    </wps:spPr>
                    <wps:txbx>
                      <w:txbxContent>
                        <w:p>
                          <w:pPr>
                            <w:jc w:val="left"/>
                            <w:rPr>
                              <w:color w:val="2E2F2F"/>
                              <w:sz w:val="28"/>
                              <w:szCs w:val="28"/>
                              <w:lang w:val="zh-CN"/>
                            </w:rPr>
                          </w:pPr>
                        </w:p>
                      </w:txbxContent>
                    </wps:txbx>
                    <wps:bodyPr wrap="none" lIns="0" tIns="0" rIns="0" bIns="0" upright="1">
                      <a:spAutoFit/>
                    </wps:bodyPr>
                  </wps:wsp>
                </a:graphicData>
              </a:graphic>
            </wp:anchor>
          </w:drawing>
        </mc:Choice>
        <mc:Fallback>
          <w:pict>
            <v:rect id="文本框 8" o:spid="_x0000_s1026" o:spt="1" style="position:absolute;left:0pt;margin-left:750pt;margin-top:508.25pt;height:9.85pt;width:34.55pt;mso-position-horizontal-relative:page;mso-position-vertical-relative:page;mso-wrap-style:none;z-index:-503315456;mso-width-relative:page;mso-height-relative:page;" filled="f" stroked="f" coordsize="21600,21600" o:gfxdata="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kRYJdkA&#10;AAAPAQAADwAAAAAAAAABACAAAAAiAAAAZHJzL2Rvd25yZXYueG1sUEsBAhQAFAAAAAgAh07iQAuf&#10;5OOsAQAANwMAAA4AAAAAAAAAAQAgAAAAKAEAAGRycy9lMm9Eb2MueG1sUEsFBgAAAAAGAAYAWQEA&#10;AEYFAAAAAA==&#10;">
              <v:fill on="f" focussize="0,0"/>
              <v:stroke on="f"/>
              <v:imagedata o:title=""/>
              <o:lock v:ext="edit" aspectratio="f"/>
              <v:textbox inset="0mm,0mm,0mm,0mm" style="mso-fit-shape-to-text:t;">
                <w:txbxContent>
                  <w:p>
                    <w:pPr>
                      <w:jc w:val="left"/>
                      <w:rPr>
                        <w:color w:val="2E2F2F"/>
                        <w:sz w:val="28"/>
                        <w:szCs w:val="28"/>
                        <w:lang w:val="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O8MEmKgBAAA5AwAADgAA&#10;AAAAAAABACAAAAAfAQAAZHJzL2Uyb0RvYy54bWxQSwUGAAAAAAYABgBZAQAAO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PW9N/emAQAAOgMAAA4AAAAA&#10;AAAAAQAgAAAAHwEAAGRycy9lMm9Eb2MueG1sUEsFBgAAAAAGAAYAWQEAADc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55</w:t>
                    </w:r>
                    <w:r>
                      <w:fldChar w:fldCharType="end"/>
                    </w:r>
                  </w:p>
                </w:txbxContent>
              </v:textbox>
            </v:rect>
          </w:pict>
        </mc:Fallback>
      </mc:AlternateContent>
    </w:r>
    <w:r>
      <mc:AlternateContent>
        <mc:Choice Requires="wps">
          <w:drawing>
            <wp:anchor distT="0" distB="0" distL="0" distR="0" simplePos="0" relativeHeight="1024" behindDoc="1" locked="0" layoutInCell="1" allowOverlap="1">
              <wp:simplePos x="0" y="0"/>
              <wp:positionH relativeFrom="page">
                <wp:posOffset>9525000</wp:posOffset>
              </wp:positionH>
              <wp:positionV relativeFrom="page">
                <wp:posOffset>6454775</wp:posOffset>
              </wp:positionV>
              <wp:extent cx="438785" cy="125095"/>
              <wp:effectExtent l="0" t="0" r="0" b="0"/>
              <wp:wrapNone/>
              <wp:docPr id="4101" name="文本框 11"/>
              <wp:cNvGraphicFramePr/>
              <a:graphic xmlns:a="http://schemas.openxmlformats.org/drawingml/2006/main">
                <a:graphicData uri="http://schemas.microsoft.com/office/word/2010/wordprocessingShape">
                  <wps:wsp>
                    <wps:cNvSpPr/>
                    <wps:spPr>
                      <a:xfrm>
                        <a:off x="0" y="0"/>
                        <a:ext cx="438784" cy="125094"/>
                      </a:xfrm>
                      <a:prstGeom prst="rect">
                        <a:avLst/>
                      </a:prstGeom>
                      <a:ln>
                        <a:noFill/>
                      </a:ln>
                    </wps:spPr>
                    <wps:txbx>
                      <w:txbxContent>
                        <w:p>
                          <w:pPr>
                            <w:jc w:val="left"/>
                            <w:rPr>
                              <w:color w:val="2E2F2F"/>
                              <w:sz w:val="28"/>
                              <w:szCs w:val="28"/>
                              <w:lang w:val="zh-CN"/>
                            </w:rPr>
                          </w:pPr>
                        </w:p>
                      </w:txbxContent>
                    </wps:txbx>
                    <wps:bodyPr wrap="none" lIns="0" tIns="0" rIns="0" bIns="0" upright="1">
                      <a:spAutoFit/>
                    </wps:bodyPr>
                  </wps:wsp>
                </a:graphicData>
              </a:graphic>
            </wp:anchor>
          </w:drawing>
        </mc:Choice>
        <mc:Fallback>
          <w:pict>
            <v:rect id="文本框 11" o:spid="_x0000_s1026" o:spt="1" style="position:absolute;left:0pt;margin-left:750pt;margin-top:508.25pt;height:9.85pt;width:34.55pt;mso-position-horizontal-relative:page;mso-position-vertical-relative:page;mso-wrap-style:none;z-index:-503315456;mso-width-relative:page;mso-height-relative:page;" filled="f" stroked="f" coordsize="21600,21600" o:gfxdata="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kRYJdkA&#10;AAAPAQAADwAAAAAAAAABACAAAAAiAAAAZHJzL2Rvd25yZXYueG1sUEsBAhQAFAAAAAgAh07iQMuS&#10;Py+sAQAAOAMAAA4AAAAAAAAAAQAgAAAAKAEAAGRycy9lMm9Eb2MueG1sUEsFBgAAAAAGAAYAWQEA&#10;AEYFAAAAAA==&#10;">
              <v:fill on="f" focussize="0,0"/>
              <v:stroke on="f"/>
              <v:imagedata o:title=""/>
              <o:lock v:ext="edit" aspectratio="f"/>
              <v:textbox inset="0mm,0mm,0mm,0mm" style="mso-fit-shape-to-text:t;">
                <w:txbxContent>
                  <w:p>
                    <w:pPr>
                      <w:jc w:val="left"/>
                      <w:rPr>
                        <w:color w:val="2E2F2F"/>
                        <w:sz w:val="28"/>
                        <w:szCs w:val="28"/>
                        <w:lang w:val="zh-CN"/>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KMGBaqgBAAA6AwAADgAA&#10;AAAAAAABACAAAAAfAQAAZHJzL2Uyb0RvYy54bWxQSwUGAAAAAAYABgBZAQAAO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0" w:firstLine="400"/>
      </w:pPr>
      <w:rPr>
        <w:rFonts w:hint="eastAsia"/>
      </w:rPr>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5">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荣祥">
    <w15:presenceInfo w15:providerId="None" w15:userId="苏荣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NotTrackMoves/>
  <w:revisionView w:markup="0"/>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D2055"/>
    <w:rsid w:val="10E83ABB"/>
    <w:rsid w:val="2987530D"/>
    <w:rsid w:val="43B64E5E"/>
    <w:rsid w:val="46DB3BB3"/>
    <w:rsid w:val="7FDB00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8"/>
    <w:qFormat/>
    <w:uiPriority w:val="99"/>
    <w:pPr>
      <w:keepNext/>
      <w:keepLines/>
      <w:spacing w:before="260" w:after="260" w:line="416" w:lineRule="auto"/>
      <w:outlineLvl w:val="2"/>
    </w:pPr>
    <w:rPr>
      <w:b/>
      <w:bCs/>
      <w:sz w:val="32"/>
      <w:szCs w:val="32"/>
    </w:rPr>
  </w:style>
  <w:style w:type="paragraph" w:styleId="6">
    <w:name w:val="heading 4"/>
    <w:basedOn w:val="1"/>
    <w:next w:val="7"/>
    <w:link w:val="49"/>
    <w:qFormat/>
    <w:uiPriority w:val="99"/>
    <w:pPr>
      <w:keepNext/>
      <w:keepLines/>
      <w:adjustRightInd w:val="0"/>
      <w:snapToGrid w:val="0"/>
      <w:spacing w:before="120" w:after="120"/>
      <w:outlineLvl w:val="3"/>
    </w:pPr>
    <w:rPr>
      <w:rFonts w:ascii="Arial" w:hAnsi="Arial" w:cs="Arial"/>
      <w:b/>
      <w:bCs/>
      <w:sz w:val="28"/>
      <w:szCs w:val="28"/>
    </w:rPr>
  </w:style>
  <w:style w:type="paragraph" w:styleId="8">
    <w:name w:val="heading 5"/>
    <w:basedOn w:val="1"/>
    <w:next w:val="7"/>
    <w:link w:val="50"/>
    <w:qFormat/>
    <w:uiPriority w:val="99"/>
    <w:pPr>
      <w:keepNext/>
      <w:keepLines/>
      <w:spacing w:before="280" w:after="290" w:line="376" w:lineRule="auto"/>
      <w:outlineLvl w:val="4"/>
    </w:pPr>
    <w:rPr>
      <w:b/>
      <w:bCs/>
      <w:sz w:val="28"/>
      <w:szCs w:val="28"/>
    </w:rPr>
  </w:style>
  <w:style w:type="paragraph" w:styleId="9">
    <w:name w:val="heading 6"/>
    <w:basedOn w:val="1"/>
    <w:next w:val="7"/>
    <w:link w:val="51"/>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7"/>
    <w:link w:val="52"/>
    <w:qFormat/>
    <w:uiPriority w:val="99"/>
    <w:pPr>
      <w:keepNext/>
      <w:keepLines/>
      <w:spacing w:before="240" w:after="64" w:line="320" w:lineRule="auto"/>
      <w:outlineLvl w:val="6"/>
    </w:pPr>
    <w:rPr>
      <w:b/>
      <w:bCs/>
      <w:sz w:val="24"/>
      <w:szCs w:val="24"/>
    </w:rPr>
  </w:style>
  <w:style w:type="paragraph" w:styleId="11">
    <w:name w:val="heading 8"/>
    <w:basedOn w:val="1"/>
    <w:next w:val="7"/>
    <w:link w:val="53"/>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7"/>
    <w:link w:val="54"/>
    <w:qFormat/>
    <w:uiPriority w:val="99"/>
    <w:pPr>
      <w:keepNext/>
      <w:keepLines/>
      <w:spacing w:before="240" w:after="64" w:line="320" w:lineRule="auto"/>
      <w:outlineLvl w:val="8"/>
    </w:pPr>
    <w:rPr>
      <w:rFonts w:ascii="Arial" w:hAnsi="Arial" w:eastAsia="黑体" w:cs="Arial"/>
    </w:rPr>
  </w:style>
  <w:style w:type="character" w:default="1" w:styleId="38">
    <w:name w:val="Default Paragraph Font"/>
    <w:qFormat/>
    <w:uiPriority w:val="1"/>
  </w:style>
  <w:style w:type="table" w:default="1" w:styleId="44">
    <w:name w:val="Normal Table"/>
    <w:qFormat/>
    <w:uiPriority w:val="99"/>
    <w:tblPr>
      <w:tblLayout w:type="fixed"/>
      <w:tblCellMar>
        <w:top w:w="0" w:type="dxa"/>
        <w:left w:w="108" w:type="dxa"/>
        <w:bottom w:w="0" w:type="dxa"/>
        <w:right w:w="108" w:type="dxa"/>
      </w:tblCellMar>
    </w:tblPr>
  </w:style>
  <w:style w:type="paragraph" w:styleId="2">
    <w:name w:val="annotation text"/>
    <w:basedOn w:val="1"/>
    <w:link w:val="57"/>
    <w:qFormat/>
    <w:uiPriority w:val="99"/>
    <w:pPr>
      <w:jc w:val="left"/>
    </w:pPr>
  </w:style>
  <w:style w:type="paragraph" w:styleId="7">
    <w:name w:val="Normal Indent"/>
    <w:basedOn w:val="1"/>
    <w:qFormat/>
    <w:uiPriority w:val="99"/>
    <w:pPr>
      <w:ind w:firstLine="420"/>
    </w:pPr>
  </w:style>
  <w:style w:type="paragraph" w:styleId="13">
    <w:name w:val="annotation subject"/>
    <w:basedOn w:val="2"/>
    <w:next w:val="2"/>
    <w:link w:val="68"/>
    <w:qFormat/>
    <w:uiPriority w:val="99"/>
    <w:rPr>
      <w:b/>
      <w:bCs/>
    </w:rPr>
  </w:style>
  <w:style w:type="paragraph" w:styleId="14">
    <w:name w:val="List Number"/>
    <w:basedOn w:val="1"/>
    <w:qFormat/>
    <w:uiPriority w:val="99"/>
    <w:pPr>
      <w:widowControl/>
      <w:tabs>
        <w:tab w:val="left" w:pos="454"/>
        <w:tab w:val="left" w:pos="720"/>
        <w:tab w:val="left" w:pos="840"/>
        <w:tab w:val="left" w:pos="900"/>
      </w:tabs>
      <w:spacing w:afterLines="50"/>
      <w:ind w:left="454" w:hanging="284"/>
      <w:jc w:val="left"/>
    </w:pPr>
    <w:rPr>
      <w:kern w:val="0"/>
      <w:sz w:val="24"/>
      <w:szCs w:val="24"/>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56"/>
    <w:qFormat/>
    <w:uiPriority w:val="99"/>
    <w:pPr>
      <w:shd w:val="clear" w:color="auto" w:fill="000080"/>
    </w:pPr>
  </w:style>
  <w:style w:type="paragraph" w:styleId="17">
    <w:name w:val="Body Text 3"/>
    <w:basedOn w:val="1"/>
    <w:link w:val="58"/>
    <w:qFormat/>
    <w:uiPriority w:val="99"/>
    <w:pPr>
      <w:spacing w:line="500" w:lineRule="exact"/>
    </w:pPr>
    <w:rPr>
      <w:b/>
      <w:bCs/>
      <w:sz w:val="24"/>
      <w:szCs w:val="24"/>
    </w:rPr>
  </w:style>
  <w:style w:type="paragraph" w:styleId="18">
    <w:name w:val="Body Text"/>
    <w:basedOn w:val="1"/>
    <w:next w:val="19"/>
    <w:link w:val="55"/>
    <w:qFormat/>
    <w:uiPriority w:val="0"/>
    <w:pPr>
      <w:spacing w:line="380" w:lineRule="exact"/>
    </w:pPr>
    <w:rPr>
      <w:sz w:val="24"/>
      <w:szCs w:val="24"/>
    </w:rPr>
  </w:style>
  <w:style w:type="paragraph" w:styleId="19">
    <w:name w:val="Body Text First Indent 2"/>
    <w:basedOn w:val="20"/>
    <w:qFormat/>
    <w:uiPriority w:val="0"/>
    <w:pPr>
      <w:spacing w:after="120"/>
      <w:ind w:left="420" w:leftChars="200" w:firstLine="420" w:firstLineChars="200"/>
    </w:pPr>
    <w:rPr>
      <w:rFonts w:ascii="Verdana" w:hAnsi="宋体" w:eastAsia="宋体"/>
      <w:sz w:val="21"/>
      <w:szCs w:val="24"/>
    </w:rPr>
  </w:style>
  <w:style w:type="paragraph" w:styleId="20">
    <w:name w:val="Body Text Indent"/>
    <w:basedOn w:val="1"/>
    <w:link w:val="59"/>
    <w:qFormat/>
    <w:uiPriority w:val="99"/>
    <w:pPr>
      <w:ind w:firstLine="830" w:firstLineChars="352"/>
    </w:pPr>
    <w:rPr>
      <w:rFonts w:ascii="仿宋_GB2312" w:eastAsia="仿宋_GB2312" w:cs="仿宋_GB2312"/>
      <w:sz w:val="32"/>
      <w:szCs w:val="32"/>
    </w:rPr>
  </w:style>
  <w:style w:type="paragraph" w:styleId="21">
    <w:name w:val="List Number 3"/>
    <w:basedOn w:val="1"/>
    <w:qFormat/>
    <w:uiPriority w:val="99"/>
  </w:style>
  <w:style w:type="paragraph" w:styleId="22">
    <w:name w:val="List 2"/>
    <w:basedOn w:val="1"/>
    <w:qFormat/>
    <w:uiPriority w:val="99"/>
    <w:pPr>
      <w:ind w:left="100" w:leftChars="200" w:hanging="200" w:hangingChars="200"/>
    </w:pPr>
    <w:rPr>
      <w:sz w:val="28"/>
      <w:szCs w:val="28"/>
    </w:rPr>
  </w:style>
  <w:style w:type="paragraph" w:styleId="23">
    <w:name w:val="Block Text"/>
    <w:basedOn w:val="1"/>
    <w:qFormat/>
    <w:uiPriority w:val="99"/>
    <w:pPr>
      <w:spacing w:line="600" w:lineRule="exact"/>
      <w:ind w:left="-40" w:right="-198" w:firstLine="560" w:firstLineChars="200"/>
    </w:pPr>
    <w:rPr>
      <w:rFonts w:ascii="宋体" w:hAnsi="宋体" w:cs="宋体"/>
      <w:sz w:val="28"/>
      <w:szCs w:val="28"/>
    </w:rPr>
  </w:style>
  <w:style w:type="paragraph" w:styleId="24">
    <w:name w:val="toc 3"/>
    <w:basedOn w:val="1"/>
    <w:next w:val="1"/>
    <w:qFormat/>
    <w:uiPriority w:val="99"/>
    <w:pPr>
      <w:ind w:left="840" w:leftChars="400"/>
    </w:pPr>
  </w:style>
  <w:style w:type="paragraph" w:styleId="25">
    <w:name w:val="Plain Text"/>
    <w:basedOn w:val="1"/>
    <w:next w:val="6"/>
    <w:link w:val="71"/>
    <w:qFormat/>
    <w:uiPriority w:val="0"/>
    <w:rPr>
      <w:rFonts w:ascii="宋体" w:hAnsi="Courier New" w:cs="宋体"/>
    </w:rPr>
  </w:style>
  <w:style w:type="paragraph" w:styleId="26">
    <w:name w:val="Date"/>
    <w:basedOn w:val="1"/>
    <w:next w:val="1"/>
    <w:link w:val="61"/>
    <w:qFormat/>
    <w:uiPriority w:val="99"/>
    <w:pPr>
      <w:ind w:left="100" w:leftChars="2500"/>
    </w:pPr>
    <w:rPr>
      <w:rFonts w:ascii="宋体" w:hAnsi="Courier New" w:cs="宋体"/>
    </w:rPr>
  </w:style>
  <w:style w:type="paragraph" w:styleId="27">
    <w:name w:val="Body Text Indent 2"/>
    <w:basedOn w:val="1"/>
    <w:link w:val="62"/>
    <w:qFormat/>
    <w:uiPriority w:val="99"/>
    <w:pPr>
      <w:ind w:firstLine="630"/>
    </w:pPr>
    <w:rPr>
      <w:sz w:val="32"/>
      <w:szCs w:val="32"/>
    </w:rPr>
  </w:style>
  <w:style w:type="paragraph" w:styleId="28">
    <w:name w:val="Balloon Text"/>
    <w:basedOn w:val="1"/>
    <w:link w:val="63"/>
    <w:qFormat/>
    <w:uiPriority w:val="99"/>
    <w:rPr>
      <w:sz w:val="18"/>
      <w:szCs w:val="18"/>
    </w:rPr>
  </w:style>
  <w:style w:type="paragraph" w:styleId="29">
    <w:name w:val="footer"/>
    <w:basedOn w:val="1"/>
    <w:link w:val="64"/>
    <w:qFormat/>
    <w:uiPriority w:val="99"/>
    <w:pPr>
      <w:tabs>
        <w:tab w:val="center" w:pos="4153"/>
        <w:tab w:val="right" w:pos="8306"/>
      </w:tabs>
      <w:snapToGrid w:val="0"/>
      <w:jc w:val="left"/>
    </w:pPr>
    <w:rPr>
      <w:sz w:val="18"/>
      <w:szCs w:val="18"/>
    </w:rPr>
  </w:style>
  <w:style w:type="paragraph" w:styleId="3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99"/>
    <w:pPr>
      <w:tabs>
        <w:tab w:val="right" w:leader="dot" w:pos="8398"/>
      </w:tabs>
      <w:spacing w:before="120" w:after="120"/>
      <w:ind w:firstLine="240" w:firstLineChars="100"/>
      <w:jc w:val="left"/>
    </w:pPr>
    <w:rPr>
      <w:rFonts w:ascii="宋体" w:hAnsi="宋体" w:cs="宋体"/>
      <w:b/>
      <w:bCs/>
      <w:caps/>
      <w:sz w:val="24"/>
      <w:szCs w:val="24"/>
    </w:rPr>
  </w:style>
  <w:style w:type="paragraph" w:styleId="32">
    <w:name w:val="List"/>
    <w:basedOn w:val="1"/>
    <w:qFormat/>
    <w:uiPriority w:val="99"/>
    <w:pPr>
      <w:ind w:left="200" w:hanging="200" w:hangingChars="200"/>
    </w:pPr>
    <w:rPr>
      <w:sz w:val="28"/>
      <w:szCs w:val="28"/>
    </w:rPr>
  </w:style>
  <w:style w:type="paragraph" w:styleId="33">
    <w:name w:val="Body Text Indent 3"/>
    <w:basedOn w:val="1"/>
    <w:link w:val="66"/>
    <w:qFormat/>
    <w:uiPriority w:val="99"/>
    <w:pPr>
      <w:spacing w:after="120"/>
      <w:ind w:left="420" w:leftChars="200"/>
    </w:pPr>
    <w:rPr>
      <w:sz w:val="16"/>
      <w:szCs w:val="16"/>
    </w:rPr>
  </w:style>
  <w:style w:type="paragraph" w:styleId="34">
    <w:name w:val="toc 2"/>
    <w:basedOn w:val="1"/>
    <w:next w:val="1"/>
    <w:qFormat/>
    <w:uiPriority w:val="99"/>
    <w:pPr>
      <w:ind w:left="420" w:leftChars="200"/>
    </w:pPr>
  </w:style>
  <w:style w:type="paragraph" w:styleId="35">
    <w:name w:val="Body Text 2"/>
    <w:basedOn w:val="1"/>
    <w:link w:val="67"/>
    <w:qFormat/>
    <w:uiPriority w:val="99"/>
    <w:pPr>
      <w:spacing w:after="120" w:line="480" w:lineRule="auto"/>
    </w:pPr>
  </w:style>
  <w:style w:type="paragraph" w:styleId="36">
    <w:name w:val="Normal (Web)"/>
    <w:basedOn w:val="1"/>
    <w:link w:val="72"/>
    <w:qFormat/>
    <w:uiPriority w:val="99"/>
    <w:pPr>
      <w:widowControl/>
      <w:spacing w:before="100" w:beforeAutospacing="1" w:after="100" w:afterAutospacing="1"/>
      <w:jc w:val="left"/>
    </w:pPr>
    <w:rPr>
      <w:rFonts w:ascii="宋体" w:hAnsi="宋体" w:cs="宋体"/>
      <w:kern w:val="0"/>
      <w:sz w:val="24"/>
      <w:szCs w:val="24"/>
    </w:rPr>
  </w:style>
  <w:style w:type="paragraph" w:styleId="37">
    <w:name w:val="index 1"/>
    <w:basedOn w:val="1"/>
    <w:next w:val="1"/>
    <w:qFormat/>
    <w:uiPriority w:val="99"/>
    <w:pPr>
      <w:spacing w:line="400" w:lineRule="exact"/>
      <w:ind w:firstLine="420" w:firstLineChars="200"/>
    </w:pPr>
    <w:rPr>
      <w:rFonts w:ascii="宋体" w:hAnsi="Courier New" w:cs="宋体"/>
      <w:b/>
      <w:bCs/>
    </w:rPr>
  </w:style>
  <w:style w:type="character" w:styleId="39">
    <w:name w:val="Strong"/>
    <w:qFormat/>
    <w:uiPriority w:val="99"/>
    <w:rPr>
      <w:b/>
      <w:bCs/>
    </w:rPr>
  </w:style>
  <w:style w:type="character" w:styleId="40">
    <w:name w:val="page number"/>
    <w:basedOn w:val="38"/>
    <w:qFormat/>
    <w:uiPriority w:val="99"/>
  </w:style>
  <w:style w:type="character" w:styleId="41">
    <w:name w:val="FollowedHyperlink"/>
    <w:qFormat/>
    <w:uiPriority w:val="99"/>
    <w:rPr>
      <w:color w:val="auto"/>
      <w:u w:val="none"/>
    </w:rPr>
  </w:style>
  <w:style w:type="character" w:styleId="42">
    <w:name w:val="Hyperlink"/>
    <w:qFormat/>
    <w:uiPriority w:val="99"/>
    <w:rPr>
      <w:color w:val="auto"/>
      <w:u w:val="none"/>
    </w:rPr>
  </w:style>
  <w:style w:type="character" w:styleId="43">
    <w:name w:val="annotation reference"/>
    <w:qFormat/>
    <w:uiPriority w:val="99"/>
    <w:rPr>
      <w:sz w:val="21"/>
      <w:szCs w:val="21"/>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6">
    <w:name w:val="标题 1 字符"/>
    <w:link w:val="3"/>
    <w:qFormat/>
    <w:uiPriority w:val="99"/>
    <w:rPr>
      <w:b/>
      <w:bCs/>
      <w:kern w:val="44"/>
      <w:sz w:val="44"/>
      <w:szCs w:val="44"/>
    </w:rPr>
  </w:style>
  <w:style w:type="character" w:customStyle="1" w:styleId="47">
    <w:name w:val="标题 2 字符"/>
    <w:link w:val="4"/>
    <w:qFormat/>
    <w:uiPriority w:val="9"/>
    <w:rPr>
      <w:rFonts w:ascii="Cambria" w:hAnsi="Cambria" w:eastAsia="宋体" w:cs="Times New Roman"/>
      <w:b/>
      <w:bCs/>
      <w:sz w:val="32"/>
      <w:szCs w:val="32"/>
    </w:rPr>
  </w:style>
  <w:style w:type="character" w:customStyle="1" w:styleId="48">
    <w:name w:val="标题 3 字符"/>
    <w:link w:val="5"/>
    <w:qFormat/>
    <w:uiPriority w:val="9"/>
    <w:rPr>
      <w:b/>
      <w:bCs/>
      <w:sz w:val="32"/>
      <w:szCs w:val="32"/>
    </w:rPr>
  </w:style>
  <w:style w:type="character" w:customStyle="1" w:styleId="49">
    <w:name w:val="标题 4 字符"/>
    <w:link w:val="6"/>
    <w:qFormat/>
    <w:uiPriority w:val="99"/>
    <w:rPr>
      <w:rFonts w:ascii="Arial" w:hAnsi="Arial" w:cs="Arial"/>
      <w:b/>
      <w:bCs/>
      <w:kern w:val="2"/>
      <w:sz w:val="28"/>
      <w:szCs w:val="28"/>
    </w:rPr>
  </w:style>
  <w:style w:type="character" w:customStyle="1" w:styleId="50">
    <w:name w:val="标题 5 字符"/>
    <w:link w:val="8"/>
    <w:qFormat/>
    <w:uiPriority w:val="9"/>
    <w:rPr>
      <w:b/>
      <w:bCs/>
      <w:sz w:val="28"/>
      <w:szCs w:val="28"/>
    </w:rPr>
  </w:style>
  <w:style w:type="character" w:customStyle="1" w:styleId="51">
    <w:name w:val="标题 6 字符"/>
    <w:link w:val="9"/>
    <w:qFormat/>
    <w:uiPriority w:val="9"/>
    <w:rPr>
      <w:rFonts w:ascii="Cambria" w:hAnsi="Cambria" w:eastAsia="宋体" w:cs="Times New Roman"/>
      <w:b/>
      <w:bCs/>
      <w:sz w:val="24"/>
      <w:szCs w:val="24"/>
    </w:rPr>
  </w:style>
  <w:style w:type="character" w:customStyle="1" w:styleId="52">
    <w:name w:val="标题 7 字符"/>
    <w:link w:val="10"/>
    <w:qFormat/>
    <w:uiPriority w:val="9"/>
    <w:rPr>
      <w:b/>
      <w:bCs/>
      <w:sz w:val="24"/>
      <w:szCs w:val="24"/>
    </w:rPr>
  </w:style>
  <w:style w:type="character" w:customStyle="1" w:styleId="53">
    <w:name w:val="标题 8 字符"/>
    <w:link w:val="11"/>
    <w:qFormat/>
    <w:uiPriority w:val="9"/>
    <w:rPr>
      <w:rFonts w:ascii="Cambria" w:hAnsi="Cambria" w:eastAsia="宋体" w:cs="Times New Roman"/>
      <w:sz w:val="24"/>
      <w:szCs w:val="24"/>
    </w:rPr>
  </w:style>
  <w:style w:type="character" w:customStyle="1" w:styleId="54">
    <w:name w:val="标题 9 字符"/>
    <w:link w:val="12"/>
    <w:qFormat/>
    <w:uiPriority w:val="9"/>
    <w:rPr>
      <w:rFonts w:ascii="Cambria" w:hAnsi="Cambria" w:eastAsia="宋体" w:cs="Times New Roman"/>
      <w:szCs w:val="21"/>
    </w:rPr>
  </w:style>
  <w:style w:type="character" w:customStyle="1" w:styleId="55">
    <w:name w:val="正文文本 字符"/>
    <w:link w:val="18"/>
    <w:qFormat/>
    <w:uiPriority w:val="0"/>
    <w:rPr>
      <w:szCs w:val="21"/>
    </w:rPr>
  </w:style>
  <w:style w:type="character" w:customStyle="1" w:styleId="56">
    <w:name w:val="文档结构图 字符"/>
    <w:link w:val="16"/>
    <w:qFormat/>
    <w:uiPriority w:val="99"/>
    <w:rPr>
      <w:sz w:val="0"/>
      <w:szCs w:val="0"/>
    </w:rPr>
  </w:style>
  <w:style w:type="character" w:customStyle="1" w:styleId="57">
    <w:name w:val="批注文字 字符"/>
    <w:link w:val="2"/>
    <w:qFormat/>
    <w:uiPriority w:val="99"/>
    <w:rPr>
      <w:kern w:val="2"/>
      <w:sz w:val="24"/>
      <w:szCs w:val="24"/>
    </w:rPr>
  </w:style>
  <w:style w:type="character" w:customStyle="1" w:styleId="58">
    <w:name w:val="正文文本 3 字符"/>
    <w:link w:val="17"/>
    <w:qFormat/>
    <w:uiPriority w:val="99"/>
    <w:rPr>
      <w:sz w:val="16"/>
      <w:szCs w:val="16"/>
    </w:rPr>
  </w:style>
  <w:style w:type="character" w:customStyle="1" w:styleId="59">
    <w:name w:val="正文文本缩进 字符"/>
    <w:link w:val="20"/>
    <w:qFormat/>
    <w:uiPriority w:val="99"/>
    <w:rPr>
      <w:rFonts w:ascii="仿宋_GB2312" w:eastAsia="仿宋_GB2312" w:cs="仿宋_GB2312"/>
      <w:kern w:val="2"/>
      <w:sz w:val="32"/>
      <w:szCs w:val="32"/>
    </w:rPr>
  </w:style>
  <w:style w:type="character" w:customStyle="1" w:styleId="60">
    <w:name w:val="Plain Text Char"/>
    <w:qFormat/>
    <w:uiPriority w:val="99"/>
    <w:rPr>
      <w:rFonts w:ascii="宋体" w:hAnsi="Courier New" w:eastAsia="宋体" w:cs="宋体"/>
      <w:kern w:val="2"/>
      <w:sz w:val="21"/>
      <w:szCs w:val="21"/>
      <w:lang w:val="en-US" w:eastAsia="zh-CN"/>
    </w:rPr>
  </w:style>
  <w:style w:type="character" w:customStyle="1" w:styleId="61">
    <w:name w:val="日期 字符"/>
    <w:link w:val="26"/>
    <w:qFormat/>
    <w:uiPriority w:val="99"/>
    <w:rPr>
      <w:szCs w:val="21"/>
    </w:rPr>
  </w:style>
  <w:style w:type="character" w:customStyle="1" w:styleId="62">
    <w:name w:val="正文文本缩进 2 字符"/>
    <w:link w:val="27"/>
    <w:qFormat/>
    <w:uiPriority w:val="99"/>
    <w:rPr>
      <w:szCs w:val="21"/>
    </w:rPr>
  </w:style>
  <w:style w:type="character" w:customStyle="1" w:styleId="63">
    <w:name w:val="批注框文本 字符"/>
    <w:link w:val="28"/>
    <w:qFormat/>
    <w:uiPriority w:val="99"/>
    <w:rPr>
      <w:sz w:val="0"/>
      <w:szCs w:val="0"/>
    </w:rPr>
  </w:style>
  <w:style w:type="character" w:customStyle="1" w:styleId="64">
    <w:name w:val="页脚 字符"/>
    <w:link w:val="29"/>
    <w:qFormat/>
    <w:uiPriority w:val="99"/>
    <w:rPr>
      <w:kern w:val="2"/>
      <w:sz w:val="18"/>
      <w:szCs w:val="18"/>
    </w:rPr>
  </w:style>
  <w:style w:type="character" w:customStyle="1" w:styleId="65">
    <w:name w:val="页眉 字符"/>
    <w:link w:val="30"/>
    <w:qFormat/>
    <w:uiPriority w:val="99"/>
    <w:rPr>
      <w:kern w:val="2"/>
      <w:sz w:val="18"/>
      <w:szCs w:val="18"/>
    </w:rPr>
  </w:style>
  <w:style w:type="character" w:customStyle="1" w:styleId="66">
    <w:name w:val="正文文本缩进 3 字符"/>
    <w:link w:val="33"/>
    <w:qFormat/>
    <w:uiPriority w:val="99"/>
    <w:rPr>
      <w:sz w:val="16"/>
      <w:szCs w:val="16"/>
    </w:rPr>
  </w:style>
  <w:style w:type="character" w:customStyle="1" w:styleId="67">
    <w:name w:val="正文文本 2 字符"/>
    <w:link w:val="35"/>
    <w:qFormat/>
    <w:uiPriority w:val="99"/>
    <w:rPr>
      <w:szCs w:val="21"/>
    </w:rPr>
  </w:style>
  <w:style w:type="character" w:customStyle="1" w:styleId="68">
    <w:name w:val="批注主题 字符"/>
    <w:link w:val="13"/>
    <w:qFormat/>
    <w:uiPriority w:val="99"/>
    <w:rPr>
      <w:b/>
      <w:bCs/>
      <w:kern w:val="2"/>
      <w:sz w:val="24"/>
      <w:szCs w:val="24"/>
    </w:rPr>
  </w:style>
  <w:style w:type="character" w:customStyle="1" w:styleId="69">
    <w:name w:val="普通文字 Char Char2"/>
    <w:qFormat/>
    <w:uiPriority w:val="99"/>
    <w:rPr>
      <w:rFonts w:ascii="宋体" w:hAnsi="Courier New" w:eastAsia="宋体" w:cs="宋体"/>
      <w:b/>
      <w:bCs/>
      <w:i/>
      <w:iCs/>
      <w:color w:val="000000"/>
      <w:kern w:val="2"/>
      <w:sz w:val="21"/>
      <w:szCs w:val="21"/>
      <w:lang w:val="en-US" w:eastAsia="zh-CN"/>
    </w:rPr>
  </w:style>
  <w:style w:type="character" w:customStyle="1" w:styleId="70">
    <w:name w:val="Char Char4"/>
    <w:qFormat/>
    <w:uiPriority w:val="99"/>
    <w:rPr>
      <w:rFonts w:ascii="宋体" w:hAnsi="Courier New" w:eastAsia="宋体" w:cs="宋体"/>
      <w:kern w:val="2"/>
      <w:sz w:val="21"/>
      <w:szCs w:val="21"/>
      <w:lang w:val="en-US" w:eastAsia="zh-CN"/>
    </w:rPr>
  </w:style>
  <w:style w:type="character" w:customStyle="1" w:styleId="71">
    <w:name w:val="纯文本 字符"/>
    <w:link w:val="25"/>
    <w:qFormat/>
    <w:uiPriority w:val="0"/>
    <w:rPr>
      <w:rFonts w:ascii="宋体" w:hAnsi="Courier New" w:eastAsia="宋体" w:cs="宋体"/>
      <w:kern w:val="2"/>
      <w:sz w:val="21"/>
      <w:szCs w:val="21"/>
      <w:lang w:val="en-US" w:eastAsia="zh-CN"/>
    </w:rPr>
  </w:style>
  <w:style w:type="character" w:customStyle="1" w:styleId="72">
    <w:name w:val="普通(网站) 字符"/>
    <w:link w:val="36"/>
    <w:qFormat/>
    <w:uiPriority w:val="99"/>
    <w:rPr>
      <w:rFonts w:ascii="宋体" w:eastAsia="宋体" w:cs="宋体"/>
      <w:sz w:val="24"/>
      <w:szCs w:val="24"/>
    </w:rPr>
  </w:style>
  <w:style w:type="character" w:customStyle="1" w:styleId="73">
    <w:name w:val="apple-converted-space"/>
    <w:basedOn w:val="38"/>
    <w:qFormat/>
    <w:uiPriority w:val="99"/>
  </w:style>
  <w:style w:type="character" w:customStyle="1" w:styleId="74">
    <w:name w:val="Char Char2"/>
    <w:qFormat/>
    <w:uiPriority w:val="99"/>
    <w:rPr>
      <w:rFonts w:ascii="宋体" w:hAnsi="宋体" w:eastAsia="宋体" w:cs="宋体"/>
      <w:kern w:val="2"/>
      <w:sz w:val="24"/>
      <w:szCs w:val="24"/>
      <w:lang w:val="en-US" w:eastAsia="zh-CN"/>
    </w:rPr>
  </w:style>
  <w:style w:type="character" w:customStyle="1" w:styleId="75">
    <w:name w:val="无间隔 Char"/>
    <w:link w:val="76"/>
    <w:qFormat/>
    <w:uiPriority w:val="99"/>
    <w:rPr>
      <w:rFonts w:ascii="Calibri" w:hAnsi="Calibri" w:cs="Calibri"/>
      <w:sz w:val="22"/>
      <w:szCs w:val="22"/>
      <w:lang w:val="en-US" w:eastAsia="zh-CN"/>
    </w:rPr>
  </w:style>
  <w:style w:type="paragraph" w:customStyle="1" w:styleId="76">
    <w:name w:val="无间隔1"/>
    <w:link w:val="75"/>
    <w:qFormat/>
    <w:uiPriority w:val="99"/>
    <w:rPr>
      <w:rFonts w:ascii="Calibri" w:hAnsi="Calibri" w:eastAsia="宋体" w:cs="Calibri"/>
      <w:sz w:val="22"/>
      <w:szCs w:val="22"/>
      <w:lang w:val="en-US" w:eastAsia="zh-CN" w:bidi="ar-SA"/>
    </w:rPr>
  </w:style>
  <w:style w:type="character" w:customStyle="1" w:styleId="77">
    <w:name w:val="case31"/>
    <w:qFormat/>
    <w:uiPriority w:val="99"/>
    <w:rPr>
      <w:sz w:val="21"/>
      <w:szCs w:val="21"/>
    </w:rPr>
  </w:style>
  <w:style w:type="character" w:customStyle="1" w:styleId="78">
    <w:name w:val="样式 body + 仿宋_GB2312 三号"/>
    <w:qFormat/>
    <w:uiPriority w:val="99"/>
    <w:rPr>
      <w:rFonts w:ascii="宋体" w:eastAsia="宋体" w:cs="宋体"/>
      <w:kern w:val="0"/>
      <w:sz w:val="24"/>
      <w:szCs w:val="24"/>
      <w:lang w:val="en-US" w:eastAsia="zh-CN"/>
    </w:rPr>
  </w:style>
  <w:style w:type="character" w:customStyle="1" w:styleId="79">
    <w:name w:val="14"/>
    <w:basedOn w:val="38"/>
    <w:qFormat/>
    <w:uiPriority w:val="99"/>
  </w:style>
  <w:style w:type="character" w:customStyle="1" w:styleId="80">
    <w:name w:val="lb1"/>
    <w:qFormat/>
    <w:uiPriority w:val="99"/>
    <w:rPr>
      <w:b/>
      <w:bCs/>
      <w:color w:val="auto"/>
      <w:sz w:val="27"/>
      <w:szCs w:val="27"/>
    </w:rPr>
  </w:style>
  <w:style w:type="character" w:customStyle="1" w:styleId="81">
    <w:name w:val="textcontents"/>
    <w:basedOn w:val="38"/>
    <w:qFormat/>
    <w:uiPriority w:val="99"/>
  </w:style>
  <w:style w:type="character" w:customStyle="1" w:styleId="82">
    <w:name w:val="Char Char Char"/>
    <w:qFormat/>
    <w:uiPriority w:val="99"/>
    <w:rPr>
      <w:rFonts w:ascii="宋体" w:hAnsi="Courier New" w:eastAsia="宋体" w:cs="宋体"/>
      <w:kern w:val="2"/>
      <w:sz w:val="21"/>
      <w:szCs w:val="21"/>
      <w:lang w:val="en-US" w:eastAsia="zh-CN"/>
    </w:rPr>
  </w:style>
  <w:style w:type="paragraph" w:customStyle="1" w:styleId="83">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6">
    <w:name w:val="正文段"/>
    <w:basedOn w:val="1"/>
    <w:qFormat/>
    <w:uiPriority w:val="99"/>
    <w:pPr>
      <w:widowControl/>
      <w:snapToGrid w:val="0"/>
      <w:spacing w:afterLines="50"/>
      <w:ind w:firstLine="200" w:firstLineChars="200"/>
    </w:pPr>
    <w:rPr>
      <w:kern w:val="0"/>
      <w:sz w:val="24"/>
      <w:szCs w:val="24"/>
    </w:rPr>
  </w:style>
  <w:style w:type="paragraph" w:customStyle="1" w:styleId="8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8">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9">
    <w:name w:val="正文首行缩进两字符"/>
    <w:basedOn w:val="1"/>
    <w:qFormat/>
    <w:uiPriority w:val="99"/>
    <w:pPr>
      <w:spacing w:line="360" w:lineRule="auto"/>
      <w:ind w:firstLine="200" w:firstLineChars="200"/>
    </w:pPr>
  </w:style>
  <w:style w:type="paragraph" w:customStyle="1" w:styleId="90">
    <w:name w:val="font6"/>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91">
    <w:name w:val="Char2"/>
    <w:basedOn w:val="16"/>
    <w:qFormat/>
    <w:uiPriority w:val="99"/>
    <w:rPr>
      <w:rFonts w:ascii="Tahoma" w:hAnsi="Tahoma" w:cs="Tahoma"/>
      <w:kern w:val="0"/>
      <w:sz w:val="18"/>
      <w:szCs w:val="18"/>
    </w:rPr>
  </w:style>
  <w:style w:type="paragraph" w:customStyle="1" w:styleId="92">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93">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仿宋_GB2312"/>
      <w:sz w:val="32"/>
      <w:szCs w:val="32"/>
    </w:rPr>
  </w:style>
  <w:style w:type="paragraph" w:customStyle="1" w:styleId="94">
    <w:name w:val="表格"/>
    <w:basedOn w:val="1"/>
    <w:qFormat/>
    <w:uiPriority w:val="99"/>
    <w:pPr>
      <w:spacing w:line="400" w:lineRule="exact"/>
    </w:pPr>
    <w:rPr>
      <w:sz w:val="24"/>
      <w:szCs w:val="24"/>
    </w:rPr>
  </w:style>
  <w:style w:type="paragraph" w:customStyle="1" w:styleId="95">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6">
    <w:name w:val="_Style 81"/>
    <w:basedOn w:val="16"/>
    <w:qFormat/>
    <w:uiPriority w:val="99"/>
    <w:pPr>
      <w:widowControl/>
      <w:ind w:firstLine="454"/>
      <w:jc w:val="left"/>
    </w:pPr>
  </w:style>
  <w:style w:type="paragraph" w:customStyle="1" w:styleId="97">
    <w:name w:val="样式 首行缩进:  2 字符"/>
    <w:basedOn w:val="1"/>
    <w:qFormat/>
    <w:uiPriority w:val="99"/>
    <w:pPr>
      <w:spacing w:line="400" w:lineRule="exact"/>
      <w:ind w:firstLine="200" w:firstLineChars="200"/>
    </w:pPr>
    <w:rPr>
      <w:sz w:val="24"/>
      <w:szCs w:val="24"/>
    </w:rPr>
  </w:style>
  <w:style w:type="paragraph" w:customStyle="1" w:styleId="98">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99">
    <w:name w:val="Char1"/>
    <w:basedOn w:val="1"/>
    <w:qFormat/>
    <w:uiPriority w:val="99"/>
  </w:style>
  <w:style w:type="paragraph" w:customStyle="1" w:styleId="100">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02">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03">
    <w:name w:val="xl31"/>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04">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0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7">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8">
    <w:name w:val="Char Char Char Char Char Char"/>
    <w:basedOn w:val="1"/>
    <w:qFormat/>
    <w:uiPriority w:val="99"/>
  </w:style>
  <w:style w:type="paragraph" w:customStyle="1" w:styleId="109">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10">
    <w:name w:val="列出段落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111">
    <w:name w:val="修订1"/>
    <w:qFormat/>
    <w:uiPriority w:val="99"/>
    <w:rPr>
      <w:rFonts w:ascii="Times New Roman" w:hAnsi="Times New Roman" w:eastAsia="宋体" w:cs="Times New Roman"/>
      <w:kern w:val="2"/>
      <w:sz w:val="21"/>
      <w:szCs w:val="21"/>
      <w:lang w:val="en-US" w:eastAsia="zh-CN" w:bidi="ar-SA"/>
    </w:rPr>
  </w:style>
  <w:style w:type="paragraph" w:customStyle="1" w:styleId="11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3">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14">
    <w:name w:val="font7"/>
    <w:basedOn w:val="1"/>
    <w:qFormat/>
    <w:uiPriority w:val="99"/>
    <w:pPr>
      <w:widowControl/>
      <w:spacing w:before="100" w:beforeAutospacing="1" w:after="100" w:afterAutospacing="1"/>
      <w:jc w:val="left"/>
    </w:pPr>
    <w:rPr>
      <w:kern w:val="0"/>
      <w:sz w:val="16"/>
      <w:szCs w:val="16"/>
    </w:rPr>
  </w:style>
  <w:style w:type="paragraph" w:customStyle="1" w:styleId="115">
    <w:name w:val="Char"/>
    <w:basedOn w:val="1"/>
    <w:qFormat/>
    <w:uiPriority w:val="99"/>
  </w:style>
  <w:style w:type="paragraph" w:customStyle="1" w:styleId="116">
    <w:name w:val="默认段落字体 Para Char"/>
    <w:basedOn w:val="1"/>
    <w:qFormat/>
    <w:uiPriority w:val="99"/>
    <w:pPr>
      <w:adjustRightInd w:val="0"/>
      <w:spacing w:line="360" w:lineRule="auto"/>
    </w:pPr>
    <w:rPr>
      <w:kern w:val="0"/>
      <w:sz w:val="24"/>
      <w:szCs w:val="24"/>
    </w:rPr>
  </w:style>
  <w:style w:type="paragraph" w:customStyle="1" w:styleId="117">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18">
    <w:name w:val="Char3"/>
    <w:basedOn w:val="16"/>
    <w:qFormat/>
    <w:uiPriority w:val="99"/>
    <w:pPr>
      <w:widowControl/>
      <w:ind w:firstLine="454"/>
      <w:jc w:val="left"/>
    </w:pPr>
    <w:rPr>
      <w:rFonts w:ascii="Tahoma" w:hAnsi="Tahoma" w:cs="Tahoma"/>
      <w:kern w:val="0"/>
      <w:sz w:val="24"/>
      <w:szCs w:val="24"/>
    </w:rPr>
  </w:style>
  <w:style w:type="paragraph" w:customStyle="1" w:styleId="11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0">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121">
    <w:name w:val="默认段落字体 Para Char Char Char Char Char Char Char Char Char1 Char Char Char Char"/>
    <w:basedOn w:val="1"/>
    <w:qFormat/>
    <w:uiPriority w:val="99"/>
    <w:rPr>
      <w:rFonts w:ascii="Tahoma" w:hAnsi="Tahoma" w:cs="Tahoma"/>
      <w:sz w:val="24"/>
      <w:szCs w:val="24"/>
    </w:rPr>
  </w:style>
  <w:style w:type="paragraph" w:customStyle="1" w:styleId="12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3">
    <w:name w:val="表内文字"/>
    <w:basedOn w:val="1"/>
    <w:qFormat/>
    <w:uiPriority w:val="99"/>
    <w:pPr>
      <w:snapToGrid w:val="0"/>
      <w:jc w:val="center"/>
    </w:pPr>
    <w:rPr>
      <w:rFonts w:ascii="宋体" w:hAnsi="宋体" w:cs="宋体"/>
      <w:color w:val="FF0000"/>
      <w:sz w:val="24"/>
      <w:szCs w:val="24"/>
    </w:rPr>
  </w:style>
  <w:style w:type="paragraph" w:customStyle="1" w:styleId="12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黑体"/>
      <w:b/>
      <w:bCs/>
      <w:kern w:val="0"/>
      <w:sz w:val="18"/>
      <w:szCs w:val="18"/>
    </w:rPr>
  </w:style>
  <w:style w:type="paragraph" w:customStyle="1" w:styleId="12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7">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8">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9">
    <w:name w:val="char"/>
    <w:basedOn w:val="1"/>
    <w:qFormat/>
    <w:uiPriority w:val="99"/>
    <w:pPr>
      <w:widowControl/>
      <w:adjustRightInd w:val="0"/>
      <w:snapToGrid w:val="0"/>
      <w:spacing w:beforeLines="50" w:after="160" w:line="360" w:lineRule="exact"/>
      <w:ind w:firstLine="496" w:firstLineChars="200"/>
      <w:jc w:val="left"/>
    </w:pPr>
    <w:rPr>
      <w:rFonts w:ascii="宋体" w:hAnsi="宋体" w:cs="宋体"/>
      <w:color w:val="000000"/>
      <w:spacing w:val="4"/>
      <w:kern w:val="0"/>
      <w:sz w:val="24"/>
      <w:szCs w:val="24"/>
      <w:lang w:eastAsia="en-US"/>
    </w:rPr>
  </w:style>
  <w:style w:type="paragraph" w:customStyle="1" w:styleId="130">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rPr>
  </w:style>
  <w:style w:type="paragraph" w:customStyle="1" w:styleId="131">
    <w:name w:val="1"/>
    <w:basedOn w:val="1"/>
    <w:next w:val="25"/>
    <w:qFormat/>
    <w:uiPriority w:val="99"/>
    <w:rPr>
      <w:rFonts w:ascii="宋体" w:hAnsi="Courier New" w:cs="宋体"/>
    </w:rPr>
  </w:style>
  <w:style w:type="paragraph" w:customStyle="1" w:styleId="132">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33">
    <w:name w:val="Body text|1"/>
    <w:basedOn w:val="1"/>
    <w:qFormat/>
    <w:uiPriority w:val="99"/>
    <w:pPr>
      <w:spacing w:line="442" w:lineRule="auto"/>
      <w:ind w:firstLine="400"/>
    </w:pPr>
    <w:rPr>
      <w:rFonts w:ascii="宋体" w:hAnsi="宋体" w:cs="宋体"/>
      <w:color w:val="2E2F2F"/>
      <w:sz w:val="28"/>
      <w:szCs w:val="28"/>
      <w:lang w:val="zh-TW" w:eastAsia="zh-TW"/>
    </w:rPr>
  </w:style>
  <w:style w:type="paragraph" w:customStyle="1" w:styleId="134">
    <w:name w:val="Body text|2"/>
    <w:basedOn w:val="1"/>
    <w:qFormat/>
    <w:uiPriority w:val="99"/>
    <w:pPr>
      <w:spacing w:line="596" w:lineRule="exact"/>
      <w:ind w:firstLine="670"/>
    </w:pPr>
    <w:rPr>
      <w:rFonts w:ascii="宋体" w:hAnsi="宋体" w:cs="宋体"/>
      <w:color w:val="2E2F2F"/>
      <w:sz w:val="32"/>
      <w:szCs w:val="32"/>
      <w:lang w:val="zh-TW" w:eastAsia="zh-TW"/>
    </w:rPr>
  </w:style>
  <w:style w:type="paragraph" w:customStyle="1" w:styleId="135">
    <w:name w:val="Table of contents|1"/>
    <w:basedOn w:val="1"/>
    <w:qFormat/>
    <w:uiPriority w:val="99"/>
    <w:pPr>
      <w:spacing w:line="605" w:lineRule="exact"/>
      <w:ind w:firstLine="750"/>
    </w:pPr>
    <w:rPr>
      <w:rFonts w:ascii="宋体" w:hAnsi="宋体" w:cs="宋体"/>
      <w:color w:val="2E2F2F"/>
      <w:sz w:val="28"/>
      <w:szCs w:val="28"/>
      <w:lang w:val="zh-TW" w:eastAsia="zh-TW"/>
    </w:rPr>
  </w:style>
  <w:style w:type="paragraph" w:customStyle="1" w:styleId="136">
    <w:name w:val="Header or footer|2"/>
    <w:basedOn w:val="1"/>
    <w:qFormat/>
    <w:uiPriority w:val="99"/>
    <w:rPr>
      <w:sz w:val="20"/>
      <w:szCs w:val="20"/>
      <w:lang w:val="zh-TW" w:eastAsia="zh-TW"/>
    </w:rPr>
  </w:style>
  <w:style w:type="paragraph" w:customStyle="1" w:styleId="137">
    <w:name w:val="Heading #3|1"/>
    <w:qFormat/>
    <w:uiPriority w:val="99"/>
    <w:pPr>
      <w:widowControl w:val="0"/>
      <w:spacing w:after="340" w:line="600" w:lineRule="exact"/>
      <w:jc w:val="center"/>
      <w:outlineLvl w:val="2"/>
    </w:pPr>
    <w:rPr>
      <w:rFonts w:ascii="宋体" w:hAnsi="宋体" w:eastAsia="宋体" w:cs="宋体"/>
      <w:color w:val="2E2F2F"/>
      <w:kern w:val="2"/>
      <w:sz w:val="42"/>
      <w:szCs w:val="42"/>
      <w:lang w:val="zh-TW" w:eastAsia="zh-TW" w:bidi="ar-SA"/>
    </w:rPr>
  </w:style>
  <w:style w:type="paragraph" w:customStyle="1" w:styleId="138">
    <w:name w:val="Other|1"/>
    <w:qFormat/>
    <w:uiPriority w:val="99"/>
    <w:pPr>
      <w:widowControl w:val="0"/>
      <w:spacing w:line="307" w:lineRule="exact"/>
      <w:jc w:val="both"/>
    </w:pPr>
    <w:rPr>
      <w:rFonts w:ascii="宋体" w:hAnsi="宋体" w:eastAsia="宋体" w:cs="宋体"/>
      <w:color w:val="2E2F2F"/>
      <w:kern w:val="2"/>
      <w:lang w:val="zh-TW" w:eastAsia="zh-TW" w:bidi="ar-SA"/>
    </w:rPr>
  </w:style>
  <w:style w:type="paragraph" w:customStyle="1" w:styleId="139">
    <w:name w:val="Other|2"/>
    <w:qFormat/>
    <w:uiPriority w:val="99"/>
    <w:pPr>
      <w:widowControl w:val="0"/>
      <w:jc w:val="center"/>
    </w:pPr>
    <w:rPr>
      <w:rFonts w:ascii="宋体" w:hAnsi="宋体" w:eastAsia="宋体" w:cs="宋体"/>
      <w:color w:val="2E2F2F"/>
      <w:kern w:val="2"/>
      <w:lang w:val="zh-TW" w:eastAsia="zh-TW" w:bidi="ar-SA"/>
    </w:rPr>
  </w:style>
  <w:style w:type="paragraph" w:customStyle="1" w:styleId="140">
    <w:name w:val="Header or footer|1"/>
    <w:qFormat/>
    <w:uiPriority w:val="99"/>
    <w:pPr>
      <w:widowControl w:val="0"/>
      <w:jc w:val="both"/>
    </w:pPr>
    <w:rPr>
      <w:rFonts w:ascii="Times New Roman" w:hAnsi="Times New Roman" w:eastAsia="宋体" w:cs="Times New Roman"/>
      <w:color w:val="2E2F2F"/>
      <w:kern w:val="2"/>
      <w:sz w:val="28"/>
      <w:szCs w:val="28"/>
      <w:lang w:val="zh-CN" w:eastAsia="zh-CN" w:bidi="ar-SA"/>
    </w:rPr>
  </w:style>
  <w:style w:type="paragraph" w:customStyle="1" w:styleId="141">
    <w:name w:val="表格内容"/>
    <w:basedOn w:val="1"/>
    <w:qFormat/>
    <w:uiPriority w:val="99"/>
    <w:pPr>
      <w:jc w:val="center"/>
    </w:pPr>
    <w:rPr>
      <w:rFonts w:ascii="宋体" w:hAnsi="宋体" w:cs="宋体"/>
      <w:kern w:val="0"/>
    </w:rPr>
  </w:style>
  <w:style w:type="paragraph" w:customStyle="1" w:styleId="142">
    <w:name w:val="正文_2_0"/>
    <w:basedOn w:val="143"/>
    <w:qFormat/>
    <w:uiPriority w:val="99"/>
  </w:style>
  <w:style w:type="paragraph" w:customStyle="1" w:styleId="143">
    <w:name w:val="正文_2_1"/>
    <w:basedOn w:val="144"/>
    <w:qFormat/>
    <w:uiPriority w:val="99"/>
  </w:style>
  <w:style w:type="paragraph" w:customStyle="1" w:styleId="144">
    <w:name w:val="正文_2_2"/>
    <w:qFormat/>
    <w:uiPriority w:val="99"/>
    <w:pPr>
      <w:widowControl w:val="0"/>
      <w:jc w:val="both"/>
    </w:pPr>
    <w:rPr>
      <w:rFonts w:ascii="Calibri" w:hAnsi="Calibri" w:eastAsia="宋体" w:cs="Calibri"/>
      <w:kern w:val="2"/>
      <w:sz w:val="21"/>
      <w:szCs w:val="21"/>
      <w:lang w:val="en-US" w:eastAsia="zh-CN" w:bidi="ar-SA"/>
    </w:rPr>
  </w:style>
  <w:style w:type="character" w:customStyle="1" w:styleId="145">
    <w:name w:val="10_1"/>
    <w:qFormat/>
    <w:uiPriority w:val="99"/>
    <w:rPr>
      <w:rFonts w:ascii="Times New Roman" w:hAnsi="Times New Roman" w:eastAsia="宋体" w:cs="Times New Roman"/>
    </w:rPr>
  </w:style>
  <w:style w:type="character" w:customStyle="1" w:styleId="146">
    <w:name w:val="font11"/>
    <w:basedOn w:val="38"/>
    <w:qFormat/>
    <w:uiPriority w:val="0"/>
    <w:rPr>
      <w:rFonts w:hint="eastAsia" w:ascii="宋体" w:hAnsi="宋体" w:eastAsia="宋体" w:cs="宋体"/>
      <w:color w:val="FF0000"/>
      <w:sz w:val="22"/>
      <w:szCs w:val="22"/>
      <w:u w:val="none"/>
    </w:rPr>
  </w:style>
  <w:style w:type="character" w:customStyle="1" w:styleId="147">
    <w:name w:val="font21"/>
    <w:basedOn w:val="38"/>
    <w:qFormat/>
    <w:uiPriority w:val="0"/>
    <w:rPr>
      <w:rFonts w:hint="eastAsia" w:ascii="宋体" w:hAnsi="宋体" w:eastAsia="宋体" w:cs="宋体"/>
      <w:color w:val="000000"/>
      <w:sz w:val="22"/>
      <w:szCs w:val="22"/>
      <w:u w:val="none"/>
    </w:rPr>
  </w:style>
  <w:style w:type="paragraph" w:customStyle="1" w:styleId="148">
    <w:name w:val="纯文本1"/>
    <w:basedOn w:val="1"/>
    <w:qFormat/>
    <w:uiPriority w:val="0"/>
    <w:pPr>
      <w:suppressAutoHyphens/>
    </w:pPr>
    <w:rPr>
      <w:rFonts w:ascii="宋体" w:hAnsi="宋体" w:cs="Calibri"/>
      <w:kern w:val="1"/>
      <w:sz w:val="20"/>
      <w:lang w:eastAsia="ar-SA"/>
    </w:rPr>
  </w:style>
  <w:style w:type="paragraph" w:customStyle="1" w:styleId="149">
    <w:name w:val="修订2"/>
    <w:qFormat/>
    <w:uiPriority w:val="99"/>
    <w:rPr>
      <w:rFonts w:ascii="Times New Roman" w:hAnsi="Times New Roman" w:eastAsia="宋体" w:cs="Times New Roman"/>
      <w:kern w:val="2"/>
      <w:sz w:val="21"/>
      <w:szCs w:val="21"/>
      <w:lang w:val="en-US" w:eastAsia="zh-CN" w:bidi="ar-SA"/>
    </w:rPr>
  </w:style>
  <w:style w:type="paragraph" w:customStyle="1" w:styleId="150">
    <w:name w:val="修订3"/>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ab896-4942-4541-8ff7-21887518b214}">
  <ds:schemaRefs/>
</ds:datastoreItem>
</file>

<file path=customXml/itemProps3.xml><?xml version="1.0" encoding="utf-8"?>
<ds:datastoreItem xmlns:ds="http://schemas.openxmlformats.org/officeDocument/2006/customXml" ds:itemID="{fcdc5caf-927e-4397-ae2f-67d64f92ad8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34594</Words>
  <Characters>35828</Characters>
  <Paragraphs>1862</Paragraphs>
  <TotalTime>5</TotalTime>
  <ScaleCrop>false</ScaleCrop>
  <LinksUpToDate>false</LinksUpToDate>
  <CharactersWithSpaces>36769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2020-12-28T07:52:00Z</dcterms:created>
  <dc:creator>User</dc:creator>
  <cp:lastModifiedBy>wiki</cp:lastModifiedBy>
  <cp:lastPrinted>2020-05-09T18:55:00Z</cp:lastPrinted>
  <dcterms:modified xsi:type="dcterms:W3CDTF">2020-12-28T09:12:16Z</dcterms:modified>
  <dc:title>广西壮族自治区建设工程机电设备招标中心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