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ind w:firstLine="105"/>
        <w:jc w:val="center"/>
        <w:rPr>
          <w:rFonts w:ascii="仿宋" w:hAnsi="仿宋" w:eastAsia="仿宋" w:cs="仿宋"/>
          <w:color w:val="auto"/>
          <w:highlight w:val="none"/>
        </w:rPr>
      </w:pPr>
    </w:p>
    <w:p>
      <w:pPr>
        <w:pStyle w:val="9"/>
        <w:ind w:firstLine="105"/>
        <w:jc w:val="center"/>
        <w:rPr>
          <w:rFonts w:ascii="仿宋" w:hAnsi="仿宋" w:eastAsia="仿宋" w:cs="仿宋"/>
          <w:color w:val="auto"/>
          <w:highlight w:val="none"/>
        </w:rPr>
      </w:pPr>
      <w:r>
        <w:rPr>
          <w:rFonts w:hint="eastAsia" w:ascii="仿宋" w:hAnsi="仿宋" w:eastAsia="仿宋" w:cs="仿宋"/>
          <w:b/>
          <w:color w:val="auto"/>
          <w:sz w:val="72"/>
          <w:szCs w:val="72"/>
          <w:highlight w:val="none"/>
        </w:rPr>
        <w:drawing>
          <wp:anchor distT="0" distB="0" distL="114300" distR="114300" simplePos="0" relativeHeight="251646976" behindDoc="0" locked="0" layoutInCell="1" allowOverlap="1">
            <wp:simplePos x="0" y="0"/>
            <wp:positionH relativeFrom="column">
              <wp:posOffset>-338455</wp:posOffset>
            </wp:positionH>
            <wp:positionV relativeFrom="paragraph">
              <wp:posOffset>29845</wp:posOffset>
            </wp:positionV>
            <wp:extent cx="952500" cy="857250"/>
            <wp:effectExtent l="0" t="0" r="7620" b="11430"/>
            <wp:wrapNone/>
            <wp:docPr id="2" name="图片 5" descr="天柱（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天柱（标）c"/>
                    <pic:cNvPicPr>
                      <a:picLocks noChangeAspect="1"/>
                    </pic:cNvPicPr>
                  </pic:nvPicPr>
                  <pic:blipFill>
                    <a:blip r:embed="rId9"/>
                    <a:stretch>
                      <a:fillRect/>
                    </a:stretch>
                  </pic:blipFill>
                  <pic:spPr>
                    <a:xfrm>
                      <a:off x="0" y="0"/>
                      <a:ext cx="952500" cy="857250"/>
                    </a:xfrm>
                    <a:prstGeom prst="rect">
                      <a:avLst/>
                    </a:prstGeom>
                    <a:noFill/>
                    <a:ln>
                      <a:noFill/>
                    </a:ln>
                  </pic:spPr>
                </pic:pic>
              </a:graphicData>
            </a:graphic>
          </wp:anchor>
        </w:drawing>
      </w:r>
      <w:r>
        <w:rPr>
          <w:rFonts w:ascii="仿宋" w:hAnsi="仿宋" w:eastAsia="仿宋" w:cs="仿宋"/>
          <w:color w:val="auto"/>
          <w:highlight w:val="none"/>
        </w:rPr>
        <w:pict>
          <v:shape id="_x0000_s1120" o:spid="_x0000_s1120" o:spt="136" type="#_x0000_t136" style="position:absolute;left:0pt;margin-left:52.85pt;margin-top:-1.95pt;height:30.75pt;width:416.4pt;z-index:251665408;mso-width-relative:page;mso-height-relative:page;" stroked="t" coordsize="21600,21600">
            <v:path/>
            <v:fill focussize="0,0"/>
            <v:stroke weight="1.5pt" color="#99CCFF"/>
            <v:imagedata o:title=""/>
            <o:lock v:ext="edit"/>
            <v:textpath on="t" fitshape="t" fitpath="t" trim="t" xscale="f" string="广西天柱建设管理有限公司" style="font-family:宋体;font-size:20pt;v-text-align:center;v-text-spacing:78650f;"/>
            <v:shadow on="t" color="#990000"/>
          </v:shape>
        </w:pict>
      </w:r>
    </w:p>
    <w:p>
      <w:pPr>
        <w:pStyle w:val="9"/>
        <w:ind w:firstLine="105"/>
        <w:jc w:val="center"/>
        <w:rPr>
          <w:rFonts w:ascii="仿宋" w:hAnsi="仿宋" w:eastAsia="仿宋" w:cs="仿宋"/>
          <w:color w:val="auto"/>
          <w:highlight w:val="none"/>
        </w:rPr>
      </w:pPr>
    </w:p>
    <w:p>
      <w:pPr>
        <w:pStyle w:val="9"/>
        <w:ind w:firstLine="105"/>
        <w:jc w:val="center"/>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705485</wp:posOffset>
                </wp:positionH>
                <wp:positionV relativeFrom="paragraph">
                  <wp:posOffset>150495</wp:posOffset>
                </wp:positionV>
                <wp:extent cx="5307965" cy="0"/>
                <wp:effectExtent l="0" t="28575" r="6985" b="28575"/>
                <wp:wrapNone/>
                <wp:docPr id="1" name="直线 98"/>
                <wp:cNvGraphicFramePr/>
                <a:graphic xmlns:a="http://schemas.openxmlformats.org/drawingml/2006/main">
                  <a:graphicData uri="http://schemas.microsoft.com/office/word/2010/wordprocessingShape">
                    <wps:wsp>
                      <wps:cNvCnPr/>
                      <wps:spPr>
                        <a:xfrm>
                          <a:off x="0" y="0"/>
                          <a:ext cx="530796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直线 98" o:spid="_x0000_s1026" o:spt="20" style="position:absolute;left:0pt;margin-left:55.55pt;margin-top:11.85pt;height:0pt;width:417.95pt;z-index:251667456;mso-width-relative:page;mso-height-relative:page;" filled="f" stroked="t" coordsize="21600,21600" o:allowincell="f" o:gfxdata="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BQETYAAAACQEAAA8AAAAAAAAAAQAgAAAAIgAAAGRycy9kb3ducmV2LnhtbFBLAQIU&#10;ABQAAAAIAIdO4kA0Ncjv8wEAAPEDAAAOAAAAAAAAAAEAIAAAACcBAABkcnMvZTJvRG9jLnhtbFBL&#10;BQYAAAAABgAGAFkBAACMBQAAAAA=&#10;">
                <v:fill on="f" focussize="0,0"/>
                <v:stroke weight="4.5pt" color="#000000" linestyle="thinThick" joinstyle="round"/>
                <v:imagedata o:title=""/>
                <o:lock v:ext="edit" aspectratio="f"/>
              </v:line>
            </w:pict>
          </mc:Fallback>
        </mc:AlternateContent>
      </w:r>
    </w:p>
    <w:p>
      <w:pPr>
        <w:pStyle w:val="9"/>
        <w:ind w:firstLine="105"/>
        <w:jc w:val="center"/>
        <w:rPr>
          <w:rFonts w:ascii="仿宋" w:hAnsi="仿宋" w:eastAsia="仿宋" w:cs="仿宋"/>
          <w:color w:val="auto"/>
          <w:highlight w:val="none"/>
        </w:rPr>
      </w:pPr>
      <w:r>
        <w:rPr>
          <w:rFonts w:ascii="仿宋" w:hAnsi="仿宋" w:eastAsia="仿宋" w:cs="仿宋"/>
          <w:color w:val="auto"/>
          <w:highlight w:val="none"/>
        </w:rPr>
        <w:pict>
          <v:shape id="_x0000_s1121" o:spid="_x0000_s1121" o:spt="136" type="#_x0000_t136" style="position:absolute;left:0pt;margin-left:55.55pt;margin-top:5.35pt;height:17.7pt;width:410.15pt;z-index:251666432;mso-width-relative:page;mso-height-relative:page;" fillcolor="#000000" filled="t" stroked="t" coordsize="21600,21600">
            <v:path/>
            <v:fill on="t" focussize="0,0"/>
            <v:stroke weight="1.5pt" color="#99CCFF"/>
            <v:imagedata o:title=""/>
            <o:lock v:ext="edit"/>
            <v:textpath on="t" fitshape="t" fitpath="t" trim="t" xscale="f" string="GuangXi TianZhu Engineering Construction Supervision Co.,Ltd" style="font-family:宋体;font-size:14pt;v-text-align:center;"/>
            <v:shadow on="t" color="#990000"/>
          </v:shape>
        </w:pict>
      </w:r>
    </w:p>
    <w:p>
      <w:pPr>
        <w:spacing w:line="1000" w:lineRule="exac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cr/>
      </w:r>
    </w:p>
    <w:p>
      <w:pPr>
        <w:spacing w:line="1000" w:lineRule="exact"/>
        <w:jc w:val="center"/>
        <w:rPr>
          <w:rFonts w:ascii="仿宋" w:hAnsi="仿宋" w:eastAsia="仿宋" w:cs="仿宋"/>
          <w:b/>
          <w:color w:val="auto"/>
          <w:sz w:val="84"/>
          <w:szCs w:val="84"/>
          <w:highlight w:val="none"/>
        </w:rPr>
      </w:pPr>
      <w:r>
        <w:rPr>
          <w:rFonts w:hint="eastAsia" w:ascii="仿宋" w:hAnsi="仿宋" w:eastAsia="仿宋" w:cs="仿宋"/>
          <w:b/>
          <w:color w:val="auto"/>
          <w:spacing w:val="60"/>
          <w:sz w:val="84"/>
          <w:szCs w:val="84"/>
          <w:highlight w:val="none"/>
          <w:lang w:eastAsia="zh-CN"/>
        </w:rPr>
        <w:t>竞争性谈判</w:t>
      </w:r>
      <w:r>
        <w:rPr>
          <w:rFonts w:hint="eastAsia" w:ascii="仿宋" w:hAnsi="仿宋" w:eastAsia="仿宋" w:cs="仿宋"/>
          <w:b/>
          <w:color w:val="auto"/>
          <w:spacing w:val="60"/>
          <w:sz w:val="84"/>
          <w:szCs w:val="84"/>
          <w:highlight w:val="none"/>
        </w:rPr>
        <w:t>文件</w:t>
      </w:r>
      <w:r>
        <w:rPr>
          <w:rFonts w:hint="eastAsia" w:ascii="仿宋" w:hAnsi="仿宋" w:eastAsia="仿宋" w:cs="仿宋"/>
          <w:b/>
          <w:color w:val="auto"/>
          <w:sz w:val="84"/>
          <w:szCs w:val="84"/>
          <w:highlight w:val="none"/>
        </w:rPr>
        <w:cr/>
      </w:r>
    </w:p>
    <w:p>
      <w:pPr>
        <w:spacing w:line="360" w:lineRule="auto"/>
        <w:rPr>
          <w:rFonts w:ascii="仿宋" w:hAnsi="仿宋" w:eastAsia="仿宋" w:cs="仿宋"/>
          <w:b/>
          <w:color w:val="auto"/>
          <w:sz w:val="32"/>
          <w:szCs w:val="32"/>
          <w:highlight w:val="none"/>
        </w:rPr>
      </w:pPr>
    </w:p>
    <w:p>
      <w:pPr>
        <w:spacing w:line="360" w:lineRule="auto"/>
        <w:ind w:firstLine="321" w:firstLineChars="1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项目名称：钟山县应急管理局</w:t>
      </w:r>
      <w:r>
        <w:rPr>
          <w:rFonts w:hint="eastAsia" w:ascii="仿宋" w:hAnsi="仿宋" w:eastAsia="仿宋" w:cs="仿宋"/>
          <w:b/>
          <w:bCs/>
          <w:color w:val="auto"/>
          <w:sz w:val="32"/>
          <w:szCs w:val="32"/>
          <w:highlight w:val="none"/>
        </w:rPr>
        <w:t>综合应急救援先锋队物资采购项目</w:t>
      </w:r>
    </w:p>
    <w:p>
      <w:pPr>
        <w:spacing w:line="360" w:lineRule="auto"/>
        <w:ind w:left="420" w:leftChars="200"/>
        <w:rPr>
          <w:rFonts w:ascii="仿宋" w:hAnsi="仿宋" w:eastAsia="仿宋" w:cs="仿宋"/>
          <w:b/>
          <w:color w:val="auto"/>
          <w:sz w:val="32"/>
          <w:szCs w:val="32"/>
          <w:highlight w:val="none"/>
        </w:rPr>
      </w:pPr>
    </w:p>
    <w:p>
      <w:pPr>
        <w:spacing w:line="360" w:lineRule="auto"/>
        <w:ind w:left="420" w:leftChars="200"/>
        <w:rPr>
          <w:rFonts w:ascii="仿宋" w:hAnsi="仿宋" w:eastAsia="仿宋" w:cs="仿宋"/>
          <w:b/>
          <w:color w:val="auto"/>
          <w:sz w:val="32"/>
          <w:szCs w:val="32"/>
          <w:highlight w:val="none"/>
          <w:u w:val="double"/>
        </w:rPr>
      </w:pPr>
      <w:r>
        <w:rPr>
          <w:rFonts w:hint="eastAsia" w:ascii="仿宋" w:hAnsi="仿宋" w:eastAsia="仿宋" w:cs="仿宋"/>
          <w:b/>
          <w:color w:val="auto"/>
          <w:sz w:val="32"/>
          <w:szCs w:val="32"/>
          <w:highlight w:val="none"/>
        </w:rPr>
        <w:t>项目编号：HZZC2020-J1-220178-GXTZ</w:t>
      </w:r>
    </w:p>
    <w:p>
      <w:pPr>
        <w:spacing w:before="240" w:line="360" w:lineRule="auto"/>
        <w:ind w:left="412" w:firstLine="843" w:firstLineChars="300"/>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mc:AlternateContent>
          <mc:Choice Requires="wps">
            <w:drawing>
              <wp:anchor distT="0" distB="0" distL="114300" distR="114300" simplePos="0" relativeHeight="251668480" behindDoc="0" locked="0" layoutInCell="0" allowOverlap="1">
                <wp:simplePos x="0" y="0"/>
                <wp:positionH relativeFrom="column">
                  <wp:posOffset>-439420</wp:posOffset>
                </wp:positionH>
                <wp:positionV relativeFrom="paragraph">
                  <wp:posOffset>280670</wp:posOffset>
                </wp:positionV>
                <wp:extent cx="6525895" cy="0"/>
                <wp:effectExtent l="0" t="28575" r="8255" b="28575"/>
                <wp:wrapNone/>
                <wp:docPr id="5" name="直线 40"/>
                <wp:cNvGraphicFramePr/>
                <a:graphic xmlns:a="http://schemas.openxmlformats.org/drawingml/2006/main">
                  <a:graphicData uri="http://schemas.microsoft.com/office/word/2010/wordprocessingShape">
                    <wps:wsp>
                      <wps:cNvCnPr/>
                      <wps:spPr>
                        <a:xfrm>
                          <a:off x="0" y="0"/>
                          <a:ext cx="652589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直线 40" o:spid="_x0000_s1026" o:spt="20" style="position:absolute;left:0pt;margin-left:-34.6pt;margin-top:22.1pt;height:0pt;width:513.85pt;z-index:251668480;mso-width-relative:page;mso-height-relative:page;" filled="f" stroked="t" coordsize="21600,21600" o:allowincell="f" o:gfxdata="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sBRu2gAAAAkBAAAPAAAAAAAAAAEAIAAAACIAAABkcnMvZG93bnJldi54bWxQSwEC&#10;FAAUAAAACACHTuJAE3spO/IBAADxAwAADgAAAAAAAAABACAAAAApAQAAZHJzL2Uyb0RvYy54bWxQ&#10;SwUGAAAAAAYABgBZAQAAjQUAAAAA&#10;">
                <v:fill on="f" focussize="0,0"/>
                <v:stroke weight="4.5pt" color="#000000" linestyle="thinThick" joinstyle="round"/>
                <v:imagedata o:title=""/>
                <o:lock v:ext="edit" aspectratio="f"/>
              </v:line>
            </w:pict>
          </mc:Fallback>
        </mc:AlternateContent>
      </w:r>
    </w:p>
    <w:p>
      <w:pPr>
        <w:rPr>
          <w:rFonts w:ascii="仿宋" w:hAnsi="仿宋" w:eastAsia="仿宋" w:cs="仿宋"/>
          <w:b/>
          <w:color w:val="auto"/>
          <w:sz w:val="32"/>
          <w:szCs w:val="32"/>
          <w:highlight w:val="none"/>
        </w:rPr>
      </w:pPr>
    </w:p>
    <w:p>
      <w:pPr>
        <w:spacing w:line="600" w:lineRule="auto"/>
        <w:ind w:left="420" w:left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采购单位: 钟山县应急管理局</w:t>
      </w:r>
    </w:p>
    <w:p>
      <w:pPr>
        <w:spacing w:line="600" w:lineRule="auto"/>
        <w:ind w:left="420" w:left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采购代理单位: 广西天柱建设管理有限公司</w:t>
      </w:r>
    </w:p>
    <w:p>
      <w:pPr>
        <w:spacing w:line="600" w:lineRule="auto"/>
        <w:ind w:left="420" w:left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发布日期：2020年11月</w:t>
      </w:r>
    </w:p>
    <w:p>
      <w:pPr>
        <w:pStyle w:val="13"/>
        <w:rPr>
          <w:rFonts w:ascii="仿宋" w:hAnsi="仿宋" w:eastAsia="仿宋" w:cs="仿宋"/>
          <w:color w:val="auto"/>
          <w:highlight w:val="none"/>
        </w:rPr>
      </w:pPr>
    </w:p>
    <w:p>
      <w:pPr>
        <w:pStyle w:val="9"/>
        <w:snapToGrid w:val="0"/>
        <w:spacing w:line="360" w:lineRule="auto"/>
        <w:jc w:val="center"/>
        <w:rPr>
          <w:rFonts w:ascii="仿宋" w:hAnsi="仿宋" w:eastAsia="仿宋" w:cs="仿宋"/>
          <w:b/>
          <w:bCs/>
          <w:color w:val="auto"/>
          <w:sz w:val="44"/>
          <w:highlight w:val="none"/>
        </w:rPr>
      </w:pPr>
      <w:r>
        <w:rPr>
          <w:rFonts w:hint="eastAsia" w:ascii="仿宋" w:hAnsi="仿宋" w:eastAsia="仿宋" w:cs="仿宋"/>
          <w:b/>
          <w:bCs/>
          <w:color w:val="auto"/>
          <w:sz w:val="44"/>
          <w:highlight w:val="none"/>
        </w:rPr>
        <w:t>目  录</w:t>
      </w:r>
    </w:p>
    <w:p>
      <w:pPr>
        <w:pStyle w:val="9"/>
        <w:snapToGrid w:val="0"/>
        <w:spacing w:line="360" w:lineRule="auto"/>
        <w:jc w:val="center"/>
        <w:rPr>
          <w:rFonts w:ascii="仿宋" w:hAnsi="仿宋" w:eastAsia="仿宋" w:cs="仿宋"/>
          <w:color w:val="auto"/>
          <w:sz w:val="44"/>
          <w:highlight w:val="none"/>
        </w:rPr>
      </w:pPr>
    </w:p>
    <w:p>
      <w:pPr>
        <w:pStyle w:val="9"/>
        <w:tabs>
          <w:tab w:val="left" w:leader="dot" w:pos="8400"/>
          <w:tab w:val="right" w:leader="dot" w:pos="8460"/>
        </w:tabs>
        <w:snapToGrid w:val="0"/>
        <w:spacing w:beforeLines="150" w:afterLines="15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第一章</w:t>
      </w:r>
      <w:r>
        <w:rPr>
          <w:rFonts w:hint="eastAsia" w:ascii="仿宋" w:hAnsi="仿宋" w:eastAsia="仿宋" w:cs="仿宋"/>
          <w:color w:val="auto"/>
          <w:sz w:val="28"/>
          <w:szCs w:val="28"/>
          <w:highlight w:val="none"/>
          <w:lang w:eastAsia="zh-CN"/>
        </w:rPr>
        <w:t>竞争性谈判</w:t>
      </w:r>
      <w:r>
        <w:rPr>
          <w:rFonts w:hint="eastAsia" w:ascii="仿宋" w:hAnsi="仿宋" w:eastAsia="仿宋" w:cs="仿宋"/>
          <w:color w:val="auto"/>
          <w:sz w:val="28"/>
          <w:szCs w:val="28"/>
          <w:highlight w:val="none"/>
        </w:rPr>
        <w:t>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w:t>
      </w:r>
    </w:p>
    <w:p>
      <w:pPr>
        <w:pStyle w:val="9"/>
        <w:tabs>
          <w:tab w:val="left" w:leader="dot" w:pos="8400"/>
          <w:tab w:val="right" w:leader="dot" w:pos="8460"/>
        </w:tabs>
        <w:snapToGrid w:val="0"/>
        <w:spacing w:beforeLines="150" w:afterLines="150"/>
        <w:jc w:val="left"/>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第二章 </w:t>
      </w:r>
      <w:r>
        <w:rPr>
          <w:rFonts w:hint="eastAsia" w:ascii="仿宋" w:hAnsi="仿宋" w:eastAsia="仿宋" w:cs="仿宋"/>
          <w:color w:val="auto"/>
          <w:sz w:val="28"/>
          <w:szCs w:val="28"/>
          <w:highlight w:val="none"/>
          <w:lang w:eastAsia="zh-CN"/>
        </w:rPr>
        <w:t>竞标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须知及前附表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4</w:t>
      </w:r>
    </w:p>
    <w:p>
      <w:pPr>
        <w:pStyle w:val="9"/>
        <w:tabs>
          <w:tab w:val="left" w:leader="dot" w:pos="8400"/>
          <w:tab w:val="right" w:leader="dot" w:pos="8460"/>
        </w:tabs>
        <w:snapToGrid w:val="0"/>
        <w:spacing w:beforeLines="150" w:afterLines="15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第三章 </w:t>
      </w:r>
      <w:r>
        <w:rPr>
          <w:rFonts w:hint="eastAsia" w:ascii="仿宋" w:hAnsi="仿宋" w:eastAsia="仿宋" w:cs="仿宋"/>
          <w:color w:val="auto"/>
          <w:sz w:val="28"/>
          <w:szCs w:val="28"/>
          <w:highlight w:val="none"/>
        </w:rPr>
        <w:t>货物需求一览表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17</w:t>
      </w:r>
    </w:p>
    <w:p>
      <w:pPr>
        <w:pStyle w:val="9"/>
        <w:tabs>
          <w:tab w:val="left" w:leader="dot" w:pos="8400"/>
          <w:tab w:val="right" w:leader="dot" w:pos="8460"/>
        </w:tabs>
        <w:snapToGrid w:val="0"/>
        <w:spacing w:beforeLines="150" w:afterLines="15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第四章 </w:t>
      </w:r>
      <w:r>
        <w:rPr>
          <w:rFonts w:hint="eastAsia" w:ascii="仿宋" w:hAnsi="仿宋" w:eastAsia="仿宋" w:cs="仿宋"/>
          <w:color w:val="auto"/>
          <w:sz w:val="28"/>
          <w:szCs w:val="28"/>
          <w:highlight w:val="none"/>
        </w:rPr>
        <w:t>采购合同书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33</w:t>
      </w:r>
    </w:p>
    <w:p>
      <w:pPr>
        <w:pStyle w:val="9"/>
        <w:tabs>
          <w:tab w:val="left" w:leader="dot" w:pos="8400"/>
          <w:tab w:val="right" w:leader="dot" w:pos="8460"/>
        </w:tabs>
        <w:snapToGrid w:val="0"/>
        <w:spacing w:beforeLines="150" w:afterLines="15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第五章 </w:t>
      </w:r>
      <w:r>
        <w:rPr>
          <w:rFonts w:hint="eastAsia" w:ascii="仿宋" w:hAnsi="仿宋" w:eastAsia="仿宋" w:cs="仿宋"/>
          <w:color w:val="auto"/>
          <w:sz w:val="28"/>
          <w:szCs w:val="28"/>
          <w:highlight w:val="none"/>
        </w:rPr>
        <w:t>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42</w:t>
      </w:r>
    </w:p>
    <w:p>
      <w:pPr>
        <w:pStyle w:val="9"/>
        <w:tabs>
          <w:tab w:val="left" w:leader="dot" w:pos="8400"/>
          <w:tab w:val="right" w:leader="dot" w:pos="8460"/>
        </w:tabs>
        <w:snapToGrid w:val="0"/>
        <w:spacing w:beforeLines="150" w:afterLines="15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第六章 </w:t>
      </w:r>
      <w:r>
        <w:rPr>
          <w:rFonts w:hint="eastAsia" w:ascii="仿宋" w:hAnsi="仿宋" w:eastAsia="仿宋" w:cs="仿宋"/>
          <w:color w:val="auto"/>
          <w:sz w:val="28"/>
          <w:szCs w:val="28"/>
          <w:highlight w:val="none"/>
        </w:rPr>
        <w:t>评定标准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65</w:t>
      </w: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pStyle w:val="9"/>
        <w:tabs>
          <w:tab w:val="right" w:leader="dot" w:pos="8460"/>
        </w:tabs>
        <w:snapToGrid w:val="0"/>
        <w:spacing w:line="360" w:lineRule="auto"/>
        <w:jc w:val="left"/>
        <w:rPr>
          <w:rFonts w:ascii="仿宋" w:hAnsi="仿宋" w:eastAsia="仿宋" w:cs="仿宋"/>
          <w:color w:val="auto"/>
          <w:sz w:val="30"/>
          <w:szCs w:val="30"/>
          <w:highlight w:val="none"/>
        </w:rPr>
      </w:pPr>
    </w:p>
    <w:p>
      <w:pPr>
        <w:numPr>
          <w:ilvl w:val="0"/>
          <w:numId w:val="1"/>
        </w:numPr>
        <w:jc w:val="center"/>
        <w:rPr>
          <w:rFonts w:ascii="仿宋" w:hAnsi="仿宋" w:eastAsia="仿宋" w:cs="仿宋"/>
          <w:b/>
          <w:color w:val="auto"/>
          <w:sz w:val="52"/>
          <w:szCs w:val="52"/>
          <w:highlight w:val="none"/>
        </w:rPr>
        <w:sectPr>
          <w:headerReference r:id="rId4" w:type="first"/>
          <w:headerReference r:id="rId3" w:type="default"/>
          <w:footerReference r:id="rId5" w:type="default"/>
          <w:pgSz w:w="11906" w:h="16838"/>
          <w:pgMar w:top="1134" w:right="1134" w:bottom="1134" w:left="1134" w:header="850" w:footer="680" w:gutter="0"/>
          <w:pgNumType w:start="1"/>
          <w:cols w:space="0" w:num="1"/>
          <w:titlePg/>
          <w:docGrid w:type="lines" w:linePitch="312" w:charSpace="0"/>
        </w:sectPr>
      </w:pPr>
    </w:p>
    <w:p>
      <w:pPr>
        <w:numPr>
          <w:ilvl w:val="0"/>
          <w:numId w:val="1"/>
        </w:numPr>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eastAsia="zh-CN"/>
        </w:rPr>
        <w:t>竞争性谈判</w:t>
      </w:r>
      <w:r>
        <w:rPr>
          <w:rFonts w:hint="eastAsia" w:ascii="仿宋" w:hAnsi="仿宋" w:eastAsia="仿宋" w:cs="仿宋"/>
          <w:b/>
          <w:color w:val="auto"/>
          <w:sz w:val="52"/>
          <w:szCs w:val="52"/>
          <w:highlight w:val="none"/>
        </w:rPr>
        <w:t>公告</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广西天柱建设管理有限公司关于钟山县应急管理局综合应急救援先锋队物资采购项目（项目编号：HZZC2020-J1-220178-GXTZ）</w:t>
      </w:r>
      <w:r>
        <w:rPr>
          <w:rFonts w:hint="eastAsia" w:ascii="仿宋" w:hAnsi="仿宋" w:eastAsia="仿宋" w:cs="仿宋"/>
          <w:b/>
          <w:color w:val="auto"/>
          <w:sz w:val="28"/>
          <w:szCs w:val="28"/>
          <w:highlight w:val="none"/>
          <w:lang w:eastAsia="zh-CN"/>
        </w:rPr>
        <w:t>竞争性谈判</w:t>
      </w:r>
      <w:r>
        <w:rPr>
          <w:rFonts w:hint="eastAsia" w:ascii="仿宋" w:hAnsi="仿宋" w:eastAsia="仿宋" w:cs="仿宋"/>
          <w:b/>
          <w:color w:val="auto"/>
          <w:sz w:val="28"/>
          <w:szCs w:val="28"/>
          <w:highlight w:val="none"/>
        </w:rPr>
        <w:t>公告</w:t>
      </w:r>
    </w:p>
    <w:p>
      <w:pPr>
        <w:pStyle w:val="4"/>
        <w:spacing w:before="0" w:after="0" w:line="240" w:lineRule="auto"/>
        <w:rPr>
          <w:rFonts w:ascii="仿宋" w:hAnsi="仿宋" w:eastAsia="仿宋" w:cs="仿宋"/>
          <w:color w:val="auto"/>
          <w:sz w:val="21"/>
          <w:szCs w:val="21"/>
          <w:highlight w:val="none"/>
        </w:rPr>
      </w:pP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广西天柱建设管理有限公司受钟山县应急管理局委托，拟对钟山县应急管理局综合应急救援先锋队物资采购项目（项目编号：HZZC2020-J1-220178-GXTZ）进行国内</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采购，现将有关事项公告如下：</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p>
    <w:p>
      <w:pPr>
        <w:spacing w:line="360" w:lineRule="auto"/>
        <w:ind w:firstLine="420" w:firstLineChars="200"/>
        <w:jc w:val="left"/>
        <w:rPr>
          <w:rFonts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项目编号</w:t>
      </w:r>
      <w:r>
        <w:rPr>
          <w:rFonts w:hint="eastAsia" w:ascii="仿宋" w:hAnsi="仿宋" w:eastAsia="仿宋" w:cs="仿宋"/>
          <w:color w:val="auto"/>
          <w:szCs w:val="21"/>
          <w:highlight w:val="none"/>
        </w:rPr>
        <w:t>：HZZC2020-J1-220178-GXTZ</w:t>
      </w:r>
    </w:p>
    <w:p>
      <w:pPr>
        <w:pStyle w:val="13"/>
        <w:tabs>
          <w:tab w:val="right" w:leader="dot" w:pos="9628"/>
        </w:tabs>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项目名称：</w:t>
      </w:r>
      <w:r>
        <w:rPr>
          <w:rFonts w:hint="eastAsia" w:ascii="仿宋" w:hAnsi="仿宋" w:eastAsia="仿宋" w:cs="仿宋"/>
          <w:bCs/>
          <w:color w:val="auto"/>
          <w:szCs w:val="21"/>
          <w:highlight w:val="none"/>
        </w:rPr>
        <w:t>钟山县应急管理局综合应急救援先锋队物资采购项目</w:t>
      </w:r>
    </w:p>
    <w:p>
      <w:pPr>
        <w:spacing w:line="360" w:lineRule="auto"/>
        <w:jc w:val="left"/>
        <w:rPr>
          <w:rFonts w:hint="eastAsia" w:ascii="仿宋" w:hAnsi="仿宋" w:eastAsia="仿宋" w:cs="仿宋"/>
          <w:bCs/>
          <w:color w:val="auto"/>
          <w:szCs w:val="21"/>
          <w:highlight w:val="none"/>
          <w:lang w:eastAsia="zh-CN"/>
        </w:rPr>
      </w:pPr>
      <w:r>
        <w:rPr>
          <w:rFonts w:hint="eastAsia" w:ascii="仿宋" w:hAnsi="仿宋" w:eastAsia="仿宋" w:cs="仿宋"/>
          <w:bCs/>
          <w:color w:val="auto"/>
          <w:kern w:val="0"/>
          <w:szCs w:val="21"/>
          <w:highlight w:val="none"/>
        </w:rPr>
        <w:t xml:space="preserve">    采购方式：</w:t>
      </w:r>
      <w:r>
        <w:rPr>
          <w:rFonts w:hint="eastAsia" w:ascii="仿宋" w:hAnsi="仿宋" w:eastAsia="仿宋" w:cs="仿宋"/>
          <w:bCs/>
          <w:color w:val="auto"/>
          <w:kern w:val="0"/>
          <w:szCs w:val="21"/>
          <w:highlight w:val="none"/>
          <w:lang w:eastAsia="zh-CN"/>
        </w:rPr>
        <w:t>竞争性谈判</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预算金额：</w:t>
      </w:r>
      <w:r>
        <w:rPr>
          <w:rFonts w:hint="eastAsia" w:ascii="仿宋" w:hAnsi="仿宋" w:eastAsia="仿宋" w:cs="仿宋"/>
          <w:bCs/>
          <w:color w:val="auto"/>
          <w:kern w:val="0"/>
          <w:szCs w:val="21"/>
          <w:highlight w:val="none"/>
          <w:lang w:val="en-US" w:eastAsia="zh-CN"/>
        </w:rPr>
        <w:t>1598589万元。其中：</w:t>
      </w:r>
      <w:r>
        <w:rPr>
          <w:rFonts w:hint="eastAsia" w:ascii="仿宋" w:hAnsi="仿宋" w:eastAsia="仿宋" w:cs="仿宋"/>
          <w:bCs/>
          <w:color w:val="auto"/>
          <w:kern w:val="0"/>
          <w:szCs w:val="21"/>
          <w:highlight w:val="none"/>
        </w:rPr>
        <w:t>A标：捌拾玖万叁仟壹佰玖拾伍元整（￥893195.00）；B标：柒拾万零伍仟叁佰玖拾肆元整（￥705394.00）</w:t>
      </w:r>
      <w:r>
        <w:rPr>
          <w:rFonts w:hint="eastAsia" w:ascii="仿宋" w:hAnsi="仿宋" w:eastAsia="仿宋" w:cs="仿宋"/>
          <w:bCs/>
          <w:color w:val="auto"/>
          <w:szCs w:val="21"/>
          <w:highlight w:val="none"/>
        </w:rPr>
        <w:t>。</w:t>
      </w:r>
    </w:p>
    <w:p>
      <w:pPr>
        <w:pStyle w:val="13"/>
        <w:tabs>
          <w:tab w:val="right" w:leader="dot" w:pos="9628"/>
        </w:tabs>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采购需求：钟山县应急管理局综合应急救援先锋队物资采购项目，本项目分2个标段，具体内容详见采购文件。 </w:t>
      </w:r>
    </w:p>
    <w:p>
      <w:pPr>
        <w:pStyle w:val="13"/>
        <w:tabs>
          <w:tab w:val="right" w:leader="dot" w:pos="9628"/>
        </w:tabs>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交付使用期：自合同签订之日起20日历天。</w:t>
      </w:r>
    </w:p>
    <w:p>
      <w:pPr>
        <w:pStyle w:val="13"/>
        <w:tabs>
          <w:tab w:val="right" w:leader="dot" w:pos="9628"/>
        </w:tabs>
        <w:spacing w:line="360" w:lineRule="auto"/>
        <w:ind w:firstLine="422" w:firstLineChars="200"/>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各潜在</w:t>
      </w:r>
      <w:r>
        <w:rPr>
          <w:rFonts w:hint="eastAsia" w:ascii="仿宋" w:hAnsi="仿宋" w:eastAsia="仿宋" w:cs="仿宋"/>
          <w:b/>
          <w:color w:val="auto"/>
          <w:kern w:val="0"/>
          <w:szCs w:val="21"/>
          <w:highlight w:val="none"/>
          <w:lang w:eastAsia="zh-CN"/>
        </w:rPr>
        <w:t>竞标</w:t>
      </w:r>
      <w:r>
        <w:rPr>
          <w:rFonts w:hint="eastAsia" w:ascii="仿宋" w:hAnsi="仿宋" w:eastAsia="仿宋" w:cs="仿宋"/>
          <w:b/>
          <w:color w:val="auto"/>
          <w:kern w:val="0"/>
          <w:szCs w:val="21"/>
          <w:highlight w:val="none"/>
        </w:rPr>
        <w:t>供应商可以对上述2个标段中的某个或全部标段进行竞标，但最多只能在其中一个标段成交。评标顺序A标段→B标段,若</w:t>
      </w:r>
      <w:r>
        <w:rPr>
          <w:rFonts w:hint="eastAsia" w:ascii="仿宋" w:hAnsi="仿宋" w:eastAsia="仿宋" w:cs="仿宋"/>
          <w:b/>
          <w:color w:val="auto"/>
          <w:kern w:val="0"/>
          <w:szCs w:val="21"/>
          <w:highlight w:val="none"/>
          <w:lang w:eastAsia="zh-CN"/>
        </w:rPr>
        <w:t>竞标</w:t>
      </w:r>
      <w:r>
        <w:rPr>
          <w:rFonts w:hint="eastAsia" w:ascii="仿宋" w:hAnsi="仿宋" w:eastAsia="仿宋" w:cs="仿宋"/>
          <w:b/>
          <w:color w:val="auto"/>
          <w:kern w:val="0"/>
          <w:szCs w:val="21"/>
          <w:highlight w:val="none"/>
        </w:rPr>
        <w:t>供应商在评标过程中被列为任意一个标段的第一成交候选人，则在剩余标段评审中不再具有成交候选人资格。</w:t>
      </w:r>
    </w:p>
    <w:p>
      <w:pPr>
        <w:pStyle w:val="13"/>
        <w:tabs>
          <w:tab w:val="right" w:leader="dot" w:pos="9628"/>
        </w:tabs>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bCs/>
          <w:color w:val="auto"/>
          <w:kern w:val="0"/>
          <w:szCs w:val="21"/>
          <w:highlight w:val="none"/>
        </w:rPr>
        <w:t>本项目不接受联合体。</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二、 </w:t>
      </w:r>
      <w:r>
        <w:rPr>
          <w:rFonts w:hint="eastAsia" w:ascii="仿宋" w:hAnsi="仿宋" w:eastAsia="仿宋" w:cs="仿宋"/>
          <w:b/>
          <w:color w:val="auto"/>
          <w:kern w:val="0"/>
          <w:szCs w:val="21"/>
          <w:highlight w:val="none"/>
        </w:rPr>
        <w:t>申请人的资格要求</w:t>
      </w:r>
      <w:r>
        <w:rPr>
          <w:rFonts w:hint="eastAsia" w:ascii="仿宋" w:hAnsi="仿宋" w:eastAsia="仿宋" w:cs="仿宋"/>
          <w:b/>
          <w:color w:val="auto"/>
          <w:szCs w:val="21"/>
          <w:highlight w:val="none"/>
        </w:rPr>
        <w:t>：</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1.满足《中华人民共和国政府采购法》第二十二条规定，具备独立法人资格的企业或事业单位；</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2.落实政府采购政策需满足的资格要求：无；</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5.不接受联合体竞标，不接受未购买本</w:t>
      </w:r>
      <w:r>
        <w:rPr>
          <w:rFonts w:hint="eastAsia" w:ascii="仿宋" w:hAnsi="仿宋" w:eastAsia="仿宋" w:cs="仿宋"/>
          <w:bCs/>
          <w:color w:val="auto"/>
          <w:sz w:val="21"/>
          <w:szCs w:val="21"/>
          <w:highlight w:val="none"/>
          <w:lang w:eastAsia="zh-CN"/>
        </w:rPr>
        <w:t>竞争性谈判</w:t>
      </w:r>
      <w:r>
        <w:rPr>
          <w:rFonts w:hint="eastAsia" w:ascii="仿宋" w:hAnsi="仿宋" w:eastAsia="仿宋" w:cs="仿宋"/>
          <w:bCs/>
          <w:color w:val="auto"/>
          <w:sz w:val="21"/>
          <w:szCs w:val="21"/>
          <w:highlight w:val="none"/>
        </w:rPr>
        <w:t>文件的供应商竞标。</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三、报名及购买</w:t>
      </w:r>
      <w:r>
        <w:rPr>
          <w:rFonts w:hint="eastAsia" w:ascii="仿宋" w:hAnsi="仿宋" w:eastAsia="仿宋" w:cs="仿宋"/>
          <w:b/>
          <w:color w:val="auto"/>
          <w:szCs w:val="21"/>
          <w:highlight w:val="none"/>
          <w:lang w:eastAsia="zh-CN"/>
        </w:rPr>
        <w:t>竞争性谈判</w:t>
      </w:r>
      <w:r>
        <w:rPr>
          <w:rFonts w:hint="eastAsia" w:ascii="仿宋" w:hAnsi="仿宋" w:eastAsia="仿宋" w:cs="仿宋"/>
          <w:b/>
          <w:color w:val="auto"/>
          <w:szCs w:val="21"/>
          <w:highlight w:val="none"/>
        </w:rPr>
        <w:t>采购文件时间及地点：</w:t>
      </w:r>
    </w:p>
    <w:p>
      <w:pPr>
        <w:spacing w:line="360" w:lineRule="auto"/>
        <w:ind w:firstLine="420" w:firstLineChars="200"/>
        <w:jc w:val="left"/>
        <w:rPr>
          <w:rFonts w:ascii="仿宋" w:hAnsi="仿宋" w:eastAsia="仿宋" w:cs="仿宋"/>
          <w:bCs/>
          <w:color w:val="auto"/>
          <w:kern w:val="0"/>
          <w:szCs w:val="21"/>
          <w:highlight w:val="none"/>
        </w:rPr>
      </w:pPr>
      <w:bookmarkStart w:id="0" w:name="_Toc389065127"/>
      <w:r>
        <w:rPr>
          <w:rFonts w:hint="eastAsia" w:ascii="仿宋" w:hAnsi="仿宋" w:eastAsia="仿宋" w:cs="仿宋"/>
          <w:bCs/>
          <w:color w:val="auto"/>
          <w:kern w:val="0"/>
          <w:szCs w:val="21"/>
          <w:highlight w:val="none"/>
        </w:rPr>
        <w:t>时间：2020年11月</w:t>
      </w:r>
      <w:r>
        <w:rPr>
          <w:rFonts w:hint="eastAsia" w:ascii="仿宋" w:hAnsi="仿宋" w:eastAsia="仿宋" w:cs="仿宋"/>
          <w:bCs/>
          <w:color w:val="auto"/>
          <w:kern w:val="0"/>
          <w:szCs w:val="21"/>
          <w:highlight w:val="none"/>
          <w:lang w:val="en-US" w:eastAsia="zh-CN"/>
        </w:rPr>
        <w:t>09</w:t>
      </w:r>
      <w:r>
        <w:rPr>
          <w:rFonts w:hint="eastAsia" w:ascii="仿宋" w:hAnsi="仿宋" w:eastAsia="仿宋" w:cs="仿宋"/>
          <w:bCs/>
          <w:color w:val="auto"/>
          <w:kern w:val="0"/>
          <w:szCs w:val="21"/>
          <w:highlight w:val="none"/>
        </w:rPr>
        <w:t>日</w:t>
      </w:r>
      <w:r>
        <w:rPr>
          <w:rFonts w:hint="eastAsia" w:ascii="仿宋" w:hAnsi="仿宋" w:eastAsia="仿宋" w:cs="仿宋"/>
          <w:color w:val="auto"/>
          <w:szCs w:val="21"/>
          <w:highlight w:val="none"/>
        </w:rPr>
        <w:t>公告发布之时</w:t>
      </w:r>
      <w:r>
        <w:rPr>
          <w:rFonts w:hint="eastAsia" w:ascii="仿宋" w:hAnsi="仿宋" w:eastAsia="仿宋" w:cs="仿宋"/>
          <w:bCs/>
          <w:color w:val="auto"/>
          <w:kern w:val="0"/>
          <w:szCs w:val="21"/>
          <w:highlight w:val="none"/>
        </w:rPr>
        <w:t>至2020年11月</w:t>
      </w:r>
      <w:r>
        <w:rPr>
          <w:rFonts w:hint="eastAsia" w:ascii="仿宋" w:hAnsi="仿宋" w:eastAsia="仿宋" w:cs="仿宋"/>
          <w:bCs/>
          <w:color w:val="auto"/>
          <w:kern w:val="0"/>
          <w:szCs w:val="21"/>
          <w:highlight w:val="none"/>
          <w:lang w:val="en-US" w:eastAsia="zh-CN"/>
        </w:rPr>
        <w:t>12</w:t>
      </w:r>
      <w:r>
        <w:rPr>
          <w:rFonts w:hint="eastAsia" w:ascii="仿宋" w:hAnsi="仿宋" w:eastAsia="仿宋" w:cs="仿宋"/>
          <w:bCs/>
          <w:color w:val="auto"/>
          <w:kern w:val="0"/>
          <w:szCs w:val="21"/>
          <w:highlight w:val="none"/>
        </w:rPr>
        <w:t>日，每天上午8:30至12:00，下午3:00至5:30（北京时间，法定节假日除外 ）。</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w:t>
      </w:r>
      <w:r>
        <w:rPr>
          <w:rFonts w:hint="eastAsia" w:ascii="仿宋" w:hAnsi="仿宋" w:eastAsia="仿宋" w:cs="仿宋"/>
          <w:color w:val="auto"/>
          <w:szCs w:val="21"/>
          <w:highlight w:val="none"/>
        </w:rPr>
        <w:t>贺州市八步区建设东路党校临街5号（贺州分公司办事处）</w:t>
      </w:r>
      <w:r>
        <w:rPr>
          <w:rFonts w:hint="eastAsia" w:ascii="仿宋" w:hAnsi="仿宋" w:eastAsia="仿宋" w:cs="仿宋"/>
          <w:bCs/>
          <w:color w:val="auto"/>
          <w:kern w:val="0"/>
          <w:szCs w:val="21"/>
          <w:highlight w:val="none"/>
        </w:rPr>
        <w:t>。</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方式：报名时由潜在供应商的法定代表人（持法定代表人身份证明书原件</w:t>
      </w:r>
      <w:r>
        <w:rPr>
          <w:rFonts w:hint="eastAsia" w:ascii="仿宋" w:hAnsi="仿宋" w:eastAsia="仿宋" w:cs="仿宋"/>
          <w:bCs/>
          <w:color w:val="auto"/>
          <w:kern w:val="0"/>
          <w:szCs w:val="21"/>
          <w:highlight w:val="none"/>
          <w:lang w:val="en-US" w:eastAsia="zh-CN"/>
        </w:rPr>
        <w:t>及复印件</w:t>
      </w:r>
      <w:r>
        <w:rPr>
          <w:rFonts w:hint="eastAsia" w:ascii="仿宋" w:hAnsi="仿宋" w:eastAsia="仿宋" w:cs="仿宋"/>
          <w:bCs/>
          <w:color w:val="auto"/>
          <w:kern w:val="0"/>
          <w:szCs w:val="21"/>
          <w:highlight w:val="none"/>
        </w:rPr>
        <w:t>、本人二代身份证原件）或其授权委托人（持本人二代身份证原件</w:t>
      </w:r>
      <w:r>
        <w:rPr>
          <w:rFonts w:hint="eastAsia" w:ascii="仿宋" w:hAnsi="仿宋" w:eastAsia="仿宋" w:cs="仿宋"/>
          <w:bCs/>
          <w:color w:val="auto"/>
          <w:kern w:val="0"/>
          <w:szCs w:val="21"/>
          <w:highlight w:val="none"/>
          <w:lang w:val="en-US" w:eastAsia="zh-CN"/>
        </w:rPr>
        <w:t>及复印件</w:t>
      </w:r>
      <w:r>
        <w:rPr>
          <w:rFonts w:hint="eastAsia" w:ascii="仿宋" w:hAnsi="仿宋" w:eastAsia="仿宋" w:cs="仿宋"/>
          <w:bCs/>
          <w:color w:val="auto"/>
          <w:kern w:val="0"/>
          <w:szCs w:val="21"/>
          <w:highlight w:val="none"/>
        </w:rPr>
        <w:t>、法定代表人授权委托书原件）携带营业执照副本复印件（须加盖响应单位公章）</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现场报名并获取采购文件</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上述材料原件现场核查</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w:t>
      </w:r>
    </w:p>
    <w:p>
      <w:pPr>
        <w:spacing w:line="360" w:lineRule="auto"/>
        <w:ind w:firstLine="420" w:firstLineChars="200"/>
        <w:jc w:val="left"/>
        <w:rPr>
          <w:rFonts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售价：每本250元，售后不退。</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四、</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响应文件的递交</w:t>
      </w:r>
      <w:bookmarkEnd w:id="0"/>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截止时间：2020年11月</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rPr>
        <w:t>日北京时间</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分整。</w:t>
      </w:r>
    </w:p>
    <w:p>
      <w:pPr>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color w:val="auto"/>
          <w:szCs w:val="21"/>
          <w:highlight w:val="none"/>
        </w:rPr>
        <w:t>地点：</w:t>
      </w:r>
      <w:r>
        <w:rPr>
          <w:rFonts w:hint="eastAsia" w:ascii="仿宋" w:hAnsi="仿宋" w:eastAsia="仿宋" w:cs="仿宋"/>
          <w:bCs/>
          <w:color w:val="auto"/>
          <w:kern w:val="0"/>
          <w:szCs w:val="21"/>
          <w:highlight w:val="none"/>
        </w:rPr>
        <w:t>广西钟山县兴钟中路14号政务中心三楼会议大厅</w:t>
      </w:r>
    </w:p>
    <w:p>
      <w:pPr>
        <w:spacing w:line="360" w:lineRule="auto"/>
        <w:ind w:firstLine="422" w:firstLineChars="200"/>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五、开启</w:t>
      </w:r>
    </w:p>
    <w:p>
      <w:pPr>
        <w:pStyle w:val="13"/>
        <w:tabs>
          <w:tab w:val="left" w:pos="2040"/>
          <w:tab w:val="right" w:leader="dot" w:pos="9628"/>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时间：2020年11月</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rPr>
        <w:t>日北京时间</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分整。</w:t>
      </w:r>
    </w:p>
    <w:p>
      <w:pPr>
        <w:pStyle w:val="13"/>
        <w:tabs>
          <w:tab w:val="left" w:pos="2040"/>
          <w:tab w:val="right" w:leader="dot" w:pos="9628"/>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地点：同响应文件提交地点</w:t>
      </w:r>
    </w:p>
    <w:p>
      <w:pPr>
        <w:pStyle w:val="9"/>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六、公告期限</w:t>
      </w:r>
    </w:p>
    <w:p>
      <w:pPr>
        <w:tabs>
          <w:tab w:val="left" w:pos="41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自本公告发布之日起</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个工作日。</w:t>
      </w:r>
    </w:p>
    <w:p>
      <w:pPr>
        <w:pStyle w:val="9"/>
        <w:spacing w:line="360" w:lineRule="auto"/>
        <w:rPr>
          <w:rFonts w:ascii="仿宋" w:hAnsi="仿宋" w:eastAsia="仿宋" w:cs="仿宋"/>
          <w:color w:val="auto"/>
          <w:szCs w:val="21"/>
          <w:highlight w:val="none"/>
        </w:rPr>
      </w:pPr>
      <w:bookmarkStart w:id="1" w:name="_Toc389065131"/>
      <w:r>
        <w:rPr>
          <w:rFonts w:hint="eastAsia" w:ascii="仿宋" w:hAnsi="仿宋" w:eastAsia="仿宋" w:cs="仿宋"/>
          <w:b/>
          <w:bCs/>
          <w:color w:val="auto"/>
          <w:szCs w:val="21"/>
          <w:highlight w:val="none"/>
        </w:rPr>
        <w:t>七、其他补充事宜</w:t>
      </w:r>
    </w:p>
    <w:p>
      <w:pPr>
        <w:spacing w:line="360" w:lineRule="auto"/>
        <w:ind w:firstLine="422" w:firstLineChars="200"/>
        <w:jc w:val="lef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1.落实的政府采购政策</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color w:val="auto"/>
          <w:szCs w:val="21"/>
          <w:highlight w:val="none"/>
          <w:lang w:val="zh-CN"/>
        </w:rPr>
        <w:t>扶持中小企业政策：评审时小型、微型企业（</w:t>
      </w:r>
      <w:r>
        <w:rPr>
          <w:rFonts w:hint="eastAsia" w:ascii="仿宋" w:hAnsi="仿宋" w:eastAsia="仿宋" w:cs="仿宋"/>
          <w:color w:val="auto"/>
          <w:szCs w:val="21"/>
          <w:highlight w:val="none"/>
        </w:rPr>
        <w:t>提供本企业服务</w:t>
      </w:r>
      <w:r>
        <w:rPr>
          <w:rFonts w:hint="eastAsia" w:ascii="仿宋" w:hAnsi="仿宋" w:eastAsia="仿宋" w:cs="仿宋"/>
          <w:color w:val="auto"/>
          <w:szCs w:val="21"/>
          <w:highlight w:val="none"/>
          <w:lang w:val="zh-CN"/>
        </w:rPr>
        <w:t>）的价格给予</w:t>
      </w: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zh-CN"/>
        </w:rPr>
        <w:t>的扣除。监狱企业、残疾人福利性单位视同小型、微型企业，其价格在评审时给予相同的扣除。</w:t>
      </w:r>
    </w:p>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保证金：A标：人民币玖仟元整（￥9,000.00）；B标：人民币柒仟元整（￥7,000.00）。</w:t>
      </w:r>
    </w:p>
    <w:p>
      <w:pPr>
        <w:pStyle w:val="26"/>
        <w:spacing w:line="360" w:lineRule="auto"/>
        <w:ind w:firstLine="420" w:firstLineChars="200"/>
        <w:rPr>
          <w:rFonts w:ascii="仿宋" w:hAnsi="仿宋" w:eastAsia="仿宋" w:cs="仿宋"/>
          <w:bCs/>
          <w:color w:val="auto"/>
          <w:kern w:val="0"/>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保证金的形式：</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供应商应将</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保证金以支票、汇票、本票、转账、电汇或者金融机构出具的保函等非现金形式提交至以下账户，并于响应文件提交截止时间前到账，到账时间以银行确认的到账时间为准</w:t>
      </w:r>
      <w:r>
        <w:rPr>
          <w:rFonts w:hint="eastAsia" w:ascii="仿宋" w:hAnsi="仿宋" w:eastAsia="仿宋" w:cs="仿宋"/>
          <w:b/>
          <w:bCs/>
          <w:color w:val="auto"/>
          <w:szCs w:val="21"/>
          <w:highlight w:val="none"/>
        </w:rPr>
        <w:t>(注：若以采用金融机构出具的保函，保函有效期不得低于投标有效期，否则视为无效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；若以支票、汇票、本票方式提交的，交款人必须是</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单位；若以转账、电汇方式提交的，必须从</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供应商基本账户转出；若以现金方式交纳或者没有足额交纳的视为无效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。办理</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保证金手续时，需在交纳凭据上注明项目名称或项目编号)</w:t>
      </w: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广西天柱建设管理有限公司贺州分公司财务室电话：0774-5122336。</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开户名称：广西天柱建设管理有限公司贺州分公司</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开户银行：中国建设银行股份有限公司贺州城东支行</w:t>
      </w: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银行账号：45001647402059126388  </w:t>
      </w:r>
    </w:p>
    <w:p>
      <w:pPr>
        <w:widowControl/>
        <w:spacing w:line="360" w:lineRule="auto"/>
        <w:ind w:firstLine="42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备注：对风险较低、规模较小的采购项目，受疫情影响的中小微企业（在提供真实可信证明材料的前提下），不收取</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w:t>
      </w:r>
    </w:p>
    <w:p>
      <w:pPr>
        <w:widowControl/>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kern w:val="0"/>
          <w:szCs w:val="21"/>
          <w:highlight w:val="none"/>
        </w:rPr>
        <w:t>监督部门：钟山县政府采购监督管理办公室</w:t>
      </w:r>
    </w:p>
    <w:p>
      <w:pPr>
        <w:widowControl/>
        <w:spacing w:line="360" w:lineRule="auto"/>
        <w:ind w:firstLine="42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电话：0774-8989660</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4.发布媒体：</w:t>
      </w:r>
      <w:r>
        <w:rPr>
          <w:rFonts w:hint="eastAsia" w:ascii="仿宋" w:hAnsi="仿宋" w:eastAsia="仿宋" w:cs="仿宋"/>
          <w:color w:val="auto"/>
          <w:szCs w:val="21"/>
          <w:highlight w:val="none"/>
        </w:rPr>
        <w:t>中国政府采购网、广西壮族自治区政府采购网、采购与招标网。</w:t>
      </w:r>
    </w:p>
    <w:bookmarkEnd w:id="1"/>
    <w:p>
      <w:pPr>
        <w:spacing w:line="360" w:lineRule="auto"/>
        <w:ind w:firstLine="422" w:firstLineChars="200"/>
        <w:rPr>
          <w:rFonts w:ascii="仿宋" w:hAnsi="仿宋" w:eastAsia="仿宋" w:cs="仿宋"/>
          <w:b/>
          <w:color w:val="auto"/>
          <w:szCs w:val="21"/>
          <w:highlight w:val="none"/>
        </w:rPr>
      </w:pPr>
      <w:bookmarkStart w:id="2" w:name="_Toc395382364"/>
      <w:r>
        <w:rPr>
          <w:rFonts w:hint="eastAsia" w:ascii="仿宋" w:hAnsi="仿宋" w:eastAsia="仿宋" w:cs="仿宋"/>
          <w:b/>
          <w:color w:val="auto"/>
          <w:szCs w:val="21"/>
          <w:highlight w:val="none"/>
        </w:rPr>
        <w:t>八、联系方式</w:t>
      </w:r>
      <w:bookmarkEnd w:id="2"/>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1.采购人信息</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名    称： 钟山县应急管理局</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地址：钟山镇市容市政大院</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联系方式：0774-8971332  </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2.采购代理机构信息</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名    称：</w:t>
      </w:r>
      <w:r>
        <w:rPr>
          <w:rFonts w:hint="eastAsia" w:ascii="仿宋" w:hAnsi="仿宋" w:eastAsia="仿宋" w:cs="仿宋"/>
          <w:color w:val="auto"/>
          <w:szCs w:val="21"/>
          <w:highlight w:val="none"/>
        </w:rPr>
        <w:t>广西天柱建设管理有限公司</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地址：</w:t>
      </w:r>
      <w:r>
        <w:rPr>
          <w:rFonts w:hint="eastAsia" w:ascii="仿宋" w:hAnsi="仿宋" w:eastAsia="仿宋" w:cs="仿宋"/>
          <w:color w:val="auto"/>
          <w:szCs w:val="21"/>
          <w:highlight w:val="none"/>
        </w:rPr>
        <w:t xml:space="preserve">贺州市建设东路党校临街5号（贺州分公司办事处）   </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联系方式：</w:t>
      </w:r>
      <w:r>
        <w:rPr>
          <w:rFonts w:hint="eastAsia" w:ascii="仿宋" w:hAnsi="仿宋" w:eastAsia="仿宋" w:cs="仿宋"/>
          <w:color w:val="auto"/>
          <w:szCs w:val="21"/>
          <w:highlight w:val="none"/>
        </w:rPr>
        <w:t xml:space="preserve">0774-5122336 </w:t>
      </w:r>
    </w:p>
    <w:p>
      <w:pPr>
        <w:spacing w:line="360" w:lineRule="auto"/>
        <w:ind w:firstLine="420" w:firstLineChars="200"/>
        <w:jc w:val="lef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3.项目联系方式</w:t>
      </w:r>
    </w:p>
    <w:p>
      <w:pPr>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bCs/>
          <w:color w:val="auto"/>
          <w:kern w:val="0"/>
          <w:szCs w:val="21"/>
          <w:highlight w:val="none"/>
        </w:rPr>
        <w:t>项目联系人：</w:t>
      </w:r>
      <w:r>
        <w:rPr>
          <w:rFonts w:hint="eastAsia" w:ascii="仿宋" w:hAnsi="仿宋" w:eastAsia="仿宋" w:cs="仿宋"/>
          <w:color w:val="auto"/>
          <w:kern w:val="0"/>
          <w:szCs w:val="21"/>
          <w:highlight w:val="none"/>
        </w:rPr>
        <w:t>何东凌</w:t>
      </w:r>
    </w:p>
    <w:p>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bCs/>
          <w:color w:val="auto"/>
          <w:kern w:val="0"/>
          <w:szCs w:val="21"/>
          <w:highlight w:val="none"/>
        </w:rPr>
        <w:t>电话：</w:t>
      </w:r>
      <w:r>
        <w:rPr>
          <w:rFonts w:hint="eastAsia" w:ascii="仿宋" w:hAnsi="仿宋" w:eastAsia="仿宋" w:cs="仿宋"/>
          <w:color w:val="auto"/>
          <w:szCs w:val="21"/>
          <w:highlight w:val="none"/>
        </w:rPr>
        <w:t xml:space="preserve">0774-5122336 </w:t>
      </w:r>
    </w:p>
    <w:p>
      <w:pPr>
        <w:widowControl/>
        <w:tabs>
          <w:tab w:val="left" w:pos="5355"/>
        </w:tabs>
        <w:spacing w:line="360" w:lineRule="auto"/>
        <w:ind w:firstLine="420" w:firstLineChars="200"/>
        <w:rPr>
          <w:rFonts w:ascii="仿宋" w:hAnsi="仿宋" w:eastAsia="仿宋" w:cs="仿宋"/>
          <w:color w:val="auto"/>
          <w:kern w:val="48"/>
          <w:szCs w:val="21"/>
          <w:highlight w:val="none"/>
        </w:rPr>
      </w:pPr>
    </w:p>
    <w:p>
      <w:pPr>
        <w:pStyle w:val="30"/>
        <w:spacing w:line="360" w:lineRule="auto"/>
        <w:ind w:right="-55"/>
        <w:rPr>
          <w:rFonts w:hint="default" w:ascii="仿宋" w:hAnsi="仿宋" w:eastAsia="仿宋" w:cs="仿宋"/>
          <w:color w:val="auto"/>
          <w:szCs w:val="21"/>
          <w:highlight w:val="none"/>
          <w:u w:val="single"/>
        </w:rPr>
      </w:pPr>
    </w:p>
    <w:p>
      <w:pPr>
        <w:autoSpaceDE w:val="0"/>
        <w:autoSpaceDN w:val="0"/>
        <w:adjustRightInd w:val="0"/>
        <w:spacing w:line="360" w:lineRule="auto"/>
        <w:ind w:left="-540" w:leftChars="-257" w:firstLine="312" w:firstLineChars="149"/>
        <w:jc w:val="right"/>
        <w:rPr>
          <w:rFonts w:ascii="仿宋" w:hAnsi="仿宋" w:eastAsia="仿宋" w:cs="仿宋"/>
          <w:color w:val="auto"/>
          <w:kern w:val="0"/>
          <w:szCs w:val="21"/>
          <w:highlight w:val="none"/>
        </w:rPr>
      </w:pPr>
    </w:p>
    <w:p>
      <w:pPr>
        <w:autoSpaceDE w:val="0"/>
        <w:autoSpaceDN w:val="0"/>
        <w:adjustRightInd w:val="0"/>
        <w:spacing w:line="360" w:lineRule="auto"/>
        <w:ind w:left="-540" w:leftChars="-257" w:firstLine="312" w:firstLineChars="149"/>
        <w:jc w:val="right"/>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招标代理机构：广西天柱建设管理有限公司</w:t>
      </w:r>
    </w:p>
    <w:p>
      <w:pPr>
        <w:autoSpaceDE w:val="0"/>
        <w:autoSpaceDN w:val="0"/>
        <w:adjustRightInd w:val="0"/>
        <w:spacing w:line="360" w:lineRule="auto"/>
        <w:jc w:val="righ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2020年11月</w:t>
      </w:r>
      <w:r>
        <w:rPr>
          <w:rFonts w:hint="eastAsia" w:ascii="仿宋" w:hAnsi="仿宋" w:eastAsia="仿宋" w:cs="仿宋"/>
          <w:color w:val="auto"/>
          <w:kern w:val="0"/>
          <w:szCs w:val="21"/>
          <w:highlight w:val="none"/>
          <w:lang w:val="en-US" w:eastAsia="zh-CN"/>
        </w:rPr>
        <w:t>09</w:t>
      </w:r>
      <w:r>
        <w:rPr>
          <w:rFonts w:hint="eastAsia" w:ascii="仿宋" w:hAnsi="仿宋" w:eastAsia="仿宋" w:cs="仿宋"/>
          <w:color w:val="auto"/>
          <w:kern w:val="0"/>
          <w:szCs w:val="21"/>
          <w:highlight w:val="none"/>
        </w:rPr>
        <w:t>日</w:t>
      </w:r>
      <w:bookmarkStart w:id="3" w:name="_Toc446927398"/>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4"/>
        <w:rPr>
          <w:rFonts w:ascii="仿宋" w:hAnsi="仿宋" w:eastAsia="仿宋" w:cs="仿宋"/>
          <w:color w:val="auto"/>
          <w:highlight w:val="none"/>
        </w:rPr>
      </w:pPr>
    </w:p>
    <w:p>
      <w:pPr>
        <w:rPr>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beforeLines="50" w:afterLines="50"/>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 xml:space="preserve">第二章  </w:t>
      </w:r>
      <w:r>
        <w:rPr>
          <w:rFonts w:hint="eastAsia" w:ascii="仿宋" w:hAnsi="仿宋" w:eastAsia="仿宋" w:cs="仿宋"/>
          <w:b/>
          <w:color w:val="auto"/>
          <w:sz w:val="52"/>
          <w:szCs w:val="52"/>
          <w:highlight w:val="none"/>
          <w:lang w:eastAsia="zh-CN"/>
        </w:rPr>
        <w:t>竞标</w:t>
      </w:r>
      <w:r>
        <w:rPr>
          <w:rFonts w:hint="eastAsia" w:ascii="仿宋" w:hAnsi="仿宋" w:eastAsia="仿宋" w:cs="仿宋"/>
          <w:b/>
          <w:color w:val="auto"/>
          <w:sz w:val="52"/>
          <w:szCs w:val="52"/>
          <w:highlight w:val="none"/>
          <w:lang w:val="en-US" w:eastAsia="zh-CN"/>
        </w:rPr>
        <w:t>人</w:t>
      </w:r>
      <w:r>
        <w:rPr>
          <w:rFonts w:hint="eastAsia" w:ascii="仿宋" w:hAnsi="仿宋" w:eastAsia="仿宋" w:cs="仿宋"/>
          <w:b/>
          <w:color w:val="auto"/>
          <w:sz w:val="52"/>
          <w:szCs w:val="52"/>
          <w:highlight w:val="none"/>
        </w:rPr>
        <w:t>须知及前附表</w:t>
      </w:r>
      <w:bookmarkEnd w:id="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92"/>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92" w:type="dxa"/>
            <w:noWrap/>
            <w:vAlign w:val="center"/>
          </w:tcPr>
          <w:p>
            <w:pPr>
              <w:pStyle w:val="26"/>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407" w:type="dxa"/>
            <w:noWrap/>
            <w:vAlign w:val="center"/>
          </w:tcPr>
          <w:p>
            <w:pPr>
              <w:pStyle w:val="26"/>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92" w:type="dxa"/>
            <w:noWrap/>
            <w:vAlign w:val="center"/>
          </w:tcPr>
          <w:p>
            <w:pPr>
              <w:pStyle w:val="26"/>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1.1</w:t>
            </w:r>
          </w:p>
          <w:p>
            <w:pPr>
              <w:pStyle w:val="9"/>
              <w:spacing w:line="360" w:lineRule="auto"/>
              <w:jc w:val="center"/>
              <w:rPr>
                <w:rFonts w:ascii="仿宋" w:hAnsi="仿宋" w:eastAsia="仿宋" w:cs="仿宋"/>
                <w:color w:val="auto"/>
                <w:highlight w:val="none"/>
              </w:rPr>
            </w:pPr>
            <w:r>
              <w:rPr>
                <w:rFonts w:hint="eastAsia" w:ascii="仿宋" w:hAnsi="仿宋" w:eastAsia="仿宋" w:cs="仿宋"/>
                <w:color w:val="auto"/>
                <w:szCs w:val="21"/>
                <w:highlight w:val="none"/>
              </w:rPr>
              <w:t>1.2</w:t>
            </w:r>
          </w:p>
        </w:tc>
        <w:tc>
          <w:tcPr>
            <w:tcW w:w="8407" w:type="dxa"/>
            <w:noWrap/>
            <w:vAlign w:val="center"/>
          </w:tcPr>
          <w:p>
            <w:pPr>
              <w:pStyle w:val="6"/>
              <w:spacing w:line="360" w:lineRule="auto"/>
              <w:ind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采购项目名称：</w:t>
            </w:r>
            <w:r>
              <w:rPr>
                <w:rFonts w:hint="eastAsia" w:ascii="仿宋" w:hAnsi="仿宋" w:eastAsia="仿宋" w:cs="仿宋"/>
                <w:bCs/>
                <w:color w:val="auto"/>
                <w:szCs w:val="21"/>
                <w:highlight w:val="none"/>
              </w:rPr>
              <w:t>钟山县应急管理局综合应急救援先锋队物资采购项目</w:t>
            </w:r>
          </w:p>
          <w:p>
            <w:pPr>
              <w:pStyle w:val="6"/>
              <w:spacing w:line="360" w:lineRule="auto"/>
              <w:ind w:firstLineChars="200"/>
              <w:jc w:val="left"/>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采购项目编号：HZZC2020-J1-220178-GXTZ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8407" w:type="dxa"/>
            <w:noWrap/>
            <w:vAlign w:val="center"/>
          </w:tcPr>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申请人的资格要求</w:t>
            </w:r>
            <w:r>
              <w:rPr>
                <w:rFonts w:hint="eastAsia" w:ascii="仿宋" w:hAnsi="仿宋" w:eastAsia="仿宋" w:cs="仿宋"/>
                <w:b/>
                <w:color w:val="auto"/>
                <w:szCs w:val="21"/>
                <w:highlight w:val="none"/>
              </w:rPr>
              <w:t>：</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1.满足《中华人民共和国政府采购法》第二十二条规定，具备独立法人资格的企业或事业单位；</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2.落实政府采购政策需满足的资格要求：无；</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widowControl/>
              <w:shd w:val="clear" w:color="auto" w:fill="FFFFFF"/>
              <w:spacing w:before="0" w:beforeAutospacing="0" w:after="0" w:afterAutospacing="0" w:line="360" w:lineRule="auto"/>
              <w:ind w:firstLine="42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pStyle w:val="16"/>
              <w:widowControl/>
              <w:shd w:val="clear" w:color="auto" w:fill="FFFFFF"/>
              <w:spacing w:before="0" w:beforeAutospacing="0" w:after="0" w:afterAutospacing="0" w:line="360" w:lineRule="auto"/>
              <w:ind w:firstLine="420"/>
              <w:rPr>
                <w:rFonts w:ascii="仿宋" w:hAnsi="仿宋" w:eastAsia="仿宋" w:cs="仿宋"/>
                <w:color w:val="auto"/>
                <w:szCs w:val="21"/>
                <w:highlight w:val="none"/>
              </w:rPr>
            </w:pPr>
            <w:r>
              <w:rPr>
                <w:rFonts w:hint="eastAsia" w:ascii="仿宋" w:hAnsi="仿宋" w:eastAsia="仿宋" w:cs="仿宋"/>
                <w:bCs/>
                <w:color w:val="auto"/>
                <w:sz w:val="21"/>
                <w:szCs w:val="21"/>
                <w:highlight w:val="none"/>
              </w:rPr>
              <w:t>5.不接受联合体竞标，不接受未购买本</w:t>
            </w:r>
            <w:r>
              <w:rPr>
                <w:rFonts w:hint="eastAsia" w:ascii="仿宋" w:hAnsi="仿宋" w:eastAsia="仿宋" w:cs="仿宋"/>
                <w:bCs/>
                <w:color w:val="auto"/>
                <w:sz w:val="21"/>
                <w:szCs w:val="21"/>
                <w:highlight w:val="none"/>
                <w:lang w:eastAsia="zh-CN"/>
              </w:rPr>
              <w:t>竞争性谈判</w:t>
            </w:r>
            <w:r>
              <w:rPr>
                <w:rFonts w:hint="eastAsia" w:ascii="仿宋" w:hAnsi="仿宋" w:eastAsia="仿宋" w:cs="仿宋"/>
                <w:bCs/>
                <w:color w:val="auto"/>
                <w:sz w:val="21"/>
                <w:szCs w:val="21"/>
                <w:highlight w:val="none"/>
              </w:rPr>
              <w:t>文件的供应商竞标。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供应商必须按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》要求自编目录及标注页码装订成册，且</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响应文件装订位置必须封边，不允许使用活页夹、拉杆夹、夹条等可能导致</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响应文件散落或脱页的装订方式，否则将被视为无效</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8.2</w:t>
            </w:r>
          </w:p>
        </w:tc>
        <w:tc>
          <w:tcPr>
            <w:tcW w:w="8407" w:type="dxa"/>
            <w:noWrap/>
            <w:vAlign w:val="center"/>
          </w:tcPr>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响应文件：正本壹份，副本叁份，共肆份。（副本可用正本复印件，封面除外）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10.2</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报价：</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供应商应就第三章《货物需求一览表》中的所有服务及其他全部内容作完整唯一报价。</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供应商的最终报价不得高于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响应文件报价，否则作无效</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10.3</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本项目采购预算价：A标：捌拾玖万叁仟壹佰玖拾伍元整（￥893195.00）；B标：柒拾万零伍仟叁佰玖拾肆元整（￥705394.00），高于上限控制价做</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保证金：A标：人民币玖仟元整（￥9,000.00）；B标：人民币柒仟元整（￥7,000.00）</w:t>
            </w:r>
          </w:p>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保证金的形式：</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供应商应将</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保证金以支票、汇票、本票、转账、电汇或者金融机构出具的保函等非现金形式提交至以下账户，并于响应文件提交截止时间前到账，到账时间以银行确认的到账时间为准。</w:t>
            </w:r>
            <w:r>
              <w:rPr>
                <w:rFonts w:hint="eastAsia" w:ascii="仿宋" w:hAnsi="仿宋" w:eastAsia="仿宋" w:cs="仿宋"/>
                <w:b/>
                <w:bCs/>
                <w:color w:val="auto"/>
                <w:szCs w:val="21"/>
                <w:highlight w:val="none"/>
              </w:rPr>
              <w:t>(注：若以采用金融机构出具的保函，保函有效期不得低于投标有效期，否则视为无效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；若以支票、汇票、本票方式提交的，交款人必须是</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供应商；若以转账、电汇方式提交的，必须从</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供应商基本账户转出；若以现金方式交纳或者没有足额交纳的视为无效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。办理</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保证金手续时，需在交纳凭据上注明项目名称或项目编号)</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开户名称：广西天柱建设管理有限公司贺州分公司</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开户银行：中国建设银行股份有限公司贺州城东支行</w:t>
            </w:r>
          </w:p>
          <w:p>
            <w:pPr>
              <w:widowControl/>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银行账号：45001647402059126388</w:t>
            </w:r>
          </w:p>
          <w:p>
            <w:pPr>
              <w:widowControl/>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备注：对风险较低、规模较小的采购项目，受疫情影响的中小微企业（在提供真实可信证明材料的前提下），不收取</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92" w:type="dxa"/>
            <w:noWrap/>
            <w:vAlign w:val="center"/>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8407" w:type="dxa"/>
            <w:noWrap/>
            <w:vAlign w:val="center"/>
          </w:tcPr>
          <w:p>
            <w:pPr>
              <w:pStyle w:val="26"/>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w:t>
            </w:r>
            <w:r>
              <w:rPr>
                <w:rFonts w:hint="eastAsia" w:ascii="仿宋" w:hAnsi="仿宋" w:eastAsia="仿宋" w:cs="仿宋"/>
                <w:b/>
                <w:color w:val="auto"/>
                <w:highlight w:val="none"/>
              </w:rPr>
              <w:t>递交</w:t>
            </w:r>
            <w:r>
              <w:rPr>
                <w:rFonts w:hint="eastAsia" w:ascii="仿宋" w:hAnsi="仿宋" w:eastAsia="仿宋" w:cs="仿宋"/>
                <w:b/>
                <w:color w:val="auto"/>
                <w:szCs w:val="21"/>
                <w:highlight w:val="none"/>
              </w:rPr>
              <w:t>截止时间：2020年11月</w:t>
            </w:r>
            <w:r>
              <w:rPr>
                <w:rFonts w:hint="eastAsia" w:ascii="仿宋" w:hAnsi="仿宋" w:eastAsia="仿宋" w:cs="仿宋"/>
                <w:b/>
                <w:color w:val="auto"/>
                <w:szCs w:val="21"/>
                <w:highlight w:val="none"/>
                <w:lang w:val="en-US" w:eastAsia="zh-CN"/>
              </w:rPr>
              <w:t>13</w:t>
            </w:r>
            <w:r>
              <w:rPr>
                <w:rFonts w:hint="eastAsia" w:ascii="仿宋" w:hAnsi="仿宋" w:eastAsia="仿宋" w:cs="仿宋"/>
                <w:b/>
                <w:color w:val="auto"/>
                <w:szCs w:val="21"/>
                <w:highlight w:val="none"/>
              </w:rPr>
              <w:t>日北京时间</w:t>
            </w:r>
            <w:r>
              <w:rPr>
                <w:rFonts w:hint="eastAsia" w:ascii="仿宋" w:hAnsi="仿宋" w:eastAsia="仿宋" w:cs="仿宋"/>
                <w:b/>
                <w:color w:val="auto"/>
                <w:szCs w:val="21"/>
                <w:highlight w:val="none"/>
                <w:lang w:val="en-US" w:eastAsia="zh-CN"/>
              </w:rPr>
              <w:t>11</w:t>
            </w:r>
            <w:r>
              <w:rPr>
                <w:rFonts w:hint="eastAsia" w:ascii="仿宋" w:hAnsi="仿宋" w:eastAsia="仿宋" w:cs="仿宋"/>
                <w:b/>
                <w:color w:val="auto"/>
                <w:szCs w:val="21"/>
                <w:highlight w:val="none"/>
              </w:rPr>
              <w:t>时</w:t>
            </w:r>
            <w:r>
              <w:rPr>
                <w:rFonts w:hint="eastAsia" w:ascii="仿宋" w:hAnsi="仿宋" w:eastAsia="仿宋" w:cs="仿宋"/>
                <w:b/>
                <w:color w:val="auto"/>
                <w:szCs w:val="21"/>
                <w:highlight w:val="none"/>
                <w:lang w:val="en-US" w:eastAsia="zh-CN"/>
              </w:rPr>
              <w:t>00</w:t>
            </w:r>
            <w:r>
              <w:rPr>
                <w:rFonts w:hint="eastAsia" w:ascii="仿宋" w:hAnsi="仿宋" w:eastAsia="仿宋" w:cs="仿宋"/>
                <w:b/>
                <w:color w:val="auto"/>
                <w:szCs w:val="21"/>
                <w:highlight w:val="none"/>
              </w:rPr>
              <w:t>分整</w:t>
            </w:r>
          </w:p>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响应文件以密封形式递交至：</w:t>
            </w:r>
            <w:r>
              <w:rPr>
                <w:rFonts w:hint="eastAsia" w:ascii="仿宋" w:hAnsi="仿宋" w:eastAsia="仿宋" w:cs="仿宋"/>
                <w:bCs/>
                <w:color w:val="auto"/>
                <w:kern w:val="0"/>
                <w:szCs w:val="21"/>
                <w:highlight w:val="none"/>
              </w:rPr>
              <w:t>广西钟山县兴钟中路14号政务中心三楼会议大厅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892" w:type="dxa"/>
            <w:noWrap/>
            <w:vAlign w:val="center"/>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有效期：</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截止日期后</w:t>
            </w:r>
            <w:r>
              <w:rPr>
                <w:rFonts w:hint="eastAsia" w:ascii="仿宋" w:hAnsi="仿宋" w:eastAsia="仿宋" w:cs="仿宋"/>
                <w:color w:val="auto"/>
                <w:szCs w:val="21"/>
                <w:highlight w:val="none"/>
                <w:u w:val="single"/>
              </w:rPr>
              <w:t>60</w:t>
            </w:r>
            <w:r>
              <w:rPr>
                <w:rFonts w:hint="eastAsia" w:ascii="仿宋" w:hAnsi="仿宋" w:eastAsia="仿宋" w:cs="仿宋"/>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8407" w:type="dxa"/>
            <w:noWrap/>
            <w:vAlign w:val="center"/>
          </w:tcPr>
          <w:p>
            <w:pPr>
              <w:tabs>
                <w:tab w:val="left" w:pos="0"/>
                <w:tab w:val="left" w:pos="72"/>
                <w:tab w:val="left" w:pos="1467"/>
                <w:tab w:val="left" w:pos="184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参与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会议</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供应商须携带以下材料证件出席开标现场：</w:t>
            </w:r>
          </w:p>
          <w:p>
            <w:pPr>
              <w:pStyle w:val="13"/>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（1）法定代表人身份证明原件及本人二代身份证原件（法人到会时提供）或授权委托代理人的授权委托书原件及本人二代身份证原件（委托人到会时必须提供）</w:t>
            </w:r>
          </w:p>
          <w:p>
            <w:pPr>
              <w:tabs>
                <w:tab w:val="left" w:pos="0"/>
                <w:tab w:val="left" w:pos="72"/>
                <w:tab w:val="left" w:pos="1467"/>
                <w:tab w:val="left" w:pos="184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保证金缴纳证明材料；</w:t>
            </w:r>
          </w:p>
          <w:p>
            <w:pPr>
              <w:tabs>
                <w:tab w:val="left" w:pos="0"/>
                <w:tab w:val="left" w:pos="72"/>
                <w:tab w:val="left" w:pos="1467"/>
                <w:tab w:val="left" w:pos="1842"/>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评定方法：采用</w:t>
            </w:r>
            <w:r>
              <w:rPr>
                <w:rFonts w:hint="eastAsia" w:ascii="仿宋" w:hAnsi="仿宋" w:eastAsia="仿宋" w:cs="仿宋"/>
                <w:color w:val="auto"/>
                <w:szCs w:val="21"/>
                <w:highlight w:val="none"/>
                <w:lang w:val="en-US" w:eastAsia="zh-CN"/>
              </w:rPr>
              <w:t>最低评标价</w:t>
            </w:r>
            <w:r>
              <w:rPr>
                <w:rFonts w:hint="eastAsia" w:ascii="仿宋" w:hAnsi="仿宋" w:eastAsia="仿宋" w:cs="仿宋"/>
                <w:color w:val="auto"/>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892" w:type="dxa"/>
            <w:noWrap/>
            <w:vAlign w:val="center"/>
          </w:tcPr>
          <w:p>
            <w:pPr>
              <w:pStyle w:val="26"/>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29.1</w:t>
            </w:r>
          </w:p>
        </w:tc>
        <w:tc>
          <w:tcPr>
            <w:tcW w:w="8407" w:type="dxa"/>
            <w:noWrap/>
            <w:vAlign w:val="center"/>
          </w:tcPr>
          <w:p>
            <w:pPr>
              <w:pStyle w:val="26"/>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892" w:type="dxa"/>
            <w:noWrap/>
            <w:vAlign w:val="center"/>
          </w:tcPr>
          <w:p>
            <w:pPr>
              <w:pStyle w:val="26"/>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30.1</w:t>
            </w:r>
          </w:p>
        </w:tc>
        <w:tc>
          <w:tcPr>
            <w:tcW w:w="8407" w:type="dxa"/>
            <w:noWrap/>
            <w:vAlign w:val="center"/>
          </w:tcPr>
          <w:p>
            <w:pPr>
              <w:pStyle w:val="26"/>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国家发改委办公厅《关于采购代理服务收费有关问题的通知》（发改办价格[2003]857号文）的精神，采购代理服务费由成交人支付，收取标准按《采购代理服务收费管理暂行办法》（计价格[2002]1980号）规定计取。成交人须在领取成交通知书的同时向广西天柱建设管理有限公司一次性付清采购代理服务费及其他相关费用（开标会议费及专家评委费等），否则取消其成交资格，并没收其</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w:t>
            </w:r>
          </w:p>
        </w:tc>
      </w:tr>
    </w:tbl>
    <w:p>
      <w:pPr>
        <w:pStyle w:val="9"/>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文件的澄清和修改：</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供应商应认真审核《货物需求一览表》中的技术参数、配置及要求，如发现表中技术参数、配置有误或要求不合理的，</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供应商必须在规定的时间前要求澄清（时间要求见“</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lang w:val="en-US" w:eastAsia="zh-CN"/>
        </w:rPr>
        <w:t>人</w:t>
      </w:r>
      <w:r>
        <w:rPr>
          <w:rFonts w:hint="eastAsia" w:ascii="仿宋" w:hAnsi="仿宋" w:eastAsia="仿宋" w:cs="仿宋"/>
          <w:b/>
          <w:color w:val="auto"/>
          <w:szCs w:val="21"/>
          <w:highlight w:val="none"/>
        </w:rPr>
        <w:t>须知”4.2款），否则，视为</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供应商已经完全认可本次项目的</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文件，产生的后果由</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供应商负责。</w:t>
      </w:r>
    </w:p>
    <w:p>
      <w:pPr>
        <w:pStyle w:val="26"/>
        <w:spacing w:line="360" w:lineRule="exact"/>
        <w:rPr>
          <w:rFonts w:ascii="仿宋" w:hAnsi="仿宋" w:eastAsia="仿宋" w:cs="仿宋"/>
          <w:b/>
          <w:color w:val="auto"/>
          <w:highlight w:val="none"/>
        </w:rPr>
      </w:pPr>
    </w:p>
    <w:p>
      <w:pPr>
        <w:pStyle w:val="9"/>
        <w:spacing w:line="360" w:lineRule="exact"/>
        <w:jc w:val="center"/>
        <w:outlineLvl w:val="1"/>
        <w:rPr>
          <w:rFonts w:ascii="仿宋" w:hAnsi="仿宋" w:eastAsia="仿宋" w:cs="仿宋"/>
          <w:b/>
          <w:bCs/>
          <w:color w:val="auto"/>
          <w:sz w:val="32"/>
          <w:highlight w:val="none"/>
        </w:rPr>
      </w:pPr>
      <w:r>
        <w:rPr>
          <w:rFonts w:hint="eastAsia" w:ascii="仿宋" w:hAnsi="仿宋" w:eastAsia="仿宋" w:cs="仿宋"/>
          <w:b/>
          <w:bCs/>
          <w:color w:val="auto"/>
          <w:sz w:val="32"/>
          <w:highlight w:val="none"/>
        </w:rPr>
        <w:br w:type="page"/>
      </w:r>
      <w:bookmarkStart w:id="4" w:name="_Toc446927400"/>
      <w:r>
        <w:rPr>
          <w:rFonts w:hint="eastAsia" w:ascii="仿宋" w:hAnsi="仿宋" w:eastAsia="仿宋" w:cs="仿宋"/>
          <w:b/>
          <w:bCs/>
          <w:color w:val="auto"/>
          <w:sz w:val="32"/>
          <w:highlight w:val="none"/>
          <w:lang w:eastAsia="zh-CN"/>
        </w:rPr>
        <w:t>竞标</w:t>
      </w:r>
      <w:r>
        <w:rPr>
          <w:rFonts w:hint="eastAsia" w:ascii="仿宋" w:hAnsi="仿宋" w:eastAsia="仿宋" w:cs="仿宋"/>
          <w:b/>
          <w:bCs/>
          <w:color w:val="auto"/>
          <w:sz w:val="32"/>
          <w:highlight w:val="none"/>
          <w:lang w:val="en-US" w:eastAsia="zh-CN"/>
        </w:rPr>
        <w:t>人</w:t>
      </w:r>
      <w:r>
        <w:rPr>
          <w:rFonts w:hint="eastAsia" w:ascii="仿宋" w:hAnsi="仿宋" w:eastAsia="仿宋" w:cs="仿宋"/>
          <w:b/>
          <w:bCs/>
          <w:color w:val="auto"/>
          <w:sz w:val="32"/>
          <w:highlight w:val="none"/>
        </w:rPr>
        <w:t>须知</w:t>
      </w:r>
      <w:bookmarkEnd w:id="4"/>
    </w:p>
    <w:p>
      <w:pPr>
        <w:pStyle w:val="9"/>
        <w:spacing w:line="360" w:lineRule="exact"/>
        <w:jc w:val="center"/>
        <w:rPr>
          <w:rFonts w:ascii="仿宋" w:hAnsi="仿宋" w:eastAsia="仿宋" w:cs="仿宋"/>
          <w:b/>
          <w:bCs/>
          <w:color w:val="auto"/>
          <w:sz w:val="32"/>
          <w:highlight w:val="none"/>
        </w:rPr>
      </w:pPr>
    </w:p>
    <w:p>
      <w:pPr>
        <w:pStyle w:val="9"/>
        <w:spacing w:beforeLines="100" w:afterLines="100" w:line="360" w:lineRule="auto"/>
        <w:jc w:val="center"/>
        <w:outlineLvl w:val="2"/>
        <w:rPr>
          <w:rFonts w:ascii="仿宋" w:hAnsi="仿宋" w:eastAsia="仿宋" w:cs="仿宋"/>
          <w:b/>
          <w:bCs/>
          <w:color w:val="auto"/>
          <w:sz w:val="24"/>
          <w:highlight w:val="none"/>
        </w:rPr>
      </w:pPr>
      <w:bookmarkStart w:id="5" w:name="_Toc446927401"/>
      <w:r>
        <w:rPr>
          <w:rFonts w:hint="eastAsia" w:ascii="仿宋" w:hAnsi="仿宋" w:eastAsia="仿宋" w:cs="仿宋"/>
          <w:b/>
          <w:bCs/>
          <w:color w:val="auto"/>
          <w:sz w:val="24"/>
          <w:highlight w:val="none"/>
        </w:rPr>
        <w:t>（一）总则</w:t>
      </w:r>
      <w:bookmarkEnd w:id="5"/>
    </w:p>
    <w:p>
      <w:pPr>
        <w:pStyle w:val="9"/>
        <w:numPr>
          <w:ilvl w:val="0"/>
          <w:numId w:val="2"/>
        </w:numPr>
        <w:spacing w:line="360" w:lineRule="auto"/>
        <w:jc w:val="left"/>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项目名称、项目编号</w:t>
      </w:r>
    </w:p>
    <w:p>
      <w:pPr>
        <w:pStyle w:val="9"/>
        <w:spacing w:line="360" w:lineRule="auto"/>
        <w:ind w:left="412"/>
        <w:jc w:val="left"/>
        <w:rPr>
          <w:rFonts w:ascii="仿宋" w:hAnsi="仿宋" w:eastAsia="仿宋" w:cs="仿宋"/>
          <w:color w:val="auto"/>
          <w:highlight w:val="none"/>
          <w:u w:val="single"/>
        </w:rPr>
      </w:pPr>
      <w:r>
        <w:rPr>
          <w:rFonts w:hint="eastAsia" w:ascii="仿宋" w:hAnsi="仿宋" w:eastAsia="仿宋" w:cs="仿宋"/>
          <w:color w:val="auto"/>
          <w:highlight w:val="none"/>
        </w:rPr>
        <w:t>详</w:t>
      </w:r>
      <w:r>
        <w:rPr>
          <w:rFonts w:hint="eastAsia" w:ascii="仿宋" w:hAnsi="仿宋" w:eastAsia="仿宋" w:cs="仿宋"/>
          <w:bCs/>
          <w:color w:val="auto"/>
          <w:highlight w:val="none"/>
        </w:rPr>
        <w:t>见“</w:t>
      </w:r>
      <w:r>
        <w:rPr>
          <w:rFonts w:hint="eastAsia" w:ascii="仿宋" w:hAnsi="仿宋" w:eastAsia="仿宋" w:cs="仿宋"/>
          <w:bCs/>
          <w:color w:val="auto"/>
          <w:highlight w:val="none"/>
          <w:lang w:eastAsia="zh-CN"/>
        </w:rPr>
        <w:t>竞标</w:t>
      </w:r>
      <w:r>
        <w:rPr>
          <w:rFonts w:hint="eastAsia" w:ascii="仿宋" w:hAnsi="仿宋" w:eastAsia="仿宋" w:cs="仿宋"/>
          <w:bCs/>
          <w:color w:val="auto"/>
          <w:highlight w:val="none"/>
          <w:lang w:val="en-US" w:eastAsia="zh-CN"/>
        </w:rPr>
        <w:t>人</w:t>
      </w:r>
      <w:r>
        <w:rPr>
          <w:rFonts w:hint="eastAsia" w:ascii="仿宋" w:hAnsi="仿宋" w:eastAsia="仿宋" w:cs="仿宋"/>
          <w:bCs/>
          <w:color w:val="auto"/>
          <w:highlight w:val="none"/>
        </w:rPr>
        <w:t>须知前附表”</w:t>
      </w:r>
    </w:p>
    <w:p>
      <w:pPr>
        <w:pStyle w:val="9"/>
        <w:numPr>
          <w:ilvl w:val="0"/>
          <w:numId w:val="2"/>
        </w:numPr>
        <w:spacing w:line="360" w:lineRule="auto"/>
        <w:jc w:val="left"/>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供应商资格</w:t>
      </w:r>
    </w:p>
    <w:p>
      <w:pPr>
        <w:pStyle w:val="9"/>
        <w:spacing w:line="360" w:lineRule="auto"/>
        <w:ind w:left="412"/>
        <w:jc w:val="left"/>
        <w:rPr>
          <w:rFonts w:ascii="仿宋" w:hAnsi="仿宋" w:eastAsia="仿宋" w:cs="仿宋"/>
          <w:color w:val="auto"/>
          <w:highlight w:val="none"/>
          <w:u w:val="single"/>
        </w:rPr>
      </w:pPr>
      <w:r>
        <w:rPr>
          <w:rFonts w:hint="eastAsia" w:ascii="仿宋" w:hAnsi="仿宋" w:eastAsia="仿宋" w:cs="仿宋"/>
          <w:color w:val="auto"/>
          <w:highlight w:val="none"/>
        </w:rPr>
        <w:t>详</w:t>
      </w:r>
      <w:r>
        <w:rPr>
          <w:rFonts w:hint="eastAsia" w:ascii="仿宋" w:hAnsi="仿宋" w:eastAsia="仿宋" w:cs="仿宋"/>
          <w:bCs/>
          <w:color w:val="auto"/>
          <w:highlight w:val="none"/>
        </w:rPr>
        <w:t>见“</w:t>
      </w:r>
      <w:r>
        <w:rPr>
          <w:rFonts w:hint="eastAsia" w:ascii="仿宋" w:hAnsi="仿宋" w:eastAsia="仿宋" w:cs="仿宋"/>
          <w:bCs/>
          <w:color w:val="auto"/>
          <w:highlight w:val="none"/>
          <w:lang w:eastAsia="zh-CN"/>
        </w:rPr>
        <w:t>竞标</w:t>
      </w:r>
      <w:r>
        <w:rPr>
          <w:rFonts w:hint="eastAsia" w:ascii="仿宋" w:hAnsi="仿宋" w:eastAsia="仿宋" w:cs="仿宋"/>
          <w:bCs/>
          <w:color w:val="auto"/>
          <w:highlight w:val="none"/>
          <w:lang w:val="en-US" w:eastAsia="zh-CN"/>
        </w:rPr>
        <w:t>人</w:t>
      </w:r>
      <w:r>
        <w:rPr>
          <w:rFonts w:hint="eastAsia" w:ascii="仿宋" w:hAnsi="仿宋" w:eastAsia="仿宋" w:cs="仿宋"/>
          <w:bCs/>
          <w:color w:val="auto"/>
          <w:highlight w:val="none"/>
        </w:rPr>
        <w:t>须知前附表”</w:t>
      </w:r>
    </w:p>
    <w:p>
      <w:pPr>
        <w:pStyle w:val="9"/>
        <w:numPr>
          <w:ilvl w:val="0"/>
          <w:numId w:val="2"/>
        </w:numPr>
        <w:spacing w:line="360" w:lineRule="auto"/>
        <w:jc w:val="left"/>
        <w:outlineLvl w:val="3"/>
        <w:rPr>
          <w:rFonts w:ascii="仿宋" w:hAnsi="仿宋" w:eastAsia="仿宋" w:cs="仿宋"/>
          <w:b/>
          <w:color w:val="auto"/>
          <w:szCs w:val="21"/>
          <w:highlight w:val="none"/>
        </w:rPr>
      </w:pPr>
      <w:bookmarkStart w:id="6" w:name="_Toc446927402"/>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费用</w:t>
      </w:r>
    </w:p>
    <w:p>
      <w:pPr>
        <w:pStyle w:val="9"/>
        <w:spacing w:line="360" w:lineRule="auto"/>
        <w:ind w:firstLine="420" w:firstLineChars="200"/>
        <w:jc w:val="left"/>
        <w:outlineLvl w:val="2"/>
        <w:rPr>
          <w:rFonts w:ascii="仿宋" w:hAnsi="仿宋" w:eastAsia="仿宋" w:cs="仿宋"/>
          <w:color w:val="auto"/>
          <w:highlight w:val="none"/>
        </w:rPr>
      </w:pPr>
      <w:r>
        <w:rPr>
          <w:rFonts w:hint="eastAsia" w:ascii="仿宋" w:hAnsi="仿宋" w:eastAsia="仿宋" w:cs="仿宋"/>
          <w:bCs/>
          <w:color w:val="auto"/>
          <w:highlight w:val="none"/>
          <w:lang w:eastAsia="zh-CN"/>
        </w:rPr>
        <w:t>竞标</w:t>
      </w:r>
      <w:r>
        <w:rPr>
          <w:rFonts w:hint="eastAsia" w:ascii="仿宋" w:hAnsi="仿宋" w:eastAsia="仿宋" w:cs="仿宋"/>
          <w:color w:val="auto"/>
          <w:highlight w:val="none"/>
        </w:rPr>
        <w:t>人应自行承担所有与本次竞标有关的全部费用</w:t>
      </w:r>
    </w:p>
    <w:p>
      <w:pPr>
        <w:pStyle w:val="9"/>
        <w:spacing w:beforeLines="100" w:afterLines="100"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竞标</w:t>
      </w:r>
      <w:r>
        <w:rPr>
          <w:rFonts w:hint="eastAsia" w:ascii="仿宋" w:hAnsi="仿宋" w:eastAsia="仿宋" w:cs="仿宋"/>
          <w:b/>
          <w:bCs/>
          <w:color w:val="auto"/>
          <w:sz w:val="24"/>
          <w:highlight w:val="none"/>
        </w:rPr>
        <w:t>文件的澄清和修改</w:t>
      </w:r>
      <w:bookmarkEnd w:id="6"/>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文件的澄清和修改</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供应商应认真审核《货物需求一览表》中的技术参数、配置及要求，如发现表中技术参数、配置有误或要求不合理的，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供应商必须在规定的时间前要求澄清，否则，视为</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供应商已经完全认可本次项目的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文件，产生的后果由</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供应商负责。</w:t>
      </w:r>
    </w:p>
    <w:p>
      <w:pPr>
        <w:pStyle w:val="9"/>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4.2任何要求澄清</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供应商，均应在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截止日期3天前的正常工作时间以书面形式（包括信函、传真等可以有形地表现所载内容的形式，下同）通知采购代理机构，采购代理机构将以书面形式予以答复。</w:t>
      </w:r>
    </w:p>
    <w:p>
      <w:pPr>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4.3采购代理机构对已发出的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文件进行必要澄清或者修改的，在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文件要求提交</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文件截止时间3天前，在中国政府采购网、广西壮族自治区政府采购网、采购与招标网上发布更正公告，并以书面形式通知所有</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文件收受人。该澄清或者修改的内容为</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文件的组成部分。如果澄清发出时间距</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截止时间不足3天，相应延长</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截止时间和开标时间。</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7" w:name="_Toc446927403"/>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响应文件的编制</w:t>
      </w:r>
      <w:bookmarkEnd w:id="7"/>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响应文件编写的注意事项</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供应商应认真阅读</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文件，按照</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文件的要求编制响应文件。</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响应文件应对</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文件提出要求和条件作出实质性响应。</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5.2对</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文件提出的实质性要求和条件作出响应是指</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供应商必须对</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文件中涉及项目的价格、技术参数及性能配置、数量、售后服务、交货时间及其它要求、合同主要条款等内容作出响应。</w:t>
      </w:r>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响应文件的文字及计量单位</w:t>
      </w:r>
    </w:p>
    <w:p>
      <w:pPr>
        <w:pStyle w:val="9"/>
        <w:spacing w:line="360" w:lineRule="auto"/>
        <w:ind w:firstLine="404" w:firstLineChars="200"/>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6.1</w:t>
      </w:r>
      <w:r>
        <w:rPr>
          <w:rFonts w:hint="eastAsia" w:ascii="仿宋" w:hAnsi="仿宋" w:eastAsia="仿宋" w:cs="仿宋"/>
          <w:color w:val="auto"/>
          <w:spacing w:val="-4"/>
          <w:szCs w:val="21"/>
          <w:highlight w:val="none"/>
          <w:lang w:eastAsia="zh-CN"/>
        </w:rPr>
        <w:t>竞标</w:t>
      </w:r>
      <w:r>
        <w:rPr>
          <w:rFonts w:hint="eastAsia" w:ascii="仿宋" w:hAnsi="仿宋" w:eastAsia="仿宋" w:cs="仿宋"/>
          <w:color w:val="auto"/>
          <w:spacing w:val="-4"/>
          <w:szCs w:val="21"/>
          <w:highlight w:val="none"/>
        </w:rPr>
        <w:t>供应商的响应文件以及</w:t>
      </w:r>
      <w:r>
        <w:rPr>
          <w:rFonts w:hint="eastAsia" w:ascii="仿宋" w:hAnsi="仿宋" w:eastAsia="仿宋" w:cs="仿宋"/>
          <w:color w:val="auto"/>
          <w:spacing w:val="-4"/>
          <w:szCs w:val="21"/>
          <w:highlight w:val="none"/>
          <w:lang w:eastAsia="zh-CN"/>
        </w:rPr>
        <w:t>竞标</w:t>
      </w:r>
      <w:r>
        <w:rPr>
          <w:rFonts w:hint="eastAsia" w:ascii="仿宋" w:hAnsi="仿宋" w:eastAsia="仿宋" w:cs="仿宋"/>
          <w:color w:val="auto"/>
          <w:spacing w:val="-4"/>
          <w:szCs w:val="21"/>
          <w:highlight w:val="none"/>
        </w:rPr>
        <w:t>供应商与本采购代理机构的所有来往的函件统一使用中文（另有规定的除外）。</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响应文件中使用的计量单位除</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文件中有特殊规定外，一律使用法定计量单位。</w:t>
      </w:r>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响应文件书写及签名、盖章要求</w:t>
      </w:r>
    </w:p>
    <w:p>
      <w:pPr>
        <w:pStyle w:val="9"/>
        <w:numPr>
          <w:ilvl w:val="1"/>
          <w:numId w:val="2"/>
        </w:numPr>
        <w:spacing w:line="360" w:lineRule="auto"/>
        <w:ind w:hanging="361"/>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响应文件正本必须用不褪色的墨水书写或打印，否则可能将被认定为无效的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w:t>
      </w:r>
    </w:p>
    <w:p>
      <w:pPr>
        <w:pStyle w:val="9"/>
        <w:numPr>
          <w:ilvl w:val="1"/>
          <w:numId w:val="2"/>
        </w:numPr>
        <w:spacing w:line="360" w:lineRule="auto"/>
        <w:ind w:hanging="361"/>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响应文件的书写应清楚工整，修改处应由法定代表人或委托代理人签字或加盖公章。</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7.3字迹潦草、未按要求填写或表达不清可能导致非唯一理解的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响应文件可能将被认定为无效的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7.4响应文件应由法定代表人或委托代理人</w:t>
      </w:r>
      <w:r>
        <w:rPr>
          <w:rFonts w:hint="eastAsia" w:ascii="仿宋" w:hAnsi="仿宋" w:eastAsia="仿宋" w:cs="仿宋"/>
          <w:color w:val="auto"/>
          <w:highlight w:val="none"/>
        </w:rPr>
        <w:t>在正本逐页</w:t>
      </w:r>
      <w:r>
        <w:rPr>
          <w:rFonts w:hint="eastAsia" w:ascii="仿宋" w:hAnsi="仿宋" w:eastAsia="仿宋" w:cs="仿宋"/>
          <w:color w:val="auto"/>
          <w:szCs w:val="21"/>
          <w:highlight w:val="none"/>
        </w:rPr>
        <w:t>加盖</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w:t>
      </w:r>
      <w:r>
        <w:rPr>
          <w:rFonts w:hint="eastAsia" w:ascii="仿宋" w:hAnsi="仿宋" w:eastAsia="仿宋" w:cs="仿宋"/>
          <w:color w:val="auto"/>
          <w:szCs w:val="21"/>
          <w:highlight w:val="none"/>
        </w:rPr>
        <w:t>公章并在</w:t>
      </w:r>
      <w:r>
        <w:rPr>
          <w:rFonts w:hint="eastAsia" w:ascii="仿宋" w:hAnsi="仿宋" w:eastAsia="仿宋" w:cs="仿宋"/>
          <w:color w:val="auto"/>
          <w:highlight w:val="none"/>
        </w:rPr>
        <w:t>凡规定签名处签名</w:t>
      </w:r>
      <w:r>
        <w:rPr>
          <w:rFonts w:hint="eastAsia" w:ascii="仿宋" w:hAnsi="仿宋" w:eastAsia="仿宋" w:cs="仿宋"/>
          <w:color w:val="auto"/>
          <w:szCs w:val="21"/>
          <w:highlight w:val="none"/>
        </w:rPr>
        <w:t>，否则</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无效。</w:t>
      </w:r>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响应文件的构成</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供应商编写的且在响应文件递交截止时间前递交的响应文件必须包括下列内容（</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供应商必须按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要求自编目录及标注页码装订成册，且</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响应文件装订位置必须封边，不允许使用活页夹、拉杆夹、夹条等可能导致响应文件散落或脱页的装订方式，否则将被视为无效</w:t>
      </w:r>
      <w:r>
        <w:rPr>
          <w:rFonts w:hint="eastAsia" w:ascii="仿宋" w:hAnsi="仿宋" w:eastAsia="仿宋" w:cs="仿宋"/>
          <w:bCs/>
          <w:color w:val="auto"/>
          <w:szCs w:val="21"/>
          <w:highlight w:val="none"/>
          <w:lang w:eastAsia="zh-CN"/>
        </w:rPr>
        <w:t>竞标</w:t>
      </w:r>
      <w:r>
        <w:rPr>
          <w:rFonts w:hint="eastAsia" w:ascii="仿宋" w:hAnsi="仿宋" w:eastAsia="仿宋" w:cs="仿宋"/>
          <w:color w:val="auto"/>
          <w:szCs w:val="21"/>
          <w:highlight w:val="none"/>
        </w:rPr>
        <w:t>）：</w:t>
      </w:r>
    </w:p>
    <w:p>
      <w:pPr>
        <w:pStyle w:val="9"/>
        <w:spacing w:beforeLines="20" w:afterLines="20"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b/>
          <w:color w:val="auto"/>
          <w:szCs w:val="21"/>
          <w:highlight w:val="none"/>
        </w:rPr>
        <w:t>1、商务部分</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函（按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》要求填写）；</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rPr>
        <w:t>开标一览表（按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 xml:space="preserve">》要求填写）； </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保证金缴纳证明（按本须知第15条要求提交）；</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报价明细表（按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》填写）；</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rPr>
        <w:t>售后服务方案（按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 xml:space="preserve">》填写）； </w:t>
      </w:r>
    </w:p>
    <w:p>
      <w:pPr>
        <w:pStyle w:val="9"/>
        <w:numPr>
          <w:ilvl w:val="0"/>
          <w:numId w:val="3"/>
        </w:numPr>
        <w:spacing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供应商资格证明文件(按本须知第13条要求提供)；</w:t>
      </w:r>
    </w:p>
    <w:p>
      <w:pPr>
        <w:pStyle w:val="9"/>
        <w:spacing w:beforeLines="20" w:afterLines="20"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b/>
          <w:color w:val="auto"/>
          <w:szCs w:val="21"/>
          <w:highlight w:val="none"/>
        </w:rPr>
        <w:t>2、技术部分</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（1）货物合格证明文件（按本须知第14条要求提供）；</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（2）技术规格偏离表（按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》填写）；</w:t>
      </w:r>
    </w:p>
    <w:p>
      <w:pPr>
        <w:pStyle w:val="9"/>
        <w:spacing w:beforeLines="20" w:afterLines="20" w:line="360" w:lineRule="auto"/>
        <w:ind w:left="403" w:leftChars="192"/>
        <w:rPr>
          <w:rFonts w:ascii="仿宋" w:hAnsi="仿宋" w:eastAsia="仿宋" w:cs="仿宋"/>
          <w:color w:val="auto"/>
          <w:szCs w:val="21"/>
          <w:highlight w:val="none"/>
        </w:rPr>
      </w:pPr>
      <w:r>
        <w:rPr>
          <w:rFonts w:hint="eastAsia" w:ascii="仿宋" w:hAnsi="仿宋" w:eastAsia="仿宋" w:cs="仿宋"/>
          <w:b/>
          <w:color w:val="auto"/>
          <w:szCs w:val="21"/>
          <w:highlight w:val="none"/>
        </w:rPr>
        <w:t>3、其他材料</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人认为有必要提供的其它材料）。</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8.2响应文件应按如下份数递交，否则视为无效</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 xml:space="preserve">：正本一份，副本三份，共四份（副本可用正本复印件，封面除外）。并在每份文件上注明“正本”、“副本”字样，一旦副本和正本不符，以正本为准。 </w:t>
      </w:r>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响应文件格式</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9.1</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供应商应按</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文件提供的</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函、</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报价明细表、技术规格偏离表等格式详细完整地填写各项内容。</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9.2在</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报价明细表中，</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人应详细标明所提供的货物名称、品牌、技术参数、配置、生产厂家、数量及产品所执行的标准及标准号等。否则可能将被认定为未作出实质性响应。</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8" w:name="_Toc446927404"/>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报价</w:t>
      </w:r>
      <w:bookmarkEnd w:id="8"/>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报价</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报价明细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响应文件的解释发生异议的，以中文文本为准。如果因</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供应商原因引起的报价失误，并在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时被接受，其后果由</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供应商自负。</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供应商应就第三章《货物需求一览表》中的所有服务及其他全部内容作完整唯一报价。</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供应商的最终报价不得高于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文件报价，否则作无效</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处理。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10.3本项目采购预算价为人民币：A标：捌拾玖万叁仟壹佰玖拾伍元整（￥893195.00）；B标：柒拾万零伍仟叁佰玖拾肆元整（￥705394.00）</w:t>
      </w:r>
      <w:r>
        <w:rPr>
          <w:rFonts w:hint="eastAsia" w:ascii="仿宋" w:hAnsi="仿宋" w:eastAsia="仿宋" w:cs="仿宋"/>
          <w:bCs/>
          <w:color w:val="auto"/>
          <w:szCs w:val="21"/>
          <w:highlight w:val="none"/>
        </w:rPr>
        <w:t>。</w:t>
      </w:r>
    </w:p>
    <w:p>
      <w:pPr>
        <w:pStyle w:val="9"/>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10.4本项目为两轮报价，第二轮报价为最终报价。</w:t>
      </w:r>
    </w:p>
    <w:p>
      <w:pPr>
        <w:pStyle w:val="9"/>
        <w:numPr>
          <w:ilvl w:val="0"/>
          <w:numId w:val="2"/>
        </w:numPr>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报价货物、服务、随配附件、备品备件、工具、运抵指定交货地点、设备安装、配件及附属材料、调试验收等至验收合格所发生的各种费用和售后服务、保险费、税金及其他所有成本费用的总和。</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12</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货币</w:t>
      </w:r>
    </w:p>
    <w:p>
      <w:pPr>
        <w:pStyle w:val="9"/>
        <w:spacing w:line="360" w:lineRule="auto"/>
        <w:ind w:left="309"/>
        <w:rPr>
          <w:rFonts w:ascii="仿宋" w:hAnsi="仿宋" w:eastAsia="仿宋" w:cs="仿宋"/>
          <w:color w:val="auto"/>
          <w:szCs w:val="21"/>
          <w:highlight w:val="none"/>
        </w:rPr>
      </w:pPr>
      <w:r>
        <w:rPr>
          <w:rFonts w:hint="eastAsia" w:ascii="仿宋" w:hAnsi="仿宋" w:eastAsia="仿宋" w:cs="仿宋"/>
          <w:color w:val="auto"/>
          <w:szCs w:val="21"/>
          <w:highlight w:val="none"/>
        </w:rPr>
        <w:t>12.1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应以人民币报价。</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9" w:name="_Toc446927405"/>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供应商资格证明文件</w:t>
      </w:r>
      <w:bookmarkEnd w:id="9"/>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13</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供应商资格证明文件</w:t>
      </w:r>
    </w:p>
    <w:p>
      <w:pPr>
        <w:pStyle w:val="9"/>
        <w:spacing w:line="360" w:lineRule="auto"/>
        <w:ind w:left="309"/>
        <w:rPr>
          <w:rFonts w:ascii="仿宋" w:hAnsi="仿宋" w:eastAsia="仿宋" w:cs="仿宋"/>
          <w:b/>
          <w:color w:val="auto"/>
          <w:szCs w:val="21"/>
          <w:highlight w:val="none"/>
        </w:rPr>
      </w:pPr>
      <w:r>
        <w:rPr>
          <w:rFonts w:hint="eastAsia" w:ascii="仿宋" w:hAnsi="仿宋" w:eastAsia="仿宋" w:cs="仿宋"/>
          <w:bCs/>
          <w:color w:val="auto"/>
          <w:szCs w:val="21"/>
          <w:highlight w:val="none"/>
        </w:rPr>
        <w:t>13.1</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供应商资格证明文件应包含</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（1）三证合一的营业执照复印件；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（2）法定代表人资格证明书原件和身份证复印件；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（3）授权委托书原件和委托代理人身份证复印件，（委托代理人出席必须提供，否则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保证金交纳证明（必须提供，否则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color w:val="auto"/>
          <w:szCs w:val="21"/>
          <w:highlight w:val="none"/>
        </w:rPr>
        <w:t>基本账户开户许可证或基本存款账户信息（若以转账、电汇方式提交的</w:t>
      </w:r>
      <w:r>
        <w:rPr>
          <w:rFonts w:hint="eastAsia" w:ascii="仿宋" w:hAnsi="仿宋" w:eastAsia="仿宋" w:cs="仿宋"/>
          <w:bCs/>
          <w:color w:val="auto"/>
          <w:szCs w:val="21"/>
          <w:highlight w:val="none"/>
          <w:lang w:eastAsia="zh-CN"/>
        </w:rPr>
        <w:t>竞标</w:t>
      </w:r>
      <w:r>
        <w:rPr>
          <w:rFonts w:hint="eastAsia" w:ascii="仿宋" w:hAnsi="仿宋" w:eastAsia="仿宋" w:cs="仿宋"/>
          <w:color w:val="auto"/>
          <w:szCs w:val="21"/>
          <w:highlight w:val="none"/>
        </w:rPr>
        <w:t>保证金必须提供，否则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color w:val="auto"/>
          <w:szCs w:val="21"/>
          <w:highlight w:val="none"/>
        </w:rPr>
        <w:t>无效）</w:t>
      </w:r>
      <w:r>
        <w:rPr>
          <w:rFonts w:hint="eastAsia" w:ascii="仿宋" w:hAnsi="仿宋" w:eastAsia="仿宋" w:cs="仿宋"/>
          <w:bCs/>
          <w:color w:val="auto"/>
          <w:szCs w:val="21"/>
          <w:highlight w:val="none"/>
        </w:rPr>
        <w:t>；</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（6）参加采购活动前三年内在经营活动中没有重大违法记录的书面声明；</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（7）投标截止之日前半年内任意3个月的依法纳税的缴费凭证（格式自拟，复印件，必须提供）；无纳税记录的，应提供由</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供应商所在地的税务部门出具的《依法纳税或依法免税证明》（格式自拟，复印件）。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（8）投标截止之日前半年内任意3个月的依法缴纳社保费的缴费凭证（格式自拟，复印件，必须提供）；无缴费记录的，应提供由</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供应商所在地社保部门出具的《依法缴纳或依法免缴社保费证明》（格式自拟，复印件）。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（9）中国裁判文书网(wenshu.court.gov.cn/)查询结果；</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（10）供应商认为必要提供的声明及文件资料。</w:t>
      </w:r>
    </w:p>
    <w:p>
      <w:pPr>
        <w:pStyle w:val="9"/>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13.2以上</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供应商资格证明文件必须提供，并加盖</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单位公章否则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bookmarkStart w:id="10" w:name="_Toc446927407"/>
    </w:p>
    <w:p>
      <w:pPr>
        <w:pStyle w:val="9"/>
        <w:spacing w:beforeLines="100" w:afterLines="100"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w:t>
      </w:r>
      <w:bookmarkStart w:id="11" w:name="_Toc432576118"/>
      <w:r>
        <w:rPr>
          <w:rFonts w:hint="eastAsia" w:ascii="仿宋" w:hAnsi="仿宋" w:eastAsia="仿宋" w:cs="仿宋"/>
          <w:b/>
          <w:bCs/>
          <w:color w:val="auto"/>
          <w:sz w:val="24"/>
          <w:szCs w:val="24"/>
          <w:highlight w:val="none"/>
        </w:rPr>
        <w:t>货物合格证明文件</w:t>
      </w:r>
    </w:p>
    <w:p>
      <w:pPr>
        <w:pStyle w:val="9"/>
        <w:spacing w:line="360" w:lineRule="auto"/>
        <w:outlineLvl w:val="3"/>
        <w:rPr>
          <w:rFonts w:ascii="仿宋" w:hAnsi="仿宋" w:eastAsia="仿宋" w:cs="仿宋"/>
          <w:b/>
          <w:color w:val="auto"/>
          <w:highlight w:val="none"/>
        </w:rPr>
      </w:pPr>
      <w:r>
        <w:rPr>
          <w:rFonts w:hint="eastAsia" w:ascii="仿宋" w:hAnsi="仿宋" w:eastAsia="仿宋" w:cs="仿宋"/>
          <w:b/>
          <w:color w:val="auto"/>
          <w:highlight w:val="none"/>
        </w:rPr>
        <w:t>14货物</w:t>
      </w:r>
      <w:bookmarkEnd w:id="11"/>
      <w:r>
        <w:rPr>
          <w:rFonts w:hint="eastAsia" w:ascii="仿宋" w:hAnsi="仿宋" w:eastAsia="仿宋" w:cs="仿宋"/>
          <w:b/>
          <w:color w:val="auto"/>
          <w:highlight w:val="none"/>
        </w:rPr>
        <w:t>合格和符合谈判文件规定的证明文件</w:t>
      </w:r>
    </w:p>
    <w:p>
      <w:pPr>
        <w:pStyle w:val="9"/>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14.1</w:t>
      </w: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供应商还应提交根据本项目要求提供证明货物和手续合格性的文件及资料。它们可以是：</w:t>
      </w:r>
    </w:p>
    <w:p>
      <w:pPr>
        <w:pStyle w:val="9"/>
        <w:spacing w:line="360" w:lineRule="auto"/>
        <w:ind w:left="420"/>
        <w:rPr>
          <w:rFonts w:ascii="仿宋" w:hAnsi="仿宋" w:eastAsia="仿宋" w:cs="仿宋"/>
          <w:bCs/>
          <w:color w:val="auto"/>
          <w:highlight w:val="none"/>
        </w:rPr>
      </w:pPr>
      <w:r>
        <w:rPr>
          <w:rFonts w:hint="eastAsia" w:ascii="仿宋" w:hAnsi="仿宋" w:eastAsia="仿宋" w:cs="仿宋"/>
          <w:bCs/>
          <w:color w:val="auto"/>
          <w:highlight w:val="none"/>
        </w:rPr>
        <w:t>（1）安全生产许可证或者产品代理资格证明文件；（如有，请提供复印件）</w:t>
      </w:r>
    </w:p>
    <w:p>
      <w:pPr>
        <w:pStyle w:val="9"/>
        <w:spacing w:line="360" w:lineRule="auto"/>
        <w:ind w:left="420"/>
        <w:rPr>
          <w:rFonts w:ascii="仿宋" w:hAnsi="仿宋" w:eastAsia="仿宋" w:cs="仿宋"/>
          <w:bCs/>
          <w:color w:val="auto"/>
          <w:highlight w:val="none"/>
        </w:rPr>
      </w:pPr>
      <w:r>
        <w:rPr>
          <w:rFonts w:hint="eastAsia" w:ascii="仿宋" w:hAnsi="仿宋" w:eastAsia="仿宋" w:cs="仿宋"/>
          <w:bCs/>
          <w:color w:val="auto"/>
          <w:highlight w:val="none"/>
        </w:rPr>
        <w:t>（2）竞标产品自主品牌的信誉、荣誉证书；（如有，请提供复印件）</w:t>
      </w:r>
    </w:p>
    <w:p>
      <w:pPr>
        <w:pStyle w:val="9"/>
        <w:spacing w:line="360" w:lineRule="auto"/>
        <w:ind w:left="420"/>
        <w:rPr>
          <w:rFonts w:ascii="仿宋" w:hAnsi="仿宋" w:eastAsia="仿宋" w:cs="仿宋"/>
          <w:bCs/>
          <w:color w:val="auto"/>
          <w:highlight w:val="none"/>
        </w:rPr>
      </w:pPr>
      <w:r>
        <w:rPr>
          <w:rFonts w:hint="eastAsia" w:ascii="仿宋" w:hAnsi="仿宋" w:eastAsia="仿宋" w:cs="仿宋"/>
          <w:bCs/>
          <w:color w:val="auto"/>
          <w:highlight w:val="none"/>
        </w:rPr>
        <w:t>（3）竞标产品质量管理和质量保证体系等方面的认证证书；（如有，请提供复印件）；</w:t>
      </w:r>
    </w:p>
    <w:p>
      <w:pPr>
        <w:pStyle w:val="9"/>
        <w:spacing w:line="360" w:lineRule="auto"/>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（4）第三章《</w:t>
      </w:r>
      <w:r>
        <w:rPr>
          <w:rFonts w:hint="eastAsia" w:ascii="仿宋" w:hAnsi="仿宋" w:eastAsia="仿宋" w:cs="仿宋"/>
          <w:bCs/>
          <w:color w:val="auto"/>
          <w:highlight w:val="none"/>
          <w:lang w:val="en-US" w:eastAsia="zh-CN"/>
        </w:rPr>
        <w:t>货物</w:t>
      </w:r>
      <w:r>
        <w:rPr>
          <w:rFonts w:hint="eastAsia" w:ascii="仿宋" w:hAnsi="仿宋" w:eastAsia="仿宋" w:cs="仿宋"/>
          <w:bCs/>
          <w:color w:val="auto"/>
          <w:highlight w:val="none"/>
        </w:rPr>
        <w:t>需求一览表》中明确要求的产品合格证明文件（如有要求则必须提供）。</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14.2以上货物合格证明文件</w:t>
      </w:r>
      <w:r>
        <w:rPr>
          <w:rFonts w:hint="eastAsia" w:ascii="仿宋" w:hAnsi="仿宋" w:eastAsia="仿宋" w:cs="仿宋"/>
          <w:bCs/>
          <w:color w:val="auto"/>
          <w:highlight w:val="none"/>
        </w:rPr>
        <w:t>如有要求则必须提供</w:t>
      </w:r>
      <w:r>
        <w:rPr>
          <w:rFonts w:hint="eastAsia" w:ascii="仿宋" w:hAnsi="仿宋" w:eastAsia="仿宋" w:cs="仿宋"/>
          <w:bCs/>
          <w:color w:val="auto"/>
          <w:szCs w:val="21"/>
          <w:highlight w:val="none"/>
        </w:rPr>
        <w:t>，并加盖</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单位公章否则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beforeLines="100" w:afterLines="100"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保证金</w:t>
      </w:r>
      <w:bookmarkEnd w:id="10"/>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15.</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保证金</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保证金应用人民币：A标：人民币玖仟元整（￥9,000.00）；B标：人民币柒仟元整（￥7,000.00）</w:t>
      </w:r>
      <w:r>
        <w:rPr>
          <w:rFonts w:hint="eastAsia" w:ascii="仿宋" w:hAnsi="仿宋" w:eastAsia="仿宋" w:cs="仿宋"/>
          <w:bCs/>
          <w:color w:val="auto"/>
          <w:szCs w:val="21"/>
          <w:highlight w:val="none"/>
        </w:rPr>
        <w:t>。</w:t>
      </w:r>
    </w:p>
    <w:p>
      <w:pPr>
        <w:pStyle w:val="9"/>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保证金的形式：</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供应商应将</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保证金以支票、汇票、本票、转账、电汇或者金融机构出具的保函等非现金形式提交至以下账户，并于响应文件提交截止时间前到账，到账时间以银行确认的到账时间为准。</w:t>
      </w:r>
      <w:r>
        <w:rPr>
          <w:rFonts w:hint="eastAsia" w:ascii="仿宋" w:hAnsi="仿宋" w:eastAsia="仿宋" w:cs="仿宋"/>
          <w:b/>
          <w:bCs/>
          <w:color w:val="auto"/>
          <w:szCs w:val="21"/>
          <w:highlight w:val="none"/>
        </w:rPr>
        <w:t>(注：若以采用金融机构出具的保函，保函有效期不得低于投标有效期，否则视为无效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；若以支票、汇票、本票方式提交的，交款人必须是</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供应商；若以转账、电汇方式提交的，必须从</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供应商基本账户转出；若以现金方式交纳或者没有足额交纳的视为无效</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。办理</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保证金手续时，需在交纳凭据上注明项目名称或项目编号)</w:t>
      </w:r>
      <w:r>
        <w:rPr>
          <w:rFonts w:hint="eastAsia" w:ascii="仿宋" w:hAnsi="仿宋" w:eastAsia="仿宋" w:cs="仿宋"/>
          <w:color w:val="auto"/>
          <w:szCs w:val="21"/>
          <w:highlight w:val="none"/>
        </w:rPr>
        <w:t>。</w:t>
      </w:r>
    </w:p>
    <w:p>
      <w:pPr>
        <w:widowControl/>
        <w:spacing w:line="360" w:lineRule="auto"/>
        <w:ind w:firstLine="42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备注：对风险较低、规模较小的采购项目，受疫情影响的中小微企业（在提供真实可信证明材料的前提下），不收取</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15.3若以转账、电汇方式提交的，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供应商应按“</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lang w:val="en-US" w:eastAsia="zh-CN"/>
        </w:rPr>
        <w:t>人须知</w:t>
      </w:r>
      <w:r>
        <w:rPr>
          <w:rFonts w:hint="eastAsia" w:ascii="仿宋" w:hAnsi="仿宋" w:eastAsia="仿宋" w:cs="仿宋"/>
          <w:color w:val="auto"/>
          <w:szCs w:val="21"/>
          <w:highlight w:val="none"/>
        </w:rPr>
        <w:t>前附表”中明确的单位全称、开户行、账号，于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截止前转账到广西天柱建设管理有限公司账户上，并将银行底单复印件、基本账户开户许可证或基本存款账户信息复印件装订于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响应文件中，否则</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无效。</w:t>
      </w:r>
    </w:p>
    <w:p>
      <w:pPr>
        <w:pStyle w:val="9"/>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15.4对未按本</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文件要求交纳</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保证金的响应文件，</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评定为无效</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15.5办理</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保证金手续时，请务必在银行进账单或电汇单的用途或空白栏上注明项目名称或项目编号，以免耽误</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15.6成交单位退还保证金需提供的材料：</w:t>
      </w:r>
      <w:r>
        <w:rPr>
          <w:rFonts w:hint="eastAsia" w:ascii="仿宋" w:hAnsi="仿宋" w:eastAsia="仿宋" w:cs="仿宋"/>
          <w:b/>
          <w:bCs/>
          <w:color w:val="auto"/>
          <w:szCs w:val="21"/>
          <w:highlight w:val="none"/>
        </w:rPr>
        <w:t>合同原件1份、成交通知书复印件1份、</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保证金缴纳证明，由代理机构项目负责人统一打退保函交财务办理；未成交的</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供应商及未参与投标的单位，退还手续：</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保证金缴纳证明材料交给代理机构项目负责人，代理机构在收到以上退款材料后5个工作日内予以退还，不计利息。</w:t>
      </w:r>
      <w:bookmarkStart w:id="50" w:name="_GoBack"/>
      <w:bookmarkEnd w:id="50"/>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12" w:name="_Toc446927408"/>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响应文件的密封、修改和撤回</w:t>
      </w:r>
      <w:bookmarkEnd w:id="12"/>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16.</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响应文件的密封与标记</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供应商应将</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响应文件按正、副本分别装订成册，在每个正副本封面上标明“正本”或“副本”以及项目名称、项目编号、</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供应商名称等内容。</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供应商应将</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响应文件正、副本装入一个响应文件袋中进行包装并加以密封。</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响应文件袋由</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供应商自行准备，</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响应文件的密封袋的封口处应加盖</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供应商公章及法定代表人或授权委托人的签字方为合格，否则</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无效。</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16.3</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响应文件袋上应写明：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(1)采购代理机构：</w:t>
      </w:r>
      <w:r>
        <w:rPr>
          <w:rFonts w:hint="eastAsia" w:ascii="仿宋" w:hAnsi="仿宋" w:eastAsia="仿宋" w:cs="仿宋"/>
          <w:color w:val="auto"/>
          <w:kern w:val="2"/>
          <w:sz w:val="21"/>
          <w:szCs w:val="21"/>
          <w:highlight w:val="none"/>
          <w:u w:val="single"/>
          <w:lang w:val="en-US" w:eastAsia="zh-CN" w:bidi="ar-SA"/>
        </w:rPr>
        <w:t xml:space="preserve">广西天柱建设管理有限公司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(2)项目名称：</w:t>
      </w:r>
      <w:r>
        <w:rPr>
          <w:rFonts w:hint="eastAsia" w:ascii="仿宋" w:hAnsi="仿宋" w:eastAsia="仿宋" w:cs="仿宋"/>
          <w:color w:val="auto"/>
          <w:kern w:val="2"/>
          <w:sz w:val="21"/>
          <w:szCs w:val="21"/>
          <w:highlight w:val="none"/>
          <w:u w:val="single"/>
          <w:lang w:val="en-US" w:eastAsia="zh-CN" w:bidi="ar-SA"/>
        </w:rPr>
        <w:t>钟山县应急管理局综合应急救援先锋队物资采购项目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(3)项目编号：</w:t>
      </w:r>
      <w:r>
        <w:rPr>
          <w:rFonts w:hint="eastAsia" w:ascii="仿宋" w:hAnsi="仿宋" w:eastAsia="仿宋" w:cs="仿宋"/>
          <w:color w:val="auto"/>
          <w:kern w:val="2"/>
          <w:sz w:val="21"/>
          <w:szCs w:val="21"/>
          <w:highlight w:val="none"/>
          <w:u w:val="single"/>
          <w:lang w:val="en-US" w:eastAsia="zh-CN" w:bidi="ar-SA"/>
        </w:rPr>
        <w:t>HZZC2020-J1-220178-GXTZ</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(4)标段：（</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(5)竞标单位：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(7)注明2020年11月13日北京时间11时00分整前不得启封</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16.4</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响应文件的密封以</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响应文件袋无明显缝隙露出袋内文件且封口处加盖</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供应商公章并由法定代表人或其委托代理人签字，否则当</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无效处理。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16.5</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供应商在递交</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响应文件时未按本须知要求密封的，采购代理机构有权拒收；</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17.响应文件的修改及撤回</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截止时间前，对所递交的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响应文件可以进行补充、修改或撤回。</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供应商对所递交的补充、修改或撤回需向采购代理机构出具书面通知。补充、修改的内容为响应文件的组成部分。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17.2响应文件的修改应按本须知第16条的规定密封、标记和递交，并在封面上标明“修改”字样。</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17.3在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截止时间后，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供应商不得对其投标做任何修改。</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17.4在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结束后的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有效期内，</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供应商不得撤回其</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响应文件，否则全部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保证金将不予退还。</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13" w:name="_Toc446927409"/>
      <w:r>
        <w:rPr>
          <w:rFonts w:hint="eastAsia"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响应文件截止时间及效期</w:t>
      </w:r>
      <w:bookmarkEnd w:id="13"/>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18.</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截止时间</w:t>
      </w:r>
    </w:p>
    <w:p>
      <w:pPr>
        <w:pStyle w:val="9"/>
        <w:spacing w:line="36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18.1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响应文件的递交不得迟于本须知前附表规定的截止时间，即2020年11月</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rPr>
        <w:t>日北京时间</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分整</w:t>
      </w:r>
      <w:r>
        <w:rPr>
          <w:rFonts w:hint="eastAsia" w:ascii="仿宋" w:hAnsi="仿宋" w:eastAsia="仿宋" w:cs="仿宋"/>
          <w:b/>
          <w:bCs/>
          <w:color w:val="auto"/>
          <w:szCs w:val="21"/>
          <w:highlight w:val="none"/>
        </w:rPr>
        <w:t>。</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18.2</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供应商必须在规定时间内将</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响应文件送到本须知前附表规定地点，</w:t>
      </w:r>
      <w:r>
        <w:rPr>
          <w:rFonts w:hint="eastAsia" w:ascii="仿宋" w:hAnsi="仿宋" w:eastAsia="仿宋" w:cs="仿宋"/>
          <w:bCs/>
          <w:color w:val="auto"/>
          <w:szCs w:val="21"/>
          <w:highlight w:val="none"/>
        </w:rPr>
        <w:t>即</w:t>
      </w:r>
      <w:r>
        <w:rPr>
          <w:rFonts w:hint="eastAsia" w:ascii="仿宋" w:hAnsi="仿宋" w:eastAsia="仿宋" w:cs="仿宋"/>
          <w:bCs/>
          <w:color w:val="auto"/>
          <w:kern w:val="0"/>
          <w:szCs w:val="21"/>
          <w:highlight w:val="none"/>
        </w:rPr>
        <w:t>广西钟山县兴钟中路14号政务中心三楼会议大厅</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超过截止时间送达的响应文件为无效响应文件，采购代理机构将拒收。</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19.</w:t>
      </w:r>
      <w:r>
        <w:rPr>
          <w:rFonts w:hint="eastAsia" w:ascii="仿宋" w:hAnsi="仿宋" w:eastAsia="仿宋" w:cs="仿宋"/>
          <w:b/>
          <w:color w:val="auto"/>
          <w:szCs w:val="21"/>
          <w:highlight w:val="none"/>
          <w:lang w:eastAsia="zh-CN"/>
        </w:rPr>
        <w:t>竞标</w:t>
      </w:r>
      <w:r>
        <w:rPr>
          <w:rFonts w:hint="eastAsia" w:ascii="仿宋" w:hAnsi="仿宋" w:eastAsia="仿宋" w:cs="仿宋"/>
          <w:b/>
          <w:color w:val="auto"/>
          <w:szCs w:val="21"/>
          <w:highlight w:val="none"/>
        </w:rPr>
        <w:t>的有效期</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截止日期后60天内有效。</w:t>
      </w:r>
    </w:p>
    <w:p>
      <w:pPr>
        <w:pStyle w:val="9"/>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19.2在特殊情况下，采购代理机构可与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供应商协商延长</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响应文件的有效期。</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14" w:name="_Toc446927410"/>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竞争性谈判</w:t>
      </w:r>
      <w:r>
        <w:rPr>
          <w:rFonts w:hint="eastAsia" w:ascii="仿宋" w:hAnsi="仿宋" w:eastAsia="仿宋" w:cs="仿宋"/>
          <w:b/>
          <w:bCs/>
          <w:color w:val="auto"/>
          <w:sz w:val="24"/>
          <w:szCs w:val="24"/>
          <w:highlight w:val="none"/>
        </w:rPr>
        <w:t>（简称</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）与评标</w:t>
      </w:r>
      <w:bookmarkEnd w:id="14"/>
    </w:p>
    <w:p>
      <w:pPr>
        <w:pStyle w:val="9"/>
        <w:spacing w:line="360" w:lineRule="auto"/>
        <w:outlineLvl w:val="3"/>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20.</w:t>
      </w:r>
      <w:r>
        <w:rPr>
          <w:rFonts w:hint="eastAsia" w:ascii="仿宋" w:hAnsi="仿宋" w:eastAsia="仿宋" w:cs="仿宋"/>
          <w:b/>
          <w:color w:val="auto"/>
          <w:szCs w:val="21"/>
          <w:highlight w:val="none"/>
          <w:lang w:eastAsia="zh-CN"/>
        </w:rPr>
        <w:t>谈判</w:t>
      </w:r>
    </w:p>
    <w:p>
      <w:pPr>
        <w:pStyle w:val="9"/>
        <w:tabs>
          <w:tab w:val="left" w:pos="412"/>
        </w:tabs>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20.1</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时间及地点：于2020年11月</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rPr>
        <w:t>日北京时间</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分整截标后为与</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时间。地点：</w:t>
      </w:r>
      <w:r>
        <w:rPr>
          <w:rFonts w:hint="eastAsia" w:ascii="仿宋" w:hAnsi="仿宋" w:eastAsia="仿宋" w:cs="仿宋"/>
          <w:bCs/>
          <w:color w:val="auto"/>
          <w:kern w:val="0"/>
          <w:szCs w:val="21"/>
          <w:highlight w:val="none"/>
        </w:rPr>
        <w:t>广西钟山县兴钟中路14号政务中心三楼会议大厅</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供应商代表（即</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供应商的法定代表人或其委托代理人）应按时参加</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会议，参与</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会议</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供应商代表须携带以下材料证件：</w:t>
      </w:r>
      <w:r>
        <w:rPr>
          <w:rFonts w:hint="eastAsia" w:ascii="仿宋" w:hAnsi="仿宋" w:eastAsia="仿宋" w:cs="仿宋"/>
          <w:b/>
          <w:bCs/>
          <w:color w:val="auto"/>
          <w:szCs w:val="21"/>
          <w:highlight w:val="none"/>
        </w:rPr>
        <w:t>（1）法定代表人身份证明原件及本人二代身份证原件（法人到会时提供）或授权委托代理人的授权委托书原件及本人二代身份证原件（委托人到会时必须提供）；（2）</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保证金缴纳证明材料；（3）营业执照副本复印件</w:t>
      </w:r>
      <w:r>
        <w:rPr>
          <w:rFonts w:hint="eastAsia" w:ascii="仿宋" w:hAnsi="仿宋" w:eastAsia="仿宋" w:cs="仿宋"/>
          <w:color w:val="auto"/>
          <w:szCs w:val="21"/>
          <w:highlight w:val="none"/>
        </w:rPr>
        <w:t>，并在</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会议期间接受身份验证。未通过身份验证的，或</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供应商的法定代表人或其授权代理人未出席</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会议，视为无效</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将拒绝该</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供应商参加</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20.2采购代理机构根据</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项目的特点组建</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，本次项目</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共3名,其中1名为业主代表另2名专家在：广西壮族自治区政府采购网（政府采购云平台）评标专家库里随机抽取。在整个</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过程中，</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负责对</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供应商资格审查及对有效</w:t>
      </w:r>
      <w:r>
        <w:rPr>
          <w:rFonts w:hint="eastAsia" w:ascii="仿宋" w:hAnsi="仿宋" w:eastAsia="仿宋" w:cs="仿宋"/>
          <w:color w:val="auto"/>
          <w:szCs w:val="21"/>
          <w:highlight w:val="none"/>
          <w:lang w:eastAsia="zh-CN"/>
        </w:rPr>
        <w:t>竞标响应文件</w:t>
      </w:r>
      <w:r>
        <w:rPr>
          <w:rFonts w:hint="eastAsia" w:ascii="仿宋" w:hAnsi="仿宋" w:eastAsia="仿宋" w:cs="仿宋"/>
          <w:color w:val="auto"/>
          <w:szCs w:val="21"/>
          <w:highlight w:val="none"/>
        </w:rPr>
        <w:t>进行审查、</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及评定工作。</w:t>
      </w:r>
    </w:p>
    <w:p>
      <w:pPr>
        <w:pStyle w:val="9"/>
        <w:spacing w:line="360" w:lineRule="auto"/>
        <w:ind w:firstLine="420" w:firstLineChars="200"/>
        <w:rPr>
          <w:rStyle w:val="38"/>
          <w:rFonts w:ascii="仿宋" w:hAnsi="仿宋" w:eastAsia="仿宋" w:cs="仿宋"/>
          <w:color w:val="auto"/>
          <w:highlight w:val="none"/>
        </w:rPr>
      </w:pPr>
      <w:r>
        <w:rPr>
          <w:rFonts w:hint="eastAsia" w:ascii="仿宋" w:hAnsi="仿宋" w:eastAsia="仿宋" w:cs="仿宋"/>
          <w:color w:val="auto"/>
          <w:szCs w:val="21"/>
          <w:highlight w:val="none"/>
        </w:rPr>
        <w:t>20.3</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程序如</w:t>
      </w:r>
      <w:r>
        <w:rPr>
          <w:rStyle w:val="38"/>
          <w:rFonts w:hint="eastAsia" w:ascii="仿宋" w:hAnsi="仿宋" w:eastAsia="仿宋" w:cs="仿宋"/>
          <w:color w:val="auto"/>
          <w:highlight w:val="none"/>
        </w:rPr>
        <w:t>下：</w:t>
      </w:r>
    </w:p>
    <w:p>
      <w:pPr>
        <w:numPr>
          <w:ilvl w:val="0"/>
          <w:numId w:val="4"/>
        </w:numPr>
        <w:tabs>
          <w:tab w:val="left" w:pos="412"/>
        </w:tabs>
        <w:spacing w:line="360" w:lineRule="auto"/>
        <w:ind w:left="412" w:firstLine="409" w:firstLineChars="195"/>
        <w:rPr>
          <w:rFonts w:ascii="仿宋" w:hAnsi="仿宋" w:eastAsia="仿宋" w:cs="仿宋"/>
          <w:color w:val="auto"/>
          <w:szCs w:val="21"/>
          <w:highlight w:val="none"/>
        </w:rPr>
      </w:pPr>
      <w:r>
        <w:rPr>
          <w:rFonts w:hint="eastAsia" w:ascii="仿宋" w:hAnsi="仿宋" w:eastAsia="仿宋" w:cs="仿宋"/>
          <w:bCs/>
          <w:color w:val="auto"/>
          <w:szCs w:val="21"/>
          <w:highlight w:val="none"/>
        </w:rPr>
        <w:t>采购代理机构按</w:t>
      </w:r>
      <w:r>
        <w:rPr>
          <w:rFonts w:hint="eastAsia" w:ascii="仿宋" w:hAnsi="仿宋" w:eastAsia="仿宋" w:cs="仿宋"/>
          <w:color w:val="auto"/>
          <w:szCs w:val="21"/>
          <w:highlight w:val="none"/>
          <w:lang w:eastAsia="zh-CN"/>
        </w:rPr>
        <w:t>谈判</w:t>
      </w:r>
      <w:r>
        <w:rPr>
          <w:rFonts w:hint="eastAsia" w:ascii="仿宋" w:hAnsi="仿宋" w:eastAsia="仿宋" w:cs="仿宋"/>
          <w:bCs/>
          <w:color w:val="auto"/>
          <w:szCs w:val="21"/>
          <w:highlight w:val="none"/>
        </w:rPr>
        <w:t>文件规定的时间、地点组织</w:t>
      </w:r>
      <w:r>
        <w:rPr>
          <w:rFonts w:hint="eastAsia" w:ascii="仿宋" w:hAnsi="仿宋" w:eastAsia="仿宋" w:cs="仿宋"/>
          <w:color w:val="auto"/>
          <w:szCs w:val="21"/>
          <w:highlight w:val="none"/>
          <w:lang w:eastAsia="zh-CN"/>
        </w:rPr>
        <w:t>谈判</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eastAsia="zh-CN"/>
        </w:rPr>
        <w:t>谈判</w:t>
      </w:r>
      <w:r>
        <w:rPr>
          <w:rFonts w:hint="eastAsia" w:ascii="仿宋" w:hAnsi="仿宋" w:eastAsia="仿宋" w:cs="仿宋"/>
          <w:bCs/>
          <w:color w:val="auto"/>
          <w:szCs w:val="21"/>
          <w:highlight w:val="none"/>
        </w:rPr>
        <w:t>供应商的法定代表人或其委托代理人在</w:t>
      </w:r>
      <w:r>
        <w:rPr>
          <w:rFonts w:hint="eastAsia" w:ascii="仿宋" w:hAnsi="仿宋" w:eastAsia="仿宋" w:cs="仿宋"/>
          <w:bCs/>
          <w:color w:val="auto"/>
          <w:szCs w:val="21"/>
          <w:highlight w:val="none"/>
          <w:lang w:eastAsia="zh-CN"/>
        </w:rPr>
        <w:t>谈判</w:t>
      </w:r>
      <w:r>
        <w:rPr>
          <w:rFonts w:hint="eastAsia" w:ascii="仿宋" w:hAnsi="仿宋" w:eastAsia="仿宋" w:cs="仿宋"/>
          <w:bCs/>
          <w:color w:val="auto"/>
          <w:szCs w:val="21"/>
          <w:highlight w:val="none"/>
        </w:rPr>
        <w:t>会议现场检查</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响应文件的密封情况并签字确认；由代理机构工作人员拆封</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响应文件，监督代表验证各</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供应商代表的身份。</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响应文件未按要求密封、</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供应商的法定代表人或其委托代理人身份与</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响应文件不符的，代理机构有权拒绝该</w:t>
      </w:r>
      <w:r>
        <w:rPr>
          <w:rFonts w:hint="eastAsia" w:ascii="仿宋" w:hAnsi="仿宋" w:eastAsia="仿宋" w:cs="仿宋"/>
          <w:bCs/>
          <w:color w:val="auto"/>
          <w:szCs w:val="21"/>
          <w:highlight w:val="none"/>
          <w:lang w:val="en-US" w:eastAsia="zh-CN"/>
        </w:rPr>
        <w:t>竞标</w:t>
      </w:r>
      <w:r>
        <w:rPr>
          <w:rFonts w:hint="eastAsia" w:ascii="仿宋" w:hAnsi="仿宋" w:eastAsia="仿宋" w:cs="仿宋"/>
          <w:bCs/>
          <w:color w:val="auto"/>
          <w:szCs w:val="21"/>
          <w:highlight w:val="none"/>
        </w:rPr>
        <w:t>供应商参加本次</w:t>
      </w:r>
      <w:r>
        <w:rPr>
          <w:rFonts w:hint="eastAsia" w:ascii="仿宋" w:hAnsi="仿宋" w:eastAsia="仿宋" w:cs="仿宋"/>
          <w:bCs/>
          <w:color w:val="auto"/>
          <w:szCs w:val="21"/>
          <w:highlight w:val="none"/>
          <w:lang w:eastAsia="zh-CN"/>
        </w:rPr>
        <w:t>谈判</w:t>
      </w:r>
      <w:r>
        <w:rPr>
          <w:rFonts w:hint="eastAsia" w:ascii="仿宋" w:hAnsi="仿宋" w:eastAsia="仿宋" w:cs="仿宋"/>
          <w:bCs/>
          <w:color w:val="auto"/>
          <w:szCs w:val="21"/>
          <w:highlight w:val="none"/>
        </w:rPr>
        <w:t>。</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可由1～2人参加</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中</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成员之间意见不一致时，以</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的法定代表人（或其委托代理人）的意见为准。</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成员作为一个集体可随机与单个各</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分别进行</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的内容包括技术性条件、商务性条件以及</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认为需要</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的内容。当</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响应文件有实质性变动的，</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以书面形式通知所有参加</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。其中涉及价格的内容不得要求</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时作口头报价，而应以书面密封形式报价。</w:t>
      </w:r>
    </w:p>
    <w:p>
      <w:pPr>
        <w:numPr>
          <w:ilvl w:val="0"/>
          <w:numId w:val="4"/>
        </w:numPr>
        <w:tabs>
          <w:tab w:val="left" w:pos="412"/>
        </w:tabs>
        <w:spacing w:line="360" w:lineRule="auto"/>
        <w:ind w:left="412" w:firstLine="412"/>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内容应作记录，并由</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及</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成员签字确认。</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结束后，</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应要求</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在规定的时间、地点以书面密封形式递交</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时要求其就商务和技术条件作出的包含补充、修改、承诺、重新报价等内容的应答文件，应答文件必须由</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的法定代表人或委托代理人签名或盖公章，应答文件构成竞标响应文件的一部分。</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对各</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递交的应答文件统一开启，并进行评审后，认为有必要再次进行</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的，可再次与</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进行</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，直至</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认为没有必要再进行</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（最多两轮），</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方可结束。对最后一轮</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应明确告知</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，并要求所有</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在规定的时间、地点以书面密封形式递交最终的应答文件。</w:t>
      </w:r>
    </w:p>
    <w:p>
      <w:pPr>
        <w:numPr>
          <w:ilvl w:val="0"/>
          <w:numId w:val="4"/>
        </w:numPr>
        <w:tabs>
          <w:tab w:val="left" w:pos="412"/>
        </w:tabs>
        <w:spacing w:line="360" w:lineRule="auto"/>
        <w:ind w:left="412" w:firstLine="413" w:firstLineChars="196"/>
        <w:rPr>
          <w:rFonts w:ascii="仿宋" w:hAnsi="仿宋" w:eastAsia="仿宋" w:cs="仿宋"/>
          <w:color w:val="auto"/>
          <w:szCs w:val="21"/>
          <w:highlight w:val="none"/>
        </w:rPr>
      </w:pPr>
      <w:r>
        <w:rPr>
          <w:rFonts w:hint="eastAsia" w:ascii="仿宋" w:hAnsi="仿宋" w:eastAsia="仿宋"/>
          <w:b/>
          <w:color w:val="auto"/>
          <w:szCs w:val="21"/>
          <w:highlight w:val="none"/>
          <w:u w:val="single"/>
        </w:rPr>
        <w:t>本项目为两轮报价，第二轮报价为最终报价</w:t>
      </w:r>
      <w:r>
        <w:rPr>
          <w:rFonts w:hint="eastAsia" w:ascii="仿宋" w:hAnsi="仿宋" w:eastAsia="仿宋"/>
          <w:b/>
          <w:color w:val="auto"/>
          <w:szCs w:val="21"/>
          <w:highlight w:val="none"/>
        </w:rPr>
        <w:t>。</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对</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进行资格性和符合性审查</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要求通过资格性和符合性审查</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在规定时间内进行最终报价。</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作出最终报价后，采购代理机构工作人员唱出其最终报价以及相关服务内容并记录，</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签字确认。</w:t>
      </w:r>
    </w:p>
    <w:p>
      <w:pPr>
        <w:numPr>
          <w:ilvl w:val="0"/>
          <w:numId w:val="4"/>
        </w:numPr>
        <w:tabs>
          <w:tab w:val="left" w:pos="412"/>
        </w:tabs>
        <w:spacing w:line="360" w:lineRule="auto"/>
        <w:ind w:left="412"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进入评标阶段，根据</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文件规定的评标办法和最终的</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结果进行详评并确定成交供应商。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w:t>
      </w:r>
      <w:r>
        <w:rPr>
          <w:rStyle w:val="38"/>
          <w:rFonts w:hint="eastAsia" w:ascii="仿宋" w:hAnsi="仿宋" w:eastAsia="仿宋" w:cs="仿宋"/>
          <w:color w:val="auto"/>
          <w:highlight w:val="none"/>
        </w:rPr>
        <w:t>.4最终</w:t>
      </w:r>
      <w:r>
        <w:rPr>
          <w:rStyle w:val="38"/>
          <w:rFonts w:hint="eastAsia" w:ascii="仿宋" w:hAnsi="仿宋" w:eastAsia="仿宋" w:cs="仿宋"/>
          <w:color w:val="auto"/>
          <w:highlight w:val="none"/>
          <w:lang w:eastAsia="zh-CN"/>
        </w:rPr>
        <w:t>谈判</w:t>
      </w:r>
      <w:r>
        <w:rPr>
          <w:rStyle w:val="38"/>
          <w:rFonts w:hint="eastAsia" w:ascii="仿宋" w:hAnsi="仿宋" w:eastAsia="仿宋" w:cs="仿宋"/>
          <w:color w:val="auto"/>
          <w:highlight w:val="none"/>
        </w:rPr>
        <w:t>结束后</w:t>
      </w:r>
      <w:r>
        <w:rPr>
          <w:rFonts w:hint="eastAsia" w:ascii="仿宋" w:hAnsi="仿宋" w:eastAsia="仿宋" w:cs="仿宋"/>
          <w:color w:val="auto"/>
          <w:spacing w:val="-4"/>
          <w:szCs w:val="21"/>
          <w:highlight w:val="none"/>
        </w:rPr>
        <w:t>，</w:t>
      </w:r>
      <w:r>
        <w:rPr>
          <w:rFonts w:hint="eastAsia" w:ascii="仿宋" w:hAnsi="仿宋" w:eastAsia="仿宋" w:cs="仿宋"/>
          <w:color w:val="auto"/>
          <w:spacing w:val="-4"/>
          <w:szCs w:val="21"/>
          <w:highlight w:val="none"/>
          <w:lang w:eastAsia="zh-CN"/>
        </w:rPr>
        <w:t>谈判小组</w:t>
      </w:r>
      <w:r>
        <w:rPr>
          <w:rFonts w:hint="eastAsia" w:ascii="仿宋" w:hAnsi="仿宋" w:eastAsia="仿宋" w:cs="仿宋"/>
          <w:color w:val="auto"/>
          <w:szCs w:val="21"/>
          <w:highlight w:val="none"/>
        </w:rPr>
        <w:t>不得再与</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进行任何形式的商谈。</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w:t>
      </w:r>
      <w:r>
        <w:rPr>
          <w:rStyle w:val="38"/>
          <w:rFonts w:hint="eastAsia" w:ascii="仿宋" w:hAnsi="仿宋" w:eastAsia="仿宋" w:cs="仿宋"/>
          <w:color w:val="auto"/>
          <w:highlight w:val="none"/>
        </w:rPr>
        <w:t>.5</w:t>
      </w:r>
      <w:r>
        <w:rPr>
          <w:rStyle w:val="38"/>
          <w:rFonts w:hint="eastAsia" w:ascii="仿宋" w:hAnsi="仿宋" w:eastAsia="仿宋" w:cs="仿宋"/>
          <w:color w:val="auto"/>
          <w:highlight w:val="none"/>
          <w:lang w:eastAsia="zh-CN"/>
        </w:rPr>
        <w:t>谈判</w:t>
      </w:r>
      <w:r>
        <w:rPr>
          <w:rStyle w:val="38"/>
          <w:rFonts w:hint="eastAsia" w:ascii="仿宋" w:hAnsi="仿宋" w:eastAsia="仿宋" w:cs="仿宋"/>
          <w:color w:val="auto"/>
          <w:highlight w:val="none"/>
        </w:rPr>
        <w:t>的任何一方不得透露与</w:t>
      </w:r>
      <w:r>
        <w:rPr>
          <w:rStyle w:val="38"/>
          <w:rFonts w:hint="eastAsia" w:ascii="仿宋" w:hAnsi="仿宋" w:eastAsia="仿宋" w:cs="仿宋"/>
          <w:color w:val="auto"/>
          <w:highlight w:val="none"/>
          <w:lang w:eastAsia="zh-CN"/>
        </w:rPr>
        <w:t>谈判</w:t>
      </w:r>
      <w:r>
        <w:rPr>
          <w:rStyle w:val="38"/>
          <w:rFonts w:hint="eastAsia" w:ascii="仿宋" w:hAnsi="仿宋" w:eastAsia="仿宋" w:cs="仿宋"/>
          <w:color w:val="auto"/>
          <w:highlight w:val="none"/>
        </w:rPr>
        <w:t>有关的其他</w:t>
      </w:r>
      <w:r>
        <w:rPr>
          <w:rStyle w:val="38"/>
          <w:rFonts w:hint="eastAsia" w:ascii="仿宋" w:hAnsi="仿宋" w:eastAsia="仿宋" w:cs="仿宋"/>
          <w:color w:val="auto"/>
          <w:highlight w:val="none"/>
          <w:lang w:eastAsia="zh-CN"/>
        </w:rPr>
        <w:t>竞标供应商</w:t>
      </w:r>
      <w:r>
        <w:rPr>
          <w:rStyle w:val="38"/>
          <w:rFonts w:hint="eastAsia" w:ascii="仿宋" w:hAnsi="仿宋" w:eastAsia="仿宋" w:cs="仿宋"/>
          <w:color w:val="auto"/>
          <w:highlight w:val="none"/>
        </w:rPr>
        <w:t>的技术资料</w:t>
      </w:r>
      <w:r>
        <w:rPr>
          <w:rFonts w:hint="eastAsia" w:ascii="仿宋" w:hAnsi="仿宋" w:eastAsia="仿宋" w:cs="仿宋"/>
          <w:color w:val="auto"/>
          <w:szCs w:val="21"/>
          <w:highlight w:val="none"/>
        </w:rPr>
        <w:t>、价格和其他信息。</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21.评标 </w:t>
      </w:r>
    </w:p>
    <w:p>
      <w:pPr>
        <w:spacing w:line="360" w:lineRule="auto"/>
        <w:ind w:firstLine="420" w:firstLineChars="200"/>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21</w:t>
      </w:r>
      <w:r>
        <w:rPr>
          <w:rFonts w:hint="eastAsia" w:ascii="仿宋" w:hAnsi="仿宋" w:eastAsia="仿宋" w:cs="宋体"/>
          <w:color w:val="auto"/>
          <w:highlight w:val="none"/>
        </w:rPr>
        <w:t>.1本采购项目采用的评标办法为</w:t>
      </w:r>
      <w:r>
        <w:rPr>
          <w:rFonts w:hint="eastAsia" w:ascii="仿宋" w:hAnsi="仿宋" w:eastAsia="仿宋" w:cs="宋体"/>
          <w:b/>
          <w:bCs/>
          <w:color w:val="auto"/>
          <w:highlight w:val="none"/>
        </w:rPr>
        <w:t>最低评标价法</w:t>
      </w:r>
      <w:r>
        <w:rPr>
          <w:rFonts w:hint="eastAsia" w:ascii="仿宋" w:hAnsi="仿宋" w:eastAsia="仿宋" w:cs="宋体"/>
          <w:color w:val="auto"/>
          <w:highlight w:val="none"/>
        </w:rPr>
        <w:t>，评标依据为竞争性谈判采购文件和竞标</w:t>
      </w:r>
      <w:r>
        <w:rPr>
          <w:rFonts w:hint="eastAsia" w:ascii="仿宋" w:hAnsi="仿宋" w:eastAsia="仿宋" w:cs="宋体"/>
          <w:color w:val="auto"/>
          <w:highlight w:val="none"/>
          <w:lang w:val="en-US" w:eastAsia="zh-CN"/>
        </w:rPr>
        <w:t>响应</w:t>
      </w:r>
      <w:r>
        <w:rPr>
          <w:rFonts w:hint="eastAsia" w:ascii="仿宋" w:hAnsi="仿宋" w:eastAsia="仿宋" w:cs="宋体"/>
          <w:color w:val="auto"/>
          <w:highlight w:val="none"/>
        </w:rPr>
        <w:t>文件及谈判应答文件。</w:t>
      </w:r>
    </w:p>
    <w:p>
      <w:pPr>
        <w:spacing w:line="360" w:lineRule="auto"/>
        <w:ind w:firstLine="420" w:firstLineChars="200"/>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22</w:t>
      </w:r>
      <w:r>
        <w:rPr>
          <w:rFonts w:hint="eastAsia" w:ascii="仿宋" w:hAnsi="仿宋" w:eastAsia="仿宋" w:cs="宋体"/>
          <w:color w:val="auto"/>
          <w:highlight w:val="none"/>
        </w:rPr>
        <w:t>.2评标工作将采取封闭方式进行，谈判小组成员和有关工作人员不得透露对竞标文件的评审、比较和成交候选供应商的推荐情况以及与评标有关的其他情况。</w:t>
      </w:r>
    </w:p>
    <w:p>
      <w:pPr>
        <w:spacing w:line="360" w:lineRule="auto"/>
        <w:ind w:firstLine="420" w:firstLineChars="200"/>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22</w:t>
      </w:r>
      <w:r>
        <w:rPr>
          <w:rFonts w:hint="eastAsia" w:ascii="仿宋" w:hAnsi="仿宋" w:eastAsia="仿宋" w:cs="宋体"/>
          <w:color w:val="auto"/>
          <w:highlight w:val="none"/>
        </w:rPr>
        <w:t>.3竞标人在评标过程中，所进行的力图影响评标结果公正性的活动，将可能导致其成交资格被取消。</w:t>
      </w:r>
    </w:p>
    <w:p>
      <w:pPr>
        <w:spacing w:line="360" w:lineRule="auto"/>
        <w:ind w:firstLine="420" w:firstLineChars="200"/>
        <w:rPr>
          <w:rFonts w:hint="eastAsia" w:ascii="仿宋" w:hAnsi="仿宋" w:eastAsia="仿宋" w:cs="宋体"/>
          <w:color w:val="auto"/>
          <w:highlight w:val="none"/>
        </w:rPr>
      </w:pPr>
      <w:r>
        <w:rPr>
          <w:rFonts w:hint="eastAsia" w:ascii="仿宋" w:hAnsi="仿宋" w:eastAsia="仿宋" w:cs="宋体"/>
          <w:color w:val="auto"/>
          <w:highlight w:val="none"/>
          <w:lang w:val="en-US" w:eastAsia="zh-CN"/>
        </w:rPr>
        <w:t>23</w:t>
      </w:r>
      <w:r>
        <w:rPr>
          <w:rFonts w:hint="eastAsia" w:ascii="仿宋" w:hAnsi="仿宋" w:eastAsia="仿宋" w:cs="宋体"/>
          <w:color w:val="auto"/>
          <w:highlight w:val="none"/>
        </w:rPr>
        <w:t>.4经谈判后竞标人竞标报价仍超出采购预算价，则竞标无效。如果经谈判后全部竞标人的竞标报价均超出采购预算价，采购人不能支付的，由采购单位重新组织采购。</w:t>
      </w:r>
    </w:p>
    <w:p>
      <w:pPr>
        <w:pStyle w:val="9"/>
        <w:spacing w:line="360" w:lineRule="auto"/>
        <w:outlineLvl w:val="3"/>
        <w:rPr>
          <w:rFonts w:hint="eastAsia" w:ascii="仿宋" w:hAnsi="仿宋" w:eastAsia="仿宋" w:cs="仿宋"/>
          <w:color w:val="auto"/>
          <w:szCs w:val="21"/>
          <w:highlight w:val="none"/>
          <w:lang w:eastAsia="zh-CN"/>
        </w:rPr>
      </w:pPr>
      <w:r>
        <w:rPr>
          <w:rFonts w:hint="eastAsia" w:ascii="仿宋" w:hAnsi="仿宋" w:eastAsia="仿宋" w:cs="仿宋"/>
          <w:b/>
          <w:color w:val="auto"/>
          <w:szCs w:val="21"/>
          <w:highlight w:val="none"/>
        </w:rPr>
        <w:t>22.无效的</w:t>
      </w:r>
      <w:r>
        <w:rPr>
          <w:rFonts w:hint="eastAsia" w:ascii="仿宋" w:hAnsi="仿宋" w:eastAsia="仿宋" w:cs="仿宋"/>
          <w:b/>
          <w:color w:val="auto"/>
          <w:szCs w:val="21"/>
          <w:highlight w:val="none"/>
          <w:lang w:eastAsia="zh-CN"/>
        </w:rPr>
        <w:t>竞标响应文件</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22.1</w:t>
      </w:r>
      <w:r>
        <w:rPr>
          <w:rFonts w:hint="eastAsia" w:ascii="仿宋" w:hAnsi="仿宋" w:eastAsia="仿宋" w:cs="仿宋"/>
          <w:color w:val="auto"/>
          <w:szCs w:val="21"/>
          <w:highlight w:val="none"/>
          <w:lang w:eastAsia="zh-CN"/>
        </w:rPr>
        <w:t>竞标响应文件</w:t>
      </w:r>
      <w:r>
        <w:rPr>
          <w:rFonts w:hint="eastAsia" w:ascii="仿宋" w:hAnsi="仿宋" w:eastAsia="仿宋" w:cs="仿宋"/>
          <w:color w:val="auto"/>
          <w:szCs w:val="21"/>
          <w:highlight w:val="none"/>
        </w:rPr>
        <w:t>如有下列情况之一，将会在评标中按照无效</w:t>
      </w:r>
      <w:r>
        <w:rPr>
          <w:rFonts w:hint="eastAsia" w:ascii="仿宋" w:hAnsi="仿宋" w:eastAsia="仿宋" w:cs="仿宋"/>
          <w:color w:val="auto"/>
          <w:szCs w:val="21"/>
          <w:highlight w:val="none"/>
          <w:lang w:eastAsia="zh-CN"/>
        </w:rPr>
        <w:t>竞标响应文件</w:t>
      </w:r>
      <w:r>
        <w:rPr>
          <w:rFonts w:hint="eastAsia" w:ascii="仿宋" w:hAnsi="仿宋" w:eastAsia="仿宋" w:cs="仿宋"/>
          <w:color w:val="auto"/>
          <w:szCs w:val="21"/>
          <w:highlight w:val="none"/>
        </w:rPr>
        <w:t>处理：</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未按照</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文件规定要求密封、签署、盖章的；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超越行政许可或者行政审批的经营范围的；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不具备</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文件中规定资格要求的；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未按</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文件要求缴纳</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不符合本须知第5.2条规定的实质性要求并且在</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规定的时间内无法说明和补充的；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最终报价超出采购单位预算的；</w:t>
      </w:r>
    </w:p>
    <w:p>
      <w:pPr>
        <w:widowControl/>
        <w:numPr>
          <w:ilvl w:val="0"/>
          <w:numId w:val="5"/>
        </w:num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无最终报价或最终报价超出采购预算价的；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highlight w:val="none"/>
        </w:rPr>
        <w:t>响应文件含有采购人不能接受的附加条件的;</w:t>
      </w:r>
    </w:p>
    <w:p>
      <w:pPr>
        <w:widowControl/>
        <w:numPr>
          <w:ilvl w:val="0"/>
          <w:numId w:val="5"/>
        </w:num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不符合法律、法规的或未符合</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文件规定的其他实质性要求的。</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23.废标</w:t>
      </w:r>
    </w:p>
    <w:p>
      <w:pPr>
        <w:pStyle w:val="9"/>
        <w:spacing w:line="360" w:lineRule="auto"/>
        <w:ind w:left="309"/>
        <w:rPr>
          <w:rFonts w:ascii="仿宋" w:hAnsi="仿宋" w:eastAsia="仿宋" w:cs="仿宋"/>
          <w:color w:val="auto"/>
          <w:szCs w:val="21"/>
          <w:highlight w:val="none"/>
        </w:rPr>
      </w:pPr>
      <w:r>
        <w:rPr>
          <w:rFonts w:hint="eastAsia" w:ascii="仿宋" w:hAnsi="仿宋" w:eastAsia="仿宋" w:cs="仿宋"/>
          <w:color w:val="auto"/>
          <w:szCs w:val="21"/>
          <w:highlight w:val="none"/>
        </w:rPr>
        <w:t>23.1</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采购项目出现下列情形之一的，将予以废标：</w:t>
      </w:r>
    </w:p>
    <w:p>
      <w:pPr>
        <w:pStyle w:val="9"/>
        <w:numPr>
          <w:ilvl w:val="0"/>
          <w:numId w:val="6"/>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出现影响采购公正的违法、违规行为的；</w:t>
      </w:r>
    </w:p>
    <w:p>
      <w:pPr>
        <w:pStyle w:val="9"/>
        <w:numPr>
          <w:ilvl w:val="0"/>
          <w:numId w:val="6"/>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符合专业条件的供应商或对</w:t>
      </w:r>
      <w:r>
        <w:rPr>
          <w:rFonts w:hint="eastAsia" w:ascii="仿宋" w:hAnsi="仿宋" w:eastAsia="仿宋" w:cs="仿宋"/>
          <w:color w:val="auto"/>
          <w:szCs w:val="21"/>
          <w:highlight w:val="none"/>
          <w:lang w:eastAsia="zh-CN"/>
        </w:rPr>
        <w:t>竞标响应文件</w:t>
      </w:r>
      <w:r>
        <w:rPr>
          <w:rFonts w:hint="eastAsia" w:ascii="仿宋" w:hAnsi="仿宋" w:eastAsia="仿宋" w:cs="仿宋"/>
          <w:color w:val="auto"/>
          <w:szCs w:val="21"/>
          <w:highlight w:val="none"/>
        </w:rPr>
        <w:t>实质性响应的供应商不足三家的；</w:t>
      </w:r>
    </w:p>
    <w:p>
      <w:pPr>
        <w:pStyle w:val="9"/>
        <w:numPr>
          <w:ilvl w:val="0"/>
          <w:numId w:val="6"/>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所有</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的最终报价均超过了采购预算，采购单位不能支付的；</w:t>
      </w:r>
    </w:p>
    <w:p>
      <w:pPr>
        <w:pStyle w:val="9"/>
        <w:numPr>
          <w:ilvl w:val="0"/>
          <w:numId w:val="6"/>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采购任务取消的。</w:t>
      </w:r>
    </w:p>
    <w:p>
      <w:pPr>
        <w:pStyle w:val="9"/>
        <w:spacing w:line="360" w:lineRule="auto"/>
        <w:ind w:left="309"/>
        <w:rPr>
          <w:rFonts w:ascii="仿宋" w:hAnsi="仿宋" w:eastAsia="仿宋" w:cs="仿宋"/>
          <w:color w:val="auto"/>
          <w:szCs w:val="21"/>
          <w:highlight w:val="none"/>
        </w:rPr>
      </w:pPr>
      <w:r>
        <w:rPr>
          <w:rFonts w:hint="eastAsia" w:ascii="仿宋" w:hAnsi="仿宋" w:eastAsia="仿宋" w:cs="仿宋"/>
          <w:color w:val="auto"/>
          <w:szCs w:val="21"/>
          <w:highlight w:val="none"/>
        </w:rPr>
        <w:t>23.2废标后，采购人及采购代理机构将把废标理由通知所有</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w:t>
      </w:r>
    </w:p>
    <w:p>
      <w:pPr>
        <w:pStyle w:val="9"/>
        <w:spacing w:beforeLines="100" w:afterLines="100" w:line="360" w:lineRule="auto"/>
        <w:jc w:val="center"/>
        <w:outlineLvl w:val="2"/>
        <w:rPr>
          <w:rFonts w:ascii="仿宋" w:hAnsi="仿宋" w:eastAsia="仿宋" w:cs="仿宋"/>
          <w:b/>
          <w:bCs/>
          <w:color w:val="auto"/>
          <w:sz w:val="24"/>
          <w:szCs w:val="24"/>
          <w:highlight w:val="none"/>
        </w:rPr>
      </w:pPr>
      <w:bookmarkStart w:id="15" w:name="_Toc446927411"/>
      <w:r>
        <w:rPr>
          <w:rFonts w:hint="eastAsia" w:ascii="仿宋" w:hAnsi="仿宋" w:eastAsia="仿宋" w:cs="仿宋"/>
          <w:b/>
          <w:bCs/>
          <w:color w:val="auto"/>
          <w:sz w:val="24"/>
          <w:szCs w:val="24"/>
          <w:highlight w:val="none"/>
        </w:rPr>
        <w:t>（十一）</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结果</w:t>
      </w:r>
      <w:bookmarkEnd w:id="15"/>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24.成交公告</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24.1采购代理机构在</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工作完成后5日内将</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rPr>
        <w:t>报告送采购人，采购人确认后，成交结果将在</w:t>
      </w:r>
      <w:r>
        <w:rPr>
          <w:rFonts w:hint="eastAsia" w:ascii="仿宋" w:hAnsi="仿宋" w:eastAsia="仿宋" w:cs="仿宋"/>
          <w:color w:val="auto"/>
          <w:highlight w:val="none"/>
        </w:rPr>
        <w:t>中国政府采购网、广西壮族自治区政府采购网、采购与招标网</w:t>
      </w:r>
      <w:r>
        <w:rPr>
          <w:rFonts w:hint="eastAsia" w:ascii="仿宋" w:hAnsi="仿宋" w:eastAsia="仿宋" w:cs="仿宋"/>
          <w:color w:val="auto"/>
          <w:szCs w:val="21"/>
          <w:highlight w:val="none"/>
        </w:rPr>
        <w:t>上公告。</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24.2成交结果公告期为自公告之日起</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认为成交结果使自己的权益受到损害的，可以自成交结果公告期满后七个工作日内以书面形式向</w:t>
      </w:r>
      <w:r>
        <w:rPr>
          <w:rFonts w:hint="eastAsia" w:ascii="仿宋" w:hAnsi="仿宋" w:eastAsia="仿宋" w:cs="仿宋"/>
          <w:bCs/>
          <w:color w:val="auto"/>
          <w:szCs w:val="21"/>
          <w:highlight w:val="none"/>
        </w:rPr>
        <w:t>采购代理机构提出质疑，逾期将不再受理。采购代理机构将在收到</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的书面质疑后7个工作日内做出答复，但答复的内容不得涉及商业秘密。</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24.3质疑</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必须首先经过质疑程序</w:t>
      </w:r>
      <w:r>
        <w:rPr>
          <w:rFonts w:hint="eastAsia" w:ascii="仿宋" w:hAnsi="仿宋" w:eastAsia="仿宋" w:cs="仿宋"/>
          <w:bCs/>
          <w:color w:val="auto"/>
          <w:szCs w:val="21"/>
          <w:highlight w:val="none"/>
        </w:rPr>
        <w:t>，在对采购代理机构的答复不满意或者采购代理机构未在规定的时间内做出答复的，可以在答复期满后15个工作日内书面向监督管理部门投诉。</w:t>
      </w:r>
    </w:p>
    <w:p>
      <w:pPr>
        <w:pStyle w:val="9"/>
        <w:spacing w:line="360" w:lineRule="auto"/>
        <w:ind w:firstLine="735" w:firstLineChars="350"/>
        <w:rPr>
          <w:rFonts w:ascii="仿宋" w:hAnsi="仿宋" w:eastAsia="仿宋" w:cs="仿宋"/>
          <w:color w:val="auto"/>
          <w:szCs w:val="21"/>
          <w:highlight w:val="none"/>
        </w:rPr>
      </w:pPr>
      <w:r>
        <w:rPr>
          <w:rFonts w:hint="eastAsia" w:ascii="仿宋" w:hAnsi="仿宋" w:eastAsia="仿宋" w:cs="仿宋"/>
          <w:bCs/>
          <w:color w:val="auto"/>
          <w:szCs w:val="21"/>
          <w:highlight w:val="none"/>
        </w:rPr>
        <w:t>监督管理部门</w:t>
      </w:r>
      <w:r>
        <w:rPr>
          <w:rFonts w:hint="eastAsia" w:ascii="仿宋" w:hAnsi="仿宋" w:eastAsia="仿宋" w:cs="仿宋"/>
          <w:color w:val="auto"/>
          <w:szCs w:val="21"/>
          <w:highlight w:val="none"/>
        </w:rPr>
        <w:t>：钟山县政府采购监督管理办公室</w:t>
      </w:r>
    </w:p>
    <w:p>
      <w:pPr>
        <w:pStyle w:val="9"/>
        <w:spacing w:line="360" w:lineRule="auto"/>
        <w:ind w:firstLine="735" w:firstLineChars="350"/>
        <w:rPr>
          <w:rFonts w:ascii="仿宋" w:hAnsi="仿宋" w:eastAsia="仿宋" w:cs="仿宋"/>
          <w:b/>
          <w:bCs/>
          <w:color w:val="auto"/>
          <w:szCs w:val="21"/>
          <w:highlight w:val="none"/>
        </w:rPr>
      </w:pPr>
      <w:r>
        <w:rPr>
          <w:rFonts w:hint="eastAsia" w:ascii="仿宋" w:hAnsi="仿宋" w:eastAsia="仿宋" w:cs="仿宋"/>
          <w:color w:val="auto"/>
          <w:szCs w:val="21"/>
          <w:highlight w:val="none"/>
        </w:rPr>
        <w:t>电话：0774-8989660</w:t>
      </w:r>
    </w:p>
    <w:p>
      <w:pPr>
        <w:pStyle w:val="9"/>
        <w:spacing w:line="360" w:lineRule="auto"/>
        <w:outlineLvl w:val="3"/>
        <w:rPr>
          <w:rFonts w:ascii="仿宋" w:hAnsi="仿宋" w:eastAsia="仿宋" w:cs="仿宋"/>
          <w:color w:val="auto"/>
          <w:szCs w:val="21"/>
          <w:highlight w:val="none"/>
        </w:rPr>
      </w:pPr>
      <w:r>
        <w:rPr>
          <w:rFonts w:hint="eastAsia" w:ascii="仿宋" w:hAnsi="仿宋" w:eastAsia="仿宋" w:cs="仿宋"/>
          <w:b/>
          <w:color w:val="auto"/>
          <w:szCs w:val="21"/>
          <w:highlight w:val="none"/>
        </w:rPr>
        <w:t>25.成交通知</w:t>
      </w:r>
    </w:p>
    <w:p>
      <w:pPr>
        <w:pStyle w:val="9"/>
        <w:spacing w:line="360" w:lineRule="auto"/>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25.1采购代理机构在发布成交结果公告的同时向成交供应商发出成交通知书，也可以根据项目的实际情况酌情延后发放成交通知书</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25.</w:t>
      </w:r>
      <w:r>
        <w:rPr>
          <w:rFonts w:hint="eastAsia" w:ascii="仿宋" w:hAnsi="仿宋" w:eastAsia="仿宋" w:cs="仿宋"/>
          <w:color w:val="auto"/>
          <w:szCs w:val="21"/>
          <w:highlight w:val="none"/>
        </w:rPr>
        <w:t>2采购代理机构无义务向落标的</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解释落标原因和退还</w:t>
      </w:r>
      <w:r>
        <w:rPr>
          <w:rFonts w:hint="eastAsia" w:ascii="仿宋" w:hAnsi="仿宋" w:eastAsia="仿宋" w:cs="仿宋"/>
          <w:color w:val="auto"/>
          <w:szCs w:val="21"/>
          <w:highlight w:val="none"/>
          <w:lang w:eastAsia="zh-CN"/>
        </w:rPr>
        <w:t>竞标响应文件</w:t>
      </w:r>
      <w:r>
        <w:rPr>
          <w:rFonts w:hint="eastAsia" w:ascii="仿宋" w:hAnsi="仿宋" w:eastAsia="仿宋" w:cs="仿宋"/>
          <w:color w:val="auto"/>
          <w:szCs w:val="21"/>
          <w:highlight w:val="none"/>
        </w:rPr>
        <w:t>。</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26.合同授予标准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26.1</w:t>
      </w:r>
      <w:r>
        <w:rPr>
          <w:rFonts w:hint="eastAsia" w:ascii="仿宋" w:hAnsi="仿宋" w:eastAsia="仿宋" w:cs="仿宋"/>
          <w:color w:val="auto"/>
          <w:highlight w:val="none"/>
        </w:rPr>
        <w:t>合同将授予被确定为实质上响应采购人需求，具备履行合同能力，采购结果报告中推荐的排名第一的成交候选供应商为成交供应商。</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26.2采购人应按照评标报告中推荐的成交候选供应商顺序确定成交供应商，也可授权</w:t>
      </w:r>
      <w:r>
        <w:rPr>
          <w:rFonts w:hint="eastAsia" w:ascii="仿宋" w:hAnsi="仿宋" w:eastAsia="仿宋" w:cs="仿宋"/>
          <w:color w:val="auto"/>
          <w:szCs w:val="21"/>
          <w:highlight w:val="none"/>
          <w:lang w:eastAsia="zh-CN"/>
        </w:rPr>
        <w:t>谈判小组</w:t>
      </w:r>
      <w:r>
        <w:rPr>
          <w:rFonts w:hint="eastAsia" w:ascii="仿宋" w:hAnsi="仿宋" w:eastAsia="仿宋" w:cs="仿宋"/>
          <w:color w:val="auto"/>
          <w:szCs w:val="21"/>
          <w:highlight w:val="none"/>
        </w:rPr>
        <w:t>直接确定成交供应商。</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27.签订合同</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27.1成交供应商收到成交通知书后，按成交通知书中规定的时间、地点与采购人签订合同。</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27.2如成交供应商不按成交通知书的规定签订合同（采购人原因除外），则按成交供应商违约处理，采购代理机构将取消该成交决定，不予退还该成交人的</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，成交人应当依法承担法律责任。</w:t>
      </w:r>
    </w:p>
    <w:p>
      <w:pPr>
        <w:pStyle w:val="9"/>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27.3成交人应必须在成交通知书发出之日起</w:t>
      </w: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rPr>
        <w:t>日内与采购人签订合同。</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28.合同履行中的追加</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28.1采购合同履行中，采购单位如需追加与合同标的相同的货物、工程和服务的，经监督部门同意，在不改变合同其他条款的前提下，可以与成交供应商协商签订补充的合同。但补充的合同涉及的采购金额不得超过原合同采购金额的10%。</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29.履约保证金</w:t>
      </w:r>
    </w:p>
    <w:p>
      <w:pPr>
        <w:pStyle w:val="9"/>
        <w:spacing w:line="360" w:lineRule="auto"/>
        <w:ind w:left="425"/>
        <w:rPr>
          <w:rFonts w:ascii="仿宋" w:hAnsi="仿宋" w:eastAsia="仿宋" w:cs="仿宋"/>
          <w:color w:val="auto"/>
          <w:szCs w:val="21"/>
          <w:highlight w:val="none"/>
        </w:rPr>
      </w:pPr>
      <w:r>
        <w:rPr>
          <w:rFonts w:hint="eastAsia" w:ascii="仿宋" w:hAnsi="仿宋" w:eastAsia="仿宋" w:cs="仿宋"/>
          <w:color w:val="auto"/>
          <w:szCs w:val="21"/>
          <w:highlight w:val="none"/>
        </w:rPr>
        <w:t>29.1本项目无须提交履约保证金。</w:t>
      </w:r>
    </w:p>
    <w:p>
      <w:pPr>
        <w:pStyle w:val="9"/>
        <w:spacing w:line="360" w:lineRule="auto"/>
        <w:ind w:left="425"/>
        <w:rPr>
          <w:rFonts w:ascii="仿宋" w:hAnsi="仿宋" w:eastAsia="仿宋" w:cs="仿宋"/>
          <w:b/>
          <w:bCs/>
          <w:color w:val="auto"/>
          <w:szCs w:val="21"/>
          <w:highlight w:val="none"/>
        </w:rPr>
      </w:pPr>
    </w:p>
    <w:p>
      <w:pPr>
        <w:pStyle w:val="9"/>
        <w:spacing w:line="360" w:lineRule="auto"/>
        <w:jc w:val="center"/>
        <w:outlineLvl w:val="2"/>
        <w:rPr>
          <w:rFonts w:ascii="仿宋" w:hAnsi="仿宋" w:eastAsia="仿宋" w:cs="仿宋"/>
          <w:b/>
          <w:bCs/>
          <w:color w:val="auto"/>
          <w:sz w:val="24"/>
          <w:szCs w:val="24"/>
          <w:highlight w:val="none"/>
        </w:rPr>
      </w:pPr>
      <w:bookmarkStart w:id="16" w:name="_Toc446927412"/>
      <w:r>
        <w:rPr>
          <w:rFonts w:hint="eastAsia" w:ascii="仿宋" w:hAnsi="仿宋" w:eastAsia="仿宋" w:cs="仿宋"/>
          <w:b/>
          <w:bCs/>
          <w:color w:val="auto"/>
          <w:sz w:val="24"/>
          <w:szCs w:val="24"/>
          <w:highlight w:val="none"/>
        </w:rPr>
        <w:t>（十二）其他事项</w:t>
      </w:r>
      <w:bookmarkEnd w:id="16"/>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30.费用</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30.1</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应自行承担所有与本次</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有关的全部费用，成交供应商需按国家发展计划委员会计价格[2002]1980号《招标代理服务费管理暂行办法》收费标准（货物招标类型）缴纳代理服务费。签订合同前，成交人应向广西天柱建设管理有限公司一次付清代理服务费等各项费用，否则，采购代理机构将视之为违约，取消该成交决定，并没收成交人这次参加</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的全部</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30.2代理服务收费标准：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2133"/>
        <w:gridCol w:w="212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853" w:type="dxa"/>
            <w:noWrap/>
          </w:tcPr>
          <w:p>
            <w:pPr>
              <w:pStyle w:val="9"/>
              <w:spacing w:line="360" w:lineRule="auto"/>
              <w:rPr>
                <w:rFonts w:ascii="仿宋" w:hAnsi="仿宋" w:eastAsia="仿宋" w:cs="仿宋"/>
                <w:color w:val="auto"/>
                <w:szCs w:val="21"/>
                <w:highlight w:val="none"/>
              </w:rPr>
            </w:pPr>
            <w:r>
              <w:rPr>
                <w:rFonts w:ascii="仿宋" w:hAnsi="仿宋" w:eastAsia="仿宋" w:cs="仿宋"/>
                <w:color w:val="auto"/>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391795</wp:posOffset>
                      </wp:positionH>
                      <wp:positionV relativeFrom="paragraph">
                        <wp:posOffset>71755</wp:posOffset>
                      </wp:positionV>
                      <wp:extent cx="1371600" cy="693420"/>
                      <wp:effectExtent l="1905" t="4445" r="17145" b="6985"/>
                      <wp:wrapNone/>
                      <wp:docPr id="4" name="Line 2"/>
                      <wp:cNvGraphicFramePr/>
                      <a:graphic xmlns:a="http://schemas.openxmlformats.org/drawingml/2006/main">
                        <a:graphicData uri="http://schemas.microsoft.com/office/word/2010/wordprocessingShape">
                          <wps:wsp>
                            <wps:cNvCnPr/>
                            <wps:spPr>
                              <a:xfrm>
                                <a:off x="0" y="0"/>
                                <a:ext cx="1371600"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0.85pt;margin-top:5.65pt;height:54.6pt;width:108pt;z-index:251663360;mso-width-relative:page;mso-height-relative:page;" filled="f" stroked="t" coordsize="21600,21600" o:gfxdata="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7GXJLWAAAA&#10;CQEAAA8AAAAAAAAAAQAgAAAAIgAAAGRycy9kb3ducmV2LnhtbFBLAQIUABQAAAAIAIdO4kCWJS5R&#10;5gEAAOw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color w:val="auto"/>
                <w:szCs w:val="21"/>
                <w:highlight w:val="none"/>
              </w:rPr>
              <w:t>费率        服务类型</w:t>
            </w:r>
          </w:p>
          <w:p>
            <w:pPr>
              <w:pStyle w:val="9"/>
              <w:spacing w:line="360" w:lineRule="auto"/>
              <w:rPr>
                <w:rFonts w:ascii="仿宋" w:hAnsi="仿宋" w:eastAsia="仿宋" w:cs="仿宋"/>
                <w:color w:val="auto"/>
                <w:szCs w:val="21"/>
                <w:highlight w:val="none"/>
              </w:rPr>
            </w:pPr>
            <w:r>
              <w:rPr>
                <w:rFonts w:ascii="仿宋" w:hAnsi="仿宋" w:eastAsia="仿宋" w:cs="仿宋"/>
                <w:color w:val="auto"/>
                <w:szCs w:val="21"/>
                <w:highlight w:val="none"/>
                <w:lang w:val="zh-CN"/>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113030</wp:posOffset>
                      </wp:positionV>
                      <wp:extent cx="1828800" cy="396240"/>
                      <wp:effectExtent l="1270" t="4445" r="17780" b="18415"/>
                      <wp:wrapNone/>
                      <wp:docPr id="3" name="Line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5.4pt;margin-top:8.9pt;height:31.2pt;width:144pt;z-index:251664384;mso-width-relative:page;mso-height-relative:page;" filled="f" stroked="t" coordsize="21600,21600" o:gfxdata="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Nt+/1wAA&#10;AAkBAAAPAAAAAAAAAAEAIAAAACIAAABkcnMvZG93bnJldi54bWxQSwECFAAUAAAACACHTuJACtfa&#10;6uYBAADsAwAADgAAAAAAAAABACAAAAAmAQAAZHJzL2Uyb0RvYy54bWxQSwUGAAAAAAYABgBZAQAA&#10;fgUAAAAA&#10;">
                      <v:fill on="f" focussize="0,0"/>
                      <v:stroke color="#000000" joinstyle="round"/>
                      <v:imagedata o:title=""/>
                      <o:lock v:ext="edit" aspectratio="f"/>
                    </v:line>
                  </w:pict>
                </mc:Fallback>
              </mc:AlternateContent>
            </w:r>
          </w:p>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成交金额（万元）</w:t>
            </w:r>
          </w:p>
        </w:tc>
        <w:tc>
          <w:tcPr>
            <w:tcW w:w="2133" w:type="dxa"/>
            <w:noWrap/>
            <w:vAlign w:val="center"/>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货物招标</w:t>
            </w:r>
          </w:p>
        </w:tc>
        <w:tc>
          <w:tcPr>
            <w:tcW w:w="2121" w:type="dxa"/>
            <w:noWrap/>
            <w:vAlign w:val="center"/>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服务招标</w:t>
            </w:r>
          </w:p>
        </w:tc>
        <w:tc>
          <w:tcPr>
            <w:tcW w:w="2459" w:type="dxa"/>
            <w:noWrap/>
            <w:vAlign w:val="center"/>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500-1000</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1000-5000</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5000-10000</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10000-100000</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noWrap/>
          </w:tcPr>
          <w:p>
            <w:pPr>
              <w:pStyle w:val="9"/>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100000以上</w:t>
            </w:r>
          </w:p>
        </w:tc>
        <w:tc>
          <w:tcPr>
            <w:tcW w:w="2133"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2121"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2459" w:type="dxa"/>
            <w:noWrap/>
          </w:tcPr>
          <w:p>
            <w:pPr>
              <w:pStyle w:val="9"/>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r>
    </w:tbl>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注：招标代理服务收费按差额定率累进法计算。例如：某货物招标代理业务成交金额为6000万元，计算招标代理服务收费额如下：</w:t>
      </w:r>
    </w:p>
    <w:p>
      <w:pPr>
        <w:pStyle w:val="9"/>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100万元×1.5%=1.5万元</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（500-100）万元×1.1%=4.4万元</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（1000-500）万元×0.8%=4万元</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（5000-1000）万元×0.5%=20万元</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（6000-5000）万元×0.25%=2.5万元</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合计收费=1.5+4.4+4+20+2.5=32.4（万元）</w:t>
      </w:r>
    </w:p>
    <w:p>
      <w:pPr>
        <w:pStyle w:val="9"/>
        <w:spacing w:line="360" w:lineRule="auto"/>
        <w:outlineLvl w:val="3"/>
        <w:rPr>
          <w:rFonts w:ascii="仿宋" w:hAnsi="仿宋" w:eastAsia="仿宋" w:cs="仿宋"/>
          <w:b/>
          <w:color w:val="auto"/>
          <w:szCs w:val="21"/>
          <w:highlight w:val="none"/>
        </w:rPr>
      </w:pPr>
      <w:r>
        <w:rPr>
          <w:rFonts w:hint="eastAsia" w:ascii="仿宋" w:hAnsi="仿宋" w:eastAsia="仿宋" w:cs="仿宋"/>
          <w:b/>
          <w:color w:val="auto"/>
          <w:szCs w:val="21"/>
          <w:highlight w:val="none"/>
        </w:rPr>
        <w:t>31.解释权</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21.1本</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文件是根据国家有关法律、法规以及政府采购管理有关规定和参照国际惯例编制，解释权属采购代理机构。</w:t>
      </w:r>
    </w:p>
    <w:p>
      <w:pPr>
        <w:pStyle w:val="9"/>
        <w:spacing w:line="360" w:lineRule="auto"/>
        <w:outlineLvl w:val="3"/>
        <w:rPr>
          <w:rFonts w:ascii="仿宋" w:hAnsi="仿宋" w:eastAsia="仿宋" w:cs="仿宋"/>
          <w:color w:val="auto"/>
          <w:szCs w:val="21"/>
          <w:highlight w:val="none"/>
        </w:rPr>
      </w:pPr>
      <w:r>
        <w:rPr>
          <w:rFonts w:hint="eastAsia" w:ascii="仿宋" w:hAnsi="仿宋" w:eastAsia="仿宋" w:cs="仿宋"/>
          <w:b/>
          <w:color w:val="auto"/>
          <w:szCs w:val="21"/>
          <w:highlight w:val="none"/>
        </w:rPr>
        <w:t>32.有关事宜</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32.1所有与本采购文件有关的函电请按下列通讯地址联系：</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采购代理机构：广西天柱建设管理有限公司             </w:t>
      </w:r>
    </w:p>
    <w:p>
      <w:pPr>
        <w:pStyle w:val="9"/>
        <w:spacing w:line="360" w:lineRule="auto"/>
        <w:ind w:firstLine="420" w:firstLineChars="200"/>
        <w:outlineLvl w:val="2"/>
        <w:rPr>
          <w:rFonts w:ascii="仿宋" w:hAnsi="仿宋" w:eastAsia="仿宋" w:cs="仿宋"/>
          <w:color w:val="auto"/>
          <w:szCs w:val="21"/>
          <w:highlight w:val="none"/>
        </w:rPr>
      </w:pPr>
      <w:bookmarkStart w:id="17" w:name="_Toc446927413"/>
      <w:r>
        <w:rPr>
          <w:rFonts w:hint="eastAsia" w:ascii="仿宋" w:hAnsi="仿宋" w:eastAsia="仿宋" w:cs="仿宋"/>
          <w:color w:val="auto"/>
          <w:szCs w:val="21"/>
          <w:highlight w:val="none"/>
        </w:rPr>
        <w:t>联 系 人：何东凌</w:t>
      </w:r>
    </w:p>
    <w:p>
      <w:pPr>
        <w:pStyle w:val="9"/>
        <w:spacing w:line="360" w:lineRule="auto"/>
        <w:ind w:firstLine="420" w:firstLineChars="200"/>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电话/传真：0774-5122336</w:t>
      </w:r>
    </w:p>
    <w:p>
      <w:pPr>
        <w:pStyle w:val="9"/>
        <w:spacing w:line="360" w:lineRule="auto"/>
        <w:ind w:firstLine="420" w:firstLineChars="200"/>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邮政编码：542899  </w:t>
      </w:r>
    </w:p>
    <w:p>
      <w:pPr>
        <w:pStyle w:val="9"/>
        <w:spacing w:line="360" w:lineRule="auto"/>
        <w:outlineLvl w:val="2"/>
        <w:rPr>
          <w:rFonts w:ascii="仿宋" w:hAnsi="仿宋" w:eastAsia="仿宋" w:cs="仿宋"/>
          <w:color w:val="auto"/>
          <w:szCs w:val="21"/>
          <w:highlight w:val="none"/>
        </w:rPr>
      </w:pPr>
    </w:p>
    <w:p>
      <w:pPr>
        <w:pStyle w:val="9"/>
        <w:spacing w:line="360" w:lineRule="exact"/>
        <w:outlineLvl w:val="2"/>
        <w:rPr>
          <w:rFonts w:ascii="仿宋" w:hAnsi="仿宋" w:eastAsia="仿宋" w:cs="仿宋"/>
          <w:color w:val="auto"/>
          <w:szCs w:val="21"/>
          <w:highlight w:val="none"/>
        </w:rPr>
      </w:pPr>
    </w:p>
    <w:p>
      <w:pPr>
        <w:pStyle w:val="9"/>
        <w:spacing w:line="360" w:lineRule="exact"/>
        <w:outlineLvl w:val="2"/>
        <w:rPr>
          <w:rFonts w:ascii="仿宋" w:hAnsi="仿宋" w:eastAsia="仿宋" w:cs="仿宋"/>
          <w:color w:val="auto"/>
          <w:szCs w:val="21"/>
          <w:highlight w:val="none"/>
        </w:rPr>
      </w:pPr>
    </w:p>
    <w:p>
      <w:pPr>
        <w:pStyle w:val="9"/>
        <w:spacing w:line="360" w:lineRule="exact"/>
        <w:outlineLvl w:val="2"/>
        <w:rPr>
          <w:rFonts w:ascii="仿宋" w:hAnsi="仿宋" w:eastAsia="仿宋" w:cs="仿宋"/>
          <w:color w:val="auto"/>
          <w:szCs w:val="21"/>
          <w:highlight w:val="none"/>
        </w:rPr>
      </w:pPr>
    </w:p>
    <w:p>
      <w:pPr>
        <w:pStyle w:val="9"/>
        <w:spacing w:line="360" w:lineRule="exact"/>
        <w:outlineLvl w:val="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 有关法律法规对政府采购当事人应承担法律责任的规定</w:t>
      </w:r>
      <w:bookmarkEnd w:id="17"/>
    </w:p>
    <w:p>
      <w:pPr>
        <w:spacing w:line="360" w:lineRule="exact"/>
        <w:rPr>
          <w:rFonts w:ascii="仿宋" w:hAnsi="仿宋" w:eastAsia="仿宋" w:cs="仿宋"/>
          <w:b/>
          <w:bCs/>
          <w:color w:val="auto"/>
          <w:szCs w:val="21"/>
          <w:highlight w:val="none"/>
        </w:rPr>
      </w:pPr>
    </w:p>
    <w:p>
      <w:pPr>
        <w:spacing w:line="42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《中华人民共和国政府采购法》有关规定：</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第三条 政府采购应当遵循公开透明原则、公平竞争原则、公正原则和诚实信用原则。 </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第二十二条 供应商参加政府采购活动应当具备下列条件：</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具有独立承担民事责任的能力；</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具有良好的商业信誉和健全的财务会计制度；</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具有履行所必需的设备和专业技术能力；</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有依法缴纳税收和社会保障资金的良好记录；</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参加政府采购活动前三年内，在经营活动中没有重大违法记录；</w:t>
      </w:r>
    </w:p>
    <w:p>
      <w:pPr>
        <w:numPr>
          <w:ilvl w:val="0"/>
          <w:numId w:val="7"/>
        </w:num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法律、行政法规规定的其他条件。</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第四十六条 采购人与成交供应商应当在成交通知书发出之日起三十日内，按照采购文件确定的事项签订政府采购合同。 </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成交通知书对采购人和成交供应商均具有法律效力。成交通知书发出后，采购人改变成交结果的，或者成交供应商放弃成交项目的，应当依法承担法律责任。 </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提供虚假材料谋取成交的；</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采取不正当手段诋毁、排挤其他供应商的；</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与采购人、其他供应商或者采购代理机构恶意串通的；</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向采购人、采购代理机构行贿或者提供其他不正当利益的；</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在招标采购过程中与采购人进行协商</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的；</w:t>
      </w:r>
    </w:p>
    <w:p>
      <w:pPr>
        <w:numPr>
          <w:ilvl w:val="0"/>
          <w:numId w:val="8"/>
        </w:num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拒绝有关部门监督检查或者提供虚假情况的。 </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供应商有前款第（一）至（五）项情形之一的，成交无效。 </w:t>
      </w:r>
    </w:p>
    <w:p>
      <w:pPr>
        <w:spacing w:line="420" w:lineRule="exact"/>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 xml:space="preserve">第七十九条  政府采购当事人有本法第七十一条、第七十二条、第七十七条违法行为之一，给他人造成损失的，并应依照有关民事法律规定承担民事责任。 </w:t>
      </w:r>
    </w:p>
    <w:p>
      <w:pPr>
        <w:spacing w:line="42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《中华人民共和国合同法》有关规定：</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第四十二条：当事人在订立合同过程中有下列情形之一，给对方造成损失的，应当承担损害赔偿责任：</w:t>
      </w:r>
    </w:p>
    <w:p>
      <w:pPr>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（一）假借订立合同，恶意进行竞标；</w:t>
      </w:r>
    </w:p>
    <w:p>
      <w:pPr>
        <w:pStyle w:val="17"/>
        <w:spacing w:line="420" w:lineRule="exact"/>
        <w:rPr>
          <w:rFonts w:ascii="仿宋" w:hAnsi="仿宋" w:eastAsia="仿宋" w:cs="仿宋"/>
          <w:bCs w:val="0"/>
          <w:color w:val="auto"/>
          <w:highlight w:val="none"/>
        </w:rPr>
      </w:pPr>
      <w:r>
        <w:rPr>
          <w:rFonts w:hint="eastAsia" w:ascii="仿宋" w:hAnsi="仿宋" w:eastAsia="仿宋" w:cs="仿宋"/>
          <w:bCs w:val="0"/>
          <w:color w:val="auto"/>
          <w:highlight w:val="none"/>
        </w:rPr>
        <w:t>（二）故意隐瞒与订立合同有关的重要事实或者提供虚假情况；</w:t>
      </w:r>
    </w:p>
    <w:p>
      <w:pPr>
        <w:pStyle w:val="9"/>
        <w:spacing w:line="4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（三）有其他违背诚实信用原则的行为。</w:t>
      </w:r>
    </w:p>
    <w:p>
      <w:pPr>
        <w:jc w:val="center"/>
        <w:outlineLvl w:val="0"/>
        <w:rPr>
          <w:rFonts w:ascii="仿宋" w:hAnsi="仿宋" w:eastAsia="仿宋" w:cs="仿宋"/>
          <w:b/>
          <w:color w:val="auto"/>
          <w:sz w:val="52"/>
          <w:szCs w:val="52"/>
          <w:highlight w:val="none"/>
        </w:rPr>
      </w:pPr>
      <w:bookmarkStart w:id="18" w:name="_Toc446927414"/>
    </w:p>
    <w:p>
      <w:pPr>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 xml:space="preserve">第三章  </w:t>
      </w:r>
      <w:bookmarkEnd w:id="18"/>
      <w:r>
        <w:rPr>
          <w:rFonts w:hint="eastAsia" w:ascii="仿宋" w:hAnsi="仿宋" w:eastAsia="仿宋" w:cs="仿宋"/>
          <w:b/>
          <w:color w:val="auto"/>
          <w:sz w:val="52"/>
          <w:szCs w:val="52"/>
          <w:highlight w:val="none"/>
        </w:rPr>
        <w:t>货物需求一览表</w:t>
      </w:r>
    </w:p>
    <w:p>
      <w:pPr>
        <w:pStyle w:val="9"/>
        <w:spacing w:line="360" w:lineRule="exact"/>
        <w:jc w:val="center"/>
        <w:rPr>
          <w:rFonts w:ascii="仿宋" w:hAnsi="仿宋" w:eastAsia="仿宋" w:cs="仿宋"/>
          <w:b/>
          <w:color w:val="auto"/>
          <w:sz w:val="32"/>
          <w:highlight w:val="none"/>
        </w:rPr>
      </w:pPr>
    </w:p>
    <w:p>
      <w:pPr>
        <w:tabs>
          <w:tab w:val="left" w:pos="180"/>
          <w:tab w:val="left" w:pos="1620"/>
        </w:tabs>
        <w:spacing w:line="360" w:lineRule="auto"/>
        <w:ind w:left="195" w:leftChars="93"/>
        <w:rPr>
          <w:rFonts w:ascii="仿宋" w:hAnsi="仿宋" w:eastAsia="仿宋" w:cs="仿宋"/>
          <w:b/>
          <w:bCs/>
          <w:color w:val="auto"/>
          <w:szCs w:val="21"/>
          <w:highlight w:val="none"/>
        </w:rPr>
      </w:pPr>
      <w:r>
        <w:rPr>
          <w:rFonts w:hint="eastAsia" w:ascii="仿宋" w:hAnsi="仿宋" w:eastAsia="仿宋" w:cs="仿宋"/>
          <w:b/>
          <w:color w:val="auto"/>
          <w:szCs w:val="21"/>
          <w:highlight w:val="none"/>
        </w:rPr>
        <w:t>项目</w:t>
      </w:r>
      <w:r>
        <w:rPr>
          <w:rFonts w:hint="eastAsia" w:ascii="仿宋" w:hAnsi="仿宋" w:eastAsia="仿宋" w:cs="仿宋"/>
          <w:b/>
          <w:bCs/>
          <w:color w:val="auto"/>
          <w:szCs w:val="21"/>
          <w:highlight w:val="none"/>
        </w:rPr>
        <w:t>说明：</w:t>
      </w:r>
    </w:p>
    <w:p>
      <w:pPr>
        <w:spacing w:line="360" w:lineRule="auto"/>
        <w:ind w:left="-10" w:leftChars="-5" w:right="2" w:rightChars="1"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所提供的产品实质上应相当于或优于本需求中的技术参数性能（配置）要求。</w:t>
      </w:r>
    </w:p>
    <w:p>
      <w:pPr>
        <w:spacing w:line="360" w:lineRule="auto"/>
        <w:ind w:left="-10" w:leftChars="-5" w:right="2" w:rightChars="1"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2、本一览表的技术参数及性能（配置）不明确或有误的，</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单请以详细、正确的技术参数性能（配置）同时填写报价表和技术响应偏离情况说明表。</w:t>
      </w:r>
    </w:p>
    <w:p>
      <w:pPr>
        <w:spacing w:line="360" w:lineRule="auto"/>
        <w:ind w:left="-10" w:leftChars="-5" w:right="2" w:rightChars="1"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3、评标时，如果</w:t>
      </w:r>
      <w:r>
        <w:rPr>
          <w:rFonts w:hint="eastAsia" w:ascii="仿宋" w:hAnsi="仿宋" w:eastAsia="仿宋" w:cs="仿宋"/>
          <w:bCs/>
          <w:color w:val="auto"/>
          <w:szCs w:val="21"/>
          <w:highlight w:val="none"/>
          <w:lang w:eastAsia="zh-CN"/>
        </w:rPr>
        <w:t>谈判小组</w:t>
      </w:r>
      <w:r>
        <w:rPr>
          <w:rFonts w:hint="eastAsia" w:ascii="仿宋" w:hAnsi="仿宋" w:eastAsia="仿宋" w:cs="仿宋"/>
          <w:bCs/>
          <w:color w:val="auto"/>
          <w:szCs w:val="21"/>
          <w:highlight w:val="none"/>
        </w:rPr>
        <w:t>发现本一览表中的技术参数及性能（配置）要求（含附件）中含有某一品牌特有的参数或其它限制性要求的，有权认定不作为主要技术参数及性能（配置）要求或不作为</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无效要求处理。</w:t>
      </w:r>
    </w:p>
    <w:p>
      <w:pPr>
        <w:spacing w:line="360" w:lineRule="auto"/>
        <w:ind w:left="-10" w:leftChars="-5" w:right="2" w:rightChars="1" w:firstLine="420" w:firstLineChars="200"/>
        <w:rPr>
          <w:rFonts w:ascii="仿宋" w:hAnsi="仿宋" w:eastAsia="仿宋" w:cs="仿宋"/>
          <w:bCs/>
          <w:color w:val="auto"/>
          <w:szCs w:val="21"/>
          <w:highlight w:val="none"/>
        </w:rPr>
      </w:pPr>
      <w:bookmarkStart w:id="19" w:name="_Toc446927426"/>
      <w:r>
        <w:rPr>
          <w:rFonts w:hint="eastAsia" w:ascii="仿宋" w:hAnsi="仿宋" w:eastAsia="仿宋" w:cs="仿宋"/>
          <w:bCs/>
          <w:color w:val="auto"/>
          <w:szCs w:val="21"/>
          <w:highlight w:val="none"/>
        </w:rPr>
        <w:t>4、本项目</w:t>
      </w:r>
      <w:r>
        <w:rPr>
          <w:rFonts w:hint="eastAsia" w:ascii="仿宋" w:hAnsi="仿宋" w:eastAsia="仿宋" w:cs="仿宋"/>
          <w:b/>
          <w:bCs w:val="0"/>
          <w:color w:val="auto"/>
          <w:szCs w:val="21"/>
          <w:highlight w:val="none"/>
        </w:rPr>
        <w:t>A标段核心产品为：第</w:t>
      </w:r>
      <w:r>
        <w:rPr>
          <w:rFonts w:hint="eastAsia" w:ascii="仿宋" w:hAnsi="仿宋" w:eastAsia="仿宋" w:cs="仿宋"/>
          <w:b/>
          <w:bCs w:val="0"/>
          <w:color w:val="auto"/>
          <w:szCs w:val="21"/>
          <w:highlight w:val="none"/>
          <w:u w:val="single"/>
        </w:rPr>
        <w:t>1</w:t>
      </w:r>
      <w:r>
        <w:rPr>
          <w:rFonts w:hint="eastAsia" w:ascii="仿宋" w:hAnsi="仿宋" w:eastAsia="仿宋" w:cs="仿宋"/>
          <w:b/>
          <w:bCs w:val="0"/>
          <w:color w:val="auto"/>
          <w:szCs w:val="21"/>
          <w:highlight w:val="none"/>
        </w:rPr>
        <w:t>项货物“橡皮艇（冲锋舟热熔技术船体）</w:t>
      </w:r>
      <w:r>
        <w:rPr>
          <w:rFonts w:hint="eastAsia" w:ascii="仿宋" w:hAnsi="仿宋" w:eastAsia="仿宋" w:cs="仿宋"/>
          <w:b/>
          <w:bCs w:val="0"/>
          <w:color w:val="auto"/>
          <w:szCs w:val="21"/>
          <w:highlight w:val="none"/>
          <w:lang w:eastAsia="zh-CN"/>
        </w:rPr>
        <w:t>”、</w:t>
      </w:r>
      <w:r>
        <w:rPr>
          <w:rFonts w:hint="eastAsia" w:ascii="仿宋" w:hAnsi="仿宋" w:eastAsia="仿宋" w:cs="仿宋"/>
          <w:b/>
          <w:bCs w:val="0"/>
          <w:color w:val="auto"/>
          <w:szCs w:val="21"/>
          <w:highlight w:val="none"/>
        </w:rPr>
        <w:t>第</w:t>
      </w:r>
      <w:r>
        <w:rPr>
          <w:rFonts w:hint="eastAsia" w:ascii="仿宋" w:hAnsi="仿宋" w:eastAsia="仿宋" w:cs="仿宋"/>
          <w:b/>
          <w:bCs w:val="0"/>
          <w:color w:val="auto"/>
          <w:szCs w:val="21"/>
          <w:highlight w:val="none"/>
          <w:u w:val="single"/>
        </w:rPr>
        <w:t>1</w:t>
      </w:r>
      <w:r>
        <w:rPr>
          <w:rFonts w:hint="eastAsia" w:ascii="仿宋" w:hAnsi="仿宋" w:eastAsia="仿宋" w:cs="仿宋"/>
          <w:b/>
          <w:bCs w:val="0"/>
          <w:color w:val="auto"/>
          <w:szCs w:val="21"/>
          <w:highlight w:val="none"/>
          <w:u w:val="single"/>
          <w:lang w:val="en-US" w:eastAsia="zh-CN"/>
        </w:rPr>
        <w:t>3</w:t>
      </w:r>
      <w:r>
        <w:rPr>
          <w:rFonts w:hint="eastAsia" w:ascii="仿宋" w:hAnsi="仿宋" w:eastAsia="仿宋" w:cs="仿宋"/>
          <w:b/>
          <w:bCs w:val="0"/>
          <w:color w:val="auto"/>
          <w:szCs w:val="21"/>
          <w:highlight w:val="none"/>
        </w:rPr>
        <w:t>项货物</w:t>
      </w:r>
      <w:r>
        <w:rPr>
          <w:rFonts w:hint="eastAsia" w:ascii="仿宋" w:hAnsi="仿宋" w:eastAsia="仿宋" w:cs="仿宋"/>
          <w:b/>
          <w:bCs w:val="0"/>
          <w:color w:val="auto"/>
          <w:szCs w:val="21"/>
          <w:highlight w:val="none"/>
          <w:lang w:eastAsia="zh-CN"/>
        </w:rPr>
        <w:t>“</w:t>
      </w:r>
      <w:r>
        <w:rPr>
          <w:rFonts w:hint="eastAsia" w:ascii="仿宋" w:hAnsi="仿宋" w:eastAsia="仿宋" w:cs="仿宋"/>
          <w:b/>
          <w:bCs w:val="0"/>
          <w:color w:val="auto"/>
          <w:kern w:val="0"/>
          <w:szCs w:val="21"/>
          <w:highlight w:val="none"/>
        </w:rPr>
        <w:t>风力灭火器</w:t>
      </w:r>
      <w:r>
        <w:rPr>
          <w:rFonts w:hint="eastAsia" w:ascii="仿宋" w:hAnsi="仿宋" w:eastAsia="仿宋" w:cs="仿宋"/>
          <w:b/>
          <w:bCs w:val="0"/>
          <w:color w:val="auto"/>
          <w:szCs w:val="21"/>
          <w:highlight w:val="none"/>
        </w:rPr>
        <w:t>”；B标段核心产品为：第</w:t>
      </w:r>
      <w:r>
        <w:rPr>
          <w:rFonts w:hint="eastAsia" w:ascii="仿宋" w:hAnsi="仿宋" w:eastAsia="仿宋" w:cs="仿宋"/>
          <w:b/>
          <w:bCs w:val="0"/>
          <w:color w:val="auto"/>
          <w:szCs w:val="21"/>
          <w:highlight w:val="none"/>
          <w:u w:val="single"/>
        </w:rPr>
        <w:t>1</w:t>
      </w:r>
      <w:r>
        <w:rPr>
          <w:rFonts w:hint="eastAsia" w:ascii="仿宋" w:hAnsi="仿宋" w:eastAsia="仿宋" w:cs="仿宋"/>
          <w:b/>
          <w:bCs w:val="0"/>
          <w:color w:val="auto"/>
          <w:szCs w:val="21"/>
          <w:highlight w:val="none"/>
        </w:rPr>
        <w:t>项货物“作训服（帽子、衣服、裤子、皮带、作训靴）”</w:t>
      </w:r>
      <w:r>
        <w:rPr>
          <w:rFonts w:hint="eastAsia" w:ascii="仿宋" w:hAnsi="仿宋" w:eastAsia="仿宋" w:cs="仿宋"/>
          <w:bCs/>
          <w:color w:val="auto"/>
          <w:szCs w:val="21"/>
          <w:highlight w:val="none"/>
        </w:rPr>
        <w:t>，提供相同品牌核心产品的不同</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参加本项目</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的，以其中通过资格审查、符合性审查且最终评标价最低的</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参加评审；最终评标价相同的，则由采购人自主选择确定一个</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参加评审，其</w:t>
      </w:r>
      <w:r>
        <w:rPr>
          <w:rFonts w:hint="eastAsia" w:ascii="仿宋" w:hAnsi="仿宋" w:eastAsia="仿宋" w:cs="仿宋"/>
          <w:bCs/>
          <w:color w:val="auto"/>
          <w:szCs w:val="21"/>
          <w:highlight w:val="none"/>
          <w:lang w:val="en-US" w:eastAsia="zh-CN"/>
        </w:rPr>
        <w:t>它</w:t>
      </w:r>
      <w:r>
        <w:rPr>
          <w:rFonts w:hint="eastAsia" w:ascii="仿宋" w:hAnsi="仿宋" w:eastAsia="仿宋" w:cs="仿宋"/>
          <w:bCs/>
          <w:color w:val="auto"/>
          <w:szCs w:val="21"/>
          <w:highlight w:val="none"/>
          <w:lang w:eastAsia="zh-CN"/>
        </w:rPr>
        <w:t>竞标供应商竞标</w:t>
      </w:r>
      <w:r>
        <w:rPr>
          <w:rFonts w:hint="eastAsia" w:ascii="仿宋" w:hAnsi="仿宋" w:eastAsia="仿宋" w:cs="仿宋"/>
          <w:bCs/>
          <w:color w:val="auto"/>
          <w:szCs w:val="21"/>
          <w:highlight w:val="none"/>
        </w:rPr>
        <w:t>无效。</w:t>
      </w:r>
    </w:p>
    <w:p>
      <w:pPr>
        <w:spacing w:line="360" w:lineRule="auto"/>
        <w:rPr>
          <w:rFonts w:ascii="仿宋" w:hAnsi="仿宋" w:eastAsia="仿宋" w:cs="仿宋"/>
          <w:b/>
          <w:bCs/>
          <w:color w:val="auto"/>
          <w:kern w:val="0"/>
          <w:szCs w:val="21"/>
          <w:highlight w:val="none"/>
        </w:rPr>
      </w:pPr>
      <w:r>
        <w:rPr>
          <w:rFonts w:hint="eastAsia" w:ascii="仿宋" w:hAnsi="仿宋" w:eastAsia="仿宋" w:cs="仿宋"/>
          <w:bCs/>
          <w:color w:val="auto"/>
          <w:szCs w:val="21"/>
          <w:highlight w:val="none"/>
        </w:rPr>
        <w:t>5、注带“</w:t>
      </w:r>
      <w:r>
        <w:rPr>
          <w:rFonts w:hint="eastAsia" w:ascii="仿宋" w:hAnsi="仿宋" w:eastAsia="仿宋" w:cs="仿宋"/>
          <w:b/>
          <w:bCs/>
          <w:color w:val="auto"/>
          <w:szCs w:val="21"/>
          <w:highlight w:val="none"/>
        </w:rPr>
        <w:t>★</w:t>
      </w:r>
      <w:r>
        <w:rPr>
          <w:rFonts w:hint="eastAsia" w:ascii="仿宋" w:hAnsi="仿宋" w:eastAsia="仿宋" w:cs="仿宋"/>
          <w:bCs/>
          <w:color w:val="auto"/>
          <w:szCs w:val="21"/>
          <w:highlight w:val="none"/>
        </w:rPr>
        <w:t>”号的必须满足，否则视为实质性不响应采购文件要求。其他参数未标注“</w:t>
      </w:r>
      <w:r>
        <w:rPr>
          <w:rFonts w:hint="eastAsia" w:ascii="仿宋" w:hAnsi="仿宋" w:eastAsia="仿宋" w:cs="仿宋"/>
          <w:b/>
          <w:bCs/>
          <w:color w:val="auto"/>
          <w:szCs w:val="21"/>
          <w:highlight w:val="none"/>
        </w:rPr>
        <w:t>★</w:t>
      </w:r>
      <w:r>
        <w:rPr>
          <w:rFonts w:hint="eastAsia" w:ascii="仿宋" w:hAnsi="仿宋" w:eastAsia="仿宋" w:cs="仿宋"/>
          <w:bCs/>
          <w:color w:val="auto"/>
          <w:szCs w:val="21"/>
          <w:highlight w:val="none"/>
        </w:rPr>
        <w:t>”号超过3项负偏离视为无效</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w:t>
      </w:r>
    </w:p>
    <w:tbl>
      <w:tblPr>
        <w:tblStyle w:val="19"/>
        <w:tblW w:w="10144" w:type="dxa"/>
        <w:tblInd w:w="0" w:type="dxa"/>
        <w:tblLayout w:type="fixed"/>
        <w:tblCellMar>
          <w:top w:w="0" w:type="dxa"/>
          <w:left w:w="0" w:type="dxa"/>
          <w:bottom w:w="0" w:type="dxa"/>
          <w:right w:w="0" w:type="dxa"/>
        </w:tblCellMar>
      </w:tblPr>
      <w:tblGrid>
        <w:gridCol w:w="498"/>
        <w:gridCol w:w="1066"/>
        <w:gridCol w:w="3074"/>
        <w:gridCol w:w="411"/>
        <w:gridCol w:w="509"/>
        <w:gridCol w:w="658"/>
        <w:gridCol w:w="772"/>
        <w:gridCol w:w="3156"/>
      </w:tblGrid>
      <w:tr>
        <w:tblPrEx>
          <w:tblCellMar>
            <w:top w:w="0" w:type="dxa"/>
            <w:left w:w="0" w:type="dxa"/>
            <w:bottom w:w="0" w:type="dxa"/>
            <w:right w:w="0" w:type="dxa"/>
          </w:tblCellMar>
        </w:tblPrEx>
        <w:trPr>
          <w:trHeight w:val="780" w:hRule="atLeast"/>
        </w:trPr>
        <w:tc>
          <w:tcPr>
            <w:tcW w:w="10144" w:type="dxa"/>
            <w:gridSpan w:val="8"/>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A标段采购清单</w:t>
            </w:r>
          </w:p>
          <w:p>
            <w:pPr>
              <w:spacing w:line="360" w:lineRule="auto"/>
              <w:jc w:val="right"/>
              <w:rPr>
                <w:rFonts w:ascii="仿宋" w:hAnsi="仿宋" w:eastAsia="仿宋" w:cs="仿宋"/>
                <w:b/>
                <w:color w:val="auto"/>
                <w:szCs w:val="21"/>
                <w:highlight w:val="none"/>
              </w:rPr>
            </w:pPr>
            <w:r>
              <w:rPr>
                <w:rFonts w:hint="eastAsia" w:ascii="仿宋" w:hAnsi="仿宋" w:eastAsia="仿宋" w:cs="仿宋"/>
                <w:b/>
                <w:bCs/>
                <w:color w:val="auto"/>
                <w:szCs w:val="21"/>
                <w:highlight w:val="none"/>
              </w:rPr>
              <w:t>人民币：</w:t>
            </w:r>
            <w:r>
              <w:rPr>
                <w:rFonts w:hint="eastAsia" w:ascii="仿宋" w:hAnsi="仿宋" w:eastAsia="仿宋" w:cs="仿宋"/>
                <w:b/>
                <w:bCs/>
                <w:color w:val="auto"/>
                <w:szCs w:val="21"/>
                <w:highlight w:val="none"/>
                <w:u w:val="single"/>
              </w:rPr>
              <w:t>元</w:t>
            </w:r>
          </w:p>
        </w:tc>
      </w:tr>
      <w:tr>
        <w:tblPrEx>
          <w:tblCellMar>
            <w:top w:w="0" w:type="dxa"/>
            <w:left w:w="0" w:type="dxa"/>
            <w:bottom w:w="0" w:type="dxa"/>
            <w:right w:w="0" w:type="dxa"/>
          </w:tblCellMar>
        </w:tblPrEx>
        <w:trPr>
          <w:trHeight w:val="499"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序号</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产品名称</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技术参数</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单位</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数量</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单价</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金额</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备注</w:t>
            </w:r>
          </w:p>
        </w:tc>
      </w:tr>
      <w:tr>
        <w:tblPrEx>
          <w:tblCellMar>
            <w:top w:w="0" w:type="dxa"/>
            <w:left w:w="0" w:type="dxa"/>
            <w:bottom w:w="0" w:type="dxa"/>
            <w:right w:w="0" w:type="dxa"/>
          </w:tblCellMar>
        </w:tblPrEx>
        <w:trPr>
          <w:trHeight w:val="330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橡皮艇（冲锋舟热熔技术船体）</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一、采用1200D PVC高密度聚酯纤维织布成，特性耐高温，耐低温，耐磨，抗压，3层专业游艇布、船体接缝及搭接局部采用400-600度高温热熔压合，风枪压力0.05-0.1，上下滚轮压力0.15-0.4，制作好后对其接缝位置加热100-200度，不会出现任何脱开反应。</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工艺：船体使用热熔技术。</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主要技术参数：</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1.规格：≥480x198x50</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2.乘员：8人+1人；</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3.净重：110kg）; 安全载重：1300（kg）</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4.底板：铝合金</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5.厚度：1.2mm</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6.气室：4+1</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二、船外机：二冲程40匹长轴</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尾板高度/mm: 551</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净重: 81公斤</w:t>
            </w:r>
          </w:p>
          <w:p>
            <w:pPr>
              <w:widowControl/>
              <w:spacing w:line="420" w:lineRule="exact"/>
              <w:jc w:val="left"/>
              <w:textAlignment w:val="center"/>
              <w:rPr>
                <w:rStyle w:val="48"/>
                <w:rFonts w:hint="default" w:ascii="仿宋" w:hAnsi="仿宋" w:eastAsia="仿宋" w:cs="仿宋"/>
                <w:color w:val="auto"/>
                <w:sz w:val="21"/>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48000" behindDoc="0" locked="0" layoutInCell="1" allowOverlap="1">
                  <wp:simplePos x="0" y="0"/>
                  <wp:positionH relativeFrom="column">
                    <wp:posOffset>3478530</wp:posOffset>
                  </wp:positionH>
                  <wp:positionV relativeFrom="paragraph">
                    <wp:posOffset>19050</wp:posOffset>
                  </wp:positionV>
                  <wp:extent cx="1880870" cy="1165225"/>
                  <wp:effectExtent l="0" t="0" r="5080" b="15875"/>
                  <wp:wrapNone/>
                  <wp:docPr id="6" name="图片_40"/>
                  <wp:cNvGraphicFramePr/>
                  <a:graphic xmlns:a="http://schemas.openxmlformats.org/drawingml/2006/main">
                    <a:graphicData uri="http://schemas.openxmlformats.org/drawingml/2006/picture">
                      <pic:pic xmlns:pic="http://schemas.openxmlformats.org/drawingml/2006/picture">
                        <pic:nvPicPr>
                          <pic:cNvPr id="6" name="图片_40"/>
                          <pic:cNvPicPr/>
                        </pic:nvPicPr>
                        <pic:blipFill>
                          <a:blip r:embed="rId10"/>
                          <a:stretch>
                            <a:fillRect/>
                          </a:stretch>
                        </pic:blipFill>
                        <pic:spPr>
                          <a:xfrm>
                            <a:off x="0" y="0"/>
                            <a:ext cx="1880870" cy="1165225"/>
                          </a:xfrm>
                          <a:prstGeom prst="rect">
                            <a:avLst/>
                          </a:prstGeom>
                          <a:noFill/>
                          <a:ln>
                            <a:noFill/>
                          </a:ln>
                        </pic:spPr>
                      </pic:pic>
                    </a:graphicData>
                  </a:graphic>
                </wp:anchor>
              </w:drawing>
            </w:r>
            <w:r>
              <w:rPr>
                <w:rStyle w:val="48"/>
                <w:rFonts w:ascii="仿宋" w:hAnsi="仿宋" w:eastAsia="仿宋" w:cs="仿宋"/>
                <w:color w:val="auto"/>
                <w:sz w:val="21"/>
                <w:szCs w:val="21"/>
                <w:highlight w:val="none"/>
              </w:rPr>
              <w:t>排气量: 703l cc</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缸数:2</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最大油耗/L/h :20</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最大输出功率对应转速（r /m ):</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29.4kw (40ps) /500</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机油供给:预混</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启动系统；手动加电启动器</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随机油箱:24L</w:t>
            </w:r>
          </w:p>
          <w:p>
            <w:pPr>
              <w:widowControl/>
              <w:spacing w:line="420" w:lineRule="exact"/>
              <w:jc w:val="left"/>
              <w:textAlignment w:val="center"/>
              <w:rPr>
                <w:rStyle w:val="48"/>
                <w:rFonts w:hint="default" w:ascii="仿宋" w:hAnsi="仿宋" w:eastAsia="仿宋" w:cs="仿宋"/>
                <w:color w:val="auto"/>
                <w:sz w:val="21"/>
                <w:szCs w:val="21"/>
                <w:highlight w:val="none"/>
              </w:rPr>
            </w:pPr>
            <w:r>
              <w:rPr>
                <w:rStyle w:val="48"/>
                <w:rFonts w:ascii="仿宋" w:hAnsi="仿宋" w:eastAsia="仿宋" w:cs="仿宋"/>
                <w:color w:val="auto"/>
                <w:sz w:val="21"/>
                <w:szCs w:val="21"/>
                <w:highlight w:val="none"/>
              </w:rPr>
              <w:t>螺旋浆:13”铝</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艘</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9</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54800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493200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drawing>
                <wp:inline distT="0" distB="0" distL="114300" distR="114300">
                  <wp:extent cx="1478280" cy="1601470"/>
                  <wp:effectExtent l="0" t="0" r="7620" b="177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1478280" cy="160147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52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电动打气泵</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功率：240瓦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压力：10-80千帕</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电流：500升/分钟</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电池：含电瓶</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重量：5.4公斤</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显示：液晶屏调压</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充电电源：交流110-240伏</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电池容量：7000毫安</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1000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4000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49024" behindDoc="0" locked="0" layoutInCell="1" allowOverlap="1">
                  <wp:simplePos x="0" y="0"/>
                  <wp:positionH relativeFrom="column">
                    <wp:posOffset>243205</wp:posOffset>
                  </wp:positionH>
                  <wp:positionV relativeFrom="paragraph">
                    <wp:posOffset>192405</wp:posOffset>
                  </wp:positionV>
                  <wp:extent cx="1375410" cy="1388110"/>
                  <wp:effectExtent l="0" t="0" r="15240" b="254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12"/>
                          <a:stretch>
                            <a:fillRect/>
                          </a:stretch>
                        </pic:blipFill>
                        <pic:spPr>
                          <a:xfrm>
                            <a:off x="0" y="0"/>
                            <a:ext cx="1375410" cy="13881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859"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应急箱</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序1 玻璃水银体温计</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 绷带剪刀</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 医用棉球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序4 碘伏棉签</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序5 塑料镊子</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序6 灭菌纱布片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序7 灭菌纱布片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bdr w:val="single" w:color="000000" w:sz="4" w:space="0"/>
              </w:rPr>
              <w:drawing>
                <wp:anchor distT="0" distB="0" distL="114300" distR="114300" simplePos="0" relativeHeight="251662336" behindDoc="0" locked="0" layoutInCell="1" allowOverlap="1">
                  <wp:simplePos x="0" y="0"/>
                  <wp:positionH relativeFrom="column">
                    <wp:posOffset>3479165</wp:posOffset>
                  </wp:positionH>
                  <wp:positionV relativeFrom="paragraph">
                    <wp:posOffset>2667635</wp:posOffset>
                  </wp:positionV>
                  <wp:extent cx="1890395" cy="2392680"/>
                  <wp:effectExtent l="0" t="0" r="14605" b="762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3"/>
                          <a:stretch>
                            <a:fillRect/>
                          </a:stretch>
                        </pic:blipFill>
                        <pic:spPr>
                          <a:xfrm>
                            <a:off x="0" y="0"/>
                            <a:ext cx="1890395" cy="2392680"/>
                          </a:xfrm>
                          <a:prstGeom prst="rect">
                            <a:avLst/>
                          </a:prstGeom>
                          <a:noFill/>
                          <a:ln>
                            <a:noFill/>
                          </a:ln>
                        </pic:spPr>
                      </pic:pic>
                    </a:graphicData>
                  </a:graphic>
                </wp:anchor>
              </w:drawing>
            </w:r>
            <w:r>
              <w:rPr>
                <w:rFonts w:hint="eastAsia" w:ascii="仿宋" w:hAnsi="仿宋" w:eastAsia="仿宋" w:cs="仿宋"/>
                <w:color w:val="auto"/>
                <w:kern w:val="0"/>
                <w:szCs w:val="21"/>
                <w:highlight w:val="none"/>
              </w:rPr>
              <w:t>序8 灭菌纱布片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序9 PBT弹性绷带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序10 PBT弹性绷带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序11 烧伤敷料</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序12 医用胶带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序13 卡扣止血带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序14 医用无纺布口罩</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序15 消毒片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序16 抗菌湿巾</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序17 PE创可贴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序18 H型创可贴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序19 蝴蝶型创可贴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序20 腰鼓型创可贴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序21 无纺布三角绷带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序22 安全别针</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序23 人工呼吸面罩</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序24 CPR呼吸器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序25 蛇油烧烫伤软膏</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序26 眉夹</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序27 灭菌橡胶检查手套</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序28 速溶冰袋</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序29 卷式夹板</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序30 乙醇消毒液</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序31 碘伏消毒液</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序32 急救手册</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序33 14寸铝合金箱</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序34 包装</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13</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365</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4745</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624"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4</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安全帽</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1.颜色:白色；</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2.帽徽:使用99式警用服饰-帽徽；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bdr w:val="single" w:color="000000" w:sz="4" w:space="0"/>
              </w:rPr>
              <w:drawing>
                <wp:anchor distT="0" distB="0" distL="114300" distR="114300" simplePos="0" relativeHeight="251661312" behindDoc="0" locked="0" layoutInCell="1" allowOverlap="1">
                  <wp:simplePos x="0" y="0"/>
                  <wp:positionH relativeFrom="column">
                    <wp:posOffset>3580765</wp:posOffset>
                  </wp:positionH>
                  <wp:positionV relativeFrom="paragraph">
                    <wp:posOffset>1905</wp:posOffset>
                  </wp:positionV>
                  <wp:extent cx="1501775" cy="1266190"/>
                  <wp:effectExtent l="0" t="0" r="3175" b="1016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14"/>
                          <a:stretch>
                            <a:fillRect/>
                          </a:stretch>
                        </pic:blipFill>
                        <pic:spPr>
                          <a:xfrm>
                            <a:off x="5350510" y="9161145"/>
                            <a:ext cx="1501775" cy="1266190"/>
                          </a:xfrm>
                          <a:prstGeom prst="rect">
                            <a:avLst/>
                          </a:prstGeom>
                          <a:noFill/>
                          <a:ln>
                            <a:noFill/>
                          </a:ln>
                        </pic:spPr>
                      </pic:pic>
                    </a:graphicData>
                  </a:graphic>
                </wp:anchor>
              </w:drawing>
            </w:r>
            <w:r>
              <w:rPr>
                <w:rFonts w:hint="eastAsia" w:ascii="仿宋" w:hAnsi="仿宋" w:eastAsia="仿宋" w:cs="仿宋"/>
                <w:color w:val="auto"/>
                <w:kern w:val="0"/>
                <w:szCs w:val="21"/>
                <w:highlight w:val="none"/>
              </w:rPr>
              <w:t xml:space="preserve">3.结构:头盔由壳体、佩戴装置等组成；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4.材质:进口ABS工程塑料注塑成型；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5.重量:0.72kg； </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90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31050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374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护目镜</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颜色：黑色镜框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镜片颜色：灰片，黄片，透明片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材质：TPU镜框，PC镜片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包装清单：一付眼镜，三付镜片（2.8mm厚度），一个袖套，一条松紧带，一个黑色布袋</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产品性能优势：</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1、高强度防冲击保护，防枪弹、破片，防护0.15以下口径子弹、散弹及破片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2、防雾、防沙尘、绝热保温、循环通风</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3、永不磨损镜片镀层</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4、纯正的透光率</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5、100％过滤紫外线</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6、黑片：防强光（白天）</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7、黄片：夜用增强视觉（夜间有一定光源）</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8、透明片：暗光防护片（无光源）</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80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27600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1072" behindDoc="0" locked="0" layoutInCell="1" allowOverlap="1">
                  <wp:simplePos x="0" y="0"/>
                  <wp:positionH relativeFrom="column">
                    <wp:posOffset>195580</wp:posOffset>
                  </wp:positionH>
                  <wp:positionV relativeFrom="paragraph">
                    <wp:posOffset>950595</wp:posOffset>
                  </wp:positionV>
                  <wp:extent cx="1521460" cy="1521460"/>
                  <wp:effectExtent l="0" t="0" r="2540" b="254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15"/>
                          <a:stretch>
                            <a:fillRect/>
                          </a:stretch>
                        </pic:blipFill>
                        <pic:spPr>
                          <a:xfrm>
                            <a:off x="0" y="0"/>
                            <a:ext cx="1521460" cy="15214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79"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6</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口哨</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品名：警哨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材质：铁，表面电镀处理  挂绳：尼龙/珠链</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包装：单个塑料盒</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适用：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1、求救、预警－适合野外探险、女性、孤独驴友、小孩、以及应急救援</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2、警告、指挥－交警，保安，车辆调度管理等</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3、户外联络－（外出结伴旅行，一人一个，事先对笛声进行编码，然后可以进行较远距离联络），适合户外运动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4、竞技比赛－适合各种体育比赛用于裁判</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50</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30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1500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2096" behindDoc="0" locked="0" layoutInCell="1" allowOverlap="1">
                  <wp:simplePos x="0" y="0"/>
                  <wp:positionH relativeFrom="column">
                    <wp:posOffset>146050</wp:posOffset>
                  </wp:positionH>
                  <wp:positionV relativeFrom="paragraph">
                    <wp:posOffset>140335</wp:posOffset>
                  </wp:positionV>
                  <wp:extent cx="1464310" cy="1277620"/>
                  <wp:effectExtent l="0" t="0" r="2540" b="17780"/>
                  <wp:wrapNone/>
                  <wp:docPr id="12" name="Picture_5"/>
                  <wp:cNvGraphicFramePr/>
                  <a:graphic xmlns:a="http://schemas.openxmlformats.org/drawingml/2006/main">
                    <a:graphicData uri="http://schemas.openxmlformats.org/drawingml/2006/picture">
                      <pic:pic xmlns:pic="http://schemas.openxmlformats.org/drawingml/2006/picture">
                        <pic:nvPicPr>
                          <pic:cNvPr id="12" name="Picture_5"/>
                          <pic:cNvPicPr/>
                        </pic:nvPicPr>
                        <pic:blipFill>
                          <a:blip r:embed="rId16"/>
                          <a:stretch>
                            <a:fillRect/>
                          </a:stretch>
                        </pic:blipFill>
                        <pic:spPr>
                          <a:xfrm>
                            <a:off x="0" y="0"/>
                            <a:ext cx="1464310" cy="12776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2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7</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救生绳</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10mm；30米/根；65g/米；拉力1000kg。具有可漂浮性漂浮在水面上，带有反光功能，夜间标明显长度30米直径10毫米 材质：高强丙纶长丝线编织 拉力1000公斤.</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条</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175</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17500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3120" behindDoc="0" locked="0" layoutInCell="1" allowOverlap="1">
                  <wp:simplePos x="0" y="0"/>
                  <wp:positionH relativeFrom="column">
                    <wp:posOffset>247015</wp:posOffset>
                  </wp:positionH>
                  <wp:positionV relativeFrom="paragraph">
                    <wp:posOffset>365125</wp:posOffset>
                  </wp:positionV>
                  <wp:extent cx="1575435" cy="1009650"/>
                  <wp:effectExtent l="0" t="0" r="5715" b="0"/>
                  <wp:wrapNone/>
                  <wp:docPr id="13"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17"/>
                          <a:stretch>
                            <a:fillRect/>
                          </a:stretch>
                        </pic:blipFill>
                        <pic:spPr>
                          <a:xfrm>
                            <a:off x="0" y="0"/>
                            <a:ext cx="1575435" cy="100965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02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8</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强光手电筒</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1、材质：高强度铝合金，漆面经过硬质氧化。</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2、额定电压：3.7V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3、爆闪频率：8.8HZ</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4、光源：进口CREE-XPG-5W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5、外形尺寸：长度152.7mm 握柄直径28.7m 头盖外径35.1mm 手绳长度152.6mm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6、强光连续工作时间：8小时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 xml:space="preserve">7、弱光连续工作时间：16小时 </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8、重量:207g （含18650电池和手绳）</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9、具有电量显示功能，在任意模式下均可直接关闭手电，强化照明亮度完善散热功能同时具备更好的防水功能； 兼容任意安卓充电器；前端配备攻击头功能：不锈钢材质攻击头镶嵌高硬度陶瓷珠，突破摧毁更轻松。</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把</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175</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60375</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4144" behindDoc="0" locked="0" layoutInCell="1" allowOverlap="1">
                  <wp:simplePos x="0" y="0"/>
                  <wp:positionH relativeFrom="column">
                    <wp:posOffset>62230</wp:posOffset>
                  </wp:positionH>
                  <wp:positionV relativeFrom="paragraph">
                    <wp:posOffset>1026160</wp:posOffset>
                  </wp:positionV>
                  <wp:extent cx="1845310" cy="1376045"/>
                  <wp:effectExtent l="0" t="0" r="2540" b="14605"/>
                  <wp:wrapNone/>
                  <wp:docPr id="14" name="Picture_6"/>
                  <wp:cNvGraphicFramePr/>
                  <a:graphic xmlns:a="http://schemas.openxmlformats.org/drawingml/2006/main">
                    <a:graphicData uri="http://schemas.openxmlformats.org/drawingml/2006/picture">
                      <pic:pic xmlns:pic="http://schemas.openxmlformats.org/drawingml/2006/picture">
                        <pic:nvPicPr>
                          <pic:cNvPr id="14" name="Picture_6"/>
                          <pic:cNvPicPr/>
                        </pic:nvPicPr>
                        <pic:blipFill>
                          <a:blip r:embed="rId18"/>
                          <a:stretch>
                            <a:fillRect/>
                          </a:stretch>
                        </pic:blipFill>
                        <pic:spPr>
                          <a:xfrm>
                            <a:off x="0" y="0"/>
                            <a:ext cx="1845310" cy="13760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925"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9</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信号棒</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指挥棒</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材质：ABS+PC+LED 长度：290mm 直径：35mm 重量：115g（不含电池）</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供电方式：内置锂电可充续航15小时，闪光模式：闪烁-长亮-顶部照明-关闭</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尾部：强吸力磁铁 挂钩 手柄哨子功能 颜色：红色 / 红蓝双色 充电5小时左右</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根</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100</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118</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11800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5168" behindDoc="0" locked="0" layoutInCell="1" allowOverlap="1">
                  <wp:simplePos x="0" y="0"/>
                  <wp:positionH relativeFrom="column">
                    <wp:posOffset>346710</wp:posOffset>
                  </wp:positionH>
                  <wp:positionV relativeFrom="paragraph">
                    <wp:posOffset>156210</wp:posOffset>
                  </wp:positionV>
                  <wp:extent cx="1143000" cy="1517650"/>
                  <wp:effectExtent l="0" t="0" r="0" b="6350"/>
                  <wp:wrapNone/>
                  <wp:docPr id="19" name="Picture_7"/>
                  <wp:cNvGraphicFramePr/>
                  <a:graphic xmlns:a="http://schemas.openxmlformats.org/drawingml/2006/main">
                    <a:graphicData uri="http://schemas.openxmlformats.org/drawingml/2006/picture">
                      <pic:pic xmlns:pic="http://schemas.openxmlformats.org/drawingml/2006/picture">
                        <pic:nvPicPr>
                          <pic:cNvPr id="19" name="Picture_7"/>
                          <pic:cNvPicPr/>
                        </pic:nvPicPr>
                        <pic:blipFill>
                          <a:blip r:embed="rId19"/>
                          <a:stretch>
                            <a:fillRect/>
                          </a:stretch>
                        </pic:blipFill>
                        <pic:spPr>
                          <a:xfrm>
                            <a:off x="0" y="0"/>
                            <a:ext cx="1143000" cy="151765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42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工兵铲</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可以折叠，体积小，方便携带。展开后一头是铲，一头是镐。可弯曲，可折叠，手柄可横可竖，</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通常配有便携式收纳布包，可挂腰上，体积轻巧 易于携带。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【关于工兵铲】</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工兵铲是工兵的常规配备装备。出于方便军事行动的目的，许多工兵铲均包含铲、镐、锯等多种功能，部分则新增开瓶的功能，许多工兵</w:t>
            </w:r>
            <w:r>
              <w:rPr>
                <w:rFonts w:hint="eastAsia" w:ascii="仿宋" w:hAnsi="仿宋" w:eastAsia="仿宋" w:cs="仿宋"/>
                <w:color w:val="auto"/>
                <w:kern w:val="0"/>
                <w:szCs w:val="21"/>
                <w:highlight w:val="none"/>
                <w:bdr w:val="single" w:color="000000" w:sz="4" w:space="0"/>
              </w:rPr>
              <w:drawing>
                <wp:anchor distT="0" distB="0" distL="114300" distR="114300" simplePos="0" relativeHeight="251656192" behindDoc="0" locked="0" layoutInCell="1" allowOverlap="1">
                  <wp:simplePos x="0" y="0"/>
                  <wp:positionH relativeFrom="column">
                    <wp:posOffset>3505200</wp:posOffset>
                  </wp:positionH>
                  <wp:positionV relativeFrom="paragraph">
                    <wp:posOffset>109855</wp:posOffset>
                  </wp:positionV>
                  <wp:extent cx="1728470" cy="1381125"/>
                  <wp:effectExtent l="0" t="0" r="5080" b="9525"/>
                  <wp:wrapNone/>
                  <wp:docPr id="15" name="Picture_8"/>
                  <wp:cNvGraphicFramePr/>
                  <a:graphic xmlns:a="http://schemas.openxmlformats.org/drawingml/2006/main">
                    <a:graphicData uri="http://schemas.openxmlformats.org/drawingml/2006/picture">
                      <pic:pic xmlns:pic="http://schemas.openxmlformats.org/drawingml/2006/picture">
                        <pic:nvPicPr>
                          <pic:cNvPr id="15" name="Picture_8"/>
                          <pic:cNvPicPr/>
                        </pic:nvPicPr>
                        <pic:blipFill>
                          <a:blip r:embed="rId20"/>
                          <a:stretch>
                            <a:fillRect/>
                          </a:stretch>
                        </pic:blipFill>
                        <pic:spPr>
                          <a:xfrm>
                            <a:off x="0" y="0"/>
                            <a:ext cx="1728470" cy="1381125"/>
                          </a:xfrm>
                          <a:prstGeom prst="rect">
                            <a:avLst/>
                          </a:prstGeom>
                          <a:noFill/>
                          <a:ln>
                            <a:noFill/>
                          </a:ln>
                        </pic:spPr>
                      </pic:pic>
                    </a:graphicData>
                  </a:graphic>
                </wp:anchor>
              </w:drawing>
            </w:r>
            <w:r>
              <w:rPr>
                <w:rFonts w:hint="eastAsia" w:ascii="仿宋" w:hAnsi="仿宋" w:eastAsia="仿宋" w:cs="仿宋"/>
                <w:color w:val="auto"/>
                <w:kern w:val="0"/>
                <w:szCs w:val="21"/>
                <w:highlight w:val="none"/>
              </w:rPr>
              <w:t>铲设计成可折叠，以方便携带。原为军事功能之用，但后来工兵铲也常用于平时的登山、野营等活动或园艺、救灾等工作之中</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把</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150</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50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7500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7216" behindDoc="0" locked="0" layoutInCell="1" allowOverlap="1">
                  <wp:simplePos x="0" y="0"/>
                  <wp:positionH relativeFrom="column">
                    <wp:posOffset>56515</wp:posOffset>
                  </wp:positionH>
                  <wp:positionV relativeFrom="paragraph">
                    <wp:posOffset>44450</wp:posOffset>
                  </wp:positionV>
                  <wp:extent cx="1852930" cy="1532255"/>
                  <wp:effectExtent l="0" t="0" r="13970" b="10795"/>
                  <wp:wrapNone/>
                  <wp:docPr id="16" name="图片_8"/>
                  <wp:cNvGraphicFramePr/>
                  <a:graphic xmlns:a="http://schemas.openxmlformats.org/drawingml/2006/main">
                    <a:graphicData uri="http://schemas.openxmlformats.org/drawingml/2006/picture">
                      <pic:pic xmlns:pic="http://schemas.openxmlformats.org/drawingml/2006/picture">
                        <pic:nvPicPr>
                          <pic:cNvPr id="16" name="图片_8"/>
                          <pic:cNvPicPr/>
                        </pic:nvPicPr>
                        <pic:blipFill>
                          <a:blip r:embed="rId21"/>
                          <a:stretch>
                            <a:fillRect/>
                          </a:stretch>
                        </pic:blipFill>
                        <pic:spPr>
                          <a:xfrm>
                            <a:off x="0" y="0"/>
                            <a:ext cx="1852930" cy="15322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955"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11</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应急背包</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品名：防汛应急救援包</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重量：6KG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规格：500*400*250m</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应急包材质：1000D牛津布 防水处理 金属拉链</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功能：手提 双肩背，带应急USB和耳麦对讲机接口，防水，耐磨，放置各种应急用品</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115</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39675</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8240" behindDoc="0" locked="0" layoutInCell="1" allowOverlap="1">
                  <wp:simplePos x="0" y="0"/>
                  <wp:positionH relativeFrom="column">
                    <wp:posOffset>331470</wp:posOffset>
                  </wp:positionH>
                  <wp:positionV relativeFrom="paragraph">
                    <wp:posOffset>212725</wp:posOffset>
                  </wp:positionV>
                  <wp:extent cx="965835" cy="1619250"/>
                  <wp:effectExtent l="0" t="0" r="5715" b="0"/>
                  <wp:wrapNone/>
                  <wp:docPr id="17" name="Picture_9"/>
                  <wp:cNvGraphicFramePr/>
                  <a:graphic xmlns:a="http://schemas.openxmlformats.org/drawingml/2006/main">
                    <a:graphicData uri="http://schemas.openxmlformats.org/drawingml/2006/picture">
                      <pic:pic xmlns:pic="http://schemas.openxmlformats.org/drawingml/2006/picture">
                        <pic:nvPicPr>
                          <pic:cNvPr id="17" name="Picture_9"/>
                          <pic:cNvPicPr/>
                        </pic:nvPicPr>
                        <pic:blipFill>
                          <a:blip r:embed="rId22"/>
                          <a:stretch>
                            <a:fillRect/>
                          </a:stretch>
                        </pic:blipFill>
                        <pic:spPr>
                          <a:xfrm>
                            <a:off x="0" y="0"/>
                            <a:ext cx="965835" cy="161925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7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12</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军用水壶</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尺寸：19.5*12*9</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容量：1L</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重量：360g</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材质：金属铝</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只</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80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27600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59264" behindDoc="0" locked="0" layoutInCell="1" allowOverlap="1">
                  <wp:simplePos x="0" y="0"/>
                  <wp:positionH relativeFrom="column">
                    <wp:posOffset>494030</wp:posOffset>
                  </wp:positionH>
                  <wp:positionV relativeFrom="paragraph">
                    <wp:posOffset>227330</wp:posOffset>
                  </wp:positionV>
                  <wp:extent cx="1324610" cy="1321435"/>
                  <wp:effectExtent l="0" t="0" r="8890" b="12065"/>
                  <wp:wrapNone/>
                  <wp:docPr id="18" name="Picture_10"/>
                  <wp:cNvGraphicFramePr/>
                  <a:graphic xmlns:a="http://schemas.openxmlformats.org/drawingml/2006/main">
                    <a:graphicData uri="http://schemas.openxmlformats.org/drawingml/2006/picture">
                      <pic:pic xmlns:pic="http://schemas.openxmlformats.org/drawingml/2006/picture">
                        <pic:nvPicPr>
                          <pic:cNvPr id="18" name="Picture_10"/>
                          <pic:cNvPicPr/>
                        </pic:nvPicPr>
                        <pic:blipFill>
                          <a:blip r:embed="rId23"/>
                          <a:stretch>
                            <a:fillRect/>
                          </a:stretch>
                        </pic:blipFill>
                        <pic:spPr>
                          <a:xfrm>
                            <a:off x="0" y="0"/>
                            <a:ext cx="1324610" cy="132143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320"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13</w:t>
            </w:r>
          </w:p>
        </w:tc>
        <w:tc>
          <w:tcPr>
            <w:tcW w:w="10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风力灭火器</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排量79.2CC</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功率3.36/4.5</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燃油箱2.1L</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风量28.8m³</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风速100.5m/sec</w:t>
            </w:r>
          </w:p>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b/>
                <w:bCs/>
                <w:szCs w:val="21"/>
              </w:rPr>
              <w:t>★</w:t>
            </w:r>
            <w:r>
              <w:rPr>
                <w:rFonts w:hint="eastAsia" w:ascii="仿宋" w:hAnsi="仿宋" w:eastAsia="仿宋" w:cs="仿宋"/>
                <w:b/>
                <w:bCs/>
                <w:szCs w:val="21"/>
                <w:lang w:eastAsia="zh-CN"/>
              </w:rPr>
              <w:t>竞标供应商</w:t>
            </w:r>
            <w:r>
              <w:rPr>
                <w:rFonts w:hint="eastAsia" w:ascii="仿宋" w:hAnsi="仿宋" w:eastAsia="仿宋" w:cs="仿宋"/>
                <w:b/>
                <w:bCs/>
                <w:szCs w:val="21"/>
              </w:rPr>
              <w:t>或产品制造商提供</w:t>
            </w:r>
            <w:r>
              <w:rPr>
                <w:rFonts w:hint="eastAsia" w:ascii="仿宋" w:hAnsi="仿宋" w:eastAsia="仿宋" w:cs="仿宋"/>
                <w:b/>
                <w:bCs/>
                <w:szCs w:val="21"/>
                <w:lang w:val="en-US" w:eastAsia="zh-CN"/>
              </w:rPr>
              <w:t>市级以上质检中心出具的</w:t>
            </w:r>
            <w:r>
              <w:rPr>
                <w:rFonts w:hint="eastAsia" w:ascii="仿宋" w:hAnsi="仿宋" w:eastAsia="仿宋" w:cs="仿宋"/>
                <w:b/>
                <w:bCs/>
                <w:szCs w:val="21"/>
              </w:rPr>
              <w:t>产品检测报告复印件。</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台</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30</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4980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149400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60288" behindDoc="0" locked="0" layoutInCell="1" allowOverlap="1">
                  <wp:simplePos x="0" y="0"/>
                  <wp:positionH relativeFrom="column">
                    <wp:posOffset>73660</wp:posOffset>
                  </wp:positionH>
                  <wp:positionV relativeFrom="paragraph">
                    <wp:posOffset>138430</wp:posOffset>
                  </wp:positionV>
                  <wp:extent cx="1779905" cy="1280795"/>
                  <wp:effectExtent l="0" t="0" r="10795" b="14605"/>
                  <wp:wrapNone/>
                  <wp:docPr id="20" name="图片_2_SpCnt_1"/>
                  <wp:cNvGraphicFramePr/>
                  <a:graphic xmlns:a="http://schemas.openxmlformats.org/drawingml/2006/main">
                    <a:graphicData uri="http://schemas.openxmlformats.org/drawingml/2006/picture">
                      <pic:pic xmlns:pic="http://schemas.openxmlformats.org/drawingml/2006/picture">
                        <pic:nvPicPr>
                          <pic:cNvPr id="20" name="图片_2_SpCnt_1"/>
                          <pic:cNvPicPr/>
                        </pic:nvPicPr>
                        <pic:blipFill>
                          <a:blip r:embed="rId24"/>
                          <a:stretch>
                            <a:fillRect/>
                          </a:stretch>
                        </pic:blipFill>
                        <pic:spPr>
                          <a:xfrm>
                            <a:off x="0" y="0"/>
                            <a:ext cx="1779905" cy="12807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965" w:hRule="atLeast"/>
        </w:trPr>
        <w:tc>
          <w:tcPr>
            <w:tcW w:w="49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14</w:t>
            </w:r>
          </w:p>
        </w:tc>
        <w:tc>
          <w:tcPr>
            <w:tcW w:w="106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单人防潮垫</w:t>
            </w:r>
          </w:p>
        </w:tc>
        <w:tc>
          <w:tcPr>
            <w:tcW w:w="30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420" w:lineRule="exact"/>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防潮隔凉，多功能使用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可用于野餐作为地席使用</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帐篷内作为地席使用，增加帐篷的舒适度</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产品尺寸可加工</w:t>
            </w:r>
          </w:p>
        </w:tc>
        <w:tc>
          <w:tcPr>
            <w:tcW w:w="41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块</w:t>
            </w:r>
          </w:p>
        </w:tc>
        <w:tc>
          <w:tcPr>
            <w:tcW w:w="509"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2"/>
                <w:szCs w:val="22"/>
                <w:highlight w:val="none"/>
              </w:rPr>
              <w:t>50</w:t>
            </w:r>
          </w:p>
        </w:tc>
        <w:tc>
          <w:tcPr>
            <w:tcW w:w="77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spacing w:line="420" w:lineRule="exact"/>
              <w:jc w:val="center"/>
              <w:textAlignment w:val="center"/>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17250</w:t>
            </w:r>
          </w:p>
        </w:tc>
        <w:tc>
          <w:tcPr>
            <w:tcW w:w="315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bdr w:val="single" w:color="000000" w:sz="4" w:space="0"/>
              </w:rPr>
              <w:drawing>
                <wp:anchor distT="0" distB="0" distL="114300" distR="114300" simplePos="0" relativeHeight="251661312" behindDoc="0" locked="0" layoutInCell="1" allowOverlap="1">
                  <wp:simplePos x="0" y="0"/>
                  <wp:positionH relativeFrom="column">
                    <wp:posOffset>192405</wp:posOffset>
                  </wp:positionH>
                  <wp:positionV relativeFrom="paragraph">
                    <wp:posOffset>145415</wp:posOffset>
                  </wp:positionV>
                  <wp:extent cx="1607820" cy="998220"/>
                  <wp:effectExtent l="0" t="0" r="11430" b="11430"/>
                  <wp:wrapNone/>
                  <wp:docPr id="21" name="Picture_11"/>
                  <wp:cNvGraphicFramePr/>
                  <a:graphic xmlns:a="http://schemas.openxmlformats.org/drawingml/2006/main">
                    <a:graphicData uri="http://schemas.openxmlformats.org/drawingml/2006/picture">
                      <pic:pic xmlns:pic="http://schemas.openxmlformats.org/drawingml/2006/picture">
                        <pic:nvPicPr>
                          <pic:cNvPr id="21" name="Picture_11"/>
                          <pic:cNvPicPr/>
                        </pic:nvPicPr>
                        <pic:blipFill>
                          <a:blip r:embed="rId25"/>
                          <a:stretch>
                            <a:fillRect/>
                          </a:stretch>
                        </pic:blipFill>
                        <pic:spPr>
                          <a:xfrm>
                            <a:off x="0" y="0"/>
                            <a:ext cx="1607820" cy="9982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499" w:hRule="atLeast"/>
        </w:trPr>
        <w:tc>
          <w:tcPr>
            <w:tcW w:w="1564"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rPr>
              <w:t>合计</w:t>
            </w:r>
          </w:p>
        </w:tc>
        <w:tc>
          <w:tcPr>
            <w:tcW w:w="8580" w:type="dxa"/>
            <w:gridSpan w:val="6"/>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捌拾玖万叁仟壹佰玖拾伍元整（￥893195.00）</w:t>
            </w:r>
          </w:p>
        </w:tc>
      </w:tr>
    </w:tbl>
    <w:p>
      <w:pPr>
        <w:spacing w:line="360" w:lineRule="auto"/>
        <w:rPr>
          <w:rFonts w:ascii="仿宋" w:hAnsi="仿宋" w:eastAsia="仿宋" w:cs="仿宋"/>
          <w:color w:val="auto"/>
          <w:spacing w:val="-8"/>
          <w:szCs w:val="21"/>
          <w:highlight w:val="none"/>
        </w:rPr>
      </w:pPr>
      <w:r>
        <w:rPr>
          <w:rFonts w:hint="eastAsia" w:ascii="仿宋" w:hAnsi="仿宋" w:eastAsia="仿宋" w:cs="仿宋"/>
          <w:b/>
          <w:bCs w:val="0"/>
          <w:color w:val="auto"/>
          <w:sz w:val="21"/>
          <w:szCs w:val="21"/>
          <w:highlight w:val="none"/>
          <w:lang w:val="en-US" w:eastAsia="zh-CN"/>
        </w:rPr>
        <w:t>售后服务</w:t>
      </w:r>
      <w:r>
        <w:rPr>
          <w:rFonts w:hint="eastAsia" w:ascii="仿宋" w:hAnsi="仿宋" w:eastAsia="仿宋" w:cs="仿宋"/>
          <w:b/>
          <w:bCs/>
          <w:color w:val="auto"/>
          <w:kern w:val="0"/>
          <w:szCs w:val="21"/>
          <w:highlight w:val="none"/>
        </w:rPr>
        <w:t>及其他要求</w:t>
      </w:r>
    </w:p>
    <w:p>
      <w:pPr>
        <w:numPr>
          <w:ilvl w:val="0"/>
          <w:numId w:val="0"/>
        </w:numPr>
        <w:spacing w:line="360" w:lineRule="auto"/>
        <w:ind w:firstLine="422" w:firstLineChars="200"/>
        <w:outlineLvl w:val="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w:t>
      </w:r>
      <w:r>
        <w:rPr>
          <w:rFonts w:hint="eastAsia" w:ascii="仿宋" w:hAnsi="仿宋" w:eastAsia="仿宋" w:cs="仿宋"/>
          <w:b/>
          <w:bCs/>
          <w:color w:val="auto"/>
          <w:spacing w:val="-8"/>
          <w:szCs w:val="21"/>
          <w:highlight w:val="none"/>
          <w:lang w:val="en-US" w:eastAsia="zh-CN"/>
        </w:rPr>
        <w:t>1.提供</w:t>
      </w:r>
      <w:r>
        <w:rPr>
          <w:rFonts w:hint="eastAsia" w:ascii="仿宋" w:hAnsi="仿宋" w:eastAsia="仿宋" w:cs="仿宋"/>
          <w:b/>
          <w:bCs/>
          <w:color w:val="auto"/>
          <w:sz w:val="21"/>
          <w:szCs w:val="21"/>
          <w:highlight w:val="none"/>
          <w:lang w:val="en-US" w:eastAsia="zh-CN"/>
        </w:rPr>
        <w:t>售后服务方案，并按要求提供以下材料：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b w:val="0"/>
          <w:bCs/>
          <w:color w:val="auto"/>
          <w:sz w:val="21"/>
          <w:szCs w:val="21"/>
          <w:highlight w:val="yellow"/>
          <w:lang w:eastAsia="zh-CN"/>
        </w:rPr>
      </w:pPr>
      <w:r>
        <w:rPr>
          <w:rFonts w:hint="eastAsia" w:ascii="仿宋" w:hAnsi="仿宋" w:eastAsia="仿宋" w:cs="仿宋"/>
          <w:b w:val="0"/>
          <w:bCs/>
          <w:color w:val="auto"/>
          <w:sz w:val="21"/>
          <w:szCs w:val="21"/>
          <w:highlight w:val="yellow"/>
          <w:lang w:val="en-US" w:eastAsia="zh-CN"/>
        </w:rPr>
        <w:t>1.1投入人员不得少于3人</w:t>
      </w:r>
      <w:r>
        <w:rPr>
          <w:rFonts w:hint="eastAsia" w:ascii="仿宋" w:hAnsi="仿宋" w:eastAsia="仿宋" w:cs="仿宋"/>
          <w:b w:val="0"/>
          <w:bCs/>
          <w:color w:val="auto"/>
          <w:sz w:val="21"/>
          <w:szCs w:val="21"/>
          <w:highlight w:val="yellow"/>
        </w:rPr>
        <w:t>，</w:t>
      </w:r>
      <w:r>
        <w:rPr>
          <w:rFonts w:hint="eastAsia" w:ascii="仿宋" w:hAnsi="仿宋" w:eastAsia="仿宋" w:cs="仿宋"/>
          <w:b w:val="0"/>
          <w:bCs/>
          <w:color w:val="auto"/>
          <w:sz w:val="21"/>
          <w:szCs w:val="21"/>
          <w:highlight w:val="yellow"/>
          <w:lang w:val="en-US" w:eastAsia="zh-CN"/>
        </w:rPr>
        <w:t>提供</w:t>
      </w:r>
      <w:r>
        <w:rPr>
          <w:rFonts w:hint="eastAsia" w:ascii="仿宋" w:hAnsi="仿宋" w:eastAsia="仿宋" w:cs="仿宋"/>
          <w:b w:val="0"/>
          <w:bCs/>
          <w:color w:val="auto"/>
          <w:sz w:val="21"/>
          <w:szCs w:val="21"/>
          <w:highlight w:val="yellow"/>
        </w:rPr>
        <w:t>人员名单</w:t>
      </w:r>
      <w:r>
        <w:rPr>
          <w:rFonts w:hint="eastAsia" w:ascii="仿宋" w:hAnsi="仿宋" w:eastAsia="仿宋" w:cs="仿宋"/>
          <w:b w:val="0"/>
          <w:bCs/>
          <w:color w:val="auto"/>
          <w:sz w:val="21"/>
          <w:szCs w:val="21"/>
          <w:highlight w:val="yellow"/>
          <w:lang w:eastAsia="zh-CN"/>
        </w:rPr>
        <w:t>、</w:t>
      </w:r>
      <w:r>
        <w:rPr>
          <w:rFonts w:hint="eastAsia" w:ascii="仿宋" w:hAnsi="仿宋" w:eastAsia="仿宋" w:cs="仿宋"/>
          <w:b w:val="0"/>
          <w:bCs/>
          <w:color w:val="auto"/>
          <w:sz w:val="21"/>
          <w:szCs w:val="21"/>
          <w:highlight w:val="yellow"/>
        </w:rPr>
        <w:t>身份证复印件</w:t>
      </w:r>
      <w:r>
        <w:rPr>
          <w:rFonts w:hint="eastAsia" w:ascii="仿宋" w:hAnsi="仿宋" w:eastAsia="仿宋" w:cs="仿宋"/>
          <w:b w:val="0"/>
          <w:bCs/>
          <w:color w:val="auto"/>
          <w:sz w:val="21"/>
          <w:szCs w:val="21"/>
          <w:highlight w:val="yellow"/>
          <w:lang w:eastAsia="zh-CN"/>
        </w:rPr>
        <w:t>、</w:t>
      </w:r>
      <w:r>
        <w:rPr>
          <w:rFonts w:hint="eastAsia" w:ascii="仿宋" w:hAnsi="仿宋" w:eastAsia="仿宋" w:cs="仿宋"/>
          <w:b w:val="0"/>
          <w:bCs/>
          <w:color w:val="auto"/>
          <w:sz w:val="21"/>
          <w:szCs w:val="21"/>
          <w:highlight w:val="yellow"/>
          <w:lang w:val="en-US" w:eastAsia="zh-CN"/>
        </w:rPr>
        <w:t>劳动合同复印件，明确项目负责人及配送人员</w:t>
      </w:r>
      <w:r>
        <w:rPr>
          <w:rFonts w:hint="eastAsia" w:ascii="仿宋" w:hAnsi="仿宋" w:eastAsia="仿宋" w:cs="仿宋"/>
          <w:b w:val="0"/>
          <w:bCs/>
          <w:color w:val="auto"/>
          <w:sz w:val="21"/>
          <w:szCs w:val="21"/>
          <w:highlight w:val="yellow"/>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spacing w:val="-8"/>
          <w:szCs w:val="21"/>
          <w:highlight w:val="yellow"/>
        </w:rPr>
      </w:pPr>
      <w:r>
        <w:rPr>
          <w:rFonts w:hint="eastAsia" w:ascii="仿宋" w:hAnsi="仿宋" w:eastAsia="仿宋" w:cs="仿宋"/>
          <w:b w:val="0"/>
          <w:bCs/>
          <w:color w:val="auto"/>
          <w:sz w:val="21"/>
          <w:szCs w:val="21"/>
          <w:highlight w:val="yellow"/>
          <w:lang w:val="en-US" w:eastAsia="zh-CN"/>
        </w:rPr>
        <w:t>1.2配送人员需提供驾驶证复印件，提供拟投入项目</w:t>
      </w:r>
      <w:r>
        <w:rPr>
          <w:rFonts w:hint="eastAsia" w:ascii="仿宋" w:hAnsi="仿宋" w:eastAsia="仿宋" w:cs="仿宋"/>
          <w:bCs/>
          <w:color w:val="auto"/>
          <w:highlight w:val="yellow"/>
        </w:rPr>
        <w:t>实施车辆</w:t>
      </w:r>
      <w:r>
        <w:rPr>
          <w:rFonts w:hint="eastAsia" w:ascii="仿宋" w:hAnsi="仿宋" w:eastAsia="仿宋" w:cs="仿宋"/>
          <w:bCs/>
          <w:color w:val="auto"/>
          <w:highlight w:val="yellow"/>
          <w:lang w:val="en-US" w:eastAsia="zh-CN"/>
        </w:rPr>
        <w:t>的</w:t>
      </w:r>
      <w:r>
        <w:rPr>
          <w:rFonts w:hint="eastAsia" w:ascii="仿宋" w:hAnsi="仿宋" w:eastAsia="仿宋" w:cs="仿宋"/>
          <w:bCs/>
          <w:color w:val="auto"/>
          <w:highlight w:val="yellow"/>
        </w:rPr>
        <w:t>彩色照片、行驶证</w:t>
      </w:r>
      <w:r>
        <w:rPr>
          <w:rFonts w:hint="eastAsia" w:ascii="仿宋" w:hAnsi="仿宋" w:eastAsia="仿宋" w:cs="仿宋"/>
          <w:bCs/>
          <w:color w:val="auto"/>
          <w:highlight w:val="yellow"/>
          <w:lang w:val="en-US" w:eastAsia="zh-CN"/>
        </w:rPr>
        <w:t>复印件</w:t>
      </w:r>
      <w:r>
        <w:rPr>
          <w:rFonts w:hint="eastAsia" w:ascii="仿宋" w:hAnsi="仿宋" w:eastAsia="仿宋" w:cs="仿宋"/>
          <w:bCs/>
          <w:color w:val="auto"/>
          <w:highlight w:val="yellow"/>
        </w:rPr>
        <w:t>、有效的交强险保单复印件。</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2.</w:t>
      </w:r>
      <w:r>
        <w:rPr>
          <w:rFonts w:hint="eastAsia" w:ascii="仿宋" w:hAnsi="仿宋" w:eastAsia="仿宋" w:cs="仿宋"/>
          <w:color w:val="auto"/>
          <w:spacing w:val="-8"/>
          <w:szCs w:val="21"/>
          <w:highlight w:val="none"/>
        </w:rPr>
        <w:t>质量保证期：≥1年（产品质保期特别说明除外，按产品实际承诺期质保）。质保期自验收合格之日起计。在质保期内因产品质量而造成设备损坏，其全部费用由成交供应商负责。</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3</w:t>
      </w:r>
      <w:r>
        <w:rPr>
          <w:rFonts w:hint="eastAsia" w:ascii="仿宋" w:hAnsi="仿宋" w:eastAsia="仿宋" w:cs="仿宋"/>
          <w:color w:val="auto"/>
          <w:spacing w:val="-8"/>
          <w:szCs w:val="21"/>
          <w:highlight w:val="none"/>
        </w:rPr>
        <w:t>.按国家有关规定实行产品“三包”。</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4</w:t>
      </w:r>
      <w:r>
        <w:rPr>
          <w:rFonts w:hint="eastAsia" w:ascii="仿宋" w:hAnsi="仿宋" w:eastAsia="仿宋" w:cs="仿宋"/>
          <w:color w:val="auto"/>
          <w:spacing w:val="-8"/>
          <w:szCs w:val="21"/>
          <w:highlight w:val="none"/>
        </w:rPr>
        <w:t>.免费送货上门，免费安装、调试。</w:t>
      </w:r>
    </w:p>
    <w:p>
      <w:pPr>
        <w:pStyle w:val="13"/>
        <w:spacing w:line="360" w:lineRule="auto"/>
        <w:ind w:firstLine="388" w:firstLineChars="200"/>
        <w:rPr>
          <w:rFonts w:ascii="仿宋" w:hAnsi="仿宋" w:eastAsia="仿宋" w:cs="仿宋"/>
          <w:color w:val="auto"/>
          <w:szCs w:val="21"/>
          <w:highlight w:val="none"/>
        </w:rPr>
      </w:pPr>
      <w:r>
        <w:rPr>
          <w:rFonts w:hint="eastAsia" w:ascii="仿宋" w:hAnsi="仿宋" w:eastAsia="仿宋" w:cs="仿宋"/>
          <w:color w:val="auto"/>
          <w:spacing w:val="-8"/>
          <w:szCs w:val="21"/>
          <w:highlight w:val="none"/>
          <w:lang w:val="en-US" w:eastAsia="zh-CN"/>
        </w:rPr>
        <w:t>5</w:t>
      </w:r>
      <w:r>
        <w:rPr>
          <w:rFonts w:hint="eastAsia" w:ascii="仿宋" w:hAnsi="仿宋" w:eastAsia="仿宋" w:cs="仿宋"/>
          <w:color w:val="auto"/>
          <w:spacing w:val="-8"/>
          <w:szCs w:val="21"/>
          <w:highlight w:val="none"/>
        </w:rPr>
        <w:t>.</w:t>
      </w:r>
      <w:r>
        <w:rPr>
          <w:rFonts w:hint="eastAsia" w:ascii="仿宋" w:hAnsi="仿宋" w:eastAsia="仿宋" w:cs="仿宋"/>
          <w:color w:val="auto"/>
          <w:spacing w:val="-8"/>
          <w:szCs w:val="21"/>
          <w:highlight w:val="none"/>
          <w:lang w:eastAsia="zh-CN"/>
        </w:rPr>
        <w:t>竞标供应商</w:t>
      </w:r>
      <w:r>
        <w:rPr>
          <w:rFonts w:hint="eastAsia" w:ascii="仿宋" w:hAnsi="仿宋" w:eastAsia="仿宋" w:cs="仿宋"/>
          <w:color w:val="auto"/>
          <w:spacing w:val="-8"/>
          <w:szCs w:val="21"/>
          <w:highlight w:val="none"/>
        </w:rPr>
        <w:t>可根据自身实力提出更长质保期，定期进行设备免费检修合格。质保期内免费上门服务，不收取任何费用。</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6</w:t>
      </w:r>
      <w:r>
        <w:rPr>
          <w:rFonts w:hint="eastAsia" w:ascii="仿宋" w:hAnsi="仿宋" w:eastAsia="仿宋" w:cs="仿宋"/>
          <w:color w:val="auto"/>
          <w:spacing w:val="-8"/>
          <w:szCs w:val="21"/>
          <w:highlight w:val="none"/>
        </w:rPr>
        <w:t>.服务响应时间：接到故障通知后12小时内响应，24小时内派技术人员到达现场维修，48小时内修复完毕，未能修复的提供相应的替代产品予采购人使用。</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7</w:t>
      </w:r>
      <w:r>
        <w:rPr>
          <w:rFonts w:hint="eastAsia" w:ascii="仿宋" w:hAnsi="仿宋" w:eastAsia="仿宋" w:cs="仿宋"/>
          <w:color w:val="auto"/>
          <w:spacing w:val="-8"/>
          <w:szCs w:val="21"/>
          <w:highlight w:val="none"/>
        </w:rPr>
        <w:t>.质保期内免费上门检查维修、免费更换零部件；定期回访、定期上门保养。质保期后提供维修服务，同时保证长期供应投标设备的备品备件；其它售后服务按厂家承诺执行。</w:t>
      </w:r>
    </w:p>
    <w:p>
      <w:pPr>
        <w:pStyle w:val="13"/>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.交付使用期：</w:t>
      </w:r>
      <w:r>
        <w:rPr>
          <w:rFonts w:hint="eastAsia" w:ascii="仿宋" w:hAnsi="仿宋" w:eastAsia="仿宋" w:cs="仿宋"/>
          <w:bCs/>
          <w:color w:val="auto"/>
          <w:kern w:val="0"/>
          <w:szCs w:val="21"/>
          <w:highlight w:val="none"/>
        </w:rPr>
        <w:t>自合同签订之日起20日历天。</w:t>
      </w:r>
    </w:p>
    <w:p>
      <w:pPr>
        <w:pStyle w:val="13"/>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.交货地点：采购单位指定地点</w:t>
      </w:r>
    </w:p>
    <w:p>
      <w:pPr>
        <w:pStyle w:val="13"/>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付款方式：</w:t>
      </w:r>
      <w:r>
        <w:rPr>
          <w:rFonts w:hint="eastAsia" w:ascii="仿宋" w:hAnsi="仿宋" w:eastAsia="仿宋" w:cs="仿宋"/>
          <w:color w:val="auto"/>
          <w:szCs w:val="21"/>
          <w:highlight w:val="none"/>
        </w:rPr>
        <w:t>全部货物</w:t>
      </w:r>
      <w:r>
        <w:rPr>
          <w:rFonts w:hint="eastAsia" w:ascii="仿宋" w:hAnsi="仿宋" w:eastAsia="仿宋" w:cs="仿宋"/>
          <w:color w:val="auto"/>
          <w:szCs w:val="21"/>
          <w:highlight w:val="none"/>
          <w:lang w:val="en-US" w:eastAsia="zh-CN"/>
        </w:rPr>
        <w:t>经</w:t>
      </w:r>
      <w:r>
        <w:rPr>
          <w:rFonts w:hint="eastAsia" w:ascii="仿宋" w:hAnsi="仿宋" w:eastAsia="仿宋" w:cs="仿宋"/>
          <w:color w:val="auto"/>
          <w:szCs w:val="21"/>
          <w:highlight w:val="none"/>
        </w:rPr>
        <w:t>验收合格后7个工作日内一次性付清。成交供应商需向采购人提供正规增值税发票。</w:t>
      </w:r>
    </w:p>
    <w:p>
      <w:pPr>
        <w:widowControl/>
        <w:spacing w:line="360" w:lineRule="auto"/>
        <w:ind w:firstLine="420" w:firstLineChars="200"/>
        <w:jc w:val="left"/>
        <w:textAlignment w:val="center"/>
        <w:rPr>
          <w:rFonts w:ascii="仿宋" w:hAnsi="仿宋" w:eastAsia="仿宋" w:cs="仿宋"/>
          <w:color w:val="auto"/>
          <w:kern w:val="0"/>
          <w:sz w:val="22"/>
          <w:szCs w:val="22"/>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color w:val="auto"/>
          <w:kern w:val="0"/>
          <w:sz w:val="22"/>
          <w:szCs w:val="22"/>
          <w:highlight w:val="none"/>
        </w:rPr>
        <w:t>签订合同时间：成交通知书发出之日起9日内签订合同。</w:t>
      </w:r>
    </w:p>
    <w:p>
      <w:pPr>
        <w:pStyle w:val="13"/>
        <w:spacing w:line="360" w:lineRule="auto"/>
        <w:ind w:firstLine="440" w:firstLineChars="200"/>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在签订合同前，成交供应商需提供产品检验报告原件，采购人有权到成交供应商进行实地考查，若该供应商达不到采购人要求的数量、质量，采购人有权认为该供应商虚假应标，取消其成交供应商的决定，并追究其法律责任。</w:t>
      </w:r>
    </w:p>
    <w:p>
      <w:pPr>
        <w:pStyle w:val="13"/>
        <w:spacing w:line="360" w:lineRule="auto"/>
        <w:ind w:firstLine="440" w:firstLineChars="200"/>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.交货验收时，如采购单位认为有需要，可委托相关的检验部门对产品进行抽检，抽检不合格的不给予验收，影响采购单位实施进度的将追究相关责任。抽检所产生的费用全部由</w:t>
      </w:r>
      <w:r>
        <w:rPr>
          <w:rFonts w:hint="eastAsia" w:ascii="仿宋" w:hAnsi="仿宋" w:eastAsia="仿宋" w:cs="仿宋"/>
          <w:color w:val="auto"/>
          <w:kern w:val="0"/>
          <w:sz w:val="22"/>
          <w:szCs w:val="22"/>
          <w:highlight w:val="none"/>
          <w:lang w:eastAsia="zh-CN"/>
        </w:rPr>
        <w:t>成交</w:t>
      </w:r>
      <w:r>
        <w:rPr>
          <w:rFonts w:hint="eastAsia" w:ascii="仿宋" w:hAnsi="仿宋" w:eastAsia="仿宋" w:cs="仿宋"/>
          <w:color w:val="auto"/>
          <w:kern w:val="0"/>
          <w:sz w:val="22"/>
          <w:szCs w:val="22"/>
          <w:highlight w:val="none"/>
        </w:rPr>
        <w:t>供应商负责。</w:t>
      </w: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tbl>
      <w:tblPr>
        <w:tblStyle w:val="19"/>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37"/>
        <w:gridCol w:w="4558"/>
        <w:gridCol w:w="846"/>
        <w:gridCol w:w="846"/>
        <w:gridCol w:w="979"/>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850" w:type="dxa"/>
            <w:gridSpan w:val="7"/>
            <w:shd w:val="clear" w:color="auto" w:fill="auto"/>
            <w:noWrap/>
            <w:vAlign w:val="center"/>
          </w:tcPr>
          <w:p>
            <w:pPr>
              <w:jc w:val="center"/>
              <w:rPr>
                <w:rFonts w:ascii="仿宋" w:hAnsi="仿宋" w:eastAsia="仿宋" w:cs="仿宋"/>
                <w:b/>
                <w:bCs/>
                <w:color w:val="auto"/>
                <w:sz w:val="28"/>
                <w:highlight w:val="none"/>
              </w:rPr>
            </w:pPr>
            <w:r>
              <w:rPr>
                <w:rFonts w:hint="eastAsia" w:ascii="仿宋" w:hAnsi="仿宋" w:eastAsia="仿宋" w:cs="仿宋"/>
                <w:b/>
                <w:bCs/>
                <w:color w:val="auto"/>
                <w:sz w:val="28"/>
                <w:highlight w:val="none"/>
              </w:rPr>
              <w:t>B标段采购清单</w:t>
            </w:r>
          </w:p>
          <w:p>
            <w:pPr>
              <w:jc w:val="right"/>
              <w:rPr>
                <w:rFonts w:ascii="仿宋" w:hAnsi="仿宋" w:eastAsia="仿宋" w:cs="仿宋"/>
                <w:color w:val="auto"/>
                <w:sz w:val="24"/>
                <w:highlight w:val="none"/>
              </w:rPr>
            </w:pPr>
            <w:r>
              <w:rPr>
                <w:rFonts w:hint="eastAsia" w:ascii="仿宋" w:hAnsi="仿宋" w:eastAsia="仿宋" w:cs="仿宋"/>
                <w:b/>
                <w:bCs/>
                <w:color w:val="auto"/>
                <w:szCs w:val="21"/>
                <w:highlight w:val="none"/>
              </w:rPr>
              <w:t>人民币：</w:t>
            </w:r>
            <w:r>
              <w:rPr>
                <w:rFonts w:hint="eastAsia" w:ascii="仿宋" w:hAnsi="仿宋" w:eastAsia="仿宋" w:cs="仿宋"/>
                <w:b/>
                <w:bCs/>
                <w:color w:val="auto"/>
                <w:szCs w:val="21"/>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4558" w:type="dxa"/>
            <w:shd w:val="clear" w:color="auto" w:fill="auto"/>
            <w:noWrap/>
            <w:vAlign w:val="center"/>
          </w:tcPr>
          <w:p>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数量</w:t>
            </w:r>
          </w:p>
        </w:tc>
        <w:tc>
          <w:tcPr>
            <w:tcW w:w="846" w:type="dxa"/>
            <w:shd w:val="clear" w:color="auto" w:fill="auto"/>
            <w:noWrap/>
            <w:vAlign w:val="center"/>
          </w:tcPr>
          <w:p>
            <w:pPr>
              <w:widowControl/>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单价</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作训服（帽子、衣服、裤子、皮带、作训靴）</w:t>
            </w:r>
          </w:p>
        </w:tc>
        <w:tc>
          <w:tcPr>
            <w:tcW w:w="4558" w:type="dxa"/>
            <w:shd w:val="clear" w:color="auto" w:fill="auto"/>
            <w:noWrap/>
            <w:vAlign w:val="center"/>
          </w:tcPr>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帽子：</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面料：精梳涤棉混纺格子布，</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成分：65%聚酯纤维，35%棉，允许偏差±3%；</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耐酸汗渍色牢度： 4-5级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耐碱汗渍色牢度： 4-5级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耐水色牢度： 4-5级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耐干摩擦色牢度： 4-5级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耐湿摩擦色牢度： 3级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耐光色牢度＞4级。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可分解致癌芳香胺染料：</w:t>
            </w:r>
            <w:r>
              <w:rPr>
                <w:rFonts w:hint="eastAsia" w:ascii="仿宋" w:hAnsi="仿宋" w:eastAsia="仿宋" w:cs="仿宋"/>
                <w:color w:val="auto"/>
                <w:szCs w:val="21"/>
                <w:highlight w:val="none"/>
              </w:rPr>
              <w:t>符合GB18401-2010B类标准。</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甲醛含量：未检出（检出限20mg/kg）符合GB18401-2010B类标准。</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PH值：符合GB18401-2010B类标准。</w:t>
            </w:r>
          </w:p>
          <w:p>
            <w:pPr>
              <w:widowControl/>
              <w:numPr>
                <w:ilvl w:val="0"/>
                <w:numId w:val="9"/>
              </w:num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里料：95%聚酯纤维，5%棉，允许偏差±3%。</w:t>
            </w:r>
          </w:p>
          <w:p>
            <w:pPr>
              <w:widowControl/>
              <w:numPr>
                <w:ilvl w:val="0"/>
                <w:numId w:val="9"/>
              </w:num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可分解致癌芳香胺染料：符合GB18401-2010B类标准。</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甲醛含量：未检出（检出限20mg/kg）符合GB18401-2010B类标准。</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PH值：符合GB18401-2010B类标准。</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耐酸汗渍色牢度： 4-5级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耐碱汗渍色牢度：≥ 4级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耐水色牢度：≥ 4级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耐干摩擦色牢度：≥ 4级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耐湿摩擦色牢度≥3级</w:t>
            </w:r>
          </w:p>
          <w:p>
            <w:pPr>
              <w:widowControl/>
              <w:numPr>
                <w:ilvl w:val="0"/>
                <w:numId w:val="9"/>
              </w:num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耐光色牢度＞4级。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色差：产品面料的色差不低于4级,帽里的色差不低于4级。</w:t>
            </w:r>
          </w:p>
          <w:p>
            <w:pPr>
              <w:widowControl/>
              <w:numPr>
                <w:ilvl w:val="0"/>
                <w:numId w:val="9"/>
              </w:num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外观要求：各部位无明显油污、拆痕、残疵、毛漏弹力钢条松紧适度,接缝整齐、牢固。各部位缝制平服,线路顺直,无开线、松线和连续跳针。面顶纱向正,无明显歪斜。包边实,帽箍宽窄基本一致。拉圈、捏褶、拔褶、抽褶均匀,纱向直;吃纵部位均匀、合理里、面平服,无岔口: 商标和耐久性标签位置端正、平服;各部位整烫平服、整洁、无烫黄、水渍及亮光。使用粘合衬部位不允许有脱胶、渗胶、起皱、起泡及沾胶。与对称部位,互差不超过0.4cm。</w:t>
            </w:r>
          </w:p>
          <w:p>
            <w:pPr>
              <w:widowControl/>
              <w:spacing w:line="440" w:lineRule="exact"/>
              <w:rPr>
                <w:rFonts w:ascii="仿宋" w:hAnsi="仿宋" w:eastAsia="仿宋" w:cs="仿宋"/>
                <w:b/>
                <w:color w:val="auto"/>
                <w:kern w:val="0"/>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竞标供应商</w:t>
            </w:r>
            <w:r>
              <w:rPr>
                <w:rFonts w:hint="eastAsia" w:ascii="仿宋" w:hAnsi="仿宋" w:eastAsia="仿宋" w:cs="仿宋"/>
                <w:b/>
                <w:bCs/>
                <w:color w:val="auto"/>
                <w:szCs w:val="21"/>
                <w:highlight w:val="none"/>
              </w:rPr>
              <w:t>或产品制造商提供第三方检测机构2019年以来出具的产品检测报告复印件</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原件现场核查</w:t>
            </w:r>
            <w:r>
              <w:rPr>
                <w:rFonts w:hint="eastAsia" w:ascii="仿宋" w:hAnsi="仿宋" w:eastAsia="仿宋" w:cs="仿宋"/>
                <w:b/>
                <w:bCs/>
                <w:color w:val="auto"/>
                <w:szCs w:val="21"/>
                <w:highlight w:val="none"/>
              </w:rPr>
              <w:t>。</w:t>
            </w:r>
          </w:p>
          <w:p>
            <w:pPr>
              <w:widowControl/>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衣服、裤子：</w:t>
            </w:r>
          </w:p>
          <w:p>
            <w:pPr>
              <w:pStyle w:val="2"/>
              <w:spacing w:line="440" w:lineRule="exact"/>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上衣</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面料：精梳涤棉混纺格子布，成分：65%聚酯纤维，35%棉，允许偏差±3%；</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克重:≥200g/</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起毛起球≥4级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耐酸汗渍色牢度≥4级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耐碱汗渍色牢度≥4级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耐干摩擦色牢度≥4级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耐湿摩擦色牢度≥3级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耐水色牢度≥4级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耐皂洗色牢度≥4级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耐光色牢度≥4级。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可分解致癌芳香胺染料：禁用；</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甲醛含量：B类≤75mg/kg；P</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H值：在4.0-8.5区间。</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撕破力经向≥55N,纬向≥55N；</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断裂强力经向≥1200N，纬向≥700N。</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经纬纱向后身，袖子的允许斜程度不大于3%，前身底边不倒翘。色差:领子、驳头、前披肩与大身的色差高于4级。里料的色差不低于3级。其他表面部位的色差不低于4级整烫:各部位熨烫平服、整洁，无烫黄、水渍及亮光。覆粘合衬部位不允许有脱胶、渗胶，起皱，起泡，沾胶。缝制要求:针距密度明暗线（细线）不少于12针/3CM，（粗线）不少于9针/3cm。线中顺直，整齐，牢固，针距均匀，上下线松紧适宜，无跳线断线，起止针处需回针缉牢，锁眼定位准确，大小适宜，针迹美观，整齐，平服。领子平服、不反翘，裤子侧缝顺直，扭曲率不大于2%。</w:t>
            </w:r>
          </w:p>
          <w:p>
            <w:pPr>
              <w:spacing w:line="4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长裤</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面料：精梳涤棉混纺格子布，成分：65%聚酯纤维，35%棉，允许偏差±3%；</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克重:≥200g/</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起毛起球≥4级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耐酸汗渍色牢度≥4级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耐碱汗渍色牢度≥4级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耐干摩擦色牢度≥4级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耐湿摩擦色牢度≥3级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耐水色牢度≥4级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耐皂洗色牢度≥4级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耐光色牢度≥4级。</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可分解致癌芳香胺染料：禁用；</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甲醛含量：B类≤75mg/kg；P</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H值：在4.0-8.5区间。</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撕破力经向≥55N,纬向≥55N；</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断裂强力经向≥1200N，纬向≥700N。</w:t>
            </w:r>
          </w:p>
          <w:p>
            <w:pPr>
              <w:pStyle w:val="2"/>
              <w:numPr>
                <w:ilvl w:val="0"/>
                <w:numId w:val="10"/>
              </w:numPr>
              <w:spacing w:line="440" w:lineRule="exact"/>
              <w:ind w:left="0" w:firstLine="0"/>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色差：表面部位的色差不低于4级；整烫:各部位熨烫平服、整洁，无烫黄、水渍及亮光。覆粘合衬部位不允许有脱胶、渗胶，起皱，起泡，沾胶；缝制要求:针距密度明暗线（细线）不少于12针/3CM，（粗线）不少于9针/3cm。线中顺直，整齐，牢固，针距均匀，上下线松紧适宜，无跳线断线，起止针处需回针缉牢，锁眼定位准确，大小适宜，针迹美观，整齐，平服。裤子侧缝顺直，扭曲率不大于2%。</w:t>
            </w:r>
          </w:p>
          <w:p>
            <w:pPr>
              <w:widowControl/>
              <w:spacing w:line="440" w:lineRule="exact"/>
              <w:rPr>
                <w:rFonts w:ascii="仿宋" w:hAnsi="仿宋" w:eastAsia="仿宋" w:cs="仿宋"/>
                <w:b/>
                <w:color w:val="auto"/>
                <w:kern w:val="0"/>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竞标供应商</w:t>
            </w:r>
            <w:r>
              <w:rPr>
                <w:rFonts w:hint="eastAsia" w:ascii="仿宋" w:hAnsi="仿宋" w:eastAsia="仿宋" w:cs="仿宋"/>
                <w:b/>
                <w:bCs/>
                <w:color w:val="auto"/>
                <w:szCs w:val="21"/>
                <w:highlight w:val="none"/>
              </w:rPr>
              <w:t>或产品制造商提供第三方检测机构2019年以来出具的产品检测报告复印件</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原件现场核查</w:t>
            </w:r>
            <w:r>
              <w:rPr>
                <w:rFonts w:hint="eastAsia" w:ascii="仿宋" w:hAnsi="仿宋" w:eastAsia="仿宋" w:cs="仿宋"/>
                <w:b/>
                <w:bCs/>
                <w:color w:val="auto"/>
                <w:szCs w:val="21"/>
                <w:highlight w:val="none"/>
              </w:rPr>
              <w:t>。</w:t>
            </w:r>
          </w:p>
          <w:p>
            <w:pPr>
              <w:pStyle w:val="2"/>
              <w:spacing w:line="440" w:lineRule="exact"/>
              <w:rPr>
                <w:rFonts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皮带：</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真皮</w:t>
            </w:r>
          </w:p>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作训靴：</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头层牛皮、军工纯棉帆布</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350</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885</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309750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阻火服（头盔、手套、衣服、裤子、腰带、迷彩靴）</w:t>
            </w:r>
          </w:p>
        </w:tc>
        <w:tc>
          <w:tcPr>
            <w:tcW w:w="4558" w:type="dxa"/>
            <w:shd w:val="clear" w:color="auto" w:fill="auto"/>
            <w:noWrap/>
            <w:vAlign w:val="center"/>
          </w:tcPr>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头盔：</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重量0.8kg</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基本配置：头盔，外置面罩，阻燃披肩。</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功能：续燃时间不超过5秒</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功能说明：轻便，抗冲击性好，防火星，醒目森林防火标志。</w:t>
            </w:r>
          </w:p>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手套：</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材质:外层采用具有阻燃、耐酸碱、抗油、防静电等性能的高强力面料防水层:采用具有防水透气功能的面料。</w:t>
            </w:r>
          </w:p>
          <w:p>
            <w:pPr>
              <w:spacing w:line="440" w:lineRule="exact"/>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1.衣服、裤子：阻燃服执行G8965.1-2009 B级以上(含B级)标准。</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2.经向:续燃时间&lt;2S.阴燃时间&lt;2S、损毁长度&lt;100mm ; 纬向:续燃时间s2S阴燃时间s2S、损毁长度≤100mm。                            3.材质:纯棉20支纱卡阻然处理。颜色:桔红。</w:t>
            </w:r>
          </w:p>
          <w:p>
            <w:pPr>
              <w:spacing w:line="440" w:lineRule="exact"/>
              <w:jc w:val="left"/>
              <w:rPr>
                <w:rFonts w:ascii="仿宋" w:hAnsi="仿宋" w:eastAsia="仿宋" w:cs="仿宋"/>
                <w:b/>
                <w:color w:val="auto"/>
                <w:szCs w:val="21"/>
                <w:highlight w:val="none"/>
              </w:rPr>
            </w:pPr>
            <w:r>
              <w:rPr>
                <w:rFonts w:hint="eastAsia" w:ascii="仿宋" w:hAnsi="仿宋" w:eastAsia="仿宋" w:cs="仿宋"/>
                <w:color w:val="auto"/>
                <w:szCs w:val="21"/>
                <w:highlight w:val="none"/>
              </w:rPr>
              <w:t xml:space="preserve">4.款式:衣领可立，裤腰两侧采用松紧式设计，使扑火员穿着方便防尘设计，裤脚采用本布调节袢、袖口采用松紧设计，具有防虫防火性、行走方便等特点;衣裤间有足够的重叠，臀部双层布料，增强耐磨度。肘部、膝盖部活褶设计，满足队员在作业时大幅度活动量。所有缝线均全双线明线缝制，包裆及肘部均加固缝制。前胸、后背、手臂、腿部有醒目的双色反光带，后背印有“森林消防”字样。臂章:绣有“森林消防”字样。                              </w:t>
            </w:r>
          </w:p>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腰带：</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织带材质为锦纶织带、金属部件、耐腐蚀</w:t>
            </w:r>
          </w:p>
          <w:p>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迷彩靴：</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1、采用优质纯棉迷彩帆布制作，底部由防刺层和隔热层组成，</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2、扑火靴上部有收紧设计，有效防止火星和灰尘进入，靴底前后部模铸对称防滑网，</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3、采用优质橡胶鞋底，靴底部夹65#钢板，弯曲100度不变形，防火防水性能好，</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4、脚趾部位有钢包头，每平方米可承受&gt;300牛顿，弯折角度可超过150度，</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5、高腰、沙滩迷彩色设计，具有防尘，防滑，防砸，防扎，防水，防割特性。</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材质为头层黄牛皮，靴高约23厘米，跟厚约3.5厘米，靴筒使用优质阻燃帆布，脚踝处有阻燃加强筋保护脚踝。鞋舌与靴腰为联体式，防沙、防水。橡胶大底，结实耐磨，靴底花纹能够在泥泞地带和坚固地面起到很好的防滑作用。鞋底内藏特种纤维板，防刺穿性能非常好,又能增加鞋底弹性。每双鞋里附有一双高性能缓冲减震鞋垫，有效保护足部安全</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50</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救生衣（配呼救器）</w:t>
            </w:r>
          </w:p>
        </w:tc>
        <w:tc>
          <w:tcPr>
            <w:tcW w:w="4558" w:type="dxa"/>
            <w:shd w:val="clear" w:color="auto" w:fill="auto"/>
            <w:noWrap/>
            <w:vAlign w:val="center"/>
          </w:tcPr>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救生衣：</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适用范围:该救生衣适用于抗洪抢险、舰艇人员作业的安全防护。外观颜色:救生衣主色为橙色，鲜明易见，门]襟使用拉链形式，中间二条紧固带,下摆两条胯带腿部胯带采用捆绑式样。外观样式:背心式,身长≥66- 67厘米,后背宽度≥63厘米。下摆内侧有4个排水、排气孔,以增加渗水效果。胸部，胯部各有二道锁紧卡扣，卡扣松紧可调节,方便穿着。浮态:穿着者在水中可保持竖直或后倾状态，使头部露出水面,并没有将穿着者面部浸入水中的倾向。穿着:救生衣穿着舒适，行动方便，可以在20秒内正确穿着完毕。</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呼救器：</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1、发光强度高达1.46×105cd/m2;</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2、方位灯可视距离:夜空下≥1500m;</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3、方位灯频闪频率≥1次/S;</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4、侧下角声腔设计，不易遮盖;</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5、强报警声大于98dB，适应复杂环境下使用</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6、整体防爆结构设计，防水密封性能好;</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7、黄光欠压警示，提醒及时更换电池;</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8、磁控压条分体电源开关，便于编号、携带;</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9、外壳抗震、耐高温、透光性好;</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10、红色闪光明亮耀眼，高度透明壳体，透雾性好，兼做方</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位灯使用，可视距离大于1500m。</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1000</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235</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雨衣</w:t>
            </w:r>
          </w:p>
        </w:tc>
        <w:tc>
          <w:tcPr>
            <w:tcW w:w="4558" w:type="dxa"/>
            <w:shd w:val="clear" w:color="auto" w:fill="auto"/>
            <w:noWrap/>
            <w:vAlign w:val="center"/>
          </w:tcPr>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雨衣面料透气率 mm/s（根据 GB/T 5453-1997 压降：100 Pa 试验面积：20cm²），测试结果0.145±0.02符合FZ/T14023-2012</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雨衣面料静水压 kPa (根据GB/T 4744-1997 增压法：6.0kPa/min 水温：20.0℃ 正面向下接触水面)，检测结果平均值 ＞150符合FZ/T14023-2012</w:t>
            </w:r>
          </w:p>
          <w:p>
            <w:pPr>
              <w:widowControl/>
              <w:spacing w:line="440" w:lineRule="exact"/>
              <w:rPr>
                <w:rFonts w:ascii="仿宋" w:hAnsi="仿宋" w:eastAsia="仿宋" w:cs="仿宋"/>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竞标供应商</w:t>
            </w:r>
            <w:r>
              <w:rPr>
                <w:rFonts w:hint="eastAsia" w:ascii="仿宋" w:hAnsi="仿宋" w:eastAsia="仿宋" w:cs="仿宋"/>
                <w:b/>
                <w:bCs/>
                <w:color w:val="auto"/>
                <w:szCs w:val="21"/>
                <w:highlight w:val="none"/>
              </w:rPr>
              <w:t>或产品制造商提供第三方检测机构2019年以来出具的产品检测报告复印件</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原件现场核查</w:t>
            </w:r>
            <w:r>
              <w:rPr>
                <w:rFonts w:hint="eastAsia" w:ascii="仿宋" w:hAnsi="仿宋" w:eastAsia="仿宋" w:cs="仿宋"/>
                <w:b/>
                <w:bCs/>
                <w:color w:val="auto"/>
                <w:szCs w:val="21"/>
                <w:highlight w:val="none"/>
              </w:rPr>
              <w:t>。</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170</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58650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反光背心</w:t>
            </w:r>
          </w:p>
        </w:tc>
        <w:tc>
          <w:tcPr>
            <w:tcW w:w="4558" w:type="dxa"/>
            <w:shd w:val="clear" w:color="auto" w:fill="auto"/>
            <w:noWrap/>
            <w:vAlign w:val="center"/>
          </w:tcPr>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1.颜色：荧光黄色</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2.纤维含量（网布部位）：100%</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3.平方米干燥重量：125g/m</w:t>
            </w:r>
            <w:r>
              <w:rPr>
                <w:rFonts w:hint="eastAsia" w:ascii="仿宋" w:hAnsi="仿宋" w:eastAsia="仿宋" w:cs="仿宋"/>
                <w:color w:val="auto"/>
                <w:kern w:val="0"/>
                <w:szCs w:val="21"/>
                <w:highlight w:val="none"/>
                <w:vertAlign w:val="superscript"/>
              </w:rPr>
              <w:t>2</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4.断裂强力（N)：直向:470 横向:270</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5.耐摩擦色牢度（级）：干摩4-5；湿摩4-5</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6.耐酸汗渍色牢度（级）：变色4-5；沾色4-5</w:t>
            </w:r>
          </w:p>
          <w:p>
            <w:pPr>
              <w:spacing w:line="4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7.耐碱汗渍色牢度（级）：变色4-5；沾色4-5</w:t>
            </w:r>
          </w:p>
          <w:p>
            <w:pPr>
              <w:widowControl/>
              <w:spacing w:line="440" w:lineRule="exact"/>
              <w:rPr>
                <w:rFonts w:ascii="仿宋" w:hAnsi="仿宋" w:eastAsia="仿宋" w:cs="仿宋"/>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竞标供应商</w:t>
            </w:r>
            <w:r>
              <w:rPr>
                <w:rFonts w:hint="eastAsia" w:ascii="仿宋" w:hAnsi="仿宋" w:eastAsia="仿宋" w:cs="仿宋"/>
                <w:b/>
                <w:bCs/>
                <w:color w:val="auto"/>
                <w:szCs w:val="21"/>
                <w:highlight w:val="none"/>
              </w:rPr>
              <w:t>或产品制造商提供第三方检测机构2019年以来出具的产品检测报告复印件</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原件现场核查</w:t>
            </w:r>
            <w:r>
              <w:rPr>
                <w:rFonts w:hint="eastAsia" w:ascii="仿宋" w:hAnsi="仿宋" w:eastAsia="仿宋" w:cs="仿宋"/>
                <w:b/>
                <w:bCs/>
                <w:color w:val="auto"/>
                <w:szCs w:val="21"/>
                <w:highlight w:val="none"/>
              </w:rPr>
              <w:t>。</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件</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39</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雨靴</w:t>
            </w:r>
          </w:p>
        </w:tc>
        <w:tc>
          <w:tcPr>
            <w:tcW w:w="4558" w:type="dxa"/>
            <w:shd w:val="clear" w:color="auto" w:fill="auto"/>
            <w:noWrap/>
            <w:vAlign w:val="center"/>
          </w:tcPr>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靴面无气泡冒出。</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前掌着力部位最厚处厚度10.0mm±0.8mm、底板厚度4.2mm±0.5mm、后跟着力部位厚度20.4mm±0.7mm、靴（鞋）面厚度1.3mm±0.2mm</w:t>
            </w:r>
          </w:p>
          <w:p>
            <w:pPr>
              <w:widowControl/>
              <w:spacing w:line="440" w:lineRule="exact"/>
              <w:rPr>
                <w:rFonts w:ascii="仿宋" w:hAnsi="仿宋" w:eastAsia="仿宋" w:cs="仿宋"/>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竞标供应商</w:t>
            </w:r>
            <w:r>
              <w:rPr>
                <w:rFonts w:hint="eastAsia" w:ascii="仿宋" w:hAnsi="仿宋" w:eastAsia="仿宋" w:cs="仿宋"/>
                <w:b/>
                <w:bCs/>
                <w:color w:val="auto"/>
                <w:szCs w:val="21"/>
                <w:highlight w:val="none"/>
              </w:rPr>
              <w:t>或产品制造商提供第三方检测机构2019年以来出具的产品检测报告复印件</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原件现场核查</w:t>
            </w:r>
            <w:r>
              <w:rPr>
                <w:rFonts w:hint="eastAsia" w:ascii="仿宋" w:hAnsi="仿宋" w:eastAsia="仿宋" w:cs="仿宋"/>
                <w:b/>
                <w:bCs/>
                <w:color w:val="auto"/>
                <w:szCs w:val="21"/>
                <w:highlight w:val="none"/>
              </w:rPr>
              <w:t>。</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双</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345</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69</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23805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1"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37" w:type="dxa"/>
            <w:shd w:val="clear" w:color="auto" w:fill="auto"/>
            <w:noWrap/>
            <w:vAlign w:val="center"/>
          </w:tcPr>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队旗</w:t>
            </w:r>
          </w:p>
        </w:tc>
        <w:tc>
          <w:tcPr>
            <w:tcW w:w="4558" w:type="dxa"/>
            <w:shd w:val="clear" w:color="auto" w:fill="auto"/>
            <w:noWrap/>
            <w:vAlign w:val="center"/>
          </w:tcPr>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1、面料：春亚纺</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2、规格：4号</w:t>
            </w:r>
          </w:p>
          <w:p>
            <w:pPr>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3、配3米旗杆（可伸缩，伸缩范围1.1m-3m）</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套</w:t>
            </w:r>
          </w:p>
        </w:tc>
        <w:tc>
          <w:tcPr>
            <w:tcW w:w="846"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106</w:t>
            </w:r>
          </w:p>
        </w:tc>
        <w:tc>
          <w:tcPr>
            <w:tcW w:w="979"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139</w:t>
            </w:r>
          </w:p>
        </w:tc>
        <w:tc>
          <w:tcPr>
            <w:tcW w:w="893" w:type="dxa"/>
            <w:shd w:val="clear" w:color="auto" w:fill="auto"/>
            <w:noWrap/>
            <w:vAlign w:val="center"/>
          </w:tcPr>
          <w:p>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14734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28" w:type="dxa"/>
            <w:gridSpan w:val="2"/>
            <w:shd w:val="clear" w:color="auto" w:fill="auto"/>
            <w:noWrap/>
            <w:vAlign w:val="center"/>
          </w:tcPr>
          <w:p>
            <w:pPr>
              <w:spacing w:line="4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合计</w:t>
            </w:r>
          </w:p>
        </w:tc>
        <w:tc>
          <w:tcPr>
            <w:tcW w:w="8122" w:type="dxa"/>
            <w:gridSpan w:val="5"/>
            <w:shd w:val="clear" w:color="auto" w:fill="auto"/>
            <w:noWrap/>
            <w:vAlign w:val="center"/>
          </w:tcPr>
          <w:p>
            <w:pPr>
              <w:spacing w:line="4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柒拾万零伍仟叁佰玖拾肆元整（￥705394.00）</w:t>
            </w:r>
          </w:p>
        </w:tc>
      </w:tr>
    </w:tbl>
    <w:p>
      <w:pPr>
        <w:spacing w:line="360" w:lineRule="auto"/>
        <w:rPr>
          <w:rFonts w:ascii="仿宋" w:hAnsi="仿宋" w:eastAsia="仿宋" w:cs="仿宋"/>
          <w:color w:val="auto"/>
          <w:spacing w:val="-8"/>
          <w:szCs w:val="21"/>
          <w:highlight w:val="none"/>
        </w:rPr>
      </w:pPr>
      <w:r>
        <w:rPr>
          <w:rFonts w:hint="eastAsia" w:ascii="仿宋" w:hAnsi="仿宋" w:eastAsia="仿宋" w:cs="仿宋"/>
          <w:b/>
          <w:bCs w:val="0"/>
          <w:color w:val="auto"/>
          <w:sz w:val="21"/>
          <w:szCs w:val="21"/>
          <w:highlight w:val="none"/>
          <w:lang w:val="en-US" w:eastAsia="zh-CN"/>
        </w:rPr>
        <w:t>售后服务</w:t>
      </w:r>
      <w:r>
        <w:rPr>
          <w:rFonts w:hint="eastAsia" w:ascii="仿宋" w:hAnsi="仿宋" w:eastAsia="仿宋" w:cs="仿宋"/>
          <w:b/>
          <w:bCs/>
          <w:color w:val="auto"/>
          <w:kern w:val="0"/>
          <w:szCs w:val="21"/>
          <w:highlight w:val="none"/>
        </w:rPr>
        <w:t>及其他要求</w:t>
      </w:r>
    </w:p>
    <w:p>
      <w:pPr>
        <w:numPr>
          <w:ilvl w:val="0"/>
          <w:numId w:val="0"/>
        </w:numPr>
        <w:spacing w:line="360" w:lineRule="auto"/>
        <w:ind w:firstLine="422" w:firstLineChars="200"/>
        <w:outlineLvl w:val="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w:t>
      </w:r>
      <w:r>
        <w:rPr>
          <w:rFonts w:hint="eastAsia" w:ascii="仿宋" w:hAnsi="仿宋" w:eastAsia="仿宋" w:cs="仿宋"/>
          <w:b/>
          <w:bCs/>
          <w:color w:val="auto"/>
          <w:spacing w:val="-8"/>
          <w:szCs w:val="21"/>
          <w:highlight w:val="none"/>
          <w:lang w:val="en-US" w:eastAsia="zh-CN"/>
        </w:rPr>
        <w:t>1.提供</w:t>
      </w:r>
      <w:r>
        <w:rPr>
          <w:rFonts w:hint="eastAsia" w:ascii="仿宋" w:hAnsi="仿宋" w:eastAsia="仿宋" w:cs="仿宋"/>
          <w:b/>
          <w:bCs/>
          <w:color w:val="auto"/>
          <w:sz w:val="21"/>
          <w:szCs w:val="21"/>
          <w:highlight w:val="none"/>
          <w:lang w:val="en-US" w:eastAsia="zh-CN"/>
        </w:rPr>
        <w:t>售后服务方案，并按要求提供以下材料：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b w:val="0"/>
          <w:bCs/>
          <w:color w:val="auto"/>
          <w:sz w:val="21"/>
          <w:szCs w:val="21"/>
          <w:highlight w:val="yellow"/>
          <w:lang w:eastAsia="zh-CN"/>
        </w:rPr>
      </w:pPr>
      <w:r>
        <w:rPr>
          <w:rFonts w:hint="eastAsia" w:ascii="仿宋" w:hAnsi="仿宋" w:eastAsia="仿宋" w:cs="仿宋"/>
          <w:b w:val="0"/>
          <w:bCs/>
          <w:color w:val="auto"/>
          <w:sz w:val="21"/>
          <w:szCs w:val="21"/>
          <w:highlight w:val="yellow"/>
          <w:lang w:val="en-US" w:eastAsia="zh-CN"/>
        </w:rPr>
        <w:t>1.1投入人员不得少于3人</w:t>
      </w:r>
      <w:r>
        <w:rPr>
          <w:rFonts w:hint="eastAsia" w:ascii="仿宋" w:hAnsi="仿宋" w:eastAsia="仿宋" w:cs="仿宋"/>
          <w:b w:val="0"/>
          <w:bCs/>
          <w:color w:val="auto"/>
          <w:sz w:val="21"/>
          <w:szCs w:val="21"/>
          <w:highlight w:val="yellow"/>
        </w:rPr>
        <w:t>，</w:t>
      </w:r>
      <w:r>
        <w:rPr>
          <w:rFonts w:hint="eastAsia" w:ascii="仿宋" w:hAnsi="仿宋" w:eastAsia="仿宋" w:cs="仿宋"/>
          <w:b w:val="0"/>
          <w:bCs/>
          <w:color w:val="auto"/>
          <w:sz w:val="21"/>
          <w:szCs w:val="21"/>
          <w:highlight w:val="yellow"/>
          <w:lang w:val="en-US" w:eastAsia="zh-CN"/>
        </w:rPr>
        <w:t>提供</w:t>
      </w:r>
      <w:r>
        <w:rPr>
          <w:rFonts w:hint="eastAsia" w:ascii="仿宋" w:hAnsi="仿宋" w:eastAsia="仿宋" w:cs="仿宋"/>
          <w:b w:val="0"/>
          <w:bCs/>
          <w:color w:val="auto"/>
          <w:sz w:val="21"/>
          <w:szCs w:val="21"/>
          <w:highlight w:val="yellow"/>
        </w:rPr>
        <w:t>人员名单</w:t>
      </w:r>
      <w:r>
        <w:rPr>
          <w:rFonts w:hint="eastAsia" w:ascii="仿宋" w:hAnsi="仿宋" w:eastAsia="仿宋" w:cs="仿宋"/>
          <w:b w:val="0"/>
          <w:bCs/>
          <w:color w:val="auto"/>
          <w:sz w:val="21"/>
          <w:szCs w:val="21"/>
          <w:highlight w:val="yellow"/>
          <w:lang w:eastAsia="zh-CN"/>
        </w:rPr>
        <w:t>、</w:t>
      </w:r>
      <w:r>
        <w:rPr>
          <w:rFonts w:hint="eastAsia" w:ascii="仿宋" w:hAnsi="仿宋" w:eastAsia="仿宋" w:cs="仿宋"/>
          <w:b w:val="0"/>
          <w:bCs/>
          <w:color w:val="auto"/>
          <w:sz w:val="21"/>
          <w:szCs w:val="21"/>
          <w:highlight w:val="yellow"/>
        </w:rPr>
        <w:t>身份证复印件</w:t>
      </w:r>
      <w:r>
        <w:rPr>
          <w:rFonts w:hint="eastAsia" w:ascii="仿宋" w:hAnsi="仿宋" w:eastAsia="仿宋" w:cs="仿宋"/>
          <w:b w:val="0"/>
          <w:bCs/>
          <w:color w:val="auto"/>
          <w:sz w:val="21"/>
          <w:szCs w:val="21"/>
          <w:highlight w:val="yellow"/>
          <w:lang w:eastAsia="zh-CN"/>
        </w:rPr>
        <w:t>、</w:t>
      </w:r>
      <w:r>
        <w:rPr>
          <w:rFonts w:hint="eastAsia" w:ascii="仿宋" w:hAnsi="仿宋" w:eastAsia="仿宋" w:cs="仿宋"/>
          <w:b w:val="0"/>
          <w:bCs/>
          <w:color w:val="auto"/>
          <w:sz w:val="21"/>
          <w:szCs w:val="21"/>
          <w:highlight w:val="yellow"/>
          <w:lang w:val="en-US" w:eastAsia="zh-CN"/>
        </w:rPr>
        <w:t>劳动合同复印件，明确项目负责人及配送人员</w:t>
      </w:r>
      <w:r>
        <w:rPr>
          <w:rFonts w:hint="eastAsia" w:ascii="仿宋" w:hAnsi="仿宋" w:eastAsia="仿宋" w:cs="仿宋"/>
          <w:b w:val="0"/>
          <w:bCs/>
          <w:color w:val="auto"/>
          <w:sz w:val="21"/>
          <w:szCs w:val="21"/>
          <w:highlight w:val="yellow"/>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spacing w:val="-8"/>
          <w:szCs w:val="21"/>
          <w:highlight w:val="yellow"/>
        </w:rPr>
      </w:pPr>
      <w:r>
        <w:rPr>
          <w:rFonts w:hint="eastAsia" w:ascii="仿宋" w:hAnsi="仿宋" w:eastAsia="仿宋" w:cs="仿宋"/>
          <w:b w:val="0"/>
          <w:bCs/>
          <w:color w:val="auto"/>
          <w:sz w:val="21"/>
          <w:szCs w:val="21"/>
          <w:highlight w:val="yellow"/>
          <w:lang w:val="en-US" w:eastAsia="zh-CN"/>
        </w:rPr>
        <w:t>1.2配送人员需提供驾驶证复印件，提供拟投入项目</w:t>
      </w:r>
      <w:r>
        <w:rPr>
          <w:rFonts w:hint="eastAsia" w:ascii="仿宋" w:hAnsi="仿宋" w:eastAsia="仿宋" w:cs="仿宋"/>
          <w:bCs/>
          <w:color w:val="auto"/>
          <w:highlight w:val="yellow"/>
        </w:rPr>
        <w:t>实施车辆</w:t>
      </w:r>
      <w:r>
        <w:rPr>
          <w:rFonts w:hint="eastAsia" w:ascii="仿宋" w:hAnsi="仿宋" w:eastAsia="仿宋" w:cs="仿宋"/>
          <w:bCs/>
          <w:color w:val="auto"/>
          <w:highlight w:val="yellow"/>
          <w:lang w:val="en-US" w:eastAsia="zh-CN"/>
        </w:rPr>
        <w:t>的</w:t>
      </w:r>
      <w:r>
        <w:rPr>
          <w:rFonts w:hint="eastAsia" w:ascii="仿宋" w:hAnsi="仿宋" w:eastAsia="仿宋" w:cs="仿宋"/>
          <w:bCs/>
          <w:color w:val="auto"/>
          <w:highlight w:val="yellow"/>
        </w:rPr>
        <w:t>彩色照片、行驶证</w:t>
      </w:r>
      <w:r>
        <w:rPr>
          <w:rFonts w:hint="eastAsia" w:ascii="仿宋" w:hAnsi="仿宋" w:eastAsia="仿宋" w:cs="仿宋"/>
          <w:bCs/>
          <w:color w:val="auto"/>
          <w:highlight w:val="yellow"/>
          <w:lang w:val="en-US" w:eastAsia="zh-CN"/>
        </w:rPr>
        <w:t>复印件</w:t>
      </w:r>
      <w:r>
        <w:rPr>
          <w:rFonts w:hint="eastAsia" w:ascii="仿宋" w:hAnsi="仿宋" w:eastAsia="仿宋" w:cs="仿宋"/>
          <w:bCs/>
          <w:color w:val="auto"/>
          <w:highlight w:val="yellow"/>
        </w:rPr>
        <w:t>、有效的交强险保单复印件。</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2.</w:t>
      </w:r>
      <w:r>
        <w:rPr>
          <w:rFonts w:hint="eastAsia" w:ascii="仿宋" w:hAnsi="仿宋" w:eastAsia="仿宋" w:cs="仿宋"/>
          <w:color w:val="auto"/>
          <w:spacing w:val="-8"/>
          <w:szCs w:val="21"/>
          <w:highlight w:val="none"/>
        </w:rPr>
        <w:t>质量保证期：≥1年（产品质保期特别说明除外，按产品实际承诺期质保）。质保期自验收合格之日起计。在质保期内因产品质量而造成设备损坏，其全部费用由成交供应商负责。</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3</w:t>
      </w:r>
      <w:r>
        <w:rPr>
          <w:rFonts w:hint="eastAsia" w:ascii="仿宋" w:hAnsi="仿宋" w:eastAsia="仿宋" w:cs="仿宋"/>
          <w:color w:val="auto"/>
          <w:spacing w:val="-8"/>
          <w:szCs w:val="21"/>
          <w:highlight w:val="none"/>
        </w:rPr>
        <w:t>.按国家有关规定实行产品“三包”。</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4</w:t>
      </w:r>
      <w:r>
        <w:rPr>
          <w:rFonts w:hint="eastAsia" w:ascii="仿宋" w:hAnsi="仿宋" w:eastAsia="仿宋" w:cs="仿宋"/>
          <w:color w:val="auto"/>
          <w:spacing w:val="-8"/>
          <w:szCs w:val="21"/>
          <w:highlight w:val="none"/>
        </w:rPr>
        <w:t>.免费送货上门，免费安装、调试。</w:t>
      </w:r>
    </w:p>
    <w:p>
      <w:pPr>
        <w:pStyle w:val="13"/>
        <w:spacing w:line="360" w:lineRule="auto"/>
        <w:ind w:firstLine="388" w:firstLineChars="200"/>
        <w:rPr>
          <w:rFonts w:ascii="仿宋" w:hAnsi="仿宋" w:eastAsia="仿宋" w:cs="仿宋"/>
          <w:color w:val="auto"/>
          <w:szCs w:val="21"/>
          <w:highlight w:val="none"/>
        </w:rPr>
      </w:pPr>
      <w:r>
        <w:rPr>
          <w:rFonts w:hint="eastAsia" w:ascii="仿宋" w:hAnsi="仿宋" w:eastAsia="仿宋" w:cs="仿宋"/>
          <w:color w:val="auto"/>
          <w:spacing w:val="-8"/>
          <w:szCs w:val="21"/>
          <w:highlight w:val="none"/>
          <w:lang w:val="en-US" w:eastAsia="zh-CN"/>
        </w:rPr>
        <w:t>5</w:t>
      </w:r>
      <w:r>
        <w:rPr>
          <w:rFonts w:hint="eastAsia" w:ascii="仿宋" w:hAnsi="仿宋" w:eastAsia="仿宋" w:cs="仿宋"/>
          <w:color w:val="auto"/>
          <w:spacing w:val="-8"/>
          <w:szCs w:val="21"/>
          <w:highlight w:val="none"/>
        </w:rPr>
        <w:t>.</w:t>
      </w:r>
      <w:r>
        <w:rPr>
          <w:rFonts w:hint="eastAsia" w:ascii="仿宋" w:hAnsi="仿宋" w:eastAsia="仿宋" w:cs="仿宋"/>
          <w:color w:val="auto"/>
          <w:spacing w:val="-8"/>
          <w:szCs w:val="21"/>
          <w:highlight w:val="none"/>
          <w:lang w:eastAsia="zh-CN"/>
        </w:rPr>
        <w:t>竞标供应商</w:t>
      </w:r>
      <w:r>
        <w:rPr>
          <w:rFonts w:hint="eastAsia" w:ascii="仿宋" w:hAnsi="仿宋" w:eastAsia="仿宋" w:cs="仿宋"/>
          <w:color w:val="auto"/>
          <w:spacing w:val="-8"/>
          <w:szCs w:val="21"/>
          <w:highlight w:val="none"/>
        </w:rPr>
        <w:t>可根据自身实力提出更长质保期，定期进行设备免费检修合格。质保期内免费上门服务，不收取任何费用。</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6</w:t>
      </w:r>
      <w:r>
        <w:rPr>
          <w:rFonts w:hint="eastAsia" w:ascii="仿宋" w:hAnsi="仿宋" w:eastAsia="仿宋" w:cs="仿宋"/>
          <w:color w:val="auto"/>
          <w:spacing w:val="-8"/>
          <w:szCs w:val="21"/>
          <w:highlight w:val="none"/>
        </w:rPr>
        <w:t>.服务响应时间：接到故障通知后12小时内响应，24小时内派技术人员到达现场维修，48小时内修复完毕，未能修复的提供相应的替代产品予采购人使用。</w:t>
      </w:r>
    </w:p>
    <w:p>
      <w:pPr>
        <w:spacing w:line="360" w:lineRule="auto"/>
        <w:ind w:firstLine="388" w:firstLineChars="200"/>
        <w:rPr>
          <w:rFonts w:ascii="仿宋" w:hAnsi="仿宋" w:eastAsia="仿宋" w:cs="仿宋"/>
          <w:color w:val="auto"/>
          <w:spacing w:val="-8"/>
          <w:szCs w:val="21"/>
          <w:highlight w:val="none"/>
        </w:rPr>
      </w:pPr>
      <w:r>
        <w:rPr>
          <w:rFonts w:hint="eastAsia" w:ascii="仿宋" w:hAnsi="仿宋" w:eastAsia="仿宋" w:cs="仿宋"/>
          <w:color w:val="auto"/>
          <w:spacing w:val="-8"/>
          <w:szCs w:val="21"/>
          <w:highlight w:val="none"/>
          <w:lang w:val="en-US" w:eastAsia="zh-CN"/>
        </w:rPr>
        <w:t>7</w:t>
      </w:r>
      <w:r>
        <w:rPr>
          <w:rFonts w:hint="eastAsia" w:ascii="仿宋" w:hAnsi="仿宋" w:eastAsia="仿宋" w:cs="仿宋"/>
          <w:color w:val="auto"/>
          <w:spacing w:val="-8"/>
          <w:szCs w:val="21"/>
          <w:highlight w:val="none"/>
        </w:rPr>
        <w:t>.质保期内免费上门检查维修、免费更换零部件；定期回访、定期上门保养。质保期后提供维修服务，同时保证长期供应投标设备的备品备件；其它售后服务按厂家承诺执行。</w:t>
      </w:r>
    </w:p>
    <w:p>
      <w:pPr>
        <w:pStyle w:val="13"/>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.交付使用期：</w:t>
      </w:r>
      <w:r>
        <w:rPr>
          <w:rFonts w:hint="eastAsia" w:ascii="仿宋" w:hAnsi="仿宋" w:eastAsia="仿宋" w:cs="仿宋"/>
          <w:bCs/>
          <w:color w:val="auto"/>
          <w:kern w:val="0"/>
          <w:szCs w:val="21"/>
          <w:highlight w:val="none"/>
        </w:rPr>
        <w:t>自合同签订之日起20日历天。</w:t>
      </w:r>
    </w:p>
    <w:p>
      <w:pPr>
        <w:pStyle w:val="13"/>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.交货地点：采购单位指定地点</w:t>
      </w:r>
    </w:p>
    <w:p>
      <w:pPr>
        <w:pStyle w:val="13"/>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付款方式：</w:t>
      </w:r>
      <w:r>
        <w:rPr>
          <w:rFonts w:hint="eastAsia" w:ascii="仿宋" w:hAnsi="仿宋" w:eastAsia="仿宋" w:cs="仿宋"/>
          <w:color w:val="auto"/>
          <w:szCs w:val="21"/>
          <w:highlight w:val="none"/>
        </w:rPr>
        <w:t>全部货物</w:t>
      </w:r>
      <w:r>
        <w:rPr>
          <w:rFonts w:hint="eastAsia" w:ascii="仿宋" w:hAnsi="仿宋" w:eastAsia="仿宋" w:cs="仿宋"/>
          <w:color w:val="auto"/>
          <w:szCs w:val="21"/>
          <w:highlight w:val="none"/>
          <w:lang w:val="en-US" w:eastAsia="zh-CN"/>
        </w:rPr>
        <w:t>经</w:t>
      </w:r>
      <w:r>
        <w:rPr>
          <w:rFonts w:hint="eastAsia" w:ascii="仿宋" w:hAnsi="仿宋" w:eastAsia="仿宋" w:cs="仿宋"/>
          <w:color w:val="auto"/>
          <w:szCs w:val="21"/>
          <w:highlight w:val="none"/>
        </w:rPr>
        <w:t>验收合格后7个工作日内一次性付清。成交供应商需向采购人提供正规增值税发票。</w:t>
      </w:r>
    </w:p>
    <w:p>
      <w:pPr>
        <w:widowControl/>
        <w:spacing w:line="360" w:lineRule="auto"/>
        <w:ind w:firstLine="420" w:firstLineChars="200"/>
        <w:jc w:val="left"/>
        <w:textAlignment w:val="center"/>
        <w:rPr>
          <w:rFonts w:ascii="仿宋" w:hAnsi="仿宋" w:eastAsia="仿宋" w:cs="仿宋"/>
          <w:color w:val="auto"/>
          <w:kern w:val="0"/>
          <w:sz w:val="22"/>
          <w:szCs w:val="22"/>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w:t>
      </w:r>
      <w:r>
        <w:rPr>
          <w:rFonts w:hint="eastAsia" w:ascii="仿宋" w:hAnsi="仿宋" w:eastAsia="仿宋" w:cs="仿宋"/>
          <w:color w:val="auto"/>
          <w:kern w:val="0"/>
          <w:sz w:val="22"/>
          <w:szCs w:val="22"/>
          <w:highlight w:val="none"/>
        </w:rPr>
        <w:t>签订合同时间：成交通知书发出之日起9日内签订合同。</w:t>
      </w:r>
    </w:p>
    <w:p>
      <w:pPr>
        <w:pStyle w:val="13"/>
        <w:spacing w:line="360" w:lineRule="auto"/>
        <w:ind w:firstLine="440" w:firstLineChars="200"/>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在签订合同前，成交供应商需提供产品检验报告原件，采购人有权到成交供应商进行实地考查，若该供应商达不到采购人要求的数量、质量，采购人有权认为该供应商虚假应标，取消其成交供应商的决定，并追究其法律责任。</w:t>
      </w:r>
    </w:p>
    <w:p>
      <w:pPr>
        <w:pStyle w:val="13"/>
        <w:spacing w:line="360" w:lineRule="auto"/>
        <w:ind w:firstLine="440" w:firstLineChars="200"/>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.交货验收时，如采购单位认为有需要，可委托相关的检验部门对产品进行抽检，抽检不合格的不给予验收，影响采购单位实施进度的将追究相关责任。抽检所产生的费用全部由</w:t>
      </w:r>
      <w:r>
        <w:rPr>
          <w:rFonts w:hint="eastAsia" w:ascii="仿宋" w:hAnsi="仿宋" w:eastAsia="仿宋" w:cs="仿宋"/>
          <w:color w:val="auto"/>
          <w:kern w:val="0"/>
          <w:sz w:val="22"/>
          <w:szCs w:val="22"/>
          <w:highlight w:val="none"/>
          <w:lang w:eastAsia="zh-CN"/>
        </w:rPr>
        <w:t>成交</w:t>
      </w:r>
      <w:r>
        <w:rPr>
          <w:rFonts w:hint="eastAsia" w:ascii="仿宋" w:hAnsi="仿宋" w:eastAsia="仿宋" w:cs="仿宋"/>
          <w:color w:val="auto"/>
          <w:kern w:val="0"/>
          <w:sz w:val="22"/>
          <w:szCs w:val="22"/>
          <w:highlight w:val="none"/>
        </w:rPr>
        <w:t>供应商负责。</w:t>
      </w: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color w:val="auto"/>
          <w:highlight w:val="none"/>
        </w:rPr>
      </w:pPr>
    </w:p>
    <w:p>
      <w:pPr>
        <w:rPr>
          <w:rFonts w:ascii="仿宋" w:hAnsi="仿宋" w:eastAsia="仿宋" w:cs="仿宋"/>
          <w:color w:val="auto"/>
          <w:highlight w:val="none"/>
        </w:rPr>
      </w:pPr>
    </w:p>
    <w:p>
      <w:pPr>
        <w:pStyle w:val="13"/>
        <w:rPr>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pStyle w:val="13"/>
        <w:rPr>
          <w:rFonts w:ascii="仿宋" w:hAnsi="仿宋" w:eastAsia="仿宋" w:cs="仿宋"/>
          <w:color w:val="auto"/>
          <w:highlight w:val="none"/>
        </w:rPr>
      </w:pPr>
    </w:p>
    <w:p>
      <w:pPr>
        <w:rPr>
          <w:rFonts w:ascii="仿宋" w:hAnsi="仿宋" w:eastAsia="仿宋" w:cs="仿宋"/>
          <w:color w:val="auto"/>
          <w:highlight w:val="none"/>
        </w:rPr>
      </w:pPr>
    </w:p>
    <w:p>
      <w:pPr>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第四章  采购合同书（格式）</w:t>
      </w:r>
      <w:bookmarkEnd w:id="19"/>
    </w:p>
    <w:p>
      <w:pPr>
        <w:jc w:val="center"/>
        <w:outlineLvl w:val="0"/>
        <w:rPr>
          <w:rFonts w:ascii="仿宋" w:hAnsi="仿宋" w:eastAsia="仿宋" w:cs="仿宋"/>
          <w:b/>
          <w:color w:val="auto"/>
          <w:sz w:val="44"/>
          <w:szCs w:val="44"/>
          <w:highlight w:val="none"/>
        </w:rPr>
      </w:pPr>
    </w:p>
    <w:p>
      <w:pPr>
        <w:jc w:val="center"/>
        <w:outlineLvl w:val="0"/>
        <w:rPr>
          <w:rFonts w:ascii="仿宋" w:hAnsi="仿宋" w:eastAsia="仿宋" w:cs="仿宋"/>
          <w:b/>
          <w:color w:val="auto"/>
          <w:sz w:val="44"/>
          <w:szCs w:val="44"/>
          <w:highlight w:val="none"/>
        </w:rPr>
      </w:pPr>
    </w:p>
    <w:p>
      <w:pPr>
        <w:jc w:val="center"/>
        <w:outlineLvl w:val="0"/>
        <w:rPr>
          <w:rFonts w:ascii="仿宋" w:hAnsi="仿宋" w:eastAsia="仿宋" w:cs="仿宋"/>
          <w:b/>
          <w:color w:val="auto"/>
          <w:sz w:val="44"/>
          <w:szCs w:val="44"/>
          <w:highlight w:val="none"/>
        </w:rPr>
      </w:pPr>
    </w:p>
    <w:p>
      <w:pPr>
        <w:jc w:val="center"/>
        <w:outlineLvl w:val="0"/>
        <w:rPr>
          <w:rFonts w:ascii="仿宋" w:hAnsi="仿宋" w:eastAsia="仿宋" w:cs="仿宋"/>
          <w:b/>
          <w:color w:val="auto"/>
          <w:sz w:val="44"/>
          <w:szCs w:val="44"/>
          <w:highlight w:val="none"/>
        </w:rPr>
      </w:pPr>
    </w:p>
    <w:p>
      <w:pPr>
        <w:jc w:val="center"/>
        <w:outlineLvl w:val="0"/>
        <w:rPr>
          <w:rFonts w:ascii="仿宋" w:hAnsi="仿宋" w:eastAsia="仿宋" w:cs="仿宋"/>
          <w:b/>
          <w:color w:val="auto"/>
          <w:sz w:val="44"/>
          <w:szCs w:val="44"/>
          <w:highlight w:val="none"/>
        </w:rPr>
      </w:pPr>
    </w:p>
    <w:p>
      <w:pPr>
        <w:pStyle w:val="9"/>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采购合同书</w:t>
      </w: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合同名称：</w:t>
      </w:r>
      <w:r>
        <w:rPr>
          <w:rFonts w:hint="eastAsia" w:ascii="仿宋" w:hAnsi="仿宋" w:eastAsia="仿宋" w:cs="仿宋"/>
          <w:b/>
          <w:color w:val="auto"/>
          <w:sz w:val="32"/>
          <w:highlight w:val="none"/>
          <w:u w:val="single"/>
        </w:rPr>
        <w:t>　　　　　　　　　</w:t>
      </w:r>
    </w:p>
    <w:p>
      <w:pPr>
        <w:pStyle w:val="9"/>
        <w:spacing w:line="360" w:lineRule="exact"/>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u w:val="single"/>
        </w:rPr>
        <w:t>　　　　　　　　　</w:t>
      </w: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签订合同地点：</w:t>
      </w:r>
      <w:r>
        <w:rPr>
          <w:rFonts w:hint="eastAsia" w:ascii="仿宋" w:hAnsi="仿宋" w:eastAsia="仿宋" w:cs="仿宋"/>
          <w:b/>
          <w:color w:val="auto"/>
          <w:sz w:val="32"/>
          <w:highlight w:val="none"/>
          <w:u w:val="single"/>
        </w:rPr>
        <w:t>　　　　　　　　</w:t>
      </w:r>
    </w:p>
    <w:p>
      <w:pPr>
        <w:pStyle w:val="9"/>
        <w:spacing w:line="360" w:lineRule="exact"/>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签订合同时间：</w:t>
      </w:r>
      <w:r>
        <w:rPr>
          <w:rFonts w:hint="eastAsia" w:ascii="仿宋" w:hAnsi="仿宋" w:eastAsia="仿宋" w:cs="仿宋"/>
          <w:b/>
          <w:color w:val="auto"/>
          <w:sz w:val="32"/>
          <w:highlight w:val="none"/>
          <w:u w:val="single"/>
        </w:rPr>
        <w:t>　　　　　　　　</w:t>
      </w: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rPr>
          <w:rFonts w:ascii="仿宋" w:hAnsi="仿宋" w:eastAsia="仿宋" w:cs="仿宋"/>
          <w:b/>
          <w:color w:val="auto"/>
          <w:sz w:val="32"/>
          <w:highlight w:val="none"/>
        </w:rPr>
      </w:pPr>
    </w:p>
    <w:p>
      <w:pPr>
        <w:pStyle w:val="9"/>
        <w:spacing w:line="360" w:lineRule="exact"/>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6"/>
          <w:szCs w:val="36"/>
          <w:highlight w:val="none"/>
        </w:rPr>
        <w:t>合同书</w:t>
      </w:r>
      <w:bookmarkStart w:id="20" w:name="_Toc446927427"/>
      <w:r>
        <w:rPr>
          <w:rFonts w:hint="eastAsia" w:ascii="仿宋" w:hAnsi="仿宋" w:eastAsia="仿宋" w:cs="仿宋"/>
          <w:b/>
          <w:color w:val="auto"/>
          <w:sz w:val="36"/>
          <w:szCs w:val="36"/>
          <w:highlight w:val="none"/>
        </w:rPr>
        <w:t xml:space="preserve"> （格式）</w:t>
      </w:r>
    </w:p>
    <w:p>
      <w:pPr>
        <w:pStyle w:val="9"/>
        <w:spacing w:line="360" w:lineRule="exact"/>
        <w:rPr>
          <w:rFonts w:ascii="仿宋" w:hAnsi="仿宋" w:eastAsia="仿宋" w:cs="仿宋"/>
          <w:color w:val="auto"/>
          <w:szCs w:val="21"/>
          <w:highlight w:val="none"/>
        </w:rPr>
      </w:pPr>
    </w:p>
    <w:p>
      <w:pPr>
        <w:pStyle w:val="9"/>
        <w:spacing w:line="360" w:lineRule="exact"/>
        <w:rPr>
          <w:rFonts w:ascii="仿宋" w:hAnsi="仿宋" w:eastAsia="仿宋" w:cs="仿宋"/>
          <w:b/>
          <w:color w:val="auto"/>
          <w:sz w:val="36"/>
          <w:szCs w:val="36"/>
          <w:highlight w:val="none"/>
        </w:rPr>
      </w:pPr>
    </w:p>
    <w:bookmarkEnd w:id="20"/>
    <w:p>
      <w:pPr>
        <w:pStyle w:val="9"/>
        <w:spacing w:line="360" w:lineRule="auto"/>
        <w:jc w:val="left"/>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项目</w:t>
      </w:r>
      <w:r>
        <w:rPr>
          <w:rFonts w:hint="eastAsia" w:ascii="仿宋" w:hAnsi="仿宋" w:eastAsia="仿宋" w:cs="仿宋"/>
          <w:b w:val="0"/>
          <w:bCs/>
          <w:color w:val="auto"/>
          <w:sz w:val="21"/>
          <w:szCs w:val="21"/>
          <w:highlight w:val="none"/>
          <w:lang w:val="en-US" w:eastAsia="zh-CN"/>
        </w:rPr>
        <w:t>名称</w:t>
      </w:r>
      <w:r>
        <w:rPr>
          <w:rFonts w:hint="eastAsia" w:ascii="仿宋" w:hAnsi="仿宋" w:eastAsia="仿宋" w:cs="仿宋"/>
          <w:b w:val="0"/>
          <w:bCs/>
          <w:color w:val="auto"/>
          <w:sz w:val="21"/>
          <w:szCs w:val="21"/>
          <w:highlight w:val="none"/>
        </w:rPr>
        <w:t>：</w:t>
      </w:r>
    </w:p>
    <w:p>
      <w:pPr>
        <w:snapToGrid w:val="0"/>
        <w:spacing w:line="360" w:lineRule="auto"/>
        <w:ind w:right="1269"/>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 xml:space="preserve">项目编号： </w:t>
      </w:r>
    </w:p>
    <w:p>
      <w:pPr>
        <w:snapToGrid w:val="0"/>
        <w:spacing w:line="360" w:lineRule="auto"/>
        <w:ind w:right="1269"/>
        <w:jc w:val="left"/>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标段</w:t>
      </w:r>
      <w:r>
        <w:rPr>
          <w:rFonts w:hint="eastAsia" w:ascii="仿宋" w:hAnsi="仿宋" w:eastAsia="仿宋" w:cs="仿宋"/>
          <w:b w:val="0"/>
          <w:bCs/>
          <w:color w:val="auto"/>
          <w:sz w:val="21"/>
          <w:szCs w:val="21"/>
          <w:highlight w:val="none"/>
        </w:rPr>
        <w:t>：</w:t>
      </w:r>
    </w:p>
    <w:p>
      <w:pPr>
        <w:snapToGrid w:val="0"/>
        <w:spacing w:line="360" w:lineRule="auto"/>
        <w:rPr>
          <w:rFonts w:ascii="仿宋" w:hAnsi="仿宋" w:eastAsia="仿宋" w:cs="仿宋"/>
          <w:color w:val="auto"/>
          <w:sz w:val="21"/>
          <w:szCs w:val="21"/>
          <w:highlight w:val="none"/>
        </w:rPr>
      </w:pPr>
    </w:p>
    <w:p>
      <w:pPr>
        <w:spacing w:line="360" w:lineRule="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采购单位（甲方）：</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采购计划号：</w:t>
      </w:r>
    </w:p>
    <w:p>
      <w:pPr>
        <w:spacing w:line="360" w:lineRule="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供 应 商（乙方）：</w:t>
      </w:r>
      <w:r>
        <w:rPr>
          <w:rFonts w:hint="eastAsia" w:ascii="仿宋" w:hAnsi="仿宋" w:eastAsia="仿宋" w:cs="仿宋"/>
          <w:color w:val="auto"/>
          <w:sz w:val="21"/>
          <w:szCs w:val="21"/>
          <w:highlight w:val="none"/>
          <w:lang w:val="en-US" w:eastAsia="zh-CN"/>
        </w:rPr>
        <w:t xml:space="preserve">                                         </w:t>
      </w:r>
    </w:p>
    <w:p>
      <w:pPr>
        <w:spacing w:line="360" w:lineRule="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签订地点：签订时间：</w:t>
      </w:r>
    </w:p>
    <w:p>
      <w:pPr>
        <w:snapToGrid w:val="0"/>
        <w:spacing w:line="360" w:lineRule="auto"/>
        <w:rPr>
          <w:rFonts w:ascii="仿宋" w:hAnsi="仿宋" w:eastAsia="仿宋" w:cs="仿宋"/>
          <w:color w:val="auto"/>
          <w:sz w:val="21"/>
          <w:szCs w:val="21"/>
          <w:highlight w:val="none"/>
        </w:rPr>
      </w:pPr>
    </w:p>
    <w:p>
      <w:pPr>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根据《中华人民共和国政府采购法》、《中华人民共和国合同法》等法律、法规规定，按照谈判文件规定条款和中标（成交）供应商承诺，甲乙双方签订本合同。</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第一条  合同标的</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1.供货一览表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37"/>
        <w:gridCol w:w="1053"/>
        <w:gridCol w:w="1534"/>
        <w:gridCol w:w="1534"/>
        <w:gridCol w:w="1534"/>
        <w:gridCol w:w="86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837"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1053"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单位及数量</w:t>
            </w:r>
          </w:p>
        </w:tc>
        <w:tc>
          <w:tcPr>
            <w:tcW w:w="1534"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商标品牌</w:t>
            </w:r>
          </w:p>
        </w:tc>
        <w:tc>
          <w:tcPr>
            <w:tcW w:w="1534"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规格型号</w:t>
            </w:r>
          </w:p>
        </w:tc>
        <w:tc>
          <w:tcPr>
            <w:tcW w:w="1534"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生产厂家</w:t>
            </w:r>
          </w:p>
        </w:tc>
        <w:tc>
          <w:tcPr>
            <w:tcW w:w="869"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单价（元）</w:t>
            </w:r>
          </w:p>
        </w:tc>
        <w:tc>
          <w:tcPr>
            <w:tcW w:w="869" w:type="dxa"/>
            <w:noWrap/>
            <w:vAlign w:val="center"/>
          </w:tcPr>
          <w:p>
            <w:pPr>
              <w:spacing w:before="120" w:after="120"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37" w:type="dxa"/>
            <w:noWrap/>
            <w:vAlign w:val="center"/>
          </w:tcPr>
          <w:p>
            <w:pPr>
              <w:spacing w:line="360" w:lineRule="auto"/>
              <w:jc w:val="center"/>
              <w:rPr>
                <w:rFonts w:ascii="仿宋" w:hAnsi="仿宋" w:eastAsia="仿宋" w:cs="仿宋"/>
                <w:color w:val="auto"/>
                <w:szCs w:val="21"/>
                <w:highlight w:val="none"/>
              </w:rPr>
            </w:pPr>
          </w:p>
        </w:tc>
        <w:tc>
          <w:tcPr>
            <w:tcW w:w="1053" w:type="dxa"/>
            <w:noWrap/>
            <w:vAlign w:val="center"/>
          </w:tcPr>
          <w:p>
            <w:pPr>
              <w:spacing w:line="360" w:lineRule="auto"/>
              <w:jc w:val="center"/>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37" w:type="dxa"/>
            <w:noWrap/>
            <w:vAlign w:val="center"/>
          </w:tcPr>
          <w:p>
            <w:pPr>
              <w:spacing w:line="360" w:lineRule="auto"/>
              <w:jc w:val="center"/>
              <w:rPr>
                <w:rFonts w:ascii="仿宋" w:hAnsi="仿宋" w:eastAsia="仿宋" w:cs="仿宋"/>
                <w:color w:val="auto"/>
                <w:szCs w:val="21"/>
                <w:highlight w:val="none"/>
              </w:rPr>
            </w:pPr>
          </w:p>
        </w:tc>
        <w:tc>
          <w:tcPr>
            <w:tcW w:w="1053" w:type="dxa"/>
            <w:noWrap/>
            <w:vAlign w:val="center"/>
          </w:tcPr>
          <w:p>
            <w:pPr>
              <w:spacing w:line="360" w:lineRule="auto"/>
              <w:jc w:val="center"/>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37" w:type="dxa"/>
            <w:noWrap/>
            <w:vAlign w:val="center"/>
          </w:tcPr>
          <w:p>
            <w:pPr>
              <w:spacing w:line="360" w:lineRule="auto"/>
              <w:jc w:val="center"/>
              <w:rPr>
                <w:rFonts w:ascii="仿宋" w:hAnsi="仿宋" w:eastAsia="仿宋" w:cs="仿宋"/>
                <w:color w:val="auto"/>
                <w:szCs w:val="21"/>
                <w:highlight w:val="none"/>
              </w:rPr>
            </w:pPr>
          </w:p>
        </w:tc>
        <w:tc>
          <w:tcPr>
            <w:tcW w:w="1053" w:type="dxa"/>
            <w:noWrap/>
            <w:vAlign w:val="center"/>
          </w:tcPr>
          <w:p>
            <w:pPr>
              <w:spacing w:line="360" w:lineRule="auto"/>
              <w:jc w:val="center"/>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1534"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c>
          <w:tcPr>
            <w:tcW w:w="869" w:type="dxa"/>
            <w:noWrap/>
            <w:vAlign w:val="center"/>
          </w:tcPr>
          <w:p>
            <w:pPr>
              <w:spacing w:line="360"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8"/>
            <w:noWrap/>
            <w:vAlign w:val="center"/>
          </w:tcPr>
          <w:p>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人民币合计金额（大写）                             元整（¥      ）</w:t>
            </w:r>
          </w:p>
        </w:tc>
      </w:tr>
    </w:tbl>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2.合同合计金额包括货物价款，备件、专用工具、安装、调试、检验、技术培训及技术资料和包装、运输等全部费用。如谈判文件对其另有规定的，从其规定。</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第二条  质量保证</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1.乙方所提供的货物型号、技术规格、技术参数等质量必须与谈判文件和承诺相一致。乙方提供的节能和环保产品必须是列入政府采购清单的产品。</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2.乙方所提供的货物必须是全新、未使用的原装产品，且在正常安装、使用和保养条件下，其使用寿命期内各项指标均达到质量要求。</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第三条  权力保证</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乙方应保证所提供货物在使用时不会侵犯任何第三方的专利权、商标权、工业设计权或其他权利。</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乙方应按招标文件规定的时间向甲方提供使用货物的有关技术资料。</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乙方保证所交付的货物的所有权完全属于乙方且无任何抵押、查封等产权瑕疵。</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第四条  包装和运输</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2.货物的运输方式：。</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3.乙方负责货物运输，货物运输合理损耗及计算方法：。</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第五条  交付和验收</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1.交货时间： 地点：</w:t>
      </w:r>
      <w:r>
        <w:rPr>
          <w:rFonts w:hint="eastAsia" w:ascii="仿宋" w:hAnsi="仿宋" w:eastAsia="仿宋" w:cs="仿宋"/>
          <w:bCs/>
          <w:color w:val="auto"/>
          <w:szCs w:val="21"/>
          <w:highlight w:val="none"/>
        </w:rPr>
        <w:t>。</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2.乙方提供不符合谈判文件和本合同规定的货物，甲方有权拒绝接受。</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4.甲方应当在到货（安装、调试完）后个五工作日内进行验收，逾期不验收的，乙方可视同验收合格。验收合格后由甲乙双方签署货物验收单并加盖采购单位公章，甲乙双方各执一份。</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6.甲方对验收有异议的，在验收后七个工作日内以书面形式向乙方提出，乙方应自收到甲方书面异议后日内及时予以解决。</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第六条  安装和培训</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1.甲方应提供必要安装条件（如场地、电源、水源等）。</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2.乙方负责甲方有关人员的培训。培训时间、地点：</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第七条  售后服务、保修期</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1.乙方应按照国家有关法律法规和“三包”规定以及谈判文件和本合同所附的《服务承诺》，为甲方提供售后服务。</w:t>
      </w:r>
    </w:p>
    <w:p>
      <w:pPr>
        <w:snapToGrid w:val="0"/>
        <w:spacing w:line="360" w:lineRule="auto"/>
        <w:ind w:left="422" w:leftChars="201" w:firstLine="2"/>
        <w:rPr>
          <w:rFonts w:ascii="仿宋" w:hAnsi="仿宋" w:eastAsia="仿宋" w:cs="仿宋"/>
          <w:color w:val="auto"/>
          <w:szCs w:val="21"/>
          <w:highlight w:val="none"/>
          <w:u w:val="single"/>
        </w:rPr>
      </w:pPr>
      <w:r>
        <w:rPr>
          <w:rFonts w:hint="eastAsia" w:ascii="仿宋" w:hAnsi="仿宋" w:eastAsia="仿宋" w:cs="仿宋"/>
          <w:color w:val="auto"/>
          <w:szCs w:val="21"/>
          <w:highlight w:val="none"/>
        </w:rPr>
        <w:t>2.货物保修期：</w:t>
      </w:r>
    </w:p>
    <w:p>
      <w:pPr>
        <w:snapToGrid w:val="0"/>
        <w:spacing w:line="360" w:lineRule="auto"/>
        <w:ind w:left="422" w:leftChars="201" w:firstLine="2"/>
        <w:rPr>
          <w:rFonts w:ascii="仿宋" w:hAnsi="仿宋" w:eastAsia="仿宋" w:cs="仿宋"/>
          <w:color w:val="auto"/>
          <w:szCs w:val="21"/>
          <w:highlight w:val="none"/>
          <w:u w:val="single"/>
        </w:rPr>
      </w:pPr>
      <w:r>
        <w:rPr>
          <w:rFonts w:hint="eastAsia" w:ascii="仿宋" w:hAnsi="仿宋" w:eastAsia="仿宋" w:cs="仿宋"/>
          <w:color w:val="auto"/>
          <w:szCs w:val="21"/>
          <w:highlight w:val="none"/>
        </w:rPr>
        <w:t>3.乙方提供的服务承诺和售后服务及保修期责任等其它具体约定事项。（见合同附件）</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第八条  付款方式和保证金</w:t>
      </w:r>
    </w:p>
    <w:p>
      <w:pPr>
        <w:snapToGrid w:val="0"/>
        <w:spacing w:line="360" w:lineRule="auto"/>
        <w:ind w:left="422" w:leftChars="201" w:firstLine="2"/>
        <w:rPr>
          <w:rFonts w:ascii="仿宋" w:hAnsi="仿宋" w:eastAsia="仿宋" w:cs="仿宋"/>
          <w:color w:val="auto"/>
          <w:szCs w:val="21"/>
          <w:highlight w:val="none"/>
          <w:u w:val="single"/>
        </w:rPr>
      </w:pPr>
      <w:r>
        <w:rPr>
          <w:rFonts w:hint="eastAsia" w:ascii="仿宋" w:hAnsi="仿宋" w:eastAsia="仿宋" w:cs="仿宋"/>
          <w:color w:val="auto"/>
          <w:szCs w:val="21"/>
          <w:highlight w:val="none"/>
        </w:rPr>
        <w:t>1.资金性质：</w:t>
      </w:r>
    </w:p>
    <w:p>
      <w:pPr>
        <w:snapToGrid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2.付款方式：</w:t>
      </w:r>
      <w:r>
        <w:rPr>
          <w:rFonts w:hint="eastAsia" w:ascii="仿宋" w:hAnsi="仿宋" w:eastAsia="仿宋" w:cs="仿宋"/>
          <w:color w:val="auto"/>
          <w:szCs w:val="21"/>
          <w:highlight w:val="none"/>
          <w:u w:val="single"/>
        </w:rPr>
        <w:t xml:space="preserve"> 全部货物</w:t>
      </w:r>
      <w:r>
        <w:rPr>
          <w:rFonts w:hint="eastAsia" w:ascii="仿宋" w:hAnsi="仿宋" w:eastAsia="仿宋" w:cs="仿宋"/>
          <w:color w:val="auto"/>
          <w:szCs w:val="21"/>
          <w:highlight w:val="none"/>
          <w:u w:val="single"/>
          <w:lang w:val="en-US" w:eastAsia="zh-CN"/>
        </w:rPr>
        <w:t>经</w:t>
      </w:r>
      <w:r>
        <w:rPr>
          <w:rFonts w:hint="eastAsia" w:ascii="仿宋" w:hAnsi="仿宋" w:eastAsia="仿宋" w:cs="仿宋"/>
          <w:color w:val="auto"/>
          <w:szCs w:val="21"/>
          <w:highlight w:val="none"/>
          <w:u w:val="single"/>
        </w:rPr>
        <w:t xml:space="preserve">验收合格后7个工作日内一次性付清。成交供应商需向采购人提供正规增值税发票。 </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第九条  质量保证金</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乙方应在货物验收合格无异议后五个工作日内按本合同合计金额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比例向甲方提交质量保证金，质量保证期过后五个工作日内无息返还。</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第十条  税费</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本合同执行中相关的一切税费均由乙方负担。</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第十一条  质量保证及售后服务</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1.乙方应按招标文件规定的货物性能、技术要求、质量标准向甲方提供未经使用的全新产品。不符合要求的，根据实际情况，经双方协商，可按以下办法处理：</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⑴更换：由乙方承担所发生的全部费用。</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⑵贬值处理：由甲乙双方合议定价。</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⑶退货处理：乙方应退还甲方支付的合同款，同时应承担该货物的直接费用（运输、保险、检验、货款利息及银行手续费等）。</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2.如在使用过程中发生质量问题，乙方在接到甲方通知后在小时内到达甲方现场处理。</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3.在质保期内，乙方应对货物出现的质量及安全问题负责处理解决并承担一切费用。</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4.上述的货物免费保修期为年，因人为因素出现的故障不在免费保修范围内。超过保修期的机器设备，终生维修，维修时只收部件成本费。</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第十二条  调试和验收</w:t>
      </w:r>
    </w:p>
    <w:p>
      <w:pPr>
        <w:pStyle w:val="9"/>
        <w:snapToGrid w:val="0"/>
        <w:spacing w:line="360" w:lineRule="auto"/>
        <w:ind w:firstLine="424"/>
        <w:jc w:val="left"/>
        <w:rPr>
          <w:rFonts w:ascii="仿宋" w:hAnsi="仿宋" w:eastAsia="仿宋" w:cs="仿宋"/>
          <w:color w:val="auto"/>
          <w:szCs w:val="21"/>
          <w:highlight w:val="none"/>
        </w:rPr>
      </w:pPr>
      <w:r>
        <w:rPr>
          <w:rFonts w:hint="eastAsia" w:ascii="仿宋" w:hAnsi="仿宋" w:eastAsia="仿宋" w:cs="仿宋"/>
          <w:color w:val="auto"/>
          <w:szCs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w:t>
      </w:r>
      <w:r>
        <w:rPr>
          <w:rFonts w:hint="eastAsia" w:ascii="仿宋" w:hAnsi="仿宋" w:eastAsia="仿宋" w:cs="仿宋"/>
          <w:color w:val="auto"/>
          <w:szCs w:val="21"/>
          <w:highlight w:val="none"/>
          <w:lang w:val="en-US" w:eastAsia="zh-CN"/>
        </w:rPr>
        <w:t>五</w:t>
      </w:r>
      <w:r>
        <w:rPr>
          <w:rFonts w:hint="eastAsia" w:ascii="仿宋" w:hAnsi="仿宋" w:eastAsia="仿宋" w:cs="仿宋"/>
          <w:color w:val="auto"/>
          <w:szCs w:val="21"/>
          <w:highlight w:val="none"/>
        </w:rPr>
        <w:t>个工作日内进行验收。</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2.乙方交货前应对产品作出全面检查和对验收文件进行整理，并列出清单，作为甲方收货验收和使用的技术条件依据，检验的结果应随货物交甲方。</w:t>
      </w:r>
    </w:p>
    <w:p>
      <w:pPr>
        <w:pStyle w:val="9"/>
        <w:snapToGrid w:val="0"/>
        <w:spacing w:line="360" w:lineRule="auto"/>
        <w:ind w:firstLine="424"/>
        <w:rPr>
          <w:rFonts w:ascii="仿宋" w:hAnsi="仿宋" w:eastAsia="仿宋" w:cs="仿宋"/>
          <w:color w:val="auto"/>
          <w:szCs w:val="21"/>
          <w:highlight w:val="none"/>
          <w:u w:val="single"/>
        </w:rPr>
      </w:pPr>
      <w:r>
        <w:rPr>
          <w:rFonts w:hint="eastAsia" w:ascii="仿宋" w:hAnsi="仿宋" w:eastAsia="仿宋" w:cs="仿宋"/>
          <w:color w:val="auto"/>
          <w:szCs w:val="21"/>
          <w:highlight w:val="none"/>
        </w:rPr>
        <w:t>3.甲方对乙方提供的货物在使用前进行调试时，乙方需负责安装并培训甲方的使用操作人员，并协助甲方一起调试，直到符合技术要求，甲方才做最终验收。</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4.对技术复杂的货物，甲方应请国家认可的专业检测机构参与初步验收及最终验收，并由其出具质量检测报告。</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5.验收时乙方必须在现场，验收完毕后作出验收结果报告；验收费用由乙方负责。</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第十三条  货物包装、发运及运输</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1.乙方应在货物发运前对其进行满足运输距离、防潮、防震、防锈和防破损装卸等要求包装，以保证货物安全运达甲方指定地点。</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2.使用说明书、质量检验证明书、随配附件和工具以及清单一并附于货物内。</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3.乙方在货物发运手续办理完毕后二十四小时内或货到甲方四十八小时前通知甲方，以准备接货。</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4.货物在交付甲方前发生的风险均由乙方负责。</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color w:val="auto"/>
          <w:szCs w:val="21"/>
          <w:highlight w:val="none"/>
        </w:rPr>
        <w:t>5.货</w:t>
      </w:r>
      <w:r>
        <w:rPr>
          <w:rFonts w:hint="eastAsia" w:ascii="仿宋" w:hAnsi="仿宋" w:eastAsia="仿宋" w:cs="仿宋"/>
          <w:color w:val="auto"/>
          <w:spacing w:val="-8"/>
          <w:szCs w:val="21"/>
          <w:highlight w:val="none"/>
        </w:rPr>
        <w:t>物在规定的交付期限内由乙方送达甲方指定的地点视为交付，乙方同时需通知甲方货物已送达。</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第十四条  违约责任</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2.乙方提供的货物如侵犯了第三方合法权益而引发的任何纠纷或诉讼，均由乙方负责交涉并承担全部责任。</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3.因包装、运输引起的货物损坏，按质量不合格处理。</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4.甲方无故延期接收货物、乙方逾期交货的，每天向对方偿付违约货款额3‰违约金，但违约金累计不得超过违约货款额</w:t>
      </w:r>
      <w:r>
        <w:rPr>
          <w:rFonts w:hint="eastAsia" w:ascii="仿宋" w:hAnsi="仿宋" w:eastAsia="仿宋" w:cs="仿宋"/>
          <w:color w:val="auto"/>
          <w:szCs w:val="21"/>
          <w:highlight w:val="none"/>
          <w:u w:val="single"/>
        </w:rPr>
        <w:t>5%</w:t>
      </w:r>
      <w:r>
        <w:rPr>
          <w:rFonts w:hint="eastAsia" w:ascii="仿宋" w:hAnsi="仿宋" w:eastAsia="仿宋" w:cs="仿宋"/>
          <w:color w:val="auto"/>
          <w:szCs w:val="21"/>
          <w:highlight w:val="none"/>
        </w:rPr>
        <w:t>，超过天对方有权解除合同，违约方承担因此给对方造成的经济损失；甲方延期付货款的，每天向乙方偿付延期货款额</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滞纳金，但滞纳金累计不得超过延期货款额</w:t>
      </w:r>
      <w:r>
        <w:rPr>
          <w:rFonts w:hint="eastAsia" w:ascii="仿宋" w:hAnsi="仿宋" w:eastAsia="仿宋" w:cs="仿宋"/>
          <w:color w:val="auto"/>
          <w:szCs w:val="21"/>
          <w:highlight w:val="none"/>
          <w:u w:val="single"/>
        </w:rPr>
        <w:t>5%</w:t>
      </w:r>
      <w:r>
        <w:rPr>
          <w:rFonts w:hint="eastAsia" w:ascii="仿宋" w:hAnsi="仿宋" w:eastAsia="仿宋" w:cs="仿宋"/>
          <w:color w:val="auto"/>
          <w:szCs w:val="21"/>
          <w:highlight w:val="none"/>
        </w:rPr>
        <w:t>。</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5.乙方未按本合同和投标文件中规定的服务承诺提供售后服务的，乙方应按本合同合计金额</w:t>
      </w:r>
      <w:r>
        <w:rPr>
          <w:rFonts w:hint="eastAsia" w:ascii="仿宋" w:hAnsi="仿宋" w:eastAsia="仿宋" w:cs="仿宋"/>
          <w:color w:val="auto"/>
          <w:szCs w:val="21"/>
          <w:highlight w:val="none"/>
          <w:u w:val="single"/>
        </w:rPr>
        <w:t>5%</w:t>
      </w:r>
      <w:r>
        <w:rPr>
          <w:rFonts w:hint="eastAsia" w:ascii="仿宋" w:hAnsi="仿宋" w:eastAsia="仿宋" w:cs="仿宋"/>
          <w:color w:val="auto"/>
          <w:szCs w:val="21"/>
          <w:highlight w:val="none"/>
        </w:rPr>
        <w:t>向甲方支付违约金。</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6.乙方提供的货物在质量保证期内，因设计、工艺或材料的缺陷和其它质量原因造成的问题，由乙方负责，费用从质量保证金中扣除，不足另补。</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7.其它违约行为按违约货款额5%收取违约金并赔偿经济损失。</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第十五条  不可抗力事件处理</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 不可抗力事件发生后，应立即通知对方，并寄送有关权威机构出具的证明。</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 不可抗力事件延续一百二十天以上，双方应通过友好协商，确定是否继续履行合同。</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第十六条  合同争议解决</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2.因履行本合同引起的或与本合同有关的争议，甲乙双方应首先通过友好协商解决，如果协商不能解决，可向仲裁委员会申请仲裁或向人民法院提起诉讼。</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3.诉讼期间，本合同继续履行。</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第十七条  诉讼</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双方在执行合同中所发生的一切争议，应通过协商解决。如果协商不能解决，可向仲裁委员会申请仲裁或向八步区人民法院提起诉讼。</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第十八条  合同生效及其它</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1.合同经双方法定代表人或授权代表签字并加盖单位公章后生效。</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2.合同执行中涉及采购资金和采购内容修改或补充的，须经财政部门审批，并签书面补充协议报财政部门备案，方可作为主合同不可分割的一部分。</w:t>
      </w:r>
    </w:p>
    <w:p>
      <w:pPr>
        <w:pStyle w:val="9"/>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3.本合同未尽事宜，遵照《合同法》有关条文执行。</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第十九条  合同的变更、终止与转让</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1.除《中华人民共和国政府采购法》第五十条规定的情形外，本合同一经签订，甲乙双方不得擅自变更、中止或终止。</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2.乙方不得擅自转让（无进口资格的供应商委托进口货物除外）其应履行的合同义务。</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3.合同经双方法定代表人或授权代表签字并加盖单位公章后生效。</w:t>
      </w:r>
    </w:p>
    <w:p>
      <w:pPr>
        <w:pStyle w:val="9"/>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4.合同执行中涉及采购资金和采购内容修改或补充的，须经财政部门审批，并签书面补充协议报财政部门备案，方可作为主合同不可分割的一部分。</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5.本合同未尽事宜，遵照《合同法》有关条文执行。</w:t>
      </w:r>
    </w:p>
    <w:p>
      <w:pPr>
        <w:snapToGrid w:val="0"/>
        <w:spacing w:line="360" w:lineRule="auto"/>
        <w:ind w:left="422" w:leftChars="201" w:firstLine="2"/>
        <w:rPr>
          <w:rFonts w:ascii="仿宋" w:hAnsi="仿宋" w:eastAsia="仿宋" w:cs="仿宋"/>
          <w:b/>
          <w:color w:val="auto"/>
          <w:szCs w:val="21"/>
          <w:highlight w:val="none"/>
        </w:rPr>
      </w:pPr>
      <w:r>
        <w:rPr>
          <w:rFonts w:hint="eastAsia" w:ascii="仿宋" w:hAnsi="仿宋" w:eastAsia="仿宋" w:cs="仿宋"/>
          <w:b/>
          <w:color w:val="auto"/>
          <w:szCs w:val="21"/>
          <w:highlight w:val="none"/>
        </w:rPr>
        <w:t>第二十条  签订本合同依据</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1.政府采购招标文件；</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2.乙方提供的采购投标（或应答）文件；</w:t>
      </w:r>
    </w:p>
    <w:p>
      <w:pPr>
        <w:snapToGrid w:val="0"/>
        <w:spacing w:line="360" w:lineRule="auto"/>
        <w:ind w:left="422" w:leftChars="201" w:firstLine="2"/>
        <w:rPr>
          <w:rFonts w:ascii="仿宋" w:hAnsi="仿宋" w:eastAsia="仿宋" w:cs="仿宋"/>
          <w:color w:val="auto"/>
          <w:szCs w:val="21"/>
          <w:highlight w:val="none"/>
        </w:rPr>
      </w:pPr>
      <w:r>
        <w:rPr>
          <w:rFonts w:hint="eastAsia" w:ascii="仿宋" w:hAnsi="仿宋" w:eastAsia="仿宋" w:cs="仿宋"/>
          <w:color w:val="auto"/>
          <w:szCs w:val="21"/>
          <w:highlight w:val="none"/>
        </w:rPr>
        <w:t>3.投标承诺书；</w:t>
      </w:r>
    </w:p>
    <w:p>
      <w:pPr>
        <w:snapToGrid w:val="0"/>
        <w:spacing w:line="360" w:lineRule="auto"/>
        <w:ind w:left="422" w:leftChars="201" w:firstLine="2"/>
        <w:rPr>
          <w:rFonts w:ascii="仿宋" w:hAnsi="仿宋" w:eastAsia="仿宋" w:cs="仿宋"/>
          <w:color w:val="auto"/>
          <w:szCs w:val="21"/>
          <w:highlight w:val="none"/>
          <w:u w:val="single"/>
        </w:rPr>
      </w:pPr>
      <w:r>
        <w:rPr>
          <w:rFonts w:hint="eastAsia" w:ascii="仿宋" w:hAnsi="仿宋" w:eastAsia="仿宋" w:cs="仿宋"/>
          <w:color w:val="auto"/>
          <w:szCs w:val="21"/>
          <w:highlight w:val="none"/>
        </w:rPr>
        <w:t>4.中标或成交通知书。</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b/>
          <w:color w:val="auto"/>
          <w:szCs w:val="21"/>
          <w:highlight w:val="none"/>
        </w:rPr>
        <w:t xml:space="preserve">第二十一条  </w:t>
      </w:r>
      <w:r>
        <w:rPr>
          <w:rFonts w:hint="eastAsia" w:ascii="仿宋" w:hAnsi="仿宋" w:eastAsia="仿宋" w:cs="仿宋"/>
          <w:color w:val="auto"/>
          <w:szCs w:val="21"/>
          <w:highlight w:val="none"/>
        </w:rPr>
        <w:t>本合同一式肆份，具有同等法律效力，财政部门（政府采购监管部门）、采购代理机构各壹份，甲乙双方各壹份（可根据需要另增加）。</w:t>
      </w:r>
    </w:p>
    <w:p>
      <w:pPr>
        <w:snapToGrid w:val="0"/>
        <w:spacing w:line="360" w:lineRule="auto"/>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本合同甲乙双方签字盖章后生效，自签订之日起七个工作日内，采购人应当将合同副本报同级财政部门备案。</w:t>
      </w:r>
    </w:p>
    <w:p>
      <w:pPr>
        <w:snapToGrid w:val="0"/>
        <w:spacing w:line="36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br w:type="page"/>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甲方（章）</w:t>
            </w:r>
          </w:p>
          <w:p>
            <w:pPr>
              <w:spacing w:line="3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乙方（章）</w:t>
            </w:r>
          </w:p>
          <w:p>
            <w:pPr>
              <w:spacing w:line="3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单位地址：</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4927" w:type="dxa"/>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noWrap/>
            <w:vAlign w:val="center"/>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经办人：</w:t>
            </w:r>
          </w:p>
          <w:p>
            <w:pPr>
              <w:spacing w:line="3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pStyle w:val="9"/>
        <w:spacing w:line="600" w:lineRule="exact"/>
        <w:rPr>
          <w:rFonts w:ascii="仿宋" w:hAnsi="仿宋" w:eastAsia="仿宋" w:cs="仿宋"/>
          <w:b/>
          <w:color w:val="auto"/>
          <w:szCs w:val="21"/>
          <w:highlight w:val="none"/>
        </w:rPr>
      </w:pPr>
    </w:p>
    <w:p>
      <w:pPr>
        <w:pStyle w:val="9"/>
        <w:spacing w:line="6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合  同  附  件</w:t>
      </w:r>
    </w:p>
    <w:p>
      <w:pPr>
        <w:pStyle w:val="9"/>
        <w:spacing w:line="360" w:lineRule="exact"/>
        <w:rPr>
          <w:rFonts w:ascii="仿宋" w:hAnsi="仿宋" w:eastAsia="仿宋" w:cs="仿宋"/>
          <w:color w:val="auto"/>
          <w:szCs w:val="21"/>
          <w:highlight w:val="none"/>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noWrap/>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 供应商承诺具体事项：</w:t>
            </w:r>
          </w:p>
          <w:p>
            <w:pPr>
              <w:spacing w:line="360" w:lineRule="exac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noWrap/>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售后服务具体事项：</w:t>
            </w:r>
          </w:p>
          <w:p>
            <w:pPr>
              <w:spacing w:line="360" w:lineRule="exac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noWrap/>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 保修期责任：</w:t>
            </w:r>
          </w:p>
          <w:p>
            <w:pPr>
              <w:spacing w:line="360" w:lineRule="exac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3" w:type="dxa"/>
            <w:gridSpan w:val="2"/>
            <w:noWrap/>
          </w:tcPr>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 其他具体事项：</w:t>
            </w:r>
          </w:p>
          <w:p>
            <w:pPr>
              <w:spacing w:line="360" w:lineRule="exact"/>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5" w:type="dxa"/>
            <w:tcBorders>
              <w:bottom w:val="single" w:color="auto" w:sz="4" w:space="0"/>
            </w:tcBorders>
            <w:noWrap/>
          </w:tcPr>
          <w:p>
            <w:pPr>
              <w:spacing w:line="36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甲方（章）</w:t>
            </w:r>
          </w:p>
          <w:p>
            <w:pPr>
              <w:spacing w:line="360" w:lineRule="exact"/>
              <w:rPr>
                <w:rFonts w:ascii="仿宋" w:hAnsi="仿宋" w:eastAsia="仿宋" w:cs="仿宋"/>
                <w:color w:val="auto"/>
                <w:szCs w:val="21"/>
                <w:highlight w:val="none"/>
              </w:rPr>
            </w:pPr>
          </w:p>
          <w:p>
            <w:pPr>
              <w:spacing w:line="360" w:lineRule="exact"/>
              <w:rPr>
                <w:rFonts w:ascii="仿宋" w:hAnsi="仿宋" w:eastAsia="仿宋" w:cs="仿宋"/>
                <w:color w:val="auto"/>
                <w:szCs w:val="21"/>
                <w:highlight w:val="none"/>
              </w:rPr>
            </w:pPr>
          </w:p>
          <w:p>
            <w:pPr>
              <w:spacing w:line="3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c>
          <w:tcPr>
            <w:tcW w:w="4948" w:type="dxa"/>
            <w:tcBorders>
              <w:bottom w:val="single" w:color="auto" w:sz="4" w:space="0"/>
            </w:tcBorders>
            <w:noWrap/>
          </w:tcPr>
          <w:p>
            <w:pPr>
              <w:spacing w:line="36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乙方（章）</w:t>
            </w:r>
          </w:p>
          <w:p>
            <w:pPr>
              <w:spacing w:line="360" w:lineRule="exact"/>
              <w:rPr>
                <w:rFonts w:ascii="仿宋" w:hAnsi="仿宋" w:eastAsia="仿宋" w:cs="仿宋"/>
                <w:color w:val="auto"/>
                <w:szCs w:val="21"/>
                <w:highlight w:val="none"/>
              </w:rPr>
            </w:pPr>
          </w:p>
          <w:p>
            <w:pPr>
              <w:spacing w:line="360" w:lineRule="exact"/>
              <w:rPr>
                <w:rFonts w:ascii="仿宋" w:hAnsi="仿宋" w:eastAsia="仿宋" w:cs="仿宋"/>
                <w:color w:val="auto"/>
                <w:szCs w:val="21"/>
                <w:highlight w:val="none"/>
              </w:rPr>
            </w:pPr>
          </w:p>
          <w:p>
            <w:pPr>
              <w:spacing w:line="36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注：售后服务事项填不下时可另加附页</w:t>
      </w:r>
    </w:p>
    <w:p>
      <w:pPr>
        <w:pStyle w:val="9"/>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snapToGrid w:val="0"/>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广西壮族自治区政府采购项目合同验收书</w:t>
      </w:r>
    </w:p>
    <w:p>
      <w:pPr>
        <w:widowControl/>
        <w:snapToGrid w:val="0"/>
        <w:spacing w:before="100" w:beforeAutospacing="1" w:after="100" w:afterAutospacing="1" w:line="360" w:lineRule="auto"/>
        <w:ind w:left="-359" w:leftChars="-171"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 xml:space="preserve">采购合同编号：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）政府采购项目成交供应商（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）提供的货物（或工程、服务）进行了验收，验收情况如下：</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 w:firstLineChars="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2" w:firstLineChars="1"/>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left="-3" w:firstLine="4" w:firstLineChars="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2" w:firstLineChars="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ign w:val="center"/>
          </w:tcPr>
          <w:p>
            <w:pPr>
              <w:widowControl/>
              <w:snapToGrid w:val="0"/>
              <w:spacing w:before="100" w:beforeAutospacing="1" w:after="100" w:afterAutospacing="1" w:line="360" w:lineRule="auto"/>
              <w:ind w:firstLine="2" w:firstLineChars="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60" w:lineRule="auto"/>
              <w:ind w:firstLine="39" w:firstLineChars="19"/>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（应</w:t>
            </w:r>
            <w:r>
              <w:rPr>
                <w:rFonts w:hint="eastAsia" w:ascii="仿宋" w:hAnsi="仿宋" w:eastAsia="仿宋" w:cs="仿宋"/>
                <w:color w:val="auto"/>
                <w:kern w:val="0"/>
                <w:szCs w:val="21"/>
                <w:highlight w:val="none"/>
              </w:rPr>
              <w:t>按采购合同、采购文件、响应文件及验收方案等进行验收；并核对</w:t>
            </w:r>
            <w:r>
              <w:rPr>
                <w:rFonts w:hint="eastAsia" w:ascii="仿宋" w:hAnsi="仿宋" w:eastAsia="仿宋" w:cs="仿宋"/>
                <w:color w:val="auto"/>
                <w:szCs w:val="21"/>
                <w:highlight w:val="none"/>
              </w:rPr>
              <w:t>成交供应商在安装调试等方面是否违反合同约定或服务规范要求、提供的质量保证证明材料是否齐全、应有的配件及附件是否达到合同约定等</w:t>
            </w:r>
            <w:r>
              <w:rPr>
                <w:rFonts w:hint="eastAsia" w:ascii="仿宋" w:hAnsi="仿宋" w:eastAsia="仿宋" w:cs="仿宋"/>
                <w:color w:val="auto"/>
                <w:kern w:val="0"/>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ign w:val="center"/>
          </w:tcPr>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left"/>
              <w:rPr>
                <w:rFonts w:ascii="仿宋" w:hAnsi="仿宋" w:eastAsia="仿宋" w:cs="仿宋"/>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监督人员或其他相关人员签字：</w:t>
            </w:r>
          </w:p>
          <w:p>
            <w:pPr>
              <w:widowControl/>
              <w:spacing w:before="100" w:beforeAutospacing="1" w:after="100" w:afterAutospacing="1" w:line="360" w:lineRule="auto"/>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tcMar>
              <w:top w:w="0" w:type="dxa"/>
              <w:left w:w="108" w:type="dxa"/>
              <w:bottom w:w="0" w:type="dxa"/>
              <w:right w:w="108" w:type="dxa"/>
            </w:tcMar>
            <w:vAlign w:val="center"/>
          </w:tcPr>
          <w:p>
            <w:pPr>
              <w:widowControl/>
              <w:spacing w:before="100" w:beforeAutospacing="1" w:after="100" w:afterAutospacing="1" w:line="360" w:lineRule="auto"/>
              <w:ind w:firstLine="65" w:firstLineChars="31"/>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成交供应商负责人签名或盖章：</w:t>
            </w:r>
          </w:p>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ign w:val="center"/>
          </w:tcPr>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采购人或受托机构的意见（盖章）：</w:t>
            </w:r>
          </w:p>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pPr>
        <w:widowControl/>
        <w:spacing w:line="360" w:lineRule="auto"/>
        <w:jc w:val="left"/>
        <w:rPr>
          <w:rFonts w:ascii="仿宋" w:hAnsi="仿宋" w:eastAsia="仿宋" w:cs="仿宋"/>
          <w:color w:val="auto"/>
          <w:spacing w:val="-10"/>
          <w:kern w:val="0"/>
          <w:szCs w:val="21"/>
          <w:highlight w:val="none"/>
        </w:rPr>
      </w:pPr>
      <w:r>
        <w:rPr>
          <w:rFonts w:hint="eastAsia" w:ascii="仿宋" w:hAnsi="仿宋" w:eastAsia="仿宋" w:cs="仿宋"/>
          <w:color w:val="auto"/>
          <w:spacing w:val="-10"/>
          <w:kern w:val="0"/>
          <w:szCs w:val="21"/>
          <w:highlight w:val="none"/>
        </w:rPr>
        <w:t>备注：本报告单一式4份（采购单位1份、供应商1份、采购监督部门备案1份、采购代理机构1份）。</w:t>
      </w:r>
    </w:p>
    <w:p>
      <w:pPr>
        <w:pStyle w:val="9"/>
        <w:spacing w:line="360" w:lineRule="exact"/>
        <w:jc w:val="center"/>
        <w:rPr>
          <w:rFonts w:ascii="仿宋" w:hAnsi="仿宋" w:eastAsia="仿宋" w:cs="仿宋"/>
          <w:color w:val="auto"/>
          <w:szCs w:val="21"/>
          <w:highlight w:val="none"/>
        </w:rPr>
      </w:pPr>
    </w:p>
    <w:p>
      <w:pPr>
        <w:rPr>
          <w:rFonts w:ascii="仿宋" w:hAnsi="仿宋" w:eastAsia="仿宋" w:cs="仿宋"/>
          <w:color w:val="auto"/>
          <w:highlight w:val="none"/>
        </w:rPr>
      </w:pPr>
      <w:bookmarkStart w:id="21" w:name="_Toc446927446"/>
    </w:p>
    <w:p>
      <w:pPr>
        <w:spacing w:beforeLines="20" w:afterLines="20"/>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 xml:space="preserve">第五章  </w:t>
      </w:r>
      <w:r>
        <w:rPr>
          <w:rFonts w:hint="eastAsia" w:ascii="仿宋" w:hAnsi="仿宋" w:eastAsia="仿宋" w:cs="仿宋"/>
          <w:b/>
          <w:color w:val="auto"/>
          <w:sz w:val="52"/>
          <w:szCs w:val="52"/>
          <w:highlight w:val="none"/>
          <w:lang w:eastAsia="zh-CN"/>
        </w:rPr>
        <w:t>响应文件格式</w:t>
      </w:r>
      <w:r>
        <w:rPr>
          <w:rFonts w:hint="eastAsia" w:ascii="仿宋" w:hAnsi="仿宋" w:eastAsia="仿宋" w:cs="仿宋"/>
          <w:b/>
          <w:color w:val="auto"/>
          <w:sz w:val="52"/>
          <w:szCs w:val="52"/>
          <w:highlight w:val="none"/>
        </w:rPr>
        <w:t>（格式）</w:t>
      </w:r>
      <w:bookmarkEnd w:id="21"/>
    </w:p>
    <w:p>
      <w:pPr>
        <w:pStyle w:val="9"/>
        <w:jc w:val="center"/>
        <w:rPr>
          <w:rFonts w:ascii="仿宋" w:hAnsi="仿宋" w:eastAsia="仿宋" w:cs="仿宋"/>
          <w:color w:val="auto"/>
          <w:highlight w:val="none"/>
        </w:rPr>
      </w:pPr>
    </w:p>
    <w:p>
      <w:pPr>
        <w:pStyle w:val="9"/>
        <w:rPr>
          <w:rFonts w:ascii="仿宋" w:hAnsi="仿宋" w:eastAsia="仿宋" w:cs="仿宋"/>
          <w:b/>
          <w:color w:val="auto"/>
          <w:sz w:val="36"/>
          <w:szCs w:val="36"/>
          <w:highlight w:val="none"/>
        </w:rPr>
      </w:pPr>
    </w:p>
    <w:p>
      <w:pPr>
        <w:pStyle w:val="9"/>
        <w:rPr>
          <w:rFonts w:ascii="仿宋" w:hAnsi="仿宋" w:eastAsia="仿宋" w:cs="仿宋"/>
          <w:b/>
          <w:color w:val="auto"/>
          <w:sz w:val="36"/>
          <w:szCs w:val="36"/>
          <w:highlight w:val="none"/>
        </w:rPr>
      </w:pPr>
    </w:p>
    <w:p>
      <w:pPr>
        <w:pStyle w:val="9"/>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响应文件外层包装（格式）</w:t>
      </w: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pStyle w:val="9"/>
        <w:jc w:val="center"/>
        <w:rPr>
          <w:rFonts w:ascii="仿宋" w:hAnsi="仿宋" w:eastAsia="仿宋" w:cs="仿宋"/>
          <w:color w:val="auto"/>
          <w:highlight w:val="none"/>
        </w:rPr>
      </w:pPr>
    </w:p>
    <w:p>
      <w:pPr>
        <w:spacing w:line="60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(1)采购代理机构：</w:t>
      </w:r>
      <w:r>
        <w:rPr>
          <w:rFonts w:hint="eastAsia" w:ascii="仿宋" w:hAnsi="仿宋" w:eastAsia="仿宋" w:cs="仿宋"/>
          <w:color w:val="auto"/>
          <w:sz w:val="28"/>
          <w:szCs w:val="28"/>
          <w:highlight w:val="none"/>
          <w:u w:val="single"/>
        </w:rPr>
        <w:t xml:space="preserve">广西天柱建设管理有限公司                                   </w:t>
      </w:r>
    </w:p>
    <w:p>
      <w:pPr>
        <w:spacing w:line="60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u w:val="single"/>
        </w:rPr>
        <w:t>钟山县应急管理局综合应急救援先锋队物资采购项目</w:t>
      </w:r>
    </w:p>
    <w:p>
      <w:pPr>
        <w:spacing w:line="60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(3)项目编号：</w:t>
      </w:r>
      <w:r>
        <w:rPr>
          <w:rFonts w:hint="eastAsia" w:ascii="仿宋" w:hAnsi="仿宋" w:eastAsia="仿宋" w:cs="仿宋"/>
          <w:color w:val="auto"/>
          <w:sz w:val="28"/>
          <w:szCs w:val="28"/>
          <w:highlight w:val="none"/>
          <w:u w:val="single"/>
        </w:rPr>
        <w:t>HZZC2020-J1-220178-GXTZ</w:t>
      </w:r>
    </w:p>
    <w:p>
      <w:pPr>
        <w:spacing w:line="6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(4)标段</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）标段</w:t>
      </w:r>
    </w:p>
    <w:p>
      <w:pPr>
        <w:spacing w:line="600" w:lineRule="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竞标</w:t>
      </w:r>
      <w:r>
        <w:rPr>
          <w:rFonts w:hint="eastAsia" w:ascii="仿宋" w:hAnsi="仿宋" w:eastAsia="仿宋" w:cs="仿宋"/>
          <w:color w:val="auto"/>
          <w:sz w:val="28"/>
          <w:szCs w:val="28"/>
          <w:highlight w:val="none"/>
        </w:rPr>
        <w:t>单位：</w:t>
      </w:r>
    </w:p>
    <w:p>
      <w:pPr>
        <w:spacing w:line="60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)联系方式：</w:t>
      </w:r>
    </w:p>
    <w:p>
      <w:pPr>
        <w:spacing w:line="600" w:lineRule="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)注明2020年11月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日北京时间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分整前不得启封</w:t>
      </w:r>
    </w:p>
    <w:p>
      <w:pPr>
        <w:pStyle w:val="9"/>
        <w:jc w:val="center"/>
        <w:rPr>
          <w:rFonts w:ascii="仿宋" w:hAnsi="仿宋" w:eastAsia="仿宋" w:cs="仿宋"/>
          <w:color w:val="auto"/>
          <w:sz w:val="36"/>
          <w:szCs w:val="36"/>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36"/>
          <w:highlight w:val="none"/>
        </w:rPr>
        <w:t>（</w:t>
      </w:r>
      <w:r>
        <w:rPr>
          <w:rFonts w:hint="eastAsia" w:ascii="仿宋" w:hAnsi="仿宋" w:eastAsia="仿宋" w:cs="仿宋"/>
          <w:b/>
          <w:color w:val="auto"/>
          <w:sz w:val="36"/>
          <w:szCs w:val="36"/>
          <w:highlight w:val="none"/>
        </w:rPr>
        <w:t>封面格式</w:t>
      </w:r>
      <w:r>
        <w:rPr>
          <w:rFonts w:hint="eastAsia" w:ascii="仿宋" w:hAnsi="仿宋" w:eastAsia="仿宋" w:cs="仿宋"/>
          <w:color w:val="auto"/>
          <w:sz w:val="36"/>
          <w:szCs w:val="36"/>
          <w:highlight w:val="none"/>
        </w:rPr>
        <w:t>）</w:t>
      </w:r>
    </w:p>
    <w:p>
      <w:pPr>
        <w:pStyle w:val="9"/>
        <w:jc w:val="center"/>
        <w:rPr>
          <w:rFonts w:ascii="仿宋" w:hAnsi="仿宋" w:eastAsia="仿宋" w:cs="仿宋"/>
          <w:color w:val="auto"/>
          <w:sz w:val="36"/>
          <w:szCs w:val="36"/>
          <w:highlight w:val="none"/>
        </w:rPr>
      </w:pPr>
    </w:p>
    <w:p>
      <w:pPr>
        <w:pStyle w:val="9"/>
        <w:ind w:firstLine="2160" w:firstLineChars="6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u w:val="single"/>
        </w:rPr>
        <w:t xml:space="preserve"> 正/副 </w:t>
      </w:r>
      <w:r>
        <w:rPr>
          <w:rFonts w:hint="eastAsia" w:ascii="仿宋" w:hAnsi="仿宋" w:eastAsia="仿宋" w:cs="仿宋"/>
          <w:color w:val="auto"/>
          <w:sz w:val="36"/>
          <w:szCs w:val="36"/>
          <w:highlight w:val="none"/>
        </w:rPr>
        <w:t>本</w:t>
      </w:r>
    </w:p>
    <w:p>
      <w:pPr>
        <w:pStyle w:val="9"/>
        <w:jc w:val="center"/>
        <w:rPr>
          <w:rFonts w:ascii="仿宋" w:hAnsi="仿宋" w:eastAsia="仿宋" w:cs="仿宋"/>
          <w:color w:val="auto"/>
          <w:sz w:val="36"/>
          <w:szCs w:val="36"/>
          <w:highlight w:val="none"/>
        </w:rPr>
      </w:pPr>
    </w:p>
    <w:p>
      <w:pPr>
        <w:pStyle w:val="9"/>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竞标</w:t>
      </w:r>
      <w:r>
        <w:rPr>
          <w:rFonts w:hint="eastAsia" w:ascii="仿宋" w:hAnsi="仿宋" w:eastAsia="仿宋" w:cs="仿宋"/>
          <w:color w:val="auto"/>
          <w:sz w:val="36"/>
          <w:szCs w:val="36"/>
          <w:highlight w:val="none"/>
        </w:rPr>
        <w:t>单位名称）</w:t>
      </w:r>
    </w:p>
    <w:p>
      <w:pPr>
        <w:pStyle w:val="9"/>
        <w:jc w:val="center"/>
        <w:rPr>
          <w:rFonts w:ascii="仿宋" w:hAnsi="仿宋" w:eastAsia="仿宋" w:cs="仿宋"/>
          <w:color w:val="auto"/>
          <w:sz w:val="36"/>
          <w:szCs w:val="36"/>
          <w:highlight w:val="none"/>
        </w:rPr>
      </w:pPr>
    </w:p>
    <w:p>
      <w:pPr>
        <w:pStyle w:val="9"/>
        <w:jc w:val="center"/>
        <w:rPr>
          <w:rFonts w:ascii="仿宋" w:hAnsi="仿宋" w:eastAsia="仿宋" w:cs="仿宋"/>
          <w:color w:val="auto"/>
          <w:sz w:val="36"/>
          <w:szCs w:val="36"/>
          <w:highlight w:val="none"/>
        </w:rPr>
      </w:pPr>
    </w:p>
    <w:p>
      <w:pPr>
        <w:pStyle w:val="9"/>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响 应 文 件</w:t>
      </w:r>
    </w:p>
    <w:p>
      <w:pPr>
        <w:pStyle w:val="9"/>
        <w:jc w:val="center"/>
        <w:rPr>
          <w:rFonts w:ascii="仿宋" w:hAnsi="仿宋" w:eastAsia="仿宋" w:cs="仿宋"/>
          <w:color w:val="auto"/>
          <w:sz w:val="44"/>
          <w:szCs w:val="44"/>
          <w:highlight w:val="none"/>
          <w:u w:val="single"/>
        </w:rPr>
      </w:pPr>
    </w:p>
    <w:p>
      <w:pPr>
        <w:pStyle w:val="9"/>
        <w:jc w:val="center"/>
        <w:rPr>
          <w:rFonts w:ascii="仿宋" w:hAnsi="仿宋" w:eastAsia="仿宋" w:cs="仿宋"/>
          <w:color w:val="auto"/>
          <w:sz w:val="36"/>
          <w:szCs w:val="36"/>
          <w:highlight w:val="none"/>
        </w:rPr>
      </w:pPr>
      <w:r>
        <w:rPr>
          <w:rFonts w:hint="eastAsia" w:ascii="仿宋" w:hAnsi="仿宋" w:eastAsia="仿宋" w:cs="仿宋"/>
          <w:color w:val="auto"/>
          <w:sz w:val="44"/>
          <w:szCs w:val="44"/>
          <w:highlight w:val="none"/>
          <w:u w:val="single"/>
        </w:rPr>
        <w:t>（</w:t>
      </w:r>
      <w:r>
        <w:rPr>
          <w:rFonts w:hint="eastAsia" w:ascii="仿宋" w:hAnsi="仿宋" w:eastAsia="仿宋" w:cs="仿宋"/>
          <w:color w:val="auto"/>
          <w:sz w:val="44"/>
          <w:szCs w:val="44"/>
          <w:highlight w:val="none"/>
          <w:u w:val="single"/>
          <w:lang w:val="en-US" w:eastAsia="zh-CN"/>
        </w:rPr>
        <w:t xml:space="preserve">   </w:t>
      </w:r>
      <w:r>
        <w:rPr>
          <w:rFonts w:hint="eastAsia" w:ascii="仿宋" w:hAnsi="仿宋" w:eastAsia="仿宋" w:cs="仿宋"/>
          <w:color w:val="auto"/>
          <w:sz w:val="44"/>
          <w:szCs w:val="44"/>
          <w:highlight w:val="none"/>
          <w:u w:val="single"/>
        </w:rPr>
        <w:t>）标段</w:t>
      </w:r>
    </w:p>
    <w:p>
      <w:pPr>
        <w:pStyle w:val="9"/>
        <w:jc w:val="center"/>
        <w:rPr>
          <w:rFonts w:ascii="仿宋" w:hAnsi="仿宋" w:eastAsia="仿宋" w:cs="仿宋"/>
          <w:color w:val="auto"/>
          <w:sz w:val="36"/>
          <w:szCs w:val="36"/>
          <w:highlight w:val="none"/>
        </w:rPr>
      </w:pPr>
    </w:p>
    <w:p>
      <w:pPr>
        <w:pStyle w:val="9"/>
        <w:jc w:val="center"/>
        <w:rPr>
          <w:rFonts w:ascii="仿宋" w:hAnsi="仿宋" w:eastAsia="仿宋" w:cs="仿宋"/>
          <w:color w:val="auto"/>
          <w:sz w:val="36"/>
          <w:szCs w:val="36"/>
          <w:highlight w:val="none"/>
        </w:rPr>
      </w:pPr>
    </w:p>
    <w:p>
      <w:pPr>
        <w:pStyle w:val="9"/>
        <w:ind w:firstLine="1285" w:firstLineChars="400"/>
        <w:jc w:val="left"/>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项目名称：</w:t>
      </w:r>
    </w:p>
    <w:p>
      <w:pPr>
        <w:pStyle w:val="9"/>
        <w:ind w:firstLine="1285" w:firstLineChars="400"/>
        <w:rPr>
          <w:rFonts w:ascii="仿宋" w:hAnsi="仿宋" w:eastAsia="仿宋" w:cs="仿宋"/>
          <w:b/>
          <w:color w:val="auto"/>
          <w:sz w:val="32"/>
          <w:szCs w:val="32"/>
          <w:highlight w:val="none"/>
          <w:u w:val="single"/>
        </w:rPr>
      </w:pPr>
    </w:p>
    <w:p>
      <w:pPr>
        <w:pStyle w:val="9"/>
        <w:ind w:firstLine="1285" w:firstLineChars="400"/>
        <w:rPr>
          <w:rFonts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项目编号：</w:t>
      </w:r>
    </w:p>
    <w:p>
      <w:pPr>
        <w:pStyle w:val="9"/>
        <w:ind w:firstLine="1280" w:firstLineChars="400"/>
        <w:jc w:val="center"/>
        <w:rPr>
          <w:rFonts w:ascii="仿宋" w:hAnsi="仿宋" w:eastAsia="仿宋" w:cs="仿宋"/>
          <w:color w:val="auto"/>
          <w:sz w:val="32"/>
          <w:szCs w:val="32"/>
          <w:highlight w:val="none"/>
          <w:u w:val="single"/>
        </w:rPr>
      </w:pPr>
    </w:p>
    <w:p>
      <w:pPr>
        <w:pStyle w:val="9"/>
        <w:ind w:firstLine="1280" w:firstLineChars="400"/>
        <w:jc w:val="center"/>
        <w:rPr>
          <w:rFonts w:ascii="仿宋" w:hAnsi="仿宋" w:eastAsia="仿宋" w:cs="仿宋"/>
          <w:color w:val="auto"/>
          <w:sz w:val="32"/>
          <w:szCs w:val="32"/>
          <w:highlight w:val="none"/>
          <w:u w:val="single"/>
        </w:rPr>
      </w:pPr>
    </w:p>
    <w:p>
      <w:pPr>
        <w:pStyle w:val="9"/>
        <w:ind w:firstLine="1280" w:firstLineChars="400"/>
        <w:jc w:val="center"/>
        <w:rPr>
          <w:rFonts w:ascii="仿宋" w:hAnsi="仿宋" w:eastAsia="仿宋" w:cs="仿宋"/>
          <w:color w:val="auto"/>
          <w:sz w:val="32"/>
          <w:szCs w:val="32"/>
          <w:highlight w:val="none"/>
          <w:u w:val="single"/>
        </w:rPr>
      </w:pPr>
    </w:p>
    <w:p>
      <w:pPr>
        <w:pStyle w:val="9"/>
        <w:ind w:firstLine="1120" w:firstLineChars="4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竞标</w:t>
      </w:r>
      <w:r>
        <w:rPr>
          <w:rFonts w:hint="eastAsia" w:ascii="仿宋" w:hAnsi="仿宋" w:eastAsia="仿宋" w:cs="仿宋"/>
          <w:color w:val="auto"/>
          <w:sz w:val="28"/>
          <w:szCs w:val="28"/>
          <w:highlight w:val="none"/>
        </w:rPr>
        <w:t>单位名称（单位公章）：</w:t>
      </w:r>
    </w:p>
    <w:p>
      <w:pPr>
        <w:pStyle w:val="9"/>
        <w:ind w:firstLine="1120" w:firstLineChars="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pPr>
        <w:pStyle w:val="9"/>
        <w:ind w:right="560" w:firstLine="1120" w:firstLineChars="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pPr>
        <w:pStyle w:val="9"/>
        <w:spacing w:line="360" w:lineRule="exact"/>
        <w:rPr>
          <w:rFonts w:ascii="仿宋" w:hAnsi="仿宋" w:eastAsia="仿宋" w:cs="仿宋"/>
          <w:color w:val="auto"/>
          <w:highlight w:val="none"/>
        </w:rPr>
      </w:pPr>
      <w:r>
        <w:rPr>
          <w:rFonts w:hint="eastAsia" w:ascii="仿宋" w:hAnsi="仿宋" w:eastAsia="仿宋" w:cs="仿宋"/>
          <w:color w:val="auto"/>
          <w:highlight w:val="none"/>
        </w:rPr>
        <w:br w:type="page"/>
      </w:r>
    </w:p>
    <w:p>
      <w:pPr>
        <w:pStyle w:val="9"/>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pPr>
        <w:pStyle w:val="9"/>
        <w:spacing w:beforeLines="30" w:afterLines="30"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b/>
          <w:color w:val="auto"/>
          <w:szCs w:val="21"/>
          <w:highlight w:val="none"/>
        </w:rPr>
        <w:t>1、商务部分</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函（按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要求填写）；</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（2）开标一览表（按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 xml:space="preserve">要求填写）； </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缴纳证明（按本须知第15条要求提交）；</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报价明细表（按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填写）；</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（5）售后服务方案（按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 xml:space="preserve">填写）； </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资格证明文件(按本须知第13条要求提供)；</w:t>
      </w:r>
    </w:p>
    <w:p>
      <w:pPr>
        <w:pStyle w:val="9"/>
        <w:spacing w:beforeLines="30" w:afterLines="30" w:line="360" w:lineRule="auto"/>
        <w:ind w:left="420" w:leftChars="196" w:hanging="8" w:hangingChars="4"/>
        <w:rPr>
          <w:rFonts w:ascii="仿宋" w:hAnsi="仿宋" w:eastAsia="仿宋" w:cs="仿宋"/>
          <w:color w:val="auto"/>
          <w:szCs w:val="21"/>
          <w:highlight w:val="none"/>
        </w:rPr>
      </w:pPr>
      <w:r>
        <w:rPr>
          <w:rFonts w:hint="eastAsia" w:ascii="仿宋" w:hAnsi="仿宋" w:eastAsia="仿宋" w:cs="仿宋"/>
          <w:b/>
          <w:color w:val="auto"/>
          <w:szCs w:val="21"/>
          <w:highlight w:val="none"/>
        </w:rPr>
        <w:t>2、技术部分</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（1）货物合格证明文件（按本须知第14条要求提供）；</w:t>
      </w:r>
    </w:p>
    <w:p>
      <w:pPr>
        <w:pStyle w:val="9"/>
        <w:spacing w:line="360" w:lineRule="auto"/>
        <w:ind w:left="403" w:leftChars="192"/>
        <w:rPr>
          <w:rFonts w:ascii="仿宋" w:hAnsi="仿宋" w:eastAsia="仿宋" w:cs="仿宋"/>
          <w:color w:val="auto"/>
          <w:szCs w:val="21"/>
          <w:highlight w:val="none"/>
        </w:rPr>
      </w:pPr>
      <w:r>
        <w:rPr>
          <w:rFonts w:hint="eastAsia" w:ascii="仿宋" w:hAnsi="仿宋" w:eastAsia="仿宋" w:cs="仿宋"/>
          <w:color w:val="auto"/>
          <w:szCs w:val="21"/>
          <w:highlight w:val="none"/>
        </w:rPr>
        <w:t>（2）技术规格偏离表（按</w:t>
      </w:r>
      <w:r>
        <w:rPr>
          <w:rFonts w:hint="eastAsia" w:ascii="仿宋" w:hAnsi="仿宋" w:eastAsia="仿宋" w:cs="仿宋"/>
          <w:color w:val="auto"/>
          <w:szCs w:val="21"/>
          <w:highlight w:val="none"/>
          <w:lang w:eastAsia="zh-CN"/>
        </w:rPr>
        <w:t>竞争性谈判</w:t>
      </w:r>
      <w:r>
        <w:rPr>
          <w:rFonts w:hint="eastAsia" w:ascii="仿宋" w:hAnsi="仿宋" w:eastAsia="仿宋" w:cs="仿宋"/>
          <w:color w:val="auto"/>
          <w:szCs w:val="21"/>
          <w:highlight w:val="none"/>
        </w:rPr>
        <w:t>采购文件第五章</w:t>
      </w:r>
      <w:r>
        <w:rPr>
          <w:rFonts w:hint="eastAsia" w:ascii="仿宋" w:hAnsi="仿宋" w:eastAsia="仿宋" w:cs="仿宋"/>
          <w:color w:val="auto"/>
          <w:szCs w:val="21"/>
          <w:highlight w:val="none"/>
          <w:lang w:eastAsia="zh-CN"/>
        </w:rPr>
        <w:t>《响应文件格式》</w:t>
      </w:r>
      <w:r>
        <w:rPr>
          <w:rFonts w:hint="eastAsia" w:ascii="仿宋" w:hAnsi="仿宋" w:eastAsia="仿宋" w:cs="仿宋"/>
          <w:color w:val="auto"/>
          <w:szCs w:val="21"/>
          <w:highlight w:val="none"/>
        </w:rPr>
        <w:t>填写）；</w:t>
      </w:r>
    </w:p>
    <w:p>
      <w:pPr>
        <w:pStyle w:val="9"/>
        <w:spacing w:beforeLines="30" w:afterLines="30" w:line="360" w:lineRule="auto"/>
        <w:ind w:left="403" w:leftChars="192"/>
        <w:rPr>
          <w:rFonts w:ascii="仿宋" w:hAnsi="仿宋" w:eastAsia="仿宋" w:cs="仿宋"/>
          <w:color w:val="auto"/>
          <w:highlight w:val="none"/>
        </w:rPr>
      </w:pPr>
      <w:r>
        <w:rPr>
          <w:rFonts w:hint="eastAsia" w:ascii="仿宋" w:hAnsi="仿宋" w:eastAsia="仿宋" w:cs="仿宋"/>
          <w:b/>
          <w:color w:val="auto"/>
          <w:szCs w:val="21"/>
          <w:highlight w:val="none"/>
        </w:rPr>
        <w:t>3、其他材料</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人认为有必要提供的其它材料）。</w:t>
      </w: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rPr>
          <w:rFonts w:ascii="仿宋" w:hAnsi="仿宋" w:eastAsia="仿宋" w:cs="仿宋"/>
          <w:color w:val="auto"/>
          <w:sz w:val="28"/>
          <w:szCs w:val="28"/>
          <w:highlight w:val="none"/>
        </w:rPr>
      </w:pPr>
    </w:p>
    <w:p>
      <w:pPr>
        <w:pStyle w:val="9"/>
        <w:spacing w:line="360" w:lineRule="auto"/>
        <w:jc w:val="center"/>
        <w:outlineLvl w:val="1"/>
        <w:rPr>
          <w:rFonts w:ascii="仿宋" w:hAnsi="仿宋" w:eastAsia="仿宋" w:cs="仿宋"/>
          <w:b/>
          <w:color w:val="auto"/>
          <w:sz w:val="44"/>
          <w:szCs w:val="44"/>
          <w:highlight w:val="none"/>
        </w:rPr>
      </w:pPr>
      <w:bookmarkStart w:id="22" w:name="_Toc329096195"/>
      <w:bookmarkStart w:id="23" w:name="_Toc446927447"/>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第一部分  商务部分</w:t>
      </w:r>
      <w:bookmarkEnd w:id="22"/>
      <w:bookmarkEnd w:id="23"/>
    </w:p>
    <w:p>
      <w:pPr>
        <w:pStyle w:val="9"/>
        <w:spacing w:line="360" w:lineRule="exact"/>
        <w:jc w:val="center"/>
        <w:outlineLvl w:val="2"/>
        <w:rPr>
          <w:rFonts w:ascii="仿宋" w:hAnsi="仿宋" w:eastAsia="仿宋" w:cs="仿宋"/>
          <w:b/>
          <w:color w:val="auto"/>
          <w:sz w:val="32"/>
          <w:highlight w:val="none"/>
        </w:rPr>
      </w:pPr>
      <w:bookmarkStart w:id="24" w:name="_Toc446927448"/>
      <w:bookmarkStart w:id="25" w:name="_Toc329096196"/>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color w:val="auto"/>
          <w:highlight w:val="none"/>
        </w:rPr>
      </w:pPr>
      <w:r>
        <w:rPr>
          <w:rFonts w:hint="eastAsia" w:ascii="仿宋" w:hAnsi="仿宋" w:eastAsia="仿宋" w:cs="仿宋"/>
          <w:b/>
          <w:color w:val="auto"/>
          <w:sz w:val="32"/>
          <w:highlight w:val="none"/>
        </w:rPr>
        <w:t>一、</w:t>
      </w:r>
      <w:r>
        <w:rPr>
          <w:rFonts w:hint="eastAsia" w:ascii="仿宋" w:hAnsi="仿宋" w:eastAsia="仿宋" w:cs="仿宋"/>
          <w:b/>
          <w:color w:val="auto"/>
          <w:sz w:val="32"/>
          <w:highlight w:val="none"/>
          <w:lang w:eastAsia="zh-CN"/>
        </w:rPr>
        <w:t>竞标</w:t>
      </w:r>
      <w:r>
        <w:rPr>
          <w:rFonts w:hint="eastAsia" w:ascii="仿宋" w:hAnsi="仿宋" w:eastAsia="仿宋" w:cs="仿宋"/>
          <w:b/>
          <w:color w:val="auto"/>
          <w:sz w:val="32"/>
          <w:highlight w:val="none"/>
        </w:rPr>
        <w:t>函（格式）</w:t>
      </w:r>
      <w:bookmarkEnd w:id="24"/>
      <w:bookmarkEnd w:id="25"/>
    </w:p>
    <w:p>
      <w:pPr>
        <w:pStyle w:val="9"/>
        <w:spacing w:line="360" w:lineRule="exact"/>
        <w:rPr>
          <w:rFonts w:ascii="仿宋" w:hAnsi="仿宋" w:eastAsia="仿宋" w:cs="仿宋"/>
          <w:color w:val="auto"/>
          <w:highlight w:val="none"/>
        </w:rPr>
      </w:pPr>
    </w:p>
    <w:p>
      <w:pPr>
        <w:pStyle w:val="9"/>
        <w:spacing w:line="360" w:lineRule="auto"/>
        <w:ind w:firstLine="420"/>
        <w:rPr>
          <w:rFonts w:ascii="仿宋" w:hAnsi="仿宋" w:eastAsia="仿宋" w:cs="仿宋"/>
          <w:color w:val="auto"/>
          <w:szCs w:val="21"/>
          <w:highlight w:val="none"/>
          <w:u w:val="singl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广西天柱建设管理有限公司　</w:t>
      </w:r>
    </w:p>
    <w:p>
      <w:pPr>
        <w:pStyle w:val="9"/>
        <w:spacing w:line="360" w:lineRule="auto"/>
        <w:ind w:firstLine="420"/>
        <w:rPr>
          <w:rFonts w:ascii="仿宋" w:hAnsi="仿宋" w:eastAsia="仿宋" w:cs="仿宋"/>
          <w:color w:val="auto"/>
          <w:szCs w:val="21"/>
          <w:highlight w:val="none"/>
        </w:rPr>
      </w:pP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（）标段</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，正式授权下述签字人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（姓名和职务）代表</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单位名称），提交下述文件正本一份，副本三份。</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一、开标一览表</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缴纳证明</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报价明细表</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四、售后服务方案</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五、</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资格证明文件</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六、技术规格偏离表</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以及在本次招标采购活动中必须提供的其他文件。</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据此函，签字人兹宣布同意如下：</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1、我方同意在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文件规定的开标日期起遵循本</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文件，并在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有效期满之前均具有约束力。</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2、我方承诺已经具备《中华人民共和国政府采购法》中规定的参加采购活动的供应商应当具备的条件：</w:t>
      </w:r>
    </w:p>
    <w:p>
      <w:pPr>
        <w:pStyle w:val="9"/>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（5）参加此项采购活动前三年内，在经营活动中没有重大违法记录。</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3、我方根据</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文件的规定，承担完成合同的责任和义务。</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4、我方已详细审核</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文件，我方知道必须放弃提出含糊不清或误解问题的权利。</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5、如果在</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截止时间后的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有效期内撤回</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或者有其他违约行为，贵方可不退还我方的</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6、同意向贵方提供贵方可能要求的与本</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有关的任何数据或资料。</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7、我方完全理解贵方不一定接受最低报价的</w:t>
      </w: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为成交供应商。</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8、若贵方需要，我方愿意提供我方作出的一切承诺的证明材料。</w:t>
      </w:r>
    </w:p>
    <w:p>
      <w:pPr>
        <w:pStyle w:val="9"/>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spacing w:val="-2"/>
          <w:szCs w:val="21"/>
          <w:highlight w:val="none"/>
        </w:rPr>
        <w:t>我方将严格遵守《中华人民共和国政府采购法》的规定，知悉作为采购供应商应负的法律责任。</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与本</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有关的正式通讯地址为：</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名称：</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地址：                                 邮政编码：</w:t>
      </w:r>
    </w:p>
    <w:p>
      <w:pPr>
        <w:pStyle w:val="9"/>
        <w:spacing w:line="360" w:lineRule="auto"/>
        <w:ind w:firstLine="420"/>
        <w:rPr>
          <w:rFonts w:ascii="仿宋" w:hAnsi="仿宋" w:eastAsia="仿宋" w:cs="仿宋"/>
          <w:color w:val="auto"/>
          <w:szCs w:val="21"/>
          <w:highlight w:val="none"/>
          <w:u w:val="single"/>
        </w:rPr>
      </w:pPr>
      <w:r>
        <w:rPr>
          <w:rFonts w:hint="eastAsia" w:ascii="仿宋" w:hAnsi="仿宋" w:eastAsia="仿宋" w:cs="仿宋"/>
          <w:color w:val="auto"/>
          <w:szCs w:val="21"/>
          <w:highlight w:val="none"/>
        </w:rPr>
        <w:t>电话、传真：</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开户名称：</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帐号：</w:t>
      </w:r>
    </w:p>
    <w:p>
      <w:pPr>
        <w:pStyle w:val="9"/>
        <w:spacing w:line="360" w:lineRule="auto"/>
        <w:ind w:firstLine="42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法定代表人或其委托代理人签名：</w:t>
      </w:r>
    </w:p>
    <w:p>
      <w:pPr>
        <w:pStyle w:val="9"/>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竞标供应商</w:t>
      </w:r>
      <w:r>
        <w:rPr>
          <w:rFonts w:hint="eastAsia" w:ascii="仿宋" w:hAnsi="仿宋" w:eastAsia="仿宋" w:cs="仿宋"/>
          <w:color w:val="auto"/>
          <w:szCs w:val="21"/>
          <w:highlight w:val="none"/>
        </w:rPr>
        <w:t>盖公章：</w:t>
      </w:r>
    </w:p>
    <w:p>
      <w:pPr>
        <w:pStyle w:val="9"/>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日期：</w:t>
      </w:r>
    </w:p>
    <w:p>
      <w:pPr>
        <w:pStyle w:val="9"/>
        <w:spacing w:line="360" w:lineRule="auto"/>
        <w:ind w:firstLine="420" w:firstLineChars="200"/>
        <w:rPr>
          <w:rFonts w:ascii="仿宋" w:hAnsi="仿宋" w:eastAsia="仿宋" w:cs="仿宋"/>
          <w:color w:val="auto"/>
          <w:szCs w:val="21"/>
          <w:highlight w:val="none"/>
          <w:u w:val="single"/>
        </w:rPr>
      </w:pPr>
    </w:p>
    <w:p>
      <w:pPr>
        <w:pStyle w:val="9"/>
        <w:spacing w:line="360" w:lineRule="auto"/>
        <w:ind w:firstLine="420" w:firstLineChars="200"/>
        <w:rPr>
          <w:rFonts w:ascii="仿宋" w:hAnsi="仿宋" w:eastAsia="仿宋" w:cs="仿宋"/>
          <w:color w:val="auto"/>
          <w:szCs w:val="21"/>
          <w:highlight w:val="none"/>
          <w:u w:val="single"/>
        </w:rPr>
      </w:pPr>
    </w:p>
    <w:p>
      <w:pPr>
        <w:pStyle w:val="9"/>
        <w:spacing w:line="360" w:lineRule="exact"/>
        <w:jc w:val="center"/>
        <w:outlineLvl w:val="2"/>
        <w:rPr>
          <w:rFonts w:ascii="仿宋" w:hAnsi="仿宋" w:eastAsia="仿宋" w:cs="仿宋"/>
          <w:b/>
          <w:color w:val="auto"/>
          <w:sz w:val="32"/>
          <w:highlight w:val="none"/>
        </w:rPr>
      </w:pPr>
      <w:bookmarkStart w:id="26" w:name="_Toc446927449"/>
      <w:bookmarkStart w:id="27" w:name="_Toc329096197"/>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p>
    <w:p>
      <w:pPr>
        <w:pStyle w:val="9"/>
        <w:spacing w:line="360" w:lineRule="exact"/>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r>
        <w:rPr>
          <w:rFonts w:hint="eastAsia" w:ascii="仿宋" w:hAnsi="仿宋" w:eastAsia="仿宋" w:cs="仿宋"/>
          <w:b/>
          <w:color w:val="auto"/>
          <w:sz w:val="32"/>
          <w:highlight w:val="none"/>
        </w:rPr>
        <w:t>二、开标一览表（格式）</w:t>
      </w:r>
      <w:bookmarkEnd w:id="26"/>
      <w:bookmarkEnd w:id="27"/>
    </w:p>
    <w:p>
      <w:pPr>
        <w:pStyle w:val="9"/>
        <w:rPr>
          <w:rFonts w:ascii="仿宋" w:hAnsi="仿宋" w:eastAsia="仿宋" w:cs="仿宋"/>
          <w:b/>
          <w:color w:val="auto"/>
          <w:sz w:val="24"/>
          <w:highlight w:val="none"/>
        </w:rPr>
      </w:pPr>
    </w:p>
    <w:p>
      <w:pPr>
        <w:pStyle w:val="9"/>
        <w:spacing w:line="360" w:lineRule="auto"/>
        <w:ind w:left="630" w:leftChars="200" w:hanging="210" w:hangingChars="100"/>
        <w:rPr>
          <w:rFonts w:ascii="仿宋" w:hAnsi="仿宋" w:eastAsia="仿宋" w:cs="仿宋"/>
          <w:color w:val="auto"/>
          <w:highlight w:val="none"/>
        </w:rPr>
      </w:pPr>
      <w:r>
        <w:rPr>
          <w:rFonts w:hint="eastAsia" w:ascii="仿宋" w:hAnsi="仿宋" w:eastAsia="仿宋" w:cs="仿宋"/>
          <w:color w:val="auto"/>
          <w:highlight w:val="none"/>
        </w:rPr>
        <w:t>项目名称：</w:t>
      </w:r>
    </w:p>
    <w:p>
      <w:pPr>
        <w:pStyle w:val="9"/>
        <w:spacing w:line="360" w:lineRule="auto"/>
        <w:ind w:left="630" w:leftChars="200" w:hanging="210" w:hangingChars="100"/>
        <w:rPr>
          <w:rFonts w:ascii="仿宋" w:hAnsi="仿宋" w:eastAsia="仿宋" w:cs="仿宋"/>
          <w:color w:val="auto"/>
          <w:highlight w:val="none"/>
        </w:rPr>
      </w:pPr>
      <w:r>
        <w:rPr>
          <w:rFonts w:hint="eastAsia" w:ascii="仿宋" w:hAnsi="仿宋" w:eastAsia="仿宋" w:cs="仿宋"/>
          <w:color w:val="auto"/>
          <w:highlight w:val="none"/>
        </w:rPr>
        <w:t>项目编号：</w:t>
      </w:r>
    </w:p>
    <w:p>
      <w:pPr>
        <w:pStyle w:val="9"/>
        <w:spacing w:line="360" w:lineRule="auto"/>
        <w:ind w:left="630" w:leftChars="200" w:hanging="210" w:hangingChars="100"/>
        <w:rPr>
          <w:rFonts w:ascii="仿宋" w:hAnsi="仿宋" w:eastAsia="仿宋" w:cs="仿宋"/>
          <w:color w:val="auto"/>
          <w:highlight w:val="none"/>
          <w:u w:val="single"/>
        </w:rPr>
      </w:pPr>
      <w:r>
        <w:rPr>
          <w:rFonts w:hint="eastAsia" w:ascii="仿宋" w:hAnsi="仿宋" w:eastAsia="仿宋" w:cs="仿宋"/>
          <w:color w:val="auto"/>
          <w:highlight w:val="none"/>
        </w:rPr>
        <w:t>标段：</w:t>
      </w:r>
    </w:p>
    <w:p>
      <w:pPr>
        <w:pStyle w:val="9"/>
        <w:spacing w:line="360" w:lineRule="auto"/>
        <w:ind w:left="630" w:leftChars="300" w:firstLine="5985" w:firstLineChars="2850"/>
        <w:rPr>
          <w:rFonts w:ascii="仿宋" w:hAnsi="仿宋" w:eastAsia="仿宋" w:cs="仿宋"/>
          <w:color w:val="auto"/>
          <w:highlight w:val="none"/>
        </w:rPr>
      </w:pPr>
      <w:r>
        <w:rPr>
          <w:rFonts w:hint="eastAsia" w:ascii="仿宋" w:hAnsi="仿宋" w:eastAsia="仿宋" w:cs="仿宋"/>
          <w:color w:val="auto"/>
          <w:highlight w:val="none"/>
        </w:rPr>
        <w:t>金额单位：人民币（元）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61"/>
        <w:gridCol w:w="566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noWrap/>
            <w:vAlign w:val="center"/>
          </w:tcPr>
          <w:p>
            <w:pP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361" w:type="dxa"/>
            <w:noWrap/>
            <w:vAlign w:val="center"/>
          </w:tcPr>
          <w:p>
            <w:pPr>
              <w:ind w:left="141" w:leftChars="67" w:firstLine="118" w:firstLineChars="49"/>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  目</w:t>
            </w:r>
          </w:p>
        </w:tc>
        <w:tc>
          <w:tcPr>
            <w:tcW w:w="5669"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c>
          <w:tcPr>
            <w:tcW w:w="993"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2361" w:type="dxa"/>
            <w:noWrap/>
            <w:vAlign w:val="center"/>
          </w:tcPr>
          <w:p>
            <w:pPr>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竞标保证金</w:t>
            </w:r>
          </w:p>
        </w:tc>
        <w:tc>
          <w:tcPr>
            <w:tcW w:w="5669" w:type="dxa"/>
            <w:noWrap/>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3" w:type="dxa"/>
            <w:noWrap/>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vMerge w:val="restart"/>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２</w:t>
            </w:r>
          </w:p>
        </w:tc>
        <w:tc>
          <w:tcPr>
            <w:tcW w:w="2361" w:type="dxa"/>
            <w:vMerge w:val="restart"/>
            <w:noWrap/>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eastAsia="zh-CN"/>
              </w:rPr>
              <w:t>竞标</w:t>
            </w:r>
            <w:r>
              <w:rPr>
                <w:rFonts w:hint="eastAsia" w:ascii="仿宋" w:hAnsi="仿宋" w:eastAsia="仿宋" w:cs="仿宋"/>
                <w:b/>
                <w:color w:val="auto"/>
                <w:sz w:val="24"/>
                <w:highlight w:val="none"/>
              </w:rPr>
              <w:t>总报价（元）</w:t>
            </w:r>
          </w:p>
        </w:tc>
        <w:tc>
          <w:tcPr>
            <w:tcW w:w="5669" w:type="dxa"/>
            <w:noWrap/>
            <w:vAlign w:val="center"/>
          </w:tcPr>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（大写）人民币：</w:t>
            </w:r>
          </w:p>
        </w:tc>
        <w:tc>
          <w:tcPr>
            <w:tcW w:w="993" w:type="dxa"/>
            <w:noWrap/>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vMerge w:val="continue"/>
            <w:noWrap/>
            <w:vAlign w:val="center"/>
          </w:tcPr>
          <w:p>
            <w:pPr>
              <w:jc w:val="center"/>
              <w:rPr>
                <w:rFonts w:ascii="仿宋" w:hAnsi="仿宋" w:eastAsia="仿宋" w:cs="仿宋"/>
                <w:b/>
                <w:color w:val="auto"/>
                <w:sz w:val="24"/>
                <w:highlight w:val="none"/>
              </w:rPr>
            </w:pPr>
          </w:p>
        </w:tc>
        <w:tc>
          <w:tcPr>
            <w:tcW w:w="2361" w:type="dxa"/>
            <w:vMerge w:val="continue"/>
            <w:noWrap/>
            <w:vAlign w:val="center"/>
          </w:tcPr>
          <w:p>
            <w:pPr>
              <w:jc w:val="center"/>
              <w:rPr>
                <w:rFonts w:ascii="仿宋" w:hAnsi="仿宋" w:eastAsia="仿宋" w:cs="仿宋"/>
                <w:color w:val="auto"/>
                <w:sz w:val="24"/>
                <w:highlight w:val="none"/>
              </w:rPr>
            </w:pPr>
          </w:p>
        </w:tc>
        <w:tc>
          <w:tcPr>
            <w:tcW w:w="5669" w:type="dxa"/>
            <w:noWrap/>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993" w:type="dxa"/>
            <w:noWrap/>
            <w:vAlign w:val="center"/>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３</w:t>
            </w:r>
          </w:p>
        </w:tc>
        <w:tc>
          <w:tcPr>
            <w:tcW w:w="2361" w:type="dxa"/>
            <w:noWrap/>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交付使用期</w:t>
            </w:r>
          </w:p>
        </w:tc>
        <w:tc>
          <w:tcPr>
            <w:tcW w:w="5669" w:type="dxa"/>
            <w:noWrap/>
            <w:vAlign w:val="center"/>
          </w:tcPr>
          <w:p>
            <w:pPr>
              <w:ind w:firstLine="120" w:firstLineChars="50"/>
              <w:rPr>
                <w:rFonts w:ascii="仿宋" w:hAnsi="仿宋" w:eastAsia="仿宋" w:cs="仿宋"/>
                <w:color w:val="auto"/>
                <w:sz w:val="24"/>
                <w:highlight w:val="none"/>
                <w:u w:val="single"/>
              </w:rPr>
            </w:pPr>
            <w:r>
              <w:rPr>
                <w:rFonts w:hint="eastAsia" w:ascii="仿宋" w:hAnsi="仿宋" w:eastAsia="仿宋" w:cs="仿宋"/>
                <w:color w:val="auto"/>
                <w:sz w:val="24"/>
                <w:highlight w:val="none"/>
              </w:rPr>
              <w:t>自签订合同之日起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日历天</w:t>
            </w:r>
          </w:p>
        </w:tc>
        <w:tc>
          <w:tcPr>
            <w:tcW w:w="993" w:type="dxa"/>
            <w:noWrap/>
            <w:vAlign w:val="center"/>
          </w:tcPr>
          <w:p>
            <w:pPr>
              <w:ind w:firstLine="120" w:firstLineChars="5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1"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4</w:t>
            </w:r>
          </w:p>
        </w:tc>
        <w:tc>
          <w:tcPr>
            <w:tcW w:w="2361" w:type="dxa"/>
            <w:noWrap/>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竞标</w:t>
            </w:r>
            <w:r>
              <w:rPr>
                <w:rFonts w:hint="eastAsia" w:ascii="仿宋" w:hAnsi="仿宋" w:eastAsia="仿宋" w:cs="仿宋"/>
                <w:b/>
                <w:color w:val="auto"/>
                <w:sz w:val="24"/>
                <w:highlight w:val="none"/>
              </w:rPr>
              <w:t>有效期</w:t>
            </w:r>
          </w:p>
        </w:tc>
        <w:tc>
          <w:tcPr>
            <w:tcW w:w="5669" w:type="dxa"/>
            <w:noWrap/>
            <w:vAlign w:val="center"/>
          </w:tcPr>
          <w:p>
            <w:pPr>
              <w:ind w:firstLine="120" w:firstLineChars="50"/>
              <w:rPr>
                <w:rFonts w:ascii="仿宋" w:hAnsi="仿宋" w:eastAsia="仿宋" w:cs="仿宋"/>
                <w:color w:val="auto"/>
                <w:sz w:val="24"/>
                <w:highlight w:val="none"/>
              </w:rPr>
            </w:pPr>
          </w:p>
        </w:tc>
        <w:tc>
          <w:tcPr>
            <w:tcW w:w="993" w:type="dxa"/>
            <w:noWrap/>
            <w:vAlign w:val="center"/>
          </w:tcPr>
          <w:p>
            <w:pPr>
              <w:ind w:firstLine="120" w:firstLineChars="5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861" w:type="dxa"/>
            <w:gridSpan w:val="3"/>
            <w:noWrap/>
            <w:vAlign w:val="center"/>
          </w:tcPr>
          <w:p>
            <w:pPr>
              <w:pStyle w:val="9"/>
              <w:spacing w:line="360" w:lineRule="auto"/>
              <w:outlineLvl w:val="3"/>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color w:val="auto"/>
                <w:sz w:val="24"/>
                <w:szCs w:val="24"/>
                <w:highlight w:val="none"/>
                <w:lang w:eastAsia="zh-CN"/>
              </w:rPr>
              <w:t>竞标</w:t>
            </w:r>
            <w:r>
              <w:rPr>
                <w:rFonts w:hint="eastAsia" w:ascii="仿宋" w:hAnsi="仿宋" w:eastAsia="仿宋" w:cs="仿宋"/>
                <w:b/>
                <w:color w:val="auto"/>
                <w:sz w:val="24"/>
                <w:szCs w:val="24"/>
                <w:highlight w:val="none"/>
              </w:rPr>
              <w:t>报价货物、服务、随配附件、备品备件、工具、运抵指定交货地点、设备安装、配件及附属材料、调试验收等至验收合格所发生的各种费用和售后服务、保险费、税金及其他所有成本费用的总和。</w:t>
            </w:r>
          </w:p>
        </w:tc>
        <w:tc>
          <w:tcPr>
            <w:tcW w:w="993" w:type="dxa"/>
            <w:noWrap/>
            <w:vAlign w:val="center"/>
          </w:tcPr>
          <w:p>
            <w:pPr>
              <w:pStyle w:val="9"/>
              <w:spacing w:line="360" w:lineRule="auto"/>
              <w:outlineLvl w:val="3"/>
              <w:rPr>
                <w:rFonts w:ascii="仿宋" w:hAnsi="仿宋" w:eastAsia="仿宋" w:cs="仿宋"/>
                <w:b/>
                <w:color w:val="auto"/>
                <w:sz w:val="24"/>
                <w:szCs w:val="24"/>
                <w:highlight w:val="none"/>
              </w:rPr>
            </w:pPr>
          </w:p>
        </w:tc>
      </w:tr>
    </w:tbl>
    <w:p>
      <w:pPr>
        <w:pStyle w:val="9"/>
        <w:ind w:firstLine="2520" w:firstLineChars="1200"/>
        <w:rPr>
          <w:rFonts w:ascii="仿宋" w:hAnsi="仿宋" w:eastAsia="仿宋" w:cs="仿宋"/>
          <w:color w:val="auto"/>
          <w:highlight w:val="none"/>
        </w:rPr>
      </w:pPr>
    </w:p>
    <w:p>
      <w:pPr>
        <w:pStyle w:val="9"/>
        <w:ind w:firstLine="2520" w:firstLineChars="1200"/>
        <w:rPr>
          <w:rFonts w:ascii="仿宋" w:hAnsi="仿宋" w:eastAsia="仿宋" w:cs="仿宋"/>
          <w:color w:val="auto"/>
          <w:highlight w:val="none"/>
        </w:rPr>
      </w:pP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单位（盖公章）：</w:t>
      </w:r>
    </w:p>
    <w:p>
      <w:pPr>
        <w:pStyle w:val="9"/>
        <w:ind w:left="3360" w:leftChars="1600"/>
        <w:rPr>
          <w:rFonts w:ascii="仿宋" w:hAnsi="仿宋" w:eastAsia="仿宋" w:cs="仿宋"/>
          <w:color w:val="auto"/>
          <w:highlight w:val="none"/>
          <w:u w:val="single"/>
        </w:rPr>
      </w:pPr>
      <w:r>
        <w:rPr>
          <w:rFonts w:hint="eastAsia" w:ascii="仿宋" w:hAnsi="仿宋" w:eastAsia="仿宋" w:cs="仿宋"/>
          <w:color w:val="auto"/>
          <w:highlight w:val="none"/>
        </w:rPr>
        <w:t>法定代表人或其委托代理人（签字）：</w:t>
      </w: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ind w:left="3360" w:leftChars="1600"/>
        <w:rPr>
          <w:rFonts w:ascii="仿宋" w:hAnsi="仿宋" w:eastAsia="仿宋" w:cs="仿宋"/>
          <w:color w:val="auto"/>
          <w:highlight w:val="none"/>
        </w:rPr>
      </w:pPr>
    </w:p>
    <w:p>
      <w:pPr>
        <w:pStyle w:val="9"/>
        <w:ind w:left="3360" w:leftChars="1600"/>
        <w:rPr>
          <w:rFonts w:ascii="仿宋" w:hAnsi="仿宋" w:eastAsia="仿宋" w:cs="仿宋"/>
          <w:color w:val="auto"/>
          <w:highlight w:val="none"/>
        </w:rPr>
      </w:pPr>
    </w:p>
    <w:p>
      <w:pPr>
        <w:pStyle w:val="9"/>
        <w:ind w:left="3360" w:leftChars="1600"/>
        <w:rPr>
          <w:rFonts w:ascii="仿宋" w:hAnsi="仿宋" w:eastAsia="仿宋" w:cs="仿宋"/>
          <w:color w:val="auto"/>
          <w:highlight w:val="none"/>
        </w:rPr>
      </w:pPr>
    </w:p>
    <w:p>
      <w:pPr>
        <w:pStyle w:val="9"/>
        <w:spacing w:line="240" w:lineRule="auto"/>
        <w:rPr>
          <w:rFonts w:ascii="仿宋" w:hAnsi="仿宋" w:eastAsia="仿宋" w:cs="仿宋"/>
          <w:b/>
          <w:color w:val="auto"/>
          <w:highlight w:val="none"/>
        </w:rPr>
      </w:pPr>
      <w:r>
        <w:rPr>
          <w:rFonts w:hint="eastAsia" w:ascii="仿宋" w:hAnsi="仿宋" w:eastAsia="仿宋" w:cs="仿宋"/>
          <w:b/>
          <w:color w:val="auto"/>
          <w:highlight w:val="none"/>
        </w:rPr>
        <w:t>说明：</w:t>
      </w:r>
    </w:p>
    <w:p>
      <w:pPr>
        <w:pStyle w:val="9"/>
        <w:numPr>
          <w:ilvl w:val="1"/>
          <w:numId w:val="6"/>
        </w:numPr>
        <w:spacing w:line="240" w:lineRule="auto"/>
        <w:rPr>
          <w:rFonts w:ascii="仿宋" w:hAnsi="仿宋" w:eastAsia="仿宋" w:cs="仿宋"/>
          <w:b/>
          <w:color w:val="auto"/>
          <w:highlight w:val="none"/>
        </w:rPr>
      </w:pPr>
      <w:r>
        <w:rPr>
          <w:rFonts w:hint="eastAsia" w:ascii="仿宋" w:hAnsi="仿宋" w:eastAsia="仿宋" w:cs="仿宋"/>
          <w:b/>
          <w:color w:val="auto"/>
          <w:highlight w:val="none"/>
        </w:rPr>
        <w:t>开标一览表每一页都必须加盖公章或签字，否则</w:t>
      </w:r>
      <w:r>
        <w:rPr>
          <w:rFonts w:hint="eastAsia" w:ascii="仿宋" w:hAnsi="仿宋" w:eastAsia="仿宋" w:cs="仿宋"/>
          <w:b/>
          <w:color w:val="auto"/>
          <w:highlight w:val="none"/>
          <w:lang w:eastAsia="zh-CN"/>
        </w:rPr>
        <w:t>竞标响应文件</w:t>
      </w:r>
      <w:r>
        <w:rPr>
          <w:rFonts w:hint="eastAsia" w:ascii="仿宋" w:hAnsi="仿宋" w:eastAsia="仿宋" w:cs="仿宋"/>
          <w:b/>
          <w:color w:val="auto"/>
          <w:highlight w:val="none"/>
        </w:rPr>
        <w:t>无效。</w:t>
      </w:r>
    </w:p>
    <w:p>
      <w:pPr>
        <w:pStyle w:val="9"/>
        <w:numPr>
          <w:ilvl w:val="1"/>
          <w:numId w:val="6"/>
        </w:numPr>
        <w:spacing w:line="240" w:lineRule="auto"/>
        <w:rPr>
          <w:rFonts w:ascii="仿宋" w:hAnsi="仿宋" w:eastAsia="仿宋" w:cs="仿宋"/>
          <w:b/>
          <w:bCs/>
          <w:color w:val="auto"/>
          <w:highlight w:val="none"/>
        </w:rPr>
      </w:pPr>
      <w:r>
        <w:rPr>
          <w:rFonts w:hint="eastAsia" w:ascii="仿宋" w:hAnsi="仿宋" w:eastAsia="仿宋" w:cs="仿宋"/>
          <w:b/>
          <w:color w:val="auto"/>
          <w:highlight w:val="none"/>
        </w:rPr>
        <w:t>开标一览表内容</w:t>
      </w:r>
      <w:r>
        <w:rPr>
          <w:rFonts w:hint="eastAsia" w:ascii="仿宋" w:hAnsi="仿宋" w:eastAsia="仿宋" w:cs="仿宋"/>
          <w:b/>
          <w:bCs/>
          <w:color w:val="auto"/>
          <w:highlight w:val="none"/>
        </w:rPr>
        <w:t>与</w:t>
      </w:r>
      <w:r>
        <w:rPr>
          <w:rFonts w:hint="eastAsia" w:ascii="仿宋" w:hAnsi="仿宋" w:eastAsia="仿宋" w:cs="仿宋"/>
          <w:b/>
          <w:bCs/>
          <w:color w:val="auto"/>
          <w:highlight w:val="none"/>
          <w:lang w:eastAsia="zh-CN"/>
        </w:rPr>
        <w:t>竞标响应文件</w:t>
      </w:r>
      <w:r>
        <w:rPr>
          <w:rFonts w:hint="eastAsia" w:ascii="仿宋" w:hAnsi="仿宋" w:eastAsia="仿宋" w:cs="仿宋"/>
          <w:b/>
          <w:bCs/>
          <w:color w:val="auto"/>
          <w:highlight w:val="none"/>
        </w:rPr>
        <w:t>中内容不一致的，以开标一览表为准</w:t>
      </w:r>
      <w:bookmarkStart w:id="28" w:name="_Toc329096198"/>
      <w:bookmarkStart w:id="29" w:name="_Toc446927450"/>
    </w:p>
    <w:p>
      <w:pPr>
        <w:pStyle w:val="9"/>
        <w:spacing w:line="360" w:lineRule="exact"/>
        <w:outlineLvl w:val="2"/>
        <w:rPr>
          <w:rFonts w:ascii="仿宋" w:hAnsi="仿宋" w:eastAsia="仿宋" w:cs="仿宋"/>
          <w:b/>
          <w:color w:val="auto"/>
          <w:sz w:val="32"/>
          <w:highlight w:val="none"/>
        </w:rPr>
      </w:pPr>
    </w:p>
    <w:p>
      <w:pPr>
        <w:pStyle w:val="9"/>
        <w:spacing w:line="360" w:lineRule="exact"/>
        <w:jc w:val="center"/>
        <w:outlineLvl w:val="2"/>
        <w:rPr>
          <w:rFonts w:ascii="仿宋" w:hAnsi="仿宋" w:eastAsia="仿宋" w:cs="仿宋"/>
          <w:b/>
          <w:color w:val="auto"/>
          <w:sz w:val="32"/>
          <w:highlight w:val="none"/>
        </w:rPr>
      </w:pPr>
      <w:r>
        <w:rPr>
          <w:rFonts w:hint="eastAsia" w:ascii="仿宋" w:hAnsi="仿宋" w:eastAsia="仿宋" w:cs="仿宋"/>
          <w:b/>
          <w:color w:val="auto"/>
          <w:sz w:val="32"/>
          <w:highlight w:val="none"/>
        </w:rPr>
        <w:t>三、</w:t>
      </w:r>
      <w:r>
        <w:rPr>
          <w:rFonts w:hint="eastAsia" w:ascii="仿宋" w:hAnsi="仿宋" w:eastAsia="仿宋" w:cs="仿宋"/>
          <w:b/>
          <w:color w:val="auto"/>
          <w:sz w:val="32"/>
          <w:highlight w:val="none"/>
          <w:lang w:eastAsia="zh-CN"/>
        </w:rPr>
        <w:t>竞标保证金</w:t>
      </w:r>
      <w:r>
        <w:rPr>
          <w:rFonts w:hint="eastAsia" w:ascii="仿宋" w:hAnsi="仿宋" w:eastAsia="仿宋" w:cs="仿宋"/>
          <w:b/>
          <w:color w:val="auto"/>
          <w:sz w:val="32"/>
          <w:highlight w:val="none"/>
        </w:rPr>
        <w:t>缴纳证明（格式）</w:t>
      </w:r>
      <w:bookmarkEnd w:id="28"/>
      <w:bookmarkEnd w:id="29"/>
    </w:p>
    <w:p>
      <w:pPr>
        <w:pStyle w:val="9"/>
        <w:spacing w:before="240" w:line="360" w:lineRule="exact"/>
        <w:jc w:val="center"/>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附：</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缴纳证明材料，若以转账、电汇方式提交的</w:t>
      </w:r>
      <w:r>
        <w:rPr>
          <w:rFonts w:hint="eastAsia" w:ascii="仿宋" w:hAnsi="仿宋" w:eastAsia="仿宋" w:cs="仿宋"/>
          <w:color w:val="auto"/>
          <w:szCs w:val="21"/>
          <w:highlight w:val="none"/>
          <w:lang w:eastAsia="zh-CN"/>
        </w:rPr>
        <w:t>竞标保证金</w:t>
      </w:r>
      <w:r>
        <w:rPr>
          <w:rFonts w:hint="eastAsia" w:ascii="仿宋" w:hAnsi="仿宋" w:eastAsia="仿宋" w:cs="仿宋"/>
          <w:color w:val="auto"/>
          <w:szCs w:val="21"/>
          <w:highlight w:val="none"/>
        </w:rPr>
        <w:t>，还需附基本账户开户许可证或基本存款账户信息复印件</w:t>
      </w:r>
      <w:r>
        <w:rPr>
          <w:rFonts w:hint="eastAsia" w:ascii="仿宋" w:hAnsi="仿宋" w:eastAsia="仿宋" w:cs="仿宋"/>
          <w:color w:val="auto"/>
          <w:highlight w:val="none"/>
        </w:rPr>
        <w:t>）</w:t>
      </w:r>
    </w:p>
    <w:p>
      <w:pPr>
        <w:pStyle w:val="9"/>
        <w:spacing w:before="240" w:line="360" w:lineRule="exact"/>
        <w:rPr>
          <w:rFonts w:ascii="仿宋" w:hAnsi="仿宋" w:eastAsia="仿宋" w:cs="仿宋"/>
          <w:color w:val="auto"/>
          <w:highlight w:val="none"/>
        </w:rPr>
      </w:pPr>
    </w:p>
    <w:p>
      <w:pPr>
        <w:pStyle w:val="9"/>
        <w:spacing w:line="360" w:lineRule="exact"/>
        <w:jc w:val="center"/>
        <w:outlineLvl w:val="2"/>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bookmarkStart w:id="30" w:name="_Toc329096199"/>
      <w:bookmarkStart w:id="31" w:name="_Toc446927451"/>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竞标</w:t>
      </w:r>
      <w:r>
        <w:rPr>
          <w:rFonts w:hint="eastAsia" w:ascii="仿宋" w:hAnsi="仿宋" w:eastAsia="仿宋" w:cs="仿宋"/>
          <w:b/>
          <w:color w:val="auto"/>
          <w:sz w:val="28"/>
          <w:szCs w:val="28"/>
          <w:highlight w:val="none"/>
        </w:rPr>
        <w:t>报价明细</w:t>
      </w:r>
      <w:r>
        <w:rPr>
          <w:rFonts w:hint="eastAsia" w:ascii="仿宋" w:hAnsi="仿宋" w:eastAsia="仿宋" w:cs="仿宋"/>
          <w:b/>
          <w:color w:val="auto"/>
          <w:sz w:val="32"/>
          <w:highlight w:val="none"/>
        </w:rPr>
        <w:t>表（格式）</w:t>
      </w:r>
      <w:bookmarkEnd w:id="30"/>
      <w:bookmarkEnd w:id="31"/>
    </w:p>
    <w:p>
      <w:pPr>
        <w:pStyle w:val="9"/>
        <w:spacing w:line="360" w:lineRule="auto"/>
        <w:rPr>
          <w:rFonts w:ascii="仿宋" w:hAnsi="仿宋" w:eastAsia="仿宋" w:cs="仿宋"/>
          <w:color w:val="auto"/>
          <w:highlight w:val="none"/>
        </w:rPr>
      </w:pPr>
    </w:p>
    <w:p>
      <w:pPr>
        <w:pStyle w:val="9"/>
        <w:spacing w:line="360" w:lineRule="auto"/>
        <w:rPr>
          <w:rFonts w:ascii="仿宋" w:hAnsi="仿宋" w:eastAsia="仿宋" w:cs="仿宋"/>
          <w:color w:val="auto"/>
          <w:highlight w:val="none"/>
        </w:rPr>
      </w:pPr>
    </w:p>
    <w:p>
      <w:pPr>
        <w:pStyle w:val="9"/>
        <w:spacing w:line="360" w:lineRule="auto"/>
        <w:rPr>
          <w:rFonts w:ascii="仿宋" w:hAnsi="仿宋" w:eastAsia="仿宋" w:cs="仿宋"/>
          <w:color w:val="auto"/>
          <w:highlight w:val="none"/>
        </w:rPr>
      </w:pPr>
      <w:r>
        <w:rPr>
          <w:rFonts w:hint="eastAsia" w:ascii="仿宋" w:hAnsi="仿宋" w:eastAsia="仿宋" w:cs="仿宋"/>
          <w:color w:val="auto"/>
          <w:highlight w:val="none"/>
        </w:rPr>
        <w:t>项目名称：</w:t>
      </w:r>
    </w:p>
    <w:p>
      <w:pPr>
        <w:pStyle w:val="9"/>
        <w:spacing w:line="360" w:lineRule="auto"/>
        <w:rPr>
          <w:rFonts w:ascii="仿宋" w:hAnsi="仿宋" w:eastAsia="仿宋" w:cs="仿宋"/>
          <w:color w:val="auto"/>
          <w:highlight w:val="none"/>
        </w:rPr>
      </w:pPr>
      <w:r>
        <w:rPr>
          <w:rFonts w:hint="eastAsia" w:ascii="仿宋" w:hAnsi="仿宋" w:eastAsia="仿宋" w:cs="仿宋"/>
          <w:color w:val="auto"/>
          <w:highlight w:val="none"/>
        </w:rPr>
        <w:t>项目编号：</w:t>
      </w:r>
    </w:p>
    <w:p>
      <w:pPr>
        <w:pStyle w:val="9"/>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标段：</w:t>
      </w:r>
    </w:p>
    <w:p>
      <w:pPr>
        <w:pStyle w:val="9"/>
        <w:snapToGrid w:val="0"/>
        <w:spacing w:before="295" w:after="295"/>
        <w:ind w:firstLine="7140" w:firstLineChars="3400"/>
        <w:rPr>
          <w:rFonts w:ascii="仿宋" w:hAnsi="仿宋" w:eastAsia="仿宋" w:cs="仿宋"/>
          <w:color w:val="auto"/>
          <w:highlight w:val="none"/>
        </w:rPr>
      </w:pPr>
      <w:r>
        <w:rPr>
          <w:rFonts w:hint="eastAsia" w:ascii="仿宋" w:hAnsi="仿宋" w:eastAsia="仿宋" w:cs="仿宋"/>
          <w:color w:val="auto"/>
          <w:highlight w:val="none"/>
        </w:rPr>
        <w:t>金额单位：人民币（元）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627"/>
        <w:gridCol w:w="2375"/>
        <w:gridCol w:w="3010"/>
        <w:gridCol w:w="470"/>
        <w:gridCol w:w="524"/>
        <w:gridCol w:w="851"/>
        <w:gridCol w:w="1105"/>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trPr>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项号</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货物名称</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货物品牌、型号规格、生产厂家及国别</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技术参数、性能配置（包括标准配置和附加部件）</w:t>
            </w:r>
          </w:p>
        </w:tc>
        <w:tc>
          <w:tcPr>
            <w:tcW w:w="0" w:type="auto"/>
            <w:tcBorders>
              <w:bottom w:val="single" w:color="auto" w:sz="4" w:space="0"/>
            </w:tcBorders>
            <w:noWrap/>
            <w:vAlign w:val="center"/>
          </w:tcPr>
          <w:p>
            <w:pPr>
              <w:pStyle w:val="9"/>
              <w:spacing w:line="3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kern w:val="0"/>
                <w:sz w:val="21"/>
                <w:szCs w:val="21"/>
                <w:highlight w:val="none"/>
              </w:rPr>
              <w:t>单位</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pacing w:val="-20"/>
                <w:sz w:val="21"/>
                <w:szCs w:val="21"/>
                <w:highlight w:val="none"/>
              </w:rPr>
              <w:t>数量①</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单价(元)②</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单项合价（元）</w:t>
            </w:r>
          </w:p>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③=①×②</w:t>
            </w:r>
          </w:p>
        </w:tc>
        <w:tc>
          <w:tcPr>
            <w:tcW w:w="0" w:type="auto"/>
            <w:tcBorders>
              <w:bottom w:val="single" w:color="auto" w:sz="4" w:space="0"/>
            </w:tcBorders>
            <w:noWrap/>
            <w:vAlign w:val="center"/>
          </w:tcPr>
          <w:p>
            <w:pPr>
              <w:pStyle w:val="9"/>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0" w:type="auto"/>
            <w:noWrap/>
            <w:vAlign w:val="center"/>
          </w:tcPr>
          <w:p>
            <w:pPr>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0" w:type="auto"/>
            <w:noWrap/>
            <w:vAlign w:val="center"/>
          </w:tcPr>
          <w:p>
            <w:pPr>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0" w:type="auto"/>
            <w:noWrap/>
            <w:vAlign w:val="center"/>
          </w:tcPr>
          <w:p>
            <w:pPr>
              <w:spacing w:line="36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N</w:t>
            </w: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spacing w:line="360" w:lineRule="exact"/>
              <w:jc w:val="center"/>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z w:val="21"/>
                <w:szCs w:val="21"/>
                <w:highlight w:val="none"/>
              </w:rPr>
            </w:pPr>
          </w:p>
        </w:tc>
        <w:tc>
          <w:tcPr>
            <w:tcW w:w="0" w:type="auto"/>
            <w:noWrap/>
            <w:vAlign w:val="center"/>
          </w:tcPr>
          <w:p>
            <w:pPr>
              <w:pStyle w:val="9"/>
              <w:spacing w:line="360" w:lineRule="exact"/>
              <w:rPr>
                <w:rFonts w:ascii="仿宋" w:hAnsi="仿宋" w:eastAsia="仿宋" w:cs="仿宋"/>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0" w:type="auto"/>
            <w:gridSpan w:val="9"/>
            <w:noWrap/>
            <w:vAlign w:val="center"/>
          </w:tcPr>
          <w:p>
            <w:pPr>
              <w:pStyle w:val="9"/>
              <w:spacing w:line="360" w:lineRule="exact"/>
              <w:rPr>
                <w:rFonts w:ascii="仿宋" w:hAnsi="仿宋" w:eastAsia="仿宋" w:cs="仿宋"/>
                <w:color w:val="auto"/>
                <w:spacing w:val="-6"/>
                <w:sz w:val="21"/>
                <w:szCs w:val="21"/>
                <w:highlight w:val="none"/>
              </w:rPr>
            </w:pPr>
            <w:r>
              <w:rPr>
                <w:rFonts w:hint="eastAsia" w:ascii="仿宋" w:hAnsi="仿宋" w:eastAsia="仿宋" w:cs="仿宋"/>
                <w:b/>
                <w:bCs/>
                <w:color w:val="auto"/>
                <w:spacing w:val="-6"/>
                <w:sz w:val="21"/>
                <w:szCs w:val="21"/>
                <w:highlight w:val="none"/>
                <w:lang w:eastAsia="zh-CN"/>
              </w:rPr>
              <w:t>竞标</w:t>
            </w:r>
            <w:r>
              <w:rPr>
                <w:rFonts w:hint="eastAsia" w:ascii="仿宋" w:hAnsi="仿宋" w:eastAsia="仿宋" w:cs="仿宋"/>
                <w:b/>
                <w:bCs/>
                <w:color w:val="auto"/>
                <w:spacing w:val="-6"/>
                <w:sz w:val="21"/>
                <w:szCs w:val="21"/>
                <w:highlight w:val="none"/>
              </w:rPr>
              <w:t>总价（人民币）：</w:t>
            </w:r>
            <w:r>
              <w:rPr>
                <w:rFonts w:hint="eastAsia" w:ascii="仿宋" w:hAnsi="仿宋" w:eastAsia="仿宋" w:cs="仿宋"/>
                <w:color w:val="auto"/>
                <w:spacing w:val="-6"/>
                <w:sz w:val="21"/>
                <w:szCs w:val="21"/>
                <w:highlight w:val="none"/>
                <w:u w:val="single"/>
              </w:rPr>
              <w:t xml:space="preserve">          （大写）　　　          </w:t>
            </w:r>
            <w:r>
              <w:rPr>
                <w:rFonts w:hint="eastAsia" w:ascii="仿宋" w:hAnsi="仿宋" w:eastAsia="仿宋" w:cs="仿宋"/>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0" w:type="auto"/>
            <w:gridSpan w:val="9"/>
            <w:noWrap/>
            <w:vAlign w:val="center"/>
          </w:tcPr>
          <w:p>
            <w:pPr>
              <w:pStyle w:val="9"/>
              <w:spacing w:line="360" w:lineRule="exact"/>
              <w:rPr>
                <w:rFonts w:hint="eastAsia" w:ascii="仿宋" w:hAnsi="仿宋" w:eastAsia="仿宋" w:cs="仿宋"/>
                <w:b/>
                <w:bCs/>
                <w:color w:val="auto"/>
                <w:spacing w:val="-6"/>
                <w:sz w:val="21"/>
                <w:szCs w:val="21"/>
                <w:highlight w:val="none"/>
                <w:lang w:eastAsia="zh-CN"/>
              </w:rPr>
            </w:pPr>
            <w:r>
              <w:rPr>
                <w:rFonts w:hint="eastAsia" w:ascii="仿宋" w:hAnsi="仿宋" w:eastAsia="仿宋" w:cs="仿宋"/>
                <w:b/>
                <w:bCs/>
                <w:color w:val="auto"/>
                <w:spacing w:val="-6"/>
                <w:sz w:val="21"/>
                <w:szCs w:val="21"/>
                <w:highlight w:val="none"/>
                <w:lang w:eastAsia="zh-CN"/>
              </w:rPr>
              <w:t>交付使用期：自签订合同之日起     日历天</w:t>
            </w:r>
          </w:p>
        </w:tc>
      </w:tr>
    </w:tbl>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单位（盖公章）：</w:t>
      </w:r>
    </w:p>
    <w:p>
      <w:pPr>
        <w:pStyle w:val="9"/>
        <w:ind w:left="3360" w:leftChars="1600"/>
        <w:rPr>
          <w:rFonts w:ascii="仿宋" w:hAnsi="仿宋" w:eastAsia="仿宋" w:cs="仿宋"/>
          <w:color w:val="auto"/>
          <w:highlight w:val="none"/>
          <w:u w:val="single"/>
        </w:rPr>
      </w:pPr>
      <w:r>
        <w:rPr>
          <w:rFonts w:hint="eastAsia" w:ascii="仿宋" w:hAnsi="仿宋" w:eastAsia="仿宋" w:cs="仿宋"/>
          <w:color w:val="auto"/>
          <w:highlight w:val="none"/>
        </w:rPr>
        <w:t>法定代表人或其委托代理人（签字）：</w:t>
      </w: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spacing w:line="360" w:lineRule="exact"/>
        <w:rPr>
          <w:rFonts w:ascii="仿宋" w:hAnsi="仿宋" w:eastAsia="仿宋" w:cs="仿宋"/>
          <w:b/>
          <w:color w:val="auto"/>
          <w:sz w:val="44"/>
          <w:highlight w:val="none"/>
        </w:rPr>
      </w:pPr>
    </w:p>
    <w:p>
      <w:pPr>
        <w:pStyle w:val="9"/>
        <w:spacing w:line="360" w:lineRule="exact"/>
        <w:rPr>
          <w:rFonts w:ascii="仿宋" w:hAnsi="仿宋" w:eastAsia="仿宋" w:cs="仿宋"/>
          <w:b/>
          <w:color w:val="auto"/>
          <w:highlight w:val="none"/>
        </w:rPr>
      </w:pPr>
      <w:r>
        <w:rPr>
          <w:rFonts w:hint="eastAsia" w:ascii="仿宋" w:hAnsi="仿宋" w:eastAsia="仿宋" w:cs="仿宋"/>
          <w:b/>
          <w:color w:val="auto"/>
          <w:highlight w:val="none"/>
          <w:lang w:eastAsia="zh-CN"/>
        </w:rPr>
        <w:t>竞标</w:t>
      </w:r>
      <w:r>
        <w:rPr>
          <w:rFonts w:hint="eastAsia" w:ascii="仿宋" w:hAnsi="仿宋" w:eastAsia="仿宋" w:cs="仿宋"/>
          <w:b/>
          <w:color w:val="auto"/>
          <w:highlight w:val="none"/>
        </w:rPr>
        <w:t>说明：</w:t>
      </w:r>
    </w:p>
    <w:p>
      <w:pPr>
        <w:pStyle w:val="9"/>
        <w:numPr>
          <w:ilvl w:val="0"/>
          <w:numId w:val="11"/>
        </w:numPr>
        <w:spacing w:line="360" w:lineRule="exact"/>
        <w:rPr>
          <w:rFonts w:ascii="仿宋" w:hAnsi="仿宋" w:eastAsia="仿宋" w:cs="仿宋"/>
          <w:b/>
          <w:color w:val="auto"/>
          <w:highlight w:val="none"/>
        </w:rPr>
      </w:pPr>
      <w:r>
        <w:rPr>
          <w:rFonts w:hint="eastAsia" w:ascii="仿宋" w:hAnsi="仿宋" w:eastAsia="仿宋" w:cs="仿宋"/>
          <w:b/>
          <w:color w:val="auto"/>
          <w:highlight w:val="none"/>
          <w:lang w:eastAsia="zh-CN"/>
        </w:rPr>
        <w:t>竞标供应商</w:t>
      </w:r>
      <w:r>
        <w:rPr>
          <w:rFonts w:hint="eastAsia" w:ascii="仿宋" w:hAnsi="仿宋" w:eastAsia="仿宋" w:cs="仿宋"/>
          <w:b/>
          <w:color w:val="auto"/>
          <w:highlight w:val="none"/>
        </w:rPr>
        <w:t>报价表的每一页都必须加盖公章或签字，否则将被认定为无效的</w:t>
      </w:r>
      <w:r>
        <w:rPr>
          <w:rFonts w:hint="eastAsia" w:ascii="仿宋" w:hAnsi="仿宋" w:eastAsia="仿宋" w:cs="仿宋"/>
          <w:b/>
          <w:color w:val="auto"/>
          <w:highlight w:val="none"/>
          <w:lang w:eastAsia="zh-CN"/>
        </w:rPr>
        <w:t>竞标响应文件</w:t>
      </w:r>
      <w:r>
        <w:rPr>
          <w:rFonts w:hint="eastAsia" w:ascii="仿宋" w:hAnsi="仿宋" w:eastAsia="仿宋" w:cs="仿宋"/>
          <w:b/>
          <w:color w:val="auto"/>
          <w:highlight w:val="none"/>
        </w:rPr>
        <w:t>。</w:t>
      </w:r>
    </w:p>
    <w:p>
      <w:pPr>
        <w:pStyle w:val="9"/>
        <w:numPr>
          <w:ilvl w:val="0"/>
          <w:numId w:val="11"/>
        </w:numPr>
        <w:spacing w:line="360" w:lineRule="exact"/>
        <w:rPr>
          <w:rFonts w:ascii="仿宋" w:hAnsi="仿宋" w:eastAsia="仿宋" w:cs="仿宋"/>
          <w:b/>
          <w:color w:val="auto"/>
          <w:highlight w:val="none"/>
        </w:rPr>
      </w:pPr>
      <w:r>
        <w:rPr>
          <w:rFonts w:hint="eastAsia" w:ascii="仿宋" w:hAnsi="仿宋" w:eastAsia="仿宋" w:cs="仿宋"/>
          <w:b/>
          <w:bCs/>
          <w:color w:val="auto"/>
          <w:highlight w:val="none"/>
          <w:lang w:eastAsia="zh-CN"/>
        </w:rPr>
        <w:t>竞标</w:t>
      </w:r>
      <w:r>
        <w:rPr>
          <w:rFonts w:hint="eastAsia" w:ascii="仿宋" w:hAnsi="仿宋" w:eastAsia="仿宋" w:cs="仿宋"/>
          <w:b/>
          <w:bCs/>
          <w:color w:val="auto"/>
          <w:highlight w:val="none"/>
        </w:rPr>
        <w:t>报价指服务、人员、车辆停放场地等的各种费用和售后服务、税金及其它所有成本、费用的总和。</w:t>
      </w:r>
    </w:p>
    <w:p>
      <w:pPr>
        <w:pStyle w:val="9"/>
        <w:spacing w:line="360" w:lineRule="exact"/>
        <w:outlineLvl w:val="2"/>
        <w:rPr>
          <w:rFonts w:ascii="仿宋" w:hAnsi="仿宋" w:eastAsia="仿宋" w:cs="仿宋"/>
          <w:color w:val="auto"/>
          <w:highlight w:val="none"/>
          <w:u w:val="single"/>
        </w:rPr>
      </w:pPr>
      <w:bookmarkStart w:id="32" w:name="_Toc446927452"/>
      <w:bookmarkStart w:id="33" w:name="_Toc329096200"/>
    </w:p>
    <w:p>
      <w:pPr>
        <w:pStyle w:val="9"/>
        <w:spacing w:line="360" w:lineRule="exact"/>
        <w:outlineLvl w:val="2"/>
        <w:rPr>
          <w:rFonts w:ascii="仿宋" w:hAnsi="仿宋" w:eastAsia="仿宋" w:cs="仿宋"/>
          <w:color w:val="auto"/>
          <w:highlight w:val="none"/>
          <w:u w:val="single"/>
        </w:rPr>
      </w:pPr>
    </w:p>
    <w:p>
      <w:pPr>
        <w:pStyle w:val="9"/>
        <w:spacing w:line="360" w:lineRule="exact"/>
        <w:outlineLvl w:val="2"/>
        <w:rPr>
          <w:rFonts w:ascii="仿宋" w:hAnsi="仿宋" w:eastAsia="仿宋" w:cs="仿宋"/>
          <w:color w:val="auto"/>
          <w:highlight w:val="none"/>
          <w:u w:val="single"/>
        </w:rPr>
      </w:pPr>
    </w:p>
    <w:p>
      <w:pPr>
        <w:pStyle w:val="9"/>
        <w:spacing w:line="360" w:lineRule="exact"/>
        <w:outlineLvl w:val="2"/>
        <w:rPr>
          <w:rFonts w:ascii="仿宋" w:hAnsi="仿宋" w:eastAsia="仿宋" w:cs="仿宋"/>
          <w:color w:val="auto"/>
          <w:highlight w:val="none"/>
          <w:u w:val="single"/>
        </w:rPr>
      </w:pPr>
    </w:p>
    <w:p>
      <w:pPr>
        <w:pStyle w:val="9"/>
        <w:spacing w:line="360" w:lineRule="exact"/>
        <w:jc w:val="center"/>
        <w:outlineLvl w:val="2"/>
        <w:rPr>
          <w:rFonts w:ascii="仿宋" w:hAnsi="仿宋" w:eastAsia="仿宋" w:cs="仿宋"/>
          <w:b/>
          <w:color w:val="auto"/>
          <w:sz w:val="32"/>
          <w:highlight w:val="none"/>
        </w:rPr>
      </w:pPr>
      <w:r>
        <w:rPr>
          <w:rFonts w:hint="eastAsia" w:ascii="仿宋" w:hAnsi="仿宋" w:eastAsia="仿宋" w:cs="仿宋"/>
          <w:b/>
          <w:color w:val="auto"/>
          <w:sz w:val="32"/>
          <w:highlight w:val="none"/>
        </w:rPr>
        <w:t>五、售后服务方案（格式）</w:t>
      </w:r>
      <w:bookmarkEnd w:id="32"/>
      <w:bookmarkEnd w:id="33"/>
    </w:p>
    <w:p>
      <w:pPr>
        <w:pStyle w:val="9"/>
        <w:spacing w:line="360" w:lineRule="exact"/>
        <w:jc w:val="center"/>
        <w:rPr>
          <w:rFonts w:ascii="仿宋" w:hAnsi="仿宋" w:eastAsia="仿宋" w:cs="仿宋"/>
          <w:color w:val="auto"/>
          <w:highlight w:val="none"/>
        </w:rPr>
      </w:pPr>
    </w:p>
    <w:p>
      <w:pPr>
        <w:pStyle w:val="9"/>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(由</w:t>
      </w:r>
      <w:r>
        <w:rPr>
          <w:rFonts w:hint="eastAsia" w:ascii="仿宋" w:hAnsi="仿宋" w:eastAsia="仿宋" w:cs="仿宋"/>
          <w:color w:val="auto"/>
          <w:highlight w:val="none"/>
          <w:lang w:eastAsia="zh-CN"/>
        </w:rPr>
        <w:t>竞标供应商</w:t>
      </w:r>
      <w:r>
        <w:rPr>
          <w:rFonts w:hint="eastAsia" w:ascii="仿宋" w:hAnsi="仿宋" w:eastAsia="仿宋" w:cs="仿宋"/>
          <w:color w:val="auto"/>
          <w:highlight w:val="none"/>
        </w:rPr>
        <w:t>按第三章《货物需求一览表》及第六章《评标办法》中的采购要求自行填写)</w:t>
      </w: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单位（盖公章）：</w:t>
      </w:r>
    </w:p>
    <w:p>
      <w:pPr>
        <w:pStyle w:val="9"/>
        <w:ind w:left="3360" w:leftChars="1600"/>
        <w:rPr>
          <w:rFonts w:ascii="仿宋" w:hAnsi="仿宋" w:eastAsia="仿宋" w:cs="仿宋"/>
          <w:color w:val="auto"/>
          <w:highlight w:val="none"/>
          <w:u w:val="single"/>
        </w:rPr>
      </w:pPr>
      <w:r>
        <w:rPr>
          <w:rFonts w:hint="eastAsia" w:ascii="仿宋" w:hAnsi="仿宋" w:eastAsia="仿宋" w:cs="仿宋"/>
          <w:color w:val="auto"/>
          <w:highlight w:val="none"/>
        </w:rPr>
        <w:t>法定代表人或其委托代理人（签字）：</w:t>
      </w: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13"/>
        <w:rPr>
          <w:color w:val="auto"/>
          <w:highlight w:val="none"/>
        </w:rPr>
      </w:pPr>
      <w:bookmarkStart w:id="34" w:name="_Toc446927454"/>
      <w:bookmarkStart w:id="35" w:name="_Toc329096202"/>
    </w:p>
    <w:p>
      <w:pPr>
        <w:pStyle w:val="17"/>
        <w:numPr>
          <w:ilvl w:val="0"/>
          <w:numId w:val="0"/>
        </w:numPr>
        <w:spacing w:line="400" w:lineRule="exact"/>
        <w:jc w:val="center"/>
        <w:rPr>
          <w:rFonts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五、</w:t>
      </w:r>
      <w:r>
        <w:rPr>
          <w:rFonts w:hint="eastAsia" w:ascii="仿宋" w:hAnsi="仿宋" w:eastAsia="仿宋" w:cs="仿宋"/>
          <w:b/>
          <w:color w:val="auto"/>
          <w:sz w:val="32"/>
          <w:highlight w:val="none"/>
          <w:lang w:eastAsia="zh-CN"/>
        </w:rPr>
        <w:t>竞标供应商</w:t>
      </w:r>
      <w:r>
        <w:rPr>
          <w:rFonts w:hint="eastAsia" w:ascii="仿宋" w:hAnsi="仿宋" w:eastAsia="仿宋" w:cs="仿宋"/>
          <w:b/>
          <w:color w:val="auto"/>
          <w:sz w:val="32"/>
          <w:highlight w:val="none"/>
        </w:rPr>
        <w:t>资格证明文件（格式）</w:t>
      </w:r>
      <w:bookmarkEnd w:id="34"/>
      <w:bookmarkEnd w:id="35"/>
    </w:p>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（按第二章“</w:t>
      </w:r>
      <w:r>
        <w:rPr>
          <w:rFonts w:hint="eastAsia" w:ascii="仿宋" w:hAnsi="仿宋" w:eastAsia="仿宋" w:cs="仿宋"/>
          <w:color w:val="auto"/>
          <w:highlight w:val="none"/>
          <w:lang w:eastAsia="zh-CN"/>
        </w:rPr>
        <w:t>竞标</w:t>
      </w:r>
      <w:r>
        <w:rPr>
          <w:rFonts w:hint="eastAsia" w:ascii="仿宋" w:hAnsi="仿宋" w:eastAsia="仿宋" w:cs="仿宋"/>
          <w:bCs/>
          <w:color w:val="auto"/>
          <w:highlight w:val="none"/>
          <w:lang w:val="en-US" w:eastAsia="zh-CN"/>
        </w:rPr>
        <w:t>人</w:t>
      </w:r>
      <w:r>
        <w:rPr>
          <w:rFonts w:hint="eastAsia" w:ascii="仿宋" w:hAnsi="仿宋" w:eastAsia="仿宋" w:cs="仿宋"/>
          <w:color w:val="auto"/>
          <w:highlight w:val="none"/>
        </w:rPr>
        <w:t>须知”第13条要求提供）</w:t>
      </w:r>
    </w:p>
    <w:p>
      <w:pPr>
        <w:pStyle w:val="9"/>
        <w:spacing w:line="360" w:lineRule="auto"/>
        <w:ind w:left="309"/>
        <w:rPr>
          <w:rFonts w:ascii="仿宋" w:hAnsi="仿宋" w:eastAsia="仿宋" w:cs="仿宋"/>
          <w:b/>
          <w:color w:val="auto"/>
          <w:szCs w:val="21"/>
          <w:highlight w:val="none"/>
        </w:rPr>
      </w:pP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资格证明文件应包含</w:t>
      </w:r>
      <w:r>
        <w:rPr>
          <w:rFonts w:hint="eastAsia" w:ascii="仿宋" w:hAnsi="仿宋" w:eastAsia="仿宋" w:cs="仿宋"/>
          <w:color w:val="auto"/>
          <w:szCs w:val="21"/>
          <w:highlight w:val="none"/>
        </w:rPr>
        <w:t>：</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（1）三证合一的营业执照复印件；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（2）法定代表人资格证明书原件和身份证复印件；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（3）授权委托书原件和委托代理人身份证复印件，（委托代理人出席必须提供，否则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eastAsia="zh-CN"/>
        </w:rPr>
        <w:t>竞标保证金</w:t>
      </w:r>
      <w:r>
        <w:rPr>
          <w:rFonts w:hint="eastAsia" w:ascii="仿宋" w:hAnsi="仿宋" w:eastAsia="仿宋" w:cs="仿宋"/>
          <w:bCs/>
          <w:color w:val="auto"/>
          <w:szCs w:val="21"/>
          <w:highlight w:val="none"/>
        </w:rPr>
        <w:t>交纳证明（必须提供，否则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（5）基本账户开户许可证或基本存款账户信息（若以转账、电汇方式提交的</w:t>
      </w:r>
      <w:r>
        <w:rPr>
          <w:rFonts w:hint="eastAsia" w:ascii="仿宋" w:hAnsi="仿宋" w:eastAsia="仿宋" w:cs="仿宋"/>
          <w:bCs/>
          <w:color w:val="auto"/>
          <w:szCs w:val="21"/>
          <w:highlight w:val="none"/>
          <w:lang w:eastAsia="zh-CN"/>
        </w:rPr>
        <w:t>竞标保证金</w:t>
      </w:r>
      <w:r>
        <w:rPr>
          <w:rFonts w:hint="eastAsia" w:ascii="仿宋" w:hAnsi="仿宋" w:eastAsia="仿宋" w:cs="仿宋"/>
          <w:bCs/>
          <w:color w:val="auto"/>
          <w:szCs w:val="21"/>
          <w:highlight w:val="none"/>
        </w:rPr>
        <w:t>必须提供，否则</w:t>
      </w:r>
      <w:r>
        <w:rPr>
          <w:rFonts w:hint="eastAsia" w:ascii="仿宋" w:hAnsi="仿宋" w:eastAsia="仿宋" w:cs="仿宋"/>
          <w:bCs/>
          <w:color w:val="auto"/>
          <w:szCs w:val="21"/>
          <w:highlight w:val="none"/>
          <w:lang w:eastAsia="zh-CN"/>
        </w:rPr>
        <w:t>竞标</w:t>
      </w:r>
      <w:r>
        <w:rPr>
          <w:rFonts w:hint="eastAsia" w:ascii="仿宋" w:hAnsi="仿宋" w:eastAsia="仿宋" w:cs="仿宋"/>
          <w:bCs/>
          <w:color w:val="auto"/>
          <w:szCs w:val="21"/>
          <w:highlight w:val="none"/>
        </w:rPr>
        <w:t>无效）；</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（6）参加采购活动前三年内在经营活动中没有重大违法记录的书面声明；</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（7）投标截止之日前半年内任意3个月的依法纳税的缴费凭证（格式自拟，复印件，必须提供）；无纳税记录的，应提供由</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所在地的税务部门出具的《依法纳税或依法免税证明》（格式自拟，复印件）。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（8）投标截止之日前半年内任意3个月的依法缴纳社保费的缴费凭证（格式自拟，复印件，必须提供）；无缴费记录的，应提供由</w:t>
      </w:r>
      <w:r>
        <w:rPr>
          <w:rFonts w:hint="eastAsia" w:ascii="仿宋" w:hAnsi="仿宋" w:eastAsia="仿宋" w:cs="仿宋"/>
          <w:bCs/>
          <w:color w:val="auto"/>
          <w:szCs w:val="21"/>
          <w:highlight w:val="none"/>
          <w:lang w:eastAsia="zh-CN"/>
        </w:rPr>
        <w:t>竞标供应商</w:t>
      </w:r>
      <w:r>
        <w:rPr>
          <w:rFonts w:hint="eastAsia" w:ascii="仿宋" w:hAnsi="仿宋" w:eastAsia="仿宋" w:cs="仿宋"/>
          <w:bCs/>
          <w:color w:val="auto"/>
          <w:szCs w:val="21"/>
          <w:highlight w:val="none"/>
        </w:rPr>
        <w:t>所在地社保部门出具的《依法缴纳或依法免缴社保费证明》（格式自拟，复印件）。</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（9）中国裁判文书网(wenshu.court.gov.cn/)查询结果；</w:t>
      </w:r>
    </w:p>
    <w:p>
      <w:pPr>
        <w:pStyle w:val="9"/>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（10）供应商认为必要提供的声明及文件资料。</w:t>
      </w:r>
    </w:p>
    <w:p>
      <w:pPr>
        <w:pStyle w:val="9"/>
        <w:spacing w:line="40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szCs w:val="21"/>
          <w:highlight w:val="none"/>
        </w:rPr>
        <w:t>以上资格证明文件必须提供，并加盖</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单位公章否则</w:t>
      </w:r>
      <w:r>
        <w:rPr>
          <w:rFonts w:hint="eastAsia" w:ascii="仿宋" w:hAnsi="仿宋" w:eastAsia="仿宋" w:cs="仿宋"/>
          <w:b/>
          <w:bCs/>
          <w:color w:val="auto"/>
          <w:szCs w:val="21"/>
          <w:highlight w:val="none"/>
          <w:lang w:eastAsia="zh-CN"/>
        </w:rPr>
        <w:t>竞标</w:t>
      </w:r>
      <w:r>
        <w:rPr>
          <w:rFonts w:hint="eastAsia" w:ascii="仿宋" w:hAnsi="仿宋" w:eastAsia="仿宋" w:cs="仿宋"/>
          <w:b/>
          <w:bCs/>
          <w:color w:val="auto"/>
          <w:szCs w:val="21"/>
          <w:highlight w:val="none"/>
        </w:rPr>
        <w:t>无效。</w:t>
      </w: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p>
    <w:p>
      <w:pPr>
        <w:pStyle w:val="9"/>
        <w:spacing w:line="360" w:lineRule="exact"/>
        <w:rPr>
          <w:rFonts w:ascii="仿宋" w:hAnsi="仿宋" w:eastAsia="仿宋" w:cs="仿宋"/>
          <w:color w:val="auto"/>
          <w:highlight w:val="none"/>
        </w:rPr>
      </w:pPr>
    </w:p>
    <w:p>
      <w:pPr>
        <w:pStyle w:val="9"/>
        <w:spacing w:line="360" w:lineRule="exact"/>
        <w:jc w:val="center"/>
        <w:rPr>
          <w:rFonts w:ascii="仿宋" w:hAnsi="仿宋" w:eastAsia="仿宋" w:cs="仿宋"/>
          <w:color w:val="auto"/>
          <w:highlight w:val="none"/>
        </w:rPr>
      </w:pPr>
      <w:r>
        <w:rPr>
          <w:rFonts w:hint="eastAsia" w:ascii="仿宋" w:hAnsi="仿宋" w:eastAsia="仿宋" w:cs="仿宋"/>
          <w:b/>
          <w:color w:val="auto"/>
          <w:sz w:val="32"/>
          <w:highlight w:val="none"/>
        </w:rPr>
        <w:t>附件1：法定代表人身份证明书（格式）</w:t>
      </w:r>
    </w:p>
    <w:p>
      <w:pPr>
        <w:pStyle w:val="9"/>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单位性质：</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地址：</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成立时间：年月 日</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经营期限：</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姓名：              性别：           年龄：         职务：</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竞标供应商</w:t>
      </w:r>
      <w:r>
        <w:rPr>
          <w:rFonts w:hint="eastAsia" w:ascii="仿宋" w:hAnsi="仿宋" w:eastAsia="仿宋" w:cs="仿宋"/>
          <w:color w:val="auto"/>
          <w:highlight w:val="none"/>
          <w:u w:val="single"/>
        </w:rPr>
        <w:t xml:space="preserve">名称）     </w:t>
      </w:r>
      <w:r>
        <w:rPr>
          <w:rFonts w:hint="eastAsia" w:ascii="仿宋" w:hAnsi="仿宋" w:eastAsia="仿宋" w:cs="仿宋"/>
          <w:color w:val="auto"/>
          <w:highlight w:val="none"/>
        </w:rPr>
        <w:t>的法定代表人。</w:t>
      </w: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特此证明。</w:t>
      </w:r>
    </w:p>
    <w:p>
      <w:pPr>
        <w:pStyle w:val="9"/>
        <w:spacing w:line="400" w:lineRule="exact"/>
        <w:jc w:val="center"/>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单位：（盖章）</w:t>
      </w:r>
    </w:p>
    <w:p>
      <w:pPr>
        <w:pStyle w:val="9"/>
        <w:spacing w:line="400" w:lineRule="exact"/>
        <w:jc w:val="center"/>
        <w:rPr>
          <w:rFonts w:ascii="仿宋" w:hAnsi="仿宋" w:eastAsia="仿宋" w:cs="仿宋"/>
          <w:color w:val="auto"/>
          <w:highlight w:val="none"/>
        </w:rPr>
      </w:pPr>
    </w:p>
    <w:p>
      <w:pPr>
        <w:pStyle w:val="9"/>
        <w:spacing w:line="400" w:lineRule="exact"/>
        <w:ind w:firstLine="2415" w:firstLineChars="115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spacing w:line="400" w:lineRule="exact"/>
        <w:ind w:firstLine="2415" w:firstLineChars="1150"/>
        <w:rPr>
          <w:rFonts w:ascii="仿宋" w:hAnsi="仿宋" w:eastAsia="仿宋" w:cs="仿宋"/>
          <w:color w:val="auto"/>
          <w:highlight w:val="none"/>
        </w:rPr>
      </w:pPr>
    </w:p>
    <w:p>
      <w:pPr>
        <w:pStyle w:val="9"/>
        <w:spacing w:line="400" w:lineRule="exact"/>
        <w:ind w:firstLine="2415" w:firstLineChars="1150"/>
        <w:rPr>
          <w:rFonts w:ascii="仿宋" w:hAnsi="仿宋" w:eastAsia="仿宋" w:cs="仿宋"/>
          <w:color w:val="auto"/>
          <w:highlight w:val="none"/>
        </w:rPr>
      </w:pP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法定代表人身份证号码：</w:t>
      </w: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住址：</w:t>
      </w: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联系电话：</w:t>
      </w:r>
    </w:p>
    <w:p>
      <w:pPr>
        <w:pStyle w:val="9"/>
        <w:spacing w:line="400" w:lineRule="exact"/>
        <w:rPr>
          <w:rFonts w:ascii="仿宋" w:hAnsi="仿宋" w:eastAsia="仿宋" w:cs="仿宋"/>
          <w:color w:val="auto"/>
          <w:highlight w:val="none"/>
        </w:rPr>
      </w:pPr>
      <w:r>
        <w:rPr>
          <w:rFonts w:hint="eastAsia" w:ascii="仿宋" w:hAnsi="仿宋" w:eastAsia="仿宋" w:cs="仿宋"/>
          <w:color w:val="auto"/>
          <w:highlight w:val="none"/>
        </w:rPr>
        <w:t>附：法定代表人身份证复印件</w:t>
      </w:r>
    </w:p>
    <w:p>
      <w:pPr>
        <w:pStyle w:val="9"/>
        <w:rPr>
          <w:rFonts w:ascii="仿宋" w:hAnsi="仿宋" w:eastAsia="仿宋" w:cs="仿宋"/>
          <w:color w:val="auto"/>
          <w:highlight w:val="none"/>
        </w:rPr>
      </w:pPr>
    </w:p>
    <w:p>
      <w:pPr>
        <w:pStyle w:val="9"/>
        <w:spacing w:line="400" w:lineRule="exact"/>
        <w:ind w:firstLine="422" w:firstLineChars="200"/>
        <w:rPr>
          <w:rFonts w:ascii="仿宋" w:hAnsi="仿宋" w:eastAsia="仿宋" w:cs="仿宋"/>
          <w:b/>
          <w:color w:val="auto"/>
          <w:highlight w:val="none"/>
        </w:rPr>
      </w:pPr>
      <w:r>
        <w:rPr>
          <w:rFonts w:hint="eastAsia" w:ascii="仿宋" w:hAnsi="仿宋" w:eastAsia="仿宋" w:cs="仿宋"/>
          <w:b/>
          <w:color w:val="auto"/>
          <w:highlight w:val="none"/>
        </w:rPr>
        <w:t>备注：法定代表人亲自参加投标会议的，须提供“法定代表人资格证明书”并同时提交法定代表人身份证原件查验。</w:t>
      </w:r>
    </w:p>
    <w:p>
      <w:pPr>
        <w:pStyle w:val="9"/>
        <w:spacing w:line="360" w:lineRule="exact"/>
        <w:jc w:val="center"/>
        <w:outlineLvl w:val="3"/>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附件2：法定代表人授权委托书（格式）</w:t>
      </w:r>
    </w:p>
    <w:p>
      <w:pPr>
        <w:pStyle w:val="9"/>
        <w:spacing w:line="360" w:lineRule="exact"/>
        <w:jc w:val="center"/>
        <w:rPr>
          <w:rFonts w:ascii="仿宋" w:hAnsi="仿宋" w:eastAsia="仿宋" w:cs="仿宋"/>
          <w:b/>
          <w:color w:val="auto"/>
          <w:sz w:val="24"/>
          <w:highlight w:val="none"/>
        </w:rPr>
      </w:pPr>
    </w:p>
    <w:p>
      <w:pPr>
        <w:pStyle w:val="9"/>
        <w:spacing w:line="360" w:lineRule="exact"/>
        <w:jc w:val="center"/>
        <w:rPr>
          <w:rFonts w:ascii="仿宋" w:hAnsi="仿宋" w:eastAsia="仿宋" w:cs="仿宋"/>
          <w:b/>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本人（姓名）系（</w:t>
      </w:r>
      <w:r>
        <w:rPr>
          <w:rFonts w:hint="eastAsia" w:ascii="仿宋" w:hAnsi="仿宋" w:eastAsia="仿宋" w:cs="仿宋"/>
          <w:color w:val="auto"/>
          <w:sz w:val="24"/>
          <w:highlight w:val="none"/>
          <w:lang w:eastAsia="zh-CN"/>
        </w:rPr>
        <w:t>竞标供应商</w:t>
      </w:r>
      <w:r>
        <w:rPr>
          <w:rFonts w:hint="eastAsia" w:ascii="仿宋" w:hAnsi="仿宋" w:eastAsia="仿宋" w:cs="仿宋"/>
          <w:color w:val="auto"/>
          <w:sz w:val="24"/>
          <w:highlight w:val="none"/>
        </w:rPr>
        <w:t>名称）的法定代表人，现授权委托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姓名）为我方代理人。代理人根据授权，以我方名义签署、澄清、说明、补正、递交、撤回、修改</w:t>
      </w:r>
      <w:r>
        <w:rPr>
          <w:rFonts w:hint="eastAsia" w:ascii="仿宋" w:hAnsi="仿宋" w:eastAsia="仿宋" w:cs="仿宋"/>
          <w:i w:val="0"/>
          <w:iCs w:val="0"/>
          <w:color w:val="auto"/>
          <w:sz w:val="24"/>
          <w:highlight w:val="none"/>
          <w:u w:val="single"/>
        </w:rPr>
        <w:t>（项目名称及标段）　　　　　　</w:t>
      </w:r>
      <w:r>
        <w:rPr>
          <w:rFonts w:hint="eastAsia" w:ascii="仿宋" w:hAnsi="仿宋" w:eastAsia="仿宋" w:cs="仿宋"/>
          <w:color w:val="auto"/>
          <w:sz w:val="24"/>
          <w:highlight w:val="none"/>
          <w:lang w:eastAsia="zh-CN"/>
        </w:rPr>
        <w:t>竞标响应文件</w:t>
      </w:r>
      <w:r>
        <w:rPr>
          <w:rFonts w:hint="eastAsia" w:ascii="仿宋" w:hAnsi="仿宋" w:eastAsia="仿宋" w:cs="仿宋"/>
          <w:color w:val="auto"/>
          <w:sz w:val="24"/>
          <w:highlight w:val="none"/>
        </w:rPr>
        <w:t>、签订合同和处理有关事宜，其法律后果由我方承担。</w:t>
      </w:r>
    </w:p>
    <w:p>
      <w:pPr>
        <w:spacing w:line="360" w:lineRule="auto"/>
        <w:ind w:firstLine="360"/>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委托期限：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代理人无转委托权，特此委托。</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附：委托代理人身份证复印件</w:t>
      </w:r>
    </w:p>
    <w:p>
      <w:pPr>
        <w:rPr>
          <w:rFonts w:ascii="仿宋" w:hAnsi="仿宋" w:eastAsia="仿宋" w:cs="仿宋"/>
          <w:color w:val="auto"/>
          <w:sz w:val="24"/>
          <w:highlight w:val="none"/>
        </w:rPr>
      </w:pPr>
    </w:p>
    <w:p>
      <w:pPr>
        <w:rPr>
          <w:rFonts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ind w:left="3360" w:leftChars="1600" w:firstLine="0" w:firstLineChars="0"/>
        <w:jc w:val="left"/>
        <w:textAlignment w:val="auto"/>
        <w:rPr>
          <w:rFonts w:ascii="仿宋" w:hAnsi="仿宋" w:eastAsia="仿宋" w:cs="仿宋"/>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w:t>
      </w:r>
      <w:r>
        <w:rPr>
          <w:rFonts w:hint="eastAsia" w:ascii="仿宋" w:hAnsi="仿宋" w:eastAsia="仿宋" w:cs="仿宋"/>
          <w:color w:val="auto"/>
          <w:szCs w:val="21"/>
          <w:highlight w:val="none"/>
        </w:rPr>
        <w:t>：（盖单位章）</w:t>
      </w:r>
    </w:p>
    <w:p>
      <w:pPr>
        <w:keepNext w:val="0"/>
        <w:keepLines w:val="0"/>
        <w:pageBreakBefore w:val="0"/>
        <w:widowControl w:val="0"/>
        <w:kinsoku/>
        <w:wordWrap w:val="0"/>
        <w:overflowPunct/>
        <w:topLinePunct w:val="0"/>
        <w:autoSpaceDE/>
        <w:autoSpaceDN/>
        <w:bidi w:val="0"/>
        <w:adjustRightInd/>
        <w:snapToGrid/>
        <w:ind w:left="3360" w:leftChars="1600" w:firstLine="0" w:firstLineChars="0"/>
        <w:jc w:val="lef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法定代表人：（签字）</w:t>
      </w:r>
    </w:p>
    <w:p>
      <w:pPr>
        <w:keepNext w:val="0"/>
        <w:keepLines w:val="0"/>
        <w:pageBreakBefore w:val="0"/>
        <w:widowControl w:val="0"/>
        <w:kinsoku/>
        <w:wordWrap/>
        <w:overflowPunct/>
        <w:topLinePunct w:val="0"/>
        <w:autoSpaceDE/>
        <w:autoSpaceDN/>
        <w:bidi w:val="0"/>
        <w:adjustRightInd/>
        <w:snapToGrid/>
        <w:ind w:left="3360" w:leftChars="1600" w:firstLine="0" w:firstLineChars="0"/>
        <w:jc w:val="lef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身份证号码：</w:t>
      </w:r>
    </w:p>
    <w:p>
      <w:pPr>
        <w:keepNext w:val="0"/>
        <w:keepLines w:val="0"/>
        <w:pageBreakBefore w:val="0"/>
        <w:widowControl w:val="0"/>
        <w:kinsoku/>
        <w:overflowPunct/>
        <w:topLinePunct w:val="0"/>
        <w:autoSpaceDE/>
        <w:autoSpaceDN/>
        <w:bidi w:val="0"/>
        <w:adjustRightInd/>
        <w:snapToGrid/>
        <w:ind w:left="3360" w:leftChars="1600" w:firstLine="0" w:firstLineChars="0"/>
        <w:jc w:val="lef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p>
    <w:p>
      <w:pPr>
        <w:keepNext w:val="0"/>
        <w:keepLines w:val="0"/>
        <w:pageBreakBefore w:val="0"/>
        <w:widowControl w:val="0"/>
        <w:kinsoku/>
        <w:wordWrap/>
        <w:overflowPunct/>
        <w:topLinePunct w:val="0"/>
        <w:autoSpaceDE/>
        <w:autoSpaceDN/>
        <w:bidi w:val="0"/>
        <w:adjustRightInd/>
        <w:snapToGrid/>
        <w:ind w:left="3360" w:leftChars="1600" w:firstLine="0" w:firstLineChars="0"/>
        <w:jc w:val="left"/>
        <w:textAlignment w:val="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p>
    <w:p>
      <w:pPr>
        <w:pStyle w:val="9"/>
        <w:keepNext w:val="0"/>
        <w:keepLines w:val="0"/>
        <w:pageBreakBefore w:val="0"/>
        <w:widowControl w:val="0"/>
        <w:kinsoku/>
        <w:wordWrap/>
        <w:overflowPunct/>
        <w:topLinePunct w:val="0"/>
        <w:autoSpaceDE/>
        <w:autoSpaceDN/>
        <w:bidi w:val="0"/>
        <w:adjustRightInd/>
        <w:snapToGrid/>
        <w:spacing w:line="400" w:lineRule="exact"/>
        <w:ind w:firstLine="3360" w:firstLineChars="1600"/>
        <w:textAlignment w:val="auto"/>
        <w:rPr>
          <w:rFonts w:ascii="仿宋" w:hAnsi="仿宋" w:eastAsia="仿宋" w:cs="仿宋"/>
          <w:color w:val="auto"/>
          <w:szCs w:val="21"/>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spacing w:line="400" w:lineRule="exact"/>
        <w:ind w:firstLine="720" w:firstLineChars="300"/>
        <w:rPr>
          <w:rFonts w:ascii="仿宋" w:hAnsi="仿宋" w:eastAsia="仿宋" w:cs="仿宋"/>
          <w:color w:val="auto"/>
          <w:sz w:val="24"/>
          <w:highlight w:val="none"/>
        </w:rPr>
      </w:pPr>
    </w:p>
    <w:p>
      <w:pPr>
        <w:pStyle w:val="9"/>
        <w:spacing w:line="400" w:lineRule="exact"/>
        <w:ind w:firstLine="720" w:firstLineChars="300"/>
        <w:rPr>
          <w:rFonts w:ascii="仿宋" w:hAnsi="仿宋" w:eastAsia="仿宋" w:cs="仿宋"/>
          <w:color w:val="auto"/>
          <w:sz w:val="24"/>
          <w:highlight w:val="none"/>
        </w:rPr>
      </w:pPr>
    </w:p>
    <w:p>
      <w:pPr>
        <w:pStyle w:val="9"/>
        <w:spacing w:line="4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备注：若法定代表人不能亲自参加开标会议，由其授权代理人参加的，在提供“授权书”的同时，应提供法定代表人资格证明书，以及授权代理人身份证原件查验。</w:t>
      </w: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b/>
          <w:color w:val="auto"/>
          <w:szCs w:val="21"/>
          <w:highlight w:val="none"/>
        </w:rPr>
      </w:pPr>
    </w:p>
    <w:p>
      <w:pPr>
        <w:pStyle w:val="9"/>
        <w:spacing w:line="400" w:lineRule="exact"/>
        <w:rPr>
          <w:rFonts w:ascii="仿宋" w:hAnsi="仿宋" w:eastAsia="仿宋" w:cs="仿宋"/>
          <w:color w:val="auto"/>
          <w:szCs w:val="21"/>
          <w:highlight w:val="none"/>
        </w:rPr>
      </w:pPr>
    </w:p>
    <w:p>
      <w:pPr>
        <w:pStyle w:val="9"/>
        <w:spacing w:line="360" w:lineRule="exact"/>
        <w:jc w:val="center"/>
        <w:outlineLvl w:val="3"/>
        <w:rPr>
          <w:rFonts w:ascii="仿宋" w:hAnsi="仿宋" w:eastAsia="仿宋" w:cs="仿宋"/>
          <w:b/>
          <w:color w:val="auto"/>
          <w:sz w:val="32"/>
          <w:highlight w:val="none"/>
        </w:rPr>
      </w:pPr>
      <w:bookmarkStart w:id="36" w:name="_Toc370977755"/>
      <w:bookmarkStart w:id="37" w:name="_Toc446927455"/>
      <w:r>
        <w:rPr>
          <w:rFonts w:hint="eastAsia" w:ascii="仿宋" w:hAnsi="仿宋" w:eastAsia="仿宋" w:cs="仿宋"/>
          <w:b/>
          <w:color w:val="auto"/>
          <w:sz w:val="32"/>
          <w:highlight w:val="none"/>
        </w:rPr>
        <w:t>附件3：信用记录书面声明（格式）</w:t>
      </w:r>
    </w:p>
    <w:p>
      <w:pPr>
        <w:adjustRightInd w:val="0"/>
        <w:snapToGrid w:val="0"/>
        <w:spacing w:line="360" w:lineRule="exact"/>
        <w:jc w:val="left"/>
        <w:rPr>
          <w:rFonts w:ascii="仿宋" w:hAnsi="仿宋" w:eastAsia="仿宋" w:cs="仿宋"/>
          <w:b/>
          <w:color w:val="auto"/>
          <w:sz w:val="32"/>
          <w:szCs w:val="20"/>
          <w:highlight w:val="none"/>
        </w:rPr>
      </w:pPr>
    </w:p>
    <w:p>
      <w:pPr>
        <w:pStyle w:val="13"/>
        <w:tabs>
          <w:tab w:val="right" w:leader="dot" w:pos="9060"/>
        </w:tabs>
        <w:ind w:left="1620"/>
        <w:rPr>
          <w:rFonts w:ascii="仿宋" w:hAnsi="仿宋" w:eastAsia="仿宋" w:cs="仿宋"/>
          <w:color w:val="auto"/>
          <w:highlight w:val="none"/>
        </w:rPr>
      </w:pPr>
    </w:p>
    <w:p>
      <w:pPr>
        <w:adjustRightInd w:val="0"/>
        <w:snapToGrid w:val="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参加政府采购活动前三年内在经营活动中没有重大违法记录和不良信用记录的书面声明</w:t>
      </w:r>
    </w:p>
    <w:p>
      <w:pPr>
        <w:adjustRightInd w:val="0"/>
        <w:snapToGrid w:val="0"/>
        <w:spacing w:line="360" w:lineRule="exact"/>
        <w:rPr>
          <w:rFonts w:ascii="仿宋" w:hAnsi="仿宋" w:eastAsia="仿宋" w:cs="仿宋"/>
          <w:color w:val="auto"/>
          <w:szCs w:val="21"/>
          <w:highlight w:val="none"/>
        </w:rPr>
      </w:pP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u w:val="single"/>
        </w:rPr>
        <w:t>致： （采购单位）</w:t>
      </w:r>
    </w:p>
    <w:p>
      <w:pPr>
        <w:adjustRightInd w:val="0"/>
        <w:snapToGrid w:val="0"/>
        <w:ind w:firstLine="315" w:firstLineChars="150"/>
        <w:jc w:val="left"/>
        <w:rPr>
          <w:rFonts w:ascii="仿宋" w:hAnsi="仿宋" w:eastAsia="仿宋" w:cs="仿宋"/>
          <w:color w:val="auto"/>
          <w:szCs w:val="21"/>
          <w:highlight w:val="none"/>
        </w:rPr>
      </w:pPr>
      <w:r>
        <w:rPr>
          <w:rFonts w:hint="eastAsia" w:ascii="仿宋" w:hAnsi="仿宋" w:eastAsia="仿宋" w:cs="仿宋"/>
          <w:color w:val="auto"/>
          <w:szCs w:val="21"/>
          <w:highlight w:val="none"/>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ind w:firstLine="315" w:firstLineChars="150"/>
        <w:jc w:val="left"/>
        <w:rPr>
          <w:rFonts w:ascii="仿宋" w:hAnsi="仿宋" w:eastAsia="仿宋" w:cs="仿宋"/>
          <w:color w:val="auto"/>
          <w:szCs w:val="21"/>
          <w:highlight w:val="none"/>
        </w:rPr>
      </w:pPr>
      <w:r>
        <w:rPr>
          <w:rFonts w:hint="eastAsia" w:ascii="仿宋" w:hAnsi="仿宋" w:eastAsia="仿宋" w:cs="仿宋"/>
          <w:color w:val="auto"/>
          <w:szCs w:val="21"/>
          <w:highlight w:val="none"/>
        </w:rPr>
        <w:t>若招标采购单位在本项目采购过程中发现我单位近三年内在经营活动中有重大违法记录和不良信用记录，我单位将无条件地退出本项目的</w:t>
      </w:r>
      <w:r>
        <w:rPr>
          <w:rFonts w:hint="eastAsia" w:ascii="仿宋" w:hAnsi="仿宋" w:eastAsia="仿宋" w:cs="仿宋"/>
          <w:color w:val="auto"/>
          <w:szCs w:val="21"/>
          <w:highlight w:val="none"/>
          <w:lang w:eastAsia="zh-CN"/>
        </w:rPr>
        <w:t>竞标</w:t>
      </w:r>
      <w:r>
        <w:rPr>
          <w:rFonts w:hint="eastAsia" w:ascii="仿宋" w:hAnsi="仿宋" w:eastAsia="仿宋" w:cs="仿宋"/>
          <w:color w:val="auto"/>
          <w:szCs w:val="21"/>
          <w:highlight w:val="none"/>
        </w:rPr>
        <w:t>，并承担因此引起的一切后果。</w:t>
      </w:r>
    </w:p>
    <w:p>
      <w:pPr>
        <w:adjustRightInd w:val="0"/>
        <w:snapToGrid w:val="0"/>
        <w:ind w:firstLine="315" w:firstLineChars="150"/>
        <w:jc w:val="left"/>
        <w:rPr>
          <w:rFonts w:ascii="仿宋" w:hAnsi="仿宋" w:eastAsia="仿宋" w:cs="仿宋"/>
          <w:color w:val="auto"/>
          <w:szCs w:val="21"/>
          <w:highlight w:val="none"/>
        </w:rPr>
      </w:pPr>
    </w:p>
    <w:p>
      <w:pPr>
        <w:spacing w:line="360" w:lineRule="exact"/>
        <w:rPr>
          <w:rFonts w:ascii="仿宋" w:hAnsi="仿宋" w:eastAsia="仿宋" w:cs="仿宋"/>
          <w:b/>
          <w:color w:val="auto"/>
          <w:szCs w:val="21"/>
          <w:highlight w:val="none"/>
        </w:rPr>
      </w:pP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单位（盖公章）：</w:t>
      </w:r>
    </w:p>
    <w:p>
      <w:pPr>
        <w:pStyle w:val="9"/>
        <w:ind w:left="3360" w:leftChars="1600"/>
        <w:rPr>
          <w:rFonts w:ascii="仿宋" w:hAnsi="仿宋" w:eastAsia="仿宋" w:cs="仿宋"/>
          <w:color w:val="auto"/>
          <w:highlight w:val="none"/>
          <w:u w:val="single"/>
        </w:rPr>
      </w:pPr>
      <w:r>
        <w:rPr>
          <w:rFonts w:hint="eastAsia" w:ascii="仿宋" w:hAnsi="仿宋" w:eastAsia="仿宋" w:cs="仿宋"/>
          <w:color w:val="auto"/>
          <w:highlight w:val="none"/>
        </w:rPr>
        <w:t>法定代表人或其委托代理人（签字）：</w:t>
      </w:r>
    </w:p>
    <w:p>
      <w:pPr>
        <w:pStyle w:val="9"/>
        <w:keepNext w:val="0"/>
        <w:keepLines w:val="0"/>
        <w:pageBreakBefore w:val="0"/>
        <w:widowControl w:val="0"/>
        <w:kinsoku/>
        <w:wordWrap/>
        <w:overflowPunct/>
        <w:topLinePunct w:val="0"/>
        <w:autoSpaceDE/>
        <w:autoSpaceDN/>
        <w:bidi w:val="0"/>
        <w:adjustRightInd/>
        <w:snapToGrid/>
        <w:spacing w:line="400" w:lineRule="exact"/>
        <w:ind w:firstLine="3360" w:firstLineChars="1600"/>
        <w:textAlignment w:val="auto"/>
        <w:rPr>
          <w:rFonts w:ascii="仿宋" w:hAnsi="仿宋" w:eastAsia="仿宋" w:cs="仿宋"/>
          <w:color w:val="auto"/>
          <w:szCs w:val="21"/>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ind w:left="3360" w:leftChars="1600"/>
        <w:rPr>
          <w:rFonts w:ascii="仿宋" w:hAnsi="仿宋" w:eastAsia="仿宋" w:cs="仿宋"/>
          <w:color w:val="auto"/>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numPr>
          <w:ilvl w:val="0"/>
          <w:numId w:val="12"/>
        </w:numPr>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技术部分</w:t>
      </w:r>
      <w:bookmarkEnd w:id="36"/>
      <w:bookmarkEnd w:id="37"/>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outlineLvl w:val="2"/>
        <w:rPr>
          <w:rFonts w:ascii="仿宋" w:hAnsi="仿宋" w:eastAsia="仿宋" w:cs="仿宋"/>
          <w:b/>
          <w:color w:val="auto"/>
          <w:sz w:val="36"/>
          <w:szCs w:val="36"/>
          <w:highlight w:val="none"/>
        </w:rPr>
      </w:pPr>
      <w:bookmarkStart w:id="38" w:name="_Toc446927456"/>
      <w:bookmarkStart w:id="39" w:name="_Toc444264426"/>
    </w:p>
    <w:p>
      <w:pPr>
        <w:pStyle w:val="9"/>
        <w:spacing w:line="360" w:lineRule="exact"/>
        <w:jc w:val="center"/>
        <w:outlineLvl w:val="2"/>
        <w:rPr>
          <w:rFonts w:ascii="仿宋" w:hAnsi="仿宋" w:eastAsia="仿宋" w:cs="仿宋"/>
          <w:b/>
          <w:color w:val="auto"/>
          <w:sz w:val="32"/>
          <w:highlight w:val="none"/>
        </w:rPr>
      </w:pPr>
      <w:r>
        <w:rPr>
          <w:rFonts w:hint="eastAsia" w:ascii="仿宋" w:hAnsi="仿宋" w:eastAsia="仿宋" w:cs="仿宋"/>
          <w:b/>
          <w:color w:val="auto"/>
          <w:sz w:val="32"/>
          <w:highlight w:val="none"/>
        </w:rPr>
        <w:t>一、货</w:t>
      </w:r>
      <w:bookmarkStart w:id="40" w:name="_Toc370977756"/>
      <w:bookmarkStart w:id="41" w:name="_Toc329096203"/>
      <w:bookmarkStart w:id="42" w:name="_Toc432576143"/>
      <w:r>
        <w:rPr>
          <w:rFonts w:hint="eastAsia" w:ascii="仿宋" w:hAnsi="仿宋" w:eastAsia="仿宋" w:cs="仿宋"/>
          <w:b/>
          <w:color w:val="auto"/>
          <w:sz w:val="32"/>
          <w:highlight w:val="none"/>
        </w:rPr>
        <w:t>物合格证明文件（格式）</w:t>
      </w:r>
    </w:p>
    <w:p>
      <w:pPr>
        <w:pStyle w:val="9"/>
        <w:spacing w:line="360" w:lineRule="exact"/>
        <w:ind w:firstLine="420"/>
        <w:rPr>
          <w:rFonts w:ascii="仿宋" w:hAnsi="仿宋" w:eastAsia="仿宋" w:cs="仿宋"/>
          <w:color w:val="auto"/>
          <w:highlight w:val="none"/>
        </w:rPr>
      </w:pPr>
    </w:p>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w:t>
      </w:r>
      <w:bookmarkEnd w:id="40"/>
      <w:bookmarkEnd w:id="41"/>
      <w:bookmarkEnd w:id="42"/>
      <w:r>
        <w:rPr>
          <w:rFonts w:hint="eastAsia" w:ascii="仿宋" w:hAnsi="仿宋" w:eastAsia="仿宋" w:cs="仿宋"/>
          <w:color w:val="auto"/>
          <w:highlight w:val="none"/>
        </w:rPr>
        <w:t>每个竞标产品的所有货物合格证明文件需按第二章“</w:t>
      </w:r>
      <w:r>
        <w:rPr>
          <w:rFonts w:hint="eastAsia" w:ascii="仿宋" w:hAnsi="仿宋" w:eastAsia="仿宋" w:cs="仿宋"/>
          <w:color w:val="auto"/>
          <w:highlight w:val="none"/>
          <w:lang w:eastAsia="zh-CN"/>
        </w:rPr>
        <w:t>竞标</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rPr>
        <w:t>须知”第14条要求集中后连续、完整的装订在一起，并作明显标识区分）</w:t>
      </w: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p>
    <w:p>
      <w:pPr>
        <w:pStyle w:val="9"/>
        <w:jc w:val="center"/>
        <w:outlineLvl w:val="2"/>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二、技术规格偏离表（格式）</w:t>
      </w:r>
      <w:bookmarkEnd w:id="38"/>
      <w:bookmarkEnd w:id="39"/>
    </w:p>
    <w:p>
      <w:pPr>
        <w:pStyle w:val="9"/>
        <w:spacing w:line="400" w:lineRule="exact"/>
        <w:ind w:firstLine="315" w:firstLineChars="150"/>
        <w:rPr>
          <w:rFonts w:ascii="仿宋" w:hAnsi="仿宋" w:eastAsia="仿宋" w:cs="仿宋"/>
          <w:color w:val="auto"/>
          <w:highlight w:val="none"/>
        </w:rPr>
      </w:pPr>
      <w:r>
        <w:rPr>
          <w:rFonts w:hint="eastAsia" w:ascii="仿宋" w:hAnsi="仿宋" w:eastAsia="仿宋" w:cs="仿宋"/>
          <w:color w:val="auto"/>
          <w:highlight w:val="none"/>
        </w:rPr>
        <w:t>请按所投标产品的实际品牌型号及其技术参数性能（配置），逐条对应</w:t>
      </w:r>
      <w:r>
        <w:rPr>
          <w:rFonts w:hint="eastAsia" w:ascii="仿宋" w:hAnsi="仿宋" w:eastAsia="仿宋" w:cs="仿宋"/>
          <w:color w:val="auto"/>
          <w:highlight w:val="none"/>
          <w:lang w:eastAsia="zh-CN"/>
        </w:rPr>
        <w:t>谈判</w:t>
      </w:r>
      <w:r>
        <w:rPr>
          <w:rFonts w:hint="eastAsia" w:ascii="仿宋" w:hAnsi="仿宋" w:eastAsia="仿宋" w:cs="仿宋"/>
          <w:color w:val="auto"/>
          <w:highlight w:val="none"/>
        </w:rPr>
        <w:t>文件《货物需求一览表》中的要求认真填写本表（本表适用于</w:t>
      </w:r>
      <w:r>
        <w:rPr>
          <w:rFonts w:hint="eastAsia" w:ascii="仿宋" w:hAnsi="仿宋" w:eastAsia="仿宋" w:cs="仿宋"/>
          <w:color w:val="auto"/>
          <w:highlight w:val="none"/>
          <w:lang w:eastAsia="zh-CN"/>
        </w:rPr>
        <w:t>谈判</w:t>
      </w:r>
      <w:r>
        <w:rPr>
          <w:rFonts w:hint="eastAsia" w:ascii="仿宋" w:hAnsi="仿宋" w:eastAsia="仿宋" w:cs="仿宋"/>
          <w:color w:val="auto"/>
          <w:highlight w:val="none"/>
        </w:rPr>
        <w:t>文件《货物需求一览表》中货物技术参数不明确或有误以及</w:t>
      </w:r>
      <w:r>
        <w:rPr>
          <w:rFonts w:hint="eastAsia" w:ascii="仿宋" w:hAnsi="仿宋" w:eastAsia="仿宋" w:cs="仿宋"/>
          <w:color w:val="auto"/>
          <w:highlight w:val="none"/>
          <w:lang w:eastAsia="zh-CN"/>
        </w:rPr>
        <w:t>竞标供应商</w:t>
      </w:r>
      <w:r>
        <w:rPr>
          <w:rFonts w:hint="eastAsia" w:ascii="仿宋" w:hAnsi="仿宋" w:eastAsia="仿宋" w:cs="仿宋"/>
          <w:color w:val="auto"/>
          <w:highlight w:val="none"/>
        </w:rPr>
        <w:t>选用其他品牌型号替代等情形）。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2699"/>
        <w:gridCol w:w="2229"/>
        <w:gridCol w:w="110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6" w:type="dxa"/>
            <w:noWrap/>
            <w:vAlign w:val="center"/>
          </w:tcPr>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056" w:type="dxa"/>
            <w:noWrap/>
            <w:vAlign w:val="center"/>
          </w:tcPr>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货物名称</w:t>
            </w:r>
          </w:p>
        </w:tc>
        <w:tc>
          <w:tcPr>
            <w:tcW w:w="2699" w:type="dxa"/>
            <w:noWrap/>
            <w:vAlign w:val="center"/>
          </w:tcPr>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采购要求</w:t>
            </w:r>
          </w:p>
        </w:tc>
        <w:tc>
          <w:tcPr>
            <w:tcW w:w="2229" w:type="dxa"/>
            <w:noWrap/>
            <w:vAlign w:val="center"/>
          </w:tcPr>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响应规格</w:t>
            </w:r>
          </w:p>
        </w:tc>
        <w:tc>
          <w:tcPr>
            <w:tcW w:w="1100" w:type="dxa"/>
            <w:noWrap/>
            <w:vAlign w:val="center"/>
          </w:tcPr>
          <w:p>
            <w:pPr>
              <w:pStyle w:val="9"/>
              <w:spacing w:line="400" w:lineRule="exact"/>
              <w:jc w:val="center"/>
              <w:rPr>
                <w:rFonts w:ascii="仿宋" w:hAnsi="仿宋" w:eastAsia="仿宋" w:cs="仿宋"/>
                <w:color w:val="auto"/>
                <w:highlight w:val="none"/>
              </w:rPr>
            </w:pPr>
            <w:r>
              <w:rPr>
                <w:rFonts w:hint="eastAsia" w:ascii="仿宋" w:hAnsi="仿宋" w:eastAsia="仿宋" w:cs="仿宋"/>
                <w:color w:val="auto"/>
                <w:highlight w:val="none"/>
              </w:rPr>
              <w:t>偏离说明</w:t>
            </w:r>
          </w:p>
        </w:tc>
        <w:tc>
          <w:tcPr>
            <w:tcW w:w="2094" w:type="dxa"/>
            <w:noWrap/>
            <w:vAlign w:val="center"/>
          </w:tcPr>
          <w:p>
            <w:pPr>
              <w:pStyle w:val="9"/>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jc w:val="center"/>
              <w:rPr>
                <w:rFonts w:ascii="仿宋" w:hAnsi="仿宋" w:eastAsia="仿宋" w:cs="仿宋"/>
                <w:color w:val="auto"/>
                <w:highlight w:val="none"/>
              </w:rPr>
            </w:pPr>
          </w:p>
        </w:tc>
        <w:tc>
          <w:tcPr>
            <w:tcW w:w="1056" w:type="dxa"/>
            <w:noWrap/>
            <w:vAlign w:val="center"/>
          </w:tcPr>
          <w:p>
            <w:pPr>
              <w:pStyle w:val="9"/>
              <w:spacing w:line="600" w:lineRule="exact"/>
              <w:jc w:val="center"/>
              <w:rPr>
                <w:rFonts w:ascii="仿宋" w:hAnsi="仿宋" w:eastAsia="仿宋" w:cs="仿宋"/>
                <w:color w:val="auto"/>
                <w:highlight w:val="none"/>
              </w:rPr>
            </w:pPr>
          </w:p>
        </w:tc>
        <w:tc>
          <w:tcPr>
            <w:tcW w:w="2699" w:type="dxa"/>
            <w:noWrap/>
            <w:vAlign w:val="center"/>
          </w:tcPr>
          <w:p>
            <w:pPr>
              <w:pStyle w:val="9"/>
              <w:spacing w:line="600" w:lineRule="exact"/>
              <w:jc w:val="center"/>
              <w:rPr>
                <w:rFonts w:ascii="仿宋" w:hAnsi="仿宋" w:eastAsia="仿宋" w:cs="仿宋"/>
                <w:color w:val="auto"/>
                <w:highlight w:val="none"/>
              </w:rPr>
            </w:pPr>
          </w:p>
        </w:tc>
        <w:tc>
          <w:tcPr>
            <w:tcW w:w="2229" w:type="dxa"/>
            <w:noWrap/>
            <w:vAlign w:val="center"/>
          </w:tcPr>
          <w:p>
            <w:pPr>
              <w:pStyle w:val="9"/>
              <w:spacing w:line="600" w:lineRule="exact"/>
              <w:jc w:val="center"/>
              <w:rPr>
                <w:rFonts w:ascii="仿宋" w:hAnsi="仿宋" w:eastAsia="仿宋" w:cs="仿宋"/>
                <w:color w:val="auto"/>
                <w:highlight w:val="none"/>
              </w:rPr>
            </w:pPr>
          </w:p>
        </w:tc>
        <w:tc>
          <w:tcPr>
            <w:tcW w:w="1100" w:type="dxa"/>
            <w:noWrap/>
            <w:vAlign w:val="center"/>
          </w:tcPr>
          <w:p>
            <w:pPr>
              <w:pStyle w:val="9"/>
              <w:spacing w:line="600" w:lineRule="exact"/>
              <w:jc w:val="center"/>
              <w:rPr>
                <w:rFonts w:ascii="仿宋" w:hAnsi="仿宋" w:eastAsia="仿宋" w:cs="仿宋"/>
                <w:color w:val="auto"/>
                <w:highlight w:val="none"/>
              </w:rPr>
            </w:pPr>
          </w:p>
        </w:tc>
        <w:tc>
          <w:tcPr>
            <w:tcW w:w="2094" w:type="dxa"/>
            <w:noWrap/>
            <w:vAlign w:val="center"/>
          </w:tcPr>
          <w:p>
            <w:pPr>
              <w:pStyle w:val="9"/>
              <w:spacing w:line="240" w:lineRule="auto"/>
              <w:jc w:val="left"/>
              <w:rPr>
                <w:rFonts w:ascii="仿宋" w:hAnsi="仿宋" w:eastAsia="仿宋" w:cs="仿宋"/>
                <w:color w:val="auto"/>
                <w:highlight w:val="none"/>
              </w:rPr>
            </w:pPr>
            <w:r>
              <w:rPr>
                <w:rFonts w:hint="eastAsia" w:ascii="仿宋" w:hAnsi="仿宋" w:eastAsia="仿宋" w:cs="仿宋"/>
                <w:b/>
                <w:bCs/>
                <w:color w:val="auto"/>
                <w:highlight w:val="none"/>
                <w:lang w:val="en-US" w:eastAsia="zh-CN"/>
              </w:rPr>
              <w:t>标注《货物需求一览表》中要求提供的证明材料所在页码。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tcPr>
          <w:p>
            <w:pPr>
              <w:pStyle w:val="9"/>
              <w:spacing w:line="600" w:lineRule="exact"/>
              <w:rPr>
                <w:rFonts w:ascii="仿宋" w:hAnsi="仿宋" w:eastAsia="仿宋" w:cs="仿宋"/>
                <w:color w:val="auto"/>
                <w:highlight w:val="none"/>
              </w:rPr>
            </w:pPr>
          </w:p>
        </w:tc>
        <w:tc>
          <w:tcPr>
            <w:tcW w:w="1056" w:type="dxa"/>
            <w:noWrap/>
          </w:tcPr>
          <w:p>
            <w:pPr>
              <w:pStyle w:val="9"/>
              <w:spacing w:line="600" w:lineRule="exact"/>
              <w:rPr>
                <w:rFonts w:ascii="仿宋" w:hAnsi="仿宋" w:eastAsia="仿宋" w:cs="仿宋"/>
                <w:color w:val="auto"/>
                <w:highlight w:val="none"/>
              </w:rPr>
            </w:pPr>
          </w:p>
        </w:tc>
        <w:tc>
          <w:tcPr>
            <w:tcW w:w="2699" w:type="dxa"/>
            <w:noWrap/>
          </w:tcPr>
          <w:p>
            <w:pPr>
              <w:pStyle w:val="9"/>
              <w:spacing w:line="600" w:lineRule="exact"/>
              <w:rPr>
                <w:rFonts w:ascii="仿宋" w:hAnsi="仿宋" w:eastAsia="仿宋" w:cs="仿宋"/>
                <w:color w:val="auto"/>
                <w:highlight w:val="none"/>
              </w:rPr>
            </w:pPr>
          </w:p>
        </w:tc>
        <w:tc>
          <w:tcPr>
            <w:tcW w:w="2229" w:type="dxa"/>
            <w:noWrap/>
          </w:tcPr>
          <w:p>
            <w:pPr>
              <w:pStyle w:val="9"/>
              <w:spacing w:line="600" w:lineRule="exact"/>
              <w:rPr>
                <w:rFonts w:ascii="仿宋" w:hAnsi="仿宋" w:eastAsia="仿宋" w:cs="仿宋"/>
                <w:color w:val="auto"/>
                <w:highlight w:val="none"/>
              </w:rPr>
            </w:pPr>
          </w:p>
        </w:tc>
        <w:tc>
          <w:tcPr>
            <w:tcW w:w="1100" w:type="dxa"/>
            <w:noWrap/>
          </w:tcPr>
          <w:p>
            <w:pPr>
              <w:pStyle w:val="9"/>
              <w:spacing w:line="600" w:lineRule="exact"/>
              <w:rPr>
                <w:rFonts w:ascii="仿宋" w:hAnsi="仿宋" w:eastAsia="仿宋" w:cs="仿宋"/>
                <w:color w:val="auto"/>
                <w:highlight w:val="none"/>
              </w:rPr>
            </w:pPr>
          </w:p>
        </w:tc>
        <w:tc>
          <w:tcPr>
            <w:tcW w:w="2094" w:type="dxa"/>
            <w:noWrap/>
          </w:tcPr>
          <w:p>
            <w:pPr>
              <w:pStyle w:val="9"/>
              <w:spacing w:line="600" w:lineRule="exact"/>
              <w:rPr>
                <w:rFonts w:ascii="仿宋" w:hAnsi="仿宋" w:eastAsia="仿宋" w:cs="仿宋"/>
                <w:color w:val="auto"/>
                <w:highlight w:val="none"/>
              </w:rPr>
            </w:pPr>
          </w:p>
        </w:tc>
      </w:tr>
    </w:tbl>
    <w:p>
      <w:pPr>
        <w:pStyle w:val="9"/>
        <w:spacing w:line="400" w:lineRule="exact"/>
        <w:rPr>
          <w:rFonts w:ascii="仿宋" w:hAnsi="仿宋" w:eastAsia="仿宋" w:cs="仿宋"/>
          <w:color w:val="auto"/>
          <w:highlight w:val="none"/>
        </w:rPr>
      </w:pP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lang w:eastAsia="zh-CN"/>
        </w:rPr>
        <w:t>竞标</w:t>
      </w:r>
      <w:r>
        <w:rPr>
          <w:rFonts w:hint="eastAsia" w:ascii="仿宋" w:hAnsi="仿宋" w:eastAsia="仿宋" w:cs="仿宋"/>
          <w:color w:val="auto"/>
          <w:highlight w:val="none"/>
        </w:rPr>
        <w:t>单位（盖公章）：</w:t>
      </w:r>
    </w:p>
    <w:p>
      <w:pPr>
        <w:pStyle w:val="9"/>
        <w:ind w:left="3360" w:leftChars="1600"/>
        <w:rPr>
          <w:rFonts w:ascii="仿宋" w:hAnsi="仿宋" w:eastAsia="仿宋" w:cs="仿宋"/>
          <w:color w:val="auto"/>
          <w:highlight w:val="none"/>
          <w:u w:val="single"/>
        </w:rPr>
      </w:pPr>
      <w:r>
        <w:rPr>
          <w:rFonts w:hint="eastAsia" w:ascii="仿宋" w:hAnsi="仿宋" w:eastAsia="仿宋" w:cs="仿宋"/>
          <w:color w:val="auto"/>
          <w:highlight w:val="none"/>
        </w:rPr>
        <w:t>法定代表人或其委托代理人（签字）：</w:t>
      </w:r>
    </w:p>
    <w:p>
      <w:pPr>
        <w:pStyle w:val="9"/>
        <w:ind w:left="3360" w:leftChars="1600"/>
        <w:rPr>
          <w:rFonts w:ascii="仿宋" w:hAnsi="仿宋" w:eastAsia="仿宋" w:cs="仿宋"/>
          <w:color w:val="auto"/>
          <w:highlight w:val="none"/>
        </w:rPr>
      </w:pPr>
      <w:r>
        <w:rPr>
          <w:rFonts w:hint="eastAsia" w:ascii="仿宋" w:hAnsi="仿宋" w:eastAsia="仿宋" w:cs="仿宋"/>
          <w:color w:val="auto"/>
          <w:highlight w:val="none"/>
        </w:rPr>
        <w:t>日期：年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pStyle w:val="9"/>
        <w:spacing w:line="400" w:lineRule="exact"/>
        <w:rPr>
          <w:rFonts w:ascii="仿宋" w:hAnsi="仿宋" w:eastAsia="仿宋" w:cs="仿宋"/>
          <w:color w:val="auto"/>
          <w:highlight w:val="none"/>
          <w:u w:val="single"/>
        </w:rPr>
      </w:pPr>
    </w:p>
    <w:p>
      <w:pPr>
        <w:rPr>
          <w:rFonts w:ascii="仿宋" w:hAnsi="仿宋" w:eastAsia="仿宋" w:cs="仿宋"/>
          <w:color w:val="auto"/>
          <w:highlight w:val="none"/>
        </w:rPr>
      </w:pPr>
    </w:p>
    <w:p>
      <w:pPr>
        <w:rPr>
          <w:rFonts w:ascii="仿宋" w:hAnsi="仿宋" w:eastAsia="仿宋" w:cs="仿宋"/>
          <w:color w:val="auto"/>
          <w:highlight w:val="none"/>
        </w:rPr>
      </w:pPr>
    </w:p>
    <w:p>
      <w:pPr>
        <w:pStyle w:val="9"/>
        <w:spacing w:line="360" w:lineRule="auto"/>
        <w:outlineLvl w:val="1"/>
        <w:rPr>
          <w:rFonts w:ascii="仿宋" w:hAnsi="仿宋" w:eastAsia="仿宋" w:cs="仿宋"/>
          <w:b/>
          <w:color w:val="auto"/>
          <w:sz w:val="44"/>
          <w:szCs w:val="44"/>
          <w:highlight w:val="none"/>
        </w:rPr>
      </w:pPr>
      <w:bookmarkStart w:id="43" w:name="_Toc446927460"/>
    </w:p>
    <w:p>
      <w:pPr>
        <w:pStyle w:val="9"/>
        <w:numPr>
          <w:ilvl w:val="0"/>
          <w:numId w:val="12"/>
        </w:numPr>
        <w:spacing w:line="360" w:lineRule="auto"/>
        <w:jc w:val="center"/>
        <w:outlineLvl w:val="1"/>
        <w:rPr>
          <w:rFonts w:ascii="仿宋" w:hAnsi="仿宋" w:eastAsia="仿宋" w:cs="仿宋"/>
          <w:b/>
          <w:color w:val="auto"/>
          <w:sz w:val="44"/>
          <w:szCs w:val="44"/>
          <w:highlight w:val="none"/>
        </w:rPr>
      </w:pPr>
      <w:bookmarkStart w:id="44" w:name="_Toc432576145"/>
      <w:r>
        <w:rPr>
          <w:rFonts w:hint="eastAsia" w:ascii="仿宋" w:hAnsi="仿宋" w:eastAsia="仿宋" w:cs="仿宋"/>
          <w:b/>
          <w:color w:val="auto"/>
          <w:sz w:val="44"/>
          <w:szCs w:val="44"/>
          <w:highlight w:val="none"/>
        </w:rPr>
        <w:t xml:space="preserve"> 其他资料</w:t>
      </w: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9"/>
        <w:spacing w:line="360" w:lineRule="auto"/>
        <w:jc w:val="center"/>
        <w:outlineLvl w:val="1"/>
        <w:rPr>
          <w:rFonts w:ascii="仿宋" w:hAnsi="仿宋" w:eastAsia="仿宋" w:cs="仿宋"/>
          <w:b/>
          <w:color w:val="auto"/>
          <w:sz w:val="44"/>
          <w:szCs w:val="44"/>
          <w:highlight w:val="none"/>
        </w:rPr>
      </w:pPr>
    </w:p>
    <w:p>
      <w:pPr>
        <w:pStyle w:val="26"/>
        <w:spacing w:line="360" w:lineRule="auto"/>
        <w:outlineLvl w:val="4"/>
        <w:rPr>
          <w:rFonts w:ascii="仿宋" w:hAnsi="仿宋" w:eastAsia="仿宋" w:cs="仿宋"/>
          <w:b/>
          <w:bCs/>
          <w:color w:val="auto"/>
          <w:highlight w:val="none"/>
        </w:rPr>
      </w:pPr>
      <w:r>
        <w:rPr>
          <w:rFonts w:hint="eastAsia" w:ascii="仿宋" w:hAnsi="仿宋" w:eastAsia="仿宋" w:cs="仿宋"/>
          <w:b/>
          <w:bCs/>
          <w:color w:val="auto"/>
          <w:highlight w:val="none"/>
        </w:rPr>
        <w:t>1）采购需求和说明中要求必须提供的材料(如有规定，则必须提供)。</w:t>
      </w:r>
    </w:p>
    <w:p>
      <w:pPr>
        <w:pStyle w:val="26"/>
        <w:spacing w:line="360" w:lineRule="auto"/>
        <w:outlineLvl w:val="4"/>
        <w:rPr>
          <w:rFonts w:ascii="仿宋" w:hAnsi="仿宋" w:eastAsia="仿宋" w:cs="仿宋"/>
          <w:b/>
          <w:bCs/>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eastAsia="zh-CN"/>
        </w:rPr>
        <w:t>竞标供应商</w:t>
      </w:r>
      <w:r>
        <w:rPr>
          <w:rFonts w:hint="eastAsia" w:ascii="仿宋" w:hAnsi="仿宋" w:eastAsia="仿宋" w:cs="仿宋"/>
          <w:b/>
          <w:bCs/>
          <w:color w:val="auto"/>
          <w:highlight w:val="none"/>
        </w:rPr>
        <w:t>认为有必要提供的其它资料。</w:t>
      </w:r>
    </w:p>
    <w:p>
      <w:pPr>
        <w:pStyle w:val="26"/>
        <w:spacing w:line="360" w:lineRule="auto"/>
        <w:outlineLvl w:val="4"/>
        <w:rPr>
          <w:rFonts w:ascii="仿宋" w:hAnsi="仿宋" w:eastAsia="仿宋" w:cs="仿宋"/>
          <w:b/>
          <w:bCs/>
          <w:color w:val="auto"/>
          <w:highlight w:val="none"/>
        </w:rPr>
      </w:pPr>
      <w:r>
        <w:rPr>
          <w:rFonts w:hint="eastAsia" w:ascii="仿宋" w:hAnsi="仿宋" w:eastAsia="仿宋" w:cs="仿宋"/>
          <w:b/>
          <w:bCs/>
          <w:color w:val="auto"/>
          <w:highlight w:val="none"/>
        </w:rPr>
        <w:t>3）其它文件。</w:t>
      </w:r>
      <w:bookmarkEnd w:id="44"/>
      <w:bookmarkStart w:id="45" w:name="_Toc432576146"/>
      <w:bookmarkStart w:id="46" w:name="_Toc317775793"/>
    </w:p>
    <w:p>
      <w:pPr>
        <w:pStyle w:val="26"/>
        <w:spacing w:line="360" w:lineRule="auto"/>
        <w:outlineLvl w:val="4"/>
        <w:rPr>
          <w:rFonts w:ascii="仿宋" w:hAnsi="仿宋" w:eastAsia="仿宋" w:cs="仿宋"/>
          <w:b/>
          <w:bCs/>
          <w:color w:val="auto"/>
          <w:highlight w:val="none"/>
        </w:rPr>
      </w:pPr>
    </w:p>
    <w:p>
      <w:pPr>
        <w:pStyle w:val="26"/>
        <w:spacing w:line="360" w:lineRule="auto"/>
        <w:outlineLvl w:val="4"/>
        <w:rPr>
          <w:rFonts w:ascii="仿宋" w:hAnsi="仿宋" w:eastAsia="仿宋" w:cs="仿宋"/>
          <w:b/>
          <w:color w:val="auto"/>
          <w:highlight w:val="none"/>
        </w:rPr>
      </w:pPr>
      <w:r>
        <w:rPr>
          <w:rFonts w:hint="eastAsia" w:ascii="仿宋" w:hAnsi="仿宋" w:eastAsia="仿宋" w:cs="仿宋"/>
          <w:b/>
          <w:color w:val="auto"/>
          <w:highlight w:val="none"/>
        </w:rPr>
        <w:t>附件</w:t>
      </w:r>
      <w:bookmarkEnd w:id="45"/>
      <w:bookmarkEnd w:id="46"/>
      <w:r>
        <w:rPr>
          <w:rFonts w:hint="eastAsia" w:ascii="仿宋" w:hAnsi="仿宋" w:eastAsia="仿宋" w:cs="仿宋"/>
          <w:b/>
          <w:color w:val="auto"/>
          <w:highlight w:val="none"/>
        </w:rPr>
        <w:t>1：</w:t>
      </w:r>
    </w:p>
    <w:p>
      <w:pPr>
        <w:pStyle w:val="9"/>
        <w:rPr>
          <w:rFonts w:ascii="仿宋" w:hAnsi="仿宋" w:eastAsia="仿宋" w:cs="仿宋"/>
          <w:b/>
          <w:color w:val="auto"/>
          <w:highlight w:val="none"/>
        </w:rPr>
      </w:pPr>
    </w:p>
    <w:p>
      <w:pPr>
        <w:pStyle w:val="9"/>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小型、微型企业声明函（格式）</w:t>
      </w:r>
    </w:p>
    <w:p>
      <w:pPr>
        <w:pStyle w:val="9"/>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本公司郑重声明，根据《政府采购促进中小企业发展暂行办法》（财库〔2011〕181号）的规定，本公司为</w:t>
      </w:r>
      <w:r>
        <w:rPr>
          <w:rFonts w:hint="eastAsia" w:ascii="仿宋" w:hAnsi="仿宋" w:eastAsia="仿宋" w:cs="仿宋"/>
          <w:color w:val="auto"/>
          <w:highlight w:val="none"/>
          <w:u w:val="single"/>
        </w:rPr>
        <w:t xml:space="preserve"> （请填写：小型、微型） </w:t>
      </w:r>
      <w:r>
        <w:rPr>
          <w:rFonts w:hint="eastAsia" w:ascii="仿宋" w:hAnsi="仿宋" w:eastAsia="仿宋" w:cs="仿宋"/>
          <w:color w:val="auto"/>
          <w:highlight w:val="none"/>
        </w:rPr>
        <w:t>企业。即，本公司同时满足以下条件：</w:t>
      </w:r>
    </w:p>
    <w:p>
      <w:pPr>
        <w:pStyle w:val="9"/>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highlight w:val="none"/>
          <w:u w:val="single"/>
        </w:rPr>
        <w:t xml:space="preserve"> （请填写：小型、微型）</w:t>
      </w:r>
      <w:r>
        <w:rPr>
          <w:rFonts w:hint="eastAsia" w:ascii="仿宋" w:hAnsi="仿宋" w:eastAsia="仿宋" w:cs="仿宋"/>
          <w:color w:val="auto"/>
          <w:highlight w:val="none"/>
        </w:rPr>
        <w:t>企业。</w:t>
      </w:r>
    </w:p>
    <w:p>
      <w:pPr>
        <w:pStyle w:val="9"/>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2．本公司参加</w:t>
      </w:r>
      <w:r>
        <w:rPr>
          <w:rFonts w:hint="eastAsia" w:ascii="仿宋" w:hAnsi="仿宋" w:eastAsia="仿宋" w:cs="仿宋"/>
          <w:color w:val="auto"/>
          <w:spacing w:val="6"/>
          <w:highlight w:val="none"/>
          <w:u w:val="single"/>
        </w:rPr>
        <w:t xml:space="preserve">（采购人名称）     </w:t>
      </w:r>
      <w:r>
        <w:rPr>
          <w:rFonts w:hint="eastAsia" w:ascii="仿宋" w:hAnsi="仿宋" w:eastAsia="仿宋" w:cs="仿宋"/>
          <w:color w:val="auto"/>
          <w:spacing w:val="6"/>
          <w:highlight w:val="none"/>
        </w:rPr>
        <w:t>的</w:t>
      </w:r>
      <w:r>
        <w:rPr>
          <w:rFonts w:hint="eastAsia" w:ascii="仿宋" w:hAnsi="仿宋" w:eastAsia="仿宋" w:cs="仿宋"/>
          <w:color w:val="auto"/>
          <w:spacing w:val="6"/>
          <w:highlight w:val="none"/>
          <w:u w:val="single"/>
        </w:rPr>
        <w:t xml:space="preserve">    （项目名称及标段）</w:t>
      </w:r>
      <w:r>
        <w:rPr>
          <w:rFonts w:hint="eastAsia" w:ascii="仿宋" w:hAnsi="仿宋" w:eastAsia="仿宋" w:cs="仿宋"/>
          <w:color w:val="auto"/>
          <w:highlight w:val="none"/>
        </w:rPr>
        <w:t>采购活动由本企业提供服务。</w:t>
      </w:r>
    </w:p>
    <w:p>
      <w:pPr>
        <w:pStyle w:val="9"/>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本公司对上述声明的真实性负责。如有虚假，将依法承担相应责任。</w:t>
      </w:r>
    </w:p>
    <w:p>
      <w:pPr>
        <w:pStyle w:val="9"/>
        <w:spacing w:line="400" w:lineRule="exact"/>
        <w:ind w:firstLine="420" w:firstLineChars="200"/>
        <w:rPr>
          <w:rFonts w:ascii="仿宋" w:hAnsi="仿宋" w:eastAsia="仿宋" w:cs="仿宋"/>
          <w:color w:val="auto"/>
          <w:highlight w:val="none"/>
        </w:rPr>
      </w:pPr>
    </w:p>
    <w:p>
      <w:pPr>
        <w:pStyle w:val="9"/>
        <w:spacing w:line="400" w:lineRule="exact"/>
        <w:ind w:firstLine="2940" w:firstLineChars="1400"/>
        <w:rPr>
          <w:rFonts w:ascii="仿宋" w:hAnsi="仿宋" w:eastAsia="仿宋" w:cs="仿宋"/>
          <w:color w:val="auto"/>
          <w:highlight w:val="none"/>
          <w:u w:val="single"/>
        </w:rPr>
      </w:pPr>
      <w:r>
        <w:rPr>
          <w:rFonts w:hint="eastAsia" w:ascii="仿宋" w:hAnsi="仿宋" w:eastAsia="仿宋" w:cs="仿宋"/>
          <w:color w:val="auto"/>
          <w:highlight w:val="none"/>
        </w:rPr>
        <w:t>企业名称（盖章）：</w:t>
      </w:r>
    </w:p>
    <w:p>
      <w:pPr>
        <w:pStyle w:val="9"/>
        <w:spacing w:line="400" w:lineRule="exact"/>
        <w:ind w:firstLine="2940" w:firstLineChars="1400"/>
        <w:rPr>
          <w:rFonts w:ascii="仿宋" w:hAnsi="仿宋" w:eastAsia="仿宋" w:cs="仿宋"/>
          <w:color w:val="auto"/>
          <w:highlight w:val="none"/>
          <w:u w:val="singl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日</w:t>
      </w:r>
    </w:p>
    <w:p>
      <w:pPr>
        <w:pStyle w:val="9"/>
        <w:spacing w:line="400" w:lineRule="exact"/>
        <w:ind w:left="1120" w:hanging="1120"/>
        <w:rPr>
          <w:rFonts w:ascii="仿宋" w:hAnsi="仿宋" w:eastAsia="仿宋" w:cs="仿宋"/>
          <w:b/>
          <w:bCs/>
          <w:color w:val="auto"/>
          <w:szCs w:val="28"/>
          <w:highlight w:val="none"/>
        </w:rPr>
      </w:pPr>
    </w:p>
    <w:p>
      <w:pPr>
        <w:pStyle w:val="7"/>
        <w:spacing w:line="400" w:lineRule="exact"/>
        <w:ind w:left="0" w:leftChars="0" w:firstLine="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p>
      <w:pPr>
        <w:pStyle w:val="7"/>
        <w:spacing w:line="400" w:lineRule="exact"/>
        <w:ind w:left="0" w:leftChars="0" w:firstLine="406" w:firstLineChars="20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1、投标的小型、微型企业提供本企业服务时填写本声明函。</w:t>
      </w:r>
    </w:p>
    <w:p>
      <w:pPr>
        <w:pStyle w:val="7"/>
        <w:spacing w:line="400" w:lineRule="exact"/>
        <w:ind w:left="0" w:leftChars="0" w:firstLine="406" w:firstLineChars="20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投标企业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7"/>
        <w:spacing w:line="400" w:lineRule="exact"/>
        <w:ind w:left="0" w:leftChars="0" w:firstLine="406" w:firstLineChars="20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若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9"/>
        <w:spacing w:line="400" w:lineRule="exact"/>
        <w:ind w:firstLine="422" w:firstLineChars="200"/>
        <w:rPr>
          <w:rFonts w:ascii="仿宋" w:hAnsi="仿宋" w:eastAsia="仿宋" w:cs="仿宋"/>
          <w:color w:val="auto"/>
          <w:highlight w:val="none"/>
        </w:rPr>
      </w:pPr>
      <w:r>
        <w:rPr>
          <w:rFonts w:hint="eastAsia" w:ascii="仿宋" w:hAnsi="仿宋" w:eastAsia="仿宋" w:cs="仿宋"/>
          <w:b/>
          <w:color w:val="auto"/>
          <w:highlight w:val="none"/>
        </w:rPr>
        <w:t>若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widowControl/>
        <w:spacing w:line="400" w:lineRule="exact"/>
        <w:ind w:firstLine="422" w:firstLineChars="200"/>
        <w:jc w:val="left"/>
        <w:rPr>
          <w:rFonts w:ascii="仿宋" w:hAnsi="仿宋" w:eastAsia="仿宋" w:cs="仿宋"/>
          <w:b/>
          <w:bCs/>
          <w:color w:val="auto"/>
          <w:szCs w:val="20"/>
          <w:highlight w:val="none"/>
        </w:rPr>
      </w:pPr>
      <w:r>
        <w:rPr>
          <w:rFonts w:hint="eastAsia" w:ascii="仿宋" w:hAnsi="仿宋" w:eastAsia="仿宋" w:cs="仿宋"/>
          <w:b/>
          <w:bCs/>
          <w:color w:val="auto"/>
          <w:szCs w:val="20"/>
          <w:highlight w:val="none"/>
        </w:rPr>
        <w:t xml:space="preserve">参加政府采购活动的小型、微型企业应当提供《中小企业声明函》。成交供应商的《中小企业声明函》随成交结果一并公告。 </w:t>
      </w:r>
    </w:p>
    <w:p>
      <w:pPr>
        <w:pStyle w:val="9"/>
        <w:rPr>
          <w:rFonts w:ascii="仿宋" w:hAnsi="仿宋" w:eastAsia="仿宋" w:cs="仿宋"/>
          <w:b/>
          <w:bCs/>
          <w:color w:val="auto"/>
          <w:highlight w:val="none"/>
        </w:rPr>
      </w:pPr>
      <w:r>
        <w:rPr>
          <w:rFonts w:hint="eastAsia" w:ascii="仿宋" w:hAnsi="仿宋" w:eastAsia="仿宋" w:cs="仿宋"/>
          <w:b/>
          <w:bCs/>
          <w:color w:val="auto"/>
          <w:highlight w:val="none"/>
        </w:rPr>
        <w:t>附件2：</w:t>
      </w:r>
      <w:bookmarkStart w:id="47" w:name="OLE_LINK13"/>
      <w:bookmarkStart w:id="48" w:name="OLE_LINK14"/>
    </w:p>
    <w:p>
      <w:pPr>
        <w:pStyle w:val="9"/>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残疾人福利性单位声明函（格式）</w:t>
      </w:r>
    </w:p>
    <w:bookmarkEnd w:id="47"/>
    <w:bookmarkEnd w:id="48"/>
    <w:p>
      <w:pPr>
        <w:spacing w:line="400" w:lineRule="exact"/>
        <w:rPr>
          <w:rFonts w:ascii="仿宋" w:hAnsi="仿宋" w:eastAsia="仿宋" w:cs="仿宋"/>
          <w:b/>
          <w:color w:val="auto"/>
          <w:spacing w:val="6"/>
          <w:sz w:val="30"/>
          <w:szCs w:val="30"/>
          <w:highlight w:val="none"/>
        </w:rPr>
      </w:pPr>
    </w:p>
    <w:p>
      <w:pPr>
        <w:spacing w:line="400" w:lineRule="exact"/>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号）的规定，本单位为符合条件的残疾人福利性单位，且本单位参加</w:t>
      </w:r>
      <w:r>
        <w:rPr>
          <w:rFonts w:hint="eastAsia" w:ascii="仿宋" w:hAnsi="仿宋" w:eastAsia="仿宋" w:cs="仿宋"/>
          <w:color w:val="auto"/>
          <w:spacing w:val="6"/>
          <w:szCs w:val="21"/>
          <w:highlight w:val="none"/>
          <w:u w:val="single"/>
        </w:rPr>
        <w:t xml:space="preserve">     （采购人名称）     </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highlight w:val="none"/>
          <w:u w:val="single"/>
        </w:rPr>
        <w:t>（项目名称及标段）</w:t>
      </w:r>
      <w:r>
        <w:rPr>
          <w:rFonts w:hint="eastAsia" w:ascii="仿宋" w:hAnsi="仿宋" w:eastAsia="仿宋" w:cs="仿宋"/>
          <w:color w:val="auto"/>
          <w:spacing w:val="6"/>
          <w:szCs w:val="21"/>
          <w:highlight w:val="none"/>
        </w:rPr>
        <w:t>采购活动由本单位提供服务。</w:t>
      </w:r>
    </w:p>
    <w:p>
      <w:pPr>
        <w:spacing w:line="400" w:lineRule="exact"/>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spacing w:line="400" w:lineRule="exact"/>
        <w:ind w:firstLine="444" w:firstLineChars="200"/>
        <w:rPr>
          <w:rFonts w:ascii="仿宋" w:hAnsi="仿宋" w:eastAsia="仿宋" w:cs="仿宋"/>
          <w:color w:val="auto"/>
          <w:spacing w:val="6"/>
          <w:szCs w:val="21"/>
          <w:highlight w:val="none"/>
        </w:rPr>
      </w:pPr>
    </w:p>
    <w:p>
      <w:pPr>
        <w:spacing w:line="400" w:lineRule="exact"/>
        <w:ind w:firstLine="444" w:firstLineChars="200"/>
        <w:rPr>
          <w:rFonts w:ascii="仿宋" w:hAnsi="仿宋" w:eastAsia="仿宋" w:cs="仿宋"/>
          <w:color w:val="auto"/>
          <w:spacing w:val="6"/>
          <w:szCs w:val="21"/>
          <w:highlight w:val="none"/>
        </w:rPr>
      </w:pPr>
    </w:p>
    <w:p>
      <w:pPr>
        <w:pStyle w:val="9"/>
        <w:spacing w:line="400" w:lineRule="exact"/>
        <w:ind w:firstLine="2940" w:firstLineChars="1400"/>
        <w:rPr>
          <w:rFonts w:ascii="仿宋" w:hAnsi="仿宋" w:eastAsia="仿宋" w:cs="仿宋"/>
          <w:color w:val="auto"/>
          <w:highlight w:val="none"/>
          <w:u w:val="single"/>
        </w:rPr>
      </w:pPr>
      <w:r>
        <w:rPr>
          <w:rFonts w:hint="eastAsia" w:ascii="仿宋" w:hAnsi="仿宋" w:eastAsia="仿宋" w:cs="仿宋"/>
          <w:color w:val="auto"/>
          <w:highlight w:val="none"/>
        </w:rPr>
        <w:t>单位名称（盖公章）：</w:t>
      </w:r>
    </w:p>
    <w:p>
      <w:pPr>
        <w:pStyle w:val="9"/>
        <w:spacing w:line="400" w:lineRule="exact"/>
        <w:ind w:firstLine="2940" w:firstLineChars="1400"/>
        <w:rPr>
          <w:rFonts w:ascii="仿宋" w:hAnsi="仿宋" w:eastAsia="仿宋" w:cs="仿宋"/>
          <w:b/>
          <w:bCs/>
          <w:color w:val="auto"/>
          <w:szCs w:val="28"/>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日</w:t>
      </w:r>
    </w:p>
    <w:p>
      <w:pPr>
        <w:pStyle w:val="7"/>
        <w:spacing w:line="400" w:lineRule="exact"/>
        <w:ind w:left="412" w:firstLine="404" w:firstLineChars="200"/>
        <w:rPr>
          <w:rFonts w:ascii="仿宋" w:hAnsi="仿宋" w:eastAsia="仿宋" w:cs="仿宋"/>
          <w:color w:val="auto"/>
          <w:sz w:val="21"/>
          <w:szCs w:val="21"/>
          <w:highlight w:val="none"/>
        </w:rPr>
      </w:pPr>
    </w:p>
    <w:p>
      <w:pPr>
        <w:pStyle w:val="9"/>
        <w:spacing w:line="400" w:lineRule="exact"/>
        <w:ind w:left="1120" w:hanging="1120"/>
        <w:rPr>
          <w:rFonts w:ascii="仿宋" w:hAnsi="仿宋" w:eastAsia="仿宋" w:cs="仿宋"/>
          <w:b/>
          <w:bCs/>
          <w:color w:val="auto"/>
          <w:highlight w:val="none"/>
        </w:rPr>
      </w:pPr>
    </w:p>
    <w:p>
      <w:pPr>
        <w:pStyle w:val="9"/>
        <w:spacing w:line="400" w:lineRule="exact"/>
        <w:ind w:left="1120" w:hanging="1120"/>
        <w:rPr>
          <w:rFonts w:ascii="仿宋" w:hAnsi="仿宋" w:eastAsia="仿宋" w:cs="仿宋"/>
          <w:b/>
          <w:bCs/>
          <w:color w:val="auto"/>
          <w:szCs w:val="28"/>
          <w:highlight w:val="none"/>
        </w:rPr>
      </w:pPr>
    </w:p>
    <w:p>
      <w:pPr>
        <w:pStyle w:val="9"/>
        <w:spacing w:line="400" w:lineRule="exact"/>
        <w:ind w:left="1120" w:hanging="1120"/>
        <w:rPr>
          <w:rFonts w:ascii="仿宋" w:hAnsi="仿宋" w:eastAsia="仿宋" w:cs="仿宋"/>
          <w:b/>
          <w:bCs/>
          <w:color w:val="auto"/>
          <w:highlight w:val="none"/>
        </w:rPr>
      </w:pPr>
    </w:p>
    <w:p>
      <w:pPr>
        <w:pStyle w:val="9"/>
        <w:spacing w:line="360" w:lineRule="auto"/>
        <w:ind w:left="1120" w:hanging="1120"/>
        <w:rPr>
          <w:rFonts w:ascii="仿宋" w:hAnsi="仿宋" w:eastAsia="仿宋" w:cs="仿宋"/>
          <w:b/>
          <w:bCs/>
          <w:color w:val="auto"/>
          <w:highlight w:val="none"/>
        </w:rPr>
      </w:pPr>
    </w:p>
    <w:p>
      <w:pPr>
        <w:pStyle w:val="9"/>
        <w:spacing w:line="360" w:lineRule="auto"/>
        <w:ind w:left="1120" w:hanging="1120"/>
        <w:rPr>
          <w:rFonts w:ascii="仿宋" w:hAnsi="仿宋" w:eastAsia="仿宋" w:cs="仿宋"/>
          <w:b/>
          <w:bCs/>
          <w:color w:val="auto"/>
          <w:highlight w:val="none"/>
        </w:rPr>
      </w:pPr>
    </w:p>
    <w:p>
      <w:pPr>
        <w:pStyle w:val="9"/>
        <w:spacing w:line="400" w:lineRule="exact"/>
        <w:ind w:left="1120" w:hanging="1120"/>
        <w:rPr>
          <w:rFonts w:ascii="仿宋" w:hAnsi="仿宋" w:eastAsia="仿宋" w:cs="仿宋"/>
          <w:b/>
          <w:bCs/>
          <w:color w:val="auto"/>
          <w:szCs w:val="28"/>
          <w:highlight w:val="none"/>
        </w:rPr>
      </w:pPr>
    </w:p>
    <w:p>
      <w:pPr>
        <w:pStyle w:val="9"/>
        <w:spacing w:line="400" w:lineRule="exact"/>
        <w:ind w:left="1120" w:hanging="1120"/>
        <w:rPr>
          <w:rFonts w:ascii="仿宋" w:hAnsi="仿宋" w:eastAsia="仿宋" w:cs="仿宋"/>
          <w:b/>
          <w:bCs/>
          <w:color w:val="auto"/>
          <w:szCs w:val="28"/>
          <w:highlight w:val="none"/>
        </w:rPr>
      </w:pPr>
    </w:p>
    <w:p>
      <w:pPr>
        <w:pStyle w:val="9"/>
        <w:spacing w:line="400" w:lineRule="exact"/>
        <w:jc w:val="left"/>
        <w:rPr>
          <w:rFonts w:ascii="仿宋" w:hAnsi="仿宋" w:eastAsia="仿宋" w:cs="仿宋"/>
          <w:b/>
          <w:bCs/>
          <w:color w:val="auto"/>
          <w:szCs w:val="28"/>
          <w:highlight w:val="none"/>
        </w:rPr>
      </w:pPr>
      <w:r>
        <w:rPr>
          <w:rFonts w:hint="eastAsia" w:ascii="仿宋" w:hAnsi="仿宋" w:eastAsia="仿宋" w:cs="仿宋"/>
          <w:b/>
          <w:bCs/>
          <w:color w:val="auto"/>
          <w:highlight w:val="none"/>
        </w:rPr>
        <w:t>说明：参加政府采购活动的</w:t>
      </w:r>
      <w:r>
        <w:rPr>
          <w:rFonts w:hint="eastAsia" w:ascii="仿宋" w:hAnsi="仿宋" w:eastAsia="仿宋" w:cs="仿宋"/>
          <w:b/>
          <w:color w:val="auto"/>
          <w:highlight w:val="none"/>
        </w:rPr>
        <w:t>残疾人福利性单位</w:t>
      </w:r>
      <w:r>
        <w:rPr>
          <w:rFonts w:hint="eastAsia" w:ascii="仿宋" w:hAnsi="仿宋" w:eastAsia="仿宋" w:cs="仿宋"/>
          <w:b/>
          <w:bCs/>
          <w:color w:val="auto"/>
          <w:highlight w:val="none"/>
        </w:rPr>
        <w:t>应当提供《</w:t>
      </w:r>
      <w:r>
        <w:rPr>
          <w:rFonts w:hint="eastAsia" w:ascii="仿宋" w:hAnsi="仿宋" w:eastAsia="仿宋" w:cs="仿宋"/>
          <w:b/>
          <w:color w:val="auto"/>
          <w:highlight w:val="none"/>
        </w:rPr>
        <w:t>残疾人福利性单位声明函</w:t>
      </w:r>
      <w:r>
        <w:rPr>
          <w:rFonts w:hint="eastAsia" w:ascii="仿宋" w:hAnsi="仿宋" w:eastAsia="仿宋" w:cs="仿宋"/>
          <w:b/>
          <w:bCs/>
          <w:color w:val="auto"/>
          <w:highlight w:val="none"/>
        </w:rPr>
        <w:t>》。成交供应商的《残疾人福利性单位声明函》随成交结果一并公告。</w:t>
      </w:r>
    </w:p>
    <w:p>
      <w:pPr>
        <w:pStyle w:val="9"/>
        <w:spacing w:line="400" w:lineRule="exact"/>
        <w:rPr>
          <w:rFonts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pPr>
        <w:pStyle w:val="9"/>
        <w:spacing w:line="400" w:lineRule="exact"/>
        <w:rPr>
          <w:rFonts w:ascii="仿宋" w:hAnsi="仿宋" w:eastAsia="仿宋" w:cs="仿宋"/>
          <w:b/>
          <w:bCs/>
          <w:color w:val="auto"/>
          <w:szCs w:val="28"/>
          <w:highlight w:val="none"/>
        </w:rPr>
      </w:pPr>
      <w:r>
        <w:rPr>
          <w:rFonts w:hint="eastAsia" w:ascii="仿宋" w:hAnsi="仿宋" w:eastAsia="仿宋" w:cs="仿宋"/>
          <w:b/>
          <w:bCs/>
          <w:color w:val="auto"/>
          <w:szCs w:val="28"/>
          <w:highlight w:val="none"/>
        </w:rPr>
        <w:t>附件3：</w:t>
      </w:r>
    </w:p>
    <w:p>
      <w:pPr>
        <w:pStyle w:val="9"/>
        <w:spacing w:line="400" w:lineRule="exact"/>
        <w:rPr>
          <w:rFonts w:ascii="仿宋" w:hAnsi="仿宋" w:eastAsia="仿宋" w:cs="仿宋"/>
          <w:color w:val="auto"/>
          <w:sz w:val="24"/>
          <w:highlight w:val="none"/>
        </w:rPr>
      </w:pPr>
      <w:r>
        <w:rPr>
          <w:rFonts w:hint="eastAsia" w:ascii="仿宋" w:hAnsi="仿宋" w:eastAsia="仿宋" w:cs="仿宋"/>
          <w:color w:val="auto"/>
          <w:szCs w:val="28"/>
          <w:highlight w:val="none"/>
        </w:rPr>
        <w:t>（说明：</w:t>
      </w:r>
      <w:r>
        <w:rPr>
          <w:rFonts w:hint="eastAsia" w:ascii="仿宋" w:hAnsi="仿宋" w:eastAsia="仿宋" w:cs="仿宋"/>
          <w:color w:val="auto"/>
          <w:sz w:val="24"/>
          <w:highlight w:val="none"/>
          <w:lang w:eastAsia="zh-CN"/>
        </w:rPr>
        <w:t>竞标</w:t>
      </w:r>
      <w:r>
        <w:rPr>
          <w:rFonts w:hint="eastAsia" w:ascii="仿宋" w:hAnsi="仿宋" w:eastAsia="仿宋" w:cs="仿宋"/>
          <w:color w:val="auto"/>
          <w:szCs w:val="28"/>
          <w:highlight w:val="none"/>
        </w:rPr>
        <w:t>人收到或在网上查询到本项目的更改通知或补遗文件后，按以下回执格式填写并回复采购代理机构予以确认。）</w:t>
      </w:r>
    </w:p>
    <w:p>
      <w:pPr>
        <w:pStyle w:val="9"/>
        <w:jc w:val="center"/>
        <w:rPr>
          <w:rFonts w:ascii="仿宋" w:hAnsi="仿宋" w:eastAsia="仿宋" w:cs="仿宋"/>
          <w:b/>
          <w:color w:val="auto"/>
          <w:sz w:val="44"/>
          <w:szCs w:val="44"/>
          <w:highlight w:val="none"/>
        </w:rPr>
      </w:pPr>
    </w:p>
    <w:p>
      <w:pPr>
        <w:pStyle w:val="9"/>
        <w:jc w:val="center"/>
        <w:rPr>
          <w:rFonts w:ascii="仿宋" w:hAnsi="仿宋" w:eastAsia="仿宋" w:cs="仿宋"/>
          <w:b/>
          <w:color w:val="auto"/>
          <w:sz w:val="44"/>
          <w:szCs w:val="44"/>
          <w:highlight w:val="none"/>
        </w:rPr>
      </w:pPr>
    </w:p>
    <w:p>
      <w:pPr>
        <w:pStyle w:val="9"/>
        <w:jc w:val="center"/>
        <w:rPr>
          <w:rFonts w:ascii="仿宋" w:hAnsi="仿宋" w:eastAsia="仿宋" w:cs="仿宋"/>
          <w:b/>
          <w:color w:val="auto"/>
          <w:sz w:val="44"/>
          <w:szCs w:val="44"/>
          <w:highlight w:val="none"/>
        </w:rPr>
      </w:pPr>
    </w:p>
    <w:p>
      <w:pPr>
        <w:pStyle w:val="9"/>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收 件 回 执</w:t>
      </w:r>
    </w:p>
    <w:p>
      <w:pPr>
        <w:pStyle w:val="9"/>
        <w:spacing w:line="700" w:lineRule="exact"/>
        <w:jc w:val="center"/>
        <w:rPr>
          <w:rFonts w:ascii="仿宋" w:hAnsi="仿宋" w:eastAsia="仿宋" w:cs="仿宋"/>
          <w:b/>
          <w:color w:val="auto"/>
          <w:sz w:val="24"/>
          <w:highlight w:val="none"/>
        </w:rPr>
      </w:pPr>
    </w:p>
    <w:p>
      <w:pPr>
        <w:pStyle w:val="9"/>
        <w:spacing w:line="800" w:lineRule="exact"/>
        <w:rPr>
          <w:rFonts w:ascii="仿宋" w:hAnsi="仿宋" w:eastAsia="仿宋" w:cs="仿宋"/>
          <w:color w:val="auto"/>
          <w:sz w:val="28"/>
          <w:highlight w:val="none"/>
        </w:rPr>
      </w:pPr>
      <w:r>
        <w:rPr>
          <w:rFonts w:hint="eastAsia" w:ascii="仿宋" w:hAnsi="仿宋" w:eastAsia="仿宋" w:cs="仿宋"/>
          <w:color w:val="auto"/>
          <w:sz w:val="28"/>
          <w:highlight w:val="none"/>
        </w:rPr>
        <w:t>致</w:t>
      </w:r>
      <w:r>
        <w:rPr>
          <w:rFonts w:hint="eastAsia" w:ascii="仿宋" w:hAnsi="仿宋" w:eastAsia="仿宋" w:cs="仿宋"/>
          <w:color w:val="auto"/>
          <w:szCs w:val="21"/>
          <w:highlight w:val="none"/>
        </w:rPr>
        <w:t>广西天柱建设管理有限公司</w:t>
      </w:r>
      <w:r>
        <w:rPr>
          <w:rFonts w:hint="eastAsia" w:ascii="仿宋" w:hAnsi="仿宋" w:eastAsia="仿宋" w:cs="仿宋"/>
          <w:color w:val="auto"/>
          <w:sz w:val="28"/>
          <w:highlight w:val="none"/>
        </w:rPr>
        <w:t>：</w:t>
      </w:r>
    </w:p>
    <w:p>
      <w:pPr>
        <w:pStyle w:val="9"/>
        <w:spacing w:line="800" w:lineRule="exact"/>
        <w:ind w:firstLine="450"/>
        <w:rPr>
          <w:rFonts w:ascii="仿宋" w:hAnsi="仿宋" w:eastAsia="仿宋" w:cs="仿宋"/>
          <w:color w:val="auto"/>
          <w:sz w:val="24"/>
          <w:highlight w:val="none"/>
        </w:rPr>
      </w:pPr>
      <w:r>
        <w:rPr>
          <w:rFonts w:hint="eastAsia" w:ascii="仿宋" w:hAnsi="仿宋" w:eastAsia="仿宋" w:cs="仿宋"/>
          <w:color w:val="auto"/>
          <w:sz w:val="24"/>
          <w:highlight w:val="none"/>
        </w:rPr>
        <w:t>我公司于年月日收到贵公司（文件名称），共份，特此确认。</w:t>
      </w:r>
    </w:p>
    <w:p>
      <w:pPr>
        <w:spacing w:line="700" w:lineRule="exact"/>
        <w:rPr>
          <w:rFonts w:ascii="仿宋" w:hAnsi="仿宋" w:eastAsia="仿宋" w:cs="仿宋"/>
          <w:color w:val="auto"/>
          <w:sz w:val="24"/>
          <w:highlight w:val="none"/>
        </w:rPr>
      </w:pPr>
    </w:p>
    <w:p>
      <w:pPr>
        <w:spacing w:line="700" w:lineRule="exact"/>
        <w:ind w:firstLine="432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竞标</w:t>
      </w:r>
      <w:r>
        <w:rPr>
          <w:rFonts w:hint="eastAsia" w:ascii="仿宋" w:hAnsi="仿宋" w:eastAsia="仿宋" w:cs="仿宋"/>
          <w:color w:val="auto"/>
          <w:sz w:val="24"/>
          <w:highlight w:val="none"/>
        </w:rPr>
        <w:t>单位(加盖公章)：</w:t>
      </w:r>
    </w:p>
    <w:p>
      <w:pPr>
        <w:spacing w:line="700" w:lineRule="exact"/>
        <w:ind w:firstLine="4320"/>
        <w:rPr>
          <w:rFonts w:ascii="仿宋" w:hAnsi="仿宋" w:eastAsia="仿宋" w:cs="仿宋"/>
          <w:color w:val="auto"/>
          <w:sz w:val="24"/>
          <w:highlight w:val="none"/>
        </w:rPr>
      </w:pPr>
      <w:r>
        <w:rPr>
          <w:rFonts w:hint="eastAsia" w:ascii="仿宋" w:hAnsi="仿宋" w:eastAsia="仿宋" w:cs="仿宋"/>
          <w:color w:val="auto"/>
          <w:sz w:val="24"/>
          <w:highlight w:val="none"/>
        </w:rPr>
        <w:t>签 收 人：</w:t>
      </w:r>
    </w:p>
    <w:p>
      <w:pPr>
        <w:spacing w:line="700" w:lineRule="exact"/>
        <w:ind w:firstLine="432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700" w:lineRule="exact"/>
        <w:ind w:firstLine="432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700" w:lineRule="exact"/>
        <w:rPr>
          <w:rFonts w:ascii="仿宋" w:hAnsi="仿宋" w:eastAsia="仿宋" w:cs="仿宋"/>
          <w:color w:val="auto"/>
          <w:sz w:val="24"/>
          <w:highlight w:val="none"/>
        </w:rPr>
      </w:pPr>
    </w:p>
    <w:p>
      <w:pPr>
        <w:snapToGrid w:val="0"/>
        <w:spacing w:before="50" w:afterLines="50"/>
        <w:jc w:val="left"/>
        <w:rPr>
          <w:rFonts w:ascii="仿宋" w:hAnsi="仿宋" w:eastAsia="仿宋" w:cs="仿宋"/>
          <w:color w:val="auto"/>
          <w:szCs w:val="21"/>
          <w:highlight w:val="none"/>
        </w:rPr>
      </w:pPr>
      <w:r>
        <w:rPr>
          <w:rFonts w:hint="eastAsia" w:ascii="仿宋" w:hAnsi="仿宋" w:eastAsia="仿宋" w:cs="仿宋"/>
          <w:color w:val="auto"/>
          <w:highlight w:val="none"/>
        </w:rPr>
        <w:br w:type="page"/>
      </w:r>
    </w:p>
    <w:p>
      <w:pPr>
        <w:snapToGrid w:val="0"/>
        <w:spacing w:before="50" w:afterLines="50"/>
        <w:jc w:val="left"/>
        <w:rPr>
          <w:rFonts w:ascii="仿宋" w:hAnsi="仿宋" w:eastAsia="仿宋" w:cs="仿宋"/>
          <w:color w:val="auto"/>
          <w:szCs w:val="21"/>
          <w:highlight w:val="none"/>
        </w:rPr>
      </w:pPr>
      <w:r>
        <w:rPr>
          <w:rFonts w:hint="eastAsia" w:ascii="仿宋" w:hAnsi="仿宋" w:eastAsia="仿宋" w:cs="仿宋"/>
          <w:color w:val="auto"/>
          <w:szCs w:val="21"/>
          <w:highlight w:val="none"/>
        </w:rPr>
        <w:t>附件4</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在本项目响应产品中采用80%以上（含）广西工业产品的证明材料。</w:t>
      </w:r>
      <w:r>
        <w:rPr>
          <w:rFonts w:hint="eastAsia" w:ascii="仿宋" w:hAnsi="仿宋" w:eastAsia="仿宋" w:cs="仿宋"/>
          <w:b/>
          <w:color w:val="auto"/>
          <w:szCs w:val="21"/>
          <w:highlight w:val="none"/>
        </w:rPr>
        <w:t>（如提供，则须按以下声明函格式提供）</w:t>
      </w:r>
    </w:p>
    <w:p>
      <w:pPr>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证明材料须提供生产企业营业执照复印件、《广西工业产品声明函》原件以及供应商认为需提供的其他证明材料。不符合桂政办发[2015]78号《广西壮族自治区人民政府办公厅关于印发招标采购促进广西工业产品产销对接实施细则的通知》要求的，无需提供。</w:t>
      </w:r>
    </w:p>
    <w:p>
      <w:pPr>
        <w:spacing w:line="360" w:lineRule="auto"/>
        <w:jc w:val="center"/>
        <w:rPr>
          <w:rFonts w:ascii="仿宋" w:hAnsi="仿宋" w:eastAsia="仿宋" w:cs="仿宋"/>
          <w:b/>
          <w:color w:val="auto"/>
          <w:szCs w:val="21"/>
          <w:highlight w:val="none"/>
        </w:rPr>
      </w:pPr>
    </w:p>
    <w:p>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广西工业产品声明函</w:t>
      </w:r>
    </w:p>
    <w:p>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本公司郑重声明，根据《招标采购促进广西工业产品产销对接实施细则》的规定，本公司在本次响应/竞标中或者工程项目中提供的下述产品为广西工业产品，详情如下：</w:t>
      </w:r>
    </w:p>
    <w:tbl>
      <w:tblPr>
        <w:tblStyle w:val="1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9"/>
        <w:gridCol w:w="1947"/>
        <w:gridCol w:w="1550"/>
        <w:gridCol w:w="948"/>
        <w:gridCol w:w="2174"/>
        <w:gridCol w:w="1090"/>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49" w:type="dxa"/>
            <w:tcBorders>
              <w:top w:val="single" w:color="auto" w:sz="12" w:space="0"/>
              <w:left w:val="single" w:color="auto" w:sz="12" w:space="0"/>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947" w:type="dxa"/>
            <w:tcBorders>
              <w:top w:val="single" w:color="auto" w:sz="12" w:space="0"/>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产品名称</w:t>
            </w:r>
          </w:p>
        </w:tc>
        <w:tc>
          <w:tcPr>
            <w:tcW w:w="1550" w:type="dxa"/>
            <w:tcBorders>
              <w:top w:val="single" w:color="auto" w:sz="12" w:space="0"/>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型号和规格</w:t>
            </w:r>
          </w:p>
        </w:tc>
        <w:tc>
          <w:tcPr>
            <w:tcW w:w="948" w:type="dxa"/>
            <w:tcBorders>
              <w:top w:val="single" w:color="auto" w:sz="12" w:space="0"/>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2174" w:type="dxa"/>
            <w:tcBorders>
              <w:top w:val="single" w:color="auto" w:sz="12" w:space="0"/>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制造厂商及原产地</w:t>
            </w:r>
          </w:p>
        </w:tc>
        <w:tc>
          <w:tcPr>
            <w:tcW w:w="1090" w:type="dxa"/>
            <w:tcBorders>
              <w:top w:val="single" w:color="auto" w:sz="12" w:space="0"/>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响应价</w:t>
            </w:r>
          </w:p>
        </w:tc>
        <w:tc>
          <w:tcPr>
            <w:tcW w:w="770" w:type="dxa"/>
            <w:tcBorders>
              <w:top w:val="single" w:color="auto" w:sz="12" w:space="0"/>
              <w:left w:val="nil"/>
              <w:bottom w:val="single" w:color="auto" w:sz="8" w:space="0"/>
              <w:right w:val="single" w:color="auto" w:sz="12"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849" w:type="dxa"/>
            <w:tcBorders>
              <w:top w:val="nil"/>
              <w:left w:val="single" w:color="auto" w:sz="12" w:space="0"/>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947"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55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948"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217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09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770" w:type="dxa"/>
            <w:tcBorders>
              <w:top w:val="nil"/>
              <w:left w:val="nil"/>
              <w:bottom w:val="single" w:color="auto" w:sz="8" w:space="0"/>
              <w:right w:val="single" w:color="auto" w:sz="12"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849" w:type="dxa"/>
            <w:tcBorders>
              <w:top w:val="nil"/>
              <w:left w:val="single" w:color="auto" w:sz="12" w:space="0"/>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947"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55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948"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217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09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770" w:type="dxa"/>
            <w:tcBorders>
              <w:top w:val="nil"/>
              <w:left w:val="nil"/>
              <w:bottom w:val="single" w:color="auto" w:sz="8" w:space="0"/>
              <w:right w:val="single" w:color="auto" w:sz="12"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49" w:type="dxa"/>
            <w:tcBorders>
              <w:top w:val="nil"/>
              <w:left w:val="single" w:color="auto" w:sz="12" w:space="0"/>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947"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55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948"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2174"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1090" w:type="dxa"/>
            <w:tcBorders>
              <w:top w:val="nil"/>
              <w:left w:val="nil"/>
              <w:bottom w:val="single" w:color="auto" w:sz="8"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770" w:type="dxa"/>
            <w:tcBorders>
              <w:top w:val="nil"/>
              <w:left w:val="nil"/>
              <w:bottom w:val="single" w:color="auto" w:sz="8" w:space="0"/>
              <w:right w:val="single" w:color="auto" w:sz="12"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849" w:type="dxa"/>
            <w:tcBorders>
              <w:top w:val="nil"/>
              <w:left w:val="single" w:color="auto" w:sz="12" w:space="0"/>
              <w:bottom w:val="single" w:color="auto" w:sz="12"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947" w:type="dxa"/>
            <w:tcBorders>
              <w:top w:val="nil"/>
              <w:left w:val="nil"/>
              <w:bottom w:val="single" w:color="auto" w:sz="12"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广西工业产品合计价格：</w:t>
            </w:r>
          </w:p>
        </w:tc>
        <w:tc>
          <w:tcPr>
            <w:tcW w:w="2498" w:type="dxa"/>
            <w:gridSpan w:val="2"/>
            <w:tcBorders>
              <w:top w:val="nil"/>
              <w:left w:val="nil"/>
              <w:bottom w:val="single" w:color="auto" w:sz="12"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c>
          <w:tcPr>
            <w:tcW w:w="2174" w:type="dxa"/>
            <w:tcBorders>
              <w:top w:val="nil"/>
              <w:left w:val="nil"/>
              <w:bottom w:val="single" w:color="auto" w:sz="12" w:space="0"/>
              <w:right w:val="single" w:color="auto" w:sz="8"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占响应总价比例：</w:t>
            </w:r>
          </w:p>
        </w:tc>
        <w:tc>
          <w:tcPr>
            <w:tcW w:w="1860" w:type="dxa"/>
            <w:gridSpan w:val="2"/>
            <w:tcBorders>
              <w:top w:val="nil"/>
              <w:left w:val="nil"/>
              <w:bottom w:val="single" w:color="auto" w:sz="12" w:space="0"/>
              <w:right w:val="single" w:color="auto" w:sz="12" w:space="0"/>
            </w:tcBorders>
            <w:noWrap/>
            <w:tcMar>
              <w:top w:w="0" w:type="dxa"/>
              <w:left w:w="57" w:type="dxa"/>
              <w:bottom w:w="0" w:type="dxa"/>
              <w:right w:w="57" w:type="dxa"/>
            </w:tcMar>
            <w:vAlign w:val="center"/>
          </w:tcPr>
          <w:p>
            <w:pPr>
              <w:widowControl/>
              <w:spacing w:before="100" w:beforeAutospacing="1" w:after="100" w:afterAutospacing="1" w:line="376" w:lineRule="atLeast"/>
              <w:jc w:val="center"/>
              <w:rPr>
                <w:rFonts w:ascii="仿宋" w:hAnsi="仿宋" w:eastAsia="仿宋" w:cs="仿宋"/>
                <w:color w:val="auto"/>
                <w:kern w:val="0"/>
                <w:szCs w:val="21"/>
                <w:highlight w:val="none"/>
              </w:rPr>
            </w:pPr>
          </w:p>
        </w:tc>
      </w:tr>
    </w:tbl>
    <w:p>
      <w:pPr>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本公司对上述声明的真实性负责。如有虚假，将依法承担相应责任。</w:t>
      </w:r>
    </w:p>
    <w:p>
      <w:pPr>
        <w:spacing w:line="360" w:lineRule="auto"/>
        <w:ind w:firstLine="420"/>
        <w:rPr>
          <w:rFonts w:ascii="仿宋" w:hAnsi="仿宋" w:eastAsia="仿宋" w:cs="仿宋"/>
          <w:color w:val="auto"/>
          <w:szCs w:val="21"/>
          <w:highlight w:val="none"/>
        </w:rPr>
      </w:pPr>
    </w:p>
    <w:p>
      <w:pPr>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3"/>
        <w:rPr>
          <w:rFonts w:ascii="仿宋" w:hAnsi="仿宋" w:eastAsia="仿宋" w:cs="仿宋"/>
          <w:color w:val="auto"/>
          <w:highlight w:val="none"/>
        </w:rPr>
      </w:pPr>
    </w:p>
    <w:p>
      <w:pPr>
        <w:snapToGrid w:val="0"/>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（1）广西工业产品，是指在广西境内生产的工业产品，具体以生产企业的工商营业执照注册所在地为准。</w:t>
      </w:r>
    </w:p>
    <w:p>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（2）使用广西工业产品80%以上，是指参加政府采购项目时供货范围中采用广西工业产品的金额占本次响应或竞标总金额的80%以上(含)；或者工程建设使用广西工业产品占工程建设所需产品总金额的80%以上(含)。</w:t>
      </w:r>
    </w:p>
    <w:p>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（3）供应商未按要求提供证明材料的不</w:t>
      </w:r>
      <w:r>
        <w:rPr>
          <w:rFonts w:hint="eastAsia" w:ascii="仿宋" w:hAnsi="仿宋" w:eastAsia="仿宋" w:cs="仿宋"/>
          <w:color w:val="auto"/>
          <w:szCs w:val="21"/>
          <w:highlight w:val="none"/>
          <w:lang w:val="en-US" w:eastAsia="zh-CN"/>
        </w:rPr>
        <w:t>享受优惠政策</w:t>
      </w:r>
      <w:r>
        <w:rPr>
          <w:rFonts w:hint="eastAsia" w:ascii="仿宋" w:hAnsi="仿宋" w:eastAsia="仿宋" w:cs="仿宋"/>
          <w:color w:val="auto"/>
          <w:szCs w:val="21"/>
          <w:highlight w:val="none"/>
        </w:rPr>
        <w:t>，使用广西工业产品比例小于80%的不</w:t>
      </w:r>
      <w:r>
        <w:rPr>
          <w:rFonts w:hint="eastAsia" w:ascii="仿宋" w:hAnsi="仿宋" w:eastAsia="仿宋" w:cs="仿宋"/>
          <w:color w:val="auto"/>
          <w:szCs w:val="21"/>
          <w:highlight w:val="none"/>
          <w:lang w:val="en-US" w:eastAsia="zh-CN"/>
        </w:rPr>
        <w:t>享受优惠政策</w:t>
      </w:r>
      <w:r>
        <w:rPr>
          <w:rFonts w:hint="eastAsia" w:ascii="仿宋" w:hAnsi="仿宋" w:eastAsia="仿宋" w:cs="仿宋"/>
          <w:color w:val="auto"/>
          <w:szCs w:val="21"/>
          <w:highlight w:val="none"/>
        </w:rPr>
        <w:t>。如提供虚假证明材料，本次响应按否决响应处理，并按照财库〔2016〕125号《财政部关于在政府采购活动中查询及使用信用记录有关问题的通知》规定依法承担失信联合惩戒。</w:t>
      </w:r>
    </w:p>
    <w:p>
      <w:pPr>
        <w:pStyle w:val="13"/>
        <w:rPr>
          <w:rFonts w:ascii="仿宋" w:hAnsi="仿宋" w:eastAsia="仿宋" w:cs="仿宋"/>
          <w:color w:val="auto"/>
          <w:highlight w:val="none"/>
        </w:rPr>
      </w:pPr>
    </w:p>
    <w:p>
      <w:pPr>
        <w:jc w:val="center"/>
        <w:outlineLvl w:val="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第六章  </w:t>
      </w:r>
      <w:bookmarkEnd w:id="43"/>
      <w:r>
        <w:rPr>
          <w:rFonts w:hint="eastAsia" w:ascii="仿宋" w:hAnsi="仿宋" w:eastAsia="仿宋" w:cs="仿宋"/>
          <w:b/>
          <w:color w:val="auto"/>
          <w:sz w:val="44"/>
          <w:szCs w:val="44"/>
          <w:highlight w:val="none"/>
        </w:rPr>
        <w:t>评标办法</w:t>
      </w:r>
    </w:p>
    <w:p>
      <w:pPr>
        <w:spacing w:line="360" w:lineRule="auto"/>
        <w:jc w:val="left"/>
        <w:outlineLvl w:val="1"/>
        <w:rPr>
          <w:rFonts w:ascii="仿宋" w:hAnsi="仿宋" w:eastAsia="仿宋" w:cs="仿宋"/>
          <w:b/>
          <w:color w:val="auto"/>
          <w:szCs w:val="21"/>
          <w:highlight w:val="none"/>
        </w:rPr>
      </w:pPr>
    </w:p>
    <w:p>
      <w:pPr>
        <w:pStyle w:val="9"/>
        <w:keepLines w:val="0"/>
        <w:pageBreakBefore w:val="0"/>
        <w:widowControl w:val="0"/>
        <w:kinsoku/>
        <w:wordWrap/>
        <w:overflowPunct/>
        <w:topLinePunct w:val="0"/>
        <w:autoSpaceDE/>
        <w:autoSpaceDN/>
        <w:bidi w:val="0"/>
        <w:adjustRightInd/>
        <w:snapToGrid/>
        <w:spacing w:line="430" w:lineRule="exact"/>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w:t>
      </w:r>
      <w:r>
        <w:rPr>
          <w:rFonts w:hint="eastAsia" w:ascii="仿宋" w:hAnsi="仿宋" w:eastAsia="仿宋" w:cs="仿宋"/>
          <w:b/>
          <w:color w:val="auto"/>
          <w:szCs w:val="21"/>
          <w:highlight w:val="none"/>
          <w:lang w:eastAsia="zh-CN"/>
        </w:rPr>
        <w:t>评标</w:t>
      </w:r>
      <w:r>
        <w:rPr>
          <w:rFonts w:hint="eastAsia" w:ascii="仿宋" w:hAnsi="仿宋" w:eastAsia="仿宋" w:cs="仿宋"/>
          <w:b/>
          <w:color w:val="auto"/>
          <w:szCs w:val="21"/>
          <w:highlight w:val="none"/>
        </w:rPr>
        <w:t>原则</w:t>
      </w:r>
    </w:p>
    <w:p>
      <w:pPr>
        <w:pStyle w:val="9"/>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(一) 谈判小组构成：本竞争性谈判采购项目的谈判小组分别由随机抽取的专家、采购单位代表共3人以上的单数组成，其中专家人数不少于成员总数的三分之二。</w:t>
      </w:r>
    </w:p>
    <w:p>
      <w:pPr>
        <w:pStyle w:val="9"/>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(二) </w:t>
      </w:r>
      <w:r>
        <w:rPr>
          <w:rFonts w:hint="eastAsia" w:ascii="仿宋" w:hAnsi="仿宋" w:eastAsia="仿宋" w:cs="仿宋"/>
          <w:bCs/>
          <w:color w:val="auto"/>
          <w:szCs w:val="21"/>
          <w:highlight w:val="none"/>
          <w:lang w:eastAsia="zh-CN"/>
        </w:rPr>
        <w:t>评标</w:t>
      </w:r>
      <w:r>
        <w:rPr>
          <w:rFonts w:hint="eastAsia" w:ascii="仿宋" w:hAnsi="仿宋" w:eastAsia="仿宋" w:cs="仿宋"/>
          <w:bCs/>
          <w:color w:val="auto"/>
          <w:szCs w:val="21"/>
          <w:highlight w:val="none"/>
        </w:rPr>
        <w:t>依据：谈判小组将以</w:t>
      </w:r>
      <w:r>
        <w:rPr>
          <w:rFonts w:hint="eastAsia" w:ascii="仿宋" w:hAnsi="仿宋" w:eastAsia="仿宋" w:cs="仿宋"/>
          <w:bCs/>
          <w:color w:val="auto"/>
          <w:szCs w:val="21"/>
          <w:highlight w:val="none"/>
          <w:lang w:val="en-US" w:eastAsia="zh-CN"/>
        </w:rPr>
        <w:t>竞争性谈判采购</w:t>
      </w:r>
      <w:r>
        <w:rPr>
          <w:rFonts w:hint="eastAsia" w:ascii="仿宋" w:hAnsi="仿宋" w:eastAsia="仿宋" w:cs="仿宋"/>
          <w:bCs/>
          <w:color w:val="auto"/>
          <w:szCs w:val="21"/>
          <w:highlight w:val="none"/>
        </w:rPr>
        <w:t>文件和竞标</w:t>
      </w:r>
      <w:r>
        <w:rPr>
          <w:rFonts w:hint="eastAsia" w:ascii="仿宋" w:hAnsi="仿宋" w:eastAsia="仿宋" w:cs="仿宋"/>
          <w:bCs/>
          <w:color w:val="auto"/>
          <w:szCs w:val="21"/>
          <w:highlight w:val="none"/>
          <w:lang w:val="en-US" w:eastAsia="zh-CN"/>
        </w:rPr>
        <w:t>响应</w:t>
      </w:r>
      <w:r>
        <w:rPr>
          <w:rFonts w:hint="eastAsia" w:ascii="仿宋" w:hAnsi="仿宋" w:eastAsia="仿宋" w:cs="仿宋"/>
          <w:bCs/>
          <w:color w:val="auto"/>
          <w:szCs w:val="21"/>
          <w:highlight w:val="none"/>
        </w:rPr>
        <w:t>文件为</w:t>
      </w:r>
      <w:r>
        <w:rPr>
          <w:rFonts w:hint="eastAsia" w:ascii="仿宋" w:hAnsi="仿宋" w:eastAsia="仿宋" w:cs="仿宋"/>
          <w:bCs/>
          <w:color w:val="auto"/>
          <w:szCs w:val="21"/>
          <w:highlight w:val="none"/>
          <w:lang w:eastAsia="zh-CN"/>
        </w:rPr>
        <w:t>评标</w:t>
      </w:r>
      <w:r>
        <w:rPr>
          <w:rFonts w:hint="eastAsia" w:ascii="仿宋" w:hAnsi="仿宋" w:eastAsia="仿宋" w:cs="仿宋"/>
          <w:bCs/>
          <w:color w:val="auto"/>
          <w:szCs w:val="21"/>
          <w:highlight w:val="none"/>
        </w:rPr>
        <w:t>依据</w:t>
      </w:r>
      <w:r>
        <w:rPr>
          <w:rFonts w:hint="eastAsia" w:ascii="仿宋" w:hAnsi="仿宋" w:eastAsia="仿宋" w:cs="仿宋"/>
          <w:color w:val="auto"/>
          <w:szCs w:val="21"/>
          <w:highlight w:val="none"/>
        </w:rPr>
        <w:t>。</w:t>
      </w:r>
    </w:p>
    <w:p>
      <w:pPr>
        <w:pStyle w:val="9"/>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(三) </w:t>
      </w:r>
      <w:r>
        <w:rPr>
          <w:rFonts w:hint="eastAsia" w:ascii="仿宋" w:hAnsi="仿宋" w:eastAsia="仿宋" w:cs="仿宋"/>
          <w:bCs/>
          <w:color w:val="auto"/>
          <w:szCs w:val="21"/>
          <w:highlight w:val="none"/>
          <w:lang w:eastAsia="zh-CN"/>
        </w:rPr>
        <w:t>评标</w:t>
      </w:r>
      <w:r>
        <w:rPr>
          <w:rFonts w:hint="eastAsia" w:ascii="仿宋" w:hAnsi="仿宋" w:eastAsia="仿宋" w:cs="仿宋"/>
          <w:bCs/>
          <w:color w:val="auto"/>
          <w:szCs w:val="21"/>
          <w:highlight w:val="none"/>
        </w:rPr>
        <w:t>方式：采用最低评标价法。</w:t>
      </w:r>
    </w:p>
    <w:p>
      <w:pPr>
        <w:pStyle w:val="9"/>
        <w:keepLines w:val="0"/>
        <w:pageBreakBefore w:val="0"/>
        <w:widowControl w:val="0"/>
        <w:kinsoku/>
        <w:wordWrap/>
        <w:overflowPunct/>
        <w:topLinePunct w:val="0"/>
        <w:autoSpaceDE/>
        <w:autoSpaceDN/>
        <w:bidi w:val="0"/>
        <w:adjustRightInd/>
        <w:snapToGrid/>
        <w:spacing w:line="430" w:lineRule="exact"/>
        <w:textAlignment w:val="auto"/>
        <w:outlineLvl w:val="9"/>
        <w:rPr>
          <w:rFonts w:hint="eastAsia" w:ascii="仿宋" w:hAnsi="仿宋" w:eastAsia="仿宋" w:cs="仿宋"/>
          <w:b/>
          <w:color w:val="auto"/>
          <w:szCs w:val="21"/>
          <w:highlight w:val="none"/>
        </w:rPr>
      </w:pPr>
      <w:bookmarkStart w:id="49" w:name="_Toc337456109"/>
      <w:r>
        <w:rPr>
          <w:rFonts w:hint="eastAsia" w:ascii="仿宋" w:hAnsi="仿宋" w:eastAsia="仿宋" w:cs="仿宋"/>
          <w:b/>
          <w:color w:val="auto"/>
          <w:szCs w:val="21"/>
          <w:highlight w:val="none"/>
        </w:rPr>
        <w:t>二、</w:t>
      </w:r>
      <w:r>
        <w:rPr>
          <w:rFonts w:hint="eastAsia" w:ascii="仿宋" w:hAnsi="仿宋" w:eastAsia="仿宋" w:cs="仿宋"/>
          <w:b/>
          <w:color w:val="auto"/>
          <w:szCs w:val="21"/>
          <w:highlight w:val="none"/>
          <w:lang w:eastAsia="zh-CN"/>
        </w:rPr>
        <w:t>评标</w:t>
      </w:r>
      <w:r>
        <w:rPr>
          <w:rFonts w:hint="eastAsia" w:ascii="仿宋" w:hAnsi="仿宋" w:eastAsia="仿宋" w:cs="仿宋"/>
          <w:b/>
          <w:color w:val="auto"/>
          <w:szCs w:val="21"/>
          <w:highlight w:val="none"/>
        </w:rPr>
        <w:t>方法</w:t>
      </w:r>
      <w:bookmarkEnd w:id="49"/>
    </w:p>
    <w:p>
      <w:pPr>
        <w:pStyle w:val="9"/>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对资格性和符合性审查合格的竞标文件，采用</w:t>
      </w:r>
      <w:r>
        <w:rPr>
          <w:rFonts w:hint="eastAsia" w:ascii="仿宋" w:hAnsi="仿宋" w:eastAsia="仿宋" w:cs="仿宋"/>
          <w:bCs/>
          <w:color w:val="auto"/>
          <w:szCs w:val="21"/>
          <w:highlight w:val="none"/>
        </w:rPr>
        <w:t>最低评标价法进行评审。</w:t>
      </w:r>
    </w:p>
    <w:p>
      <w:pPr>
        <w:pStyle w:val="9"/>
        <w:keepLines w:val="0"/>
        <w:pageBreakBefore w:val="0"/>
        <w:widowControl w:val="0"/>
        <w:kinsoku/>
        <w:wordWrap/>
        <w:overflowPunct/>
        <w:topLinePunct w:val="0"/>
        <w:autoSpaceDE/>
        <w:autoSpaceDN/>
        <w:bidi w:val="0"/>
        <w:adjustRightInd/>
        <w:snapToGrid/>
        <w:spacing w:line="430" w:lineRule="exact"/>
        <w:ind w:firstLine="315" w:firstLineChars="150"/>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(一) </w:t>
      </w:r>
      <w:r>
        <w:rPr>
          <w:rFonts w:hint="eastAsia" w:ascii="仿宋" w:hAnsi="仿宋" w:eastAsia="仿宋" w:cs="仿宋"/>
          <w:color w:val="auto"/>
          <w:szCs w:val="21"/>
          <w:highlight w:val="none"/>
        </w:rPr>
        <w:t>资格性和符合性审查的内容为谈判文件第二章《竞标人须知》第7、8、13、14、15、16、</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22条内容。</w:t>
      </w:r>
    </w:p>
    <w:p>
      <w:pPr>
        <w:pStyle w:val="9"/>
        <w:spacing w:line="360" w:lineRule="auto"/>
        <w:ind w:firstLine="462" w:firstLineChars="220"/>
        <w:rPr>
          <w:rFonts w:ascii="仿宋" w:hAnsi="仿宋" w:eastAsia="仿宋" w:cs="仿宋"/>
          <w:b/>
          <w:color w:val="auto"/>
          <w:szCs w:val="21"/>
          <w:highlight w:val="none"/>
        </w:rPr>
      </w:pPr>
      <w:r>
        <w:rPr>
          <w:rFonts w:hint="eastAsia" w:ascii="仿宋" w:hAnsi="仿宋" w:eastAsia="仿宋" w:cs="仿宋"/>
          <w:b w:val="0"/>
          <w:bCs/>
          <w:color w:val="auto"/>
          <w:szCs w:val="21"/>
          <w:highlight w:val="none"/>
        </w:rPr>
        <w:t>(二)</w:t>
      </w:r>
      <w:r>
        <w:rPr>
          <w:rFonts w:hint="eastAsia" w:ascii="仿宋" w:hAnsi="仿宋" w:eastAsia="仿宋" w:cs="仿宋"/>
          <w:b w:val="0"/>
          <w:bCs/>
          <w:color w:val="auto"/>
          <w:highlight w:val="none"/>
        </w:rPr>
        <w:t xml:space="preserve"> </w:t>
      </w:r>
      <w:r>
        <w:rPr>
          <w:rFonts w:hint="eastAsia" w:ascii="仿宋" w:hAnsi="仿宋" w:eastAsia="仿宋" w:cs="仿宋"/>
          <w:b/>
          <w:color w:val="auto"/>
          <w:szCs w:val="21"/>
          <w:highlight w:val="none"/>
        </w:rPr>
        <w:t>按照《政府采购促进中小企业发展暂行办法》（财库[2011]181号）之规定，投标产品被认定为小型和微型企业产品（以具有认定职能的部门出具的证明材料为准）的，对小型和微型企业产品的价格给予10%的扣除，扣除后的价格为评标报价，即评标报价=投标价×（1-10%）；否则，评标价=竞标价。</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注：小型、微型企业提供大、中型企业制造的货物的，视同为非小微企业。</w:t>
      </w:r>
    </w:p>
    <w:p>
      <w:pPr>
        <w:spacing w:line="360" w:lineRule="auto"/>
        <w:ind w:firstLine="422" w:firstLineChars="200"/>
        <w:jc w:val="left"/>
        <w:rPr>
          <w:rFonts w:hint="eastAsia" w:ascii="仿宋" w:hAnsi="仿宋" w:eastAsia="仿宋" w:cs="仿宋"/>
          <w:b w:val="0"/>
          <w:bCs/>
          <w:color w:val="auto"/>
          <w:highlight w:val="none"/>
        </w:rPr>
      </w:pPr>
      <w:r>
        <w:rPr>
          <w:rFonts w:hint="eastAsia" w:ascii="仿宋" w:hAnsi="仿宋" w:eastAsia="仿宋" w:cs="仿宋"/>
          <w:b/>
          <w:color w:val="auto"/>
          <w:szCs w:val="21"/>
          <w:highlight w:val="none"/>
        </w:rPr>
        <w:t>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或符合《招标采购促进广西工业产品产销对接实施细则》的规定《广西工业产品声明函》。</w:t>
      </w:r>
    </w:p>
    <w:p>
      <w:pPr>
        <w:keepLines w:val="0"/>
        <w:pageBreakBefore w:val="0"/>
        <w:widowControl w:val="0"/>
        <w:kinsoku/>
        <w:wordWrap/>
        <w:overflowPunct/>
        <w:topLinePunct w:val="0"/>
        <w:autoSpaceDE/>
        <w:autoSpaceDN/>
        <w:bidi w:val="0"/>
        <w:adjustRightInd/>
        <w:snapToGrid/>
        <w:spacing w:line="430" w:lineRule="exact"/>
        <w:ind w:left="10" w:leftChars="5" w:firstLine="316" w:firstLineChars="150"/>
        <w:textAlignment w:val="auto"/>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三、评标原则：</w:t>
      </w:r>
    </w:p>
    <w:p>
      <w:pPr>
        <w:keepLines w:val="0"/>
        <w:pageBreakBefore w:val="0"/>
        <w:widowControl w:val="0"/>
        <w:kinsoku/>
        <w:wordWrap/>
        <w:overflowPunct/>
        <w:topLinePunct w:val="0"/>
        <w:autoSpaceDE/>
        <w:autoSpaceDN/>
        <w:bidi w:val="0"/>
        <w:adjustRightInd/>
        <w:snapToGrid/>
        <w:spacing w:line="430" w:lineRule="exact"/>
        <w:ind w:left="115" w:leftChars="55" w:firstLine="630" w:firstLineChars="3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评标方法：通过</w:t>
      </w:r>
      <w:r>
        <w:rPr>
          <w:rFonts w:hint="eastAsia" w:ascii="仿宋" w:hAnsi="仿宋" w:eastAsia="仿宋" w:cs="仿宋"/>
          <w:color w:val="auto"/>
          <w:szCs w:val="21"/>
          <w:highlight w:val="none"/>
        </w:rPr>
        <w:t>资格评审及符合性评审</w:t>
      </w:r>
      <w:r>
        <w:rPr>
          <w:rFonts w:hint="eastAsia" w:ascii="仿宋" w:hAnsi="仿宋" w:eastAsia="仿宋" w:cs="仿宋"/>
          <w:color w:val="auto"/>
          <w:kern w:val="0"/>
          <w:szCs w:val="21"/>
          <w:highlight w:val="none"/>
        </w:rPr>
        <w:t>后，在</w:t>
      </w:r>
      <w:r>
        <w:rPr>
          <w:rFonts w:hint="eastAsia" w:ascii="仿宋" w:hAnsi="仿宋" w:eastAsia="仿宋" w:cs="仿宋"/>
          <w:color w:val="auto"/>
          <w:kern w:val="0"/>
          <w:szCs w:val="21"/>
          <w:highlight w:val="none"/>
          <w:lang w:val="en-US" w:eastAsia="zh-CN"/>
        </w:rPr>
        <w:t>产品</w:t>
      </w:r>
      <w:r>
        <w:rPr>
          <w:rFonts w:hint="eastAsia" w:ascii="仿宋" w:hAnsi="仿宋" w:eastAsia="仿宋" w:cs="仿宋"/>
          <w:color w:val="auto"/>
          <w:kern w:val="0"/>
          <w:szCs w:val="21"/>
          <w:highlight w:val="none"/>
        </w:rPr>
        <w:t>质量和</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rPr>
        <w:t>均能满足竞争性谈判采购文件实质性响应要求的前提下，按最后报价由低到高排列</w:t>
      </w:r>
      <w:r>
        <w:rPr>
          <w:rFonts w:hint="eastAsia" w:ascii="仿宋" w:hAnsi="仿宋" w:eastAsia="仿宋" w:cs="仿宋"/>
          <w:color w:val="auto"/>
          <w:kern w:val="0"/>
          <w:szCs w:val="21"/>
          <w:highlight w:val="none"/>
          <w:lang w:val="en-US" w:eastAsia="zh-CN"/>
        </w:rPr>
        <w:t>成交</w:t>
      </w:r>
      <w:r>
        <w:rPr>
          <w:rFonts w:hint="eastAsia" w:ascii="仿宋" w:hAnsi="仿宋" w:eastAsia="仿宋" w:cs="仿宋"/>
          <w:color w:val="auto"/>
          <w:kern w:val="0"/>
          <w:szCs w:val="21"/>
          <w:highlight w:val="none"/>
        </w:rPr>
        <w:t>候选人顺序，并依照次序确定</w:t>
      </w:r>
      <w:r>
        <w:rPr>
          <w:rFonts w:hint="eastAsia" w:ascii="仿宋" w:hAnsi="仿宋" w:eastAsia="仿宋" w:cs="仿宋"/>
          <w:color w:val="auto"/>
          <w:kern w:val="0"/>
          <w:szCs w:val="21"/>
          <w:highlight w:val="none"/>
          <w:lang w:val="en-US" w:eastAsia="zh-CN"/>
        </w:rPr>
        <w:t>成交</w:t>
      </w:r>
      <w:r>
        <w:rPr>
          <w:rFonts w:hint="eastAsia" w:ascii="仿宋" w:hAnsi="仿宋" w:eastAsia="仿宋" w:cs="仿宋"/>
          <w:color w:val="auto"/>
          <w:kern w:val="0"/>
          <w:szCs w:val="21"/>
          <w:highlight w:val="none"/>
        </w:rPr>
        <w:t>人。</w:t>
      </w:r>
    </w:p>
    <w:p>
      <w:pPr>
        <w:keepLines w:val="0"/>
        <w:pageBreakBefore w:val="0"/>
        <w:widowControl w:val="0"/>
        <w:kinsoku/>
        <w:wordWrap/>
        <w:overflowPunct/>
        <w:topLinePunct w:val="0"/>
        <w:autoSpaceDE/>
        <w:autoSpaceDN/>
        <w:bidi w:val="0"/>
        <w:adjustRightInd/>
        <w:snapToGrid/>
        <w:spacing w:line="430" w:lineRule="exact"/>
        <w:ind w:left="10" w:leftChars="5" w:firstLine="315" w:firstLineChars="150"/>
        <w:textAlignment w:val="auto"/>
        <w:rPr>
          <w:rFonts w:hint="eastAsia" w:ascii="仿宋" w:hAnsi="仿宋" w:eastAsia="仿宋" w:cs="仿宋"/>
          <w:b w:val="0"/>
          <w:bCs w:val="0"/>
          <w:color w:val="auto"/>
          <w:kern w:val="0"/>
          <w:szCs w:val="21"/>
          <w:highlight w:val="none"/>
        </w:rPr>
      </w:pPr>
      <w:r>
        <w:rPr>
          <w:rFonts w:hint="eastAsia" w:ascii="仿宋" w:hAnsi="仿宋" w:eastAsia="仿宋" w:cs="仿宋"/>
          <w:b w:val="0"/>
          <w:bCs w:val="0"/>
          <w:color w:val="auto"/>
          <w:kern w:val="0"/>
          <w:szCs w:val="21"/>
          <w:highlight w:val="none"/>
        </w:rPr>
        <w:t>四、</w:t>
      </w:r>
      <w:r>
        <w:rPr>
          <w:rFonts w:hint="eastAsia" w:ascii="仿宋" w:hAnsi="仿宋" w:eastAsia="仿宋" w:cs="仿宋"/>
          <w:b w:val="0"/>
          <w:bCs w:val="0"/>
          <w:color w:val="auto"/>
          <w:kern w:val="0"/>
          <w:szCs w:val="21"/>
          <w:highlight w:val="none"/>
          <w:lang w:val="en-US" w:eastAsia="zh-CN"/>
        </w:rPr>
        <w:t>成交</w:t>
      </w:r>
      <w:r>
        <w:rPr>
          <w:rFonts w:hint="eastAsia" w:ascii="仿宋" w:hAnsi="仿宋" w:eastAsia="仿宋" w:cs="仿宋"/>
          <w:b w:val="0"/>
          <w:bCs w:val="0"/>
          <w:color w:val="auto"/>
          <w:kern w:val="0"/>
          <w:szCs w:val="21"/>
          <w:highlight w:val="none"/>
        </w:rPr>
        <w:t>人推荐原则（</w:t>
      </w:r>
      <w:r>
        <w:rPr>
          <w:rFonts w:hint="eastAsia" w:ascii="仿宋" w:hAnsi="仿宋" w:eastAsia="仿宋" w:cs="仿宋"/>
          <w:b w:val="0"/>
          <w:bCs w:val="0"/>
          <w:color w:val="auto"/>
          <w:szCs w:val="21"/>
          <w:highlight w:val="none"/>
        </w:rPr>
        <w:t>本项目共推荐三名</w:t>
      </w:r>
      <w:r>
        <w:rPr>
          <w:rFonts w:hint="eastAsia" w:ascii="仿宋" w:hAnsi="仿宋" w:eastAsia="仿宋" w:cs="仿宋"/>
          <w:b w:val="0"/>
          <w:bCs w:val="0"/>
          <w:color w:val="auto"/>
          <w:szCs w:val="21"/>
          <w:highlight w:val="none"/>
          <w:lang w:eastAsia="zh-CN"/>
        </w:rPr>
        <w:t>成交</w:t>
      </w:r>
      <w:r>
        <w:rPr>
          <w:rFonts w:hint="eastAsia" w:ascii="仿宋" w:hAnsi="仿宋" w:eastAsia="仿宋" w:cs="仿宋"/>
          <w:b w:val="0"/>
          <w:bCs w:val="0"/>
          <w:color w:val="auto"/>
          <w:szCs w:val="21"/>
          <w:highlight w:val="none"/>
        </w:rPr>
        <w:t>候选人</w:t>
      </w:r>
      <w:r>
        <w:rPr>
          <w:rFonts w:hint="eastAsia" w:ascii="仿宋" w:hAnsi="仿宋" w:eastAsia="仿宋" w:cs="仿宋"/>
          <w:b w:val="0"/>
          <w:bCs w:val="0"/>
          <w:color w:val="auto"/>
          <w:kern w:val="0"/>
          <w:szCs w:val="21"/>
          <w:highlight w:val="none"/>
        </w:rPr>
        <w:t>）</w:t>
      </w:r>
    </w:p>
    <w:p>
      <w:pPr>
        <w:keepLines w:val="0"/>
        <w:pageBreakBefore w:val="0"/>
        <w:widowControl w:val="0"/>
        <w:kinsoku/>
        <w:wordWrap/>
        <w:overflowPunct/>
        <w:topLinePunct w:val="0"/>
        <w:autoSpaceDE/>
        <w:autoSpaceDN/>
        <w:bidi w:val="0"/>
        <w:adjustRightInd/>
        <w:snapToGrid/>
        <w:spacing w:line="430" w:lineRule="exact"/>
        <w:ind w:left="115" w:leftChars="55"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 在</w:t>
      </w:r>
      <w:r>
        <w:rPr>
          <w:rFonts w:hint="eastAsia" w:ascii="仿宋" w:hAnsi="仿宋" w:eastAsia="仿宋" w:cs="仿宋"/>
          <w:color w:val="auto"/>
          <w:kern w:val="0"/>
          <w:szCs w:val="21"/>
          <w:highlight w:val="none"/>
          <w:lang w:val="en-US" w:eastAsia="zh-CN"/>
        </w:rPr>
        <w:t>产品</w:t>
      </w:r>
      <w:r>
        <w:rPr>
          <w:rFonts w:hint="eastAsia" w:ascii="仿宋" w:hAnsi="仿宋" w:eastAsia="仿宋" w:cs="仿宋"/>
          <w:color w:val="auto"/>
          <w:kern w:val="0"/>
          <w:szCs w:val="21"/>
          <w:highlight w:val="none"/>
        </w:rPr>
        <w:t>质量和</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rPr>
        <w:t>均能满足竞争性谈判采购文件实质性响应要求的前提下，按最后报价由低到高排列并推荐三名</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候选人，并依照次序确定</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人。采购人应当确定评标委员会推荐排名第一的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候选人为</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人。排名第一的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候选人放弃</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、因不可抗力提出不能履行合同，采购人可以确定排名第二的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候选人为</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人。排名第二的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候选人因前款规定的同样原因不能签订合同的，采购人可以确定排名第三的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候选人为</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人，其余以此类推。</w:t>
      </w:r>
    </w:p>
    <w:p>
      <w:pPr>
        <w:keepLines w:val="0"/>
        <w:pageBreakBefore w:val="0"/>
        <w:widowControl w:val="0"/>
        <w:kinsoku/>
        <w:wordWrap/>
        <w:overflowPunct/>
        <w:topLinePunct w:val="0"/>
        <w:autoSpaceDE/>
        <w:autoSpaceDN/>
        <w:bidi w:val="0"/>
        <w:adjustRightInd/>
        <w:snapToGrid/>
        <w:spacing w:line="430" w:lineRule="exact"/>
        <w:ind w:left="115" w:leftChars="55" w:firstLine="315" w:firstLineChars="15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 评标委员会认为，某竞标人的有效报价或者某些分项报价明显不合理或者低于成本，有可能影响</w:t>
      </w:r>
      <w:r>
        <w:rPr>
          <w:rFonts w:hint="eastAsia" w:ascii="仿宋" w:hAnsi="仿宋" w:eastAsia="仿宋" w:cs="仿宋"/>
          <w:color w:val="auto"/>
          <w:kern w:val="0"/>
          <w:szCs w:val="21"/>
          <w:highlight w:val="none"/>
          <w:lang w:val="en-US" w:eastAsia="zh-CN"/>
        </w:rPr>
        <w:t>服务</w:t>
      </w:r>
      <w:r>
        <w:rPr>
          <w:rFonts w:hint="eastAsia" w:ascii="仿宋" w:hAnsi="仿宋" w:eastAsia="仿宋" w:cs="仿宋"/>
          <w:color w:val="auto"/>
          <w:kern w:val="0"/>
          <w:szCs w:val="21"/>
          <w:highlight w:val="none"/>
        </w:rPr>
        <w:t>质量和不能诚信履约的，应要求其在规定的期限内提供书面文件予以解释说明，并提交相关证明材料；否则，评标委员会可以取消该竞标人的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候选资格，按顺序由排在后面的</w:t>
      </w:r>
      <w:r>
        <w:rPr>
          <w:rFonts w:hint="eastAsia" w:ascii="仿宋" w:hAnsi="仿宋" w:eastAsia="仿宋" w:cs="仿宋"/>
          <w:color w:val="auto"/>
          <w:kern w:val="0"/>
          <w:szCs w:val="21"/>
          <w:highlight w:val="none"/>
          <w:lang w:eastAsia="zh-CN"/>
        </w:rPr>
        <w:t>成交</w:t>
      </w:r>
      <w:r>
        <w:rPr>
          <w:rFonts w:hint="eastAsia" w:ascii="仿宋" w:hAnsi="仿宋" w:eastAsia="仿宋" w:cs="仿宋"/>
          <w:color w:val="auto"/>
          <w:kern w:val="0"/>
          <w:szCs w:val="21"/>
          <w:highlight w:val="none"/>
        </w:rPr>
        <w:t>候选人递补，以此类推。</w:t>
      </w:r>
    </w:p>
    <w:p>
      <w:pPr>
        <w:pStyle w:val="3"/>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【相关证明材料为：①201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年度~201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年度经第三方具备审计资质的机构出具的审计报告（包括其固定资产成本及折旧、管理成本、人工费成本（如人员工资、奖金、福利及差旅等费用）、税收等所有成本及利润）复印件（原件现场核查）；②竞标人在201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年0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01</w:t>
      </w:r>
      <w:r>
        <w:rPr>
          <w:rFonts w:hint="eastAsia" w:ascii="仿宋" w:hAnsi="仿宋" w:eastAsia="仿宋" w:cs="仿宋"/>
          <w:color w:val="auto"/>
          <w:szCs w:val="21"/>
          <w:highlight w:val="none"/>
        </w:rPr>
        <w:t>日至本项目采购公告发布之日至少承接过三个类似采购业绩的费用成本组成明细（并提供该</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通知书原件及合同原件），如不提供或评委认定其资料不能详尽合理说明其成本的，则视为低于供应商成本价报价，报价无效。】</w:t>
      </w:r>
    </w:p>
    <w:p>
      <w:pPr>
        <w:pStyle w:val="9"/>
        <w:spacing w:line="360" w:lineRule="auto"/>
        <w:ind w:firstLine="42" w:firstLineChars="20"/>
        <w:rPr>
          <w:rFonts w:ascii="仿宋" w:hAnsi="仿宋" w:eastAsia="仿宋" w:cs="仿宋"/>
          <w:color w:val="auto"/>
          <w:szCs w:val="21"/>
          <w:highlight w:val="none"/>
        </w:rPr>
      </w:pPr>
    </w:p>
    <w:sectPr>
      <w:footerReference r:id="rId7" w:type="first"/>
      <w:footerReference r:id="rId6" w:type="default"/>
      <w:pgSz w:w="11906" w:h="16838"/>
      <w:pgMar w:top="1134" w:right="1134" w:bottom="1134" w:left="1134" w:header="850" w:footer="680"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360"/>
      <w:jc w:val="right"/>
    </w:pPr>
    <w:r>
      <w:rPr>
        <w:rFonts w:hint="eastAsia" w:hAnsi="宋体"/>
        <w:szCs w:val="21"/>
      </w:rPr>
      <w:t>广西天柱建设管理有限公司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mc:Fallback>
      </mc:AlternateContent>
    </w:r>
    <w:r>
      <w:rPr>
        <w:rFonts w:hint="eastAsia" w:hAnsi="宋体"/>
        <w:szCs w:val="21"/>
      </w:rPr>
      <w:t>广西天柱建设管理有限公司</w:t>
    </w:r>
    <w:r>
      <w:rPr>
        <w:rFonts w:hint="eastAsia"/>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950"/>
        <w:tab w:val="clear" w:pos="4153"/>
        <w:tab w:val="clear" w:pos="8306"/>
      </w:tabs>
      <w:ind w:right="360"/>
      <w:jc w:val="right"/>
    </w:pPr>
    <w:r>
      <w:rPr>
        <w:rFonts w:hint="eastAsia" w:hAnsi="宋体"/>
        <w:szCs w:val="21"/>
      </w:rPr>
      <w:t>广西天柱建设管理有限公司</w:t>
    </w:r>
    <w:r>
      <w:rPr>
        <w:rFonts w:hint="eastAsia"/>
      </w:rPr>
      <w:t>编制</w: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spacing w:line="240" w:lineRule="auto"/>
      <w:jc w:val="both"/>
    </w:pPr>
    <w:r>
      <w:rPr>
        <w:rFonts w:hint="eastAsia"/>
      </w:rPr>
      <w:t xml:space="preserve">项目名称：钟山县应急管理局综合应急救援先锋队物资采购项目        </w:t>
    </w:r>
    <w:r>
      <w:rPr>
        <w:rFonts w:hint="eastAsia"/>
        <w:lang w:val="en-US" w:eastAsia="zh-CN"/>
      </w:rPr>
      <w:t xml:space="preserve">    </w:t>
    </w:r>
    <w:r>
      <w:rPr>
        <w:rFonts w:hint="eastAsia"/>
      </w:rPr>
      <w:t xml:space="preserve">    项目编号：HZZC2020-J1-220178-GXTZ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DBA"/>
    <w:multiLevelType w:val="singleLevel"/>
    <w:tmpl w:val="93587DBA"/>
    <w:lvl w:ilvl="0" w:tentative="0">
      <w:start w:val="2"/>
      <w:numFmt w:val="chineseCounting"/>
      <w:suff w:val="space"/>
      <w:lvlText w:val="第%1部分"/>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decimal"/>
      <w:lvlText w:val="(%1)"/>
      <w:lvlJc w:val="left"/>
      <w:pPr>
        <w:tabs>
          <w:tab w:val="left" w:pos="875"/>
        </w:tabs>
        <w:ind w:left="875"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8036CB8"/>
    <w:multiLevelType w:val="singleLevel"/>
    <w:tmpl w:val="18036CB8"/>
    <w:lvl w:ilvl="0" w:tentative="0">
      <w:start w:val="1"/>
      <w:numFmt w:val="decimal"/>
      <w:lvlText w:val="%1."/>
      <w:lvlJc w:val="left"/>
      <w:pPr>
        <w:tabs>
          <w:tab w:val="left" w:pos="312"/>
        </w:tabs>
        <w:ind w:left="0" w:firstLine="0"/>
      </w:pPr>
      <w:rPr>
        <w:rFonts w:cs="Times New Roman"/>
      </w:rPr>
    </w:lvl>
  </w:abstractNum>
  <w:abstractNum w:abstractNumId="9">
    <w:nsid w:val="3C233B33"/>
    <w:multiLevelType w:val="multilevel"/>
    <w:tmpl w:val="3C233B33"/>
    <w:lvl w:ilvl="0" w:tentative="0">
      <w:start w:val="1"/>
      <w:numFmt w:val="japaneseCounting"/>
      <w:lvlText w:val="第%1章"/>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7FA6D9"/>
    <w:multiLevelType w:val="singleLevel"/>
    <w:tmpl w:val="4A7FA6D9"/>
    <w:lvl w:ilvl="0" w:tentative="0">
      <w:start w:val="1"/>
      <w:numFmt w:val="chineseCounting"/>
      <w:suff w:val="nothing"/>
      <w:lvlText w:val="（%1）"/>
      <w:lvlJc w:val="left"/>
      <w:rPr>
        <w:rFonts w:hint="eastAsia"/>
      </w:rPr>
    </w:lvl>
  </w:abstractNum>
  <w:abstractNum w:abstractNumId="11">
    <w:nsid w:val="4D381B20"/>
    <w:multiLevelType w:val="multilevel"/>
    <w:tmpl w:val="4D381B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7"/>
  </w:num>
  <w:num w:numId="4">
    <w:abstractNumId w:val="4"/>
  </w:num>
  <w:num w:numId="5">
    <w:abstractNumId w:val="6"/>
  </w:num>
  <w:num w:numId="6">
    <w:abstractNumId w:val="1"/>
  </w:num>
  <w:num w:numId="7">
    <w:abstractNumId w:val="2"/>
  </w:num>
  <w:num w:numId="8">
    <w:abstractNumId w:val="10"/>
  </w:num>
  <w:num w:numId="9">
    <w:abstractNumId w:val="8"/>
    <w:lvlOverride w:ilvl="0">
      <w:startOverride w:val="1"/>
    </w:lvlOverride>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4FF3"/>
    <w:rsid w:val="00034E8E"/>
    <w:rsid w:val="000745C2"/>
    <w:rsid w:val="00083704"/>
    <w:rsid w:val="000922DF"/>
    <w:rsid w:val="000A3B7E"/>
    <w:rsid w:val="000B749E"/>
    <w:rsid w:val="000E32DA"/>
    <w:rsid w:val="000F68D3"/>
    <w:rsid w:val="00126BF9"/>
    <w:rsid w:val="001271E4"/>
    <w:rsid w:val="00164584"/>
    <w:rsid w:val="001E151B"/>
    <w:rsid w:val="002040DB"/>
    <w:rsid w:val="00247412"/>
    <w:rsid w:val="002507DB"/>
    <w:rsid w:val="00260B1A"/>
    <w:rsid w:val="002B5022"/>
    <w:rsid w:val="002B6491"/>
    <w:rsid w:val="0031303A"/>
    <w:rsid w:val="00341B0C"/>
    <w:rsid w:val="003502FA"/>
    <w:rsid w:val="0038022D"/>
    <w:rsid w:val="003B08FE"/>
    <w:rsid w:val="003C2B3C"/>
    <w:rsid w:val="003D120F"/>
    <w:rsid w:val="003D77F9"/>
    <w:rsid w:val="003F4B65"/>
    <w:rsid w:val="00407AF4"/>
    <w:rsid w:val="00430658"/>
    <w:rsid w:val="00436F87"/>
    <w:rsid w:val="004713A0"/>
    <w:rsid w:val="004848B5"/>
    <w:rsid w:val="004A539B"/>
    <w:rsid w:val="004C1EEB"/>
    <w:rsid w:val="004C2438"/>
    <w:rsid w:val="004D0C03"/>
    <w:rsid w:val="004F42B2"/>
    <w:rsid w:val="00516FD5"/>
    <w:rsid w:val="00531699"/>
    <w:rsid w:val="00554AEA"/>
    <w:rsid w:val="005C4810"/>
    <w:rsid w:val="005D08D0"/>
    <w:rsid w:val="005F0336"/>
    <w:rsid w:val="00603F6C"/>
    <w:rsid w:val="006145B4"/>
    <w:rsid w:val="00646BA4"/>
    <w:rsid w:val="00663C41"/>
    <w:rsid w:val="00663FC4"/>
    <w:rsid w:val="00666151"/>
    <w:rsid w:val="0067318A"/>
    <w:rsid w:val="00692742"/>
    <w:rsid w:val="006C001F"/>
    <w:rsid w:val="006C13B0"/>
    <w:rsid w:val="006D0543"/>
    <w:rsid w:val="006F7D81"/>
    <w:rsid w:val="00737C70"/>
    <w:rsid w:val="0078306D"/>
    <w:rsid w:val="0079345B"/>
    <w:rsid w:val="007A26A4"/>
    <w:rsid w:val="007C05F9"/>
    <w:rsid w:val="007C240E"/>
    <w:rsid w:val="007C5714"/>
    <w:rsid w:val="007E28D1"/>
    <w:rsid w:val="008161B2"/>
    <w:rsid w:val="00896F38"/>
    <w:rsid w:val="008F52FF"/>
    <w:rsid w:val="00942850"/>
    <w:rsid w:val="00967599"/>
    <w:rsid w:val="009D12D7"/>
    <w:rsid w:val="00A018F8"/>
    <w:rsid w:val="00A10B0B"/>
    <w:rsid w:val="00A1781F"/>
    <w:rsid w:val="00A752DF"/>
    <w:rsid w:val="00A84170"/>
    <w:rsid w:val="00AD770D"/>
    <w:rsid w:val="00B07339"/>
    <w:rsid w:val="00B31EA9"/>
    <w:rsid w:val="00B33FE2"/>
    <w:rsid w:val="00B35B2A"/>
    <w:rsid w:val="00B36F1D"/>
    <w:rsid w:val="00B4582B"/>
    <w:rsid w:val="00B650F2"/>
    <w:rsid w:val="00BE4BCE"/>
    <w:rsid w:val="00C90FFC"/>
    <w:rsid w:val="00C969DE"/>
    <w:rsid w:val="00CB2BCD"/>
    <w:rsid w:val="00CB3C0E"/>
    <w:rsid w:val="00CE27BD"/>
    <w:rsid w:val="00D323B5"/>
    <w:rsid w:val="00D64532"/>
    <w:rsid w:val="00D90514"/>
    <w:rsid w:val="00DA5658"/>
    <w:rsid w:val="00E32B77"/>
    <w:rsid w:val="00E65032"/>
    <w:rsid w:val="00EB68D6"/>
    <w:rsid w:val="00EC19B7"/>
    <w:rsid w:val="00ED7548"/>
    <w:rsid w:val="00EF6FB3"/>
    <w:rsid w:val="00F16159"/>
    <w:rsid w:val="00F646AB"/>
    <w:rsid w:val="00F76263"/>
    <w:rsid w:val="00F87281"/>
    <w:rsid w:val="00F9560F"/>
    <w:rsid w:val="00FC0C4C"/>
    <w:rsid w:val="00FF61B4"/>
    <w:rsid w:val="01155E5A"/>
    <w:rsid w:val="02A332C5"/>
    <w:rsid w:val="038023F0"/>
    <w:rsid w:val="038E7320"/>
    <w:rsid w:val="043A3077"/>
    <w:rsid w:val="047E5488"/>
    <w:rsid w:val="04AD3CB6"/>
    <w:rsid w:val="06631000"/>
    <w:rsid w:val="0689640D"/>
    <w:rsid w:val="08F506A9"/>
    <w:rsid w:val="0A471336"/>
    <w:rsid w:val="0A8B1628"/>
    <w:rsid w:val="0B4B1FFB"/>
    <w:rsid w:val="0C8C662E"/>
    <w:rsid w:val="0F287E0D"/>
    <w:rsid w:val="0F706AA8"/>
    <w:rsid w:val="11097892"/>
    <w:rsid w:val="115355DA"/>
    <w:rsid w:val="130C6271"/>
    <w:rsid w:val="133E4DF7"/>
    <w:rsid w:val="147C4CCC"/>
    <w:rsid w:val="14D7243A"/>
    <w:rsid w:val="15287ACF"/>
    <w:rsid w:val="16050EDE"/>
    <w:rsid w:val="16267EE5"/>
    <w:rsid w:val="164827C2"/>
    <w:rsid w:val="17314688"/>
    <w:rsid w:val="18763257"/>
    <w:rsid w:val="18DE7343"/>
    <w:rsid w:val="1A88747C"/>
    <w:rsid w:val="1B7F40BA"/>
    <w:rsid w:val="1C313C0C"/>
    <w:rsid w:val="1D831EFC"/>
    <w:rsid w:val="1D9C4C39"/>
    <w:rsid w:val="1DAA4CD1"/>
    <w:rsid w:val="1E8E2BF9"/>
    <w:rsid w:val="20F9498D"/>
    <w:rsid w:val="21DE485B"/>
    <w:rsid w:val="22187D42"/>
    <w:rsid w:val="23D24AB6"/>
    <w:rsid w:val="244B76E7"/>
    <w:rsid w:val="263C0796"/>
    <w:rsid w:val="27F14E8D"/>
    <w:rsid w:val="295376EE"/>
    <w:rsid w:val="299C09CA"/>
    <w:rsid w:val="29C12DAC"/>
    <w:rsid w:val="29E76AFC"/>
    <w:rsid w:val="2A600EE7"/>
    <w:rsid w:val="2ADB636B"/>
    <w:rsid w:val="2D9E54E1"/>
    <w:rsid w:val="2DBB0681"/>
    <w:rsid w:val="2E332474"/>
    <w:rsid w:val="2F283B32"/>
    <w:rsid w:val="2FC76859"/>
    <w:rsid w:val="30B22094"/>
    <w:rsid w:val="31044174"/>
    <w:rsid w:val="33EB03A7"/>
    <w:rsid w:val="369E5926"/>
    <w:rsid w:val="37671B6E"/>
    <w:rsid w:val="38360AAF"/>
    <w:rsid w:val="39390A84"/>
    <w:rsid w:val="3AD44FF3"/>
    <w:rsid w:val="3B1B475C"/>
    <w:rsid w:val="3B8826C7"/>
    <w:rsid w:val="3CB737CF"/>
    <w:rsid w:val="3CFE3E05"/>
    <w:rsid w:val="3DA027B9"/>
    <w:rsid w:val="3DEF0FAA"/>
    <w:rsid w:val="3E6F4349"/>
    <w:rsid w:val="3EBA60C4"/>
    <w:rsid w:val="3F7B5B50"/>
    <w:rsid w:val="3FD50D53"/>
    <w:rsid w:val="41875ACC"/>
    <w:rsid w:val="44DD0157"/>
    <w:rsid w:val="46605E5F"/>
    <w:rsid w:val="46771A03"/>
    <w:rsid w:val="46D036FD"/>
    <w:rsid w:val="495D737A"/>
    <w:rsid w:val="4CB80165"/>
    <w:rsid w:val="4CEB0AA2"/>
    <w:rsid w:val="4D54110E"/>
    <w:rsid w:val="4D96000C"/>
    <w:rsid w:val="4F8049A0"/>
    <w:rsid w:val="500B244D"/>
    <w:rsid w:val="50AE4388"/>
    <w:rsid w:val="52F1708A"/>
    <w:rsid w:val="53377154"/>
    <w:rsid w:val="537312A6"/>
    <w:rsid w:val="549E1F1A"/>
    <w:rsid w:val="553C2458"/>
    <w:rsid w:val="56C531AC"/>
    <w:rsid w:val="57BA5DDD"/>
    <w:rsid w:val="58465DE1"/>
    <w:rsid w:val="58892DA2"/>
    <w:rsid w:val="58C52932"/>
    <w:rsid w:val="58D6233F"/>
    <w:rsid w:val="5B1D3F8B"/>
    <w:rsid w:val="5C1B7271"/>
    <w:rsid w:val="5DB61411"/>
    <w:rsid w:val="5E5A15B2"/>
    <w:rsid w:val="5EA8529B"/>
    <w:rsid w:val="5F3A2F73"/>
    <w:rsid w:val="618C67F4"/>
    <w:rsid w:val="62FD288C"/>
    <w:rsid w:val="64170CD0"/>
    <w:rsid w:val="65082880"/>
    <w:rsid w:val="657D4A5B"/>
    <w:rsid w:val="668C110C"/>
    <w:rsid w:val="67456D79"/>
    <w:rsid w:val="67647366"/>
    <w:rsid w:val="679F413C"/>
    <w:rsid w:val="69E005EC"/>
    <w:rsid w:val="6B8D0D02"/>
    <w:rsid w:val="6CC853B3"/>
    <w:rsid w:val="6D400349"/>
    <w:rsid w:val="6DB341F1"/>
    <w:rsid w:val="6ECD5B96"/>
    <w:rsid w:val="6F1D4DDE"/>
    <w:rsid w:val="70E14BCD"/>
    <w:rsid w:val="718E2E89"/>
    <w:rsid w:val="718E328B"/>
    <w:rsid w:val="72AE3ED3"/>
    <w:rsid w:val="738E7350"/>
    <w:rsid w:val="73C15322"/>
    <w:rsid w:val="782D003F"/>
    <w:rsid w:val="78D51955"/>
    <w:rsid w:val="7B6613AB"/>
    <w:rsid w:val="7BF26564"/>
    <w:rsid w:val="7EE93B0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Calibri" w:hAnsi="Calibri" w:cs="Calibri"/>
      <w:sz w:val="18"/>
    </w:rPr>
  </w:style>
  <w:style w:type="paragraph" w:styleId="6">
    <w:name w:val="Normal Indent"/>
    <w:basedOn w:val="1"/>
    <w:qFormat/>
    <w:uiPriority w:val="0"/>
    <w:pPr>
      <w:ind w:firstLine="420"/>
    </w:pPr>
    <w:rPr>
      <w:szCs w:val="20"/>
    </w:rPr>
  </w:style>
  <w:style w:type="paragraph" w:styleId="7">
    <w:name w:val="Body Text Indent"/>
    <w:basedOn w:val="1"/>
    <w:link w:val="41"/>
    <w:qFormat/>
    <w:uiPriority w:val="0"/>
    <w:pPr>
      <w:spacing w:line="200" w:lineRule="exact"/>
      <w:ind w:left="196" w:leftChars="196"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link w:val="35"/>
    <w:qFormat/>
    <w:uiPriority w:val="0"/>
    <w:rPr>
      <w:rFonts w:ascii="宋体" w:hAnsi="Courier New"/>
      <w:szCs w:val="20"/>
    </w:r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宋体" w:hAnsi="Courier New"/>
      <w:sz w:val="18"/>
      <w:szCs w:val="20"/>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3">
    <w:name w:val="toc 1"/>
    <w:basedOn w:val="1"/>
    <w:next w:val="1"/>
    <w:qFormat/>
    <w:uiPriority w:val="0"/>
  </w:style>
  <w:style w:type="paragraph" w:styleId="14">
    <w:name w:val="toc 2"/>
    <w:basedOn w:val="1"/>
    <w:next w:val="1"/>
    <w:qFormat/>
    <w:uiPriority w:val="0"/>
    <w:pPr>
      <w:tabs>
        <w:tab w:val="right" w:leader="dot" w:pos="9628"/>
      </w:tabs>
      <w:spacing w:line="360" w:lineRule="exact"/>
      <w:ind w:left="420" w:leftChars="200"/>
    </w:pPr>
  </w:style>
  <w:style w:type="paragraph" w:styleId="15">
    <w:name w:val="List 4"/>
    <w:basedOn w:val="1"/>
    <w:qFormat/>
    <w:uiPriority w:val="0"/>
    <w:pPr>
      <w:ind w:left="100" w:leftChars="600" w:hanging="200" w:hanging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index 1"/>
    <w:basedOn w:val="1"/>
    <w:next w:val="1"/>
    <w:qFormat/>
    <w:uiPriority w:val="0"/>
    <w:pPr>
      <w:spacing w:line="240" w:lineRule="exact"/>
      <w:ind w:firstLine="420" w:firstLineChars="200"/>
    </w:pPr>
    <w:rPr>
      <w:rFonts w:ascii="宋体" w:hAnsi="宋体"/>
      <w:bCs/>
      <w:szCs w:val="21"/>
    </w:rPr>
  </w:style>
  <w:style w:type="paragraph" w:styleId="18">
    <w:name w:val="Body Text First Indent 2"/>
    <w:basedOn w:val="1"/>
    <w:unhideWhenUsed/>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Emphasis"/>
    <w:basedOn w:val="21"/>
    <w:qFormat/>
    <w:uiPriority w:val="20"/>
    <w:rPr>
      <w:i/>
      <w:iCs/>
    </w:rPr>
  </w:style>
  <w:style w:type="character" w:styleId="24">
    <w:name w:val="Hyperlink"/>
    <w:basedOn w:val="21"/>
    <w:qFormat/>
    <w:uiPriority w:val="0"/>
    <w:rPr>
      <w:color w:val="3B5998"/>
      <w:u w:val="single"/>
    </w:rPr>
  </w:style>
  <w:style w:type="paragraph" w:customStyle="1" w:styleId="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26">
    <w:name w:val="1"/>
    <w:basedOn w:val="1"/>
    <w:next w:val="9"/>
    <w:qFormat/>
    <w:uiPriority w:val="0"/>
    <w:rPr>
      <w:rFonts w:ascii="宋体" w:hAnsi="Courier New"/>
      <w:szCs w:val="20"/>
    </w:rPr>
  </w:style>
  <w:style w:type="paragraph" w:customStyle="1" w:styleId="27">
    <w:name w:val="List Paragraph1"/>
    <w:basedOn w:val="1"/>
    <w:qFormat/>
    <w:uiPriority w:val="0"/>
    <w:pPr>
      <w:ind w:firstLine="420" w:firstLineChars="200"/>
    </w:pPr>
    <w:rPr>
      <w:rFonts w:ascii="Calibri" w:hAnsi="Calibri"/>
      <w:szCs w:val="22"/>
    </w:r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表内文字"/>
    <w:basedOn w:val="1"/>
    <w:qFormat/>
    <w:uiPriority w:val="0"/>
    <w:pPr>
      <w:snapToGrid w:val="0"/>
      <w:spacing w:line="340" w:lineRule="exact"/>
      <w:jc w:val="center"/>
    </w:pPr>
    <w:rPr>
      <w:rFonts w:ascii="宋体" w:hAnsi="宋体"/>
      <w:b/>
      <w:color w:val="000000"/>
      <w:szCs w:val="21"/>
    </w:rPr>
  </w:style>
  <w:style w:type="paragraph" w:customStyle="1" w:styleId="30">
    <w:name w:val="p0"/>
    <w:basedOn w:val="1"/>
    <w:qFormat/>
    <w:uiPriority w:val="0"/>
    <w:pPr>
      <w:widowControl/>
    </w:pPr>
    <w:rPr>
      <w:rFonts w:hint="eastAsia"/>
      <w:szCs w:val="20"/>
    </w:rPr>
  </w:style>
  <w:style w:type="paragraph" w:customStyle="1" w:styleId="31">
    <w:name w:val="p18"/>
    <w:basedOn w:val="1"/>
    <w:qFormat/>
    <w:uiPriority w:val="0"/>
    <w:pPr>
      <w:widowControl/>
    </w:pPr>
    <w:rPr>
      <w:rFonts w:ascii="宋体" w:hAnsi="宋体" w:cs="宋体"/>
      <w:kern w:val="0"/>
      <w:szCs w:val="21"/>
    </w:rPr>
  </w:style>
  <w:style w:type="paragraph" w:customStyle="1" w:styleId="32">
    <w:name w:val="_Style 28"/>
    <w:basedOn w:val="1"/>
    <w:link w:val="36"/>
    <w:qFormat/>
    <w:uiPriority w:val="0"/>
    <w:pPr>
      <w:ind w:firstLine="420" w:firstLineChars="200"/>
    </w:pPr>
    <w:rPr>
      <w:rFonts w:ascii="Calibri" w:hAnsi="Calibri"/>
      <w:szCs w:val="22"/>
    </w:rPr>
  </w:style>
  <w:style w:type="paragraph" w:styleId="33">
    <w:name w:val="List Paragraph"/>
    <w:basedOn w:val="1"/>
    <w:qFormat/>
    <w:uiPriority w:val="0"/>
    <w:pPr>
      <w:ind w:firstLine="420" w:firstLineChars="200"/>
    </w:pPr>
    <w:rPr>
      <w:rFonts w:ascii="Calibri" w:hAnsi="Calibri"/>
      <w:szCs w:val="22"/>
    </w:rPr>
  </w:style>
  <w:style w:type="character" w:customStyle="1" w:styleId="34">
    <w:name w:val="页眉 Char"/>
    <w:basedOn w:val="21"/>
    <w:link w:val="12"/>
    <w:qFormat/>
    <w:uiPriority w:val="99"/>
    <w:rPr>
      <w:rFonts w:ascii="宋体" w:hAnsi="Courier New"/>
      <w:kern w:val="2"/>
      <w:sz w:val="18"/>
    </w:rPr>
  </w:style>
  <w:style w:type="character" w:customStyle="1" w:styleId="35">
    <w:name w:val="纯文本 Char"/>
    <w:basedOn w:val="21"/>
    <w:link w:val="9"/>
    <w:qFormat/>
    <w:uiPriority w:val="0"/>
    <w:rPr>
      <w:rFonts w:ascii="宋体" w:hAnsi="Courier New"/>
      <w:kern w:val="2"/>
      <w:sz w:val="21"/>
    </w:rPr>
  </w:style>
  <w:style w:type="character" w:customStyle="1" w:styleId="36">
    <w:name w:val="z-窗体顶端 Char"/>
    <w:basedOn w:val="21"/>
    <w:link w:val="32"/>
    <w:qFormat/>
    <w:uiPriority w:val="0"/>
    <w:rPr>
      <w:rFonts w:ascii="Calibri" w:hAnsi="Calibri"/>
      <w:kern w:val="2"/>
      <w:sz w:val="21"/>
      <w:szCs w:val="22"/>
    </w:rPr>
  </w:style>
  <w:style w:type="character" w:customStyle="1" w:styleId="37">
    <w:name w:val="批注框文本 Char"/>
    <w:basedOn w:val="21"/>
    <w:link w:val="10"/>
    <w:qFormat/>
    <w:uiPriority w:val="0"/>
    <w:rPr>
      <w:kern w:val="2"/>
      <w:sz w:val="18"/>
      <w:szCs w:val="18"/>
    </w:rPr>
  </w:style>
  <w:style w:type="character" w:customStyle="1" w:styleId="38">
    <w:name w:val="f141"/>
    <w:qFormat/>
    <w:uiPriority w:val="0"/>
    <w:rPr>
      <w:sz w:val="21"/>
      <w:szCs w:val="21"/>
    </w:rPr>
  </w:style>
  <w:style w:type="character" w:customStyle="1" w:styleId="39">
    <w:name w:val="style54"/>
    <w:basedOn w:val="21"/>
    <w:qFormat/>
    <w:uiPriority w:val="0"/>
  </w:style>
  <w:style w:type="character" w:customStyle="1" w:styleId="40">
    <w:name w:val="标题 3 Char"/>
    <w:basedOn w:val="21"/>
    <w:link w:val="5"/>
    <w:qFormat/>
    <w:uiPriority w:val="9"/>
    <w:rPr>
      <w:rFonts w:ascii="宋体" w:hAnsi="宋体" w:cs="宋体"/>
      <w:b/>
      <w:bCs/>
      <w:sz w:val="27"/>
      <w:szCs w:val="27"/>
    </w:rPr>
  </w:style>
  <w:style w:type="character" w:customStyle="1" w:styleId="41">
    <w:name w:val="正文文本缩进 Char"/>
    <w:basedOn w:val="21"/>
    <w:link w:val="7"/>
    <w:qFormat/>
    <w:uiPriority w:val="0"/>
    <w:rPr>
      <w:rFonts w:ascii="宋体" w:hAnsi="Courier New"/>
      <w:spacing w:val="-4"/>
      <w:kern w:val="2"/>
      <w:sz w:val="18"/>
    </w:rPr>
  </w:style>
  <w:style w:type="character" w:customStyle="1" w:styleId="42">
    <w:name w:val="Char Char"/>
    <w:qFormat/>
    <w:locked/>
    <w:uiPriority w:val="0"/>
    <w:rPr>
      <w:rFonts w:ascii="宋体" w:hAnsi="Courier New" w:eastAsia="宋体"/>
      <w:kern w:val="2"/>
      <w:sz w:val="21"/>
      <w:szCs w:val="24"/>
      <w:lang w:val="en-US" w:eastAsia="zh-CN" w:bidi="ar-SA"/>
    </w:rPr>
  </w:style>
  <w:style w:type="character" w:customStyle="1" w:styleId="43">
    <w:name w:val="font21"/>
    <w:basedOn w:val="21"/>
    <w:qFormat/>
    <w:uiPriority w:val="0"/>
    <w:rPr>
      <w:rFonts w:hint="eastAsia" w:ascii="宋体" w:hAnsi="宋体" w:eastAsia="宋体" w:cs="宋体"/>
      <w:color w:val="000000"/>
      <w:sz w:val="18"/>
      <w:szCs w:val="18"/>
      <w:u w:val="none"/>
    </w:rPr>
  </w:style>
  <w:style w:type="character" w:customStyle="1" w:styleId="44">
    <w:name w:val="font81"/>
    <w:basedOn w:val="21"/>
    <w:qFormat/>
    <w:uiPriority w:val="0"/>
    <w:rPr>
      <w:rFonts w:hint="eastAsia" w:ascii="宋体" w:hAnsi="宋体" w:eastAsia="宋体" w:cs="宋体"/>
      <w:color w:val="000000"/>
      <w:sz w:val="22"/>
      <w:szCs w:val="22"/>
      <w:u w:val="none"/>
    </w:rPr>
  </w:style>
  <w:style w:type="character" w:customStyle="1" w:styleId="45">
    <w:name w:val="font51"/>
    <w:basedOn w:val="21"/>
    <w:qFormat/>
    <w:uiPriority w:val="0"/>
    <w:rPr>
      <w:rFonts w:hint="eastAsia" w:ascii="宋体" w:hAnsi="宋体" w:eastAsia="宋体" w:cs="宋体"/>
      <w:color w:val="FF0000"/>
      <w:sz w:val="22"/>
      <w:szCs w:val="22"/>
      <w:u w:val="none"/>
    </w:rPr>
  </w:style>
  <w:style w:type="character" w:customStyle="1" w:styleId="46">
    <w:name w:val="font91"/>
    <w:basedOn w:val="21"/>
    <w:qFormat/>
    <w:uiPriority w:val="0"/>
    <w:rPr>
      <w:rFonts w:hint="eastAsia" w:ascii="宋体" w:hAnsi="宋体" w:eastAsia="宋体" w:cs="宋体"/>
      <w:color w:val="FF0000"/>
      <w:sz w:val="18"/>
      <w:szCs w:val="18"/>
      <w:u w:val="none"/>
    </w:rPr>
  </w:style>
  <w:style w:type="paragraph" w:customStyle="1" w:styleId="4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48">
    <w:name w:val="font01"/>
    <w:basedOn w:val="21"/>
    <w:qFormat/>
    <w:uiPriority w:val="0"/>
    <w:rPr>
      <w:rFonts w:hint="eastAsia" w:ascii="宋体" w:hAnsi="宋体" w:eastAsia="宋体" w:cs="宋体"/>
      <w:color w:val="FF0000"/>
      <w:sz w:val="18"/>
      <w:szCs w:val="18"/>
      <w:u w:val="none"/>
    </w:rPr>
  </w:style>
  <w:style w:type="character" w:customStyle="1" w:styleId="4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120"/>
    <customShpInfo spid="_x0000_s1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32410</Words>
  <Characters>5181</Characters>
  <Lines>43</Lines>
  <Paragraphs>75</Paragraphs>
  <TotalTime>0</TotalTime>
  <ScaleCrop>false</ScaleCrop>
  <LinksUpToDate>false</LinksUpToDate>
  <CharactersWithSpaces>37516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2017-08-08T02:22:00Z</dcterms:created>
  <dc:creator>Administrator</dc:creator>
  <cp:lastModifiedBy>Joycean-yin  </cp:lastModifiedBy>
  <cp:lastPrinted>2020-09-02T01:49:00Z</cp:lastPrinted>
  <dcterms:modified xsi:type="dcterms:W3CDTF">2020-11-09T09:26:36Z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