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33" w:beforeLines="10" w:line="400" w:lineRule="exact"/>
        <w:rPr>
          <w:rFonts w:ascii="宋体" w:hAnsi="宋体"/>
          <w:b/>
          <w:bCs/>
          <w:spacing w:val="80"/>
          <w:sz w:val="28"/>
          <w:szCs w:val="28"/>
        </w:rPr>
      </w:pPr>
    </w:p>
    <w:p>
      <w:pPr>
        <w:pStyle w:val="19"/>
        <w:ind w:right="-241" w:rightChars="-115"/>
        <w:jc w:val="center"/>
        <w:rPr>
          <w:rFonts w:hAnsi="宋体"/>
          <w:b/>
          <w:bCs/>
          <w:spacing w:val="80"/>
          <w:sz w:val="64"/>
        </w:rPr>
      </w:pPr>
    </w:p>
    <w:p>
      <w:pPr>
        <w:pStyle w:val="19"/>
        <w:jc w:val="center"/>
        <w:rPr>
          <w:rFonts w:hAnsi="宋体"/>
          <w:b/>
          <w:bCs/>
          <w:sz w:val="44"/>
          <w:szCs w:val="44"/>
        </w:rPr>
      </w:pPr>
    </w:p>
    <w:p>
      <w:pPr>
        <w:pStyle w:val="19"/>
        <w:jc w:val="center"/>
        <w:rPr>
          <w:rFonts w:hAnsi="宋体"/>
          <w:b/>
          <w:bCs/>
          <w:sz w:val="44"/>
          <w:szCs w:val="44"/>
        </w:rPr>
      </w:pPr>
    </w:p>
    <w:p>
      <w:pPr>
        <w:pStyle w:val="19"/>
        <w:tabs>
          <w:tab w:val="left" w:pos="0"/>
        </w:tabs>
        <w:jc w:val="center"/>
        <w:rPr>
          <w:rFonts w:hAnsi="宋体"/>
          <w:b/>
          <w:bCs/>
          <w:sz w:val="90"/>
          <w:szCs w:val="90"/>
        </w:rPr>
      </w:pPr>
      <w:r>
        <w:rPr>
          <w:rFonts w:hint="eastAsia" w:hAnsi="宋体"/>
          <w:sz w:val="90"/>
          <w:szCs w:val="90"/>
        </w:rPr>
        <w:t>公开招标文件</w:t>
      </w:r>
    </w:p>
    <w:p>
      <w:pPr>
        <w:jc w:val="center"/>
        <w:rPr>
          <w:rFonts w:ascii="宋体" w:hAnsi="宋体"/>
          <w:b/>
          <w:sz w:val="32"/>
          <w:szCs w:val="32"/>
        </w:rPr>
      </w:pPr>
    </w:p>
    <w:p>
      <w:pPr>
        <w:pStyle w:val="19"/>
        <w:rPr>
          <w:rFonts w:hAnsi="宋体"/>
        </w:rPr>
      </w:pPr>
    </w:p>
    <w:p>
      <w:pPr>
        <w:tabs>
          <w:tab w:val="left" w:pos="7665"/>
        </w:tabs>
        <w:ind w:right="-94" w:rightChars="-45"/>
        <w:rPr>
          <w:rFonts w:ascii="宋体" w:hAnsi="宋体"/>
          <w:sz w:val="28"/>
          <w:szCs w:val="28"/>
        </w:rPr>
      </w:pPr>
    </w:p>
    <w:p>
      <w:pPr>
        <w:spacing w:line="360" w:lineRule="auto"/>
        <w:ind w:left="2133" w:leftChars="730" w:hanging="600" w:hangingChars="200"/>
        <w:jc w:val="left"/>
        <w:rPr>
          <w:rFonts w:hint="eastAsia" w:ascii="宋体" w:hAnsi="宋体"/>
          <w:bCs/>
          <w:sz w:val="30"/>
          <w:szCs w:val="30"/>
          <w:lang w:eastAsia="zh-CN"/>
        </w:rPr>
      </w:pPr>
      <w:r>
        <w:rPr>
          <w:rFonts w:hint="eastAsia" w:ascii="宋体" w:hAnsi="宋体"/>
          <w:bCs/>
          <w:sz w:val="30"/>
          <w:szCs w:val="30"/>
        </w:rPr>
        <w:t>项目名称：龙州县备灾点救灾物资采购</w:t>
      </w:r>
    </w:p>
    <w:p>
      <w:pPr>
        <w:spacing w:line="360" w:lineRule="auto"/>
        <w:ind w:firstLine="1500" w:firstLineChars="500"/>
        <w:jc w:val="left"/>
        <w:rPr>
          <w:rFonts w:hint="eastAsia" w:ascii="宋体" w:hAnsi="宋体" w:eastAsia="宋体"/>
          <w:bCs/>
          <w:sz w:val="30"/>
          <w:szCs w:val="30"/>
          <w:u w:val="single"/>
          <w:lang w:eastAsia="zh-CN"/>
        </w:rPr>
      </w:pPr>
      <w:r>
        <w:rPr>
          <w:rFonts w:hint="eastAsia" w:ascii="宋体" w:hAnsi="宋体"/>
          <w:bCs/>
          <w:sz w:val="30"/>
          <w:szCs w:val="30"/>
          <w:lang w:eastAsia="zh-CN"/>
        </w:rPr>
        <w:t>项目编号：</w:t>
      </w:r>
      <w:r>
        <w:rPr>
          <w:rFonts w:hint="eastAsia" w:ascii="宋体" w:hAnsi="宋体"/>
          <w:bCs/>
          <w:sz w:val="30"/>
          <w:szCs w:val="30"/>
        </w:rPr>
        <w:t>CZZC2020-G1-60013-GXJK</w:t>
      </w:r>
    </w:p>
    <w:p>
      <w:pPr>
        <w:spacing w:line="360" w:lineRule="auto"/>
        <w:ind w:left="2133" w:leftChars="730" w:hanging="600" w:hangingChars="200"/>
        <w:jc w:val="left"/>
        <w:rPr>
          <w:rFonts w:hint="default" w:ascii="宋体" w:hAnsi="宋体" w:eastAsia="宋体"/>
          <w:bCs/>
          <w:sz w:val="30"/>
          <w:szCs w:val="30"/>
          <w:u w:val="single"/>
          <w:lang w:val="en-US" w:eastAsia="zh-CN"/>
        </w:rPr>
      </w:pPr>
      <w:r>
        <w:rPr>
          <w:rFonts w:hint="eastAsia" w:ascii="宋体" w:hAnsi="宋体"/>
          <w:bCs/>
          <w:sz w:val="30"/>
          <w:szCs w:val="30"/>
          <w:lang w:eastAsia="zh-CN"/>
        </w:rPr>
        <w:t>采购计划文号：</w:t>
      </w:r>
      <w:r>
        <w:rPr>
          <w:rFonts w:hint="eastAsia" w:ascii="宋体" w:hAnsi="宋体"/>
          <w:bCs/>
          <w:sz w:val="30"/>
          <w:szCs w:val="30"/>
          <w:lang w:val="en-US" w:eastAsia="zh-CN"/>
        </w:rPr>
        <w:t>LZZC2020-C1-00943-001</w:t>
      </w:r>
    </w:p>
    <w:p>
      <w:pPr>
        <w:tabs>
          <w:tab w:val="left" w:pos="7665"/>
        </w:tabs>
        <w:ind w:right="-94" w:rightChars="-45"/>
        <w:jc w:val="left"/>
        <w:rPr>
          <w:rFonts w:ascii="宋体" w:hAnsi="宋体"/>
          <w:bCs/>
          <w:sz w:val="30"/>
          <w:szCs w:val="30"/>
        </w:rPr>
      </w:pPr>
    </w:p>
    <w:p>
      <w:pPr>
        <w:spacing w:line="360" w:lineRule="exact"/>
        <w:ind w:left="173" w:hanging="173" w:hangingChars="48"/>
        <w:rPr>
          <w:rFonts w:ascii="宋体" w:hAnsi="宋体"/>
          <w:b/>
          <w:sz w:val="36"/>
          <w:szCs w:val="36"/>
        </w:rPr>
      </w:pPr>
    </w:p>
    <w:p>
      <w:pPr>
        <w:jc w:val="left"/>
        <w:rPr>
          <w:rFonts w:ascii="宋体" w:hAnsi="宋体"/>
          <w:b/>
          <w:sz w:val="36"/>
          <w:szCs w:val="36"/>
        </w:rPr>
      </w:pPr>
    </w:p>
    <w:p>
      <w:pPr>
        <w:pStyle w:val="4"/>
        <w:spacing w:before="299"/>
        <w:ind w:firstLine="1446" w:firstLineChars="400"/>
        <w:jc w:val="both"/>
        <w:rPr>
          <w:rFonts w:hint="eastAsia" w:ascii="宋体" w:hAnsi="宋体"/>
          <w:b/>
          <w:sz w:val="36"/>
          <w:szCs w:val="36"/>
          <w:lang w:val="en-US" w:eastAsia="zh-CN"/>
        </w:rPr>
      </w:pPr>
      <w:r>
        <w:rPr>
          <w:rFonts w:hint="eastAsia" w:ascii="宋体" w:hAnsi="宋体"/>
          <w:b/>
          <w:sz w:val="36"/>
          <w:szCs w:val="36"/>
        </w:rPr>
        <w:t xml:space="preserve"> 采购人：</w:t>
      </w:r>
      <w:r>
        <w:rPr>
          <w:rFonts w:hint="eastAsia" w:ascii="宋体" w:hAnsi="宋体"/>
          <w:b/>
          <w:sz w:val="36"/>
          <w:szCs w:val="36"/>
          <w:lang w:val="en-US" w:eastAsia="zh-CN"/>
        </w:rPr>
        <w:t>龙州县应急管理局</w:t>
      </w:r>
    </w:p>
    <w:p>
      <w:pPr>
        <w:rPr>
          <w:rFonts w:hint="eastAsia" w:ascii="宋体" w:hAnsi="宋体" w:eastAsia="宋体" w:cs="Times New Roman"/>
          <w:b/>
          <w:bCs/>
          <w:kern w:val="2"/>
          <w:sz w:val="36"/>
          <w:szCs w:val="36"/>
          <w:lang w:val="en-US" w:eastAsia="zh-CN" w:bidi="ar-SA"/>
        </w:rPr>
      </w:pPr>
      <w:r>
        <w:rPr>
          <w:rFonts w:hint="eastAsia" w:ascii="宋体" w:hAnsi="宋体"/>
          <w:b/>
          <w:sz w:val="36"/>
          <w:szCs w:val="36"/>
        </w:rPr>
        <w:t xml:space="preserve">       采购代理机构：</w:t>
      </w:r>
      <w:r>
        <w:rPr>
          <w:rFonts w:hint="eastAsia" w:ascii="宋体" w:hAnsi="宋体" w:eastAsia="宋体" w:cs="Times New Roman"/>
          <w:b/>
          <w:bCs/>
          <w:kern w:val="2"/>
          <w:sz w:val="36"/>
          <w:szCs w:val="36"/>
          <w:lang w:val="en-US" w:eastAsia="zh-CN" w:bidi="ar-SA"/>
        </w:rPr>
        <w:t>广西建坤工程咨询有限公司</w:t>
      </w:r>
    </w:p>
    <w:p>
      <w:pPr>
        <w:widowControl/>
        <w:jc w:val="center"/>
        <w:rPr>
          <w:rFonts w:ascii="宋体" w:hAnsi="宋体"/>
          <w:b/>
          <w:bCs/>
          <w:spacing w:val="80"/>
          <w:sz w:val="28"/>
          <w:szCs w:val="28"/>
        </w:rPr>
      </w:pPr>
      <w:r>
        <w:rPr>
          <w:rFonts w:hint="eastAsia" w:ascii="宋体" w:hAnsi="宋体"/>
          <w:b/>
          <w:sz w:val="36"/>
          <w:szCs w:val="36"/>
        </w:rPr>
        <w:t>2020年12月</w:t>
      </w:r>
    </w:p>
    <w:p>
      <w:pPr>
        <w:rPr>
          <w:rFonts w:ascii="宋体" w:hAnsi="宋体"/>
          <w:b/>
          <w:bCs/>
          <w:spacing w:val="80"/>
          <w:sz w:val="28"/>
          <w:szCs w:val="28"/>
        </w:rPr>
      </w:pPr>
    </w:p>
    <w:p>
      <w:pPr>
        <w:pStyle w:val="19"/>
        <w:jc w:val="center"/>
        <w:rPr>
          <w:rFonts w:hAnsi="宋体"/>
          <w:b/>
          <w:sz w:val="48"/>
          <w:szCs w:val="48"/>
        </w:rPr>
        <w:sectPr>
          <w:headerReference r:id="rId5" w:type="first"/>
          <w:headerReference r:id="rId3" w:type="default"/>
          <w:footerReference r:id="rId6" w:type="default"/>
          <w:headerReference r:id="rId4" w:type="even"/>
          <w:footerReference r:id="rId7" w:type="even"/>
          <w:pgSz w:w="11906" w:h="16838"/>
          <w:pgMar w:top="1134" w:right="1134" w:bottom="1134" w:left="1134" w:header="720" w:footer="720" w:gutter="0"/>
          <w:pgNumType w:start="1"/>
          <w:cols w:space="720" w:num="1"/>
          <w:titlePg/>
          <w:docGrid w:type="lines" w:linePitch="331" w:charSpace="0"/>
        </w:sectPr>
      </w:pPr>
    </w:p>
    <w:p>
      <w:pPr>
        <w:pStyle w:val="19"/>
        <w:jc w:val="center"/>
        <w:rPr>
          <w:rFonts w:hAnsi="宋体"/>
          <w:b/>
          <w:sz w:val="48"/>
          <w:szCs w:val="48"/>
        </w:rPr>
      </w:pPr>
      <w:r>
        <w:rPr>
          <w:rFonts w:hint="eastAsia" w:hAnsi="宋体"/>
          <w:b/>
          <w:sz w:val="48"/>
          <w:szCs w:val="48"/>
        </w:rPr>
        <w:t>目  录</w:t>
      </w:r>
    </w:p>
    <w:p>
      <w:pPr>
        <w:pStyle w:val="19"/>
        <w:spacing w:line="500" w:lineRule="exact"/>
        <w:jc w:val="center"/>
        <w:rPr>
          <w:rFonts w:hAnsi="宋体"/>
          <w:b/>
          <w:sz w:val="28"/>
          <w:szCs w:val="28"/>
        </w:rPr>
      </w:pPr>
    </w:p>
    <w:p>
      <w:pPr>
        <w:pStyle w:val="25"/>
        <w:tabs>
          <w:tab w:val="right" w:leader="dot" w:pos="9628"/>
        </w:tabs>
        <w:rPr>
          <w:rFonts w:ascii="宋体" w:hAnsi="宋体" w:cstheme="minorBidi"/>
          <w:b w:val="0"/>
          <w:bCs w:val="0"/>
          <w:caps w:val="0"/>
          <w:sz w:val="21"/>
          <w:szCs w:val="22"/>
        </w:rPr>
      </w:pPr>
      <w:bookmarkStart w:id="0" w:name="_Toc213206171"/>
      <w:bookmarkStart w:id="1" w:name="_Toc139967217"/>
      <w:bookmarkStart w:id="2" w:name="_Toc139966433"/>
      <w:bookmarkStart w:id="3" w:name="_Toc139966426"/>
      <w:bookmarkStart w:id="4" w:name="_Toc139967210"/>
      <w:r>
        <w:rPr>
          <w:rFonts w:ascii="宋体" w:hAnsi="宋体"/>
          <w:b w:val="0"/>
          <w:bCs w:val="0"/>
          <w:caps w:val="0"/>
          <w:sz w:val="24"/>
          <w:szCs w:val="24"/>
        </w:rPr>
        <w:fldChar w:fldCharType="begin"/>
      </w:r>
      <w:r>
        <w:rPr>
          <w:rFonts w:ascii="宋体" w:hAnsi="宋体"/>
          <w:b w:val="0"/>
          <w:bCs w:val="0"/>
          <w:caps w:val="0"/>
          <w:sz w:val="24"/>
          <w:szCs w:val="24"/>
        </w:rPr>
        <w:instrText xml:space="preserve"> TOC \o "1-3" \h \z \u </w:instrText>
      </w:r>
      <w:r>
        <w:rPr>
          <w:rFonts w:ascii="宋体" w:hAnsi="宋体"/>
          <w:b w:val="0"/>
          <w:bCs w:val="0"/>
          <w:caps w:val="0"/>
          <w:sz w:val="24"/>
          <w:szCs w:val="24"/>
        </w:rPr>
        <w:fldChar w:fldCharType="separate"/>
      </w:r>
      <w:r>
        <w:fldChar w:fldCharType="begin"/>
      </w:r>
      <w:r>
        <w:instrText xml:space="preserve"> HYPERLINK \l "_Toc57749775" </w:instrText>
      </w:r>
      <w:r>
        <w:fldChar w:fldCharType="separate"/>
      </w:r>
      <w:r>
        <w:rPr>
          <w:rStyle w:val="40"/>
          <w:rFonts w:ascii="宋体" w:hAnsi="宋体"/>
          <w:color w:val="auto"/>
        </w:rPr>
        <w:t>第一章 公告</w:t>
      </w:r>
      <w:r>
        <w:rPr>
          <w:rFonts w:ascii="宋体" w:hAnsi="宋体"/>
        </w:rPr>
        <w:tab/>
      </w:r>
      <w:r>
        <w:rPr>
          <w:rFonts w:ascii="宋体" w:hAnsi="宋体"/>
        </w:rPr>
        <w:fldChar w:fldCharType="begin"/>
      </w:r>
      <w:r>
        <w:rPr>
          <w:rFonts w:ascii="宋体" w:hAnsi="宋体"/>
        </w:rPr>
        <w:instrText xml:space="preserve"> PAGEREF _Toc57749775 \h </w:instrText>
      </w:r>
      <w:r>
        <w:rPr>
          <w:rFonts w:ascii="宋体" w:hAnsi="宋体"/>
        </w:rPr>
        <w:fldChar w:fldCharType="separate"/>
      </w:r>
      <w:r>
        <w:rPr>
          <w:rFonts w:ascii="宋体" w:hAnsi="宋体"/>
        </w:rPr>
        <w:t>2</w:t>
      </w:r>
      <w:r>
        <w:rPr>
          <w:rFonts w:ascii="宋体" w:hAnsi="宋体"/>
        </w:rPr>
        <w:fldChar w:fldCharType="end"/>
      </w:r>
      <w:r>
        <w:rPr>
          <w:rFonts w:ascii="宋体" w:hAnsi="宋体"/>
        </w:rPr>
        <w:fldChar w:fldCharType="end"/>
      </w:r>
    </w:p>
    <w:p>
      <w:pPr>
        <w:pStyle w:val="25"/>
        <w:tabs>
          <w:tab w:val="right" w:leader="dot" w:pos="9628"/>
        </w:tabs>
        <w:rPr>
          <w:rFonts w:ascii="宋体" w:hAnsi="宋体" w:cstheme="minorBidi"/>
          <w:b w:val="0"/>
          <w:bCs w:val="0"/>
          <w:caps w:val="0"/>
          <w:sz w:val="21"/>
          <w:szCs w:val="22"/>
        </w:rPr>
      </w:pPr>
      <w:r>
        <w:fldChar w:fldCharType="begin"/>
      </w:r>
      <w:r>
        <w:instrText xml:space="preserve"> HYPERLINK \l "_Toc57749776" </w:instrText>
      </w:r>
      <w:r>
        <w:fldChar w:fldCharType="separate"/>
      </w:r>
      <w:r>
        <w:rPr>
          <w:rStyle w:val="40"/>
          <w:rFonts w:ascii="宋体" w:hAnsi="宋体"/>
          <w:color w:val="auto"/>
        </w:rPr>
        <w:t>第二章 采购需求一览表</w:t>
      </w:r>
      <w:r>
        <w:rPr>
          <w:rFonts w:ascii="宋体" w:hAnsi="宋体"/>
        </w:rPr>
        <w:tab/>
      </w:r>
      <w:r>
        <w:rPr>
          <w:rFonts w:hint="eastAsia" w:ascii="宋体" w:hAnsi="宋体"/>
          <w:lang w:val="en-US" w:eastAsia="zh-CN"/>
        </w:rPr>
        <w:t>4</w:t>
      </w:r>
      <w:r>
        <w:rPr>
          <w:rFonts w:ascii="宋体" w:hAnsi="宋体"/>
        </w:rPr>
        <w:fldChar w:fldCharType="end"/>
      </w:r>
    </w:p>
    <w:p>
      <w:pPr>
        <w:pStyle w:val="25"/>
        <w:tabs>
          <w:tab w:val="right" w:leader="dot" w:pos="9628"/>
        </w:tabs>
        <w:rPr>
          <w:rFonts w:ascii="宋体" w:hAnsi="宋体" w:cstheme="minorBidi"/>
          <w:b w:val="0"/>
          <w:bCs w:val="0"/>
          <w:caps w:val="0"/>
          <w:sz w:val="21"/>
          <w:szCs w:val="22"/>
        </w:rPr>
      </w:pPr>
      <w:r>
        <w:fldChar w:fldCharType="begin"/>
      </w:r>
      <w:r>
        <w:instrText xml:space="preserve"> HYPERLINK \l "_Toc57749777" </w:instrText>
      </w:r>
      <w:r>
        <w:fldChar w:fldCharType="separate"/>
      </w:r>
      <w:r>
        <w:rPr>
          <w:rStyle w:val="40"/>
          <w:rFonts w:ascii="宋体" w:hAnsi="宋体"/>
          <w:color w:val="auto"/>
        </w:rPr>
        <w:t>第三章 评标办法</w:t>
      </w:r>
      <w:r>
        <w:rPr>
          <w:rFonts w:ascii="宋体" w:hAnsi="宋体"/>
        </w:rPr>
        <w:tab/>
      </w:r>
      <w:r>
        <w:rPr>
          <w:rFonts w:ascii="宋体" w:hAnsi="宋体"/>
        </w:rPr>
        <w:fldChar w:fldCharType="begin"/>
      </w:r>
      <w:r>
        <w:rPr>
          <w:rFonts w:ascii="宋体" w:hAnsi="宋体"/>
        </w:rPr>
        <w:instrText xml:space="preserve"> PAGEREF _Toc57749777 \h </w:instrText>
      </w:r>
      <w:r>
        <w:rPr>
          <w:rFonts w:ascii="宋体" w:hAnsi="宋体"/>
        </w:rPr>
        <w:fldChar w:fldCharType="separate"/>
      </w:r>
      <w:r>
        <w:rPr>
          <w:rFonts w:ascii="宋体" w:hAnsi="宋体"/>
        </w:rPr>
        <w:t>17</w:t>
      </w:r>
      <w:r>
        <w:rPr>
          <w:rFonts w:ascii="宋体" w:hAnsi="宋体"/>
        </w:rPr>
        <w:fldChar w:fldCharType="end"/>
      </w:r>
      <w:r>
        <w:rPr>
          <w:rFonts w:ascii="宋体" w:hAnsi="宋体"/>
        </w:rPr>
        <w:fldChar w:fldCharType="end"/>
      </w:r>
    </w:p>
    <w:p>
      <w:pPr>
        <w:pStyle w:val="25"/>
        <w:tabs>
          <w:tab w:val="right" w:leader="dot" w:pos="9628"/>
        </w:tabs>
        <w:rPr>
          <w:rFonts w:ascii="宋体" w:hAnsi="宋体" w:cstheme="minorBidi"/>
          <w:b w:val="0"/>
          <w:bCs w:val="0"/>
          <w:caps w:val="0"/>
          <w:sz w:val="21"/>
          <w:szCs w:val="22"/>
        </w:rPr>
      </w:pPr>
      <w:r>
        <w:fldChar w:fldCharType="begin"/>
      </w:r>
      <w:r>
        <w:instrText xml:space="preserve"> HYPERLINK \l "_Toc57749778" </w:instrText>
      </w:r>
      <w:r>
        <w:fldChar w:fldCharType="separate"/>
      </w:r>
      <w:r>
        <w:rPr>
          <w:rStyle w:val="40"/>
          <w:rFonts w:ascii="宋体" w:hAnsi="宋体"/>
          <w:color w:val="auto"/>
        </w:rPr>
        <w:t>第四章 投标人须知</w:t>
      </w:r>
      <w:r>
        <w:rPr>
          <w:rFonts w:ascii="宋体" w:hAnsi="宋体"/>
        </w:rPr>
        <w:tab/>
      </w:r>
      <w:r>
        <w:rPr>
          <w:rFonts w:ascii="宋体" w:hAnsi="宋体"/>
        </w:rPr>
        <w:fldChar w:fldCharType="begin"/>
      </w:r>
      <w:r>
        <w:rPr>
          <w:rFonts w:ascii="宋体" w:hAnsi="宋体"/>
        </w:rPr>
        <w:instrText xml:space="preserve"> PAGEREF _Toc57749778 \h </w:instrText>
      </w:r>
      <w:r>
        <w:rPr>
          <w:rFonts w:ascii="宋体" w:hAnsi="宋体"/>
        </w:rPr>
        <w:fldChar w:fldCharType="separate"/>
      </w:r>
      <w:r>
        <w:rPr>
          <w:rFonts w:ascii="宋体" w:hAnsi="宋体"/>
        </w:rPr>
        <w:t>22</w:t>
      </w:r>
      <w:r>
        <w:rPr>
          <w:rFonts w:ascii="宋体" w:hAnsi="宋体"/>
        </w:rPr>
        <w:fldChar w:fldCharType="end"/>
      </w:r>
      <w:r>
        <w:rPr>
          <w:rFonts w:ascii="宋体" w:hAnsi="宋体"/>
        </w:rPr>
        <w:fldChar w:fldCharType="end"/>
      </w:r>
    </w:p>
    <w:p>
      <w:pPr>
        <w:pStyle w:val="28"/>
        <w:rPr>
          <w:rFonts w:ascii="宋体" w:hAnsi="宋体" w:cstheme="minorBidi"/>
          <w:smallCaps w:val="0"/>
          <w:sz w:val="21"/>
          <w:szCs w:val="22"/>
        </w:rPr>
      </w:pPr>
      <w:r>
        <w:fldChar w:fldCharType="begin"/>
      </w:r>
      <w:r>
        <w:instrText xml:space="preserve"> HYPERLINK \l "_Toc57749779" </w:instrText>
      </w:r>
      <w:r>
        <w:fldChar w:fldCharType="separate"/>
      </w:r>
      <w:r>
        <w:rPr>
          <w:rStyle w:val="40"/>
          <w:rFonts w:ascii="宋体" w:hAnsi="宋体"/>
          <w:color w:val="auto"/>
        </w:rPr>
        <w:t>投标人须知前附表</w:t>
      </w:r>
      <w:r>
        <w:rPr>
          <w:rFonts w:ascii="宋体" w:hAnsi="宋体"/>
        </w:rPr>
        <w:tab/>
      </w:r>
      <w:r>
        <w:rPr>
          <w:rFonts w:ascii="宋体" w:hAnsi="宋体"/>
        </w:rPr>
        <w:fldChar w:fldCharType="begin"/>
      </w:r>
      <w:r>
        <w:rPr>
          <w:rFonts w:ascii="宋体" w:hAnsi="宋体"/>
        </w:rPr>
        <w:instrText xml:space="preserve"> PAGEREF _Toc57749779 \h </w:instrText>
      </w:r>
      <w:r>
        <w:rPr>
          <w:rFonts w:ascii="宋体" w:hAnsi="宋体"/>
        </w:rPr>
        <w:fldChar w:fldCharType="separate"/>
      </w:r>
      <w:r>
        <w:rPr>
          <w:rFonts w:ascii="宋体" w:hAnsi="宋体"/>
        </w:rPr>
        <w:t>22</w:t>
      </w:r>
      <w:r>
        <w:rPr>
          <w:rFonts w:ascii="宋体" w:hAnsi="宋体"/>
        </w:rPr>
        <w:fldChar w:fldCharType="end"/>
      </w:r>
      <w:r>
        <w:rPr>
          <w:rFonts w:ascii="宋体" w:hAnsi="宋体"/>
        </w:rPr>
        <w:fldChar w:fldCharType="end"/>
      </w:r>
    </w:p>
    <w:p>
      <w:pPr>
        <w:pStyle w:val="28"/>
        <w:rPr>
          <w:rFonts w:ascii="宋体" w:hAnsi="宋体" w:cstheme="minorBidi"/>
          <w:smallCaps w:val="0"/>
          <w:sz w:val="21"/>
          <w:szCs w:val="22"/>
        </w:rPr>
      </w:pPr>
      <w:r>
        <w:fldChar w:fldCharType="begin"/>
      </w:r>
      <w:r>
        <w:instrText xml:space="preserve"> HYPERLINK \l "_Toc57749780" </w:instrText>
      </w:r>
      <w:r>
        <w:fldChar w:fldCharType="separate"/>
      </w:r>
      <w:r>
        <w:rPr>
          <w:rStyle w:val="40"/>
          <w:rFonts w:ascii="宋体" w:hAnsi="宋体"/>
          <w:color w:val="auto"/>
        </w:rPr>
        <w:t>一 总则</w:t>
      </w:r>
      <w:r>
        <w:rPr>
          <w:rFonts w:ascii="宋体" w:hAnsi="宋体"/>
        </w:rPr>
        <w:tab/>
      </w:r>
      <w:r>
        <w:rPr>
          <w:rFonts w:ascii="宋体" w:hAnsi="宋体"/>
        </w:rPr>
        <w:fldChar w:fldCharType="begin"/>
      </w:r>
      <w:r>
        <w:rPr>
          <w:rFonts w:ascii="宋体" w:hAnsi="宋体"/>
        </w:rPr>
        <w:instrText xml:space="preserve"> PAGEREF _Toc57749780 \h </w:instrText>
      </w:r>
      <w:r>
        <w:rPr>
          <w:rFonts w:ascii="宋体" w:hAnsi="宋体"/>
        </w:rPr>
        <w:fldChar w:fldCharType="separate"/>
      </w:r>
      <w:r>
        <w:rPr>
          <w:rFonts w:ascii="宋体" w:hAnsi="宋体"/>
        </w:rPr>
        <w:t>25</w:t>
      </w:r>
      <w:r>
        <w:rPr>
          <w:rFonts w:ascii="宋体" w:hAnsi="宋体"/>
        </w:rPr>
        <w:fldChar w:fldCharType="end"/>
      </w:r>
      <w:r>
        <w:rPr>
          <w:rFonts w:ascii="宋体" w:hAnsi="宋体"/>
        </w:rPr>
        <w:fldChar w:fldCharType="end"/>
      </w:r>
    </w:p>
    <w:p>
      <w:pPr>
        <w:pStyle w:val="28"/>
        <w:rPr>
          <w:rFonts w:ascii="宋体" w:hAnsi="宋体" w:cstheme="minorBidi"/>
          <w:smallCaps w:val="0"/>
          <w:sz w:val="21"/>
          <w:szCs w:val="22"/>
        </w:rPr>
      </w:pPr>
      <w:r>
        <w:fldChar w:fldCharType="begin"/>
      </w:r>
      <w:r>
        <w:instrText xml:space="preserve"> HYPERLINK \l "_Toc57749781" </w:instrText>
      </w:r>
      <w:r>
        <w:fldChar w:fldCharType="separate"/>
      </w:r>
      <w:r>
        <w:rPr>
          <w:rStyle w:val="40"/>
          <w:rFonts w:ascii="宋体" w:hAnsi="宋体"/>
          <w:color w:val="auto"/>
        </w:rPr>
        <w:t>二 公开招标文件</w:t>
      </w:r>
      <w:r>
        <w:rPr>
          <w:rFonts w:ascii="宋体" w:hAnsi="宋体"/>
        </w:rPr>
        <w:tab/>
      </w:r>
      <w:r>
        <w:rPr>
          <w:rFonts w:ascii="宋体" w:hAnsi="宋体"/>
        </w:rPr>
        <w:fldChar w:fldCharType="begin"/>
      </w:r>
      <w:r>
        <w:rPr>
          <w:rFonts w:ascii="宋体" w:hAnsi="宋体"/>
        </w:rPr>
        <w:instrText xml:space="preserve"> PAGEREF _Toc57749781 \h </w:instrText>
      </w:r>
      <w:r>
        <w:rPr>
          <w:rFonts w:ascii="宋体" w:hAnsi="宋体"/>
        </w:rPr>
        <w:fldChar w:fldCharType="separate"/>
      </w:r>
      <w:r>
        <w:rPr>
          <w:rFonts w:ascii="宋体" w:hAnsi="宋体"/>
        </w:rPr>
        <w:t>28</w:t>
      </w:r>
      <w:r>
        <w:rPr>
          <w:rFonts w:ascii="宋体" w:hAnsi="宋体"/>
        </w:rPr>
        <w:fldChar w:fldCharType="end"/>
      </w:r>
      <w:r>
        <w:rPr>
          <w:rFonts w:ascii="宋体" w:hAnsi="宋体"/>
        </w:rPr>
        <w:fldChar w:fldCharType="end"/>
      </w:r>
    </w:p>
    <w:p>
      <w:pPr>
        <w:pStyle w:val="28"/>
        <w:rPr>
          <w:rFonts w:ascii="宋体" w:hAnsi="宋体" w:cstheme="minorBidi"/>
          <w:smallCaps w:val="0"/>
          <w:sz w:val="21"/>
          <w:szCs w:val="22"/>
        </w:rPr>
      </w:pPr>
      <w:r>
        <w:fldChar w:fldCharType="begin"/>
      </w:r>
      <w:r>
        <w:instrText xml:space="preserve"> HYPERLINK \l "_Toc57749782" </w:instrText>
      </w:r>
      <w:r>
        <w:fldChar w:fldCharType="separate"/>
      </w:r>
      <w:r>
        <w:rPr>
          <w:rStyle w:val="40"/>
          <w:rFonts w:ascii="宋体" w:hAnsi="宋体"/>
          <w:color w:val="auto"/>
        </w:rPr>
        <w:t>三 投标文件</w:t>
      </w:r>
      <w:r>
        <w:rPr>
          <w:rFonts w:ascii="宋体" w:hAnsi="宋体"/>
        </w:rPr>
        <w:tab/>
      </w:r>
      <w:r>
        <w:rPr>
          <w:rFonts w:ascii="宋体" w:hAnsi="宋体"/>
        </w:rPr>
        <w:fldChar w:fldCharType="begin"/>
      </w:r>
      <w:r>
        <w:rPr>
          <w:rFonts w:ascii="宋体" w:hAnsi="宋体"/>
        </w:rPr>
        <w:instrText xml:space="preserve"> PAGEREF _Toc57749782 \h </w:instrText>
      </w:r>
      <w:r>
        <w:rPr>
          <w:rFonts w:ascii="宋体" w:hAnsi="宋体"/>
        </w:rPr>
        <w:fldChar w:fldCharType="separate"/>
      </w:r>
      <w:r>
        <w:rPr>
          <w:rFonts w:ascii="宋体" w:hAnsi="宋体"/>
        </w:rPr>
        <w:t>29</w:t>
      </w:r>
      <w:r>
        <w:rPr>
          <w:rFonts w:ascii="宋体" w:hAnsi="宋体"/>
        </w:rPr>
        <w:fldChar w:fldCharType="end"/>
      </w:r>
      <w:r>
        <w:rPr>
          <w:rFonts w:ascii="宋体" w:hAnsi="宋体"/>
        </w:rPr>
        <w:fldChar w:fldCharType="end"/>
      </w:r>
    </w:p>
    <w:p>
      <w:pPr>
        <w:pStyle w:val="28"/>
        <w:rPr>
          <w:rFonts w:ascii="宋体" w:hAnsi="宋体" w:cstheme="minorBidi"/>
          <w:smallCaps w:val="0"/>
          <w:sz w:val="21"/>
          <w:szCs w:val="22"/>
        </w:rPr>
      </w:pPr>
      <w:r>
        <w:fldChar w:fldCharType="begin"/>
      </w:r>
      <w:r>
        <w:instrText xml:space="preserve"> HYPERLINK \l "_Toc57749783" </w:instrText>
      </w:r>
      <w:r>
        <w:fldChar w:fldCharType="separate"/>
      </w:r>
      <w:r>
        <w:rPr>
          <w:rStyle w:val="40"/>
          <w:rFonts w:ascii="宋体" w:hAnsi="宋体"/>
          <w:color w:val="auto"/>
        </w:rPr>
        <w:t>四 投标</w:t>
      </w:r>
      <w:r>
        <w:rPr>
          <w:rFonts w:ascii="宋体" w:hAnsi="宋体"/>
        </w:rPr>
        <w:tab/>
      </w:r>
      <w:r>
        <w:rPr>
          <w:rFonts w:ascii="宋体" w:hAnsi="宋体"/>
        </w:rPr>
        <w:fldChar w:fldCharType="begin"/>
      </w:r>
      <w:r>
        <w:rPr>
          <w:rFonts w:ascii="宋体" w:hAnsi="宋体"/>
        </w:rPr>
        <w:instrText xml:space="preserve"> PAGEREF _Toc57749783 \h </w:instrText>
      </w:r>
      <w:r>
        <w:rPr>
          <w:rFonts w:ascii="宋体" w:hAnsi="宋体"/>
        </w:rPr>
        <w:fldChar w:fldCharType="separate"/>
      </w:r>
      <w:r>
        <w:rPr>
          <w:rFonts w:ascii="宋体" w:hAnsi="宋体"/>
        </w:rPr>
        <w:t>32</w:t>
      </w:r>
      <w:r>
        <w:rPr>
          <w:rFonts w:ascii="宋体" w:hAnsi="宋体"/>
        </w:rPr>
        <w:fldChar w:fldCharType="end"/>
      </w:r>
      <w:r>
        <w:rPr>
          <w:rFonts w:ascii="宋体" w:hAnsi="宋体"/>
        </w:rPr>
        <w:fldChar w:fldCharType="end"/>
      </w:r>
    </w:p>
    <w:p>
      <w:pPr>
        <w:pStyle w:val="28"/>
        <w:rPr>
          <w:rFonts w:ascii="宋体" w:hAnsi="宋体" w:cstheme="minorBidi"/>
          <w:smallCaps w:val="0"/>
          <w:sz w:val="21"/>
          <w:szCs w:val="22"/>
        </w:rPr>
      </w:pPr>
      <w:r>
        <w:fldChar w:fldCharType="begin"/>
      </w:r>
      <w:r>
        <w:instrText xml:space="preserve"> HYPERLINK \l "_Toc57749784" </w:instrText>
      </w:r>
      <w:r>
        <w:fldChar w:fldCharType="separate"/>
      </w:r>
      <w:r>
        <w:rPr>
          <w:rStyle w:val="40"/>
          <w:rFonts w:ascii="宋体" w:hAnsi="宋体"/>
          <w:color w:val="auto"/>
        </w:rPr>
        <w:t>五 开标与评标</w:t>
      </w:r>
      <w:r>
        <w:rPr>
          <w:rFonts w:ascii="宋体" w:hAnsi="宋体"/>
        </w:rPr>
        <w:tab/>
      </w:r>
      <w:r>
        <w:rPr>
          <w:rFonts w:ascii="宋体" w:hAnsi="宋体"/>
        </w:rPr>
        <w:fldChar w:fldCharType="begin"/>
      </w:r>
      <w:r>
        <w:rPr>
          <w:rFonts w:ascii="宋体" w:hAnsi="宋体"/>
        </w:rPr>
        <w:instrText xml:space="preserve"> PAGEREF _Toc57749784 \h </w:instrText>
      </w:r>
      <w:r>
        <w:rPr>
          <w:rFonts w:ascii="宋体" w:hAnsi="宋体"/>
        </w:rPr>
        <w:fldChar w:fldCharType="separate"/>
      </w:r>
      <w:r>
        <w:rPr>
          <w:rFonts w:ascii="宋体" w:hAnsi="宋体"/>
        </w:rPr>
        <w:t>33</w:t>
      </w:r>
      <w:r>
        <w:rPr>
          <w:rFonts w:ascii="宋体" w:hAnsi="宋体"/>
        </w:rPr>
        <w:fldChar w:fldCharType="end"/>
      </w:r>
      <w:r>
        <w:rPr>
          <w:rFonts w:ascii="宋体" w:hAnsi="宋体"/>
        </w:rPr>
        <w:fldChar w:fldCharType="end"/>
      </w:r>
    </w:p>
    <w:p>
      <w:pPr>
        <w:pStyle w:val="28"/>
        <w:rPr>
          <w:rFonts w:ascii="宋体" w:hAnsi="宋体" w:cstheme="minorBidi"/>
          <w:smallCaps w:val="0"/>
          <w:sz w:val="21"/>
          <w:szCs w:val="22"/>
        </w:rPr>
      </w:pPr>
      <w:r>
        <w:fldChar w:fldCharType="begin"/>
      </w:r>
      <w:r>
        <w:instrText xml:space="preserve"> HYPERLINK \l "_Toc57749785" </w:instrText>
      </w:r>
      <w:r>
        <w:fldChar w:fldCharType="separate"/>
      </w:r>
      <w:r>
        <w:rPr>
          <w:rStyle w:val="40"/>
          <w:rFonts w:ascii="宋体" w:hAnsi="宋体"/>
          <w:color w:val="auto"/>
        </w:rPr>
        <w:t>六 合同授予</w:t>
      </w:r>
      <w:r>
        <w:rPr>
          <w:rFonts w:ascii="宋体" w:hAnsi="宋体"/>
        </w:rPr>
        <w:tab/>
      </w:r>
      <w:r>
        <w:rPr>
          <w:rFonts w:ascii="宋体" w:hAnsi="宋体"/>
        </w:rPr>
        <w:fldChar w:fldCharType="begin"/>
      </w:r>
      <w:r>
        <w:rPr>
          <w:rFonts w:ascii="宋体" w:hAnsi="宋体"/>
        </w:rPr>
        <w:instrText xml:space="preserve"> PAGEREF _Toc57749785 \h </w:instrText>
      </w:r>
      <w:r>
        <w:rPr>
          <w:rFonts w:ascii="宋体" w:hAnsi="宋体"/>
        </w:rPr>
        <w:fldChar w:fldCharType="separate"/>
      </w:r>
      <w:r>
        <w:rPr>
          <w:rFonts w:ascii="宋体" w:hAnsi="宋体"/>
        </w:rPr>
        <w:t>37</w:t>
      </w:r>
      <w:r>
        <w:rPr>
          <w:rFonts w:ascii="宋体" w:hAnsi="宋体"/>
        </w:rPr>
        <w:fldChar w:fldCharType="end"/>
      </w:r>
      <w:r>
        <w:rPr>
          <w:rFonts w:ascii="宋体" w:hAnsi="宋体"/>
        </w:rPr>
        <w:fldChar w:fldCharType="end"/>
      </w:r>
    </w:p>
    <w:p>
      <w:pPr>
        <w:pStyle w:val="28"/>
        <w:rPr>
          <w:rFonts w:ascii="宋体" w:hAnsi="宋体" w:cstheme="minorBidi"/>
          <w:smallCaps w:val="0"/>
          <w:sz w:val="21"/>
          <w:szCs w:val="22"/>
        </w:rPr>
      </w:pPr>
      <w:r>
        <w:fldChar w:fldCharType="begin"/>
      </w:r>
      <w:r>
        <w:instrText xml:space="preserve"> HYPERLINK \l "_Toc57749786" </w:instrText>
      </w:r>
      <w:r>
        <w:fldChar w:fldCharType="separate"/>
      </w:r>
      <w:r>
        <w:rPr>
          <w:rStyle w:val="40"/>
          <w:rFonts w:ascii="宋体" w:hAnsi="宋体"/>
          <w:color w:val="auto"/>
        </w:rPr>
        <w:t>七 其他事项</w:t>
      </w:r>
      <w:r>
        <w:rPr>
          <w:rFonts w:ascii="宋体" w:hAnsi="宋体"/>
        </w:rPr>
        <w:tab/>
      </w:r>
      <w:r>
        <w:rPr>
          <w:rFonts w:ascii="宋体" w:hAnsi="宋体"/>
        </w:rPr>
        <w:fldChar w:fldCharType="begin"/>
      </w:r>
      <w:r>
        <w:rPr>
          <w:rFonts w:ascii="宋体" w:hAnsi="宋体"/>
        </w:rPr>
        <w:instrText xml:space="preserve"> PAGEREF _Toc57749786 \h </w:instrText>
      </w:r>
      <w:r>
        <w:rPr>
          <w:rFonts w:ascii="宋体" w:hAnsi="宋体"/>
        </w:rPr>
        <w:fldChar w:fldCharType="separate"/>
      </w:r>
      <w:r>
        <w:rPr>
          <w:rFonts w:ascii="宋体" w:hAnsi="宋体"/>
        </w:rPr>
        <w:t>40</w:t>
      </w:r>
      <w:r>
        <w:rPr>
          <w:rFonts w:ascii="宋体" w:hAnsi="宋体"/>
        </w:rPr>
        <w:fldChar w:fldCharType="end"/>
      </w:r>
      <w:r>
        <w:rPr>
          <w:rFonts w:ascii="宋体" w:hAnsi="宋体"/>
        </w:rPr>
        <w:fldChar w:fldCharType="end"/>
      </w:r>
    </w:p>
    <w:p>
      <w:pPr>
        <w:pStyle w:val="25"/>
        <w:tabs>
          <w:tab w:val="right" w:leader="dot" w:pos="9628"/>
        </w:tabs>
        <w:rPr>
          <w:rFonts w:ascii="宋体" w:hAnsi="宋体" w:cstheme="minorBidi"/>
          <w:b w:val="0"/>
          <w:bCs w:val="0"/>
          <w:caps w:val="0"/>
          <w:sz w:val="21"/>
          <w:szCs w:val="22"/>
        </w:rPr>
      </w:pPr>
      <w:r>
        <w:fldChar w:fldCharType="begin"/>
      </w:r>
      <w:r>
        <w:instrText xml:space="preserve"> HYPERLINK \l "_Toc57749787" </w:instrText>
      </w:r>
      <w:r>
        <w:fldChar w:fldCharType="separate"/>
      </w:r>
      <w:r>
        <w:rPr>
          <w:rStyle w:val="40"/>
          <w:rFonts w:ascii="宋体" w:hAnsi="宋体"/>
          <w:color w:val="auto"/>
        </w:rPr>
        <w:t>第五章 投标文件格式</w:t>
      </w:r>
      <w:r>
        <w:rPr>
          <w:rFonts w:ascii="宋体" w:hAnsi="宋体"/>
        </w:rPr>
        <w:tab/>
      </w:r>
      <w:r>
        <w:rPr>
          <w:rFonts w:ascii="宋体" w:hAnsi="宋体"/>
        </w:rPr>
        <w:fldChar w:fldCharType="begin"/>
      </w:r>
      <w:r>
        <w:rPr>
          <w:rFonts w:ascii="宋体" w:hAnsi="宋体"/>
        </w:rPr>
        <w:instrText xml:space="preserve"> PAGEREF _Toc57749787 \h </w:instrText>
      </w:r>
      <w:r>
        <w:rPr>
          <w:rFonts w:ascii="宋体" w:hAnsi="宋体"/>
        </w:rPr>
        <w:fldChar w:fldCharType="separate"/>
      </w:r>
      <w:r>
        <w:rPr>
          <w:rFonts w:ascii="宋体" w:hAnsi="宋体"/>
        </w:rPr>
        <w:t>43</w:t>
      </w:r>
      <w:r>
        <w:rPr>
          <w:rFonts w:ascii="宋体" w:hAnsi="宋体"/>
        </w:rPr>
        <w:fldChar w:fldCharType="end"/>
      </w:r>
      <w:r>
        <w:rPr>
          <w:rFonts w:ascii="宋体" w:hAnsi="宋体"/>
        </w:rPr>
        <w:fldChar w:fldCharType="end"/>
      </w:r>
    </w:p>
    <w:p>
      <w:pPr>
        <w:pStyle w:val="25"/>
        <w:tabs>
          <w:tab w:val="right" w:leader="dot" w:pos="9628"/>
        </w:tabs>
        <w:rPr>
          <w:rFonts w:ascii="宋体" w:hAnsi="宋体" w:cstheme="minorBidi"/>
          <w:b w:val="0"/>
          <w:bCs w:val="0"/>
          <w:caps w:val="0"/>
          <w:sz w:val="21"/>
          <w:szCs w:val="22"/>
        </w:rPr>
      </w:pPr>
      <w:r>
        <w:fldChar w:fldCharType="begin"/>
      </w:r>
      <w:r>
        <w:instrText xml:space="preserve"> HYPERLINK \l "_Toc57749788" </w:instrText>
      </w:r>
      <w:r>
        <w:fldChar w:fldCharType="separate"/>
      </w:r>
      <w:r>
        <w:rPr>
          <w:rStyle w:val="40"/>
          <w:rFonts w:ascii="宋体" w:hAnsi="宋体"/>
          <w:color w:val="auto"/>
        </w:rPr>
        <w:t>第六章 合同条款及格式</w:t>
      </w:r>
      <w:r>
        <w:rPr>
          <w:rFonts w:ascii="宋体" w:hAnsi="宋体"/>
        </w:rPr>
        <w:tab/>
      </w:r>
      <w:r>
        <w:rPr>
          <w:rFonts w:ascii="宋体" w:hAnsi="宋体"/>
        </w:rPr>
        <w:fldChar w:fldCharType="begin"/>
      </w:r>
      <w:r>
        <w:rPr>
          <w:rFonts w:ascii="宋体" w:hAnsi="宋体"/>
        </w:rPr>
        <w:instrText xml:space="preserve"> PAGEREF _Toc57749788 \h </w:instrText>
      </w:r>
      <w:r>
        <w:rPr>
          <w:rFonts w:ascii="宋体" w:hAnsi="宋体"/>
        </w:rPr>
        <w:fldChar w:fldCharType="separate"/>
      </w:r>
      <w:r>
        <w:rPr>
          <w:rFonts w:ascii="宋体" w:hAnsi="宋体"/>
        </w:rPr>
        <w:t>57</w:t>
      </w:r>
      <w:r>
        <w:rPr>
          <w:rFonts w:ascii="宋体" w:hAnsi="宋体"/>
        </w:rPr>
        <w:fldChar w:fldCharType="end"/>
      </w:r>
      <w:r>
        <w:rPr>
          <w:rFonts w:ascii="宋体" w:hAnsi="宋体"/>
        </w:rPr>
        <w:fldChar w:fldCharType="end"/>
      </w:r>
    </w:p>
    <w:p>
      <w:pPr>
        <w:pStyle w:val="25"/>
        <w:tabs>
          <w:tab w:val="right" w:leader="dot" w:pos="9628"/>
        </w:tabs>
        <w:rPr>
          <w:rFonts w:ascii="宋体" w:hAnsi="宋体" w:cstheme="minorBidi"/>
          <w:b w:val="0"/>
          <w:bCs w:val="0"/>
          <w:caps w:val="0"/>
          <w:sz w:val="21"/>
          <w:szCs w:val="22"/>
        </w:rPr>
      </w:pPr>
      <w:r>
        <w:fldChar w:fldCharType="begin"/>
      </w:r>
      <w:r>
        <w:instrText xml:space="preserve"> HYPERLINK \l "_Toc57749789" </w:instrText>
      </w:r>
      <w:r>
        <w:fldChar w:fldCharType="separate"/>
      </w:r>
      <w:r>
        <w:rPr>
          <w:rStyle w:val="40"/>
          <w:rFonts w:ascii="宋体" w:hAnsi="宋体"/>
          <w:color w:val="auto"/>
        </w:rPr>
        <w:t>第七章  质疑材料格式</w:t>
      </w:r>
      <w:r>
        <w:rPr>
          <w:rFonts w:ascii="宋体" w:hAnsi="宋体"/>
        </w:rPr>
        <w:tab/>
      </w:r>
      <w:r>
        <w:rPr>
          <w:rFonts w:ascii="宋体" w:hAnsi="宋体"/>
        </w:rPr>
        <w:fldChar w:fldCharType="begin"/>
      </w:r>
      <w:r>
        <w:rPr>
          <w:rFonts w:ascii="宋体" w:hAnsi="宋体"/>
        </w:rPr>
        <w:instrText xml:space="preserve"> PAGEREF _Toc57749789 \h </w:instrText>
      </w:r>
      <w:r>
        <w:rPr>
          <w:rFonts w:ascii="宋体" w:hAnsi="宋体"/>
        </w:rPr>
        <w:fldChar w:fldCharType="separate"/>
      </w:r>
      <w:r>
        <w:rPr>
          <w:rFonts w:ascii="宋体" w:hAnsi="宋体"/>
        </w:rPr>
        <w:t>65</w:t>
      </w:r>
      <w:r>
        <w:rPr>
          <w:rFonts w:ascii="宋体" w:hAnsi="宋体"/>
        </w:rPr>
        <w:fldChar w:fldCharType="end"/>
      </w:r>
      <w:r>
        <w:rPr>
          <w:rFonts w:ascii="宋体" w:hAnsi="宋体"/>
        </w:rPr>
        <w:fldChar w:fldCharType="end"/>
      </w:r>
    </w:p>
    <w:p>
      <w:pPr>
        <w:pStyle w:val="19"/>
        <w:spacing w:line="500" w:lineRule="exact"/>
        <w:jc w:val="center"/>
        <w:outlineLvl w:val="0"/>
        <w:rPr>
          <w:rFonts w:hAnsi="宋体"/>
          <w:b/>
          <w:bCs/>
          <w:caps/>
          <w:sz w:val="28"/>
          <w:szCs w:val="28"/>
        </w:rPr>
      </w:pPr>
      <w:r>
        <w:rPr>
          <w:rFonts w:hAnsi="宋体"/>
          <w:bCs/>
          <w:caps/>
          <w:szCs w:val="24"/>
        </w:rPr>
        <w:fldChar w:fldCharType="end"/>
      </w:r>
      <w:bookmarkStart w:id="5" w:name="_Toc213325920"/>
    </w:p>
    <w:p>
      <w:pPr>
        <w:pStyle w:val="19"/>
        <w:jc w:val="center"/>
        <w:outlineLvl w:val="0"/>
        <w:rPr>
          <w:rFonts w:hAnsi="宋体"/>
          <w:b/>
          <w:bCs/>
          <w:caps/>
          <w:sz w:val="28"/>
          <w:szCs w:val="28"/>
        </w:rPr>
      </w:pPr>
    </w:p>
    <w:p>
      <w:pPr>
        <w:rPr>
          <w:rFonts w:ascii="宋体" w:hAnsi="宋体"/>
        </w:rPr>
      </w:pPr>
      <w:r>
        <w:rPr>
          <w:rFonts w:ascii="宋体" w:hAnsi="宋体"/>
        </w:rPr>
        <w:br w:type="page"/>
      </w:r>
    </w:p>
    <w:p>
      <w:pPr>
        <w:pStyle w:val="3"/>
        <w:rPr>
          <w:rFonts w:ascii="宋体" w:hAnsi="宋体"/>
          <w:szCs w:val="36"/>
        </w:rPr>
      </w:pPr>
      <w:bookmarkStart w:id="6" w:name="_Toc57749775"/>
      <w:r>
        <w:rPr>
          <w:rFonts w:hint="eastAsia" w:ascii="宋体" w:hAnsi="宋体"/>
        </w:rPr>
        <w:t>第一章公告</w:t>
      </w:r>
      <w:bookmarkEnd w:id="0"/>
      <w:bookmarkEnd w:id="1"/>
      <w:bookmarkEnd w:id="2"/>
      <w:bookmarkEnd w:id="5"/>
      <w:bookmarkEnd w:id="6"/>
    </w:p>
    <w:p>
      <w:pPr>
        <w:pStyle w:val="19"/>
        <w:jc w:val="center"/>
        <w:rPr>
          <w:rFonts w:hAnsi="宋体"/>
          <w:b/>
          <w:sz w:val="28"/>
          <w:szCs w:val="30"/>
        </w:rPr>
      </w:pPr>
      <w:r>
        <w:rPr>
          <w:rFonts w:hint="eastAsia" w:hAnsi="宋体"/>
          <w:b/>
          <w:sz w:val="28"/>
          <w:szCs w:val="30"/>
        </w:rPr>
        <w:t>公开招标公告</w:t>
      </w:r>
    </w:p>
    <w:p>
      <w:pPr>
        <w:pBdr>
          <w:top w:val="single" w:color="auto" w:sz="4" w:space="1"/>
          <w:left w:val="single" w:color="auto" w:sz="4" w:space="4"/>
          <w:bottom w:val="single" w:color="auto" w:sz="4" w:space="1"/>
          <w:right w:val="single" w:color="auto" w:sz="4" w:space="4"/>
        </w:pBdr>
        <w:spacing w:line="440" w:lineRule="exact"/>
        <w:ind w:firstLine="420" w:firstLineChars="200"/>
        <w:rPr>
          <w:rFonts w:ascii="宋体" w:hAnsi="宋体"/>
          <w:kern w:val="0"/>
          <w:szCs w:val="21"/>
        </w:rPr>
      </w:pPr>
      <w:r>
        <w:rPr>
          <w:rFonts w:hint="eastAsia" w:ascii="宋体" w:hAnsi="宋体"/>
          <w:kern w:val="0"/>
          <w:szCs w:val="21"/>
        </w:rPr>
        <w:t>项目概况</w:t>
      </w:r>
    </w:p>
    <w:p>
      <w:pPr>
        <w:pBdr>
          <w:top w:val="single" w:color="auto" w:sz="4" w:space="1"/>
          <w:left w:val="single" w:color="auto" w:sz="4" w:space="4"/>
          <w:bottom w:val="single" w:color="auto" w:sz="4" w:space="1"/>
          <w:right w:val="single" w:color="auto" w:sz="4" w:space="4"/>
        </w:pBdr>
        <w:spacing w:line="500" w:lineRule="exact"/>
        <w:ind w:firstLine="420" w:firstLineChars="200"/>
        <w:rPr>
          <w:rFonts w:ascii="宋体" w:hAnsi="宋体" w:cs="宋体"/>
          <w:szCs w:val="21"/>
        </w:rPr>
      </w:pPr>
      <w:r>
        <w:rPr>
          <w:rFonts w:hint="eastAsia" w:ascii="宋体" w:hAnsi="宋体" w:cs="宋体"/>
          <w:szCs w:val="21"/>
          <w:lang w:val="zh-CN" w:eastAsia="zh-CN"/>
        </w:rPr>
        <w:t>龙州县备灾点救灾物资采购</w:t>
      </w:r>
      <w:r>
        <w:rPr>
          <w:rFonts w:hint="eastAsia" w:ascii="宋体" w:hAnsi="宋体"/>
          <w:kern w:val="0"/>
          <w:szCs w:val="21"/>
          <w:lang w:eastAsia="zh-CN"/>
        </w:rPr>
        <w:t>项目</w:t>
      </w:r>
      <w:r>
        <w:rPr>
          <w:rFonts w:hint="eastAsia" w:ascii="宋体" w:hAnsi="宋体" w:cs="宋体"/>
          <w:szCs w:val="21"/>
        </w:rPr>
        <w:t>招标项目的潜在投标人应在</w:t>
      </w:r>
      <w:r>
        <w:rPr>
          <w:rFonts w:hint="eastAsia" w:hAnsi="宋体" w:cs="宋体"/>
          <w:bCs/>
          <w:spacing w:val="-4"/>
          <w:szCs w:val="21"/>
          <w:u w:val="single"/>
        </w:rPr>
        <w:t>政采云平台（https://www.zcygov.cn/）</w:t>
      </w:r>
      <w:r>
        <w:rPr>
          <w:rFonts w:hint="eastAsia" w:ascii="宋体" w:hAnsi="宋体" w:cs="宋体"/>
          <w:szCs w:val="21"/>
        </w:rPr>
        <w:t>获取招标文件，并于</w:t>
      </w:r>
      <w:r>
        <w:rPr>
          <w:rFonts w:hint="eastAsia" w:ascii="宋体" w:hAnsi="宋体" w:cs="宋体"/>
          <w:color w:val="auto"/>
          <w:szCs w:val="21"/>
          <w:u w:val="single"/>
          <w:lang w:val="en-US" w:eastAsia="zh-CN"/>
        </w:rPr>
        <w:t>2021</w:t>
      </w:r>
      <w:r>
        <w:rPr>
          <w:rFonts w:hint="eastAsia" w:ascii="宋体" w:hAnsi="宋体" w:cs="宋体"/>
          <w:bCs/>
          <w:color w:val="auto"/>
          <w:szCs w:val="21"/>
          <w:u w:val="single"/>
        </w:rPr>
        <w:t>年</w:t>
      </w:r>
      <w:r>
        <w:rPr>
          <w:rFonts w:hint="eastAsia" w:ascii="宋体" w:hAnsi="宋体" w:cs="宋体"/>
          <w:bCs/>
          <w:color w:val="auto"/>
          <w:szCs w:val="21"/>
          <w:u w:val="single"/>
          <w:lang w:val="en-US" w:eastAsia="zh-CN"/>
        </w:rPr>
        <w:t>01</w:t>
      </w:r>
      <w:r>
        <w:rPr>
          <w:rFonts w:hint="eastAsia" w:ascii="宋体" w:hAnsi="宋体" w:cs="宋体"/>
          <w:bCs/>
          <w:color w:val="auto"/>
          <w:szCs w:val="21"/>
          <w:u w:val="single"/>
        </w:rPr>
        <w:t>月</w:t>
      </w:r>
      <w:r>
        <w:rPr>
          <w:rFonts w:hint="eastAsia" w:ascii="宋体" w:hAnsi="宋体" w:cs="宋体"/>
          <w:bCs/>
          <w:color w:val="auto"/>
          <w:szCs w:val="21"/>
          <w:u w:val="single"/>
          <w:lang w:val="en-US" w:eastAsia="zh-CN"/>
        </w:rPr>
        <w:t>19</w:t>
      </w:r>
      <w:r>
        <w:rPr>
          <w:rFonts w:hint="eastAsia" w:ascii="宋体" w:hAnsi="宋体" w:cs="宋体"/>
          <w:bCs/>
          <w:color w:val="auto"/>
          <w:szCs w:val="21"/>
          <w:u w:val="single"/>
        </w:rPr>
        <w:t xml:space="preserve">日 </w:t>
      </w:r>
      <w:r>
        <w:rPr>
          <w:rFonts w:hint="eastAsia" w:ascii="宋体" w:hAnsi="宋体" w:cs="宋体"/>
          <w:bCs/>
          <w:color w:val="auto"/>
          <w:szCs w:val="21"/>
          <w:u w:val="single"/>
          <w:lang w:val="en-US" w:eastAsia="zh-CN"/>
        </w:rPr>
        <w:t>15时30</w:t>
      </w:r>
      <w:r>
        <w:rPr>
          <w:rFonts w:hint="eastAsia" w:ascii="宋体" w:hAnsi="宋体" w:cs="宋体"/>
          <w:bCs/>
          <w:color w:val="auto"/>
          <w:szCs w:val="21"/>
          <w:u w:val="single"/>
        </w:rPr>
        <w:t>分（</w:t>
      </w:r>
      <w:r>
        <w:rPr>
          <w:rFonts w:hint="eastAsia" w:ascii="宋体" w:hAnsi="宋体" w:cs="宋体"/>
          <w:bCs/>
          <w:szCs w:val="21"/>
        </w:rPr>
        <w:t>北京时间）前递交投标文件</w:t>
      </w:r>
      <w:r>
        <w:rPr>
          <w:rFonts w:hint="eastAsia" w:ascii="宋体" w:hAnsi="宋体" w:cs="宋体"/>
          <w:szCs w:val="21"/>
        </w:rPr>
        <w:t>。</w:t>
      </w:r>
    </w:p>
    <w:p>
      <w:pPr>
        <w:pBdr>
          <w:top w:val="single" w:color="auto" w:sz="4" w:space="1"/>
          <w:left w:val="single" w:color="auto" w:sz="4" w:space="4"/>
          <w:bottom w:val="single" w:color="auto" w:sz="4" w:space="1"/>
          <w:right w:val="single" w:color="auto" w:sz="4" w:space="4"/>
        </w:pBdr>
        <w:spacing w:line="440" w:lineRule="exact"/>
        <w:ind w:firstLine="420" w:firstLineChars="200"/>
        <w:rPr>
          <w:rFonts w:ascii="宋体" w:hAnsi="宋体"/>
          <w:kern w:val="0"/>
          <w:szCs w:val="21"/>
        </w:rPr>
      </w:pPr>
    </w:p>
    <w:p>
      <w:pPr>
        <w:spacing w:line="440" w:lineRule="exact"/>
        <w:rPr>
          <w:rFonts w:ascii="宋体" w:hAnsi="宋体"/>
          <w:b/>
          <w:sz w:val="24"/>
        </w:rPr>
      </w:pPr>
      <w:bookmarkStart w:id="7" w:name="_Toc28359002"/>
      <w:bookmarkStart w:id="8" w:name="_Toc35393790"/>
      <w:bookmarkStart w:id="9" w:name="_Toc28359079"/>
      <w:bookmarkStart w:id="10" w:name="_Toc35393621"/>
      <w:r>
        <w:rPr>
          <w:rFonts w:hint="eastAsia" w:ascii="宋体" w:hAnsi="宋体"/>
          <w:b/>
          <w:sz w:val="24"/>
        </w:rPr>
        <w:t>一、项目基本情况</w:t>
      </w:r>
      <w:bookmarkEnd w:id="7"/>
      <w:bookmarkEnd w:id="8"/>
      <w:bookmarkEnd w:id="9"/>
      <w:bookmarkEnd w:id="10"/>
      <w:bookmarkStart w:id="11" w:name="_Toc213325921"/>
      <w:bookmarkStart w:id="12" w:name="_Toc139966431"/>
      <w:bookmarkStart w:id="13" w:name="_Toc213206172"/>
      <w:bookmarkStart w:id="14" w:name="_Toc139967215"/>
    </w:p>
    <w:p>
      <w:pPr>
        <w:pStyle w:val="4"/>
        <w:spacing w:before="299"/>
        <w:ind w:left="0" w:firstLine="420" w:firstLineChars="200"/>
        <w:jc w:val="both"/>
        <w:rPr>
          <w:rFonts w:hint="eastAsia" w:ascii="宋体" w:hAnsi="宋体" w:eastAsia="宋体" w:cs="Arial"/>
          <w:bCs/>
          <w:szCs w:val="21"/>
          <w:u w:val="single"/>
          <w:lang w:eastAsia="zh-CN"/>
        </w:rPr>
      </w:pPr>
      <w:r>
        <w:rPr>
          <w:rFonts w:hint="eastAsia" w:ascii="宋体" w:hAnsi="宋体" w:eastAsia="宋体" w:cs="Arial"/>
          <w:b w:val="0"/>
          <w:bCs/>
          <w:kern w:val="2"/>
          <w:sz w:val="21"/>
          <w:szCs w:val="21"/>
          <w:lang w:val="en-US" w:eastAsia="zh-CN" w:bidi="ar-SA"/>
        </w:rPr>
        <w:t>项目编号：CZZC2020-G1-60013-GXJK</w:t>
      </w:r>
    </w:p>
    <w:p>
      <w:pPr>
        <w:spacing w:line="360" w:lineRule="auto"/>
        <w:ind w:firstLine="420" w:firstLineChars="200"/>
        <w:jc w:val="left"/>
        <w:rPr>
          <w:rFonts w:hint="eastAsia" w:ascii="宋体" w:hAnsi="宋体" w:eastAsia="宋体" w:cs="Arial"/>
          <w:bCs/>
          <w:szCs w:val="21"/>
          <w:u w:val="single"/>
          <w:lang w:eastAsia="zh-CN"/>
        </w:rPr>
      </w:pPr>
      <w:r>
        <w:rPr>
          <w:rFonts w:hint="eastAsia" w:ascii="宋体" w:hAnsi="宋体" w:cs="Arial"/>
          <w:bCs/>
          <w:szCs w:val="21"/>
          <w:lang w:eastAsia="zh-CN"/>
        </w:rPr>
        <w:t>采购计划文号：</w:t>
      </w:r>
      <w:r>
        <w:rPr>
          <w:rFonts w:hint="eastAsia" w:ascii="宋体" w:hAnsi="宋体" w:cs="Arial"/>
          <w:bCs/>
          <w:szCs w:val="21"/>
          <w:lang w:val="en-US" w:eastAsia="zh-CN"/>
        </w:rPr>
        <w:t>LZZC2020-C1-00943-001</w:t>
      </w:r>
    </w:p>
    <w:p>
      <w:pPr>
        <w:snapToGrid w:val="0"/>
        <w:spacing w:line="440" w:lineRule="exact"/>
        <w:ind w:firstLine="420" w:firstLineChars="200"/>
        <w:rPr>
          <w:rFonts w:hint="eastAsia" w:ascii="宋体" w:hAnsi="宋体" w:cs="Arial"/>
          <w:bCs/>
          <w:szCs w:val="21"/>
          <w:lang w:eastAsia="zh-CN"/>
        </w:rPr>
      </w:pPr>
      <w:r>
        <w:rPr>
          <w:rFonts w:hint="eastAsia" w:ascii="宋体" w:hAnsi="宋体" w:cs="Arial"/>
          <w:bCs/>
          <w:szCs w:val="21"/>
        </w:rPr>
        <w:t>项目名称</w:t>
      </w:r>
      <w:r>
        <w:rPr>
          <w:rFonts w:hint="eastAsia" w:ascii="宋体" w:hAnsi="宋体" w:cs="Arial"/>
          <w:bCs/>
          <w:szCs w:val="21"/>
          <w:u w:val="none"/>
        </w:rPr>
        <w:t>：</w:t>
      </w:r>
      <w:r>
        <w:rPr>
          <w:rFonts w:hint="eastAsia" w:ascii="宋体" w:hAnsi="宋体" w:cs="Arial"/>
          <w:bCs/>
          <w:szCs w:val="21"/>
          <w:lang w:val="en-US" w:eastAsia="zh-CN"/>
        </w:rPr>
        <w:t>龙州县备灾点救灾物资采购</w:t>
      </w:r>
    </w:p>
    <w:p>
      <w:pPr>
        <w:snapToGrid w:val="0"/>
        <w:spacing w:line="440" w:lineRule="exact"/>
        <w:ind w:firstLine="420" w:firstLineChars="200"/>
        <w:rPr>
          <w:rFonts w:hint="eastAsia" w:ascii="宋体" w:hAnsi="宋体" w:cs="Arial"/>
          <w:bCs/>
          <w:szCs w:val="21"/>
          <w:lang w:val="en-US" w:eastAsia="zh-CN"/>
        </w:rPr>
      </w:pPr>
      <w:r>
        <w:rPr>
          <w:rFonts w:hint="eastAsia" w:ascii="宋体" w:hAnsi="宋体" w:cs="Arial"/>
          <w:szCs w:val="21"/>
        </w:rPr>
        <w:t>预算金额：人民币</w:t>
      </w:r>
      <w:r>
        <w:rPr>
          <w:rFonts w:hint="eastAsia" w:ascii="宋体" w:hAnsi="宋体" w:cs="Arial"/>
          <w:szCs w:val="21"/>
          <w:lang w:val="en-US" w:eastAsia="zh-CN"/>
        </w:rPr>
        <w:t xml:space="preserve">  </w:t>
      </w:r>
      <w:r>
        <w:rPr>
          <w:rFonts w:hint="eastAsia" w:ascii="宋体" w:hAnsi="宋体" w:cs="Arial"/>
          <w:bCs/>
          <w:szCs w:val="21"/>
          <w:lang w:val="en-US" w:eastAsia="zh-CN"/>
        </w:rPr>
        <w:t xml:space="preserve">  A标段（￥1398220.00元）     B标段（￥1041520.00元）</w:t>
      </w:r>
    </w:p>
    <w:p>
      <w:pPr>
        <w:snapToGrid w:val="0"/>
        <w:spacing w:line="440" w:lineRule="exact"/>
        <w:ind w:firstLine="420" w:firstLineChars="200"/>
        <w:rPr>
          <w:rFonts w:hint="eastAsia" w:ascii="宋体" w:hAnsi="宋体" w:cs="Arial"/>
          <w:bCs/>
          <w:szCs w:val="21"/>
          <w:lang w:val="en-US" w:eastAsia="zh-CN"/>
        </w:rPr>
      </w:pPr>
      <w:r>
        <w:rPr>
          <w:rFonts w:hint="eastAsia" w:ascii="宋体" w:hAnsi="宋体" w:cs="Arial"/>
          <w:bCs/>
          <w:szCs w:val="21"/>
          <w:lang w:val="en-US" w:eastAsia="zh-CN"/>
        </w:rPr>
        <w:t>最高限价（如有）：与预算金额一致。</w:t>
      </w:r>
    </w:p>
    <w:p>
      <w:pPr>
        <w:snapToGrid w:val="0"/>
        <w:spacing w:line="440" w:lineRule="exact"/>
        <w:ind w:firstLine="420" w:firstLineChars="200"/>
        <w:rPr>
          <w:rFonts w:ascii="宋体" w:hAnsi="宋体" w:cs="Arial"/>
          <w:szCs w:val="21"/>
        </w:rPr>
      </w:pPr>
      <w:r>
        <w:rPr>
          <w:rFonts w:hint="eastAsia" w:ascii="宋体" w:hAnsi="宋体" w:cs="Arial"/>
          <w:szCs w:val="21"/>
        </w:rPr>
        <w:t>采购需求：</w:t>
      </w:r>
    </w:p>
    <w:tbl>
      <w:tblPr>
        <w:tblStyle w:val="34"/>
        <w:tblW w:w="9923"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80"/>
        <w:gridCol w:w="4829"/>
        <w:gridCol w:w="1833"/>
        <w:gridCol w:w="238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80" w:type="dxa"/>
            <w:tcBorders>
              <w:top w:val="single" w:color="auto" w:sz="4" w:space="0"/>
              <w:bottom w:val="single" w:color="auto" w:sz="4" w:space="0"/>
              <w:right w:val="single" w:color="auto" w:sz="4" w:space="0"/>
            </w:tcBorders>
          </w:tcPr>
          <w:p>
            <w:pPr>
              <w:adjustRightInd/>
              <w:spacing w:line="440" w:lineRule="exact"/>
              <w:jc w:val="center"/>
              <w:textAlignment w:val="auto"/>
              <w:rPr>
                <w:rFonts w:ascii="宋体" w:hAnsi="宋体"/>
              </w:rPr>
            </w:pPr>
            <w:r>
              <w:rPr>
                <w:rFonts w:hint="eastAsia" w:ascii="宋体" w:hAnsi="宋体"/>
              </w:rPr>
              <w:t>标号</w:t>
            </w:r>
          </w:p>
        </w:tc>
        <w:tc>
          <w:tcPr>
            <w:tcW w:w="4829" w:type="dxa"/>
            <w:tcBorders>
              <w:top w:val="single" w:color="auto" w:sz="4" w:space="0"/>
              <w:left w:val="single" w:color="auto" w:sz="4" w:space="0"/>
              <w:bottom w:val="single" w:color="auto" w:sz="4" w:space="0"/>
              <w:right w:val="single" w:color="auto" w:sz="4" w:space="0"/>
            </w:tcBorders>
          </w:tcPr>
          <w:p>
            <w:pPr>
              <w:adjustRightInd/>
              <w:spacing w:line="440" w:lineRule="exact"/>
              <w:jc w:val="center"/>
              <w:textAlignment w:val="auto"/>
              <w:rPr>
                <w:rFonts w:ascii="宋体" w:hAnsi="宋体"/>
              </w:rPr>
            </w:pPr>
            <w:r>
              <w:rPr>
                <w:rFonts w:hint="eastAsia" w:ascii="宋体" w:hAnsi="宋体"/>
              </w:rPr>
              <w:t>采购名称</w:t>
            </w:r>
          </w:p>
        </w:tc>
        <w:tc>
          <w:tcPr>
            <w:tcW w:w="1833" w:type="dxa"/>
            <w:tcBorders>
              <w:top w:val="single" w:color="auto" w:sz="4" w:space="0"/>
              <w:left w:val="single" w:color="auto" w:sz="4" w:space="0"/>
              <w:bottom w:val="single" w:color="auto" w:sz="4" w:space="0"/>
              <w:right w:val="single" w:color="auto" w:sz="4" w:space="0"/>
            </w:tcBorders>
          </w:tcPr>
          <w:p>
            <w:pPr>
              <w:adjustRightInd/>
              <w:spacing w:line="440" w:lineRule="exact"/>
              <w:jc w:val="center"/>
              <w:textAlignment w:val="auto"/>
              <w:rPr>
                <w:rFonts w:hint="eastAsia" w:ascii="宋体" w:hAnsi="宋体" w:eastAsia="宋体"/>
                <w:lang w:val="en-US" w:eastAsia="zh-CN"/>
              </w:rPr>
            </w:pPr>
            <w:r>
              <w:rPr>
                <w:rFonts w:hint="eastAsia" w:ascii="宋体" w:hAnsi="宋体"/>
                <w:lang w:val="en-US" w:eastAsia="zh-CN"/>
              </w:rPr>
              <w:t>标段号</w:t>
            </w:r>
          </w:p>
        </w:tc>
        <w:tc>
          <w:tcPr>
            <w:tcW w:w="2381" w:type="dxa"/>
            <w:tcBorders>
              <w:top w:val="single" w:color="auto" w:sz="4" w:space="0"/>
              <w:left w:val="single" w:color="auto" w:sz="4" w:space="0"/>
              <w:bottom w:val="single" w:color="auto" w:sz="4" w:space="0"/>
            </w:tcBorders>
          </w:tcPr>
          <w:p>
            <w:pPr>
              <w:adjustRightInd/>
              <w:spacing w:line="440" w:lineRule="exact"/>
              <w:jc w:val="center"/>
              <w:textAlignment w:val="auto"/>
              <w:rPr>
                <w:rFonts w:ascii="宋体" w:hAnsi="宋体"/>
              </w:rPr>
            </w:pPr>
            <w:r>
              <w:rPr>
                <w:rFonts w:hint="eastAsia" w:ascii="宋体" w:hAnsi="宋体"/>
              </w:rPr>
              <w:t>预算金额（元）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80" w:type="dxa"/>
            <w:vMerge w:val="restart"/>
            <w:tcBorders>
              <w:top w:val="single" w:color="auto" w:sz="4" w:space="0"/>
              <w:right w:val="single" w:color="auto" w:sz="4" w:space="0"/>
            </w:tcBorders>
            <w:vAlign w:val="center"/>
          </w:tcPr>
          <w:p>
            <w:pPr>
              <w:adjustRightInd/>
              <w:spacing w:line="440" w:lineRule="exact"/>
              <w:jc w:val="center"/>
              <w:textAlignment w:val="auto"/>
              <w:rPr>
                <w:rFonts w:hint="eastAsia" w:ascii="宋体" w:hAnsi="宋体"/>
              </w:rPr>
            </w:pPr>
            <w:r>
              <w:rPr>
                <w:rFonts w:hint="eastAsia" w:ascii="宋体" w:hAnsi="宋体"/>
              </w:rPr>
              <w:t>1</w:t>
            </w:r>
          </w:p>
          <w:p>
            <w:pPr>
              <w:adjustRightInd/>
              <w:spacing w:line="440" w:lineRule="exact"/>
              <w:jc w:val="center"/>
              <w:textAlignment w:val="auto"/>
              <w:rPr>
                <w:rFonts w:hint="eastAsia" w:ascii="宋体" w:hAnsi="宋体" w:eastAsia="宋体"/>
                <w:lang w:val="en-US" w:eastAsia="zh-CN"/>
              </w:rPr>
            </w:pPr>
          </w:p>
        </w:tc>
        <w:tc>
          <w:tcPr>
            <w:tcW w:w="4829" w:type="dxa"/>
            <w:vMerge w:val="restart"/>
            <w:tcBorders>
              <w:top w:val="single" w:color="auto" w:sz="4" w:space="0"/>
              <w:left w:val="single" w:color="auto" w:sz="4" w:space="0"/>
              <w:right w:val="single" w:color="auto" w:sz="4" w:space="0"/>
            </w:tcBorders>
            <w:vAlign w:val="center"/>
          </w:tcPr>
          <w:p>
            <w:pPr>
              <w:adjustRightInd/>
              <w:spacing w:line="440" w:lineRule="exact"/>
              <w:jc w:val="center"/>
              <w:textAlignment w:val="auto"/>
              <w:rPr>
                <w:rFonts w:ascii="宋体" w:hAnsi="宋体"/>
              </w:rPr>
            </w:pPr>
            <w:r>
              <w:rPr>
                <w:rFonts w:hint="eastAsia" w:ascii="宋体" w:hAnsi="宋体" w:cs="Arial"/>
                <w:bCs/>
                <w:szCs w:val="21"/>
                <w:lang w:val="en-US" w:eastAsia="zh-CN"/>
              </w:rPr>
              <w:t>龙</w:t>
            </w:r>
            <w:r>
              <w:rPr>
                <w:rFonts w:hint="eastAsia" w:ascii="宋体" w:hAnsi="宋体"/>
                <w:lang w:val="en-US" w:eastAsia="zh-CN"/>
              </w:rPr>
              <w:t>州县备灾点救灾物资采购</w:t>
            </w:r>
            <w:r>
              <w:rPr>
                <w:rFonts w:hint="eastAsia" w:ascii="宋体" w:hAnsi="宋体"/>
                <w:lang w:eastAsia="zh-CN"/>
              </w:rPr>
              <w:t>项目</w:t>
            </w:r>
            <w:r>
              <w:rPr>
                <w:rFonts w:hint="eastAsia" w:ascii="宋体" w:hAnsi="宋体"/>
              </w:rPr>
              <w:t>,详见采购文件。</w:t>
            </w:r>
          </w:p>
        </w:tc>
        <w:tc>
          <w:tcPr>
            <w:tcW w:w="1833" w:type="dxa"/>
            <w:tcBorders>
              <w:top w:val="single" w:color="auto" w:sz="4" w:space="0"/>
              <w:left w:val="single" w:color="auto" w:sz="4" w:space="0"/>
              <w:bottom w:val="single" w:color="auto" w:sz="4" w:space="0"/>
              <w:right w:val="single" w:color="auto" w:sz="4" w:space="0"/>
            </w:tcBorders>
            <w:vAlign w:val="center"/>
          </w:tcPr>
          <w:p>
            <w:pPr>
              <w:adjustRightInd/>
              <w:spacing w:line="440" w:lineRule="exact"/>
              <w:jc w:val="center"/>
              <w:textAlignment w:val="auto"/>
              <w:rPr>
                <w:rFonts w:ascii="宋体" w:hAnsi="宋体"/>
              </w:rPr>
            </w:pPr>
            <w:r>
              <w:rPr>
                <w:rFonts w:hint="eastAsia" w:ascii="宋体" w:hAnsi="宋体" w:cs="Arial"/>
                <w:bCs/>
                <w:szCs w:val="21"/>
                <w:lang w:val="en-US" w:eastAsia="zh-CN"/>
              </w:rPr>
              <w:t>A标段</w:t>
            </w:r>
          </w:p>
        </w:tc>
        <w:tc>
          <w:tcPr>
            <w:tcW w:w="2381" w:type="dxa"/>
            <w:tcBorders>
              <w:top w:val="single" w:color="auto" w:sz="4" w:space="0"/>
              <w:left w:val="single" w:color="auto" w:sz="4" w:space="0"/>
              <w:bottom w:val="single" w:color="auto" w:sz="4" w:space="0"/>
            </w:tcBorders>
            <w:vAlign w:val="center"/>
          </w:tcPr>
          <w:p>
            <w:pPr>
              <w:adjustRightInd/>
              <w:spacing w:line="440" w:lineRule="exact"/>
              <w:jc w:val="center"/>
              <w:textAlignment w:val="auto"/>
              <w:rPr>
                <w:rFonts w:hint="default" w:ascii="宋体" w:hAnsi="宋体" w:eastAsia="宋体"/>
                <w:lang w:val="en-US" w:eastAsia="zh-CN"/>
              </w:rPr>
            </w:pPr>
            <w:r>
              <w:rPr>
                <w:rFonts w:hint="eastAsia" w:ascii="宋体" w:hAnsi="宋体" w:cs="Arial"/>
                <w:bCs/>
                <w:szCs w:val="21"/>
                <w:lang w:val="en-US" w:eastAsia="zh-CN"/>
              </w:rPr>
              <w:t>1398220.00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80" w:type="dxa"/>
            <w:vMerge w:val="continue"/>
            <w:tcBorders>
              <w:bottom w:val="single" w:color="auto" w:sz="4" w:space="0"/>
              <w:right w:val="single" w:color="auto" w:sz="4" w:space="0"/>
            </w:tcBorders>
            <w:vAlign w:val="center"/>
          </w:tcPr>
          <w:p>
            <w:pPr>
              <w:adjustRightInd/>
              <w:spacing w:line="440" w:lineRule="exact"/>
              <w:jc w:val="center"/>
              <w:textAlignment w:val="auto"/>
              <w:rPr>
                <w:rFonts w:hint="eastAsia" w:ascii="宋体" w:hAnsi="宋体" w:eastAsia="宋体"/>
                <w:lang w:val="en-US" w:eastAsia="zh-CN"/>
              </w:rPr>
            </w:pPr>
          </w:p>
        </w:tc>
        <w:tc>
          <w:tcPr>
            <w:tcW w:w="4829" w:type="dxa"/>
            <w:vMerge w:val="continue"/>
            <w:tcBorders>
              <w:left w:val="single" w:color="auto" w:sz="4" w:space="0"/>
              <w:bottom w:val="single" w:color="auto" w:sz="4" w:space="0"/>
              <w:right w:val="single" w:color="auto" w:sz="4" w:space="0"/>
            </w:tcBorders>
            <w:vAlign w:val="center"/>
          </w:tcPr>
          <w:p>
            <w:pPr>
              <w:adjustRightInd/>
              <w:spacing w:line="440" w:lineRule="exact"/>
              <w:jc w:val="center"/>
              <w:textAlignment w:val="auto"/>
              <w:rPr>
                <w:rFonts w:hint="eastAsia" w:ascii="宋体" w:hAnsi="宋体" w:cs="Arial"/>
                <w:bCs/>
                <w:szCs w:val="21"/>
                <w:lang w:val="en-US" w:eastAsia="zh-CN"/>
              </w:rPr>
            </w:pPr>
          </w:p>
        </w:tc>
        <w:tc>
          <w:tcPr>
            <w:tcW w:w="1833" w:type="dxa"/>
            <w:tcBorders>
              <w:top w:val="single" w:color="auto" w:sz="4" w:space="0"/>
              <w:left w:val="single" w:color="auto" w:sz="4" w:space="0"/>
              <w:bottom w:val="single" w:color="auto" w:sz="4" w:space="0"/>
              <w:right w:val="single" w:color="auto" w:sz="4" w:space="0"/>
            </w:tcBorders>
            <w:vAlign w:val="center"/>
          </w:tcPr>
          <w:p>
            <w:pPr>
              <w:adjustRightInd/>
              <w:spacing w:line="440" w:lineRule="exact"/>
              <w:jc w:val="center"/>
              <w:textAlignment w:val="auto"/>
              <w:rPr>
                <w:rFonts w:ascii="宋体" w:hAnsi="宋体"/>
              </w:rPr>
            </w:pPr>
            <w:r>
              <w:rPr>
                <w:rFonts w:hint="eastAsia" w:ascii="宋体" w:hAnsi="宋体" w:cs="Arial"/>
                <w:bCs/>
                <w:szCs w:val="21"/>
                <w:lang w:val="en-US" w:eastAsia="zh-CN"/>
              </w:rPr>
              <w:t>B标段</w:t>
            </w:r>
          </w:p>
        </w:tc>
        <w:tc>
          <w:tcPr>
            <w:tcW w:w="2381" w:type="dxa"/>
            <w:tcBorders>
              <w:top w:val="single" w:color="auto" w:sz="4" w:space="0"/>
              <w:left w:val="single" w:color="auto" w:sz="4" w:space="0"/>
              <w:bottom w:val="single" w:color="auto" w:sz="4" w:space="0"/>
            </w:tcBorders>
            <w:vAlign w:val="center"/>
          </w:tcPr>
          <w:p>
            <w:pPr>
              <w:adjustRightInd/>
              <w:spacing w:line="440" w:lineRule="exact"/>
              <w:jc w:val="center"/>
              <w:textAlignment w:val="auto"/>
              <w:rPr>
                <w:rFonts w:hint="eastAsia" w:ascii="宋体" w:hAnsi="宋体"/>
                <w:lang w:val="en-US" w:eastAsia="zh-CN"/>
              </w:rPr>
            </w:pPr>
            <w:r>
              <w:rPr>
                <w:rFonts w:hint="eastAsia" w:ascii="宋体" w:hAnsi="宋体" w:cs="Arial"/>
                <w:bCs/>
                <w:szCs w:val="21"/>
                <w:lang w:val="en-US" w:eastAsia="zh-CN"/>
              </w:rPr>
              <w:t>1041520.00</w:t>
            </w:r>
          </w:p>
        </w:tc>
      </w:tr>
    </w:tbl>
    <w:p>
      <w:pPr>
        <w:snapToGrid w:val="0"/>
        <w:spacing w:line="440" w:lineRule="exact"/>
        <w:ind w:firstLine="422" w:firstLineChars="200"/>
        <w:rPr>
          <w:rFonts w:ascii="宋体" w:hAnsi="宋体" w:cs="Arial"/>
          <w:b/>
          <w:bCs/>
          <w:kern w:val="1"/>
          <w:szCs w:val="21"/>
        </w:rPr>
      </w:pPr>
      <w:r>
        <w:rPr>
          <w:rFonts w:hint="eastAsia" w:ascii="宋体" w:hAnsi="宋体" w:cs="Arial"/>
          <w:b/>
          <w:bCs/>
          <w:kern w:val="1"/>
          <w:szCs w:val="21"/>
        </w:rPr>
        <w:t>具体内容详见：招标文件</w:t>
      </w:r>
      <w:r>
        <w:rPr>
          <w:rFonts w:ascii="宋体" w:hAnsi="宋体" w:cs="Arial"/>
          <w:b/>
          <w:bCs/>
          <w:kern w:val="1"/>
          <w:szCs w:val="21"/>
        </w:rPr>
        <w:t>采购需求一览表</w:t>
      </w:r>
      <w:r>
        <w:rPr>
          <w:rFonts w:hint="eastAsia" w:ascii="宋体" w:hAnsi="宋体" w:cs="Arial"/>
          <w:b/>
          <w:bCs/>
          <w:kern w:val="1"/>
          <w:szCs w:val="21"/>
        </w:rPr>
        <w:t>。</w:t>
      </w:r>
    </w:p>
    <w:p>
      <w:pPr>
        <w:spacing w:line="440" w:lineRule="exact"/>
        <w:ind w:firstLine="420" w:firstLineChars="200"/>
        <w:rPr>
          <w:rFonts w:hint="eastAsia" w:ascii="宋体" w:hAnsi="宋体" w:eastAsia="宋体"/>
          <w:color w:val="FF0000"/>
          <w:lang w:eastAsia="zh-CN"/>
        </w:rPr>
      </w:pPr>
      <w:r>
        <w:rPr>
          <w:rFonts w:hint="eastAsia" w:ascii="宋体" w:hAnsi="宋体"/>
          <w:lang w:eastAsia="zh-CN"/>
        </w:rPr>
        <w:t>合同履行期限：15个工作日</w:t>
      </w:r>
    </w:p>
    <w:p>
      <w:pPr>
        <w:spacing w:line="440" w:lineRule="exact"/>
        <w:rPr>
          <w:rFonts w:ascii="宋体" w:hAnsi="宋体"/>
          <w:b/>
        </w:rPr>
      </w:pPr>
      <w:r>
        <w:rPr>
          <w:rFonts w:hint="eastAsia" w:ascii="宋体" w:hAnsi="宋体"/>
          <w:b/>
        </w:rPr>
        <w:t>二、申请人的资格要求：</w:t>
      </w:r>
    </w:p>
    <w:p>
      <w:pPr>
        <w:snapToGrid w:val="0"/>
        <w:spacing w:line="440" w:lineRule="exact"/>
        <w:ind w:firstLine="420" w:firstLineChars="200"/>
        <w:jc w:val="left"/>
        <w:rPr>
          <w:rFonts w:ascii="宋体" w:hAnsi="宋体" w:cs="Arial"/>
          <w:szCs w:val="21"/>
        </w:rPr>
      </w:pPr>
      <w:r>
        <w:rPr>
          <w:rFonts w:ascii="宋体" w:hAnsi="宋体" w:cs="Arial"/>
          <w:szCs w:val="21"/>
        </w:rPr>
        <w:t>1.</w:t>
      </w:r>
      <w:r>
        <w:rPr>
          <w:rFonts w:hint="eastAsia" w:ascii="宋体" w:hAnsi="宋体" w:cs="Arial"/>
          <w:szCs w:val="21"/>
        </w:rPr>
        <w:t>符合《中华人民共和国政府采购法》第二十二条规定。</w:t>
      </w:r>
    </w:p>
    <w:p>
      <w:pPr>
        <w:snapToGrid w:val="0"/>
        <w:spacing w:line="440" w:lineRule="exact"/>
        <w:ind w:firstLine="420" w:firstLineChars="200"/>
        <w:jc w:val="left"/>
        <w:rPr>
          <w:rFonts w:ascii="宋体" w:hAnsi="宋体" w:cs="Arial"/>
          <w:szCs w:val="21"/>
        </w:rPr>
      </w:pPr>
      <w:r>
        <w:rPr>
          <w:rFonts w:ascii="宋体" w:hAnsi="宋体" w:cs="Arial"/>
          <w:szCs w:val="21"/>
        </w:rPr>
        <w:t>2.</w:t>
      </w:r>
      <w:r>
        <w:rPr>
          <w:rFonts w:hint="eastAsia" w:ascii="宋体" w:hAnsi="宋体" w:cs="Arial"/>
          <w:szCs w:val="21"/>
        </w:rPr>
        <w:t>国内注册（指按国家有关规定要求注册的），具备合法资格的供应商。</w:t>
      </w:r>
    </w:p>
    <w:p>
      <w:pPr>
        <w:snapToGrid w:val="0"/>
        <w:spacing w:line="440" w:lineRule="exact"/>
        <w:ind w:firstLine="420" w:firstLineChars="200"/>
        <w:jc w:val="left"/>
        <w:rPr>
          <w:rFonts w:ascii="宋体" w:hAnsi="宋体" w:cs="Arial"/>
          <w:szCs w:val="21"/>
        </w:rPr>
      </w:pPr>
      <w:r>
        <w:rPr>
          <w:rFonts w:ascii="宋体" w:hAnsi="宋体" w:cs="Arial"/>
          <w:szCs w:val="21"/>
        </w:rPr>
        <w:t>3.</w:t>
      </w:r>
      <w:r>
        <w:rPr>
          <w:rFonts w:hint="eastAsia" w:ascii="宋体" w:hAnsi="宋体" w:cs="Arial"/>
          <w:szCs w:val="21"/>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snapToGrid w:val="0"/>
        <w:spacing w:line="440" w:lineRule="exact"/>
        <w:ind w:firstLine="420" w:firstLineChars="200"/>
        <w:jc w:val="left"/>
        <w:rPr>
          <w:rFonts w:ascii="宋体" w:hAnsi="宋体" w:cs="Arial"/>
          <w:szCs w:val="21"/>
        </w:rPr>
      </w:pPr>
      <w:r>
        <w:rPr>
          <w:rFonts w:ascii="宋体" w:hAnsi="宋体" w:cs="Arial"/>
          <w:szCs w:val="21"/>
        </w:rPr>
        <w:t>4.</w:t>
      </w:r>
      <w:r>
        <w:rPr>
          <w:rFonts w:hint="eastAsia" w:ascii="宋体" w:hAnsi="宋体" w:cs="Arial"/>
          <w:szCs w:val="21"/>
        </w:rPr>
        <w:t>对在“信用中国”网站</w:t>
      </w:r>
      <w:r>
        <w:rPr>
          <w:rFonts w:ascii="宋体" w:hAnsi="宋体" w:cs="Arial"/>
          <w:szCs w:val="21"/>
        </w:rPr>
        <w:t>(www.creditchina.gov.cn)</w:t>
      </w:r>
      <w:r>
        <w:rPr>
          <w:rFonts w:hint="eastAsia" w:ascii="宋体" w:hAnsi="宋体" w:cs="Arial"/>
          <w:szCs w:val="21"/>
        </w:rPr>
        <w:t>被列入失信被执行人、重大税收违法案件当事人名单、政府采购严重违法失信行为记录名单及其他不符合《中华人民共和国政府采购法》第二十二条规定条件的供应商，不得参与政府采购活动。</w:t>
      </w:r>
    </w:p>
    <w:p>
      <w:pPr>
        <w:snapToGrid w:val="0"/>
        <w:spacing w:line="440" w:lineRule="exact"/>
        <w:ind w:firstLine="420" w:firstLineChars="200"/>
        <w:jc w:val="left"/>
        <w:rPr>
          <w:rFonts w:ascii="宋体" w:hAnsi="宋体" w:cs="Arial"/>
          <w:szCs w:val="21"/>
        </w:rPr>
      </w:pPr>
      <w:r>
        <w:rPr>
          <w:rFonts w:hint="eastAsia" w:ascii="宋体" w:hAnsi="宋体" w:cs="Arial"/>
          <w:szCs w:val="21"/>
        </w:rPr>
        <w:t>5．本项目不接受联合体投标。</w:t>
      </w:r>
    </w:p>
    <w:p>
      <w:pPr>
        <w:snapToGrid w:val="0"/>
        <w:spacing w:line="440" w:lineRule="exact"/>
        <w:ind w:firstLine="422" w:firstLineChars="200"/>
        <w:jc w:val="left"/>
        <w:rPr>
          <w:rFonts w:ascii="宋体" w:hAnsi="宋体"/>
          <w:b/>
        </w:rPr>
      </w:pPr>
      <w:r>
        <w:rPr>
          <w:rFonts w:hint="eastAsia" w:ascii="宋体" w:hAnsi="宋体"/>
          <w:b/>
        </w:rPr>
        <w:t>三、获取招标文件</w:t>
      </w:r>
    </w:p>
    <w:p>
      <w:pPr>
        <w:spacing w:after="120" w:line="320" w:lineRule="exact"/>
        <w:ind w:firstLine="420" w:firstLineChars="200"/>
        <w:jc w:val="left"/>
        <w:rPr>
          <w:rFonts w:hAnsi="宋体" w:cs="宋体"/>
          <w:szCs w:val="21"/>
        </w:rPr>
      </w:pPr>
      <w:bookmarkStart w:id="15" w:name="_Toc28359005"/>
      <w:bookmarkStart w:id="16" w:name="_Toc28359082"/>
      <w:bookmarkStart w:id="17" w:name="_Toc35393624"/>
      <w:bookmarkStart w:id="18" w:name="_Toc35393793"/>
      <w:r>
        <w:rPr>
          <w:rFonts w:hint="eastAsia" w:hAnsi="宋体" w:cs="宋体"/>
          <w:szCs w:val="21"/>
        </w:rPr>
        <w:t>1.获取时间：</w:t>
      </w:r>
      <w:r>
        <w:rPr>
          <w:rFonts w:hint="eastAsia" w:hAnsi="宋体" w:cs="宋体"/>
          <w:szCs w:val="21"/>
          <w:lang w:val="en-US" w:eastAsia="zh-CN"/>
        </w:rPr>
        <w:t>2020</w:t>
      </w:r>
      <w:r>
        <w:rPr>
          <w:rFonts w:hint="eastAsia" w:hAnsi="宋体" w:cs="宋体"/>
          <w:szCs w:val="21"/>
        </w:rPr>
        <w:t>年</w:t>
      </w:r>
      <w:r>
        <w:rPr>
          <w:rFonts w:hint="eastAsia" w:hAnsi="宋体" w:cs="宋体"/>
          <w:szCs w:val="21"/>
          <w:lang w:val="en-US" w:eastAsia="zh-CN"/>
        </w:rPr>
        <w:t>12</w:t>
      </w:r>
      <w:r>
        <w:rPr>
          <w:rFonts w:hint="eastAsia" w:hAnsi="宋体" w:cs="宋体"/>
          <w:szCs w:val="21"/>
        </w:rPr>
        <w:t>月</w:t>
      </w:r>
      <w:r>
        <w:rPr>
          <w:rFonts w:hint="eastAsia" w:hAnsi="宋体" w:cs="宋体"/>
          <w:szCs w:val="21"/>
          <w:lang w:val="en-US" w:eastAsia="zh-CN"/>
        </w:rPr>
        <w:t>30</w:t>
      </w:r>
      <w:r>
        <w:rPr>
          <w:rFonts w:hint="eastAsia" w:hAnsi="宋体" w:cs="宋体"/>
          <w:szCs w:val="21"/>
        </w:rPr>
        <w:t>日起至</w:t>
      </w:r>
      <w:r>
        <w:rPr>
          <w:rFonts w:hint="eastAsia" w:hAnsi="宋体" w:cs="宋体"/>
          <w:szCs w:val="21"/>
          <w:lang w:val="en-US" w:eastAsia="zh-CN"/>
        </w:rPr>
        <w:t>2021</w:t>
      </w:r>
      <w:r>
        <w:rPr>
          <w:rFonts w:hint="eastAsia" w:hAnsi="宋体" w:cs="宋体"/>
          <w:szCs w:val="21"/>
        </w:rPr>
        <w:t>年</w:t>
      </w:r>
      <w:r>
        <w:rPr>
          <w:rFonts w:hint="eastAsia" w:hAnsi="宋体" w:cs="宋体"/>
          <w:szCs w:val="21"/>
          <w:lang w:val="en-US" w:eastAsia="zh-CN"/>
        </w:rPr>
        <w:t>01</w:t>
      </w:r>
      <w:r>
        <w:rPr>
          <w:rFonts w:hint="eastAsia" w:hAnsi="宋体" w:cs="宋体"/>
          <w:szCs w:val="21"/>
        </w:rPr>
        <w:t>月</w:t>
      </w:r>
      <w:r>
        <w:rPr>
          <w:rFonts w:hint="eastAsia" w:hAnsi="宋体" w:cs="宋体"/>
          <w:szCs w:val="21"/>
          <w:lang w:val="en-US" w:eastAsia="zh-CN"/>
        </w:rPr>
        <w:t>06</w:t>
      </w:r>
      <w:r>
        <w:rPr>
          <w:rFonts w:hint="eastAsia" w:hAnsi="宋体" w:cs="宋体"/>
          <w:szCs w:val="21"/>
        </w:rPr>
        <w:t>日北京时间17时30分止</w:t>
      </w:r>
    </w:p>
    <w:p>
      <w:pPr>
        <w:spacing w:after="120" w:line="320" w:lineRule="exact"/>
        <w:ind w:firstLine="420" w:firstLineChars="200"/>
        <w:jc w:val="left"/>
        <w:rPr>
          <w:rFonts w:hAnsi="宋体" w:cs="宋体"/>
          <w:szCs w:val="21"/>
        </w:rPr>
      </w:pPr>
      <w:r>
        <w:rPr>
          <w:rFonts w:hint="eastAsia" w:hAnsi="宋体" w:cs="宋体"/>
          <w:szCs w:val="21"/>
        </w:rPr>
        <w:t>2.地点：登录政采云平台（https://www.zcygov.cn/）免费下载</w:t>
      </w:r>
    </w:p>
    <w:p>
      <w:pPr>
        <w:spacing w:after="120" w:line="320" w:lineRule="exact"/>
        <w:ind w:firstLine="420" w:firstLineChars="200"/>
        <w:jc w:val="left"/>
        <w:rPr>
          <w:rFonts w:hAnsi="宋体" w:cs="宋体"/>
          <w:spacing w:val="-6"/>
        </w:rPr>
      </w:pPr>
      <w:r>
        <w:rPr>
          <w:rFonts w:hint="eastAsia" w:hAnsi="宋体" w:cs="宋体"/>
          <w:szCs w:val="21"/>
        </w:rPr>
        <w:t>3.获取方式：潜在供应商均可于2020年12月</w:t>
      </w:r>
      <w:r>
        <w:rPr>
          <w:rFonts w:hint="eastAsia" w:hAnsi="宋体" w:cs="宋体"/>
          <w:szCs w:val="21"/>
          <w:lang w:val="en-US" w:eastAsia="zh-CN"/>
        </w:rPr>
        <w:t>30</w:t>
      </w:r>
      <w:r>
        <w:rPr>
          <w:rFonts w:hint="eastAsia" w:hAnsi="宋体" w:cs="宋体"/>
          <w:szCs w:val="21"/>
        </w:rPr>
        <w:t>日起至2021年01月0</w:t>
      </w:r>
      <w:r>
        <w:rPr>
          <w:rFonts w:hint="eastAsia" w:hAnsi="宋体" w:cs="宋体"/>
          <w:szCs w:val="21"/>
          <w:lang w:val="en-US" w:eastAsia="zh-CN"/>
        </w:rPr>
        <w:t>6</w:t>
      </w:r>
      <w:r>
        <w:rPr>
          <w:rFonts w:hint="eastAsia" w:hAnsi="宋体" w:cs="宋体"/>
          <w:szCs w:val="21"/>
        </w:rPr>
        <w:t>日北京时间17时30分止（逾期下载投标无效）登录政采云（https://www.zcygov.cn/）自行下载招标文件电子版。</w:t>
      </w:r>
      <w:r>
        <w:rPr>
          <w:rFonts w:hint="eastAsia" w:hAnsi="宋体" w:cs="宋体"/>
          <w:spacing w:val="-6"/>
        </w:rPr>
        <w:t>未注册的供应商可在政采云平台完成注册后再进行报名，如在操作过程中遇到问题或者需要技术支持，请致电政采云客服热线:400-881-7190。</w:t>
      </w:r>
    </w:p>
    <w:p>
      <w:pPr>
        <w:spacing w:line="440" w:lineRule="exact"/>
        <w:rPr>
          <w:rFonts w:ascii="宋体" w:hAnsi="宋体"/>
          <w:b/>
        </w:rPr>
      </w:pPr>
      <w:r>
        <w:rPr>
          <w:rFonts w:hint="eastAsia" w:ascii="宋体" w:hAnsi="宋体"/>
          <w:b/>
        </w:rPr>
        <w:t>四、提交投标文件</w:t>
      </w:r>
      <w:bookmarkEnd w:id="15"/>
      <w:bookmarkEnd w:id="16"/>
      <w:r>
        <w:rPr>
          <w:rFonts w:hint="eastAsia" w:ascii="宋体" w:hAnsi="宋体"/>
          <w:b/>
        </w:rPr>
        <w:t>截止时间、开标时间和地点</w:t>
      </w:r>
      <w:bookmarkEnd w:id="17"/>
      <w:bookmarkEnd w:id="18"/>
    </w:p>
    <w:p>
      <w:pPr>
        <w:spacing w:line="440" w:lineRule="exact"/>
        <w:ind w:firstLine="424" w:firstLineChars="201"/>
        <w:rPr>
          <w:rFonts w:ascii="宋体" w:hAnsi="宋体"/>
          <w:b/>
        </w:rPr>
      </w:pPr>
      <w:r>
        <w:rPr>
          <w:rFonts w:hint="eastAsia" w:ascii="宋体" w:hAnsi="宋体"/>
          <w:b/>
        </w:rPr>
        <w:t>（一）提交投标文件截止时间</w:t>
      </w:r>
    </w:p>
    <w:p>
      <w:pPr>
        <w:spacing w:line="500" w:lineRule="exact"/>
        <w:ind w:firstLine="420" w:firstLineChars="200"/>
        <w:rPr>
          <w:rFonts w:ascii="宋体" w:hAnsi="宋体" w:cs="宋体"/>
          <w:szCs w:val="21"/>
        </w:rPr>
      </w:pPr>
      <w:r>
        <w:rPr>
          <w:rFonts w:hint="eastAsia" w:ascii="宋体" w:hAnsi="宋体" w:cs="宋体"/>
          <w:szCs w:val="21"/>
        </w:rPr>
        <w:t>时间：</w:t>
      </w:r>
      <w:r>
        <w:rPr>
          <w:rFonts w:hint="eastAsia" w:ascii="宋体" w:hAnsi="宋体" w:cs="宋体"/>
          <w:color w:val="auto"/>
          <w:szCs w:val="21"/>
          <w:lang w:val="en-US" w:eastAsia="zh-CN"/>
        </w:rPr>
        <w:t>2021</w:t>
      </w:r>
      <w:r>
        <w:rPr>
          <w:rFonts w:hint="eastAsia" w:ascii="宋体" w:hAnsi="宋体" w:cs="宋体"/>
          <w:color w:val="auto"/>
          <w:szCs w:val="21"/>
        </w:rPr>
        <w:t>年</w:t>
      </w:r>
      <w:r>
        <w:rPr>
          <w:rFonts w:hint="eastAsia" w:ascii="宋体" w:hAnsi="宋体" w:cs="宋体"/>
          <w:color w:val="auto"/>
          <w:szCs w:val="21"/>
          <w:lang w:val="en-US" w:eastAsia="zh-CN"/>
        </w:rPr>
        <w:t>01</w:t>
      </w:r>
      <w:r>
        <w:rPr>
          <w:rFonts w:hint="eastAsia" w:ascii="宋体" w:hAnsi="宋体" w:cs="宋体"/>
          <w:color w:val="auto"/>
          <w:szCs w:val="21"/>
        </w:rPr>
        <w:t>月</w:t>
      </w:r>
      <w:r>
        <w:rPr>
          <w:rFonts w:hint="eastAsia" w:ascii="宋体" w:hAnsi="宋体" w:cs="宋体"/>
          <w:color w:val="auto"/>
          <w:szCs w:val="21"/>
          <w:lang w:val="en-US" w:eastAsia="zh-CN"/>
        </w:rPr>
        <w:t>19</w:t>
      </w:r>
      <w:r>
        <w:rPr>
          <w:rFonts w:hint="eastAsia" w:ascii="宋体" w:hAnsi="宋体" w:cs="宋体"/>
          <w:color w:val="auto"/>
          <w:szCs w:val="21"/>
        </w:rPr>
        <w:t>日</w:t>
      </w:r>
      <w:r>
        <w:rPr>
          <w:rFonts w:hint="eastAsia" w:ascii="宋体" w:hAnsi="宋体" w:cs="宋体"/>
          <w:color w:val="auto"/>
          <w:szCs w:val="21"/>
          <w:lang w:val="en-US" w:eastAsia="zh-CN"/>
        </w:rPr>
        <w:t>15时3</w:t>
      </w:r>
      <w:r>
        <w:rPr>
          <w:rFonts w:hint="eastAsia" w:ascii="宋体" w:hAnsi="宋体" w:cs="宋体"/>
          <w:color w:val="auto"/>
          <w:szCs w:val="21"/>
        </w:rPr>
        <w:t>0分</w:t>
      </w:r>
      <w:r>
        <w:rPr>
          <w:rFonts w:hint="eastAsia" w:ascii="宋体" w:hAnsi="宋体" w:cs="宋体"/>
          <w:szCs w:val="21"/>
        </w:rPr>
        <w:t>（北京时间）</w:t>
      </w:r>
    </w:p>
    <w:p>
      <w:pPr>
        <w:widowControl/>
        <w:autoSpaceDE w:val="0"/>
        <w:spacing w:line="320" w:lineRule="exact"/>
        <w:ind w:firstLine="420" w:firstLineChars="200"/>
        <w:rPr>
          <w:rFonts w:hint="eastAsia" w:hAnsi="宋体" w:cs="宋体"/>
          <w:szCs w:val="21"/>
        </w:rPr>
      </w:pPr>
      <w:r>
        <w:rPr>
          <w:rFonts w:hint="eastAsia" w:ascii="宋体" w:hAnsi="宋体" w:cs="宋体"/>
          <w:szCs w:val="21"/>
        </w:rPr>
        <w:t>地点：</w:t>
      </w:r>
      <w:r>
        <w:rPr>
          <w:rFonts w:hint="eastAsia" w:hAnsi="宋体" w:cs="宋体"/>
          <w:szCs w:val="21"/>
        </w:rPr>
        <w:t>崇左市公共资源交易中心五楼开标厅（崇左市城南新区石景林路东段政务服务中心综合楼五楼），具体详见开标大屏幕</w:t>
      </w:r>
      <w:r>
        <w:rPr>
          <w:rFonts w:hint="eastAsia" w:hAnsi="宋体" w:cs="宋体"/>
          <w:szCs w:val="21"/>
          <w:lang w:val="en-US" w:eastAsia="zh-CN"/>
        </w:rPr>
        <w:t>,</w:t>
      </w:r>
      <w:r>
        <w:rPr>
          <w:rFonts w:hint="eastAsia" w:hAnsi="宋体" w:cs="宋体"/>
          <w:szCs w:val="21"/>
        </w:rPr>
        <w:t>逾期送达的将予以拒收。</w:t>
      </w:r>
    </w:p>
    <w:p>
      <w:pPr>
        <w:spacing w:line="440" w:lineRule="exact"/>
        <w:ind w:firstLine="424" w:firstLineChars="201"/>
        <w:rPr>
          <w:rFonts w:ascii="宋体" w:hAnsi="宋体"/>
          <w:b/>
        </w:rPr>
      </w:pPr>
      <w:r>
        <w:rPr>
          <w:rFonts w:hint="eastAsia" w:ascii="宋体" w:hAnsi="宋体"/>
          <w:b/>
        </w:rPr>
        <w:t>（二）开标时间及地点：</w:t>
      </w:r>
    </w:p>
    <w:p>
      <w:pPr>
        <w:widowControl/>
        <w:autoSpaceDE w:val="0"/>
        <w:spacing w:line="320" w:lineRule="exact"/>
        <w:ind w:firstLine="420" w:firstLineChars="200"/>
        <w:rPr>
          <w:rFonts w:hAnsi="宋体"/>
        </w:rPr>
      </w:pPr>
      <w:r>
        <w:rPr>
          <w:rFonts w:hint="eastAsia" w:hAnsi="宋体"/>
        </w:rPr>
        <w:t>时间：</w:t>
      </w:r>
      <w:r>
        <w:rPr>
          <w:rFonts w:hint="eastAsia" w:ascii="宋体" w:hAnsi="宋体" w:cs="宋体"/>
          <w:color w:val="auto"/>
          <w:szCs w:val="21"/>
          <w:lang w:val="en-US" w:eastAsia="zh-CN"/>
        </w:rPr>
        <w:t>2021</w:t>
      </w:r>
      <w:r>
        <w:rPr>
          <w:rFonts w:hint="eastAsia" w:ascii="宋体" w:hAnsi="宋体" w:cs="宋体"/>
          <w:color w:val="auto"/>
          <w:szCs w:val="21"/>
        </w:rPr>
        <w:t>年</w:t>
      </w:r>
      <w:r>
        <w:rPr>
          <w:rFonts w:hint="eastAsia" w:ascii="宋体" w:hAnsi="宋体" w:cs="宋体"/>
          <w:color w:val="auto"/>
          <w:szCs w:val="21"/>
          <w:lang w:val="en-US" w:eastAsia="zh-CN"/>
        </w:rPr>
        <w:t>01</w:t>
      </w:r>
      <w:r>
        <w:rPr>
          <w:rFonts w:hint="eastAsia" w:ascii="宋体" w:hAnsi="宋体" w:cs="宋体"/>
          <w:color w:val="auto"/>
          <w:szCs w:val="21"/>
        </w:rPr>
        <w:t>月</w:t>
      </w:r>
      <w:r>
        <w:rPr>
          <w:rFonts w:hint="eastAsia" w:ascii="宋体" w:hAnsi="宋体" w:cs="宋体"/>
          <w:color w:val="auto"/>
          <w:szCs w:val="21"/>
          <w:lang w:val="en-US" w:eastAsia="zh-CN"/>
        </w:rPr>
        <w:t>19</w:t>
      </w:r>
      <w:r>
        <w:rPr>
          <w:rFonts w:hint="eastAsia" w:ascii="宋体" w:hAnsi="宋体" w:cs="宋体"/>
          <w:color w:val="auto"/>
          <w:szCs w:val="21"/>
        </w:rPr>
        <w:t>日</w:t>
      </w:r>
      <w:r>
        <w:rPr>
          <w:rFonts w:hint="eastAsia" w:ascii="宋体" w:hAnsi="宋体" w:cs="宋体"/>
          <w:color w:val="auto"/>
          <w:szCs w:val="21"/>
          <w:lang w:val="en-US" w:eastAsia="zh-CN"/>
        </w:rPr>
        <w:t>15时3</w:t>
      </w:r>
      <w:r>
        <w:rPr>
          <w:rFonts w:hint="eastAsia" w:ascii="宋体" w:hAnsi="宋体" w:cs="宋体"/>
          <w:color w:val="auto"/>
          <w:szCs w:val="21"/>
        </w:rPr>
        <w:t>0分</w:t>
      </w:r>
      <w:r>
        <w:rPr>
          <w:rFonts w:hint="eastAsia" w:hAnsi="宋体"/>
        </w:rPr>
        <w:t>。</w:t>
      </w:r>
    </w:p>
    <w:p>
      <w:pPr>
        <w:widowControl/>
        <w:autoSpaceDE w:val="0"/>
        <w:spacing w:line="320" w:lineRule="exact"/>
        <w:ind w:firstLine="420" w:firstLineChars="200"/>
        <w:rPr>
          <w:rFonts w:hint="eastAsia" w:hAnsi="宋体" w:cs="宋体"/>
          <w:szCs w:val="21"/>
        </w:rPr>
      </w:pPr>
      <w:r>
        <w:rPr>
          <w:rFonts w:hint="eastAsia" w:hAnsi="宋体" w:cs="宋体"/>
          <w:szCs w:val="21"/>
        </w:rPr>
        <w:t>地点：崇左市公共资源交易中心五楼开标厅（崇左市城南新区石景林路东段政务服务中心综合楼五楼）。</w:t>
      </w:r>
    </w:p>
    <w:p>
      <w:pPr>
        <w:spacing w:line="440" w:lineRule="exact"/>
        <w:ind w:firstLine="422" w:firstLineChars="200"/>
        <w:rPr>
          <w:rFonts w:ascii="宋体" w:hAnsi="宋体"/>
          <w:b/>
        </w:rPr>
      </w:pPr>
      <w:r>
        <w:rPr>
          <w:rFonts w:hint="eastAsia" w:ascii="宋体" w:hAnsi="宋体"/>
          <w:b/>
        </w:rPr>
        <w:t>五、公告期限</w:t>
      </w:r>
    </w:p>
    <w:p>
      <w:pPr>
        <w:spacing w:line="440" w:lineRule="exact"/>
        <w:ind w:firstLine="422" w:firstLineChars="201"/>
        <w:rPr>
          <w:rFonts w:ascii="宋体" w:hAnsi="宋体"/>
        </w:rPr>
      </w:pPr>
      <w:r>
        <w:rPr>
          <w:rFonts w:hint="eastAsia" w:ascii="宋体" w:hAnsi="宋体"/>
        </w:rPr>
        <w:t>自本公告发布之日起5个工作日。</w:t>
      </w:r>
    </w:p>
    <w:p>
      <w:pPr>
        <w:spacing w:line="440" w:lineRule="exact"/>
        <w:ind w:firstLine="422" w:firstLineChars="200"/>
        <w:rPr>
          <w:rFonts w:hint="eastAsia" w:ascii="宋体" w:hAnsi="宋体"/>
          <w:b/>
        </w:rPr>
      </w:pPr>
      <w:bookmarkStart w:id="19" w:name="_Toc57749776"/>
      <w:r>
        <w:rPr>
          <w:rFonts w:hint="eastAsia" w:ascii="宋体" w:hAnsi="宋体"/>
          <w:b/>
        </w:rPr>
        <w:t>六、其他补充事宜</w:t>
      </w:r>
    </w:p>
    <w:p>
      <w:pPr>
        <w:widowControl/>
        <w:autoSpaceDE w:val="0"/>
        <w:spacing w:line="320" w:lineRule="exact"/>
        <w:ind w:firstLine="420" w:firstLineChars="200"/>
        <w:rPr>
          <w:rFonts w:hint="eastAsia" w:hAnsi="宋体" w:cs="宋体"/>
          <w:szCs w:val="21"/>
        </w:rPr>
      </w:pPr>
      <w:r>
        <w:rPr>
          <w:rFonts w:hint="eastAsia" w:hAnsi="宋体" w:cs="宋体"/>
          <w:szCs w:val="21"/>
        </w:rPr>
        <w:t>投标保证金</w:t>
      </w:r>
      <w:r>
        <w:rPr>
          <w:rFonts w:hint="eastAsia" w:hAnsi="宋体" w:cs="宋体"/>
          <w:szCs w:val="21"/>
          <w:lang w:val="en-US"/>
        </w:rPr>
        <w:t>：A标段</w:t>
      </w:r>
      <w:r>
        <w:rPr>
          <w:rFonts w:hint="eastAsia" w:hAnsi="宋体" w:cs="宋体"/>
          <w:szCs w:val="21"/>
          <w:lang w:val="en-US" w:eastAsia="zh-CN"/>
        </w:rPr>
        <w:t>：20000</w:t>
      </w:r>
      <w:r>
        <w:rPr>
          <w:rFonts w:hint="eastAsia" w:hAnsi="宋体" w:cs="宋体"/>
          <w:szCs w:val="21"/>
          <w:lang w:val="en-US"/>
        </w:rPr>
        <w:t>元</w:t>
      </w:r>
      <w:r>
        <w:rPr>
          <w:rFonts w:hint="eastAsia" w:hAnsi="宋体" w:cs="宋体"/>
          <w:szCs w:val="21"/>
          <w:lang w:val="en-US" w:eastAsia="zh-CN"/>
        </w:rPr>
        <w:t xml:space="preserve"> ，B</w:t>
      </w:r>
      <w:r>
        <w:rPr>
          <w:rFonts w:hint="eastAsia" w:hAnsi="宋体" w:cs="宋体"/>
          <w:szCs w:val="21"/>
          <w:lang w:val="en-US"/>
        </w:rPr>
        <w:t>标段</w:t>
      </w:r>
      <w:r>
        <w:rPr>
          <w:rFonts w:hint="eastAsia" w:hAnsi="宋体" w:cs="宋体"/>
          <w:szCs w:val="21"/>
          <w:lang w:val="en-US" w:eastAsia="zh-CN"/>
        </w:rPr>
        <w:t>:20000元</w:t>
      </w:r>
      <w:r>
        <w:rPr>
          <w:rFonts w:hint="eastAsia" w:hAnsi="宋体" w:cs="宋体"/>
          <w:szCs w:val="21"/>
        </w:rPr>
        <w:t>。投标保证金的交纳方式：</w:t>
      </w:r>
      <w:r>
        <w:rPr>
          <w:rFonts w:hint="eastAsia" w:hAnsi="宋体" w:cs="宋体"/>
          <w:szCs w:val="21"/>
          <w:lang w:val="en-US" w:eastAsia="zh-CN"/>
        </w:rPr>
        <w:t>支持银行转账、支票、汇票、本票或者保险机构出具的保函、保险单</w:t>
      </w:r>
      <w:r>
        <w:rPr>
          <w:rFonts w:hint="eastAsia" w:hAnsi="宋体" w:cs="宋体"/>
          <w:szCs w:val="21"/>
        </w:rPr>
        <w:t>，禁止采用现钞方式。采用银行转账方式的，在投标截止时间前交至采购代理机构指定账户并且到账【</w:t>
      </w:r>
      <w:r>
        <w:rPr>
          <w:rFonts w:hint="eastAsia" w:hAnsi="宋体" w:cs="宋体"/>
          <w:b/>
          <w:bCs/>
          <w:szCs w:val="21"/>
        </w:rPr>
        <w:t>开户名称：崇左市公共资源交易中心 开户行：广西北部湾银行崇左分行 </w:t>
      </w:r>
      <w:r>
        <w:rPr>
          <w:rFonts w:hint="eastAsia" w:hAnsi="宋体" w:cs="宋体"/>
          <w:b/>
          <w:bCs/>
          <w:szCs w:val="21"/>
        </w:rPr>
        <w:br w:type="textWrapping"/>
      </w:r>
      <w:r>
        <w:rPr>
          <w:rFonts w:hint="eastAsia" w:hAnsi="宋体" w:cs="宋体"/>
          <w:b/>
          <w:bCs/>
          <w:szCs w:val="21"/>
        </w:rPr>
        <w:t>开户账号2：8000 9177 3466 663</w:t>
      </w:r>
      <w:r>
        <w:rPr>
          <w:rFonts w:hint="eastAsia" w:hAnsi="宋体" w:cs="宋体"/>
          <w:szCs w:val="21"/>
        </w:rPr>
        <w:t> </w:t>
      </w:r>
      <w:r>
        <w:rPr>
          <w:rFonts w:hint="eastAsia" w:hAnsi="宋体" w:cs="宋体"/>
          <w:b/>
          <w:bCs/>
          <w:szCs w:val="21"/>
        </w:rPr>
        <w:t>】</w:t>
      </w:r>
      <w:r>
        <w:rPr>
          <w:rFonts w:hint="eastAsia" w:hAnsi="宋体" w:cs="宋体"/>
          <w:szCs w:val="21"/>
        </w:rPr>
        <w:t>；采用支票、汇票、本票或者保函等方式的，在投标截止时间前，投标人应当递交单独密封的支票、汇票、本票或者保函原件。否则视为无效投标保证金。</w:t>
      </w:r>
    </w:p>
    <w:p>
      <w:pPr>
        <w:widowControl/>
        <w:autoSpaceDE w:val="0"/>
        <w:spacing w:line="320" w:lineRule="exact"/>
        <w:ind w:firstLine="420" w:firstLineChars="200"/>
        <w:rPr>
          <w:rFonts w:hint="eastAsia" w:hAnsi="宋体" w:cs="宋体"/>
          <w:szCs w:val="21"/>
        </w:rPr>
      </w:pPr>
      <w:r>
        <w:rPr>
          <w:rFonts w:hint="eastAsia" w:hAnsi="宋体" w:cs="宋体"/>
          <w:szCs w:val="21"/>
          <w:lang w:val="en-US" w:eastAsia="zh-CN"/>
        </w:rPr>
        <w:t>1.</w:t>
      </w:r>
      <w:r>
        <w:rPr>
          <w:rFonts w:hint="eastAsia" w:hAnsi="宋体" w:cs="宋体"/>
          <w:szCs w:val="21"/>
        </w:rPr>
        <w:t>网上查询地址</w:t>
      </w:r>
    </w:p>
    <w:p>
      <w:pPr>
        <w:widowControl/>
        <w:autoSpaceDE w:val="0"/>
        <w:spacing w:line="320" w:lineRule="exact"/>
        <w:ind w:firstLine="420" w:firstLineChars="200"/>
        <w:rPr>
          <w:rFonts w:hint="eastAsia" w:hAnsi="宋体" w:cs="宋体"/>
          <w:szCs w:val="21"/>
        </w:rPr>
      </w:pPr>
      <w:r>
        <w:rPr>
          <w:rFonts w:hint="eastAsia" w:hAnsi="宋体" w:cs="宋体"/>
          <w:szCs w:val="21"/>
        </w:rPr>
        <w:fldChar w:fldCharType="begin"/>
      </w:r>
      <w:r>
        <w:rPr>
          <w:rFonts w:hint="eastAsia" w:hAnsi="宋体" w:cs="宋体"/>
          <w:szCs w:val="21"/>
        </w:rPr>
        <w:instrText xml:space="preserve"> HYPERLINK "http://www.ccgp.gov.cn/" \h </w:instrText>
      </w:r>
      <w:r>
        <w:rPr>
          <w:rFonts w:hint="eastAsia" w:hAnsi="宋体" w:cs="宋体"/>
          <w:szCs w:val="21"/>
        </w:rPr>
        <w:fldChar w:fldCharType="separate"/>
      </w:r>
      <w:r>
        <w:rPr>
          <w:rFonts w:hint="eastAsia" w:hAnsi="宋体" w:cs="宋体"/>
          <w:szCs w:val="21"/>
        </w:rPr>
        <w:t>www.ccgp.gov.cn</w:t>
      </w:r>
      <w:r>
        <w:rPr>
          <w:rFonts w:hint="eastAsia" w:hAnsi="宋体" w:cs="宋体"/>
          <w:szCs w:val="21"/>
        </w:rPr>
        <w:fldChar w:fldCharType="end"/>
      </w:r>
      <w:r>
        <w:rPr>
          <w:rFonts w:hint="eastAsia" w:hAnsi="宋体" w:cs="宋体"/>
          <w:szCs w:val="21"/>
        </w:rPr>
        <w:t>（中国政府采购网）、</w:t>
      </w:r>
      <w:r>
        <w:rPr>
          <w:rFonts w:hint="eastAsia" w:hAnsi="宋体" w:cs="宋体"/>
          <w:szCs w:val="21"/>
        </w:rPr>
        <w:fldChar w:fldCharType="begin"/>
      </w:r>
      <w:r>
        <w:rPr>
          <w:rFonts w:hint="eastAsia" w:hAnsi="宋体" w:cs="宋体"/>
          <w:szCs w:val="21"/>
        </w:rPr>
        <w:instrText xml:space="preserve"> HYPERLINK "http://zfcg.gxzf.gov.cn/" \h </w:instrText>
      </w:r>
      <w:r>
        <w:rPr>
          <w:rFonts w:hint="eastAsia" w:hAnsi="宋体" w:cs="宋体"/>
          <w:szCs w:val="21"/>
        </w:rPr>
        <w:fldChar w:fldCharType="separate"/>
      </w:r>
      <w:r>
        <w:rPr>
          <w:rFonts w:hint="eastAsia" w:hAnsi="宋体" w:cs="宋体"/>
          <w:szCs w:val="21"/>
        </w:rPr>
        <w:t>http://zfcg.gxzf.gov.cn/</w:t>
      </w:r>
      <w:r>
        <w:rPr>
          <w:rFonts w:hint="eastAsia" w:hAnsi="宋体" w:cs="宋体"/>
          <w:szCs w:val="21"/>
        </w:rPr>
        <w:fldChar w:fldCharType="end"/>
      </w:r>
      <w:r>
        <w:rPr>
          <w:rFonts w:hint="eastAsia" w:hAnsi="宋体" w:cs="宋体"/>
          <w:szCs w:val="21"/>
        </w:rPr>
        <w:t>（广西壮族自治区政府采购网）、</w:t>
      </w:r>
      <w:r>
        <w:rPr>
          <w:rFonts w:hint="eastAsia" w:hAnsi="宋体" w:cs="宋体"/>
          <w:szCs w:val="21"/>
        </w:rPr>
        <w:fldChar w:fldCharType="begin"/>
      </w:r>
      <w:r>
        <w:rPr>
          <w:rFonts w:hint="eastAsia" w:hAnsi="宋体" w:cs="宋体"/>
          <w:szCs w:val="21"/>
        </w:rPr>
        <w:instrText xml:space="preserve"> HYPERLINK "http://www.czjyzx.gov.cn/" \h </w:instrText>
      </w:r>
      <w:r>
        <w:rPr>
          <w:rFonts w:hint="eastAsia" w:hAnsi="宋体" w:cs="宋体"/>
          <w:szCs w:val="21"/>
        </w:rPr>
        <w:fldChar w:fldCharType="separate"/>
      </w:r>
      <w:r>
        <w:rPr>
          <w:rFonts w:hint="eastAsia" w:hAnsi="宋体" w:cs="宋体"/>
          <w:szCs w:val="21"/>
        </w:rPr>
        <w:t>www.czjyzx.gov.cn</w:t>
      </w:r>
      <w:r>
        <w:rPr>
          <w:rFonts w:hint="eastAsia" w:hAnsi="宋体" w:cs="宋体"/>
          <w:szCs w:val="21"/>
        </w:rPr>
        <w:fldChar w:fldCharType="end"/>
      </w:r>
      <w:r>
        <w:rPr>
          <w:rFonts w:hint="eastAsia" w:hAnsi="宋体" w:cs="宋体"/>
          <w:szCs w:val="21"/>
        </w:rPr>
        <w:t>（崇左市公共资源交易中心网）</w:t>
      </w:r>
    </w:p>
    <w:p>
      <w:pPr>
        <w:widowControl/>
        <w:autoSpaceDE w:val="0"/>
        <w:spacing w:line="320" w:lineRule="exact"/>
        <w:ind w:firstLine="422" w:firstLineChars="200"/>
        <w:rPr>
          <w:rFonts w:hint="eastAsia" w:hAnsi="宋体" w:cs="宋体"/>
          <w:b/>
          <w:bCs/>
          <w:szCs w:val="21"/>
        </w:rPr>
      </w:pPr>
      <w:r>
        <w:rPr>
          <w:rFonts w:hint="eastAsia" w:hAnsi="宋体" w:cs="宋体"/>
          <w:b/>
          <w:bCs/>
          <w:szCs w:val="21"/>
          <w:lang w:val="en-US" w:eastAsia="zh-CN"/>
        </w:rPr>
        <w:t>七、</w:t>
      </w:r>
      <w:r>
        <w:rPr>
          <w:rFonts w:hint="eastAsia" w:hAnsi="宋体" w:cs="宋体"/>
          <w:b/>
          <w:bCs/>
          <w:szCs w:val="21"/>
        </w:rPr>
        <w:t>对本次招标提出询问，请按以下方式系</w:t>
      </w:r>
    </w:p>
    <w:p>
      <w:pPr>
        <w:widowControl/>
        <w:autoSpaceDE w:val="0"/>
        <w:spacing w:line="320" w:lineRule="exact"/>
        <w:ind w:firstLine="420" w:firstLineChars="200"/>
        <w:rPr>
          <w:rFonts w:hint="eastAsia" w:hAnsi="宋体" w:cs="宋体"/>
          <w:szCs w:val="21"/>
        </w:rPr>
      </w:pPr>
      <w:r>
        <w:rPr>
          <w:rFonts w:hint="eastAsia" w:hAnsi="宋体" w:cs="宋体"/>
          <w:szCs w:val="21"/>
        </w:rPr>
        <w:t>1.采购人信息</w:t>
      </w:r>
    </w:p>
    <w:p>
      <w:pPr>
        <w:widowControl/>
        <w:autoSpaceDE w:val="0"/>
        <w:spacing w:line="320" w:lineRule="exact"/>
        <w:ind w:firstLine="420" w:firstLineChars="200"/>
        <w:rPr>
          <w:rFonts w:hint="eastAsia" w:hAnsi="宋体" w:cs="宋体"/>
          <w:szCs w:val="21"/>
          <w:lang w:val="en-US" w:eastAsia="zh-CN"/>
        </w:rPr>
      </w:pPr>
      <w:r>
        <w:rPr>
          <w:rFonts w:hint="eastAsia" w:hAnsi="宋体" w:cs="宋体"/>
          <w:szCs w:val="21"/>
        </w:rPr>
        <w:t>名 称：</w:t>
      </w:r>
      <w:r>
        <w:rPr>
          <w:rFonts w:hint="eastAsia" w:hAnsi="宋体" w:cs="宋体"/>
          <w:szCs w:val="21"/>
          <w:lang w:val="en-US" w:eastAsia="zh-CN"/>
        </w:rPr>
        <w:t>龙州县应急管理局</w:t>
      </w:r>
    </w:p>
    <w:p>
      <w:pPr>
        <w:widowControl/>
        <w:autoSpaceDE w:val="0"/>
        <w:spacing w:line="320" w:lineRule="exact"/>
        <w:ind w:firstLine="420" w:firstLineChars="200"/>
        <w:rPr>
          <w:rFonts w:hint="eastAsia" w:hAnsi="宋体" w:cs="宋体"/>
          <w:szCs w:val="21"/>
          <w:lang w:val="en-US" w:eastAsia="zh-CN"/>
        </w:rPr>
      </w:pPr>
      <w:r>
        <w:rPr>
          <w:rFonts w:hint="eastAsia" w:hAnsi="宋体" w:cs="宋体"/>
          <w:szCs w:val="21"/>
        </w:rPr>
        <w:t>地址：</w:t>
      </w:r>
      <w:r>
        <w:rPr>
          <w:rFonts w:hint="eastAsia" w:hAnsi="宋体" w:cs="宋体"/>
          <w:szCs w:val="21"/>
          <w:lang w:val="en-US" w:eastAsia="zh-CN"/>
        </w:rPr>
        <w:t>龙州县龙州镇都兴街四区034号</w:t>
      </w:r>
    </w:p>
    <w:p>
      <w:pPr>
        <w:widowControl/>
        <w:autoSpaceDE w:val="0"/>
        <w:spacing w:line="320" w:lineRule="exact"/>
        <w:ind w:firstLine="420" w:firstLineChars="200"/>
        <w:rPr>
          <w:rFonts w:hint="eastAsia" w:hAnsi="宋体" w:cs="宋体"/>
          <w:szCs w:val="21"/>
          <w:lang w:val="en-US"/>
        </w:rPr>
      </w:pPr>
      <w:r>
        <w:rPr>
          <w:rFonts w:hint="eastAsia" w:hAnsi="宋体" w:cs="宋体"/>
          <w:szCs w:val="21"/>
        </w:rPr>
        <w:t>联系方式：</w:t>
      </w:r>
      <w:r>
        <w:rPr>
          <w:rFonts w:hint="eastAsia" w:hAnsi="宋体" w:cs="宋体"/>
          <w:szCs w:val="21"/>
          <w:lang w:val="en-US" w:eastAsia="zh-CN"/>
        </w:rPr>
        <w:t xml:space="preserve">0771- 8811630    </w:t>
      </w:r>
      <w:r>
        <w:rPr>
          <w:rFonts w:hint="eastAsia" w:hAnsi="宋体" w:cs="宋体"/>
          <w:szCs w:val="21"/>
        </w:rPr>
        <w:t>黎</w:t>
      </w:r>
      <w:r>
        <w:rPr>
          <w:rFonts w:hint="eastAsia" w:hAnsi="宋体" w:cs="宋体"/>
          <w:szCs w:val="21"/>
          <w:lang w:val="en-US" w:eastAsia="zh-CN"/>
        </w:rPr>
        <w:t xml:space="preserve">工   </w:t>
      </w:r>
    </w:p>
    <w:p>
      <w:pPr>
        <w:widowControl/>
        <w:autoSpaceDE w:val="0"/>
        <w:spacing w:line="320" w:lineRule="exact"/>
        <w:ind w:firstLine="420" w:firstLineChars="200"/>
        <w:rPr>
          <w:rFonts w:hint="eastAsia" w:hAnsi="宋体" w:cs="宋体"/>
          <w:szCs w:val="21"/>
        </w:rPr>
      </w:pPr>
      <w:r>
        <w:rPr>
          <w:rFonts w:hint="eastAsia" w:hAnsi="宋体" w:cs="宋体"/>
          <w:szCs w:val="21"/>
        </w:rPr>
        <w:t>采购代理机构信息</w:t>
      </w:r>
    </w:p>
    <w:p>
      <w:pPr>
        <w:widowControl/>
        <w:autoSpaceDE w:val="0"/>
        <w:spacing w:line="320" w:lineRule="exact"/>
        <w:ind w:firstLine="420" w:firstLineChars="200"/>
        <w:rPr>
          <w:rFonts w:hint="eastAsia" w:hAnsi="宋体" w:cs="宋体"/>
          <w:szCs w:val="21"/>
        </w:rPr>
      </w:pPr>
      <w:r>
        <w:rPr>
          <w:rFonts w:hint="eastAsia" w:hAnsi="宋体" w:cs="宋体"/>
          <w:szCs w:val="21"/>
        </w:rPr>
        <w:t>名 称：广西建坤工程咨询有限公司</w:t>
      </w:r>
    </w:p>
    <w:p>
      <w:pPr>
        <w:widowControl/>
        <w:autoSpaceDE w:val="0"/>
        <w:spacing w:line="320" w:lineRule="exact"/>
        <w:ind w:firstLine="420" w:firstLineChars="200"/>
        <w:rPr>
          <w:rFonts w:hint="eastAsia" w:hAnsi="宋体" w:cs="宋体"/>
          <w:szCs w:val="21"/>
        </w:rPr>
      </w:pPr>
      <w:r>
        <w:rPr>
          <w:rFonts w:hint="eastAsia" w:hAnsi="宋体" w:cs="宋体"/>
          <w:szCs w:val="21"/>
        </w:rPr>
        <w:t>地址：崇左市友谊大道北段东侧（华门新都）第9栋405-408室</w:t>
      </w:r>
    </w:p>
    <w:p>
      <w:pPr>
        <w:widowControl/>
        <w:autoSpaceDE w:val="0"/>
        <w:spacing w:line="320" w:lineRule="exact"/>
        <w:ind w:firstLine="420" w:firstLineChars="200"/>
        <w:rPr>
          <w:rFonts w:hint="eastAsia" w:hAnsi="宋体" w:cs="宋体"/>
          <w:szCs w:val="21"/>
        </w:rPr>
      </w:pPr>
      <w:r>
        <w:rPr>
          <w:rFonts w:hint="eastAsia" w:hAnsi="宋体" w:cs="宋体"/>
          <w:szCs w:val="21"/>
        </w:rPr>
        <w:t>项目联系人：覃工</w:t>
      </w:r>
    </w:p>
    <w:p>
      <w:pPr>
        <w:widowControl/>
        <w:autoSpaceDE w:val="0"/>
        <w:spacing w:line="320" w:lineRule="exact"/>
        <w:ind w:firstLine="420" w:firstLineChars="200"/>
        <w:rPr>
          <w:rFonts w:hint="eastAsia" w:hAnsi="宋体" w:cs="宋体"/>
          <w:szCs w:val="21"/>
        </w:rPr>
      </w:pPr>
      <w:r>
        <w:rPr>
          <w:rFonts w:hint="eastAsia" w:hAnsi="宋体" w:cs="宋体"/>
          <w:szCs w:val="21"/>
        </w:rPr>
        <w:t>联系方式：0771-7847999</w:t>
      </w:r>
    </w:p>
    <w:p>
      <w:pPr>
        <w:widowControl/>
        <w:autoSpaceDE w:val="0"/>
        <w:spacing w:line="320" w:lineRule="exact"/>
        <w:ind w:firstLine="420" w:firstLineChars="200"/>
        <w:rPr>
          <w:rFonts w:hint="eastAsia" w:hAnsi="宋体" w:cs="宋体"/>
          <w:szCs w:val="21"/>
        </w:rPr>
      </w:pPr>
      <w:r>
        <w:rPr>
          <w:rFonts w:hint="eastAsia" w:hAnsi="宋体" w:cs="宋体"/>
          <w:szCs w:val="21"/>
        </w:rPr>
        <w:t>监督单位</w:t>
      </w:r>
    </w:p>
    <w:p>
      <w:pPr>
        <w:widowControl/>
        <w:autoSpaceDE w:val="0"/>
        <w:spacing w:line="320" w:lineRule="exact"/>
        <w:ind w:firstLine="420" w:firstLineChars="200"/>
        <w:rPr>
          <w:rFonts w:hint="eastAsia" w:hAnsi="宋体" w:cs="宋体"/>
          <w:szCs w:val="21"/>
          <w:lang w:val="en-US" w:eastAsia="zh-CN"/>
        </w:rPr>
      </w:pPr>
      <w:r>
        <w:rPr>
          <w:rFonts w:hint="eastAsia" w:hAnsi="宋体" w:cs="宋体"/>
          <w:szCs w:val="21"/>
        </w:rPr>
        <w:t>名</w:t>
      </w:r>
      <w:r>
        <w:rPr>
          <w:rFonts w:hint="eastAsia" w:hAnsi="宋体" w:cs="宋体"/>
          <w:szCs w:val="21"/>
        </w:rPr>
        <w:tab/>
      </w:r>
      <w:r>
        <w:rPr>
          <w:rFonts w:hint="eastAsia" w:hAnsi="宋体" w:cs="宋体"/>
          <w:szCs w:val="21"/>
        </w:rPr>
        <w:t>称：</w:t>
      </w:r>
      <w:r>
        <w:rPr>
          <w:rFonts w:hint="eastAsia" w:hAnsi="宋体" w:cs="宋体"/>
          <w:szCs w:val="21"/>
          <w:lang w:val="en-US" w:eastAsia="zh-CN"/>
        </w:rPr>
        <w:t>龙州县财政局政府采购监督股</w:t>
      </w:r>
    </w:p>
    <w:p>
      <w:pPr>
        <w:widowControl/>
        <w:autoSpaceDE w:val="0"/>
        <w:spacing w:line="320" w:lineRule="exact"/>
        <w:ind w:firstLine="420" w:firstLineChars="200"/>
        <w:rPr>
          <w:rFonts w:hint="eastAsia" w:hAnsi="宋体" w:cs="宋体"/>
          <w:szCs w:val="21"/>
        </w:rPr>
      </w:pPr>
      <w:r>
        <w:rPr>
          <w:rFonts w:hint="eastAsia" w:hAnsi="宋体" w:cs="宋体"/>
          <w:szCs w:val="21"/>
        </w:rPr>
        <w:t>电</w:t>
      </w:r>
      <w:r>
        <w:rPr>
          <w:rFonts w:hint="eastAsia" w:hAnsi="宋体" w:cs="宋体"/>
          <w:szCs w:val="21"/>
        </w:rPr>
        <w:tab/>
      </w:r>
      <w:r>
        <w:rPr>
          <w:rFonts w:hint="eastAsia" w:hAnsi="宋体" w:cs="宋体"/>
          <w:szCs w:val="21"/>
        </w:rPr>
        <w:t>话：</w:t>
      </w:r>
      <w:r>
        <w:rPr>
          <w:rFonts w:hint="eastAsia" w:hAnsi="宋体" w:cs="宋体"/>
          <w:szCs w:val="21"/>
          <w:lang w:val="ja-JP" w:eastAsia="ja-JP"/>
        </w:rPr>
        <w:t>0771-8812665</w:t>
      </w:r>
    </w:p>
    <w:p>
      <w:pPr>
        <w:widowControl/>
        <w:autoSpaceDE w:val="0"/>
        <w:spacing w:line="320" w:lineRule="exact"/>
        <w:ind w:firstLine="420" w:firstLineChars="200"/>
        <w:rPr>
          <w:rFonts w:hint="eastAsia" w:hAnsi="宋体" w:cs="宋体"/>
          <w:szCs w:val="21"/>
        </w:rPr>
      </w:pPr>
      <w:r>
        <w:rPr>
          <w:rFonts w:hint="eastAsia" w:hAnsi="宋体" w:cs="宋体"/>
          <w:szCs w:val="21"/>
        </w:rPr>
        <w:t>交易服务单位：崇左市公共资源交易中心</w:t>
      </w:r>
    </w:p>
    <w:p>
      <w:pPr>
        <w:widowControl/>
        <w:autoSpaceDE w:val="0"/>
        <w:spacing w:line="320" w:lineRule="exact"/>
        <w:ind w:firstLine="420" w:firstLineChars="200"/>
        <w:rPr>
          <w:rFonts w:hint="eastAsia" w:hAnsi="宋体" w:cs="宋体"/>
          <w:color w:val="000000"/>
          <w:szCs w:val="21"/>
        </w:rPr>
      </w:pPr>
      <w:r>
        <w:rPr>
          <w:rFonts w:hint="eastAsia" w:hAnsi="宋体" w:cs="宋体"/>
          <w:color w:val="000000"/>
          <w:szCs w:val="21"/>
        </w:rPr>
        <w:t>联系电话：  0771-7960186</w:t>
      </w:r>
    </w:p>
    <w:p>
      <w:pPr>
        <w:widowControl/>
        <w:autoSpaceDE w:val="0"/>
        <w:spacing w:line="320" w:lineRule="exact"/>
        <w:ind w:firstLine="5670" w:firstLineChars="2700"/>
        <w:rPr>
          <w:rFonts w:hint="eastAsia" w:hAnsi="宋体" w:cs="宋体"/>
          <w:color w:val="000000"/>
          <w:szCs w:val="21"/>
        </w:rPr>
      </w:pPr>
      <w:r>
        <w:rPr>
          <w:rFonts w:hint="eastAsia" w:hAnsi="宋体" w:cs="宋体"/>
          <w:color w:val="000000"/>
          <w:szCs w:val="21"/>
        </w:rPr>
        <w:t>采购人</w:t>
      </w:r>
      <w:r>
        <w:rPr>
          <w:rFonts w:hint="eastAsia" w:hAnsi="宋体" w:cs="宋体"/>
          <w:color w:val="000000"/>
          <w:szCs w:val="21"/>
          <w:lang w:eastAsia="zh-CN"/>
        </w:rPr>
        <w:t>：</w:t>
      </w:r>
      <w:r>
        <w:rPr>
          <w:rFonts w:hint="eastAsia" w:hAnsi="宋体" w:cs="宋体"/>
          <w:color w:val="000000"/>
          <w:szCs w:val="21"/>
          <w:lang w:val="en-US" w:eastAsia="zh-CN"/>
        </w:rPr>
        <w:t>龙州县应急管理局</w:t>
      </w:r>
    </w:p>
    <w:p>
      <w:pPr>
        <w:widowControl/>
        <w:autoSpaceDE w:val="0"/>
        <w:spacing w:line="320" w:lineRule="exact"/>
        <w:ind w:firstLine="5670" w:firstLineChars="2700"/>
        <w:rPr>
          <w:rFonts w:hint="eastAsia" w:hAnsi="宋体" w:cs="宋体"/>
          <w:szCs w:val="21"/>
        </w:rPr>
      </w:pPr>
      <w:r>
        <w:rPr>
          <w:rFonts w:hint="eastAsia" w:hAnsi="宋体" w:cs="宋体"/>
          <w:color w:val="000000"/>
          <w:szCs w:val="21"/>
        </w:rPr>
        <w:t>采购代理机构：广西建坤工程咨询有限公</w:t>
      </w:r>
      <w:r>
        <w:rPr>
          <w:rFonts w:hint="eastAsia" w:hAnsi="宋体" w:cs="宋体"/>
          <w:szCs w:val="21"/>
        </w:rPr>
        <w:t>司</w:t>
      </w:r>
    </w:p>
    <w:p>
      <w:pPr>
        <w:widowControl/>
        <w:autoSpaceDE w:val="0"/>
        <w:spacing w:line="320" w:lineRule="exact"/>
        <w:ind w:firstLine="6510" w:firstLineChars="3100"/>
        <w:rPr>
          <w:rFonts w:hint="eastAsia" w:hAnsi="宋体" w:cs="宋体"/>
          <w:szCs w:val="21"/>
        </w:rPr>
        <w:sectPr>
          <w:footerReference r:id="rId8" w:type="default"/>
          <w:pgSz w:w="11910" w:h="16840"/>
          <w:pgMar w:top="1380" w:right="1000" w:bottom="940" w:left="1000" w:header="769" w:footer="677" w:gutter="0"/>
          <w:pgNumType w:fmt="decimal" w:start="1"/>
          <w:cols w:space="720" w:num="1"/>
        </w:sectPr>
      </w:pPr>
      <w:r>
        <w:rPr>
          <w:rFonts w:hint="eastAsia" w:hAnsi="宋体" w:cs="宋体"/>
          <w:szCs w:val="21"/>
        </w:rPr>
        <w:t>日期：2020年</w:t>
      </w:r>
      <w:r>
        <w:rPr>
          <w:rFonts w:hint="eastAsia" w:hAnsi="宋体" w:cs="宋体"/>
          <w:szCs w:val="21"/>
          <w:lang w:val="en-US" w:eastAsia="zh-CN"/>
        </w:rPr>
        <w:t>12</w:t>
      </w:r>
      <w:r>
        <w:rPr>
          <w:rFonts w:hint="eastAsia" w:hAnsi="宋体" w:cs="宋体"/>
          <w:szCs w:val="21"/>
        </w:rPr>
        <w:t>月</w:t>
      </w:r>
      <w:r>
        <w:rPr>
          <w:rFonts w:hint="eastAsia" w:hAnsi="宋体" w:cs="宋体"/>
          <w:szCs w:val="21"/>
          <w:lang w:val="en-US" w:eastAsia="zh-CN"/>
        </w:rPr>
        <w:t>29</w:t>
      </w:r>
      <w:r>
        <w:rPr>
          <w:rFonts w:hint="eastAsia" w:hAnsi="宋体" w:cs="宋体"/>
          <w:szCs w:val="21"/>
        </w:rPr>
        <w:t>日</w:t>
      </w:r>
    </w:p>
    <w:p>
      <w:pPr>
        <w:widowControl/>
        <w:autoSpaceDE w:val="0"/>
        <w:spacing w:line="320" w:lineRule="exact"/>
        <w:ind w:firstLine="420" w:firstLineChars="200"/>
        <w:rPr>
          <w:rFonts w:hint="eastAsia" w:hAnsi="宋体" w:cs="宋体"/>
          <w:szCs w:val="21"/>
        </w:rPr>
        <w:sectPr>
          <w:footerReference r:id="rId9" w:type="default"/>
          <w:type w:val="continuous"/>
          <w:pgSz w:w="11910" w:h="16840"/>
          <w:pgMar w:top="1380" w:right="1000" w:bottom="940" w:left="1000" w:header="769" w:footer="677" w:gutter="0"/>
          <w:pgNumType w:fmt="decimal"/>
          <w:cols w:space="720" w:num="1"/>
        </w:sectPr>
      </w:pPr>
    </w:p>
    <w:p>
      <w:pPr>
        <w:pStyle w:val="3"/>
        <w:rPr>
          <w:rFonts w:ascii="宋体" w:hAnsi="宋体"/>
        </w:rPr>
      </w:pPr>
      <w:r>
        <w:rPr>
          <w:rFonts w:hint="eastAsia" w:ascii="宋体" w:hAnsi="宋体"/>
        </w:rPr>
        <w:t>第二章</w:t>
      </w:r>
      <w:bookmarkEnd w:id="11"/>
      <w:bookmarkEnd w:id="12"/>
      <w:bookmarkEnd w:id="13"/>
      <w:bookmarkEnd w:id="14"/>
      <w:r>
        <w:rPr>
          <w:rFonts w:hint="eastAsia" w:ascii="宋体" w:hAnsi="宋体"/>
          <w:szCs w:val="32"/>
        </w:rPr>
        <w:t>采购需求一览表</w:t>
      </w:r>
      <w:bookmarkEnd w:id="19"/>
    </w:p>
    <w:p>
      <w:pPr>
        <w:spacing w:line="400" w:lineRule="exact"/>
        <w:rPr>
          <w:rFonts w:ascii="宋体" w:hAnsi="宋体"/>
          <w:b w:val="0"/>
          <w:bCs/>
          <w:color w:val="auto"/>
        </w:rPr>
      </w:pPr>
      <w:r>
        <w:rPr>
          <w:rFonts w:hint="eastAsia" w:ascii="宋体" w:hAnsi="宋体"/>
          <w:b w:val="0"/>
          <w:bCs/>
          <w:color w:val="auto"/>
        </w:rPr>
        <w:t>说明：</w:t>
      </w:r>
    </w:p>
    <w:p>
      <w:pPr>
        <w:spacing w:line="360" w:lineRule="exact"/>
        <w:ind w:firstLine="424" w:firstLineChars="202"/>
        <w:jc w:val="left"/>
        <w:rPr>
          <w:rFonts w:ascii="宋体" w:hAnsi="宋体"/>
          <w:b w:val="0"/>
          <w:bCs/>
          <w:color w:val="auto"/>
          <w:szCs w:val="21"/>
        </w:rPr>
      </w:pPr>
      <w:bookmarkStart w:id="20" w:name="_Toc254970490"/>
      <w:bookmarkStart w:id="21" w:name="_Toc254970631"/>
      <w:r>
        <w:rPr>
          <w:rFonts w:hint="eastAsia" w:ascii="宋体" w:hAnsi="宋体"/>
          <w:b w:val="0"/>
          <w:bCs/>
          <w:color w:val="auto"/>
          <w:szCs w:val="21"/>
        </w:rPr>
        <w:t>1、本需求表中功能目标及技术指标不明确或有误的，请以详细正确的技术参数进行响应并承诺。</w:t>
      </w:r>
    </w:p>
    <w:p>
      <w:pPr>
        <w:spacing w:line="360" w:lineRule="exact"/>
        <w:ind w:firstLine="424" w:firstLineChars="202"/>
        <w:jc w:val="left"/>
        <w:rPr>
          <w:rFonts w:ascii="宋体" w:hAnsi="宋体"/>
          <w:b w:val="0"/>
          <w:bCs/>
          <w:color w:val="auto"/>
          <w:szCs w:val="21"/>
        </w:rPr>
      </w:pPr>
      <w:r>
        <w:rPr>
          <w:rFonts w:hint="eastAsia" w:ascii="宋体" w:hAnsi="宋体"/>
          <w:b w:val="0"/>
          <w:bCs/>
          <w:color w:val="auto"/>
          <w:szCs w:val="21"/>
        </w:rPr>
        <w:t>2、招标文件中标注“</w:t>
      </w:r>
      <w:r>
        <w:rPr>
          <w:rFonts w:hint="eastAsia" w:ascii="宋体" w:hAnsi="宋体"/>
          <w:b w:val="0"/>
          <w:bCs/>
          <w:color w:val="auto"/>
        </w:rPr>
        <w:t>★</w:t>
      </w:r>
      <w:r>
        <w:rPr>
          <w:rFonts w:hint="eastAsia" w:ascii="宋体" w:hAnsi="宋体"/>
          <w:b w:val="0"/>
          <w:bCs/>
          <w:color w:val="auto"/>
          <w:szCs w:val="21"/>
        </w:rPr>
        <w:t>”号的条款为实质性响应条款，必须满足或优于，否则投标无效。标注“▲”号的条款为技术要求评分项。</w:t>
      </w:r>
    </w:p>
    <w:p>
      <w:pPr>
        <w:spacing w:line="360" w:lineRule="exact"/>
        <w:ind w:firstLine="424" w:firstLineChars="202"/>
        <w:jc w:val="left"/>
        <w:rPr>
          <w:rFonts w:ascii="宋体" w:hAnsi="宋体"/>
          <w:b w:val="0"/>
          <w:bCs/>
          <w:color w:val="auto"/>
          <w:szCs w:val="21"/>
        </w:rPr>
      </w:pPr>
      <w:r>
        <w:rPr>
          <w:rFonts w:hint="eastAsia" w:ascii="宋体" w:hAnsi="宋体"/>
          <w:b w:val="0"/>
          <w:bCs/>
          <w:color w:val="auto"/>
          <w:szCs w:val="21"/>
        </w:rPr>
        <w:t>3、投标人必须自行为其投标产品侵犯其他投标人或专利人的专利成果承担相应法律责任；同时，具有产品专利的投标人应在其投标文件中提供与其自有产品专利相关的有效证明材料，否则，不能就其产品的专利在本项目投标过程中被侵权问题提出异议。</w:t>
      </w:r>
    </w:p>
    <w:p>
      <w:pPr>
        <w:spacing w:line="360" w:lineRule="exact"/>
        <w:ind w:firstLine="424" w:firstLineChars="202"/>
        <w:jc w:val="left"/>
        <w:rPr>
          <w:rFonts w:ascii="宋体" w:hAnsi="宋体"/>
          <w:b w:val="0"/>
          <w:bCs/>
          <w:color w:val="auto"/>
          <w:szCs w:val="21"/>
        </w:rPr>
      </w:pPr>
      <w:r>
        <w:rPr>
          <w:rFonts w:hint="eastAsia" w:ascii="宋体" w:hAnsi="宋体"/>
          <w:b w:val="0"/>
          <w:bCs/>
          <w:color w:val="auto"/>
          <w:szCs w:val="21"/>
        </w:rPr>
        <w:t>4、招标文件中所要求提供的证明材料，如为英文文本的请同时提供中文译本。</w:t>
      </w:r>
    </w:p>
    <w:p>
      <w:pPr>
        <w:spacing w:line="360" w:lineRule="exact"/>
        <w:ind w:firstLine="424" w:firstLineChars="202"/>
        <w:jc w:val="left"/>
        <w:rPr>
          <w:rFonts w:ascii="宋体" w:hAnsi="宋体"/>
          <w:b w:val="0"/>
          <w:bCs/>
          <w:color w:val="auto"/>
          <w:szCs w:val="21"/>
        </w:rPr>
      </w:pPr>
      <w:r>
        <w:rPr>
          <w:rFonts w:hint="eastAsia" w:ascii="宋体" w:hAnsi="宋体"/>
          <w:b w:val="0"/>
          <w:bCs/>
          <w:color w:val="auto"/>
          <w:szCs w:val="21"/>
        </w:rPr>
        <w:t>5、投标人所投标货物或服务如国家有强制性要求的按国家规定执行，并提供相关证明材料。</w:t>
      </w:r>
      <w:bookmarkEnd w:id="20"/>
      <w:bookmarkEnd w:id="21"/>
    </w:p>
    <w:p>
      <w:pPr>
        <w:pStyle w:val="23"/>
        <w:rPr>
          <w:rFonts w:ascii="宋体" w:hAnsi="宋体"/>
          <w:b w:val="0"/>
          <w:bCs/>
          <w:color w:val="auto"/>
        </w:rPr>
      </w:pPr>
    </w:p>
    <w:tbl>
      <w:tblPr>
        <w:tblStyle w:val="34"/>
        <w:tblpPr w:leftFromText="180" w:rightFromText="180" w:vertAnchor="text" w:horzAnchor="page" w:tblpX="869" w:tblpY="231"/>
        <w:tblOverlap w:val="never"/>
        <w:tblW w:w="10439"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0"/>
        <w:gridCol w:w="241"/>
        <w:gridCol w:w="1081"/>
        <w:gridCol w:w="682"/>
        <w:gridCol w:w="886"/>
        <w:gridCol w:w="730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20" w:hRule="atLeast"/>
        </w:trPr>
        <w:tc>
          <w:tcPr>
            <w:tcW w:w="10439" w:type="dxa"/>
            <w:gridSpan w:val="6"/>
            <w:noWrap w:val="0"/>
            <w:vAlign w:val="top"/>
          </w:tcPr>
          <w:p>
            <w:pPr>
              <w:pStyle w:val="209"/>
              <w:ind w:left="63" w:right="46" w:firstLine="602" w:firstLineChars="200"/>
              <w:rPr>
                <w:color w:val="000000"/>
                <w:lang w:val="en-US"/>
              </w:rPr>
            </w:pPr>
            <w:r>
              <w:rPr>
                <w:rFonts w:hint="eastAsia"/>
                <w:b/>
                <w:bCs/>
                <w:color w:val="000000"/>
                <w:sz w:val="30"/>
                <w:szCs w:val="30"/>
                <w:lang w:val="en-US"/>
              </w:rPr>
              <w:t>A标段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20" w:hRule="atLeast"/>
        </w:trPr>
        <w:tc>
          <w:tcPr>
            <w:tcW w:w="481" w:type="dxa"/>
            <w:gridSpan w:val="2"/>
            <w:tcBorders>
              <w:right w:val="single" w:color="auto" w:sz="4" w:space="0"/>
            </w:tcBorders>
            <w:noWrap w:val="0"/>
            <w:vAlign w:val="top"/>
          </w:tcPr>
          <w:p>
            <w:pPr>
              <w:pStyle w:val="209"/>
              <w:spacing w:line="360" w:lineRule="exact"/>
              <w:ind w:left="133" w:right="116"/>
              <w:rPr>
                <w:color w:val="000000"/>
                <w:sz w:val="21"/>
                <w:szCs w:val="21"/>
              </w:rPr>
            </w:pPr>
            <w:r>
              <w:rPr>
                <w:color w:val="000000"/>
                <w:sz w:val="21"/>
                <w:szCs w:val="21"/>
              </w:rPr>
              <w:t>序号</w:t>
            </w:r>
          </w:p>
        </w:tc>
        <w:tc>
          <w:tcPr>
            <w:tcW w:w="1081" w:type="dxa"/>
            <w:tcBorders>
              <w:top w:val="single" w:color="auto" w:sz="4" w:space="0"/>
              <w:left w:val="single" w:color="auto" w:sz="4" w:space="0"/>
              <w:bottom w:val="single" w:color="auto" w:sz="4" w:space="0"/>
              <w:right w:val="single" w:color="auto" w:sz="4" w:space="0"/>
            </w:tcBorders>
            <w:noWrap w:val="0"/>
            <w:vAlign w:val="top"/>
          </w:tcPr>
          <w:p>
            <w:pPr>
              <w:pStyle w:val="209"/>
              <w:spacing w:line="360" w:lineRule="exact"/>
              <w:ind w:left="305" w:right="180" w:hanging="106"/>
              <w:rPr>
                <w:color w:val="000000"/>
                <w:sz w:val="21"/>
                <w:szCs w:val="21"/>
              </w:rPr>
            </w:pPr>
            <w:r>
              <w:rPr>
                <w:color w:val="000000"/>
                <w:sz w:val="21"/>
                <w:szCs w:val="21"/>
              </w:rPr>
              <w:t>货物名称或内容</w:t>
            </w:r>
          </w:p>
        </w:tc>
        <w:tc>
          <w:tcPr>
            <w:tcW w:w="682"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黑体" w:hAnsi="宋体" w:eastAsia="黑体" w:cs="黑体"/>
                <w:bCs/>
                <w:color w:val="000000" w:themeColor="text1"/>
                <w:kern w:val="0"/>
                <w:sz w:val="21"/>
                <w:szCs w:val="21"/>
                <w:lang w:bidi="ar"/>
                <w14:textFill>
                  <w14:solidFill>
                    <w14:schemeClr w14:val="tx1"/>
                  </w14:solidFill>
                </w14:textFill>
              </w:rPr>
              <w:t>单位</w:t>
            </w:r>
          </w:p>
        </w:tc>
        <w:tc>
          <w:tcPr>
            <w:tcW w:w="886" w:type="dxa"/>
            <w:tcBorders>
              <w:top w:val="single" w:color="auto" w:sz="4" w:space="0"/>
              <w:left w:val="single" w:color="auto" w:sz="4" w:space="0"/>
              <w:bottom w:val="single" w:color="auto" w:sz="4" w:space="0"/>
              <w:right w:val="single" w:color="auto" w:sz="4" w:space="0"/>
            </w:tcBorders>
            <w:noWrap w:val="0"/>
            <w:vAlign w:val="center"/>
          </w:tcPr>
          <w:p>
            <w:pPr>
              <w:pStyle w:val="209"/>
              <w:spacing w:before="5"/>
              <w:jc w:val="center"/>
              <w:rPr>
                <w:rFonts w:ascii="Times New Roman"/>
                <w:bCs/>
                <w:color w:val="000000" w:themeColor="text1"/>
                <w:sz w:val="21"/>
                <w:szCs w:val="21"/>
                <w14:textFill>
                  <w14:solidFill>
                    <w14:schemeClr w14:val="tx1"/>
                  </w14:solidFill>
                </w14:textFill>
              </w:rPr>
            </w:pPr>
          </w:p>
          <w:p>
            <w:pPr>
              <w:pStyle w:val="209"/>
              <w:ind w:left="301"/>
              <w:rPr>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数量</w:t>
            </w:r>
          </w:p>
        </w:tc>
        <w:tc>
          <w:tcPr>
            <w:tcW w:w="7309" w:type="dxa"/>
            <w:tcBorders>
              <w:left w:val="single" w:color="auto" w:sz="4" w:space="0"/>
            </w:tcBorders>
            <w:noWrap w:val="0"/>
            <w:vAlign w:val="top"/>
          </w:tcPr>
          <w:p>
            <w:pPr>
              <w:pStyle w:val="209"/>
              <w:spacing w:before="5"/>
              <w:rPr>
                <w:rFonts w:ascii="Times New Roman"/>
                <w:color w:val="000000" w:themeColor="text1"/>
                <w:sz w:val="21"/>
                <w:szCs w:val="21"/>
                <w14:textFill>
                  <w14:solidFill>
                    <w14:schemeClr w14:val="tx1"/>
                  </w14:solidFill>
                </w14:textFill>
              </w:rPr>
            </w:pPr>
          </w:p>
          <w:p>
            <w:pPr>
              <w:pStyle w:val="209"/>
              <w:ind w:left="63" w:right="46"/>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技术参数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11" w:hRule="atLeast"/>
        </w:trPr>
        <w:tc>
          <w:tcPr>
            <w:tcW w:w="481" w:type="dxa"/>
            <w:gridSpan w:val="2"/>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1</w:t>
            </w:r>
          </w:p>
        </w:tc>
        <w:tc>
          <w:tcPr>
            <w:tcW w:w="1081" w:type="dxa"/>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救灾帐篷</w:t>
            </w:r>
          </w:p>
        </w:tc>
        <w:tc>
          <w:tcPr>
            <w:tcW w:w="682" w:type="dxa"/>
            <w:noWrap w:val="0"/>
            <w:vAlign w:val="center"/>
          </w:tcPr>
          <w:p>
            <w:pPr>
              <w:widowControl/>
              <w:jc w:val="center"/>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顶</w:t>
            </w:r>
          </w:p>
        </w:tc>
        <w:tc>
          <w:tcPr>
            <w:tcW w:w="886"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73 </w:t>
            </w:r>
          </w:p>
        </w:tc>
        <w:tc>
          <w:tcPr>
            <w:tcW w:w="7309" w:type="dxa"/>
            <w:noWrap w:val="0"/>
            <w:vAlign w:val="center"/>
          </w:tcPr>
          <w:p>
            <w:pPr>
              <w:widowControl/>
              <w:jc w:val="left"/>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规格3米*4米、12平方米国标救灾帐篷，符合MZ/T011.2-2010救灾帐篷条款4.2,有阻燃功能。</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1.帐篷长4米，宽3米，墙高1.8米顶，高2.4米，使用面积12平米。</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2.帐篷结构合理，使用安全可靠，按国家民政部门要求标准，具有抗震、防雨、抗风等特点。</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3.帐篷采用钢架结构，构造简单，展收方便。</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4.帐篷包装体积0.3立方米，所有零部件全部集装布袋内，形态规整，便于随车远程携带或人力短途运输。</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5.帐篷按照国家民政局标准制作，整个面料用加厚牛筋布，窗户设有纱窗，具有防蚊虫、通风等功能。</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（其参数在检验检测报告中体现，★提供检验检测报告予以佐证。）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5" w:hRule="atLeast"/>
        </w:trPr>
        <w:tc>
          <w:tcPr>
            <w:tcW w:w="481" w:type="dxa"/>
            <w:gridSpan w:val="2"/>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2</w:t>
            </w:r>
          </w:p>
        </w:tc>
        <w:tc>
          <w:tcPr>
            <w:tcW w:w="1081" w:type="dxa"/>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单衣裤</w:t>
            </w:r>
          </w:p>
        </w:tc>
        <w:tc>
          <w:tcPr>
            <w:tcW w:w="682" w:type="dxa"/>
            <w:noWrap w:val="0"/>
            <w:vAlign w:val="center"/>
          </w:tcPr>
          <w:p>
            <w:pPr>
              <w:widowControl/>
              <w:jc w:val="center"/>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套</w:t>
            </w:r>
          </w:p>
        </w:tc>
        <w:tc>
          <w:tcPr>
            <w:tcW w:w="886"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300 </w:t>
            </w:r>
          </w:p>
        </w:tc>
        <w:tc>
          <w:tcPr>
            <w:tcW w:w="7309" w:type="dxa"/>
            <w:noWrap w:val="0"/>
            <w:vAlign w:val="center"/>
          </w:tcPr>
          <w:p>
            <w:pPr>
              <w:widowControl/>
              <w:jc w:val="left"/>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1.纤维含量：棉25%，聚酯纤维75%</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2.奶皂洗色牢度：变色≥4-5，涤纶沾色≥4，羊毛沾色≥4</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3.耐酸汗渍色牢度：变色≥4-5，涤纶沾色≥4，羊毛沾色≥4</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4.耐碱汗渍色牢度：变色≥4-5，涤纶沾色≥4，羊毛沾色≥4</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5.水洗尺寸变化率：-0.6～+3.0</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6.耐摩擦色牢度：≥4</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7.耐温摩擦色牢度：≥4</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8.甲醛含量mg/kg：无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8" w:hRule="atLeast"/>
        </w:trPr>
        <w:tc>
          <w:tcPr>
            <w:tcW w:w="481" w:type="dxa"/>
            <w:gridSpan w:val="2"/>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3</w:t>
            </w:r>
          </w:p>
        </w:tc>
        <w:tc>
          <w:tcPr>
            <w:tcW w:w="1081" w:type="dxa"/>
            <w:noWrap w:val="0"/>
            <w:vAlign w:val="center"/>
          </w:tcPr>
          <w:p>
            <w:pPr>
              <w:widowControl/>
              <w:jc w:val="center"/>
              <w:textAlignment w:val="center"/>
              <w:rPr>
                <w:color w:val="000000"/>
                <w:sz w:val="21"/>
                <w:szCs w:val="21"/>
              </w:rPr>
            </w:pPr>
            <w:r>
              <w:rPr>
                <w:rFonts w:hint="eastAsia" w:ascii="宋体" w:hAnsi="宋体"/>
                <w:b w:val="0"/>
                <w:bCs/>
                <w:color w:val="auto"/>
                <w:sz w:val="21"/>
                <w:szCs w:val="21"/>
              </w:rPr>
              <w:t>▲</w:t>
            </w:r>
            <w:r>
              <w:rPr>
                <w:rFonts w:hint="eastAsia" w:ascii="宋体" w:hAnsi="宋体" w:cs="宋体"/>
                <w:color w:val="000000"/>
                <w:kern w:val="0"/>
                <w:sz w:val="21"/>
                <w:szCs w:val="21"/>
                <w:lang w:bidi="ar"/>
              </w:rPr>
              <w:t>03棉衣</w:t>
            </w:r>
          </w:p>
        </w:tc>
        <w:tc>
          <w:tcPr>
            <w:tcW w:w="682" w:type="dxa"/>
            <w:noWrap w:val="0"/>
            <w:vAlign w:val="center"/>
          </w:tcPr>
          <w:p>
            <w:pPr>
              <w:widowControl/>
              <w:jc w:val="center"/>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套</w:t>
            </w:r>
          </w:p>
        </w:tc>
        <w:tc>
          <w:tcPr>
            <w:tcW w:w="886"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300 </w:t>
            </w:r>
          </w:p>
        </w:tc>
        <w:tc>
          <w:tcPr>
            <w:tcW w:w="7309" w:type="dxa"/>
            <w:noWrap w:val="0"/>
            <w:vAlign w:val="center"/>
          </w:tcPr>
          <w:p>
            <w:pPr>
              <w:widowControl/>
              <w:jc w:val="left"/>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1.符合GB/T2662-2017《棉服装》</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2.纤维含量：聚酯纤维100%。</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3.压缩棉，双排扣、立领、修身款。</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4.舒适、保暖适合冬季户外穿着。</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（其参数在检验检测报告中体现，★提供检验检测报告予以佐证。）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3" w:hRule="atLeast"/>
        </w:trPr>
        <w:tc>
          <w:tcPr>
            <w:tcW w:w="481" w:type="dxa"/>
            <w:gridSpan w:val="2"/>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4</w:t>
            </w:r>
          </w:p>
        </w:tc>
        <w:tc>
          <w:tcPr>
            <w:tcW w:w="1081" w:type="dxa"/>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T恤</w:t>
            </w:r>
          </w:p>
        </w:tc>
        <w:tc>
          <w:tcPr>
            <w:tcW w:w="682" w:type="dxa"/>
            <w:noWrap w:val="0"/>
            <w:vAlign w:val="center"/>
          </w:tcPr>
          <w:p>
            <w:pPr>
              <w:widowControl/>
              <w:jc w:val="center"/>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件</w:t>
            </w:r>
          </w:p>
        </w:tc>
        <w:tc>
          <w:tcPr>
            <w:tcW w:w="886"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300 </w:t>
            </w:r>
          </w:p>
        </w:tc>
        <w:tc>
          <w:tcPr>
            <w:tcW w:w="7309" w:type="dxa"/>
            <w:noWrap w:val="0"/>
            <w:vAlign w:val="center"/>
          </w:tcPr>
          <w:p>
            <w:pPr>
              <w:widowControl/>
              <w:jc w:val="left"/>
              <w:textAlignment w:val="center"/>
              <w:rPr>
                <w:color w:val="000000" w:themeColor="text1"/>
                <w:sz w:val="21"/>
                <w:szCs w:val="21"/>
                <w14:textFill>
                  <w14:solidFill>
                    <w14:schemeClr w14:val="tx1"/>
                  </w14:solidFill>
                </w14:textFill>
              </w:rPr>
            </w:pPr>
            <w:r>
              <w:rPr>
                <w:rStyle w:val="210"/>
                <w:rFonts w:hint="default"/>
                <w:color w:val="000000" w:themeColor="text1"/>
                <w:sz w:val="21"/>
                <w:szCs w:val="21"/>
                <w:lang w:bidi="ar"/>
                <w14:textFill>
                  <w14:solidFill>
                    <w14:schemeClr w14:val="tx1"/>
                  </w14:solidFill>
                </w14:textFill>
              </w:rPr>
              <w:t>1)规格：XL号（175）；</w:t>
            </w:r>
            <w:r>
              <w:rPr>
                <w:rStyle w:val="210"/>
                <w:rFonts w:hint="default"/>
                <w:color w:val="000000" w:themeColor="text1"/>
                <w:sz w:val="21"/>
                <w:szCs w:val="21"/>
                <w:lang w:bidi="ar"/>
                <w14:textFill>
                  <w14:solidFill>
                    <w14:schemeClr w14:val="tx1"/>
                  </w14:solidFill>
                </w14:textFill>
              </w:rPr>
              <w:br w:type="textWrapping"/>
            </w:r>
            <w:r>
              <w:rPr>
                <w:rStyle w:val="210"/>
                <w:rFonts w:hint="default"/>
                <w:color w:val="000000" w:themeColor="text1"/>
                <w:sz w:val="21"/>
                <w:szCs w:val="21"/>
                <w:lang w:bidi="ar"/>
                <w14:textFill>
                  <w14:solidFill>
                    <w14:schemeClr w14:val="tx1"/>
                  </w14:solidFill>
                </w14:textFill>
              </w:rPr>
              <w:t>2)单位面积质量（g/m</w:t>
            </w:r>
            <w:r>
              <w:rPr>
                <w:rFonts w:hint="eastAsia" w:ascii="宋体" w:hAnsi="宋体" w:cs="宋体"/>
                <w:color w:val="000000" w:themeColor="text1"/>
                <w:kern w:val="0"/>
                <w:sz w:val="21"/>
                <w:szCs w:val="21"/>
                <w:vertAlign w:val="superscript"/>
                <w:lang w:bidi="ar"/>
                <w14:textFill>
                  <w14:solidFill>
                    <w14:schemeClr w14:val="tx1"/>
                  </w14:solidFill>
                </w14:textFill>
              </w:rPr>
              <w:t>2</w:t>
            </w:r>
            <w:r>
              <w:rPr>
                <w:rStyle w:val="210"/>
                <w:rFonts w:hint="default"/>
                <w:color w:val="000000" w:themeColor="text1"/>
                <w:sz w:val="21"/>
                <w:szCs w:val="21"/>
                <w:lang w:bidi="ar"/>
                <w14:textFill>
                  <w14:solidFill>
                    <w14:schemeClr w14:val="tx1"/>
                  </w14:solidFill>
                </w14:textFill>
              </w:rPr>
              <w:t>)：200g（允许负偏差5g）；（其参数在检验检测报告中体现，★提供检验检测报告予以佐证）；</w:t>
            </w:r>
            <w:r>
              <w:rPr>
                <w:rStyle w:val="210"/>
                <w:rFonts w:hint="default"/>
                <w:color w:val="000000" w:themeColor="text1"/>
                <w:sz w:val="21"/>
                <w:szCs w:val="21"/>
                <w:lang w:bidi="ar"/>
                <w14:textFill>
                  <w14:solidFill>
                    <w14:schemeClr w14:val="tx1"/>
                  </w14:solidFill>
                </w14:textFill>
              </w:rPr>
              <w:br w:type="textWrapping"/>
            </w:r>
            <w:r>
              <w:rPr>
                <w:rStyle w:val="210"/>
                <w:rFonts w:hint="default"/>
                <w:color w:val="000000" w:themeColor="text1"/>
                <w:sz w:val="21"/>
                <w:szCs w:val="21"/>
                <w:lang w:bidi="ar"/>
                <w14:textFill>
                  <w14:solidFill>
                    <w14:schemeClr w14:val="tx1"/>
                  </w14:solidFill>
                </w14:textFill>
              </w:rPr>
              <w:t>3)耐皂洗色牢度：≥3；耐磨擦色牢度：≥2－3；耐汗色牢度：≥3；甲醛（mg/kg）：≦75；PH值：4.0～8.5；可分解芳香胺：禁用，等指标符合GB18401-2010标准；</w:t>
            </w:r>
            <w:r>
              <w:rPr>
                <w:rStyle w:val="210"/>
                <w:rFonts w:hint="default"/>
                <w:color w:val="000000" w:themeColor="text1"/>
                <w:sz w:val="21"/>
                <w:szCs w:val="21"/>
                <w:lang w:bidi="ar"/>
                <w14:textFill>
                  <w14:solidFill>
                    <w14:schemeClr w14:val="tx1"/>
                  </w14:solidFill>
                </w14:textFill>
              </w:rPr>
              <w:br w:type="textWrapping"/>
            </w:r>
            <w:r>
              <w:rPr>
                <w:rStyle w:val="210"/>
                <w:rFonts w:hint="default"/>
                <w:color w:val="000000" w:themeColor="text1"/>
                <w:sz w:val="21"/>
                <w:szCs w:val="21"/>
                <w:lang w:bidi="ar"/>
                <w14:textFill>
                  <w14:solidFill>
                    <w14:schemeClr w14:val="tx1"/>
                  </w14:solidFill>
                </w14:textFill>
              </w:rPr>
              <w:t>4)重金属、致敏性燃料、致癌燃料、苯酚等指标符合GB/T18885-2009生态纺织品标准（其参数在检验检测报告中体现，★提供检验检测报告予以佐证）；</w:t>
            </w:r>
            <w:r>
              <w:rPr>
                <w:rStyle w:val="210"/>
                <w:rFonts w:hint="default"/>
                <w:color w:val="000000" w:themeColor="text1"/>
                <w:sz w:val="21"/>
                <w:szCs w:val="21"/>
                <w:lang w:bidi="ar"/>
                <w14:textFill>
                  <w14:solidFill>
                    <w14:schemeClr w14:val="tx1"/>
                  </w14:solidFill>
                </w14:textFill>
              </w:rPr>
              <w:br w:type="textWrapping"/>
            </w:r>
            <w:r>
              <w:rPr>
                <w:rStyle w:val="210"/>
                <w:rFonts w:hint="default"/>
                <w:color w:val="000000" w:themeColor="text1"/>
                <w:sz w:val="21"/>
                <w:szCs w:val="21"/>
                <w:lang w:bidi="ar"/>
                <w14:textFill>
                  <w14:solidFill>
                    <w14:schemeClr w14:val="tx1"/>
                  </w14:solidFill>
                </w14:textFill>
              </w:rPr>
              <w:t>5)颜色：根据客户要求（非白色）；</w:t>
            </w:r>
            <w:r>
              <w:rPr>
                <w:rStyle w:val="210"/>
                <w:rFonts w:hint="default"/>
                <w:color w:val="000000" w:themeColor="text1"/>
                <w:sz w:val="21"/>
                <w:szCs w:val="21"/>
                <w:lang w:bidi="ar"/>
                <w14:textFill>
                  <w14:solidFill>
                    <w14:schemeClr w14:val="tx1"/>
                  </w14:solidFill>
                </w14:textFill>
              </w:rPr>
              <w:br w:type="textWrapping"/>
            </w:r>
            <w:r>
              <w:rPr>
                <w:rStyle w:val="210"/>
                <w:rFonts w:hint="default"/>
                <w:color w:val="000000" w:themeColor="text1"/>
                <w:sz w:val="21"/>
                <w:szCs w:val="21"/>
                <w:lang w:bidi="ar"/>
                <w14:textFill>
                  <w14:solidFill>
                    <w14:schemeClr w14:val="tx1"/>
                  </w14:solidFill>
                </w14:textFill>
              </w:rPr>
              <w:t>6)包装要求：塑料袋厚度：6丝，单件真空包装。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5</w:t>
            </w:r>
          </w:p>
        </w:tc>
        <w:tc>
          <w:tcPr>
            <w:tcW w:w="1081" w:type="dxa"/>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毛毯</w:t>
            </w:r>
          </w:p>
        </w:tc>
        <w:tc>
          <w:tcPr>
            <w:tcW w:w="682" w:type="dxa"/>
            <w:noWrap w:val="0"/>
            <w:vAlign w:val="center"/>
          </w:tcPr>
          <w:p>
            <w:pPr>
              <w:widowControl/>
              <w:jc w:val="center"/>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床</w:t>
            </w:r>
          </w:p>
        </w:tc>
        <w:tc>
          <w:tcPr>
            <w:tcW w:w="886"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500 </w:t>
            </w:r>
          </w:p>
        </w:tc>
        <w:tc>
          <w:tcPr>
            <w:tcW w:w="7309" w:type="dxa"/>
            <w:noWrap w:val="0"/>
            <w:vAlign w:val="center"/>
          </w:tcPr>
          <w:p>
            <w:pPr>
              <w:widowControl/>
              <w:numPr>
                <w:ilvl w:val="0"/>
                <w:numId w:val="11"/>
              </w:numPr>
              <w:jc w:val="left"/>
              <w:textAlignment w:val="center"/>
              <w:rPr>
                <w:rFonts w:hint="eastAsia"/>
              </w:rPr>
            </w:pPr>
            <w:r>
              <w:rPr>
                <w:rFonts w:hint="eastAsia"/>
              </w:rPr>
              <w:t>加工质量应符合国家标准FZ/T61001—2006二等品的质量要求;</w:t>
            </w:r>
            <w:r>
              <w:rPr>
                <w:rFonts w:hint="eastAsia"/>
              </w:rPr>
              <w:br w:type="textWrapping"/>
            </w:r>
            <w:r>
              <w:rPr>
                <w:rFonts w:hint="eastAsia"/>
              </w:rPr>
              <w:t>（</w:t>
            </w:r>
            <w:r>
              <w:rPr>
                <w:rFonts w:hint="eastAsia"/>
                <w:lang w:val="en-US" w:eastAsia="zh-CN"/>
              </w:rPr>
              <w:t>1</w:t>
            </w:r>
            <w:r>
              <w:rPr>
                <w:rFonts w:hint="eastAsia"/>
              </w:rPr>
              <w:t>）产品规格：重量：2.0㎏，允差≥-4.0%；尺寸：2.0米*1.5米，允差≥  -4.0%；</w:t>
            </w:r>
            <w:r>
              <w:rPr>
                <w:rFonts w:hint="eastAsia"/>
              </w:rPr>
              <w:br w:type="textWrapping"/>
            </w:r>
            <w:r>
              <w:rPr>
                <w:rFonts w:hint="eastAsia"/>
              </w:rPr>
              <w:t>（</w:t>
            </w:r>
            <w:r>
              <w:rPr>
                <w:rFonts w:hint="eastAsia"/>
                <w:lang w:val="en-US" w:eastAsia="zh-CN"/>
              </w:rPr>
              <w:t>2</w:t>
            </w:r>
            <w:r>
              <w:rPr>
                <w:rFonts w:hint="eastAsia"/>
              </w:rPr>
              <w:t>）单位面积质量：600 g/m²，允差≥-4％；</w:t>
            </w:r>
            <w:r>
              <w:rPr>
                <w:rFonts w:hint="eastAsia"/>
              </w:rPr>
              <w:br w:type="textWrapping"/>
            </w:r>
            <w:r>
              <w:rPr>
                <w:rFonts w:hint="eastAsia"/>
              </w:rPr>
              <w:t>（</w:t>
            </w:r>
            <w:r>
              <w:rPr>
                <w:rFonts w:hint="eastAsia"/>
                <w:lang w:val="en-US" w:eastAsia="zh-CN"/>
              </w:rPr>
              <w:t>3</w:t>
            </w:r>
            <w:r>
              <w:rPr>
                <w:rFonts w:hint="eastAsia"/>
              </w:rPr>
              <w:t>）顶破强力：≥343N；</w:t>
            </w:r>
            <w:r>
              <w:rPr>
                <w:rFonts w:hint="eastAsia"/>
              </w:rPr>
              <w:br w:type="textWrapping"/>
            </w:r>
            <w:r>
              <w:rPr>
                <w:rFonts w:hint="eastAsia"/>
              </w:rPr>
              <w:t>（</w:t>
            </w:r>
            <w:r>
              <w:rPr>
                <w:rFonts w:hint="eastAsia"/>
                <w:lang w:val="en-US" w:eastAsia="zh-CN"/>
              </w:rPr>
              <w:t>4</w:t>
            </w:r>
            <w:r>
              <w:rPr>
                <w:rFonts w:hint="eastAsia"/>
              </w:rPr>
              <w:t>）水洗尺寸变化率：≥-5.0%</w:t>
            </w:r>
            <w:r>
              <w:rPr>
                <w:rFonts w:hint="eastAsia"/>
              </w:rPr>
              <w:br w:type="textWrapping"/>
            </w:r>
            <w:r>
              <w:rPr>
                <w:rFonts w:hint="eastAsia"/>
              </w:rPr>
              <w:t>（</w:t>
            </w:r>
            <w:r>
              <w:rPr>
                <w:rFonts w:hint="eastAsia"/>
                <w:lang w:val="en-US" w:eastAsia="zh-CN"/>
              </w:rPr>
              <w:t>5</w:t>
            </w:r>
            <w:r>
              <w:rPr>
                <w:rFonts w:hint="eastAsia"/>
              </w:rPr>
              <w:t>）色牢度：耐干摩擦色牢度：≥3-4；耐湿摩擦色牢度：≥2-3；耐光色牢度：≥3；耐水洗色牢度：色泽变化：≥3-4、腈纶布、棉布沾色≥2-3</w:t>
            </w:r>
            <w:r>
              <w:rPr>
                <w:rFonts w:hint="eastAsia"/>
              </w:rPr>
              <w:br w:type="textWrapping"/>
            </w:r>
            <w:r>
              <w:rPr>
                <w:rFonts w:hint="eastAsia"/>
              </w:rPr>
              <w:t>（</w:t>
            </w:r>
            <w:r>
              <w:rPr>
                <w:rFonts w:hint="eastAsia"/>
                <w:lang w:val="en-US" w:eastAsia="zh-CN"/>
              </w:rPr>
              <w:t>6</w:t>
            </w:r>
            <w:r>
              <w:rPr>
                <w:rFonts w:hint="eastAsia"/>
              </w:rPr>
              <w:t>）甲醛含量：≤75 mg/kg</w:t>
            </w:r>
            <w:r>
              <w:rPr>
                <w:rFonts w:hint="eastAsia"/>
              </w:rPr>
              <w:br w:type="textWrapping"/>
            </w:r>
            <w:r>
              <w:rPr>
                <w:rFonts w:hint="eastAsia"/>
              </w:rPr>
              <w:t>（</w:t>
            </w:r>
            <w:r>
              <w:rPr>
                <w:rFonts w:hint="eastAsia"/>
                <w:lang w:val="en-US" w:eastAsia="zh-CN"/>
              </w:rPr>
              <w:t>7</w:t>
            </w:r>
            <w:r>
              <w:rPr>
                <w:rFonts w:hint="eastAsia"/>
              </w:rPr>
              <w:t>）pH值：4.0～8.5</w:t>
            </w:r>
            <w:r>
              <w:rPr>
                <w:rFonts w:hint="eastAsia"/>
              </w:rPr>
              <w:br w:type="textWrapping"/>
            </w:r>
            <w:r>
              <w:rPr>
                <w:rFonts w:hint="eastAsia"/>
              </w:rPr>
              <w:t>（</w:t>
            </w:r>
            <w:r>
              <w:rPr>
                <w:rFonts w:hint="eastAsia"/>
                <w:lang w:val="en-US" w:eastAsia="zh-CN"/>
              </w:rPr>
              <w:t>8</w:t>
            </w:r>
            <w:r>
              <w:rPr>
                <w:rFonts w:hint="eastAsia"/>
              </w:rPr>
              <w:t>）颜色：清素淡雅；</w:t>
            </w:r>
            <w:r>
              <w:rPr>
                <w:rFonts w:hint="eastAsia"/>
              </w:rPr>
              <w:br w:type="textWrapping"/>
            </w:r>
            <w:r>
              <w:rPr>
                <w:rFonts w:hint="eastAsia"/>
              </w:rPr>
              <w:t>（</w:t>
            </w:r>
            <w:r>
              <w:rPr>
                <w:rFonts w:hint="eastAsia"/>
                <w:lang w:val="en-US" w:eastAsia="zh-CN"/>
              </w:rPr>
              <w:t>9</w:t>
            </w:r>
            <w:r>
              <w:rPr>
                <w:rFonts w:hint="eastAsia"/>
              </w:rPr>
              <w:t>）外观质量：面料表面无破损、色渍和污渍，缝针均匀牢固。</w:t>
            </w:r>
            <w:r>
              <w:rPr>
                <w:rFonts w:hint="eastAsia"/>
              </w:rPr>
              <w:br w:type="textWrapping"/>
            </w:r>
            <w:r>
              <w:rPr>
                <w:rFonts w:hint="eastAsia"/>
              </w:rPr>
              <w:t>2、外包装上面需标注数量、重量、体积、生产日期(宋体字)、产品名称、承制单位。</w:t>
            </w:r>
          </w:p>
          <w:p>
            <w:pPr>
              <w:pStyle w:val="2"/>
              <w:numPr>
                <w:ilvl w:val="0"/>
                <w:numId w:val="0"/>
              </w:numPr>
            </w:pPr>
            <w:r>
              <w:rPr>
                <w:rFonts w:hint="eastAsia" w:ascii="宋体" w:hAnsi="宋体" w:cs="宋体"/>
                <w:b w:val="0"/>
                <w:bCs/>
                <w:color w:val="000000" w:themeColor="text1"/>
                <w:kern w:val="0"/>
                <w:sz w:val="21"/>
                <w:szCs w:val="21"/>
                <w:lang w:bidi="ar"/>
                <w14:textFill>
                  <w14:solidFill>
                    <w14:schemeClr w14:val="tx1"/>
                  </w14:solidFill>
                </w14:textFill>
              </w:rPr>
              <w:t>（其参数在检验检测报告中体现，★提供检验检测报告予以佐证。）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0" w:hRule="atLeast"/>
        </w:trPr>
        <w:tc>
          <w:tcPr>
            <w:tcW w:w="481" w:type="dxa"/>
            <w:gridSpan w:val="2"/>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6</w:t>
            </w:r>
          </w:p>
        </w:tc>
        <w:tc>
          <w:tcPr>
            <w:tcW w:w="1081" w:type="dxa"/>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毛巾被</w:t>
            </w:r>
          </w:p>
        </w:tc>
        <w:tc>
          <w:tcPr>
            <w:tcW w:w="682" w:type="dxa"/>
            <w:noWrap w:val="0"/>
            <w:vAlign w:val="center"/>
          </w:tcPr>
          <w:p>
            <w:pPr>
              <w:widowControl/>
              <w:jc w:val="center"/>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床</w:t>
            </w:r>
          </w:p>
        </w:tc>
        <w:tc>
          <w:tcPr>
            <w:tcW w:w="886"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300 </w:t>
            </w:r>
          </w:p>
        </w:tc>
        <w:tc>
          <w:tcPr>
            <w:tcW w:w="7309" w:type="dxa"/>
            <w:noWrap w:val="0"/>
            <w:vAlign w:val="center"/>
          </w:tcPr>
          <w:p>
            <w:pPr>
              <w:widowControl/>
              <w:jc w:val="left"/>
              <w:textAlignment w:val="center"/>
              <w:rPr>
                <w:color w:val="000000" w:themeColor="text1"/>
                <w:spacing w:val="-21"/>
                <w:position w:val="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1、加工质量应符合国家标准GB/T22864-2009一等品的质量要求；原材料要求：纤维，含量：100%棉；</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2、规格（cm）：150×200cm；纤维含量：100%全棉；重量（g）：1000g；</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3、耐皂洗色牢度：≥3 、甲醛（mg/kg）：≦75、PH 值：4.0～8.5、可分解芳香胺：禁用，等指标符合GB18401-2010标准；</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4、颜色：根据客户要求；</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5、★重金属、致敏性燃料、致癌燃料、苯酚等指标符合GB/T18885-2009生态纺织品标准；（其参数在检验检测报告中体现，★提供检验检测报告予以佐证。）；</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6、包装要求：单件真空包装，外包装采用纸箱，20条/件</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7、储存年限：≥5 年</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8、纸箱：双瓦楞纸箱，面纸采用200g高耐破，里纸采用170gA级，夹心纸采用120gB级，瓦楞采用160g</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9、外包装上需标注数量、重量、体积、生产日期(宋体字)、产品名称、监制单位；其他按照MZ/T014.1-2010救灾被服第一部分：棉被6标志、包装、运输和贮存执行。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7</w:t>
            </w:r>
          </w:p>
        </w:tc>
        <w:tc>
          <w:tcPr>
            <w:tcW w:w="1081" w:type="dxa"/>
            <w:noWrap w:val="0"/>
            <w:vAlign w:val="center"/>
          </w:tcPr>
          <w:p>
            <w:pPr>
              <w:widowControl/>
              <w:jc w:val="center"/>
              <w:textAlignment w:val="center"/>
              <w:rPr>
                <w:color w:val="000000"/>
                <w:sz w:val="21"/>
                <w:szCs w:val="21"/>
              </w:rPr>
            </w:pPr>
            <w:r>
              <w:rPr>
                <w:rFonts w:hint="eastAsia" w:ascii="宋体" w:hAnsi="宋体"/>
                <w:b w:val="0"/>
                <w:bCs/>
                <w:color w:val="auto"/>
                <w:sz w:val="21"/>
                <w:szCs w:val="21"/>
              </w:rPr>
              <w:t>▲</w:t>
            </w:r>
            <w:r>
              <w:rPr>
                <w:rFonts w:hint="eastAsia" w:ascii="宋体" w:hAnsi="宋体" w:cs="宋体"/>
                <w:color w:val="000000"/>
                <w:kern w:val="0"/>
                <w:sz w:val="21"/>
                <w:szCs w:val="21"/>
                <w:lang w:bidi="ar"/>
              </w:rPr>
              <w:t>蚊帐</w:t>
            </w:r>
          </w:p>
        </w:tc>
        <w:tc>
          <w:tcPr>
            <w:tcW w:w="682" w:type="dxa"/>
            <w:noWrap w:val="0"/>
            <w:vAlign w:val="center"/>
          </w:tcPr>
          <w:p>
            <w:pPr>
              <w:widowControl/>
              <w:jc w:val="center"/>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个</w:t>
            </w:r>
          </w:p>
        </w:tc>
        <w:tc>
          <w:tcPr>
            <w:tcW w:w="886"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300 </w:t>
            </w:r>
          </w:p>
        </w:tc>
        <w:tc>
          <w:tcPr>
            <w:tcW w:w="7309" w:type="dxa"/>
            <w:noWrap w:val="0"/>
            <w:vAlign w:val="center"/>
          </w:tcPr>
          <w:p>
            <w:pPr>
              <w:widowControl/>
              <w:jc w:val="left"/>
              <w:textAlignment w:val="center"/>
              <w:rPr>
                <w:color w:val="000000" w:themeColor="text1"/>
                <w:spacing w:val="-21"/>
                <w:position w:val="1"/>
                <w:sz w:val="21"/>
                <w:szCs w:val="21"/>
                <w:highlight w:val="none"/>
                <w14:textFill>
                  <w14:solidFill>
                    <w14:schemeClr w14:val="tx1"/>
                  </w14:solidFill>
                </w14:textFill>
              </w:rPr>
            </w:pPr>
            <w:r>
              <w:rPr>
                <w:rFonts w:hint="eastAsia" w:ascii="宋体" w:hAnsi="宋体" w:cs="宋体"/>
                <w:color w:val="000000" w:themeColor="text1"/>
                <w:kern w:val="0"/>
                <w:sz w:val="21"/>
                <w:szCs w:val="21"/>
                <w:highlight w:val="none"/>
                <w:lang w:bidi="ar"/>
                <w14:textFill>
                  <w14:solidFill>
                    <w14:schemeClr w14:val="tx1"/>
                  </w14:solidFill>
                </w14:textFill>
              </w:rPr>
              <w:t>符合FZ/T62014-2015《蚊帐》、GB/T4668-1995《机织物密度》</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规格：长195cm×宽150cm×高190cm，含棉蚊帐</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★1.纤维含量（%）：聚酯纤维75±5、棉20±5、其它纤维5±3</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★2.规格尺寸：帐顶长195cm±3%，帐顶宽150cm±3%，帐高190cm±3%</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★3.织物密度(周围布：根/10cm)：径向≥115，纬向≥95</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（其参数在检验检测报告中体现，★</w:t>
            </w:r>
            <w:r>
              <w:rPr>
                <w:rFonts w:hint="eastAsia" w:ascii="宋体" w:hAnsi="宋体" w:cs="宋体"/>
                <w:color w:val="000000" w:themeColor="text1"/>
                <w:kern w:val="0"/>
                <w:sz w:val="21"/>
                <w:szCs w:val="21"/>
                <w:highlight w:val="none"/>
                <w:lang w:eastAsia="zh-CN" w:bidi="ar"/>
                <w14:textFill>
                  <w14:solidFill>
                    <w14:schemeClr w14:val="tx1"/>
                  </w14:solidFill>
                </w14:textFill>
              </w:rPr>
              <w:t>投标人投标时必须提供</w:t>
            </w:r>
            <w:r>
              <w:rPr>
                <w:rFonts w:hint="eastAsia" w:ascii="宋体" w:hAnsi="宋体" w:cs="宋体"/>
                <w:color w:val="000000" w:themeColor="text1"/>
                <w:kern w:val="0"/>
                <w:sz w:val="21"/>
                <w:szCs w:val="21"/>
                <w:highlight w:val="none"/>
                <w:lang w:val="en-US" w:eastAsia="zh-CN" w:bidi="ar"/>
                <w14:textFill>
                  <w14:solidFill>
                    <w14:schemeClr w14:val="tx1"/>
                  </w14:solidFill>
                </w14:textFill>
              </w:rPr>
              <w:t>2020年5月份以后的省级或省级以上具有检测资质的检测机构出具的检验检测报告原件进行核查。</w:t>
            </w:r>
            <w:r>
              <w:rPr>
                <w:rFonts w:hint="eastAsia" w:ascii="宋体" w:hAnsi="宋体" w:cs="宋体"/>
                <w:color w:val="000000" w:themeColor="text1"/>
                <w:kern w:val="0"/>
                <w:sz w:val="21"/>
                <w:szCs w:val="21"/>
                <w:highlight w:val="none"/>
                <w:lang w:bidi="ar"/>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8</w:t>
            </w:r>
          </w:p>
        </w:tc>
        <w:tc>
          <w:tcPr>
            <w:tcW w:w="1081" w:type="dxa"/>
            <w:noWrap w:val="0"/>
            <w:vAlign w:val="center"/>
          </w:tcPr>
          <w:p>
            <w:pPr>
              <w:widowControl/>
              <w:jc w:val="center"/>
              <w:textAlignment w:val="center"/>
              <w:rPr>
                <w:color w:val="000000"/>
                <w:sz w:val="21"/>
                <w:szCs w:val="21"/>
              </w:rPr>
            </w:pPr>
            <w:r>
              <w:rPr>
                <w:rFonts w:hint="eastAsia" w:ascii="宋体" w:hAnsi="宋体"/>
                <w:b w:val="0"/>
                <w:bCs/>
                <w:color w:val="auto"/>
                <w:sz w:val="21"/>
                <w:szCs w:val="21"/>
              </w:rPr>
              <w:t>▲</w:t>
            </w:r>
            <w:r>
              <w:rPr>
                <w:rFonts w:hint="eastAsia" w:ascii="宋体" w:hAnsi="宋体" w:cs="宋体"/>
                <w:color w:val="000000"/>
                <w:kern w:val="0"/>
                <w:sz w:val="21"/>
                <w:szCs w:val="21"/>
                <w:lang w:bidi="ar"/>
              </w:rPr>
              <w:t>卫生衣</w:t>
            </w:r>
          </w:p>
        </w:tc>
        <w:tc>
          <w:tcPr>
            <w:tcW w:w="682" w:type="dxa"/>
            <w:noWrap w:val="0"/>
            <w:vAlign w:val="center"/>
          </w:tcPr>
          <w:p>
            <w:pPr>
              <w:widowControl/>
              <w:jc w:val="center"/>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套</w:t>
            </w:r>
          </w:p>
        </w:tc>
        <w:tc>
          <w:tcPr>
            <w:tcW w:w="886"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300 </w:t>
            </w:r>
          </w:p>
        </w:tc>
        <w:tc>
          <w:tcPr>
            <w:tcW w:w="7309" w:type="dxa"/>
            <w:noWrap w:val="0"/>
            <w:vAlign w:val="center"/>
          </w:tcPr>
          <w:p>
            <w:pPr>
              <w:widowControl/>
              <w:jc w:val="left"/>
              <w:textAlignment w:val="center"/>
              <w:rPr>
                <w:color w:val="000000" w:themeColor="text1"/>
                <w:spacing w:val="-21"/>
                <w:position w:val="1"/>
                <w:sz w:val="21"/>
                <w:szCs w:val="21"/>
                <w:highlight w:val="none"/>
                <w14:textFill>
                  <w14:solidFill>
                    <w14:schemeClr w14:val="tx1"/>
                  </w14:solidFill>
                </w14:textFill>
              </w:rPr>
            </w:pPr>
            <w:r>
              <w:rPr>
                <w:rFonts w:hint="eastAsia" w:ascii="宋体" w:hAnsi="宋体" w:cs="宋体"/>
                <w:color w:val="000000" w:themeColor="text1"/>
                <w:kern w:val="0"/>
                <w:sz w:val="21"/>
                <w:szCs w:val="21"/>
                <w:highlight w:val="none"/>
                <w:lang w:bidi="ar"/>
                <w14:textFill>
                  <w14:solidFill>
                    <w14:schemeClr w14:val="tx1"/>
                  </w14:solidFill>
                </w14:textFill>
              </w:rPr>
              <w:t>符合FZ/T73020-2019《针织休闲服装》</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★1.耐皂洗色牢度（面料），级：变色≥3，沾色≥3</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★2.耐水色牢度（面料），级：变色≥3，沾色≥3</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★3.耐酸汗渍色牢度（面料），级：变色≥3，沾色≥3</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★4.耐碱汗渍色牢度（面料），级：变色≥3，沾色≥3</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★5.耐干摩擦色牢度（面料），级：直向≥3</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★6.耐湿摩擦色牢度（面料），级：直向≥4</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★7.甲醛含量（面料），mg/kg：含量≤20mg/kg</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★8.PH值（面料）：≥6.5</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★9.纤维含量（面料）%：聚酯纤维≥72.5，棉≥22.7</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绵羊毛、棉纶、腈纶、沾纤、苎麻其他纤维≤4.8</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★10.平方米干燥重量（面料），g/m²：≥449.0</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（其参数在检验检测报告中体现，★</w:t>
            </w:r>
            <w:r>
              <w:rPr>
                <w:rFonts w:hint="eastAsia" w:ascii="宋体" w:hAnsi="宋体" w:cs="宋体"/>
                <w:color w:val="000000" w:themeColor="text1"/>
                <w:kern w:val="0"/>
                <w:sz w:val="21"/>
                <w:szCs w:val="21"/>
                <w:highlight w:val="none"/>
                <w:lang w:eastAsia="zh-CN" w:bidi="ar"/>
                <w14:textFill>
                  <w14:solidFill>
                    <w14:schemeClr w14:val="tx1"/>
                  </w14:solidFill>
                </w14:textFill>
              </w:rPr>
              <w:t>投标人投标时必须提供</w:t>
            </w:r>
            <w:r>
              <w:rPr>
                <w:rFonts w:hint="eastAsia" w:ascii="宋体" w:hAnsi="宋体" w:cs="宋体"/>
                <w:color w:val="000000" w:themeColor="text1"/>
                <w:kern w:val="0"/>
                <w:sz w:val="21"/>
                <w:szCs w:val="21"/>
                <w:highlight w:val="none"/>
                <w:lang w:val="en-US" w:eastAsia="zh-CN" w:bidi="ar"/>
                <w14:textFill>
                  <w14:solidFill>
                    <w14:schemeClr w14:val="tx1"/>
                  </w14:solidFill>
                </w14:textFill>
              </w:rPr>
              <w:t>2020年5月份以后的省级或省级以上具有检测资质的检测机构出具的检验检测报告原件进行核查。</w:t>
            </w:r>
            <w:r>
              <w:rPr>
                <w:rFonts w:hint="eastAsia" w:ascii="宋体" w:hAnsi="宋体" w:cs="宋体"/>
                <w:color w:val="000000" w:themeColor="text1"/>
                <w:kern w:val="0"/>
                <w:sz w:val="21"/>
                <w:szCs w:val="21"/>
                <w:highlight w:val="none"/>
                <w:lang w:bidi="ar"/>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9</w:t>
            </w:r>
          </w:p>
        </w:tc>
        <w:tc>
          <w:tcPr>
            <w:tcW w:w="1081" w:type="dxa"/>
            <w:noWrap w:val="0"/>
            <w:vAlign w:val="center"/>
          </w:tcPr>
          <w:p>
            <w:pPr>
              <w:widowControl/>
              <w:jc w:val="center"/>
              <w:textAlignment w:val="center"/>
              <w:rPr>
                <w:color w:val="000000"/>
                <w:sz w:val="21"/>
                <w:szCs w:val="21"/>
              </w:rPr>
            </w:pPr>
            <w:r>
              <w:rPr>
                <w:rFonts w:hint="eastAsia" w:ascii="宋体" w:hAnsi="宋体"/>
                <w:b w:val="0"/>
                <w:bCs/>
                <w:color w:val="auto"/>
                <w:sz w:val="21"/>
                <w:szCs w:val="21"/>
              </w:rPr>
              <w:t>▲</w:t>
            </w:r>
            <w:r>
              <w:rPr>
                <w:rFonts w:hint="eastAsia" w:ascii="宋体" w:hAnsi="宋体" w:cs="宋体"/>
                <w:color w:val="000000"/>
                <w:kern w:val="0"/>
                <w:sz w:val="21"/>
                <w:szCs w:val="21"/>
                <w:lang w:bidi="ar"/>
              </w:rPr>
              <w:t>太空衣</w:t>
            </w:r>
          </w:p>
        </w:tc>
        <w:tc>
          <w:tcPr>
            <w:tcW w:w="682" w:type="dxa"/>
            <w:noWrap w:val="0"/>
            <w:vAlign w:val="center"/>
          </w:tcPr>
          <w:p>
            <w:pPr>
              <w:widowControl/>
              <w:jc w:val="center"/>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套</w:t>
            </w:r>
          </w:p>
        </w:tc>
        <w:tc>
          <w:tcPr>
            <w:tcW w:w="886"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500 </w:t>
            </w:r>
          </w:p>
        </w:tc>
        <w:tc>
          <w:tcPr>
            <w:tcW w:w="7309" w:type="dxa"/>
            <w:noWrap w:val="0"/>
            <w:vAlign w:val="center"/>
          </w:tcPr>
          <w:p>
            <w:pPr>
              <w:widowControl/>
              <w:jc w:val="left"/>
              <w:textAlignment w:val="center"/>
              <w:rPr>
                <w:color w:val="000000" w:themeColor="text1"/>
                <w:spacing w:val="-21"/>
                <w:position w:val="1"/>
                <w:sz w:val="21"/>
                <w:szCs w:val="21"/>
                <w:highlight w:val="none"/>
                <w14:textFill>
                  <w14:solidFill>
                    <w14:schemeClr w14:val="tx1"/>
                  </w14:solidFill>
                </w14:textFill>
              </w:rPr>
            </w:pPr>
            <w:r>
              <w:rPr>
                <w:rFonts w:hint="eastAsia" w:ascii="宋体" w:hAnsi="宋体" w:cs="宋体"/>
                <w:color w:val="000000" w:themeColor="text1"/>
                <w:kern w:val="0"/>
                <w:sz w:val="21"/>
                <w:szCs w:val="21"/>
                <w:highlight w:val="none"/>
                <w:lang w:bidi="ar"/>
                <w14:textFill>
                  <w14:solidFill>
                    <w14:schemeClr w14:val="tx1"/>
                  </w14:solidFill>
                </w14:textFill>
              </w:rPr>
              <w:t>符合GB/T2662-2017《棉服装》、GB/T4669-2008《纺织品、机织物单位长度质量和单位面积质量》</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★1.纤维含量（面料）%：聚酯纤维100%±0</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★2.纤维含量（填充物）%：聚酯纤维100%±0</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★3.规格尺寸cm：衣长 上衣88.6，胸围121.0，领大50.3，袖长 圆袖59.6</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★4.单位面积公定质量（面料）g/m²：≥215</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（其参数在检验检测报告中体现，★</w:t>
            </w:r>
            <w:r>
              <w:rPr>
                <w:rFonts w:hint="eastAsia" w:ascii="宋体" w:hAnsi="宋体" w:cs="宋体"/>
                <w:color w:val="000000" w:themeColor="text1"/>
                <w:kern w:val="0"/>
                <w:sz w:val="21"/>
                <w:szCs w:val="21"/>
                <w:highlight w:val="none"/>
                <w:lang w:eastAsia="zh-CN" w:bidi="ar"/>
                <w14:textFill>
                  <w14:solidFill>
                    <w14:schemeClr w14:val="tx1"/>
                  </w14:solidFill>
                </w14:textFill>
              </w:rPr>
              <w:t>投标人投标时必须提供</w:t>
            </w:r>
            <w:r>
              <w:rPr>
                <w:rFonts w:hint="eastAsia" w:ascii="宋体" w:hAnsi="宋体" w:cs="宋体"/>
                <w:color w:val="000000" w:themeColor="text1"/>
                <w:kern w:val="0"/>
                <w:sz w:val="21"/>
                <w:szCs w:val="21"/>
                <w:highlight w:val="none"/>
                <w:lang w:val="en-US" w:eastAsia="zh-CN" w:bidi="ar"/>
                <w14:textFill>
                  <w14:solidFill>
                    <w14:schemeClr w14:val="tx1"/>
                  </w14:solidFill>
                </w14:textFill>
              </w:rPr>
              <w:t>2020年5月份以后的省级或省级以上具有检测资质的检测机构出具的检验检测报告原件进行核查。</w:t>
            </w:r>
            <w:r>
              <w:rPr>
                <w:rFonts w:hint="eastAsia" w:ascii="宋体" w:hAnsi="宋体" w:cs="宋体"/>
                <w:color w:val="000000" w:themeColor="text1"/>
                <w:kern w:val="0"/>
                <w:sz w:val="21"/>
                <w:szCs w:val="21"/>
                <w:highlight w:val="none"/>
                <w:lang w:bidi="ar"/>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10</w:t>
            </w:r>
          </w:p>
        </w:tc>
        <w:tc>
          <w:tcPr>
            <w:tcW w:w="1081" w:type="dxa"/>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雨衣</w:t>
            </w:r>
          </w:p>
        </w:tc>
        <w:tc>
          <w:tcPr>
            <w:tcW w:w="682" w:type="dxa"/>
            <w:noWrap w:val="0"/>
            <w:vAlign w:val="center"/>
          </w:tcPr>
          <w:p>
            <w:pPr>
              <w:widowControl/>
              <w:jc w:val="center"/>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套</w:t>
            </w:r>
          </w:p>
        </w:tc>
        <w:tc>
          <w:tcPr>
            <w:tcW w:w="886"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300 </w:t>
            </w:r>
          </w:p>
        </w:tc>
        <w:tc>
          <w:tcPr>
            <w:tcW w:w="7309" w:type="dxa"/>
            <w:noWrap w:val="0"/>
            <w:vAlign w:val="center"/>
          </w:tcPr>
          <w:p>
            <w:pPr>
              <w:widowControl/>
              <w:jc w:val="left"/>
              <w:textAlignment w:val="center"/>
              <w:rPr>
                <w:color w:val="000000" w:themeColor="text1"/>
                <w:spacing w:val="-21"/>
                <w:position w:val="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1.抗洪抢险工作耐磨雨衣                                                                                                                                                                                                           2.老式全棉帆布橡胶连体长雨衣                                                                                                                                                                                                                                                                                 </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3.码数：XL、L、M码</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4.整箱规格：每箱15件</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5.高密防水雨衣，防雨耐磨防刮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11</w:t>
            </w:r>
          </w:p>
        </w:tc>
        <w:tc>
          <w:tcPr>
            <w:tcW w:w="1081" w:type="dxa"/>
            <w:noWrap w:val="0"/>
            <w:vAlign w:val="center"/>
          </w:tcPr>
          <w:p>
            <w:pPr>
              <w:widowControl/>
              <w:jc w:val="center"/>
              <w:textAlignment w:val="center"/>
              <w:rPr>
                <w:color w:val="000000"/>
                <w:sz w:val="21"/>
                <w:szCs w:val="21"/>
              </w:rPr>
            </w:pPr>
            <w:r>
              <w:rPr>
                <w:rFonts w:hint="eastAsia" w:ascii="宋体" w:hAnsi="宋体"/>
                <w:b w:val="0"/>
                <w:bCs/>
                <w:color w:val="auto"/>
                <w:sz w:val="21"/>
                <w:szCs w:val="21"/>
              </w:rPr>
              <w:t>▲</w:t>
            </w:r>
            <w:r>
              <w:rPr>
                <w:rFonts w:hint="eastAsia" w:ascii="宋体" w:hAnsi="宋体" w:cs="宋体"/>
                <w:color w:val="000000"/>
                <w:kern w:val="0"/>
                <w:sz w:val="21"/>
                <w:szCs w:val="21"/>
                <w:lang w:bidi="ar"/>
              </w:rPr>
              <w:t>毛巾</w:t>
            </w:r>
          </w:p>
        </w:tc>
        <w:tc>
          <w:tcPr>
            <w:tcW w:w="682" w:type="dxa"/>
            <w:noWrap w:val="0"/>
            <w:vAlign w:val="center"/>
          </w:tcPr>
          <w:p>
            <w:pPr>
              <w:widowControl/>
              <w:jc w:val="center"/>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条</w:t>
            </w:r>
          </w:p>
        </w:tc>
        <w:tc>
          <w:tcPr>
            <w:tcW w:w="886"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300 </w:t>
            </w:r>
          </w:p>
        </w:tc>
        <w:tc>
          <w:tcPr>
            <w:tcW w:w="7309" w:type="dxa"/>
            <w:noWrap w:val="0"/>
            <w:vAlign w:val="center"/>
          </w:tcPr>
          <w:p>
            <w:pPr>
              <w:widowControl/>
              <w:jc w:val="left"/>
              <w:textAlignment w:val="center"/>
              <w:rPr>
                <w:color w:val="000000" w:themeColor="text1"/>
                <w:spacing w:val="-21"/>
                <w:position w:val="1"/>
                <w:sz w:val="21"/>
                <w:szCs w:val="21"/>
                <w:highlight w:val="none"/>
                <w14:textFill>
                  <w14:solidFill>
                    <w14:schemeClr w14:val="tx1"/>
                  </w14:solidFill>
                </w14:textFill>
              </w:rPr>
            </w:pPr>
            <w:r>
              <w:rPr>
                <w:rFonts w:hint="eastAsia" w:ascii="宋体" w:hAnsi="宋体" w:cs="宋体"/>
                <w:color w:val="000000" w:themeColor="text1"/>
                <w:kern w:val="0"/>
                <w:sz w:val="21"/>
                <w:szCs w:val="21"/>
                <w:highlight w:val="none"/>
                <w:lang w:bidi="ar"/>
                <w14:textFill>
                  <w14:solidFill>
                    <w14:schemeClr w14:val="tx1"/>
                  </w14:solidFill>
                </w14:textFill>
              </w:rPr>
              <w:t>符合GB/T22864-2020《毛巾》</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★1.面料可分解致癌芳香胺染料24项：成份“无”，（检验报告中体现）</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★2.耐水色牢度（级）：变色≥3，沾色≥3</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★3.耐酸汗渍色牢度（级）：变色≥3，沾色≥3</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★4.耐碱汗渍色牢度（级）：变色≥3，沾色≥3</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★5.耐干摩擦色牢度（级）：≥3</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★6.耐湿摩擦色牢度（级）：≥3（涂料印花，深色2-3）</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★7.甲醛含量（mg/kg）：含量“无”</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★8.纤维含量（%）：棉100（缎档及装饰部分除外）</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备注：可分解致癌芳香胺染料检出限为5mg/kg，甲醛含量检出限为20mg/kg。</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（其参数在检验检测报告中体现，★</w:t>
            </w:r>
            <w:r>
              <w:rPr>
                <w:rFonts w:hint="eastAsia" w:ascii="宋体" w:hAnsi="宋体" w:cs="宋体"/>
                <w:color w:val="000000" w:themeColor="text1"/>
                <w:kern w:val="0"/>
                <w:sz w:val="21"/>
                <w:szCs w:val="21"/>
                <w:highlight w:val="none"/>
                <w:lang w:eastAsia="zh-CN" w:bidi="ar"/>
                <w14:textFill>
                  <w14:solidFill>
                    <w14:schemeClr w14:val="tx1"/>
                  </w14:solidFill>
                </w14:textFill>
              </w:rPr>
              <w:t>投标人投标时必须提供</w:t>
            </w:r>
            <w:r>
              <w:rPr>
                <w:rFonts w:hint="eastAsia" w:ascii="宋体" w:hAnsi="宋体" w:cs="宋体"/>
                <w:color w:val="000000" w:themeColor="text1"/>
                <w:kern w:val="0"/>
                <w:sz w:val="21"/>
                <w:szCs w:val="21"/>
                <w:highlight w:val="none"/>
                <w:lang w:val="en-US" w:eastAsia="zh-CN" w:bidi="ar"/>
                <w14:textFill>
                  <w14:solidFill>
                    <w14:schemeClr w14:val="tx1"/>
                  </w14:solidFill>
                </w14:textFill>
              </w:rPr>
              <w:t>2020年5月份以后的省级或省级以上具有检测资质的检测机构出具的检验检测报告原件进行核查。</w:t>
            </w:r>
            <w:r>
              <w:rPr>
                <w:rFonts w:hint="eastAsia" w:ascii="宋体" w:hAnsi="宋体" w:cs="宋体"/>
                <w:color w:val="000000" w:themeColor="text1"/>
                <w:kern w:val="0"/>
                <w:sz w:val="21"/>
                <w:szCs w:val="21"/>
                <w:highlight w:val="none"/>
                <w:lang w:bidi="ar"/>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12</w:t>
            </w:r>
          </w:p>
        </w:tc>
        <w:tc>
          <w:tcPr>
            <w:tcW w:w="1081" w:type="dxa"/>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雨鞋</w:t>
            </w:r>
          </w:p>
        </w:tc>
        <w:tc>
          <w:tcPr>
            <w:tcW w:w="682" w:type="dxa"/>
            <w:noWrap w:val="0"/>
            <w:vAlign w:val="center"/>
          </w:tcPr>
          <w:p>
            <w:pPr>
              <w:widowControl/>
              <w:jc w:val="center"/>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双</w:t>
            </w:r>
          </w:p>
        </w:tc>
        <w:tc>
          <w:tcPr>
            <w:tcW w:w="886"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300 </w:t>
            </w:r>
          </w:p>
        </w:tc>
        <w:tc>
          <w:tcPr>
            <w:tcW w:w="7309" w:type="dxa"/>
            <w:noWrap w:val="0"/>
            <w:vAlign w:val="center"/>
          </w:tcPr>
          <w:p>
            <w:pPr>
              <w:widowControl/>
              <w:jc w:val="left"/>
              <w:textAlignment w:val="center"/>
              <w:rPr>
                <w:color w:val="000000" w:themeColor="text1"/>
                <w:spacing w:val="-21"/>
                <w:position w:val="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高筒靴</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 xml:space="preserve">鞋面：PVC  </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 xml:space="preserve">筒高：高筒   </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功能：透气吸汗防滑</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男款6个码：39码、40码、41码、42码、43码、44码。</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女款5个码：36码、37码、38码、39码、40码。</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（其参数在检验检测报告中体现，★提供检验检测报告予以佐证。）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13</w:t>
            </w:r>
          </w:p>
        </w:tc>
        <w:tc>
          <w:tcPr>
            <w:tcW w:w="1081" w:type="dxa"/>
            <w:noWrap w:val="0"/>
            <w:vAlign w:val="center"/>
          </w:tcPr>
          <w:p>
            <w:pPr>
              <w:widowControl/>
              <w:jc w:val="center"/>
              <w:textAlignment w:val="center"/>
              <w:rPr>
                <w:color w:val="000000"/>
                <w:sz w:val="21"/>
                <w:szCs w:val="21"/>
              </w:rPr>
            </w:pPr>
            <w:r>
              <w:rPr>
                <w:rFonts w:hint="eastAsia" w:ascii="宋体" w:hAnsi="宋体"/>
                <w:b w:val="0"/>
                <w:bCs/>
                <w:color w:val="auto"/>
                <w:sz w:val="21"/>
                <w:szCs w:val="21"/>
              </w:rPr>
              <w:t>▲</w:t>
            </w:r>
            <w:r>
              <w:rPr>
                <w:rFonts w:hint="eastAsia" w:ascii="宋体" w:hAnsi="宋体" w:cs="宋体"/>
                <w:color w:val="000000"/>
                <w:kern w:val="0"/>
                <w:sz w:val="21"/>
                <w:szCs w:val="21"/>
                <w:lang w:bidi="ar"/>
              </w:rPr>
              <w:t>救生衣</w:t>
            </w:r>
          </w:p>
        </w:tc>
        <w:tc>
          <w:tcPr>
            <w:tcW w:w="682" w:type="dxa"/>
            <w:noWrap w:val="0"/>
            <w:vAlign w:val="center"/>
          </w:tcPr>
          <w:p>
            <w:pPr>
              <w:widowControl/>
              <w:jc w:val="center"/>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件</w:t>
            </w:r>
          </w:p>
        </w:tc>
        <w:tc>
          <w:tcPr>
            <w:tcW w:w="886"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330 </w:t>
            </w:r>
          </w:p>
        </w:tc>
        <w:tc>
          <w:tcPr>
            <w:tcW w:w="7309" w:type="dxa"/>
            <w:noWrap w:val="0"/>
            <w:vAlign w:val="center"/>
          </w:tcPr>
          <w:p>
            <w:pPr>
              <w:widowControl/>
              <w:jc w:val="left"/>
              <w:textAlignment w:val="center"/>
              <w:rPr>
                <w:color w:val="000000" w:themeColor="text1"/>
                <w:spacing w:val="-21"/>
                <w:position w:val="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符合JT-346-2004标准，浮力≥7.5KG</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1.要求：①材质：牛津布防水材料，填充物聚乙烯泡沫塑料</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 xml:space="preserve">  ②重量：500g</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 xml:space="preserve">  ③配置：包含口哨1个、反光片≥200cm²</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 xml:space="preserve">  ④浮力芯材指标：闭孔型泡沫，要求发泡均匀、孔径一致、无分解、开裂现象、无松散的颗粒状材料。</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2.浮力损失：24小时浮力损失≤2%</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3.穿着实验：①未充气普通：13s，恶劣：42s；②充气自动普通：15s，恶劣：45s；③手动普通：16s，恶劣：45s</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4.压力实验12h：手动充气室压力降低≤6%，自动充气室压力降低≤5%。</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5.受压试验：无胀大，无漏气。</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6.充气头载荷试验：救生衣能保证其气压超过30min。</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（其参数在检验检测报告中体现，★提供省级单位检验检测报告原件备查。）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14</w:t>
            </w:r>
          </w:p>
        </w:tc>
        <w:tc>
          <w:tcPr>
            <w:tcW w:w="1081" w:type="dxa"/>
            <w:noWrap w:val="0"/>
            <w:vAlign w:val="center"/>
          </w:tcPr>
          <w:p>
            <w:pPr>
              <w:widowControl/>
              <w:jc w:val="center"/>
              <w:textAlignment w:val="center"/>
              <w:rPr>
                <w:color w:val="000000"/>
                <w:sz w:val="21"/>
                <w:szCs w:val="21"/>
              </w:rPr>
            </w:pPr>
            <w:r>
              <w:rPr>
                <w:rFonts w:hint="eastAsia" w:ascii="宋体" w:hAnsi="宋体"/>
                <w:b w:val="0"/>
                <w:bCs/>
                <w:color w:val="auto"/>
                <w:sz w:val="21"/>
                <w:szCs w:val="21"/>
              </w:rPr>
              <w:t>▲</w:t>
            </w:r>
            <w:r>
              <w:rPr>
                <w:rFonts w:hint="eastAsia" w:ascii="宋体" w:hAnsi="宋体" w:cs="宋体"/>
                <w:color w:val="000000"/>
                <w:kern w:val="0"/>
                <w:sz w:val="21"/>
                <w:szCs w:val="21"/>
                <w:lang w:bidi="ar"/>
              </w:rPr>
              <w:t>喊话器</w:t>
            </w:r>
          </w:p>
        </w:tc>
        <w:tc>
          <w:tcPr>
            <w:tcW w:w="682" w:type="dxa"/>
            <w:noWrap w:val="0"/>
            <w:vAlign w:val="center"/>
          </w:tcPr>
          <w:p>
            <w:pPr>
              <w:widowControl/>
              <w:jc w:val="center"/>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个</w:t>
            </w:r>
          </w:p>
        </w:tc>
        <w:tc>
          <w:tcPr>
            <w:tcW w:w="886"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100 </w:t>
            </w:r>
          </w:p>
        </w:tc>
        <w:tc>
          <w:tcPr>
            <w:tcW w:w="7309" w:type="dxa"/>
            <w:noWrap w:val="0"/>
            <w:vAlign w:val="center"/>
          </w:tcPr>
          <w:p>
            <w:pPr>
              <w:widowControl/>
              <w:jc w:val="left"/>
              <w:textAlignment w:val="center"/>
              <w:rPr>
                <w:color w:val="000000" w:themeColor="text1"/>
                <w:spacing w:val="-21"/>
                <w:position w:val="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产品功能：扩音、哨音、录音</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 xml:space="preserve"> 产品电源：7.2V-9V ；产品功率：20W</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 xml:space="preserve"> 录音时间：12~20秒 ；频率特性：300HZ—20KHZ</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 xml:space="preserve"> 颜色：喊话器号筒为白色，后壳、手柄为蓝色。</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 xml:space="preserve"> 谐波失真：10%  ；传送范围：600米</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 xml:space="preserve"> 电池寿命(干)：扩-30小时 警-4小时</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 xml:space="preserve"> 产品规格(LWH)：机身长25cm；</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机身采用优质ABS黑色外壳；超长待机6小时以上；</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 xml:space="preserve">具有过充保护。产品重量：585克（不含电池）        </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 xml:space="preserve"> 全套喊话器由主机号筒、背带、主机后壳、麦克风、按键开关、充电器插孔、音量调节旋钮、讯号开关等组成。可实现警笛、扩音功能。由8节1.5VLR14型电池供电。</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（其参数在检验检测报告中体现，★提供省级单位检验检测报告原件备查。）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15</w:t>
            </w:r>
          </w:p>
        </w:tc>
        <w:tc>
          <w:tcPr>
            <w:tcW w:w="1081" w:type="dxa"/>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手电筒</w:t>
            </w:r>
          </w:p>
        </w:tc>
        <w:tc>
          <w:tcPr>
            <w:tcW w:w="682" w:type="dxa"/>
            <w:noWrap w:val="0"/>
            <w:vAlign w:val="center"/>
          </w:tcPr>
          <w:p>
            <w:pPr>
              <w:widowControl/>
              <w:jc w:val="center"/>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个</w:t>
            </w:r>
          </w:p>
        </w:tc>
        <w:tc>
          <w:tcPr>
            <w:tcW w:w="886"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300 </w:t>
            </w:r>
          </w:p>
        </w:tc>
        <w:tc>
          <w:tcPr>
            <w:tcW w:w="7309" w:type="dxa"/>
            <w:noWrap w:val="0"/>
            <w:vAlign w:val="center"/>
          </w:tcPr>
          <w:p>
            <w:pPr>
              <w:widowControl/>
              <w:jc w:val="left"/>
              <w:textAlignment w:val="center"/>
              <w:rPr>
                <w:color w:val="000000" w:themeColor="text1"/>
                <w:spacing w:val="-21"/>
                <w:position w:val="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1.灯珠型号：CREE XPE；</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2.镜片材质：光学凸透镜；</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3.工作档位：3档（强光-弱光-爆闪）；</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4.工作时间：连续照明不少于3小时；</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5.适用电池：1节18650锂电池</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 xml:space="preserve">6.流明亮度≥260流明； </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7.产品材质：铝合金；</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8.产品颜色：黑色；</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9.电池容量≥2800mAh；</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10.是否调焦：旋转调焦。</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11.灯体采用航空铝材精密加工氧化、抗强力碰撞和冲击，耐高低温，防水防尘。</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12.LED使用寿命：光源选用进口大功率LED，使用寿命长达1000小时。</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13.灯具性能：具有360度泛光照明及360度红色警示功能，具有强光、工作光、弱光、爆闪功能。</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14..系统：内置安卓系统USB接口，方便快捷充电，用5V安卓端口可直接充电，结构精巧，体积小，重量轻等优点。</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（其参数在检验检测报告中体现，★提供检验检测报告予以佐证。）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16" w:hRule="atLeast"/>
        </w:trPr>
        <w:tc>
          <w:tcPr>
            <w:tcW w:w="481" w:type="dxa"/>
            <w:gridSpan w:val="2"/>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16</w:t>
            </w:r>
          </w:p>
        </w:tc>
        <w:tc>
          <w:tcPr>
            <w:tcW w:w="1081" w:type="dxa"/>
            <w:noWrap w:val="0"/>
            <w:vAlign w:val="center"/>
          </w:tcPr>
          <w:p>
            <w:pPr>
              <w:widowControl/>
              <w:jc w:val="center"/>
              <w:textAlignment w:val="center"/>
              <w:rPr>
                <w:color w:val="000000"/>
                <w:sz w:val="21"/>
                <w:szCs w:val="21"/>
              </w:rPr>
            </w:pPr>
            <w:r>
              <w:rPr>
                <w:rFonts w:hint="eastAsia" w:ascii="宋体" w:hAnsi="宋体"/>
                <w:b w:val="0"/>
                <w:bCs/>
                <w:color w:val="auto"/>
                <w:sz w:val="21"/>
                <w:szCs w:val="21"/>
              </w:rPr>
              <w:t>▲</w:t>
            </w:r>
            <w:r>
              <w:rPr>
                <w:rFonts w:hint="eastAsia" w:ascii="宋体" w:hAnsi="宋体" w:cs="宋体"/>
                <w:color w:val="000000"/>
                <w:kern w:val="0"/>
                <w:sz w:val="21"/>
                <w:szCs w:val="21"/>
                <w:lang w:bidi="ar"/>
              </w:rPr>
              <w:t>背囊</w:t>
            </w:r>
          </w:p>
        </w:tc>
        <w:tc>
          <w:tcPr>
            <w:tcW w:w="682" w:type="dxa"/>
            <w:noWrap w:val="0"/>
            <w:vAlign w:val="center"/>
          </w:tcPr>
          <w:p>
            <w:pPr>
              <w:widowControl/>
              <w:jc w:val="center"/>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个</w:t>
            </w:r>
          </w:p>
        </w:tc>
        <w:tc>
          <w:tcPr>
            <w:tcW w:w="886"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300 </w:t>
            </w:r>
          </w:p>
        </w:tc>
        <w:tc>
          <w:tcPr>
            <w:tcW w:w="7309" w:type="dxa"/>
            <w:noWrap w:val="0"/>
            <w:vAlign w:val="center"/>
          </w:tcPr>
          <w:p>
            <w:pPr>
              <w:widowControl/>
              <w:jc w:val="left"/>
              <w:textAlignment w:val="center"/>
              <w:rPr>
                <w:color w:val="000000" w:themeColor="text1"/>
                <w:spacing w:val="-21"/>
                <w:position w:val="1"/>
                <w:sz w:val="21"/>
                <w:szCs w:val="21"/>
                <w:highlight w:val="none"/>
                <w14:textFill>
                  <w14:solidFill>
                    <w14:schemeClr w14:val="tx1"/>
                  </w14:solidFill>
                </w14:textFill>
              </w:rPr>
            </w:pPr>
            <w:r>
              <w:rPr>
                <w:rFonts w:hint="eastAsia" w:ascii="宋体" w:hAnsi="宋体" w:cs="宋体"/>
                <w:color w:val="000000" w:themeColor="text1"/>
                <w:kern w:val="0"/>
                <w:sz w:val="21"/>
                <w:szCs w:val="21"/>
                <w:highlight w:val="none"/>
                <w:lang w:bidi="ar"/>
                <w14:textFill>
                  <w14:solidFill>
                    <w14:schemeClr w14:val="tx1"/>
                  </w14:solidFill>
                </w14:textFill>
              </w:rPr>
              <w:t>符合QB/T1333-2018</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★1.面料可分解有害芳香胺染料24项：成份“无”，（检验报告中体现）。</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★2.缝合强度（N）：在100mm×30mm有效面积上≥240N。</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★3.拉链耐用度：无掉牙、无错牙、无损坏。</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★4.面料干摩擦色牢度:径向≥4，纬向≥4。</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★5.面料湿摩擦色牢度：径向≥4，纬向≥4。</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★6.游离甲醛（面料）mg/kg:成份“无”。</w:t>
            </w:r>
            <w:r>
              <w:rPr>
                <w:rFonts w:hint="eastAsia" w:ascii="宋体" w:hAnsi="宋体" w:cs="宋体"/>
                <w:color w:val="000000" w:themeColor="text1"/>
                <w:kern w:val="0"/>
                <w:sz w:val="21"/>
                <w:szCs w:val="21"/>
                <w:highlight w:val="none"/>
                <w:lang w:bidi="ar"/>
                <w14:textFill>
                  <w14:solidFill>
                    <w14:schemeClr w14:val="tx1"/>
                  </w14:solidFill>
                </w14:textFill>
              </w:rPr>
              <w:br w:type="textWrapping"/>
            </w:r>
            <w:r>
              <w:rPr>
                <w:rFonts w:hint="eastAsia" w:ascii="宋体" w:hAnsi="宋体" w:cs="宋体"/>
                <w:color w:val="000000" w:themeColor="text1"/>
                <w:kern w:val="0"/>
                <w:sz w:val="21"/>
                <w:szCs w:val="21"/>
                <w:highlight w:val="none"/>
                <w:lang w:bidi="ar"/>
                <w14:textFill>
                  <w14:solidFill>
                    <w14:schemeClr w14:val="tx1"/>
                  </w14:solidFill>
                </w14:textFill>
              </w:rPr>
              <w:t>（其参数在检验检测报告中体现，★</w:t>
            </w:r>
            <w:r>
              <w:rPr>
                <w:rFonts w:hint="eastAsia" w:ascii="宋体" w:hAnsi="宋体" w:cs="宋体"/>
                <w:color w:val="000000" w:themeColor="text1"/>
                <w:kern w:val="0"/>
                <w:sz w:val="21"/>
                <w:szCs w:val="21"/>
                <w:highlight w:val="none"/>
                <w:lang w:eastAsia="zh-CN" w:bidi="ar"/>
                <w14:textFill>
                  <w14:solidFill>
                    <w14:schemeClr w14:val="tx1"/>
                  </w14:solidFill>
                </w14:textFill>
              </w:rPr>
              <w:t>投标人投标时必须提供</w:t>
            </w:r>
            <w:r>
              <w:rPr>
                <w:rFonts w:hint="eastAsia" w:ascii="宋体" w:hAnsi="宋体" w:cs="宋体"/>
                <w:color w:val="000000" w:themeColor="text1"/>
                <w:kern w:val="0"/>
                <w:sz w:val="21"/>
                <w:szCs w:val="21"/>
                <w:highlight w:val="none"/>
                <w:lang w:val="en-US" w:eastAsia="zh-CN" w:bidi="ar"/>
                <w14:textFill>
                  <w14:solidFill>
                    <w14:schemeClr w14:val="tx1"/>
                  </w14:solidFill>
                </w14:textFill>
              </w:rPr>
              <w:t>2020年5月份以后的省级或省级以上具有检测资质的检测机构出具的检验检测报告原件进行核查。</w:t>
            </w:r>
            <w:r>
              <w:rPr>
                <w:rFonts w:hint="eastAsia" w:ascii="宋体" w:hAnsi="宋体" w:cs="宋体"/>
                <w:color w:val="000000" w:themeColor="text1"/>
                <w:kern w:val="0"/>
                <w:sz w:val="21"/>
                <w:szCs w:val="21"/>
                <w:highlight w:val="none"/>
                <w:lang w:bidi="ar"/>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295" w:hRule="atLeast"/>
        </w:trPr>
        <w:tc>
          <w:tcPr>
            <w:tcW w:w="481" w:type="dxa"/>
            <w:gridSpan w:val="2"/>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17</w:t>
            </w:r>
          </w:p>
        </w:tc>
        <w:tc>
          <w:tcPr>
            <w:tcW w:w="1081" w:type="dxa"/>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编织袋</w:t>
            </w:r>
          </w:p>
        </w:tc>
        <w:tc>
          <w:tcPr>
            <w:tcW w:w="682" w:type="dxa"/>
            <w:noWrap w:val="0"/>
            <w:vAlign w:val="center"/>
          </w:tcPr>
          <w:p>
            <w:pPr>
              <w:widowControl/>
              <w:jc w:val="center"/>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个</w:t>
            </w:r>
          </w:p>
        </w:tc>
        <w:tc>
          <w:tcPr>
            <w:tcW w:w="886"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2020 </w:t>
            </w:r>
          </w:p>
        </w:tc>
        <w:tc>
          <w:tcPr>
            <w:tcW w:w="7309" w:type="dxa"/>
            <w:noWrap w:val="0"/>
            <w:vAlign w:val="center"/>
          </w:tcPr>
          <w:p>
            <w:pPr>
              <w:widowControl/>
              <w:jc w:val="left"/>
              <w:textAlignment w:val="center"/>
              <w:rPr>
                <w:color w:val="000000" w:themeColor="text1"/>
                <w:spacing w:val="-21"/>
                <w:position w:val="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规格型号：55cm×95cm防汛抗老化编织袋（Ⅱ型）</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材质：全新聚丙烯树脂</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1.编织袋尺寸（cm）：55×95（±1.0）</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2.质量（g/条）：100±3</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3.经纬向编织密度（根/10cm）：40×40～48×48（-2）</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4.拉伸断裂强度（KN/m）：径向≥18，纬向≥16</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5.断裂伸长率（%）：径向≥15，纬向≥15</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6.缝向断裂强度（kN/m）：≥7</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7.等效孔径Ovs（mm）：0.1-0.5</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8.顶破强力(kN):≥1.2</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9.摩擦系数:≥0.3</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10.强力保持率（莹光灯照射96h）:≥80%</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11.缝向断裂强度（kN/m）：≥7</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（其参数在检验检测报告中体现，★提供检验检测报告予以佐证。）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808" w:hRule="atLeast"/>
        </w:trPr>
        <w:tc>
          <w:tcPr>
            <w:tcW w:w="481" w:type="dxa"/>
            <w:gridSpan w:val="2"/>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18</w:t>
            </w:r>
          </w:p>
        </w:tc>
        <w:tc>
          <w:tcPr>
            <w:tcW w:w="1081" w:type="dxa"/>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土工布</w:t>
            </w:r>
          </w:p>
        </w:tc>
        <w:tc>
          <w:tcPr>
            <w:tcW w:w="682" w:type="dxa"/>
            <w:noWrap w:val="0"/>
            <w:vAlign w:val="center"/>
          </w:tcPr>
          <w:p>
            <w:pPr>
              <w:widowControl/>
              <w:jc w:val="center"/>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梱</w:t>
            </w:r>
          </w:p>
        </w:tc>
        <w:tc>
          <w:tcPr>
            <w:tcW w:w="886"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30 </w:t>
            </w:r>
          </w:p>
        </w:tc>
        <w:tc>
          <w:tcPr>
            <w:tcW w:w="7309" w:type="dxa"/>
            <w:noWrap w:val="0"/>
            <w:vAlign w:val="center"/>
          </w:tcPr>
          <w:p>
            <w:pPr>
              <w:widowControl/>
              <w:jc w:val="left"/>
              <w:textAlignment w:val="center"/>
              <w:rPr>
                <w:color w:val="000000" w:themeColor="text1"/>
                <w:spacing w:val="-21"/>
                <w:position w:val="1"/>
                <w:sz w:val="21"/>
                <w:szCs w:val="21"/>
                <w14:textFill>
                  <w14:solidFill>
                    <w14:schemeClr w14:val="tx1"/>
                  </w14:solidFill>
                </w14:textFill>
              </w:rPr>
            </w:pPr>
            <w:r>
              <w:rPr>
                <w:rStyle w:val="210"/>
                <w:rFonts w:hint="default"/>
                <w:color w:val="000000" w:themeColor="text1"/>
                <w:sz w:val="21"/>
                <w:szCs w:val="21"/>
                <w:lang w:bidi="ar"/>
                <w14:textFill>
                  <w14:solidFill>
                    <w14:schemeClr w14:val="tx1"/>
                  </w14:solidFill>
                </w14:textFill>
              </w:rPr>
              <w:t xml:space="preserve">规格：每梱6米×50米，材质：涤纶 </w:t>
            </w:r>
            <w:r>
              <w:rPr>
                <w:rStyle w:val="210"/>
                <w:rFonts w:hint="default"/>
                <w:color w:val="000000" w:themeColor="text1"/>
                <w:sz w:val="21"/>
                <w:szCs w:val="21"/>
                <w:lang w:bidi="ar"/>
                <w14:textFill>
                  <w14:solidFill>
                    <w14:schemeClr w14:val="tx1"/>
                  </w14:solidFill>
                </w14:textFill>
              </w:rPr>
              <w:br w:type="textWrapping"/>
            </w:r>
            <w:r>
              <w:rPr>
                <w:rStyle w:val="210"/>
                <w:rFonts w:hint="default"/>
                <w:color w:val="000000" w:themeColor="text1"/>
                <w:sz w:val="21"/>
                <w:szCs w:val="21"/>
                <w:lang w:bidi="ar"/>
                <w14:textFill>
                  <w14:solidFill>
                    <w14:schemeClr w14:val="tx1"/>
                  </w14:solidFill>
                </w14:textFill>
              </w:rPr>
              <w:t>1.断裂强度（KN/m）：纵向CD≥6.5，横向MD≥6.5</w:t>
            </w:r>
            <w:r>
              <w:rPr>
                <w:rStyle w:val="210"/>
                <w:rFonts w:hint="default"/>
                <w:color w:val="000000" w:themeColor="text1"/>
                <w:sz w:val="21"/>
                <w:szCs w:val="21"/>
                <w:lang w:bidi="ar"/>
                <w14:textFill>
                  <w14:solidFill>
                    <w14:schemeClr w14:val="tx1"/>
                  </w14:solidFill>
                </w14:textFill>
              </w:rPr>
              <w:br w:type="textWrapping"/>
            </w:r>
            <w:r>
              <w:rPr>
                <w:rStyle w:val="210"/>
                <w:rFonts w:hint="default"/>
                <w:color w:val="000000" w:themeColor="text1"/>
                <w:sz w:val="21"/>
                <w:szCs w:val="21"/>
                <w:lang w:bidi="ar"/>
                <w14:textFill>
                  <w14:solidFill>
                    <w14:schemeClr w14:val="tx1"/>
                  </w14:solidFill>
                </w14:textFill>
              </w:rPr>
              <w:t>2.断裂伸长率（%）：纵向CD（25～100）%，横向MD≥（25～100）%</w:t>
            </w:r>
            <w:r>
              <w:rPr>
                <w:rStyle w:val="210"/>
                <w:rFonts w:hint="default"/>
                <w:color w:val="000000" w:themeColor="text1"/>
                <w:sz w:val="21"/>
                <w:szCs w:val="21"/>
                <w:lang w:bidi="ar"/>
                <w14:textFill>
                  <w14:solidFill>
                    <w14:schemeClr w14:val="tx1"/>
                  </w14:solidFill>
                </w14:textFill>
              </w:rPr>
              <w:br w:type="textWrapping"/>
            </w:r>
            <w:r>
              <w:rPr>
                <w:rStyle w:val="210"/>
                <w:rFonts w:hint="default"/>
                <w:color w:val="000000" w:themeColor="text1"/>
                <w:sz w:val="21"/>
                <w:szCs w:val="21"/>
                <w:lang w:bidi="ar"/>
                <w14:textFill>
                  <w14:solidFill>
                    <w14:schemeClr w14:val="tx1"/>
                  </w14:solidFill>
                </w14:textFill>
              </w:rPr>
              <w:t>3.老化后断裂强度保持率（%）：纵向CD≥70，横向MD≥70</w:t>
            </w:r>
            <w:r>
              <w:rPr>
                <w:rStyle w:val="210"/>
                <w:rFonts w:hint="default"/>
                <w:color w:val="000000" w:themeColor="text1"/>
                <w:sz w:val="21"/>
                <w:szCs w:val="21"/>
                <w:lang w:bidi="ar"/>
                <w14:textFill>
                  <w14:solidFill>
                    <w14:schemeClr w14:val="tx1"/>
                  </w14:solidFill>
                </w14:textFill>
              </w:rPr>
              <w:br w:type="textWrapping"/>
            </w:r>
            <w:r>
              <w:rPr>
                <w:rStyle w:val="210"/>
                <w:rFonts w:hint="default"/>
                <w:color w:val="000000" w:themeColor="text1"/>
                <w:sz w:val="21"/>
                <w:szCs w:val="21"/>
                <w:lang w:bidi="ar"/>
                <w14:textFill>
                  <w14:solidFill>
                    <w14:schemeClr w14:val="tx1"/>
                  </w14:solidFill>
                </w14:textFill>
              </w:rPr>
              <w:t>4.顶破强力：纵向CD≥0.9kN</w:t>
            </w:r>
            <w:r>
              <w:rPr>
                <w:rStyle w:val="210"/>
                <w:rFonts w:hint="default"/>
                <w:color w:val="000000" w:themeColor="text1"/>
                <w:sz w:val="21"/>
                <w:szCs w:val="21"/>
                <w:lang w:bidi="ar"/>
                <w14:textFill>
                  <w14:solidFill>
                    <w14:schemeClr w14:val="tx1"/>
                  </w14:solidFill>
                </w14:textFill>
              </w:rPr>
              <w:br w:type="textWrapping"/>
            </w:r>
            <w:r>
              <w:rPr>
                <w:rStyle w:val="210"/>
                <w:rFonts w:hint="default"/>
                <w:color w:val="000000" w:themeColor="text1"/>
                <w:sz w:val="21"/>
                <w:szCs w:val="21"/>
                <w:lang w:bidi="ar"/>
                <w14:textFill>
                  <w14:solidFill>
                    <w14:schemeClr w14:val="tx1"/>
                  </w14:solidFill>
                </w14:textFill>
              </w:rPr>
              <w:t>5.等效孔径：横向MD 0.07～0.02mm</w:t>
            </w:r>
            <w:r>
              <w:rPr>
                <w:rStyle w:val="210"/>
                <w:rFonts w:hint="default"/>
                <w:color w:val="000000" w:themeColor="text1"/>
                <w:sz w:val="21"/>
                <w:szCs w:val="21"/>
                <w:lang w:bidi="ar"/>
                <w14:textFill>
                  <w14:solidFill>
                    <w14:schemeClr w14:val="tx1"/>
                  </w14:solidFill>
                </w14:textFill>
              </w:rPr>
              <w:br w:type="textWrapping"/>
            </w:r>
            <w:r>
              <w:rPr>
                <w:rStyle w:val="210"/>
                <w:rFonts w:hint="default"/>
                <w:color w:val="000000" w:themeColor="text1"/>
                <w:sz w:val="21"/>
                <w:szCs w:val="21"/>
                <w:lang w:bidi="ar"/>
                <w14:textFill>
                  <w14:solidFill>
                    <w14:schemeClr w14:val="tx1"/>
                  </w14:solidFill>
                </w14:textFill>
              </w:rPr>
              <w:t>6.渗透系数（L/m2.s）：10±4.0</w:t>
            </w:r>
            <w:r>
              <w:rPr>
                <w:rStyle w:val="210"/>
                <w:rFonts w:hint="default"/>
                <w:color w:val="000000" w:themeColor="text1"/>
                <w:sz w:val="21"/>
                <w:szCs w:val="21"/>
                <w:lang w:bidi="ar"/>
                <w14:textFill>
                  <w14:solidFill>
                    <w14:schemeClr w14:val="tx1"/>
                  </w14:solidFill>
                </w14:textFill>
              </w:rPr>
              <w:br w:type="textWrapping"/>
            </w:r>
            <w:r>
              <w:rPr>
                <w:rStyle w:val="210"/>
                <w:rFonts w:hint="default"/>
                <w:color w:val="000000" w:themeColor="text1"/>
                <w:sz w:val="21"/>
                <w:szCs w:val="21"/>
                <w:lang w:bidi="ar"/>
                <w14:textFill>
                  <w14:solidFill>
                    <w14:schemeClr w14:val="tx1"/>
                  </w14:solidFill>
                </w14:textFill>
              </w:rPr>
              <w:t>7.梯形撕破强力（KN）：纵向CD≥0.2</w:t>
            </w:r>
            <w:r>
              <w:rPr>
                <w:rStyle w:val="210"/>
                <w:rFonts w:hint="default"/>
                <w:color w:val="000000" w:themeColor="text1"/>
                <w:sz w:val="21"/>
                <w:szCs w:val="21"/>
                <w:lang w:bidi="ar"/>
                <w14:textFill>
                  <w14:solidFill>
                    <w14:schemeClr w14:val="tx1"/>
                  </w14:solidFill>
                </w14:textFill>
              </w:rPr>
              <w:br w:type="textWrapping"/>
            </w:r>
            <w:r>
              <w:rPr>
                <w:rStyle w:val="210"/>
                <w:rFonts w:hint="default"/>
                <w:color w:val="000000" w:themeColor="text1"/>
                <w:sz w:val="21"/>
                <w:szCs w:val="21"/>
                <w:lang w:bidi="ar"/>
                <w14:textFill>
                  <w14:solidFill>
                    <w14:schemeClr w14:val="tx1"/>
                  </w14:solidFill>
                </w14:textFill>
              </w:rPr>
              <w:t>8.单位面积质量（g/m²）：≥200</w:t>
            </w:r>
            <w:r>
              <w:rPr>
                <w:rStyle w:val="210"/>
                <w:rFonts w:hint="default"/>
                <w:color w:val="000000" w:themeColor="text1"/>
                <w:sz w:val="21"/>
                <w:szCs w:val="21"/>
                <w:lang w:bidi="ar"/>
                <w14:textFill>
                  <w14:solidFill>
                    <w14:schemeClr w14:val="tx1"/>
                  </w14:solidFill>
                </w14:textFill>
              </w:rPr>
              <w:br w:type="textWrapping"/>
            </w:r>
            <w:r>
              <w:rPr>
                <w:rStyle w:val="210"/>
                <w:rFonts w:hint="default"/>
                <w:color w:val="000000" w:themeColor="text1"/>
                <w:sz w:val="21"/>
                <w:szCs w:val="21"/>
                <w:lang w:bidi="ar"/>
                <w14:textFill>
                  <w14:solidFill>
                    <w14:schemeClr w14:val="tx1"/>
                  </w14:solidFill>
                </w14:textFill>
              </w:rPr>
              <w:t>（其参数在检验检测报告中体现，★提供检验检测报告予以佐证。）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41" w:hRule="atLeast"/>
        </w:trPr>
        <w:tc>
          <w:tcPr>
            <w:tcW w:w="481" w:type="dxa"/>
            <w:gridSpan w:val="2"/>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19</w:t>
            </w:r>
          </w:p>
        </w:tc>
        <w:tc>
          <w:tcPr>
            <w:tcW w:w="1081" w:type="dxa"/>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救生圈</w:t>
            </w:r>
          </w:p>
        </w:tc>
        <w:tc>
          <w:tcPr>
            <w:tcW w:w="682" w:type="dxa"/>
            <w:noWrap w:val="0"/>
            <w:vAlign w:val="center"/>
          </w:tcPr>
          <w:p>
            <w:pPr>
              <w:widowControl/>
              <w:jc w:val="center"/>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个</w:t>
            </w:r>
          </w:p>
        </w:tc>
        <w:tc>
          <w:tcPr>
            <w:tcW w:w="886"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300 </w:t>
            </w:r>
          </w:p>
        </w:tc>
        <w:tc>
          <w:tcPr>
            <w:tcW w:w="7309" w:type="dxa"/>
            <w:noWrap w:val="0"/>
            <w:vAlign w:val="center"/>
          </w:tcPr>
          <w:p>
            <w:pPr>
              <w:widowControl/>
              <w:jc w:val="left"/>
              <w:textAlignment w:val="center"/>
              <w:rPr>
                <w:color w:val="000000" w:themeColor="text1"/>
                <w:spacing w:val="-21"/>
                <w:position w:val="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救生圈应耐高低温，无皱缩、破裂、膨胀、分解。从规</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定高度投落后，无开裂或破碎。耐油，无皱缩、破裂、</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膨胀、分解。耐火，不应燃烧或过火后继续融化。能支</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承14.5kg的铁块在淡水中持续漂浮24h。在自由悬挂情</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况下，应能承受90kg 重量持续30min 而无破裂和永久</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变形。</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1、外表颜色应为橙红色，且无色差。</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2、表面应无凹凸、无开裂</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3、沿救生圈周长四个相等间距位置，应环绕贴有 50㎜</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宽度的逆向反光带。</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4、外径应不大于800㎜，内径应不小于400㎜。</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5、救生圈外围应装有直径不小于9.5㎜、长度不小于救</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生圈外径四倍的可浮把手索。此索应紧固在圈体周边四</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个等距位置上，并形成四个等长的索环</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6、救生圈重量应大于2.5㎏。配有自亮浮灯所附速抛装置的救生圈，重量应大于4㎏。</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7、整体式救生圈的材料和外壳内充式救生圈的内充材料应采用闭孔型发泡材料。</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（其参数在检验检测报告中体现，★提供检验检测报告予以佐证。）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36" w:hRule="atLeast"/>
        </w:trPr>
        <w:tc>
          <w:tcPr>
            <w:tcW w:w="481" w:type="dxa"/>
            <w:gridSpan w:val="2"/>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20</w:t>
            </w:r>
          </w:p>
        </w:tc>
        <w:tc>
          <w:tcPr>
            <w:tcW w:w="1081" w:type="dxa"/>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防汛麻袋</w:t>
            </w:r>
          </w:p>
        </w:tc>
        <w:tc>
          <w:tcPr>
            <w:tcW w:w="682" w:type="dxa"/>
            <w:noWrap w:val="0"/>
            <w:vAlign w:val="center"/>
          </w:tcPr>
          <w:p>
            <w:pPr>
              <w:widowControl/>
              <w:jc w:val="center"/>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条</w:t>
            </w:r>
          </w:p>
        </w:tc>
        <w:tc>
          <w:tcPr>
            <w:tcW w:w="886"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1000 </w:t>
            </w:r>
          </w:p>
        </w:tc>
        <w:tc>
          <w:tcPr>
            <w:tcW w:w="7309" w:type="dxa"/>
            <w:noWrap w:val="0"/>
            <w:vAlign w:val="center"/>
          </w:tcPr>
          <w:p>
            <w:pPr>
              <w:widowControl/>
              <w:jc w:val="left"/>
              <w:textAlignment w:val="center"/>
              <w:rPr>
                <w:color w:val="000000" w:themeColor="text1"/>
                <w:spacing w:val="-21"/>
                <w:position w:val="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双层加厚防汛专用麻袋，规格：70cm×50cm，重量≥550g。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491" w:hRule="atLeast"/>
        </w:trPr>
        <w:tc>
          <w:tcPr>
            <w:tcW w:w="481" w:type="dxa"/>
            <w:gridSpan w:val="2"/>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21</w:t>
            </w:r>
          </w:p>
        </w:tc>
        <w:tc>
          <w:tcPr>
            <w:tcW w:w="1081" w:type="dxa"/>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彩条布</w:t>
            </w:r>
          </w:p>
        </w:tc>
        <w:tc>
          <w:tcPr>
            <w:tcW w:w="682" w:type="dxa"/>
            <w:noWrap w:val="0"/>
            <w:vAlign w:val="center"/>
          </w:tcPr>
          <w:p>
            <w:pPr>
              <w:widowControl/>
              <w:jc w:val="center"/>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梱</w:t>
            </w:r>
          </w:p>
        </w:tc>
        <w:tc>
          <w:tcPr>
            <w:tcW w:w="886"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20 </w:t>
            </w:r>
          </w:p>
        </w:tc>
        <w:tc>
          <w:tcPr>
            <w:tcW w:w="7309" w:type="dxa"/>
            <w:noWrap w:val="0"/>
            <w:vAlign w:val="center"/>
          </w:tcPr>
          <w:p>
            <w:pPr>
              <w:widowControl/>
              <w:jc w:val="left"/>
              <w:textAlignment w:val="center"/>
              <w:rPr>
                <w:color w:val="000000" w:themeColor="text1"/>
                <w:spacing w:val="-21"/>
                <w:position w:val="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规格：每梱6米×30米，符合SL297-2004,符合表3、3、4防汛复合土工膜要求。</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1.单位面积质量（g/m²）：≥150</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2.CBR顶破强力（KN）：≥1.6</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3.纵向断裂强度（KN/m）：≥20，纵向标称强度时伸长率（%）：≥15</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4.横向断裂强度（KN/m）：≥15，横向标称强度时伸长率（%）：≥15</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5.纵向撕破力（KN）：≥0.3，横向撕破力（kN）：≥0.3</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6.等效孔径（mm）：0.1～0.5</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（其参数在检验检测报告中体现，★提供检验检测报告予以佐证。）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07" w:hRule="atLeast"/>
        </w:trPr>
        <w:tc>
          <w:tcPr>
            <w:tcW w:w="481" w:type="dxa"/>
            <w:gridSpan w:val="2"/>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22</w:t>
            </w:r>
          </w:p>
        </w:tc>
        <w:tc>
          <w:tcPr>
            <w:tcW w:w="1081" w:type="dxa"/>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双人帐篷</w:t>
            </w:r>
          </w:p>
        </w:tc>
        <w:tc>
          <w:tcPr>
            <w:tcW w:w="682" w:type="dxa"/>
            <w:noWrap w:val="0"/>
            <w:vAlign w:val="center"/>
          </w:tcPr>
          <w:p>
            <w:pPr>
              <w:widowControl/>
              <w:jc w:val="center"/>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顶</w:t>
            </w:r>
          </w:p>
        </w:tc>
        <w:tc>
          <w:tcPr>
            <w:tcW w:w="886"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100 </w:t>
            </w:r>
          </w:p>
        </w:tc>
        <w:tc>
          <w:tcPr>
            <w:tcW w:w="7309" w:type="dxa"/>
            <w:noWrap w:val="0"/>
            <w:vAlign w:val="center"/>
          </w:tcPr>
          <w:p>
            <w:pPr>
              <w:widowControl/>
              <w:jc w:val="left"/>
              <w:textAlignment w:val="center"/>
              <w:rPr>
                <w:color w:val="000000" w:themeColor="text1"/>
                <w:spacing w:val="-21"/>
                <w:position w:val="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星空迷彩自动帐篷</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外账材质：210T PU3000mm防水</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内账材质：210T PU3000mm防水</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帐底材质：150D PU3000mm防水</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帐篷杆子：玻璃纤维8.5mm</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展开尺寸：200cm*200cm*140cm</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包装尺寸：75cm*15cm*15cm</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帐篷重量：3.6kg，颜色：星空迷彩，配件：地钉、风绳</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弹簧式伸缩杆设计，搭建收取更加容易。</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挑檐连接，顶部帐杆与挑檐处角片连接在一起。</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双人，210D迷彩牛津铝合金支撑杆结构。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23</w:t>
            </w:r>
          </w:p>
        </w:tc>
        <w:tc>
          <w:tcPr>
            <w:tcW w:w="1081" w:type="dxa"/>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折叠床</w:t>
            </w:r>
          </w:p>
        </w:tc>
        <w:tc>
          <w:tcPr>
            <w:tcW w:w="682" w:type="dxa"/>
            <w:noWrap w:val="0"/>
            <w:vAlign w:val="center"/>
          </w:tcPr>
          <w:p>
            <w:pPr>
              <w:widowControl/>
              <w:jc w:val="center"/>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张</w:t>
            </w:r>
          </w:p>
        </w:tc>
        <w:tc>
          <w:tcPr>
            <w:tcW w:w="886"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200 </w:t>
            </w:r>
          </w:p>
        </w:tc>
        <w:tc>
          <w:tcPr>
            <w:tcW w:w="7309" w:type="dxa"/>
            <w:noWrap w:val="0"/>
            <w:vAlign w:val="center"/>
          </w:tcPr>
          <w:p>
            <w:pPr>
              <w:widowControl/>
              <w:jc w:val="left"/>
              <w:textAlignment w:val="center"/>
              <w:rPr>
                <w:color w:val="000000" w:themeColor="text1"/>
                <w:spacing w:val="-21"/>
                <w:position w:val="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一、规格（mm）：1900（长）×800（宽）×300（高）mm，必须符合GB/T 3325-2017 国家标准《金属家具通用技术条件》</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二、技术参数要求： 采用不小于下列规格型材制作。</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1、材质要求：选用优质冷轧钢材，经除油、酸洗、磷化、除锈处理，表面静电喷塑处理，灰白色，表面光滑无毛刺，无漏喷及留痕，具有耐腐蚀、防水抗老化等性能。</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2、多功能床：</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 xml:space="preserve">四折叠床带轮子，床框架型材30*30*1.2mm 、 床撑钢板1.0mm 、床横担型材30*20*1.2mm   </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防潮垫床板:采用多层床板上铺50mm厚高弹力海绵外包绒布，制作牢固可靠面平整。</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3、载荷：≥275kg。</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4、配床垫。</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三、床框架表面处理：</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(1)采用(“阿克苏”、杜邦、上海幻影）知名品牌塑粉静电喷塑，使用环保塑粉；涂层表面色泽均匀一致，不允许有流挂、起粒、皱皮、露底、剥落、伤痕等缺陷，颜色：灰白色，</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(2.)表面喷涂质量要求，塑粉为环保塑粉，喷涂后涂层表面应色泽均匀一致，工件的各部位不应有起粒、皱皮、露底、剥落、伤痕或漏喷等现象。喷涂厚度60-80µm，喷涂塑粉，（塑粉为环保塑粉甲醛释放量≦1.5mg/L）甲醛含量1.5mg/L，有害物质限量，重金属可溶性铅、可溶性镉、可溶性铬、可溶性汞，不能超标，不能有毒害气味气挥发、以免房间环境有污染，造成对人体伤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24</w:t>
            </w:r>
          </w:p>
        </w:tc>
        <w:tc>
          <w:tcPr>
            <w:tcW w:w="1081" w:type="dxa"/>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席子</w:t>
            </w:r>
          </w:p>
        </w:tc>
        <w:tc>
          <w:tcPr>
            <w:tcW w:w="682" w:type="dxa"/>
            <w:noWrap w:val="0"/>
            <w:vAlign w:val="center"/>
          </w:tcPr>
          <w:p>
            <w:pPr>
              <w:widowControl/>
              <w:jc w:val="center"/>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张</w:t>
            </w:r>
          </w:p>
        </w:tc>
        <w:tc>
          <w:tcPr>
            <w:tcW w:w="886"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300 </w:t>
            </w:r>
          </w:p>
        </w:tc>
        <w:tc>
          <w:tcPr>
            <w:tcW w:w="7309" w:type="dxa"/>
            <w:noWrap w:val="0"/>
            <w:vAlign w:val="center"/>
          </w:tcPr>
          <w:p>
            <w:pPr>
              <w:widowControl/>
              <w:jc w:val="left"/>
              <w:textAlignment w:val="center"/>
              <w:rPr>
                <w:color w:val="000000" w:themeColor="text1"/>
                <w:spacing w:val="-21"/>
                <w:position w:val="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1)规格：80×190cm，材料：100%天然草；</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2)单位面积质量（g/㎡）≥750g；（其参数在检验检测报告中体现，★提供检验检测报告予以佐证。）；</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3)甲醛（mg/kg）≦75、可分解芳香胺：禁用、PH值4.0～8.5，等指标符合GB18401-2010标准；</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4)包装要求：单件真空包装。外包装采用防水牛津布20条/箱；</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25</w:t>
            </w:r>
          </w:p>
        </w:tc>
        <w:tc>
          <w:tcPr>
            <w:tcW w:w="1081" w:type="dxa"/>
            <w:noWrap w:val="0"/>
            <w:vAlign w:val="center"/>
          </w:tcPr>
          <w:p>
            <w:pPr>
              <w:widowControl/>
              <w:jc w:val="center"/>
              <w:textAlignment w:val="center"/>
              <w:rPr>
                <w:color w:val="000000"/>
                <w:sz w:val="21"/>
                <w:szCs w:val="21"/>
              </w:rPr>
            </w:pPr>
            <w:r>
              <w:rPr>
                <w:rFonts w:hint="eastAsia" w:ascii="宋体" w:hAnsi="宋体"/>
                <w:b w:val="0"/>
                <w:bCs/>
                <w:color w:val="auto"/>
                <w:sz w:val="21"/>
                <w:szCs w:val="21"/>
              </w:rPr>
              <w:t>▲</w:t>
            </w:r>
            <w:r>
              <w:rPr>
                <w:rFonts w:hint="eastAsia" w:ascii="宋体" w:hAnsi="宋体" w:cs="宋体"/>
                <w:color w:val="000000"/>
                <w:kern w:val="0"/>
                <w:sz w:val="21"/>
                <w:szCs w:val="21"/>
                <w:lang w:bidi="ar"/>
              </w:rPr>
              <w:t>对讲机</w:t>
            </w:r>
          </w:p>
        </w:tc>
        <w:tc>
          <w:tcPr>
            <w:tcW w:w="682" w:type="dxa"/>
            <w:noWrap w:val="0"/>
            <w:vAlign w:val="center"/>
          </w:tcPr>
          <w:p>
            <w:pPr>
              <w:widowControl/>
              <w:jc w:val="center"/>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台</w:t>
            </w:r>
          </w:p>
        </w:tc>
        <w:tc>
          <w:tcPr>
            <w:tcW w:w="886"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100 </w:t>
            </w:r>
          </w:p>
        </w:tc>
        <w:tc>
          <w:tcPr>
            <w:tcW w:w="7309" w:type="dxa"/>
            <w:noWrap w:val="0"/>
            <w:vAlign w:val="center"/>
          </w:tcPr>
          <w:p>
            <w:pPr>
              <w:widowControl/>
              <w:jc w:val="left"/>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型号：GW-556,功率：12W，对讲机类别：手台无线对讲机，频率：400-470MHz，MIC/SP插口/写频端口</w:t>
            </w:r>
          </w:p>
          <w:p>
            <w:pPr>
              <w:widowControl/>
              <w:jc w:val="left"/>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1.可用于连接耳机或外接写频线，可利用PC写频软件进行操作。</w:t>
            </w:r>
          </w:p>
          <w:p>
            <w:pPr>
              <w:widowControl/>
              <w:jc w:val="left"/>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2.电池电量不足时红灯闪烁功能。</w:t>
            </w:r>
          </w:p>
          <w:p>
            <w:pPr>
              <w:widowControl/>
              <w:jc w:val="left"/>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3.监听、扫描、扰频、非标模拟亚音频自己编程功能。语言选择：语言选择中文时，则开启中文“语音通知”功能。选择英文时，则开启英文“语音通知”功能。</w:t>
            </w:r>
          </w:p>
          <w:p>
            <w:pPr>
              <w:widowControl/>
              <w:jc w:val="left"/>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4.电池省电功能、电池电压显示、宽窄带选择（25.0KHz-12.5KHz）。</w:t>
            </w:r>
          </w:p>
          <w:p>
            <w:pPr>
              <w:widowControl/>
              <w:jc w:val="left"/>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5.声控（VOX）功能、扰频功能、亚音频QT/数字亚音频DQT。</w:t>
            </w:r>
          </w:p>
          <w:p>
            <w:pPr>
              <w:widowControl/>
              <w:jc w:val="left"/>
              <w:textAlignment w:val="center"/>
              <w:rPr>
                <w:rFonts w:hint="eastAsia" w:eastAsia="宋体"/>
                <w:color w:val="000000" w:themeColor="text1"/>
                <w:spacing w:val="-21"/>
                <w:position w:val="1"/>
                <w:sz w:val="21"/>
                <w:szCs w:val="21"/>
                <w:lang w:val="en-US" w:eastAsia="zh-CN"/>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6.对讲距离远、经久耐用、防尘、防摔、抗干扰、超强穿透、超清晰音质洪亮。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26</w:t>
            </w:r>
          </w:p>
        </w:tc>
        <w:tc>
          <w:tcPr>
            <w:tcW w:w="1081" w:type="dxa"/>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铝水壶</w:t>
            </w:r>
          </w:p>
        </w:tc>
        <w:tc>
          <w:tcPr>
            <w:tcW w:w="682" w:type="dxa"/>
            <w:noWrap w:val="0"/>
            <w:vAlign w:val="center"/>
          </w:tcPr>
          <w:p>
            <w:pPr>
              <w:widowControl/>
              <w:jc w:val="center"/>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个</w:t>
            </w:r>
          </w:p>
        </w:tc>
        <w:tc>
          <w:tcPr>
            <w:tcW w:w="886"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300 </w:t>
            </w:r>
          </w:p>
        </w:tc>
        <w:tc>
          <w:tcPr>
            <w:tcW w:w="7309" w:type="dxa"/>
            <w:noWrap w:val="0"/>
            <w:vAlign w:val="center"/>
          </w:tcPr>
          <w:p>
            <w:pPr>
              <w:widowControl/>
              <w:jc w:val="left"/>
              <w:textAlignment w:val="center"/>
              <w:rPr>
                <w:color w:val="000000" w:themeColor="text1"/>
                <w:spacing w:val="-21"/>
                <w:position w:val="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1.5升，100%铝水壶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27</w:t>
            </w:r>
          </w:p>
        </w:tc>
        <w:tc>
          <w:tcPr>
            <w:tcW w:w="1081" w:type="dxa"/>
            <w:noWrap w:val="0"/>
            <w:vAlign w:val="center"/>
          </w:tcPr>
          <w:p>
            <w:pPr>
              <w:widowControl/>
              <w:jc w:val="center"/>
              <w:textAlignment w:val="center"/>
              <w:rPr>
                <w:color w:val="000000"/>
                <w:sz w:val="21"/>
                <w:szCs w:val="21"/>
              </w:rPr>
            </w:pPr>
            <w:r>
              <w:rPr>
                <w:rFonts w:hint="eastAsia" w:ascii="宋体" w:hAnsi="宋体"/>
                <w:b w:val="0"/>
                <w:bCs/>
                <w:color w:val="auto"/>
                <w:sz w:val="21"/>
                <w:szCs w:val="21"/>
              </w:rPr>
              <w:t>▲</w:t>
            </w:r>
            <w:r>
              <w:rPr>
                <w:rFonts w:hint="eastAsia" w:ascii="宋体" w:hAnsi="宋体" w:cs="宋体"/>
                <w:color w:val="000000"/>
                <w:kern w:val="0"/>
                <w:sz w:val="21"/>
                <w:szCs w:val="21"/>
                <w:lang w:bidi="ar"/>
              </w:rPr>
              <w:t>饭盒</w:t>
            </w:r>
          </w:p>
        </w:tc>
        <w:tc>
          <w:tcPr>
            <w:tcW w:w="682" w:type="dxa"/>
            <w:noWrap w:val="0"/>
            <w:vAlign w:val="center"/>
          </w:tcPr>
          <w:p>
            <w:pPr>
              <w:widowControl/>
              <w:jc w:val="center"/>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个</w:t>
            </w:r>
          </w:p>
        </w:tc>
        <w:tc>
          <w:tcPr>
            <w:tcW w:w="886"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300 </w:t>
            </w:r>
          </w:p>
        </w:tc>
        <w:tc>
          <w:tcPr>
            <w:tcW w:w="7309" w:type="dxa"/>
            <w:noWrap w:val="0"/>
            <w:vAlign w:val="center"/>
          </w:tcPr>
          <w:p>
            <w:pPr>
              <w:widowControl/>
              <w:jc w:val="left"/>
              <w:textAlignment w:val="center"/>
              <w:rPr>
                <w:color w:val="000000" w:themeColor="text1"/>
                <w:spacing w:val="-21"/>
                <w:position w:val="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真空保温提锅，304不锈钢材质，保温效果好。                             </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材质：内层采用304优质不锈钢（18-8）；食品级塑料；食品接触符合国家卫生标准。</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容量：1.6L，保温长达18个小时。产品等级：一级</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颜色：绿色、橙色、紫色、蓝色</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主体：奥氏体型不锈钢</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不锈钢牌号：06cr19NI10</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外盖：食品级聚丙烯树脂（pp）（耐120℃，耐冷-20℃）</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内封盖：食品级ABS树脂（耐热80℃，耐冷-30℃）</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密封盖：食品级硅胶（耐热220℃，耐冷-20℃）。</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1.产品使用优质不锈钢材质、食品级塑料达到国家卫生标准，产品保温时间长达（18小时）。</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2.密封盖采用食品级ABS材质，安全卫生，耐高温。</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3.食品级硅胶密封圈安全无毒更健康。</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4.汤格及菜格加深设计，大容量。</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5.产品配置合理：锅身-锅盖-汤格-菜格-汤勺，使用方便。</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6.产品室温20℃左右，以100℃的沸水，6小时后水温可达63℃左右。</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7.沸水装满锅身、深格、浅格；保温长达18小时。</w:t>
            </w:r>
            <w:r>
              <w:rPr>
                <w:rFonts w:hint="eastAsia" w:ascii="宋体" w:hAnsi="宋体" w:cs="宋体"/>
                <w:color w:val="000000" w:themeColor="text1"/>
                <w:kern w:val="0"/>
                <w:sz w:val="21"/>
                <w:szCs w:val="21"/>
                <w:lang w:bidi="ar"/>
                <w14:textFill>
                  <w14:solidFill>
                    <w14:schemeClr w14:val="tx1"/>
                  </w14:solidFill>
                </w14:textFill>
              </w:rPr>
              <w:br w:type="textWrapping"/>
            </w:r>
            <w:r>
              <w:rPr>
                <w:rFonts w:hint="eastAsia" w:ascii="宋体" w:hAnsi="宋体" w:cs="宋体"/>
                <w:color w:val="000000" w:themeColor="text1"/>
                <w:kern w:val="0"/>
                <w:sz w:val="21"/>
                <w:szCs w:val="21"/>
                <w:lang w:bidi="ar"/>
                <w14:textFill>
                  <w14:solidFill>
                    <w14:schemeClr w14:val="tx1"/>
                  </w14:solidFill>
                </w14:textFill>
              </w:rPr>
              <w:t>（其参数在检验检测报告中体现，★提供检验检测报告予以佐证。）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28</w:t>
            </w:r>
          </w:p>
        </w:tc>
        <w:tc>
          <w:tcPr>
            <w:tcW w:w="1081" w:type="dxa"/>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口哨</w:t>
            </w:r>
          </w:p>
        </w:tc>
        <w:tc>
          <w:tcPr>
            <w:tcW w:w="682" w:type="dxa"/>
            <w:noWrap w:val="0"/>
            <w:vAlign w:val="center"/>
          </w:tcPr>
          <w:p>
            <w:pPr>
              <w:widowControl/>
              <w:jc w:val="center"/>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个</w:t>
            </w:r>
          </w:p>
        </w:tc>
        <w:tc>
          <w:tcPr>
            <w:tcW w:w="886"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300 </w:t>
            </w:r>
          </w:p>
        </w:tc>
        <w:tc>
          <w:tcPr>
            <w:tcW w:w="7309" w:type="dxa"/>
            <w:noWrap w:val="0"/>
            <w:vAlign w:val="center"/>
          </w:tcPr>
          <w:p>
            <w:pPr>
              <w:widowControl/>
              <w:jc w:val="left"/>
              <w:textAlignment w:val="center"/>
              <w:rPr>
                <w:color w:val="000000" w:themeColor="text1"/>
                <w:spacing w:val="-21"/>
                <w:position w:val="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不锈钢材质、独立包装，高频救生口哨。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1" w:hRule="atLeast"/>
        </w:trPr>
        <w:tc>
          <w:tcPr>
            <w:tcW w:w="481" w:type="dxa"/>
            <w:gridSpan w:val="2"/>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29</w:t>
            </w:r>
          </w:p>
        </w:tc>
        <w:tc>
          <w:tcPr>
            <w:tcW w:w="1081" w:type="dxa"/>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蜡烛</w:t>
            </w:r>
          </w:p>
        </w:tc>
        <w:tc>
          <w:tcPr>
            <w:tcW w:w="682" w:type="dxa"/>
            <w:noWrap w:val="0"/>
            <w:vAlign w:val="center"/>
          </w:tcPr>
          <w:p>
            <w:pPr>
              <w:widowControl/>
              <w:jc w:val="center"/>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包</w:t>
            </w:r>
          </w:p>
        </w:tc>
        <w:tc>
          <w:tcPr>
            <w:tcW w:w="886"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300 </w:t>
            </w:r>
          </w:p>
        </w:tc>
        <w:tc>
          <w:tcPr>
            <w:tcW w:w="7309" w:type="dxa"/>
            <w:noWrap w:val="0"/>
            <w:vAlign w:val="center"/>
          </w:tcPr>
          <w:p>
            <w:pPr>
              <w:widowControl/>
              <w:jc w:val="left"/>
              <w:textAlignment w:val="center"/>
              <w:rPr>
                <w:color w:val="000000" w:themeColor="text1"/>
                <w:spacing w:val="-21"/>
                <w:position w:val="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白色应急照明用蜡烛</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30</w:t>
            </w:r>
          </w:p>
        </w:tc>
        <w:tc>
          <w:tcPr>
            <w:tcW w:w="1081" w:type="dxa"/>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火柴</w:t>
            </w:r>
          </w:p>
        </w:tc>
        <w:tc>
          <w:tcPr>
            <w:tcW w:w="682" w:type="dxa"/>
            <w:noWrap w:val="0"/>
            <w:vAlign w:val="center"/>
          </w:tcPr>
          <w:p>
            <w:pPr>
              <w:widowControl/>
              <w:jc w:val="center"/>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包</w:t>
            </w:r>
          </w:p>
        </w:tc>
        <w:tc>
          <w:tcPr>
            <w:tcW w:w="886"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200 </w:t>
            </w:r>
          </w:p>
        </w:tc>
        <w:tc>
          <w:tcPr>
            <w:tcW w:w="7309" w:type="dxa"/>
            <w:noWrap w:val="0"/>
            <w:vAlign w:val="center"/>
          </w:tcPr>
          <w:p>
            <w:pPr>
              <w:widowControl/>
              <w:jc w:val="left"/>
              <w:textAlignment w:val="center"/>
              <w:rPr>
                <w:color w:val="000000" w:themeColor="text1"/>
                <w:spacing w:val="-21"/>
                <w:position w:val="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10盒/包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tcBorders>
              <w:bottom w:val="single" w:color="auto" w:sz="4" w:space="0"/>
            </w:tcBorders>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31</w:t>
            </w:r>
          </w:p>
        </w:tc>
        <w:tc>
          <w:tcPr>
            <w:tcW w:w="1081" w:type="dxa"/>
            <w:tcBorders>
              <w:bottom w:val="single" w:color="auto" w:sz="4" w:space="0"/>
            </w:tcBorders>
            <w:noWrap w:val="0"/>
            <w:vAlign w:val="center"/>
          </w:tcPr>
          <w:p>
            <w:pPr>
              <w:widowControl/>
              <w:jc w:val="center"/>
              <w:textAlignment w:val="center"/>
              <w:rPr>
                <w:color w:val="000000"/>
                <w:sz w:val="21"/>
                <w:szCs w:val="21"/>
              </w:rPr>
            </w:pPr>
            <w:r>
              <w:rPr>
                <w:rFonts w:hint="eastAsia" w:ascii="宋体" w:hAnsi="宋体" w:cs="宋体"/>
                <w:color w:val="000000"/>
                <w:kern w:val="0"/>
                <w:sz w:val="21"/>
                <w:szCs w:val="21"/>
                <w:lang w:bidi="ar"/>
              </w:rPr>
              <w:t>打火机</w:t>
            </w:r>
          </w:p>
        </w:tc>
        <w:tc>
          <w:tcPr>
            <w:tcW w:w="682" w:type="dxa"/>
            <w:tcBorders>
              <w:bottom w:val="single" w:color="auto" w:sz="4" w:space="0"/>
            </w:tcBorders>
            <w:noWrap w:val="0"/>
            <w:vAlign w:val="center"/>
          </w:tcPr>
          <w:p>
            <w:pPr>
              <w:widowControl/>
              <w:jc w:val="center"/>
              <w:textAlignment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个</w:t>
            </w:r>
          </w:p>
        </w:tc>
        <w:tc>
          <w:tcPr>
            <w:tcW w:w="886" w:type="dxa"/>
            <w:tcBorders>
              <w:bottom w:val="single" w:color="auto" w:sz="4" w:space="0"/>
            </w:tcBorders>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335 </w:t>
            </w:r>
          </w:p>
        </w:tc>
        <w:tc>
          <w:tcPr>
            <w:tcW w:w="7309" w:type="dxa"/>
            <w:tcBorders>
              <w:bottom w:val="single" w:color="auto" w:sz="4" w:space="0"/>
            </w:tcBorders>
            <w:noWrap w:val="0"/>
            <w:vAlign w:val="center"/>
          </w:tcPr>
          <w:p>
            <w:pPr>
              <w:widowControl/>
              <w:jc w:val="left"/>
              <w:textAlignment w:val="center"/>
              <w:rPr>
                <w:color w:val="000000" w:themeColor="text1"/>
                <w:spacing w:val="-21"/>
                <w:position w:val="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防风打火机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10439" w:type="dxa"/>
            <w:gridSpan w:val="6"/>
            <w:tcBorders>
              <w:bottom w:val="single" w:color="auto" w:sz="4" w:space="0"/>
            </w:tcBorders>
            <w:noWrap w:val="0"/>
            <w:vAlign w:val="center"/>
          </w:tcPr>
          <w:p>
            <w:pPr>
              <w:pStyle w:val="209"/>
              <w:ind w:right="46"/>
              <w:rPr>
                <w:rFonts w:hint="eastAsia"/>
                <w:b/>
                <w:bCs/>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备注：A标段</w:t>
            </w:r>
          </w:p>
          <w:p>
            <w:pPr>
              <w:pStyle w:val="209"/>
              <w:numPr>
                <w:ilvl w:val="0"/>
                <w:numId w:val="12"/>
              </w:numPr>
              <w:ind w:right="46"/>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投标文件中的核心产品（7蚊帐、8卫生衣、9太空衣、11毛巾、16背囊）必须提供第三方检验机构【具备 CMA 资质的检验机构】2020年5月份以来合格的产品检验报告原件。</w:t>
            </w:r>
          </w:p>
          <w:p>
            <w:pPr>
              <w:pStyle w:val="209"/>
              <w:numPr>
                <w:ilvl w:val="0"/>
                <w:numId w:val="0"/>
              </w:numPr>
              <w:ind w:right="46" w:rightChars="0"/>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2.其技术参数中带“★”的为产品主要技术参数，必须在检验检测报告中体现，须提供检验检测报告予以佐证，提供检验检测报告带的“▲”属于加分项。</w:t>
            </w:r>
          </w:p>
          <w:p>
            <w:pPr>
              <w:widowControl/>
              <w:jc w:val="left"/>
              <w:textAlignment w:val="center"/>
              <w:rPr>
                <w:rFonts w:hint="eastAsia" w:ascii="宋体" w:hAnsi="宋体" w:cs="宋体"/>
                <w:color w:val="000000"/>
                <w:kern w:val="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18" w:hRule="atLeast"/>
        </w:trPr>
        <w:tc>
          <w:tcPr>
            <w:tcW w:w="240" w:type="dxa"/>
            <w:tcBorders>
              <w:top w:val="single" w:color="auto" w:sz="4" w:space="0"/>
              <w:left w:val="nil"/>
              <w:bottom w:val="single" w:color="auto" w:sz="4" w:space="0"/>
              <w:right w:val="nil"/>
            </w:tcBorders>
            <w:noWrap w:val="0"/>
            <w:vAlign w:val="center"/>
          </w:tcPr>
          <w:p>
            <w:pPr>
              <w:pStyle w:val="209"/>
              <w:ind w:left="63" w:right="46" w:firstLine="602" w:firstLineChars="200"/>
              <w:rPr>
                <w:rFonts w:hint="eastAsia"/>
                <w:b/>
                <w:bCs/>
                <w:color w:val="000000"/>
                <w:sz w:val="30"/>
                <w:szCs w:val="30"/>
                <w:lang w:val="en-US"/>
              </w:rPr>
            </w:pPr>
          </w:p>
        </w:tc>
        <w:tc>
          <w:tcPr>
            <w:tcW w:w="10199" w:type="dxa"/>
            <w:gridSpan w:val="5"/>
            <w:tcBorders>
              <w:top w:val="single" w:color="auto" w:sz="4" w:space="0"/>
              <w:left w:val="nil"/>
              <w:bottom w:val="single" w:color="auto" w:sz="4" w:space="0"/>
              <w:right w:val="nil"/>
            </w:tcBorders>
            <w:noWrap w:val="0"/>
            <w:vAlign w:val="center"/>
          </w:tcPr>
          <w:p>
            <w:pPr>
              <w:pStyle w:val="209"/>
              <w:ind w:right="46"/>
              <w:rPr>
                <w:rFonts w:hint="eastAsia"/>
                <w:b/>
                <w:bCs/>
                <w:color w:val="000000"/>
                <w:sz w:val="30"/>
                <w:szCs w:val="30"/>
                <w:lang w:val="en-US"/>
              </w:rPr>
            </w:pPr>
            <w:r>
              <w:rPr>
                <w:rFonts w:hint="eastAsia"/>
                <w:b/>
                <w:bCs/>
                <w:color w:val="000000"/>
                <w:sz w:val="30"/>
                <w:szCs w:val="30"/>
                <w:lang w:val="en-US"/>
              </w:rPr>
              <w:t>B标段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tcBorders>
              <w:top w:val="single" w:color="auto" w:sz="4" w:space="0"/>
              <w:left w:val="single" w:color="auto" w:sz="4" w:space="0"/>
              <w:bottom w:val="single" w:color="auto" w:sz="4" w:space="0"/>
              <w:right w:val="single" w:color="auto" w:sz="4" w:space="0"/>
            </w:tcBorders>
            <w:noWrap w:val="0"/>
            <w:vAlign w:val="top"/>
          </w:tcPr>
          <w:p>
            <w:pPr>
              <w:pStyle w:val="209"/>
              <w:spacing w:line="360" w:lineRule="exact"/>
              <w:ind w:left="133" w:leftChars="0" w:right="116" w:rightChars="0"/>
              <w:rPr>
                <w:color w:val="000000" w:themeColor="text1"/>
                <w:sz w:val="21"/>
                <w:szCs w:val="21"/>
                <w14:textFill>
                  <w14:solidFill>
                    <w14:schemeClr w14:val="tx1"/>
                  </w14:solidFill>
                </w14:textFill>
              </w:rPr>
            </w:pPr>
            <w:r>
              <w:rPr>
                <w:color w:val="000000" w:themeColor="text1"/>
                <w14:textFill>
                  <w14:solidFill>
                    <w14:schemeClr w14:val="tx1"/>
                  </w14:solidFill>
                </w14:textFill>
              </w:rPr>
              <w:t>序号</w:t>
            </w:r>
          </w:p>
        </w:tc>
        <w:tc>
          <w:tcPr>
            <w:tcW w:w="1081" w:type="dxa"/>
            <w:tcBorders>
              <w:top w:val="single" w:color="auto" w:sz="4" w:space="0"/>
              <w:left w:val="single" w:color="auto" w:sz="4" w:space="0"/>
              <w:bottom w:val="single" w:color="auto" w:sz="4" w:space="0"/>
              <w:right w:val="single" w:color="auto" w:sz="4" w:space="0"/>
            </w:tcBorders>
            <w:noWrap w:val="0"/>
            <w:vAlign w:val="top"/>
          </w:tcPr>
          <w:p>
            <w:pPr>
              <w:pStyle w:val="209"/>
              <w:spacing w:line="360" w:lineRule="exact"/>
              <w:ind w:left="305" w:leftChars="0" w:right="180" w:rightChars="0" w:hanging="106" w:firstLineChars="0"/>
              <w:rPr>
                <w:color w:val="000000" w:themeColor="text1"/>
                <w:sz w:val="21"/>
                <w:szCs w:val="21"/>
                <w14:textFill>
                  <w14:solidFill>
                    <w14:schemeClr w14:val="tx1"/>
                  </w14:solidFill>
                </w14:textFill>
              </w:rPr>
            </w:pPr>
            <w:r>
              <w:rPr>
                <w:color w:val="000000" w:themeColor="text1"/>
                <w14:textFill>
                  <w14:solidFill>
                    <w14:schemeClr w14:val="tx1"/>
                  </w14:solidFill>
                </w14:textFill>
              </w:rPr>
              <w:t>货物名称</w:t>
            </w:r>
          </w:p>
        </w:tc>
        <w:tc>
          <w:tcPr>
            <w:tcW w:w="682"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bCs/>
                <w:color w:val="000000" w:themeColor="text1"/>
                <w:sz w:val="21"/>
                <w:szCs w:val="21"/>
                <w14:textFill>
                  <w14:solidFill>
                    <w14:schemeClr w14:val="tx1"/>
                  </w14:solidFill>
                </w14:textFill>
              </w:rPr>
            </w:pPr>
            <w:r>
              <w:rPr>
                <w:rFonts w:hint="eastAsia"/>
                <w:color w:val="000000" w:themeColor="text1"/>
                <w:lang w:eastAsia="zh-CN"/>
                <w14:textFill>
                  <w14:solidFill>
                    <w14:schemeClr w14:val="tx1"/>
                  </w14:solidFill>
                </w14:textFill>
              </w:rPr>
              <w:t>单位</w:t>
            </w:r>
          </w:p>
        </w:tc>
        <w:tc>
          <w:tcPr>
            <w:tcW w:w="886" w:type="dxa"/>
            <w:tcBorders>
              <w:top w:val="single" w:color="auto" w:sz="4" w:space="0"/>
              <w:left w:val="single" w:color="auto" w:sz="4" w:space="0"/>
              <w:bottom w:val="single" w:color="auto" w:sz="4" w:space="0"/>
              <w:right w:val="single" w:color="auto" w:sz="4" w:space="0"/>
            </w:tcBorders>
            <w:noWrap w:val="0"/>
            <w:vAlign w:val="center"/>
          </w:tcPr>
          <w:p>
            <w:pPr>
              <w:pStyle w:val="209"/>
              <w:jc w:val="center"/>
              <w:rPr>
                <w:bCs/>
                <w:color w:val="000000" w:themeColor="text1"/>
                <w:sz w:val="21"/>
                <w:szCs w:val="21"/>
                <w14:textFill>
                  <w14:solidFill>
                    <w14:schemeClr w14:val="tx1"/>
                  </w14:solidFill>
                </w14:textFill>
              </w:rPr>
            </w:pPr>
            <w:r>
              <w:rPr>
                <w:bCs/>
                <w:color w:val="000000" w:themeColor="text1"/>
                <w:szCs w:val="21"/>
                <w14:textFill>
                  <w14:solidFill>
                    <w14:schemeClr w14:val="tx1"/>
                  </w14:solidFill>
                </w14:textFill>
              </w:rPr>
              <w:t>数量</w:t>
            </w:r>
          </w:p>
        </w:tc>
        <w:tc>
          <w:tcPr>
            <w:tcW w:w="7309" w:type="dxa"/>
            <w:tcBorders>
              <w:top w:val="single" w:color="auto" w:sz="4" w:space="0"/>
              <w:left w:val="single" w:color="auto" w:sz="4" w:space="0"/>
              <w:bottom w:val="single" w:color="auto" w:sz="4" w:space="0"/>
              <w:right w:val="single" w:color="auto" w:sz="4" w:space="0"/>
            </w:tcBorders>
            <w:noWrap w:val="0"/>
            <w:vAlign w:val="top"/>
          </w:tcPr>
          <w:p>
            <w:pPr>
              <w:pStyle w:val="209"/>
              <w:ind w:right="46" w:rightChars="0"/>
              <w:jc w:val="center"/>
              <w:rPr>
                <w:color w:val="000000" w:themeColor="text1"/>
                <w:spacing w:val="-21"/>
                <w:position w:val="1"/>
                <w:sz w:val="21"/>
                <w:szCs w:val="21"/>
                <w14:textFill>
                  <w14:solidFill>
                    <w14:schemeClr w14:val="tx1"/>
                  </w14:solidFill>
                </w14:textFill>
              </w:rPr>
            </w:pPr>
            <w:r>
              <w:rPr>
                <w:color w:val="000000" w:themeColor="text1"/>
                <w14:textFill>
                  <w14:solidFill>
                    <w14:schemeClr w14:val="tx1"/>
                  </w14:solidFill>
                </w14:textFill>
              </w:rPr>
              <w:t>技术参数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23" w:hRule="atLeast"/>
        </w:trPr>
        <w:tc>
          <w:tcPr>
            <w:tcW w:w="481" w:type="dxa"/>
            <w:gridSpan w:val="2"/>
            <w:tcBorders>
              <w:top w:val="single" w:color="auto" w:sz="4" w:space="0"/>
            </w:tcBorders>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1</w:t>
            </w:r>
          </w:p>
        </w:tc>
        <w:tc>
          <w:tcPr>
            <w:tcW w:w="1081" w:type="dxa"/>
            <w:tcBorders>
              <w:top w:val="single" w:color="auto" w:sz="4" w:space="0"/>
            </w:tcBorders>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活动板房</w:t>
            </w:r>
          </w:p>
        </w:tc>
        <w:tc>
          <w:tcPr>
            <w:tcW w:w="682" w:type="dxa"/>
            <w:tcBorders>
              <w:top w:val="single" w:color="auto" w:sz="4" w:space="0"/>
            </w:tcBorders>
            <w:noWrap w:val="0"/>
            <w:vAlign w:val="center"/>
          </w:tcPr>
          <w:p>
            <w:pPr>
              <w:tabs>
                <w:tab w:val="left" w:pos="1440"/>
              </w:tabs>
              <w:spacing w:line="360" w:lineRule="atLeast"/>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间</w:t>
            </w:r>
          </w:p>
        </w:tc>
        <w:tc>
          <w:tcPr>
            <w:tcW w:w="886" w:type="dxa"/>
            <w:tcBorders>
              <w:top w:val="single" w:color="auto" w:sz="4" w:space="0"/>
            </w:tcBorders>
            <w:noWrap w:val="0"/>
            <w:vAlign w:val="center"/>
          </w:tcPr>
          <w:p>
            <w:pPr>
              <w:tabs>
                <w:tab w:val="left" w:pos="1440"/>
              </w:tabs>
              <w:spacing w:line="360" w:lineRule="atLeast"/>
              <w:jc w:val="center"/>
              <w:rPr>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20</w:t>
            </w:r>
          </w:p>
        </w:tc>
        <w:tc>
          <w:tcPr>
            <w:tcW w:w="7309" w:type="dxa"/>
            <w:tcBorders>
              <w:top w:val="single" w:color="auto" w:sz="4" w:space="0"/>
            </w:tcBorders>
            <w:noWrap w:val="0"/>
            <w:vAlign w:val="center"/>
          </w:tcPr>
          <w:p>
            <w:pPr>
              <w:pStyle w:val="205"/>
              <w:numPr>
                <w:ilvl w:val="0"/>
                <w:numId w:val="0"/>
              </w:numPr>
              <w:ind w:leftChars="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一、</w:t>
            </w:r>
            <w:r>
              <w:rPr>
                <w:rFonts w:hint="eastAsia" w:ascii="宋体" w:hAnsi="宋体"/>
                <w:color w:val="000000" w:themeColor="text1"/>
                <w:szCs w:val="21"/>
                <w:lang w:val="en-US" w:eastAsia="zh-CN"/>
                <w14:textFill>
                  <w14:solidFill>
                    <w14:schemeClr w14:val="tx1"/>
                  </w14:solidFill>
                </w14:textFill>
              </w:rPr>
              <w:t>1、</w:t>
            </w:r>
            <w:r>
              <w:rPr>
                <w:rFonts w:hint="eastAsia" w:ascii="宋体" w:hAnsi="宋体"/>
                <w:color w:val="000000" w:themeColor="text1"/>
                <w:szCs w:val="21"/>
                <w14:textFill>
                  <w14:solidFill>
                    <w14:schemeClr w14:val="tx1"/>
                  </w14:solidFill>
                </w14:textFill>
              </w:rPr>
              <w:t>尺寸：长5.46米  宽3.64米  高285米。</w:t>
            </w:r>
          </w:p>
          <w:p>
            <w:pPr>
              <w:pStyle w:val="205"/>
              <w:numPr>
                <w:ilvl w:val="0"/>
                <w:numId w:val="0"/>
              </w:numPr>
              <w:ind w:leftChars="0" w:firstLine="420" w:firstLineChars="200"/>
              <w:rPr>
                <w:rFonts w:ascii="宋体" w:hAnsi="宋体" w:cs="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2、</w:t>
            </w:r>
            <w:r>
              <w:rPr>
                <w:rFonts w:hint="eastAsia" w:ascii="宋体" w:hAnsi="宋体"/>
                <w:color w:val="000000" w:themeColor="text1"/>
                <w:szCs w:val="21"/>
                <w14:textFill>
                  <w14:solidFill>
                    <w14:schemeClr w14:val="tx1"/>
                  </w14:solidFill>
                </w14:textFill>
              </w:rPr>
              <w:t>彩钢棉材质。</w:t>
            </w:r>
          </w:p>
          <w:p>
            <w:pPr>
              <w:pStyle w:val="205"/>
              <w:numPr>
                <w:ilvl w:val="0"/>
                <w:numId w:val="0"/>
              </w:numPr>
              <w:ind w:left="0" w:leftChars="0" w:firstLine="420" w:firstLineChars="200"/>
              <w:rPr>
                <w:color w:val="000000" w:themeColor="text1"/>
                <w:spacing w:val="-21"/>
                <w:position w:val="1"/>
                <w:sz w:val="2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3、</w:t>
            </w:r>
            <w:r>
              <w:rPr>
                <w:rFonts w:hint="eastAsia" w:ascii="宋体" w:hAnsi="宋体"/>
                <w:color w:val="000000" w:themeColor="text1"/>
                <w:szCs w:val="21"/>
                <w14:textFill>
                  <w14:solidFill>
                    <w14:schemeClr w14:val="tx1"/>
                  </w14:solidFill>
                </w14:textFill>
              </w:rPr>
              <w:t>蓝色顶。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2</w:t>
            </w:r>
          </w:p>
        </w:tc>
        <w:tc>
          <w:tcPr>
            <w:tcW w:w="1081"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b w:val="0"/>
                <w:bCs/>
                <w:color w:val="000000" w:themeColor="text1"/>
                <w:szCs w:val="21"/>
                <w14:textFill>
                  <w14:solidFill>
                    <w14:schemeClr w14:val="tx1"/>
                  </w14:solidFill>
                </w14:textFill>
              </w:rPr>
              <w:t>▲</w:t>
            </w:r>
            <w:r>
              <w:rPr>
                <w:rFonts w:hint="eastAsia" w:ascii="宋体" w:hAnsi="宋体" w:cs="宋体"/>
                <w:color w:val="000000" w:themeColor="text1"/>
                <w:kern w:val="0"/>
                <w:sz w:val="24"/>
                <w:lang w:bidi="ar"/>
                <w14:textFill>
                  <w14:solidFill>
                    <w14:schemeClr w14:val="tx1"/>
                  </w14:solidFill>
                </w14:textFill>
              </w:rPr>
              <w:t>棉大衣</w:t>
            </w:r>
          </w:p>
        </w:tc>
        <w:tc>
          <w:tcPr>
            <w:tcW w:w="682" w:type="dxa"/>
            <w:noWrap w:val="0"/>
            <w:vAlign w:val="center"/>
          </w:tcPr>
          <w:p>
            <w:pPr>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件</w:t>
            </w:r>
          </w:p>
        </w:tc>
        <w:tc>
          <w:tcPr>
            <w:tcW w:w="886" w:type="dxa"/>
            <w:noWrap w:val="0"/>
            <w:vAlign w:val="center"/>
          </w:tcPr>
          <w:p>
            <w:pPr>
              <w:jc w:val="center"/>
              <w:rPr>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300</w:t>
            </w:r>
          </w:p>
        </w:tc>
        <w:tc>
          <w:tcPr>
            <w:tcW w:w="7309" w:type="dxa"/>
            <w:noWrap w:val="0"/>
            <w:vAlign w:val="center"/>
          </w:tcPr>
          <w:p>
            <w:pPr>
              <w:rPr>
                <w:rFonts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rFonts w:hint="eastAsia" w:ascii="宋体" w:hAnsi="宋体"/>
                <w:color w:val="000000" w:themeColor="text1"/>
                <w:szCs w:val="21"/>
                <w:lang w:eastAsia="zh-CN"/>
                <w14:textFill>
                  <w14:solidFill>
                    <w14:schemeClr w14:val="tx1"/>
                  </w14:solidFill>
                </w14:textFill>
              </w:rPr>
              <w:t>一、</w:t>
            </w:r>
            <w:r>
              <w:rPr>
                <w:rFonts w:hint="eastAsia" w:ascii="宋体" w:hAnsi="宋体"/>
                <w:color w:val="000000" w:themeColor="text1"/>
                <w:szCs w:val="21"/>
                <w14:textFill>
                  <w14:solidFill>
                    <w14:schemeClr w14:val="tx1"/>
                  </w14:solidFill>
                </w14:textFill>
              </w:rPr>
              <w:t>1、面料：加厚双股涤棉面料。</w:t>
            </w:r>
          </w:p>
          <w:p>
            <w:pPr>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2、内胆成份：棉100%。</w:t>
            </w:r>
          </w:p>
          <w:p>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3、耐干/耐湿摩擦色牢度≥3。</w:t>
            </w:r>
          </w:p>
          <w:p>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4、顶破力≥420N。</w:t>
            </w:r>
          </w:p>
          <w:p>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5、面料克重270g/</w:t>
            </w:r>
            <w:r>
              <w:rPr>
                <w:rFonts w:hint="eastAsia" w:ascii="宋体" w:hAnsi="宋体" w:cs="宋体"/>
                <w:color w:val="000000" w:themeColor="text1"/>
                <w:szCs w:val="21"/>
                <w14:textFill>
                  <w14:solidFill>
                    <w14:schemeClr w14:val="tx1"/>
                  </w14:solidFill>
                </w14:textFill>
              </w:rPr>
              <w:t>㎡</w:t>
            </w:r>
            <w:r>
              <w:rPr>
                <w:rFonts w:hint="eastAsia" w:ascii="宋体" w:hAnsi="宋体" w:cs="微软雅黑"/>
                <w:color w:val="000000" w:themeColor="text1"/>
                <w:szCs w:val="21"/>
                <w14:textFill>
                  <w14:solidFill>
                    <w14:schemeClr w14:val="tx1"/>
                  </w14:solidFill>
                </w14:textFill>
              </w:rPr>
              <w:t>（允差±</w:t>
            </w:r>
            <w:r>
              <w:rPr>
                <w:rFonts w:hint="eastAsia" w:ascii="宋体" w:hAnsi="宋体"/>
                <w:color w:val="000000" w:themeColor="text1"/>
                <w:szCs w:val="21"/>
                <w14:textFill>
                  <w14:solidFill>
                    <w14:schemeClr w14:val="tx1"/>
                  </w14:solidFill>
                </w14:textFill>
              </w:rPr>
              <w:t>5%）。</w:t>
            </w:r>
          </w:p>
          <w:p>
            <w:pPr>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6、规格：符合成人男性穿着的大号、中号、小号码。</w:t>
            </w:r>
          </w:p>
          <w:p>
            <w:pPr>
              <w:pStyle w:val="211"/>
              <w:ind w:firstLine="420" w:firstLineChars="20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7、符合GB 18401-2010《国家纺织品基本安全技术规范》 B类要求：GB/T 2662-2017《棉服装》（优等品）。</w:t>
            </w:r>
          </w:p>
          <w:p>
            <w:pPr>
              <w:pStyle w:val="211"/>
              <w:rPr>
                <w:color w:val="000000" w:themeColor="text1"/>
                <w:spacing w:val="-21"/>
                <w:position w:val="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★8、投标人投标时必须提供</w:t>
            </w:r>
            <w:r>
              <w:rPr>
                <w:rFonts w:hint="eastAsia" w:ascii="宋体" w:hAnsi="宋体" w:eastAsia="宋体"/>
                <w:color w:val="000000" w:themeColor="text1"/>
                <w:sz w:val="21"/>
                <w:szCs w:val="21"/>
                <w14:textFill>
                  <w14:solidFill>
                    <w14:schemeClr w14:val="tx1"/>
                  </w14:solidFill>
                </w14:textFill>
              </w:rPr>
              <w:t>近6个月内省级或省级以上</w:t>
            </w:r>
            <w:r>
              <w:rPr>
                <w:rFonts w:hint="eastAsia" w:ascii="宋体" w:hAnsi="宋体" w:eastAsia="宋体" w:cs="宋体"/>
                <w:color w:val="000000" w:themeColor="text1"/>
                <w:sz w:val="21"/>
                <w:szCs w:val="21"/>
                <w14:textFill>
                  <w14:solidFill>
                    <w14:schemeClr w14:val="tx1"/>
                  </w14:solidFill>
                </w14:textFill>
              </w:rPr>
              <w:t>有资质检测机构出具的棉胎检验报告原件</w:t>
            </w:r>
            <w:r>
              <w:rPr>
                <w:rFonts w:hint="eastAsia" w:ascii="宋体" w:hAnsi="宋体" w:eastAsia="宋体" w:cs="宋体"/>
                <w:color w:val="000000" w:themeColor="text1"/>
                <w:kern w:val="2"/>
                <w:sz w:val="21"/>
                <w:szCs w:val="21"/>
                <w14:textFill>
                  <w14:solidFill>
                    <w14:schemeClr w14:val="tx1"/>
                  </w14:solidFill>
                </w14:textFill>
              </w:rPr>
              <w:t>进行核查</w:t>
            </w:r>
            <w:r>
              <w:rPr>
                <w:rFonts w:hint="eastAsia" w:ascii="宋体" w:hAnsi="宋体" w:eastAsia="宋体" w:cs="宋体"/>
                <w:color w:val="000000" w:themeColor="text1"/>
                <w:sz w:val="21"/>
                <w:szCs w:val="21"/>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3</w:t>
            </w:r>
          </w:p>
        </w:tc>
        <w:tc>
          <w:tcPr>
            <w:tcW w:w="1081"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b w:val="0"/>
                <w:bCs/>
                <w:color w:val="000000" w:themeColor="text1"/>
                <w:szCs w:val="21"/>
                <w14:textFill>
                  <w14:solidFill>
                    <w14:schemeClr w14:val="tx1"/>
                  </w14:solidFill>
                </w14:textFill>
              </w:rPr>
              <w:t>▲</w:t>
            </w:r>
            <w:r>
              <w:rPr>
                <w:rFonts w:hint="eastAsia" w:ascii="宋体" w:hAnsi="宋体" w:cs="宋体"/>
                <w:color w:val="000000" w:themeColor="text1"/>
                <w:kern w:val="0"/>
                <w:sz w:val="24"/>
                <w:lang w:bidi="ar"/>
                <w14:textFill>
                  <w14:solidFill>
                    <w14:schemeClr w14:val="tx1"/>
                  </w14:solidFill>
                </w14:textFill>
              </w:rPr>
              <w:t>军用棉被</w:t>
            </w:r>
          </w:p>
        </w:tc>
        <w:tc>
          <w:tcPr>
            <w:tcW w:w="682" w:type="dxa"/>
            <w:noWrap w:val="0"/>
            <w:vAlign w:val="center"/>
          </w:tcPr>
          <w:p>
            <w:pPr>
              <w:tabs>
                <w:tab w:val="left" w:pos="1440"/>
              </w:tabs>
              <w:spacing w:line="360" w:lineRule="atLeast"/>
              <w:jc w:val="center"/>
              <w:rPr>
                <w:rFonts w:hint="eastAsia" w:ascii="宋体" w:hAnsi="宋体" w:cs="Arial"/>
                <w:bCs/>
                <w:color w:val="000000" w:themeColor="text1"/>
                <w:sz w:val="21"/>
                <w:szCs w:val="21"/>
                <w14:textFill>
                  <w14:solidFill>
                    <w14:schemeClr w14:val="tx1"/>
                  </w14:solidFill>
                </w14:textFill>
              </w:rPr>
            </w:pPr>
            <w:r>
              <w:rPr>
                <w:rFonts w:hint="eastAsia" w:ascii="宋体" w:hAnsi="宋体" w:cs="Arial"/>
                <w:bCs/>
                <w:color w:val="000000" w:themeColor="text1"/>
                <w:sz w:val="24"/>
                <w14:textFill>
                  <w14:solidFill>
                    <w14:schemeClr w14:val="tx1"/>
                  </w14:solidFill>
                </w14:textFill>
              </w:rPr>
              <w:t>套</w:t>
            </w:r>
          </w:p>
        </w:tc>
        <w:tc>
          <w:tcPr>
            <w:tcW w:w="886" w:type="dxa"/>
            <w:noWrap w:val="0"/>
            <w:vAlign w:val="center"/>
          </w:tcPr>
          <w:p>
            <w:pPr>
              <w:tabs>
                <w:tab w:val="left" w:pos="1440"/>
              </w:tabs>
              <w:spacing w:line="360" w:lineRule="atLeast"/>
              <w:jc w:val="center"/>
              <w:rPr>
                <w:color w:val="000000" w:themeColor="text1"/>
                <w:sz w:val="21"/>
                <w:szCs w:val="21"/>
                <w14:textFill>
                  <w14:solidFill>
                    <w14:schemeClr w14:val="tx1"/>
                  </w14:solidFill>
                </w14:textFill>
              </w:rPr>
            </w:pPr>
            <w:r>
              <w:rPr>
                <w:rFonts w:hint="eastAsia" w:ascii="宋体" w:hAnsi="宋体" w:cs="Arial"/>
                <w:bCs/>
                <w:color w:val="000000" w:themeColor="text1"/>
                <w:sz w:val="24"/>
                <w14:textFill>
                  <w14:solidFill>
                    <w14:schemeClr w14:val="tx1"/>
                  </w14:solidFill>
                </w14:textFill>
              </w:rPr>
              <w:t>300</w:t>
            </w:r>
          </w:p>
        </w:tc>
        <w:tc>
          <w:tcPr>
            <w:tcW w:w="7309" w:type="dxa"/>
            <w:noWrap w:val="0"/>
            <w:vAlign w:val="center"/>
          </w:tcPr>
          <w:p>
            <w:pPr>
              <w:pStyle w:val="211"/>
              <w:spacing w:line="360" w:lineRule="exact"/>
              <w:rPr>
                <w:rFonts w:ascii="宋体" w:hAnsi="宋体" w:eastAsia="宋体" w:cs="仿宋"/>
                <w:color w:val="000000" w:themeColor="text1"/>
                <w:kern w:val="2"/>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kern w:val="2"/>
                <w:sz w:val="21"/>
                <w:szCs w:val="21"/>
                <w14:textFill>
                  <w14:solidFill>
                    <w14:schemeClr w14:val="tx1"/>
                  </w14:solidFill>
                </w14:textFill>
              </w:rPr>
              <w:t>一、棉胎</w:t>
            </w:r>
            <w:r>
              <w:rPr>
                <w:rFonts w:hint="eastAsia" w:ascii="宋体" w:hAnsi="宋体" w:eastAsia="宋体" w:cs="仿宋"/>
                <w:color w:val="000000" w:themeColor="text1"/>
                <w:kern w:val="2"/>
                <w:sz w:val="21"/>
                <w:szCs w:val="21"/>
                <w14:textFill>
                  <w14:solidFill>
                    <w14:schemeClr w14:val="tx1"/>
                  </w14:solidFill>
                </w14:textFill>
              </w:rPr>
              <w:t>规格尺寸：（长度）200cm×（宽度）150cm，允差：±2%。</w:t>
            </w:r>
          </w:p>
          <w:p>
            <w:pPr>
              <w:pStyle w:val="211"/>
              <w:spacing w:line="360" w:lineRule="exact"/>
              <w:rPr>
                <w:rFonts w:ascii="宋体" w:hAnsi="宋体" w:eastAsia="宋体" w:cs="仿宋"/>
                <w:color w:val="000000" w:themeColor="text1"/>
                <w:kern w:val="2"/>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kern w:val="2"/>
                <w:sz w:val="21"/>
                <w:szCs w:val="21"/>
                <w14:textFill>
                  <w14:solidFill>
                    <w14:schemeClr w14:val="tx1"/>
                  </w14:solidFill>
                </w14:textFill>
              </w:rPr>
              <w:t>二、棉胎</w:t>
            </w:r>
            <w:r>
              <w:rPr>
                <w:rFonts w:hint="eastAsia" w:ascii="宋体" w:hAnsi="宋体" w:eastAsia="宋体" w:cs="仿宋"/>
                <w:color w:val="000000" w:themeColor="text1"/>
                <w:kern w:val="2"/>
                <w:sz w:val="21"/>
                <w:szCs w:val="21"/>
                <w14:textFill>
                  <w14:solidFill>
                    <w14:schemeClr w14:val="tx1"/>
                  </w14:solidFill>
                </w14:textFill>
              </w:rPr>
              <w:t>重量：3kg/床，允差：±3%。</w:t>
            </w:r>
          </w:p>
          <w:p>
            <w:pPr>
              <w:spacing w:line="360" w:lineRule="exact"/>
              <w:rPr>
                <w:rFonts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三、棉胎原料要求</w:t>
            </w:r>
          </w:p>
          <w:p>
            <w:pPr>
              <w:spacing w:line="360" w:lineRule="exact"/>
              <w:ind w:firstLine="218" w:firstLineChars="104"/>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、下列物质不得直接或间接作为加工絮用纤维制品的原料：</w:t>
            </w:r>
          </w:p>
          <w:p>
            <w:pPr>
              <w:ind w:firstLine="218" w:firstLineChars="104"/>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a)</w:t>
            </w:r>
            <w:r>
              <w:rPr>
                <w:rFonts w:hint="eastAsia" w:ascii="宋体" w:hAnsi="宋体"/>
                <w:color w:val="000000" w:themeColor="text1"/>
                <w:szCs w:val="21"/>
                <w14:textFill>
                  <w14:solidFill>
                    <w14:schemeClr w14:val="tx1"/>
                  </w14:solidFill>
                </w14:textFill>
              </w:rPr>
              <w:t>医用纤维性废弃物；</w:t>
            </w:r>
          </w:p>
          <w:p>
            <w:pPr>
              <w:ind w:firstLine="218" w:firstLineChars="104"/>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b)</w:t>
            </w:r>
            <w:r>
              <w:rPr>
                <w:rFonts w:hint="eastAsia" w:ascii="宋体" w:hAnsi="宋体"/>
                <w:color w:val="000000" w:themeColor="text1"/>
                <w:szCs w:val="21"/>
                <w14:textFill>
                  <w14:solidFill>
                    <w14:schemeClr w14:val="tx1"/>
                  </w14:solidFill>
                </w14:textFill>
              </w:rPr>
              <w:t>使用过的殡葬用纤维制品；</w:t>
            </w:r>
          </w:p>
          <w:p>
            <w:pPr>
              <w:ind w:firstLine="218" w:firstLineChars="104"/>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c)</w:t>
            </w:r>
            <w:r>
              <w:rPr>
                <w:rFonts w:hint="eastAsia" w:ascii="宋体" w:hAnsi="宋体"/>
                <w:color w:val="000000" w:themeColor="text1"/>
                <w:szCs w:val="21"/>
                <w14:textFill>
                  <w14:solidFill>
                    <w14:schemeClr w14:val="tx1"/>
                  </w14:solidFill>
                </w14:textFill>
              </w:rPr>
              <w:t>来自传染病疫区无法证明未被污染的纤维制品；</w:t>
            </w:r>
          </w:p>
          <w:p>
            <w:pPr>
              <w:ind w:firstLine="218" w:firstLineChars="104"/>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d)</w:t>
            </w:r>
            <w:r>
              <w:rPr>
                <w:rFonts w:hint="eastAsia" w:ascii="宋体" w:hAnsi="宋体"/>
                <w:color w:val="000000" w:themeColor="text1"/>
                <w:szCs w:val="21"/>
                <w14:textFill>
                  <w14:solidFill>
                    <w14:schemeClr w14:val="tx1"/>
                  </w14:solidFill>
                </w14:textFill>
              </w:rPr>
              <w:t>国家禁止进口的废旧纤维制品；</w:t>
            </w:r>
          </w:p>
          <w:p>
            <w:pPr>
              <w:ind w:firstLine="218" w:firstLineChars="104"/>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e)</w:t>
            </w:r>
            <w:r>
              <w:rPr>
                <w:rFonts w:hint="eastAsia" w:ascii="宋体" w:hAnsi="宋体"/>
                <w:color w:val="000000" w:themeColor="text1"/>
                <w:szCs w:val="21"/>
                <w14:textFill>
                  <w14:solidFill>
                    <w14:schemeClr w14:val="tx1"/>
                  </w14:solidFill>
                </w14:textFill>
              </w:rPr>
              <w:t>其他被严重污染或有毒有害的物质。</w:t>
            </w:r>
          </w:p>
          <w:p>
            <w:pPr>
              <w:ind w:firstLine="218" w:firstLineChars="104"/>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、除第</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条以外，下列物质也不得作为加工生活用絮用纤维制品的原料：</w:t>
            </w:r>
          </w:p>
          <w:p>
            <w:pPr>
              <w:ind w:firstLine="218" w:firstLineChars="104"/>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a)</w:t>
            </w:r>
            <w:r>
              <w:rPr>
                <w:rFonts w:hint="eastAsia" w:ascii="宋体" w:hAnsi="宋体"/>
                <w:color w:val="000000" w:themeColor="text1"/>
                <w:szCs w:val="21"/>
                <w14:textFill>
                  <w14:solidFill>
                    <w14:schemeClr w14:val="tx1"/>
                  </w14:solidFill>
                </w14:textFill>
              </w:rPr>
              <w:t>被污染的纤维下脚；</w:t>
            </w:r>
          </w:p>
          <w:p>
            <w:pPr>
              <w:ind w:firstLine="218" w:firstLineChars="104"/>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b)</w:t>
            </w:r>
            <w:r>
              <w:rPr>
                <w:rFonts w:hint="eastAsia" w:ascii="宋体" w:hAnsi="宋体"/>
                <w:color w:val="000000" w:themeColor="text1"/>
                <w:szCs w:val="21"/>
                <w14:textFill>
                  <w14:solidFill>
                    <w14:schemeClr w14:val="tx1"/>
                  </w14:solidFill>
                </w14:textFill>
              </w:rPr>
              <w:t>废旧纤维制品或其再加工纤维；</w:t>
            </w:r>
          </w:p>
          <w:p>
            <w:pPr>
              <w:ind w:firstLine="218" w:firstLineChars="104"/>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c)</w:t>
            </w:r>
            <w:r>
              <w:rPr>
                <w:rFonts w:hint="eastAsia" w:ascii="宋体" w:hAnsi="宋体"/>
                <w:color w:val="000000" w:themeColor="text1"/>
                <w:szCs w:val="21"/>
                <w14:textFill>
                  <w14:solidFill>
                    <w14:schemeClr w14:val="tx1"/>
                  </w14:solidFill>
                </w14:textFill>
              </w:rPr>
              <w:t>纤维制品下脚或其再加工纤维；</w:t>
            </w:r>
          </w:p>
          <w:p>
            <w:pPr>
              <w:ind w:firstLine="218" w:firstLineChars="104"/>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d)GB/T5705</w:t>
            </w:r>
            <w:r>
              <w:rPr>
                <w:rFonts w:hint="eastAsia" w:ascii="宋体" w:hAnsi="宋体"/>
                <w:color w:val="000000" w:themeColor="text1"/>
                <w:szCs w:val="21"/>
                <w14:textFill>
                  <w14:solidFill>
                    <w14:schemeClr w14:val="tx1"/>
                  </w14:solidFill>
                </w14:textFill>
              </w:rPr>
              <w:t>中规定的二、三类棉短绒；</w:t>
            </w:r>
          </w:p>
          <w:p>
            <w:pPr>
              <w:ind w:firstLine="218" w:firstLineChars="104"/>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e)</w:t>
            </w:r>
            <w:r>
              <w:rPr>
                <w:rFonts w:hint="eastAsia" w:ascii="宋体" w:hAnsi="宋体"/>
                <w:color w:val="000000" w:themeColor="text1"/>
                <w:szCs w:val="21"/>
                <w14:textFill>
                  <w14:solidFill>
                    <w14:schemeClr w14:val="tx1"/>
                  </w14:solidFill>
                </w14:textFill>
              </w:rPr>
              <w:t>经脱色漂白处理的纤维下脚、纤维制品下脚、再加工纤维；</w:t>
            </w:r>
          </w:p>
          <w:p>
            <w:pPr>
              <w:ind w:firstLine="218" w:firstLineChars="104"/>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f)</w:t>
            </w:r>
            <w:r>
              <w:rPr>
                <w:rFonts w:hint="eastAsia" w:ascii="宋体" w:hAnsi="宋体"/>
                <w:color w:val="000000" w:themeColor="text1"/>
                <w:szCs w:val="21"/>
                <w14:textFill>
                  <w14:solidFill>
                    <w14:schemeClr w14:val="tx1"/>
                  </w14:solidFill>
                </w14:textFill>
              </w:rPr>
              <w:t>未洗净的动物纤维；</w:t>
            </w:r>
          </w:p>
          <w:p>
            <w:pPr>
              <w:ind w:firstLine="218" w:firstLineChars="104"/>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g)</w:t>
            </w:r>
            <w:r>
              <w:rPr>
                <w:rFonts w:hint="eastAsia" w:ascii="宋体" w:hAnsi="宋体"/>
                <w:color w:val="000000" w:themeColor="text1"/>
                <w:szCs w:val="21"/>
                <w14:textFill>
                  <w14:solidFill>
                    <w14:schemeClr w14:val="tx1"/>
                  </w14:solidFill>
                </w14:textFill>
              </w:rPr>
              <w:t>发霉变质的絮用纤维。</w:t>
            </w:r>
          </w:p>
          <w:p>
            <w:pPr>
              <w:ind w:firstLine="218" w:firstLineChars="104"/>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、生活用絮用纤维制品中的絮用纤维不得检出金属物或尖锐物等有危害性的杂质，如针、铁丝、木棍等；不得检出昆虫、鸟类、啮齿动物等排泄物或其他不卫生物质；不得检出明显的粉尘。</w:t>
            </w:r>
          </w:p>
          <w:p>
            <w:pPr>
              <w:ind w:firstLine="218" w:firstLineChars="104"/>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w:t>
            </w:r>
            <w:r>
              <w:rPr>
                <w:rFonts w:hint="eastAsia" w:ascii="宋体" w:hAnsi="宋体"/>
                <w:color w:val="000000" w:themeColor="text1"/>
                <w:szCs w:val="21"/>
                <w14:textFill>
                  <w14:solidFill>
                    <w14:schemeClr w14:val="tx1"/>
                  </w14:solidFill>
                </w14:textFill>
              </w:rPr>
              <w:t>、生活用絮用纤维制品中的絮用棉纤维的含杂质率应不大于</w:t>
            </w:r>
            <w:r>
              <w:rPr>
                <w:rFonts w:ascii="宋体" w:hAnsi="宋体"/>
                <w:color w:val="000000" w:themeColor="text1"/>
                <w:szCs w:val="21"/>
                <w14:textFill>
                  <w14:solidFill>
                    <w14:schemeClr w14:val="tx1"/>
                  </w14:solidFill>
                </w14:textFill>
              </w:rPr>
              <w:t>1.4%</w:t>
            </w:r>
            <w:r>
              <w:rPr>
                <w:rFonts w:hint="eastAsia" w:ascii="宋体" w:hAnsi="宋体"/>
                <w:color w:val="000000" w:themeColor="text1"/>
                <w:szCs w:val="21"/>
                <w14:textFill>
                  <w14:solidFill>
                    <w14:schemeClr w14:val="tx1"/>
                  </w14:solidFill>
                </w14:textFill>
              </w:rPr>
              <w:t>，其它生活用絮用纤维制品中的絮用纤维含杂质率应不大于1</w:t>
            </w:r>
            <w:r>
              <w:rPr>
                <w:rFonts w:ascii="宋体" w:hAnsi="宋体"/>
                <w:color w:val="000000" w:themeColor="text1"/>
                <w:szCs w:val="21"/>
                <w14:textFill>
                  <w14:solidFill>
                    <w14:schemeClr w14:val="tx1"/>
                  </w14:solidFill>
                </w14:textFill>
              </w:rPr>
              <w:t>.0%</w:t>
            </w:r>
            <w:r>
              <w:rPr>
                <w:rFonts w:hint="eastAsia" w:ascii="宋体" w:hAnsi="宋体"/>
                <w:color w:val="000000" w:themeColor="text1"/>
                <w:szCs w:val="21"/>
                <w14:textFill>
                  <w14:solidFill>
                    <w14:schemeClr w14:val="tx1"/>
                  </w14:solidFill>
                </w14:textFill>
              </w:rPr>
              <w:t>。</w:t>
            </w:r>
          </w:p>
          <w:p>
            <w:pPr>
              <w:ind w:firstLine="218" w:firstLineChars="104"/>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w:t>
            </w:r>
            <w:r>
              <w:rPr>
                <w:rFonts w:hint="eastAsia" w:ascii="宋体" w:hAnsi="宋体"/>
                <w:color w:val="000000" w:themeColor="text1"/>
                <w:szCs w:val="21"/>
                <w14:textFill>
                  <w14:solidFill>
                    <w14:schemeClr w14:val="tx1"/>
                  </w14:solidFill>
                </w14:textFill>
              </w:rPr>
              <w:t>、生活用絮用纤维制品中的絮用纤维</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用于软体家具铺垫物的絮片、垫毡除外</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由两种及两种以上纤维混合制成时，各组分絮用纤维的实际含量比标注含量的减少不得高于</w:t>
            </w:r>
            <w:r>
              <w:rPr>
                <w:rFonts w:ascii="宋体" w:hAnsi="宋体"/>
                <w:color w:val="000000" w:themeColor="text1"/>
                <w:szCs w:val="21"/>
                <w14:textFill>
                  <w14:solidFill>
                    <w14:schemeClr w14:val="tx1"/>
                  </w14:solidFill>
                </w14:textFill>
              </w:rPr>
              <w:t>10%(</w:t>
            </w:r>
            <w:r>
              <w:rPr>
                <w:rFonts w:hint="eastAsia" w:ascii="宋体" w:hAnsi="宋体"/>
                <w:color w:val="000000" w:themeColor="text1"/>
                <w:szCs w:val="21"/>
                <w14:textFill>
                  <w14:solidFill>
                    <w14:schemeClr w14:val="tx1"/>
                  </w14:solidFill>
                </w14:textFill>
              </w:rPr>
              <w:t>绝对百分比</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；当絮用纤维的标注含量低于</w:t>
            </w:r>
            <w:r>
              <w:rPr>
                <w:rFonts w:ascii="宋体" w:hAnsi="宋体"/>
                <w:color w:val="000000" w:themeColor="text1"/>
                <w:szCs w:val="21"/>
                <w14:textFill>
                  <w14:solidFill>
                    <w14:schemeClr w14:val="tx1"/>
                  </w14:solidFill>
                </w14:textFill>
              </w:rPr>
              <w:t>30%</w:t>
            </w:r>
            <w:r>
              <w:rPr>
                <w:rFonts w:hint="eastAsia" w:ascii="宋体" w:hAnsi="宋体"/>
                <w:color w:val="000000" w:themeColor="text1"/>
                <w:szCs w:val="21"/>
                <w14:textFill>
                  <w14:solidFill>
                    <w14:schemeClr w14:val="tx1"/>
                  </w14:solidFill>
                </w14:textFill>
              </w:rPr>
              <w:t>时，其实际含量不得少于标注含量的</w:t>
            </w:r>
            <w:r>
              <w:rPr>
                <w:rFonts w:ascii="宋体" w:hAnsi="宋体"/>
                <w:color w:val="000000" w:themeColor="text1"/>
                <w:szCs w:val="21"/>
                <w14:textFill>
                  <w14:solidFill>
                    <w14:schemeClr w14:val="tx1"/>
                  </w14:solidFill>
                </w14:textFill>
              </w:rPr>
              <w:t>70%(</w:t>
            </w:r>
            <w:r>
              <w:rPr>
                <w:rFonts w:hint="eastAsia" w:ascii="宋体" w:hAnsi="宋体"/>
                <w:color w:val="000000" w:themeColor="text1"/>
                <w:szCs w:val="21"/>
                <w14:textFill>
                  <w14:solidFill>
                    <w14:schemeClr w14:val="tx1"/>
                  </w14:solidFill>
                </w14:textFill>
              </w:rPr>
              <w:t>纤维含量按净干含量计</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w:t>
            </w:r>
          </w:p>
          <w:p>
            <w:pPr>
              <w:rPr>
                <w:rFonts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四、棉胎卫生要求</w:t>
            </w:r>
          </w:p>
          <w:p>
            <w:pPr>
              <w:ind w:firstLine="218" w:firstLineChars="104"/>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、不得检出绿脓杆菌、金黄色葡萄球菌和溶血性链球菌等致病菌。</w:t>
            </w:r>
          </w:p>
          <w:p>
            <w:pPr>
              <w:ind w:firstLine="218" w:firstLineChars="104"/>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、肉眼观察不得检出蚤、蜱、臭虫等可能传播疾病与危害健康的节足动物和蟑螂卵夹。</w:t>
            </w:r>
          </w:p>
          <w:p>
            <w:pPr>
              <w:ind w:firstLine="218" w:firstLineChars="104"/>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、不得有异味。</w:t>
            </w:r>
          </w:p>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★五、被套要求</w:t>
            </w:r>
          </w:p>
          <w:p>
            <w:pPr>
              <w:pStyle w:val="211"/>
              <w:ind w:firstLine="218" w:firstLineChars="104"/>
              <w:rPr>
                <w:rFonts w:ascii="宋体" w:hAnsi="宋体" w:eastAsia="宋体" w:cs="仿宋"/>
                <w:color w:val="000000" w:themeColor="text1"/>
                <w:kern w:val="2"/>
                <w:sz w:val="21"/>
                <w:szCs w:val="21"/>
                <w14:textFill>
                  <w14:solidFill>
                    <w14:schemeClr w14:val="tx1"/>
                  </w14:solidFill>
                </w14:textFill>
              </w:rPr>
            </w:pPr>
            <w:r>
              <w:rPr>
                <w:rFonts w:hint="eastAsia" w:ascii="宋体" w:hAnsi="宋体" w:eastAsia="宋体" w:cs="仿宋"/>
                <w:color w:val="000000" w:themeColor="text1"/>
                <w:kern w:val="2"/>
                <w:sz w:val="21"/>
                <w:szCs w:val="21"/>
                <w14:textFill>
                  <w14:solidFill>
                    <w14:schemeClr w14:val="tx1"/>
                  </w14:solidFill>
                </w14:textFill>
              </w:rPr>
              <w:t>1、规格：210cm（长）×160cm（宽）。</w:t>
            </w:r>
          </w:p>
          <w:p>
            <w:pPr>
              <w:pStyle w:val="211"/>
              <w:ind w:firstLine="218" w:firstLineChars="104"/>
              <w:rPr>
                <w:rFonts w:ascii="宋体" w:hAnsi="宋体" w:eastAsia="宋体" w:cs="仿宋"/>
                <w:color w:val="000000" w:themeColor="text1"/>
                <w:kern w:val="2"/>
                <w:sz w:val="21"/>
                <w:szCs w:val="21"/>
                <w14:textFill>
                  <w14:solidFill>
                    <w14:schemeClr w14:val="tx1"/>
                  </w14:solidFill>
                </w14:textFill>
              </w:rPr>
            </w:pPr>
            <w:r>
              <w:rPr>
                <w:rFonts w:hint="eastAsia" w:ascii="宋体" w:hAnsi="宋体" w:eastAsia="宋体" w:cs="仿宋"/>
                <w:color w:val="000000" w:themeColor="text1"/>
                <w:kern w:val="2"/>
                <w:sz w:val="21"/>
                <w:szCs w:val="21"/>
                <w14:textFill>
                  <w14:solidFill>
                    <w14:schemeClr w14:val="tx1"/>
                  </w14:solidFill>
                </w14:textFill>
              </w:rPr>
              <w:t>2、执行标准GB/T22796-2009《被、被套》。</w:t>
            </w:r>
          </w:p>
          <w:p>
            <w:pPr>
              <w:pStyle w:val="211"/>
              <w:ind w:firstLine="218" w:firstLineChars="104"/>
              <w:rPr>
                <w:rFonts w:ascii="宋体" w:hAnsi="宋体" w:eastAsia="宋体" w:cs="仿宋"/>
                <w:color w:val="000000" w:themeColor="text1"/>
                <w:kern w:val="2"/>
                <w:sz w:val="21"/>
                <w:szCs w:val="21"/>
                <w14:textFill>
                  <w14:solidFill>
                    <w14:schemeClr w14:val="tx1"/>
                  </w14:solidFill>
                </w14:textFill>
              </w:rPr>
            </w:pPr>
            <w:r>
              <w:rPr>
                <w:rFonts w:hint="eastAsia" w:ascii="宋体" w:hAnsi="宋体" w:eastAsia="宋体" w:cs="仿宋"/>
                <w:color w:val="000000" w:themeColor="text1"/>
                <w:kern w:val="2"/>
                <w:sz w:val="21"/>
                <w:szCs w:val="21"/>
                <w14:textFill>
                  <w14:solidFill>
                    <w14:schemeClr w14:val="tx1"/>
                  </w14:solidFill>
                </w14:textFill>
              </w:rPr>
              <w:t>（1）成分：棉100%；</w:t>
            </w:r>
          </w:p>
          <w:p>
            <w:pPr>
              <w:pStyle w:val="211"/>
              <w:ind w:firstLine="218" w:firstLineChars="104"/>
              <w:rPr>
                <w:rFonts w:ascii="宋体" w:hAnsi="宋体" w:eastAsia="宋体" w:cs="仿宋"/>
                <w:color w:val="000000" w:themeColor="text1"/>
                <w:kern w:val="2"/>
                <w:sz w:val="21"/>
                <w:szCs w:val="21"/>
                <w14:textFill>
                  <w14:solidFill>
                    <w14:schemeClr w14:val="tx1"/>
                  </w14:solidFill>
                </w14:textFill>
              </w:rPr>
            </w:pPr>
            <w:r>
              <w:rPr>
                <w:rFonts w:hint="eastAsia" w:ascii="宋体" w:hAnsi="宋体" w:eastAsia="宋体" w:cs="仿宋"/>
                <w:color w:val="000000" w:themeColor="text1"/>
                <w:kern w:val="2"/>
                <w:sz w:val="21"/>
                <w:szCs w:val="21"/>
                <w14:textFill>
                  <w14:solidFill>
                    <w14:schemeClr w14:val="tx1"/>
                  </w14:solidFill>
                </w14:textFill>
              </w:rPr>
              <w:t>（2）规格：（长度）2.1×（宽度）1.6m，允差：±2.5%；克重/（g/㎡）：170,允差：±3%；</w:t>
            </w:r>
          </w:p>
          <w:p>
            <w:pPr>
              <w:pStyle w:val="211"/>
              <w:ind w:firstLine="218" w:firstLineChars="104"/>
              <w:rPr>
                <w:rFonts w:ascii="宋体" w:hAnsi="宋体" w:eastAsia="宋体" w:cs="仿宋"/>
                <w:color w:val="000000" w:themeColor="text1"/>
                <w:kern w:val="2"/>
                <w:sz w:val="21"/>
                <w:szCs w:val="21"/>
                <w14:textFill>
                  <w14:solidFill>
                    <w14:schemeClr w14:val="tx1"/>
                  </w14:solidFill>
                </w14:textFill>
              </w:rPr>
            </w:pPr>
            <w:r>
              <w:rPr>
                <w:rFonts w:hint="eastAsia" w:ascii="宋体" w:hAnsi="宋体" w:eastAsia="宋体" w:cs="仿宋"/>
                <w:color w:val="000000" w:themeColor="text1"/>
                <w:kern w:val="2"/>
                <w:sz w:val="21"/>
                <w:szCs w:val="21"/>
                <w14:textFill>
                  <w14:solidFill>
                    <w14:schemeClr w14:val="tx1"/>
                  </w14:solidFill>
                </w14:textFill>
              </w:rPr>
              <w:t>（3）颜色为军绿色；</w:t>
            </w:r>
          </w:p>
          <w:p>
            <w:pPr>
              <w:pStyle w:val="211"/>
              <w:ind w:firstLine="218" w:firstLineChars="104"/>
              <w:rPr>
                <w:rFonts w:ascii="宋体" w:hAnsi="宋体" w:eastAsia="宋体" w:cs="仿宋"/>
                <w:color w:val="000000" w:themeColor="text1"/>
                <w:kern w:val="2"/>
                <w:sz w:val="21"/>
                <w:szCs w:val="21"/>
                <w14:textFill>
                  <w14:solidFill>
                    <w14:schemeClr w14:val="tx1"/>
                  </w14:solidFill>
                </w14:textFill>
              </w:rPr>
            </w:pPr>
            <w:r>
              <w:rPr>
                <w:rFonts w:hint="eastAsia" w:ascii="宋体" w:hAnsi="宋体" w:eastAsia="宋体" w:cs="仿宋"/>
                <w:color w:val="000000" w:themeColor="text1"/>
                <w:kern w:val="2"/>
                <w:sz w:val="21"/>
                <w:szCs w:val="21"/>
                <w14:textFill>
                  <w14:solidFill>
                    <w14:schemeClr w14:val="tx1"/>
                  </w14:solidFill>
                </w14:textFill>
              </w:rPr>
              <w:t>（4）缩水率在2%以内，且耐氯漂；</w:t>
            </w:r>
          </w:p>
          <w:p>
            <w:pPr>
              <w:pStyle w:val="211"/>
              <w:ind w:firstLine="218" w:firstLineChars="104"/>
              <w:rPr>
                <w:rFonts w:ascii="宋体" w:hAnsi="宋体" w:eastAsia="宋体" w:cs="仿宋"/>
                <w:color w:val="000000" w:themeColor="text1"/>
                <w:kern w:val="2"/>
                <w:sz w:val="21"/>
                <w:szCs w:val="21"/>
                <w14:textFill>
                  <w14:solidFill>
                    <w14:schemeClr w14:val="tx1"/>
                  </w14:solidFill>
                </w14:textFill>
              </w:rPr>
            </w:pPr>
            <w:r>
              <w:rPr>
                <w:rFonts w:hint="eastAsia" w:ascii="宋体" w:hAnsi="宋体" w:eastAsia="宋体" w:cs="仿宋"/>
                <w:color w:val="000000" w:themeColor="text1"/>
                <w:kern w:val="2"/>
                <w:sz w:val="21"/>
                <w:szCs w:val="21"/>
                <w14:textFill>
                  <w14:solidFill>
                    <w14:schemeClr w14:val="tx1"/>
                  </w14:solidFill>
                </w14:textFill>
              </w:rPr>
              <w:t>（5）甲醛含量/（mg/kg）：≤75；pH值：4.0～8.5；</w:t>
            </w:r>
          </w:p>
          <w:p>
            <w:pPr>
              <w:pStyle w:val="211"/>
              <w:ind w:firstLine="218" w:firstLineChars="104"/>
              <w:rPr>
                <w:rFonts w:ascii="宋体" w:hAnsi="宋体" w:eastAsia="宋体" w:cs="仿宋"/>
                <w:color w:val="000000" w:themeColor="text1"/>
                <w:kern w:val="2"/>
                <w:sz w:val="21"/>
                <w:szCs w:val="21"/>
                <w14:textFill>
                  <w14:solidFill>
                    <w14:schemeClr w14:val="tx1"/>
                  </w14:solidFill>
                </w14:textFill>
              </w:rPr>
            </w:pPr>
            <w:r>
              <w:rPr>
                <w:rFonts w:hint="eastAsia" w:ascii="宋体" w:hAnsi="宋体" w:eastAsia="宋体" w:cs="仿宋"/>
                <w:color w:val="000000" w:themeColor="text1"/>
                <w:kern w:val="2"/>
                <w:sz w:val="21"/>
                <w:szCs w:val="21"/>
                <w14:textFill>
                  <w14:solidFill>
                    <w14:schemeClr w14:val="tx1"/>
                  </w14:solidFill>
                </w14:textFill>
              </w:rPr>
              <w:t>（6）织物纱线线密度/tex：经向17.5，纬向17.5，允差：±2.5%；织物密度/（根/10cm）：经向500，纬向300，允差±5；</w:t>
            </w:r>
          </w:p>
          <w:p>
            <w:pPr>
              <w:pStyle w:val="211"/>
              <w:ind w:firstLine="218" w:firstLineChars="104"/>
              <w:rPr>
                <w:rFonts w:ascii="宋体" w:hAnsi="宋体" w:eastAsia="宋体" w:cs="仿宋"/>
                <w:color w:val="000000" w:themeColor="text1"/>
                <w:kern w:val="2"/>
                <w:sz w:val="21"/>
                <w:szCs w:val="21"/>
                <w14:textFill>
                  <w14:solidFill>
                    <w14:schemeClr w14:val="tx1"/>
                  </w14:solidFill>
                </w14:textFill>
              </w:rPr>
            </w:pPr>
            <w:r>
              <w:rPr>
                <w:rFonts w:hint="eastAsia" w:ascii="宋体" w:hAnsi="宋体" w:eastAsia="宋体" w:cs="仿宋"/>
                <w:color w:val="000000" w:themeColor="text1"/>
                <w:kern w:val="2"/>
                <w:sz w:val="21"/>
                <w:szCs w:val="21"/>
                <w14:textFill>
                  <w14:solidFill>
                    <w14:schemeClr w14:val="tx1"/>
                  </w14:solidFill>
                </w14:textFill>
              </w:rPr>
              <w:t>（7）耐干摩擦色牢度/级：≥3；耐皂洗色牢度/级：≥3-4；耐水洗色牢度/级：≥3-4；耐汗渍色牢度/级：≥3-4；耐光色牢度/级：≥4；水洗变化：±3%；断裂强力/N：经向≥800，纬向≥400；</w:t>
            </w:r>
          </w:p>
          <w:p>
            <w:pPr>
              <w:pStyle w:val="211"/>
              <w:ind w:firstLine="218" w:firstLineChars="104"/>
              <w:rPr>
                <w:rFonts w:ascii="宋体" w:hAnsi="宋体" w:eastAsia="宋体" w:cs="仿宋"/>
                <w:color w:val="000000" w:themeColor="text1"/>
                <w:kern w:val="2"/>
                <w:sz w:val="21"/>
                <w:szCs w:val="21"/>
                <w14:textFill>
                  <w14:solidFill>
                    <w14:schemeClr w14:val="tx1"/>
                  </w14:solidFill>
                </w14:textFill>
              </w:rPr>
            </w:pPr>
            <w:r>
              <w:rPr>
                <w:rFonts w:hint="eastAsia" w:ascii="宋体" w:hAnsi="宋体" w:eastAsia="宋体" w:cs="仿宋"/>
                <w:color w:val="000000" w:themeColor="text1"/>
                <w:kern w:val="2"/>
                <w:sz w:val="21"/>
                <w:szCs w:val="21"/>
                <w14:textFill>
                  <w14:solidFill>
                    <w14:schemeClr w14:val="tx1"/>
                  </w14:solidFill>
                </w14:textFill>
              </w:rPr>
              <w:t>（8）拉链长度一米，拉链头坚固不易脱落。</w:t>
            </w:r>
          </w:p>
          <w:p>
            <w:pPr>
              <w:rPr>
                <w:color w:val="000000" w:themeColor="text1"/>
                <w:spacing w:val="-21"/>
                <w:position w:val="1"/>
                <w:sz w:val="2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六、</w:t>
            </w:r>
            <w:r>
              <w:rPr>
                <w:rFonts w:hint="eastAsia" w:ascii="宋体" w:hAnsi="宋体" w:cs="宋体"/>
                <w:color w:val="000000" w:themeColor="text1"/>
                <w:szCs w:val="21"/>
                <w14:textFill>
                  <w14:solidFill>
                    <w14:schemeClr w14:val="tx1"/>
                  </w14:solidFill>
                </w14:textFill>
              </w:rPr>
              <w:t>投标人投标时必须提供</w:t>
            </w:r>
            <w:r>
              <w:rPr>
                <w:rFonts w:hint="eastAsia" w:ascii="宋体" w:hAnsi="宋体"/>
                <w:color w:val="000000" w:themeColor="text1"/>
                <w:szCs w:val="21"/>
                <w14:textFill>
                  <w14:solidFill>
                    <w14:schemeClr w14:val="tx1"/>
                  </w14:solidFill>
                </w14:textFill>
              </w:rPr>
              <w:t>近6个月内省级或省级以上</w:t>
            </w:r>
            <w:r>
              <w:rPr>
                <w:rFonts w:hint="eastAsia" w:ascii="宋体" w:hAnsi="宋体" w:cs="宋体"/>
                <w:color w:val="000000" w:themeColor="text1"/>
                <w:szCs w:val="21"/>
                <w14:textFill>
                  <w14:solidFill>
                    <w14:schemeClr w14:val="tx1"/>
                  </w14:solidFill>
                </w14:textFill>
              </w:rPr>
              <w:t>有资质检测机构出具的棉胎</w:t>
            </w:r>
            <w:r>
              <w:rPr>
                <w:rFonts w:hint="eastAsia" w:ascii="宋体" w:hAnsi="宋体" w:cs="宋体"/>
                <w:color w:val="000000" w:themeColor="text1"/>
                <w:szCs w:val="21"/>
                <w:lang w:eastAsia="zh-CN"/>
                <w14:textFill>
                  <w14:solidFill>
                    <w14:schemeClr w14:val="tx1"/>
                  </w14:solidFill>
                </w14:textFill>
              </w:rPr>
              <w:t>和被套</w:t>
            </w:r>
            <w:r>
              <w:rPr>
                <w:rFonts w:hint="eastAsia" w:ascii="宋体" w:hAnsi="宋体" w:cs="宋体"/>
                <w:color w:val="000000" w:themeColor="text1"/>
                <w:szCs w:val="21"/>
                <w14:textFill>
                  <w14:solidFill>
                    <w14:schemeClr w14:val="tx1"/>
                  </w14:solidFill>
                </w14:textFill>
              </w:rPr>
              <w:t>检验报告原件进行核查。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4</w:t>
            </w:r>
          </w:p>
        </w:tc>
        <w:tc>
          <w:tcPr>
            <w:tcW w:w="1081"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棉褥</w:t>
            </w:r>
          </w:p>
        </w:tc>
        <w:tc>
          <w:tcPr>
            <w:tcW w:w="682" w:type="dxa"/>
            <w:noWrap w:val="0"/>
            <w:vAlign w:val="center"/>
          </w:tcPr>
          <w:p>
            <w:pPr>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套</w:t>
            </w:r>
          </w:p>
        </w:tc>
        <w:tc>
          <w:tcPr>
            <w:tcW w:w="886" w:type="dxa"/>
            <w:noWrap w:val="0"/>
            <w:vAlign w:val="center"/>
          </w:tcPr>
          <w:p>
            <w:pPr>
              <w:jc w:val="center"/>
              <w:rPr>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300</w:t>
            </w:r>
          </w:p>
        </w:tc>
        <w:tc>
          <w:tcPr>
            <w:tcW w:w="7309" w:type="dxa"/>
            <w:noWrap w:val="0"/>
            <w:vAlign w:val="center"/>
          </w:tcPr>
          <w:p>
            <w:pPr>
              <w:pStyle w:val="205"/>
              <w:numPr>
                <w:ilvl w:val="0"/>
                <w:numId w:val="0"/>
              </w:numPr>
              <w:ind w:leftChars="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一、</w:t>
            </w:r>
            <w:r>
              <w:rPr>
                <w:rFonts w:hint="eastAsia" w:ascii="宋体" w:hAnsi="宋体"/>
                <w:color w:val="000000" w:themeColor="text1"/>
                <w:szCs w:val="21"/>
                <w:lang w:val="en-US" w:eastAsia="zh-CN"/>
                <w14:textFill>
                  <w14:solidFill>
                    <w14:schemeClr w14:val="tx1"/>
                  </w14:solidFill>
                </w14:textFill>
              </w:rPr>
              <w:t>1、</w:t>
            </w:r>
            <w:r>
              <w:rPr>
                <w:rFonts w:hint="eastAsia" w:ascii="宋体" w:hAnsi="宋体"/>
                <w:color w:val="000000" w:themeColor="text1"/>
                <w:szCs w:val="21"/>
                <w14:textFill>
                  <w14:solidFill>
                    <w14:schemeClr w14:val="tx1"/>
                  </w14:solidFill>
                </w14:textFill>
              </w:rPr>
              <w:t>白色热熔棉褥子。</w:t>
            </w:r>
          </w:p>
          <w:p>
            <w:pPr>
              <w:pStyle w:val="205"/>
              <w:numPr>
                <w:ilvl w:val="0"/>
                <w:numId w:val="0"/>
              </w:numPr>
              <w:ind w:left="0" w:leftChars="0" w:firstLine="210" w:firstLineChars="100"/>
              <w:rPr>
                <w:color w:val="000000" w:themeColor="text1"/>
                <w:spacing w:val="-21"/>
                <w:position w:val="1"/>
                <w:sz w:val="2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 xml:space="preserve">  2、</w:t>
            </w:r>
            <w:r>
              <w:rPr>
                <w:rFonts w:hint="eastAsia" w:ascii="宋体" w:hAnsi="宋体"/>
                <w:color w:val="000000" w:themeColor="text1"/>
                <w:szCs w:val="21"/>
                <w14:textFill>
                  <w14:solidFill>
                    <w14:schemeClr w14:val="tx1"/>
                  </w14:solidFill>
                </w14:textFill>
              </w:rPr>
              <w:t>尺寸: 90x190cm。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5</w:t>
            </w:r>
          </w:p>
        </w:tc>
        <w:tc>
          <w:tcPr>
            <w:tcW w:w="1081"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防潮垫</w:t>
            </w:r>
          </w:p>
        </w:tc>
        <w:tc>
          <w:tcPr>
            <w:tcW w:w="682" w:type="dxa"/>
            <w:noWrap w:val="0"/>
            <w:vAlign w:val="center"/>
          </w:tcPr>
          <w:p>
            <w:pPr>
              <w:tabs>
                <w:tab w:val="left" w:pos="1440"/>
              </w:tabs>
              <w:spacing w:line="360" w:lineRule="atLeast"/>
              <w:jc w:val="center"/>
              <w:rPr>
                <w:rFonts w:hint="eastAsia" w:ascii="宋体" w:hAnsi="宋体" w:cs="Arial"/>
                <w:bCs/>
                <w:color w:val="000000" w:themeColor="text1"/>
                <w:sz w:val="21"/>
                <w:szCs w:val="21"/>
                <w14:textFill>
                  <w14:solidFill>
                    <w14:schemeClr w14:val="tx1"/>
                  </w14:solidFill>
                </w14:textFill>
              </w:rPr>
            </w:pPr>
            <w:r>
              <w:rPr>
                <w:rFonts w:hint="eastAsia" w:ascii="宋体" w:hAnsi="宋体" w:cs="Arial"/>
                <w:bCs/>
                <w:color w:val="000000" w:themeColor="text1"/>
                <w:sz w:val="24"/>
                <w14:textFill>
                  <w14:solidFill>
                    <w14:schemeClr w14:val="tx1"/>
                  </w14:solidFill>
                </w14:textFill>
              </w:rPr>
              <w:t>个</w:t>
            </w:r>
          </w:p>
        </w:tc>
        <w:tc>
          <w:tcPr>
            <w:tcW w:w="886" w:type="dxa"/>
            <w:noWrap w:val="0"/>
            <w:vAlign w:val="center"/>
          </w:tcPr>
          <w:p>
            <w:pPr>
              <w:tabs>
                <w:tab w:val="left" w:pos="1440"/>
              </w:tabs>
              <w:spacing w:line="360" w:lineRule="atLeast"/>
              <w:jc w:val="center"/>
              <w:rPr>
                <w:color w:val="000000" w:themeColor="text1"/>
                <w:sz w:val="21"/>
                <w:szCs w:val="21"/>
                <w14:textFill>
                  <w14:solidFill>
                    <w14:schemeClr w14:val="tx1"/>
                  </w14:solidFill>
                </w14:textFill>
              </w:rPr>
            </w:pPr>
            <w:r>
              <w:rPr>
                <w:rFonts w:hint="eastAsia" w:ascii="宋体" w:hAnsi="宋体" w:cs="Arial"/>
                <w:bCs/>
                <w:color w:val="000000" w:themeColor="text1"/>
                <w:sz w:val="24"/>
                <w14:textFill>
                  <w14:solidFill>
                    <w14:schemeClr w14:val="tx1"/>
                  </w14:solidFill>
                </w14:textFill>
              </w:rPr>
              <w:t>200</w:t>
            </w:r>
          </w:p>
        </w:tc>
        <w:tc>
          <w:tcPr>
            <w:tcW w:w="7309" w:type="dxa"/>
            <w:noWrap w:val="0"/>
            <w:vAlign w:val="center"/>
          </w:tcPr>
          <w:p>
            <w:pPr>
              <w:pStyle w:val="205"/>
              <w:numPr>
                <w:ilvl w:val="0"/>
                <w:numId w:val="0"/>
              </w:numPr>
              <w:ind w:leftChars="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一、</w:t>
            </w:r>
            <w:r>
              <w:rPr>
                <w:rFonts w:hint="eastAsia" w:ascii="宋体" w:hAnsi="宋体"/>
                <w:color w:val="000000" w:themeColor="text1"/>
                <w:szCs w:val="21"/>
                <w:lang w:val="en-US" w:eastAsia="zh-CN"/>
                <w14:textFill>
                  <w14:solidFill>
                    <w14:schemeClr w14:val="tx1"/>
                  </w14:solidFill>
                </w14:textFill>
              </w:rPr>
              <w:t>1、</w:t>
            </w:r>
            <w:r>
              <w:rPr>
                <w:rFonts w:hint="eastAsia" w:ascii="宋体" w:hAnsi="宋体"/>
                <w:color w:val="000000" w:themeColor="text1"/>
                <w:szCs w:val="21"/>
                <w14:textFill>
                  <w14:solidFill>
                    <w14:schemeClr w14:val="tx1"/>
                  </w14:solidFill>
                </w14:textFill>
              </w:rPr>
              <w:t>填充物: 棉絮。面料: 棉100%。</w:t>
            </w:r>
          </w:p>
          <w:p>
            <w:pPr>
              <w:pStyle w:val="205"/>
              <w:numPr>
                <w:ilvl w:val="0"/>
                <w:numId w:val="0"/>
              </w:numPr>
              <w:ind w:leftChars="0"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2、</w:t>
            </w:r>
            <w:r>
              <w:rPr>
                <w:rFonts w:hint="eastAsia" w:ascii="宋体" w:hAnsi="宋体"/>
                <w:color w:val="000000" w:themeColor="text1"/>
                <w:szCs w:val="21"/>
                <w14:textFill>
                  <w14:solidFill>
                    <w14:schemeClr w14:val="tx1"/>
                  </w14:solidFill>
                </w14:textFill>
              </w:rPr>
              <w:t>尺寸：90*200cm。</w:t>
            </w:r>
          </w:p>
          <w:p>
            <w:pPr>
              <w:pStyle w:val="205"/>
              <w:numPr>
                <w:ilvl w:val="0"/>
                <w:numId w:val="0"/>
              </w:numPr>
              <w:ind w:left="0" w:leftChars="0" w:firstLine="420" w:firstLineChars="200"/>
              <w:rPr>
                <w:color w:val="000000" w:themeColor="text1"/>
                <w:spacing w:val="-21"/>
                <w:position w:val="1"/>
                <w:sz w:val="2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3、</w:t>
            </w:r>
            <w:r>
              <w:rPr>
                <w:rFonts w:hint="eastAsia" w:ascii="宋体" w:hAnsi="宋体"/>
                <w:color w:val="000000" w:themeColor="text1"/>
                <w:szCs w:val="21"/>
                <w14:textFill>
                  <w14:solidFill>
                    <w14:schemeClr w14:val="tx1"/>
                  </w14:solidFill>
                </w14:textFill>
              </w:rPr>
              <w:t>重量：3.5斤。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6</w:t>
            </w:r>
          </w:p>
        </w:tc>
        <w:tc>
          <w:tcPr>
            <w:tcW w:w="1081"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睡袋</w:t>
            </w:r>
          </w:p>
        </w:tc>
        <w:tc>
          <w:tcPr>
            <w:tcW w:w="682" w:type="dxa"/>
            <w:noWrap w:val="0"/>
            <w:vAlign w:val="center"/>
          </w:tcPr>
          <w:p>
            <w:pPr>
              <w:jc w:val="center"/>
              <w:rPr>
                <w:rFonts w:hint="eastAsia" w:ascii="宋体" w:hAnsi="宋体"/>
                <w:color w:val="000000" w:themeColor="text1"/>
                <w:sz w:val="21"/>
                <w:szCs w:val="21"/>
                <w14:textFill>
                  <w14:solidFill>
                    <w14:schemeClr w14:val="tx1"/>
                  </w14:solidFill>
                </w14:textFill>
              </w:rPr>
            </w:pPr>
            <w:r>
              <w:rPr>
                <w:rFonts w:hint="eastAsia" w:ascii="宋体" w:hAnsi="宋体" w:cs="Arial"/>
                <w:bCs/>
                <w:color w:val="000000" w:themeColor="text1"/>
                <w:sz w:val="24"/>
                <w14:textFill>
                  <w14:solidFill>
                    <w14:schemeClr w14:val="tx1"/>
                  </w14:solidFill>
                </w14:textFill>
              </w:rPr>
              <w:t>个</w:t>
            </w:r>
          </w:p>
        </w:tc>
        <w:tc>
          <w:tcPr>
            <w:tcW w:w="886" w:type="dxa"/>
            <w:noWrap w:val="0"/>
            <w:vAlign w:val="center"/>
          </w:tcPr>
          <w:p>
            <w:pPr>
              <w:jc w:val="center"/>
              <w:rPr>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300</w:t>
            </w:r>
          </w:p>
        </w:tc>
        <w:tc>
          <w:tcPr>
            <w:tcW w:w="7309" w:type="dxa"/>
            <w:noWrap w:val="0"/>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一、</w:t>
            </w:r>
            <w:r>
              <w:rPr>
                <w:rFonts w:hint="eastAsia" w:ascii="宋体" w:hAnsi="宋体"/>
                <w:color w:val="000000" w:themeColor="text1"/>
                <w:szCs w:val="21"/>
                <w14:textFill>
                  <w14:solidFill>
                    <w14:schemeClr w14:val="tx1"/>
                  </w14:solidFill>
                </w14:textFill>
              </w:rPr>
              <w:t>1、1.0公斤数码迷彩(中空棉）。</w:t>
            </w:r>
          </w:p>
          <w:p>
            <w:pPr>
              <w:ind w:firstLine="420" w:firstLineChars="200"/>
              <w:rPr>
                <w:color w:val="000000" w:themeColor="text1"/>
                <w:spacing w:val="-21"/>
                <w:position w:val="1"/>
                <w:sz w:val="2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2、舒适温标: 15℃以上。</w:t>
            </w:r>
            <w:r>
              <w:rPr>
                <w:rFonts w:hint="eastAsia" w:ascii="宋体" w:hAnsi="宋体"/>
                <w:color w:val="000000" w:themeColor="text1"/>
                <w:szCs w:val="21"/>
                <w14:textFill>
                  <w14:solidFill>
                    <w14:schemeClr w14:val="tx1"/>
                  </w14:solidFill>
                </w14:textFill>
              </w:rPr>
              <w:br w:type="textWrapping"/>
            </w:r>
            <w:r>
              <w:rPr>
                <w:rFonts w:hint="eastAsia" w:ascii="宋体" w:hAnsi="宋体"/>
                <w:color w:val="000000" w:themeColor="text1"/>
                <w:szCs w:val="21"/>
                <w:lang w:val="en-US" w:eastAsia="zh-CN"/>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3、填充物: 中空棉。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7</w:t>
            </w:r>
          </w:p>
        </w:tc>
        <w:tc>
          <w:tcPr>
            <w:tcW w:w="1081"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b w:val="0"/>
                <w:bCs/>
                <w:color w:val="000000" w:themeColor="text1"/>
                <w:szCs w:val="21"/>
                <w14:textFill>
                  <w14:solidFill>
                    <w14:schemeClr w14:val="tx1"/>
                  </w14:solidFill>
                </w14:textFill>
              </w:rPr>
              <w:t>▲</w:t>
            </w:r>
            <w:r>
              <w:rPr>
                <w:rFonts w:hint="eastAsia" w:ascii="宋体" w:hAnsi="宋体" w:cs="宋体"/>
                <w:color w:val="000000" w:themeColor="text1"/>
                <w:kern w:val="0"/>
                <w:sz w:val="24"/>
                <w:lang w:bidi="ar"/>
                <w14:textFill>
                  <w14:solidFill>
                    <w14:schemeClr w14:val="tx1"/>
                  </w14:solidFill>
                </w14:textFill>
              </w:rPr>
              <w:t>床单</w:t>
            </w:r>
          </w:p>
        </w:tc>
        <w:tc>
          <w:tcPr>
            <w:tcW w:w="682" w:type="dxa"/>
            <w:noWrap w:val="0"/>
            <w:vAlign w:val="center"/>
          </w:tcPr>
          <w:p>
            <w:pPr>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床</w:t>
            </w:r>
          </w:p>
        </w:tc>
        <w:tc>
          <w:tcPr>
            <w:tcW w:w="886" w:type="dxa"/>
            <w:noWrap w:val="0"/>
            <w:vAlign w:val="center"/>
          </w:tcPr>
          <w:p>
            <w:pPr>
              <w:jc w:val="center"/>
              <w:rPr>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300</w:t>
            </w:r>
          </w:p>
        </w:tc>
        <w:tc>
          <w:tcPr>
            <w:tcW w:w="7309" w:type="dxa"/>
            <w:noWrap w:val="0"/>
            <w:vAlign w:val="center"/>
          </w:tcPr>
          <w:p>
            <w:pPr>
              <w:pStyle w:val="211"/>
              <w:rPr>
                <w:rFonts w:ascii="宋体" w:hAnsi="宋体" w:eastAsia="宋体" w:cs="仿宋"/>
                <w:color w:val="000000" w:themeColor="text1"/>
                <w:kern w:val="2"/>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仿宋"/>
                <w:color w:val="000000" w:themeColor="text1"/>
                <w:kern w:val="2"/>
                <w:sz w:val="21"/>
                <w:szCs w:val="21"/>
                <w:lang w:eastAsia="zh-CN"/>
                <w14:textFill>
                  <w14:solidFill>
                    <w14:schemeClr w14:val="tx1"/>
                  </w14:solidFill>
                </w14:textFill>
              </w:rPr>
              <w:t>一、</w:t>
            </w:r>
            <w:r>
              <w:rPr>
                <w:rFonts w:hint="eastAsia" w:ascii="宋体" w:hAnsi="宋体" w:eastAsia="宋体" w:cs="仿宋"/>
                <w:color w:val="000000" w:themeColor="text1"/>
                <w:kern w:val="2"/>
                <w:sz w:val="21"/>
                <w:szCs w:val="21"/>
                <w14:textFill>
                  <w14:solidFill>
                    <w14:schemeClr w14:val="tx1"/>
                  </w14:solidFill>
                </w14:textFill>
              </w:rPr>
              <w:t>1、规格：200cm（长）×150cm（宽）。</w:t>
            </w:r>
          </w:p>
          <w:p>
            <w:pPr>
              <w:pStyle w:val="211"/>
              <w:ind w:firstLine="420" w:firstLineChars="200"/>
              <w:rPr>
                <w:rFonts w:ascii="宋体" w:hAnsi="宋体" w:eastAsia="宋体" w:cs="仿宋"/>
                <w:color w:val="000000" w:themeColor="text1"/>
                <w:kern w:val="2"/>
                <w:sz w:val="21"/>
                <w:szCs w:val="21"/>
                <w14:textFill>
                  <w14:solidFill>
                    <w14:schemeClr w14:val="tx1"/>
                  </w14:solidFill>
                </w14:textFill>
              </w:rPr>
            </w:pPr>
            <w:r>
              <w:rPr>
                <w:rFonts w:hint="eastAsia" w:ascii="宋体" w:hAnsi="宋体" w:eastAsia="宋体" w:cs="仿宋"/>
                <w:color w:val="000000" w:themeColor="text1"/>
                <w:kern w:val="2"/>
                <w:sz w:val="21"/>
                <w:szCs w:val="21"/>
                <w14:textFill>
                  <w14:solidFill>
                    <w14:schemeClr w14:val="tx1"/>
                  </w14:solidFill>
                </w14:textFill>
              </w:rPr>
              <w:t>2、执行标准GB/T22796-2009《被、被套》。</w:t>
            </w:r>
          </w:p>
          <w:p>
            <w:pPr>
              <w:pStyle w:val="211"/>
              <w:ind w:firstLine="218" w:firstLineChars="104"/>
              <w:rPr>
                <w:rFonts w:ascii="宋体" w:hAnsi="宋体" w:eastAsia="宋体" w:cs="仿宋"/>
                <w:color w:val="000000" w:themeColor="text1"/>
                <w:kern w:val="2"/>
                <w:sz w:val="21"/>
                <w:szCs w:val="21"/>
                <w14:textFill>
                  <w14:solidFill>
                    <w14:schemeClr w14:val="tx1"/>
                  </w14:solidFill>
                </w14:textFill>
              </w:rPr>
            </w:pPr>
            <w:r>
              <w:rPr>
                <w:rFonts w:hint="eastAsia" w:ascii="宋体" w:hAnsi="宋体" w:eastAsia="宋体" w:cs="仿宋"/>
                <w:color w:val="000000" w:themeColor="text1"/>
                <w:kern w:val="2"/>
                <w:sz w:val="21"/>
                <w:szCs w:val="21"/>
                <w14:textFill>
                  <w14:solidFill>
                    <w14:schemeClr w14:val="tx1"/>
                  </w14:solidFill>
                </w14:textFill>
              </w:rPr>
              <w:t>（1）成分：棉100%；</w:t>
            </w:r>
          </w:p>
          <w:p>
            <w:pPr>
              <w:pStyle w:val="211"/>
              <w:ind w:firstLine="218" w:firstLineChars="104"/>
              <w:rPr>
                <w:rFonts w:ascii="宋体" w:hAnsi="宋体" w:eastAsia="宋体" w:cs="仿宋"/>
                <w:color w:val="000000" w:themeColor="text1"/>
                <w:kern w:val="2"/>
                <w:sz w:val="21"/>
                <w:szCs w:val="21"/>
                <w14:textFill>
                  <w14:solidFill>
                    <w14:schemeClr w14:val="tx1"/>
                  </w14:solidFill>
                </w14:textFill>
              </w:rPr>
            </w:pPr>
            <w:r>
              <w:rPr>
                <w:rFonts w:hint="eastAsia" w:ascii="宋体" w:hAnsi="宋体" w:eastAsia="宋体" w:cs="仿宋"/>
                <w:color w:val="000000" w:themeColor="text1"/>
                <w:kern w:val="2"/>
                <w:sz w:val="21"/>
                <w:szCs w:val="21"/>
                <w14:textFill>
                  <w14:solidFill>
                    <w14:schemeClr w14:val="tx1"/>
                  </w14:solidFill>
                </w14:textFill>
              </w:rPr>
              <w:t>（2）规格：（长度）2.0×（宽度）1.9m，允差：±2.5%；克重/（g/㎡）：180,允差：±3%；</w:t>
            </w:r>
          </w:p>
          <w:p>
            <w:pPr>
              <w:pStyle w:val="211"/>
              <w:ind w:firstLine="218" w:firstLineChars="104"/>
              <w:rPr>
                <w:rFonts w:ascii="宋体" w:hAnsi="宋体" w:eastAsia="宋体" w:cs="仿宋"/>
                <w:color w:val="000000" w:themeColor="text1"/>
                <w:kern w:val="2"/>
                <w:sz w:val="21"/>
                <w:szCs w:val="21"/>
                <w14:textFill>
                  <w14:solidFill>
                    <w14:schemeClr w14:val="tx1"/>
                  </w14:solidFill>
                </w14:textFill>
              </w:rPr>
            </w:pPr>
            <w:r>
              <w:rPr>
                <w:rFonts w:hint="eastAsia" w:ascii="宋体" w:hAnsi="宋体" w:eastAsia="宋体" w:cs="仿宋"/>
                <w:color w:val="000000" w:themeColor="text1"/>
                <w:kern w:val="2"/>
                <w:sz w:val="21"/>
                <w:szCs w:val="21"/>
                <w14:textFill>
                  <w14:solidFill>
                    <w14:schemeClr w14:val="tx1"/>
                  </w14:solidFill>
                </w14:textFill>
              </w:rPr>
              <w:t>（3）颜色为军绿色；</w:t>
            </w:r>
          </w:p>
          <w:p>
            <w:pPr>
              <w:pStyle w:val="211"/>
              <w:ind w:firstLine="218" w:firstLineChars="104"/>
              <w:rPr>
                <w:rFonts w:ascii="宋体" w:hAnsi="宋体" w:eastAsia="宋体" w:cs="仿宋"/>
                <w:color w:val="000000" w:themeColor="text1"/>
                <w:kern w:val="2"/>
                <w:sz w:val="21"/>
                <w:szCs w:val="21"/>
                <w14:textFill>
                  <w14:solidFill>
                    <w14:schemeClr w14:val="tx1"/>
                  </w14:solidFill>
                </w14:textFill>
              </w:rPr>
            </w:pPr>
            <w:r>
              <w:rPr>
                <w:rFonts w:hint="eastAsia" w:ascii="宋体" w:hAnsi="宋体" w:eastAsia="宋体" w:cs="仿宋"/>
                <w:color w:val="000000" w:themeColor="text1"/>
                <w:kern w:val="2"/>
                <w:sz w:val="21"/>
                <w:szCs w:val="21"/>
                <w14:textFill>
                  <w14:solidFill>
                    <w14:schemeClr w14:val="tx1"/>
                  </w14:solidFill>
                </w14:textFill>
              </w:rPr>
              <w:t>（4）缩水率在2%以内，且耐氯漂；</w:t>
            </w:r>
          </w:p>
          <w:p>
            <w:pPr>
              <w:pStyle w:val="211"/>
              <w:ind w:firstLine="218" w:firstLineChars="104"/>
              <w:rPr>
                <w:rFonts w:ascii="宋体" w:hAnsi="宋体" w:eastAsia="宋体" w:cs="仿宋"/>
                <w:color w:val="000000" w:themeColor="text1"/>
                <w:kern w:val="2"/>
                <w:sz w:val="21"/>
                <w:szCs w:val="21"/>
                <w14:textFill>
                  <w14:solidFill>
                    <w14:schemeClr w14:val="tx1"/>
                  </w14:solidFill>
                </w14:textFill>
              </w:rPr>
            </w:pPr>
            <w:r>
              <w:rPr>
                <w:rFonts w:hint="eastAsia" w:ascii="宋体" w:hAnsi="宋体" w:eastAsia="宋体" w:cs="仿宋"/>
                <w:color w:val="000000" w:themeColor="text1"/>
                <w:kern w:val="2"/>
                <w:sz w:val="21"/>
                <w:szCs w:val="21"/>
                <w14:textFill>
                  <w14:solidFill>
                    <w14:schemeClr w14:val="tx1"/>
                  </w14:solidFill>
                </w14:textFill>
              </w:rPr>
              <w:t>（5）甲醛含量/（mg/kg）：≤75；pH值：4.0～8.5；</w:t>
            </w:r>
          </w:p>
          <w:p>
            <w:pPr>
              <w:pStyle w:val="211"/>
              <w:ind w:firstLine="218" w:firstLineChars="104"/>
              <w:rPr>
                <w:rFonts w:ascii="宋体" w:hAnsi="宋体" w:eastAsia="宋体" w:cs="仿宋"/>
                <w:color w:val="000000" w:themeColor="text1"/>
                <w:kern w:val="2"/>
                <w:sz w:val="21"/>
                <w:szCs w:val="21"/>
                <w14:textFill>
                  <w14:solidFill>
                    <w14:schemeClr w14:val="tx1"/>
                  </w14:solidFill>
                </w14:textFill>
              </w:rPr>
            </w:pPr>
            <w:r>
              <w:rPr>
                <w:rFonts w:hint="eastAsia" w:ascii="宋体" w:hAnsi="宋体" w:eastAsia="宋体" w:cs="仿宋"/>
                <w:color w:val="000000" w:themeColor="text1"/>
                <w:kern w:val="2"/>
                <w:sz w:val="21"/>
                <w:szCs w:val="21"/>
                <w14:textFill>
                  <w14:solidFill>
                    <w14:schemeClr w14:val="tx1"/>
                  </w14:solidFill>
                </w14:textFill>
              </w:rPr>
              <w:t>（6）织物纱线线密度/tex：经向18.5，纬向18.5，允差：±2.5%；织物密度/（根/10cm）：经向400，纬向230，允差±5；</w:t>
            </w:r>
          </w:p>
          <w:p>
            <w:pPr>
              <w:pStyle w:val="211"/>
              <w:ind w:firstLine="218" w:firstLineChars="104"/>
              <w:rPr>
                <w:rFonts w:ascii="宋体" w:hAnsi="宋体" w:eastAsia="宋体" w:cs="仿宋"/>
                <w:color w:val="000000" w:themeColor="text1"/>
                <w:kern w:val="2"/>
                <w:sz w:val="21"/>
                <w:szCs w:val="21"/>
                <w14:textFill>
                  <w14:solidFill>
                    <w14:schemeClr w14:val="tx1"/>
                  </w14:solidFill>
                </w14:textFill>
              </w:rPr>
            </w:pPr>
            <w:r>
              <w:rPr>
                <w:rFonts w:hint="eastAsia" w:ascii="宋体" w:hAnsi="宋体" w:eastAsia="宋体" w:cs="仿宋"/>
                <w:color w:val="000000" w:themeColor="text1"/>
                <w:kern w:val="2"/>
                <w:sz w:val="21"/>
                <w:szCs w:val="21"/>
                <w14:textFill>
                  <w14:solidFill>
                    <w14:schemeClr w14:val="tx1"/>
                  </w14:solidFill>
                </w14:textFill>
              </w:rPr>
              <w:t>（7）耐干摩擦色牢度/级：≥4；耐皂洗色牢度/级：≥3-4；耐水洗色牢度/级：≥3-4；耐汗渍色牢度/级：≥3-4；耐光色牢度/级：≥4；水洗变化：±3%；断裂强力/N：经向≥500，纬向≥400；</w:t>
            </w:r>
          </w:p>
          <w:p>
            <w:pPr>
              <w:rPr>
                <w:color w:val="000000" w:themeColor="text1"/>
                <w:spacing w:val="-21"/>
                <w:position w:val="1"/>
                <w:sz w:val="2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lang w:eastAsia="zh-CN"/>
                <w14:textFill>
                  <w14:solidFill>
                    <w14:schemeClr w14:val="tx1"/>
                  </w14:solidFill>
                </w14:textFill>
              </w:rPr>
              <w:t>二</w:t>
            </w:r>
            <w:r>
              <w:rPr>
                <w:rFonts w:hint="eastAsia" w:ascii="宋体" w:hAnsi="宋体" w:cs="宋体"/>
                <w:color w:val="000000" w:themeColor="text1"/>
                <w:szCs w:val="21"/>
                <w14:textFill>
                  <w14:solidFill>
                    <w14:schemeClr w14:val="tx1"/>
                  </w14:solidFill>
                </w14:textFill>
              </w:rPr>
              <w:t>、投标人投标时必须提供</w:t>
            </w:r>
            <w:r>
              <w:rPr>
                <w:rFonts w:hint="eastAsia" w:ascii="宋体" w:hAnsi="宋体"/>
                <w:color w:val="000000" w:themeColor="text1"/>
                <w:szCs w:val="21"/>
                <w14:textFill>
                  <w14:solidFill>
                    <w14:schemeClr w14:val="tx1"/>
                  </w14:solidFill>
                </w14:textFill>
              </w:rPr>
              <w:t>近6个月内省级或省级以上</w:t>
            </w:r>
            <w:r>
              <w:rPr>
                <w:rFonts w:hint="eastAsia" w:ascii="宋体" w:hAnsi="宋体" w:cs="宋体"/>
                <w:color w:val="000000" w:themeColor="text1"/>
                <w:szCs w:val="21"/>
                <w14:textFill>
                  <w14:solidFill>
                    <w14:schemeClr w14:val="tx1"/>
                  </w14:solidFill>
                </w14:textFill>
              </w:rPr>
              <w:t>有资质检测机构出具的棉胎检验报告原件进行核查</w:t>
            </w:r>
            <w:r>
              <w:rPr>
                <w:rFonts w:hint="eastAsia" w:ascii="宋体" w:hAnsi="宋体"/>
                <w:color w:val="000000" w:themeColor="text1"/>
                <w:szCs w:val="21"/>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8</w:t>
            </w:r>
          </w:p>
        </w:tc>
        <w:tc>
          <w:tcPr>
            <w:tcW w:w="1081"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储水罐</w:t>
            </w:r>
          </w:p>
        </w:tc>
        <w:tc>
          <w:tcPr>
            <w:tcW w:w="682" w:type="dxa"/>
            <w:noWrap w:val="0"/>
            <w:vAlign w:val="center"/>
          </w:tcPr>
          <w:p>
            <w:pPr>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个</w:t>
            </w:r>
          </w:p>
        </w:tc>
        <w:tc>
          <w:tcPr>
            <w:tcW w:w="886" w:type="dxa"/>
            <w:noWrap w:val="0"/>
            <w:vAlign w:val="center"/>
          </w:tcPr>
          <w:p>
            <w:pPr>
              <w:jc w:val="center"/>
              <w:rPr>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50</w:t>
            </w:r>
          </w:p>
        </w:tc>
        <w:tc>
          <w:tcPr>
            <w:tcW w:w="7309" w:type="dxa"/>
            <w:noWrap w:val="0"/>
            <w:vAlign w:val="center"/>
          </w:tcPr>
          <w:p>
            <w:pPr>
              <w:pStyle w:val="205"/>
              <w:numPr>
                <w:ilvl w:val="0"/>
                <w:numId w:val="0"/>
              </w:numPr>
              <w:ind w:left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一、</w:t>
            </w:r>
            <w:r>
              <w:rPr>
                <w:rFonts w:hint="eastAsia" w:ascii="宋体" w:hAnsi="宋体"/>
                <w:color w:val="000000" w:themeColor="text1"/>
                <w:szCs w:val="21"/>
                <w:lang w:val="en-US" w:eastAsia="zh-CN"/>
                <w14:textFill>
                  <w14:solidFill>
                    <w14:schemeClr w14:val="tx1"/>
                  </w14:solidFill>
                </w14:textFill>
              </w:rPr>
              <w:t>1、</w:t>
            </w:r>
            <w:r>
              <w:rPr>
                <w:rFonts w:hint="eastAsia" w:ascii="宋体" w:hAnsi="宋体"/>
                <w:color w:val="000000" w:themeColor="text1"/>
                <w:szCs w:val="21"/>
                <w14:textFill>
                  <w14:solidFill>
                    <w14:schemeClr w14:val="tx1"/>
                  </w14:solidFill>
                </w14:textFill>
              </w:rPr>
              <w:t>桶重：15kg，壁厚：5.5mm。</w:t>
            </w:r>
          </w:p>
          <w:p>
            <w:pPr>
              <w:pStyle w:val="205"/>
              <w:numPr>
                <w:ilvl w:val="0"/>
                <w:numId w:val="0"/>
              </w:numPr>
              <w:ind w:leftChars="0" w:firstLine="420" w:firstLineChars="200"/>
              <w:rPr>
                <w:rFonts w:ascii="宋体" w:hAnsi="宋体" w:cs="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2、</w:t>
            </w:r>
            <w:r>
              <w:rPr>
                <w:rFonts w:hint="eastAsia" w:ascii="宋体" w:hAnsi="宋体"/>
                <w:color w:val="000000" w:themeColor="text1"/>
                <w:szCs w:val="21"/>
                <w14:textFill>
                  <w14:solidFill>
                    <w14:schemeClr w14:val="tx1"/>
                  </w14:solidFill>
                </w14:textFill>
              </w:rPr>
              <w:t>进水口：1寸；出水口：1.65寸；口径：22.5cm。</w:t>
            </w:r>
          </w:p>
          <w:p>
            <w:pPr>
              <w:pStyle w:val="205"/>
              <w:numPr>
                <w:ilvl w:val="0"/>
                <w:numId w:val="0"/>
              </w:numPr>
              <w:ind w:left="0" w:leftChars="0" w:firstLine="420" w:firstLineChars="200"/>
              <w:rPr>
                <w:color w:val="000000" w:themeColor="text1"/>
                <w:spacing w:val="-21"/>
                <w:position w:val="1"/>
                <w:sz w:val="2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3、</w:t>
            </w:r>
            <w:r>
              <w:rPr>
                <w:rFonts w:hint="eastAsia" w:ascii="宋体" w:hAnsi="宋体"/>
                <w:color w:val="000000" w:themeColor="text1"/>
                <w:szCs w:val="21"/>
                <w14:textFill>
                  <w14:solidFill>
                    <w14:schemeClr w14:val="tx1"/>
                  </w14:solidFill>
                </w14:textFill>
              </w:rPr>
              <w:t>容量大约1100斤水。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9</w:t>
            </w:r>
          </w:p>
        </w:tc>
        <w:tc>
          <w:tcPr>
            <w:tcW w:w="1081"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信号棒</w:t>
            </w:r>
          </w:p>
        </w:tc>
        <w:tc>
          <w:tcPr>
            <w:tcW w:w="682" w:type="dxa"/>
            <w:noWrap w:val="0"/>
            <w:vAlign w:val="center"/>
          </w:tcPr>
          <w:p>
            <w:pPr>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个</w:t>
            </w:r>
          </w:p>
        </w:tc>
        <w:tc>
          <w:tcPr>
            <w:tcW w:w="886" w:type="dxa"/>
            <w:noWrap w:val="0"/>
            <w:vAlign w:val="center"/>
          </w:tcPr>
          <w:p>
            <w:pPr>
              <w:jc w:val="center"/>
              <w:rPr>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100</w:t>
            </w:r>
          </w:p>
        </w:tc>
        <w:tc>
          <w:tcPr>
            <w:tcW w:w="7309" w:type="dxa"/>
            <w:noWrap w:val="0"/>
            <w:vAlign w:val="center"/>
          </w:tcPr>
          <w:p>
            <w:pPr>
              <w:rPr>
                <w:color w:val="000000" w:themeColor="text1"/>
                <w:spacing w:val="-21"/>
                <w:position w:val="1"/>
                <w:sz w:val="21"/>
                <w:szCs w:val="21"/>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一、</w:t>
            </w:r>
            <w:r>
              <w:rPr>
                <w:rFonts w:hint="eastAsia" w:ascii="宋体" w:hAnsi="宋体"/>
                <w:color w:val="000000" w:themeColor="text1"/>
                <w:szCs w:val="21"/>
                <w14:textFill>
                  <w14:solidFill>
                    <w14:schemeClr w14:val="tx1"/>
                  </w14:solidFill>
                </w14:textFill>
              </w:rPr>
              <w:t>求救信号棒，国际标准6寸，持续时间12小时。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46" w:hRule="atLeast"/>
        </w:trPr>
        <w:tc>
          <w:tcPr>
            <w:tcW w:w="481" w:type="dxa"/>
            <w:gridSpan w:val="2"/>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10</w:t>
            </w:r>
          </w:p>
        </w:tc>
        <w:tc>
          <w:tcPr>
            <w:tcW w:w="1081"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桩木</w:t>
            </w:r>
          </w:p>
        </w:tc>
        <w:tc>
          <w:tcPr>
            <w:tcW w:w="682" w:type="dxa"/>
            <w:noWrap w:val="0"/>
            <w:vAlign w:val="center"/>
          </w:tcPr>
          <w:p>
            <w:pPr>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条</w:t>
            </w:r>
          </w:p>
        </w:tc>
        <w:tc>
          <w:tcPr>
            <w:tcW w:w="886" w:type="dxa"/>
            <w:noWrap w:val="0"/>
            <w:vAlign w:val="center"/>
          </w:tcPr>
          <w:p>
            <w:pPr>
              <w:jc w:val="center"/>
              <w:rPr>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300</w:t>
            </w:r>
          </w:p>
        </w:tc>
        <w:tc>
          <w:tcPr>
            <w:tcW w:w="7309" w:type="dxa"/>
            <w:noWrap w:val="0"/>
            <w:vAlign w:val="center"/>
          </w:tcPr>
          <w:p>
            <w:pPr>
              <w:rPr>
                <w:color w:val="000000" w:themeColor="text1"/>
                <w:spacing w:val="-21"/>
                <w:position w:val="1"/>
                <w:sz w:val="21"/>
                <w:szCs w:val="21"/>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一、</w:t>
            </w:r>
            <w:r>
              <w:rPr>
                <w:rFonts w:hint="eastAsia" w:ascii="宋体" w:hAnsi="宋体"/>
                <w:color w:val="000000" w:themeColor="text1"/>
                <w:szCs w:val="21"/>
                <w14:textFill>
                  <w14:solidFill>
                    <w14:schemeClr w14:val="tx1"/>
                  </w14:solidFill>
                </w14:textFill>
              </w:rPr>
              <w:t>杉木原木，防汛抗旱用木桩，符合防汛要求。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46" w:hRule="atLeast"/>
        </w:trPr>
        <w:tc>
          <w:tcPr>
            <w:tcW w:w="481" w:type="dxa"/>
            <w:gridSpan w:val="2"/>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11</w:t>
            </w:r>
          </w:p>
        </w:tc>
        <w:tc>
          <w:tcPr>
            <w:tcW w:w="1081"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8号铁丝</w:t>
            </w:r>
          </w:p>
        </w:tc>
        <w:tc>
          <w:tcPr>
            <w:tcW w:w="682" w:type="dxa"/>
            <w:noWrap w:val="0"/>
            <w:vAlign w:val="center"/>
          </w:tcPr>
          <w:p>
            <w:pPr>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公斤</w:t>
            </w:r>
          </w:p>
        </w:tc>
        <w:tc>
          <w:tcPr>
            <w:tcW w:w="886" w:type="dxa"/>
            <w:noWrap w:val="0"/>
            <w:vAlign w:val="center"/>
          </w:tcPr>
          <w:p>
            <w:pPr>
              <w:jc w:val="center"/>
              <w:rPr>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200</w:t>
            </w:r>
          </w:p>
        </w:tc>
        <w:tc>
          <w:tcPr>
            <w:tcW w:w="7309" w:type="dxa"/>
            <w:noWrap w:val="0"/>
            <w:vAlign w:val="center"/>
          </w:tcPr>
          <w:p>
            <w:pPr>
              <w:rPr>
                <w:color w:val="000000" w:themeColor="text1"/>
                <w:spacing w:val="-21"/>
                <w:position w:val="1"/>
                <w:sz w:val="21"/>
                <w:szCs w:val="21"/>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一、</w:t>
            </w:r>
            <w:r>
              <w:rPr>
                <w:rFonts w:hint="eastAsia" w:ascii="宋体" w:hAnsi="宋体"/>
                <w:color w:val="000000" w:themeColor="text1"/>
                <w:szCs w:val="21"/>
                <w14:textFill>
                  <w14:solidFill>
                    <w14:schemeClr w14:val="tx1"/>
                  </w14:solidFill>
                </w14:textFill>
              </w:rPr>
              <w:t>8 号镀锌铁丝，抗拉强度 1200（MPa），符合国家有关标准。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129" w:hRule="atLeast"/>
        </w:trPr>
        <w:tc>
          <w:tcPr>
            <w:tcW w:w="481" w:type="dxa"/>
            <w:gridSpan w:val="2"/>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12</w:t>
            </w:r>
          </w:p>
        </w:tc>
        <w:tc>
          <w:tcPr>
            <w:tcW w:w="1081"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应急灯</w:t>
            </w:r>
          </w:p>
        </w:tc>
        <w:tc>
          <w:tcPr>
            <w:tcW w:w="682" w:type="dxa"/>
            <w:noWrap w:val="0"/>
            <w:vAlign w:val="center"/>
          </w:tcPr>
          <w:p>
            <w:pPr>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个</w:t>
            </w:r>
          </w:p>
        </w:tc>
        <w:tc>
          <w:tcPr>
            <w:tcW w:w="886" w:type="dxa"/>
            <w:noWrap w:val="0"/>
            <w:vAlign w:val="center"/>
          </w:tcPr>
          <w:p>
            <w:pPr>
              <w:jc w:val="center"/>
              <w:rPr>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100</w:t>
            </w:r>
          </w:p>
        </w:tc>
        <w:tc>
          <w:tcPr>
            <w:tcW w:w="7309" w:type="dxa"/>
            <w:noWrap w:val="0"/>
            <w:vAlign w:val="center"/>
          </w:tcPr>
          <w:p>
            <w:pPr>
              <w:pStyle w:val="205"/>
              <w:ind w:firstLine="0" w:firstLineChars="0"/>
              <w:rPr>
                <w:color w:val="000000" w:themeColor="text1"/>
                <w:spacing w:val="-21"/>
                <w:position w:val="1"/>
                <w:sz w:val="21"/>
                <w:szCs w:val="21"/>
                <w14:textFill>
                  <w14:solidFill>
                    <w14:schemeClr w14:val="tx1"/>
                  </w14:solidFill>
                </w14:textFill>
              </w:rPr>
            </w:pPr>
            <w:r>
              <w:rPr>
                <w:rFonts w:hint="eastAsia" w:ascii="宋体" w:hAnsi="宋体" w:cs="宋体"/>
                <w:color w:val="000000" w:themeColor="text1"/>
                <w:kern w:val="0"/>
                <w:sz w:val="20"/>
                <w:szCs w:val="20"/>
                <w:lang w:eastAsia="zh-CN" w:bidi="ar"/>
                <w14:textFill>
                  <w14:solidFill>
                    <w14:schemeClr w14:val="tx1"/>
                  </w14:solidFill>
                </w14:textFill>
              </w:rPr>
              <w:t>一、</w:t>
            </w:r>
            <w:r>
              <w:rPr>
                <w:rFonts w:hint="eastAsia" w:ascii="宋体" w:hAnsi="宋体" w:cs="宋体"/>
                <w:color w:val="000000" w:themeColor="text1"/>
                <w:kern w:val="0"/>
                <w:sz w:val="20"/>
                <w:szCs w:val="20"/>
                <w:lang w:bidi="ar"/>
                <w14:textFill>
                  <w14:solidFill>
                    <w14:schemeClr w14:val="tx1"/>
                  </w14:solidFill>
                </w14:textFill>
              </w:rPr>
              <w:t>光源：led超亮半导体发光管；应急功率：6W；电池型号及类别：1.2V800mAh镍镉电池，表面亮度＞20cd/平方米；应急时间≥90分钟；应急转换时间≤1sec；额定光通量：1.2LM;图案光亮度：最大120cd/平方米，最小15cd/平方米；使用环境温度-10—50摄氏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25" w:hRule="atLeast"/>
        </w:trPr>
        <w:tc>
          <w:tcPr>
            <w:tcW w:w="481" w:type="dxa"/>
            <w:gridSpan w:val="2"/>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13</w:t>
            </w:r>
          </w:p>
        </w:tc>
        <w:tc>
          <w:tcPr>
            <w:tcW w:w="1081"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b w:val="0"/>
                <w:bCs/>
                <w:color w:val="000000" w:themeColor="text1"/>
                <w:szCs w:val="21"/>
                <w14:textFill>
                  <w14:solidFill>
                    <w14:schemeClr w14:val="tx1"/>
                  </w14:solidFill>
                </w14:textFill>
              </w:rPr>
              <w:t>▲</w:t>
            </w:r>
            <w:r>
              <w:rPr>
                <w:rFonts w:hint="eastAsia" w:ascii="宋体" w:hAnsi="宋体" w:cs="宋体"/>
                <w:color w:val="000000" w:themeColor="text1"/>
                <w:kern w:val="0"/>
                <w:sz w:val="24"/>
                <w:lang w:bidi="ar"/>
                <w14:textFill>
                  <w14:solidFill>
                    <w14:schemeClr w14:val="tx1"/>
                  </w14:solidFill>
                </w14:textFill>
              </w:rPr>
              <w:t>劳保防滑手套</w:t>
            </w:r>
          </w:p>
        </w:tc>
        <w:tc>
          <w:tcPr>
            <w:tcW w:w="682" w:type="dxa"/>
            <w:noWrap w:val="0"/>
            <w:vAlign w:val="center"/>
          </w:tcPr>
          <w:p>
            <w:pPr>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双</w:t>
            </w:r>
          </w:p>
        </w:tc>
        <w:tc>
          <w:tcPr>
            <w:tcW w:w="886" w:type="dxa"/>
            <w:noWrap w:val="0"/>
            <w:vAlign w:val="center"/>
          </w:tcPr>
          <w:p>
            <w:pPr>
              <w:jc w:val="center"/>
              <w:rPr>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300</w:t>
            </w:r>
          </w:p>
        </w:tc>
        <w:tc>
          <w:tcPr>
            <w:tcW w:w="7309" w:type="dxa"/>
            <w:noWrap w:val="0"/>
            <w:vAlign w:val="center"/>
          </w:tcPr>
          <w:p>
            <w:pPr>
              <w:rPr>
                <w:color w:val="000000" w:themeColor="text1"/>
                <w:spacing w:val="-21"/>
                <w:position w:val="1"/>
                <w:sz w:val="21"/>
                <w:szCs w:val="21"/>
                <w14:textFill>
                  <w14:solidFill>
                    <w14:schemeClr w14:val="tx1"/>
                  </w14:solidFill>
                </w14:textFill>
              </w:rPr>
            </w:pPr>
            <w:r>
              <w:rPr>
                <w:rFonts w:hint="eastAsia" w:ascii="宋体" w:hAnsi="宋体" w:cs="宋体"/>
                <w:color w:val="000000" w:themeColor="text1"/>
                <w:kern w:val="0"/>
                <w:sz w:val="20"/>
                <w:szCs w:val="20"/>
                <w:lang w:eastAsia="zh-CN" w:bidi="ar"/>
                <w14:textFill>
                  <w14:solidFill>
                    <w14:schemeClr w14:val="tx1"/>
                  </w14:solidFill>
                </w14:textFill>
              </w:rPr>
              <w:t>一、</w:t>
            </w:r>
            <w:r>
              <w:rPr>
                <w:rFonts w:hint="eastAsia" w:ascii="宋体" w:hAnsi="宋体" w:cs="宋体"/>
                <w:color w:val="000000" w:themeColor="text1"/>
                <w:kern w:val="0"/>
                <w:sz w:val="20"/>
                <w:szCs w:val="20"/>
                <w:lang w:bidi="ar"/>
                <w14:textFill>
                  <w14:solidFill>
                    <w14:schemeClr w14:val="tx1"/>
                  </w14:solidFill>
                </w14:textFill>
              </w:rPr>
              <w:t>防割,耐磨,防刺，材质防割棉纱，符合人体工程学的设计，穿戴起来更加舒适，手套的防滑特性可以使手套在抓取物品时不易发生掉落。</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cs="宋体"/>
                <w:color w:val="000000" w:themeColor="text1"/>
                <w:kern w:val="0"/>
                <w:sz w:val="20"/>
                <w:szCs w:val="20"/>
                <w:lang w:eastAsia="zh-CN" w:bidi="ar"/>
                <w14:textFill>
                  <w14:solidFill>
                    <w14:schemeClr w14:val="tx1"/>
                  </w14:solidFill>
                </w14:textFill>
              </w:rPr>
              <w:t>二、</w:t>
            </w:r>
            <w:r>
              <w:rPr>
                <w:rFonts w:hint="eastAsia" w:ascii="宋体" w:hAnsi="宋体" w:cs="宋体"/>
                <w:color w:val="000000" w:themeColor="text1"/>
                <w:kern w:val="0"/>
                <w:sz w:val="20"/>
                <w:szCs w:val="20"/>
                <w:lang w:bidi="ar"/>
                <w14:textFill>
                  <w14:solidFill>
                    <w14:schemeClr w14:val="tx1"/>
                  </w14:solidFill>
                </w14:textFill>
              </w:rPr>
              <w:t>1、耐干摩擦色牢度≥3，耐湿摩擦色牢度≥2-3；2、断裂强力≥200N；3、平米干燥重量≥100g/㎡；4、PH值：4.0-8.5；5、织物密度（根/10cm）:径向≥500，纬向：250；6、甲醛含量≤75。</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cs="宋体"/>
                <w:color w:val="000000" w:themeColor="text1"/>
                <w:kern w:val="0"/>
                <w:sz w:val="20"/>
                <w:szCs w:val="20"/>
                <w:lang w:eastAsia="zh-CN" w:bidi="ar"/>
                <w14:textFill>
                  <w14:solidFill>
                    <w14:schemeClr w14:val="tx1"/>
                  </w14:solidFill>
                </w14:textFill>
              </w:rPr>
              <w:t>三</w:t>
            </w:r>
            <w:r>
              <w:rPr>
                <w:rFonts w:hint="eastAsia" w:ascii="宋体" w:hAnsi="宋体" w:cs="宋体"/>
                <w:color w:val="000000" w:themeColor="text1"/>
                <w:kern w:val="0"/>
                <w:sz w:val="20"/>
                <w:szCs w:val="20"/>
                <w:lang w:bidi="ar"/>
                <w14:textFill>
                  <w14:solidFill>
                    <w14:schemeClr w14:val="tx1"/>
                  </w14:solidFill>
                </w14:textFill>
              </w:rPr>
              <w:t>、投标人投标时必须提供近6个月内省级或省级以上有资质检测机构出具的棉胎检验报告原件进行核查。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14</w:t>
            </w:r>
          </w:p>
        </w:tc>
        <w:tc>
          <w:tcPr>
            <w:tcW w:w="1081"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冬帽</w:t>
            </w:r>
          </w:p>
        </w:tc>
        <w:tc>
          <w:tcPr>
            <w:tcW w:w="682" w:type="dxa"/>
            <w:noWrap w:val="0"/>
            <w:vAlign w:val="center"/>
          </w:tcPr>
          <w:p>
            <w:pPr>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个</w:t>
            </w:r>
          </w:p>
        </w:tc>
        <w:tc>
          <w:tcPr>
            <w:tcW w:w="886" w:type="dxa"/>
            <w:noWrap w:val="0"/>
            <w:vAlign w:val="center"/>
          </w:tcPr>
          <w:p>
            <w:pPr>
              <w:jc w:val="center"/>
              <w:rPr>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300</w:t>
            </w:r>
          </w:p>
        </w:tc>
        <w:tc>
          <w:tcPr>
            <w:tcW w:w="7309" w:type="dxa"/>
            <w:noWrap w:val="0"/>
            <w:vAlign w:val="center"/>
          </w:tcPr>
          <w:p>
            <w:pPr>
              <w:pStyle w:val="205"/>
              <w:numPr>
                <w:ilvl w:val="0"/>
                <w:numId w:val="0"/>
              </w:numPr>
              <w:ind w:left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一、</w:t>
            </w:r>
            <w:r>
              <w:rPr>
                <w:rFonts w:hint="eastAsia" w:ascii="宋体" w:hAnsi="宋体"/>
                <w:color w:val="000000" w:themeColor="text1"/>
                <w:szCs w:val="21"/>
                <w:lang w:val="en-US" w:eastAsia="zh-CN"/>
                <w14:textFill>
                  <w14:solidFill>
                    <w14:schemeClr w14:val="tx1"/>
                  </w14:solidFill>
                </w14:textFill>
              </w:rPr>
              <w:t>1、</w:t>
            </w:r>
            <w:r>
              <w:rPr>
                <w:rFonts w:hint="eastAsia" w:ascii="宋体" w:hAnsi="宋体"/>
                <w:color w:val="000000" w:themeColor="text1"/>
                <w:szCs w:val="21"/>
                <w14:textFill>
                  <w14:solidFill>
                    <w14:schemeClr w14:val="tx1"/>
                  </w14:solidFill>
                </w14:textFill>
              </w:rPr>
              <w:t>材质：：保暖面料。</w:t>
            </w:r>
          </w:p>
          <w:p>
            <w:pPr>
              <w:pStyle w:val="205"/>
              <w:numPr>
                <w:ilvl w:val="0"/>
                <w:numId w:val="0"/>
              </w:numPr>
              <w:ind w:left="0" w:leftChars="0" w:firstLine="420" w:firstLineChars="200"/>
              <w:rPr>
                <w:color w:val="000000" w:themeColor="text1"/>
                <w:spacing w:val="-21"/>
                <w:position w:val="1"/>
                <w:sz w:val="2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2、</w:t>
            </w:r>
            <w:r>
              <w:rPr>
                <w:rFonts w:hint="eastAsia" w:ascii="宋体" w:hAnsi="宋体"/>
                <w:color w:val="000000" w:themeColor="text1"/>
                <w:szCs w:val="21"/>
                <w14:textFill>
                  <w14:solidFill>
                    <w14:schemeClr w14:val="tx1"/>
                  </w14:solidFill>
                </w14:textFill>
              </w:rPr>
              <w:t>重量0.17kg,平顶护耳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15</w:t>
            </w:r>
          </w:p>
        </w:tc>
        <w:tc>
          <w:tcPr>
            <w:tcW w:w="1081"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手机充电宝</w:t>
            </w:r>
          </w:p>
        </w:tc>
        <w:tc>
          <w:tcPr>
            <w:tcW w:w="682" w:type="dxa"/>
            <w:noWrap w:val="0"/>
            <w:vAlign w:val="center"/>
          </w:tcPr>
          <w:p>
            <w:pPr>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个</w:t>
            </w:r>
          </w:p>
        </w:tc>
        <w:tc>
          <w:tcPr>
            <w:tcW w:w="886" w:type="dxa"/>
            <w:noWrap w:val="0"/>
            <w:vAlign w:val="center"/>
          </w:tcPr>
          <w:p>
            <w:pPr>
              <w:jc w:val="center"/>
              <w:rPr>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100</w:t>
            </w:r>
          </w:p>
        </w:tc>
        <w:tc>
          <w:tcPr>
            <w:tcW w:w="7309" w:type="dxa"/>
            <w:noWrap w:val="0"/>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一、</w:t>
            </w:r>
            <w:r>
              <w:rPr>
                <w:rFonts w:hint="eastAsia" w:ascii="宋体" w:hAnsi="宋体"/>
                <w:color w:val="000000" w:themeColor="text1"/>
                <w:szCs w:val="21"/>
                <w14:textFill>
                  <w14:solidFill>
                    <w14:schemeClr w14:val="tx1"/>
                  </w14:solidFill>
                </w14:textFill>
              </w:rPr>
              <w:t>1、电池类型: 锂聚合物电池；外壳材质: 塑料</w:t>
            </w:r>
          </w:p>
          <w:p>
            <w:pPr>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2、尺寸: 145x65x30mm。</w:t>
            </w:r>
          </w:p>
          <w:p>
            <w:pPr>
              <w:ind w:firstLine="420" w:firstLineChars="200"/>
              <w:rPr>
                <w:color w:val="000000" w:themeColor="text1"/>
                <w:spacing w:val="-21"/>
                <w:position w:val="1"/>
                <w:sz w:val="2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3、电池容量: 20000mAh。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16</w:t>
            </w:r>
          </w:p>
        </w:tc>
        <w:tc>
          <w:tcPr>
            <w:tcW w:w="1081"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水杯</w:t>
            </w:r>
          </w:p>
        </w:tc>
        <w:tc>
          <w:tcPr>
            <w:tcW w:w="682" w:type="dxa"/>
            <w:noWrap w:val="0"/>
            <w:vAlign w:val="center"/>
          </w:tcPr>
          <w:p>
            <w:pPr>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个</w:t>
            </w:r>
          </w:p>
        </w:tc>
        <w:tc>
          <w:tcPr>
            <w:tcW w:w="886" w:type="dxa"/>
            <w:noWrap w:val="0"/>
            <w:vAlign w:val="center"/>
          </w:tcPr>
          <w:p>
            <w:pPr>
              <w:jc w:val="center"/>
              <w:rPr>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300</w:t>
            </w:r>
          </w:p>
        </w:tc>
        <w:tc>
          <w:tcPr>
            <w:tcW w:w="7309" w:type="dxa"/>
            <w:noWrap w:val="0"/>
            <w:vAlign w:val="center"/>
          </w:tcPr>
          <w:p>
            <w:pPr>
              <w:pStyle w:val="205"/>
              <w:numPr>
                <w:ilvl w:val="0"/>
                <w:numId w:val="0"/>
              </w:numPr>
              <w:ind w:left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一、</w:t>
            </w:r>
            <w:r>
              <w:rPr>
                <w:rFonts w:hint="eastAsia" w:ascii="宋体" w:hAnsi="宋体"/>
                <w:color w:val="000000" w:themeColor="text1"/>
                <w:szCs w:val="21"/>
                <w:lang w:val="en-US" w:eastAsia="zh-CN"/>
                <w14:textFill>
                  <w14:solidFill>
                    <w14:schemeClr w14:val="tx1"/>
                  </w14:solidFill>
                </w14:textFill>
              </w:rPr>
              <w:t>1、</w:t>
            </w:r>
            <w:r>
              <w:rPr>
                <w:rFonts w:hint="eastAsia" w:ascii="宋体" w:hAnsi="宋体"/>
                <w:color w:val="000000" w:themeColor="text1"/>
                <w:szCs w:val="21"/>
                <w14:textFill>
                  <w14:solidFill>
                    <w14:schemeClr w14:val="tx1"/>
                  </w14:solidFill>
                </w14:textFill>
              </w:rPr>
              <w:t>材质: 塑料</w:t>
            </w:r>
          </w:p>
          <w:p>
            <w:pPr>
              <w:pStyle w:val="205"/>
              <w:numPr>
                <w:ilvl w:val="0"/>
                <w:numId w:val="0"/>
              </w:numPr>
              <w:ind w:left="0" w:leftChars="0" w:firstLine="420" w:firstLineChars="200"/>
              <w:rPr>
                <w:color w:val="000000" w:themeColor="text1"/>
                <w:spacing w:val="-21"/>
                <w:position w:val="1"/>
                <w:sz w:val="2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2、</w:t>
            </w:r>
            <w:r>
              <w:rPr>
                <w:rFonts w:hint="eastAsia" w:ascii="宋体" w:hAnsi="宋体"/>
                <w:color w:val="000000" w:themeColor="text1"/>
                <w:szCs w:val="21"/>
                <w14:textFill>
                  <w14:solidFill>
                    <w14:schemeClr w14:val="tx1"/>
                  </w14:solidFill>
                </w14:textFill>
              </w:rPr>
              <w:t>容量: 601mL(含)-700mL(含)。</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17</w:t>
            </w:r>
          </w:p>
        </w:tc>
        <w:tc>
          <w:tcPr>
            <w:tcW w:w="1081"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净水剂</w:t>
            </w:r>
          </w:p>
        </w:tc>
        <w:tc>
          <w:tcPr>
            <w:tcW w:w="682" w:type="dxa"/>
            <w:noWrap w:val="0"/>
            <w:vAlign w:val="center"/>
          </w:tcPr>
          <w:p>
            <w:pPr>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瓶</w:t>
            </w:r>
          </w:p>
        </w:tc>
        <w:tc>
          <w:tcPr>
            <w:tcW w:w="886" w:type="dxa"/>
            <w:noWrap w:val="0"/>
            <w:vAlign w:val="center"/>
          </w:tcPr>
          <w:p>
            <w:pPr>
              <w:jc w:val="center"/>
              <w:rPr>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300</w:t>
            </w:r>
          </w:p>
        </w:tc>
        <w:tc>
          <w:tcPr>
            <w:tcW w:w="7309" w:type="dxa"/>
            <w:noWrap w:val="0"/>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一、</w:t>
            </w:r>
            <w:r>
              <w:rPr>
                <w:rFonts w:hint="eastAsia" w:ascii="宋体" w:hAnsi="宋体"/>
                <w:color w:val="000000" w:themeColor="text1"/>
                <w:szCs w:val="21"/>
                <w14:textFill>
                  <w14:solidFill>
                    <w14:schemeClr w14:val="tx1"/>
                  </w14:solidFill>
                </w14:textFill>
              </w:rPr>
              <w:t>1、460ML。</w:t>
            </w:r>
          </w:p>
          <w:p>
            <w:pPr>
              <w:ind w:firstLine="420" w:firstLineChars="200"/>
              <w:rPr>
                <w:color w:val="000000" w:themeColor="text1"/>
                <w:spacing w:val="-21"/>
                <w:position w:val="1"/>
                <w:sz w:val="2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2、可快速去除水中的废物和残渣，不明原因的水白和水烛现象速除。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18</w:t>
            </w:r>
          </w:p>
        </w:tc>
        <w:tc>
          <w:tcPr>
            <w:tcW w:w="1081"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家庭包</w:t>
            </w:r>
          </w:p>
        </w:tc>
        <w:tc>
          <w:tcPr>
            <w:tcW w:w="682" w:type="dxa"/>
            <w:noWrap w:val="0"/>
            <w:vAlign w:val="center"/>
          </w:tcPr>
          <w:p>
            <w:pPr>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个</w:t>
            </w:r>
          </w:p>
        </w:tc>
        <w:tc>
          <w:tcPr>
            <w:tcW w:w="886" w:type="dxa"/>
            <w:noWrap w:val="0"/>
            <w:vAlign w:val="center"/>
          </w:tcPr>
          <w:p>
            <w:pPr>
              <w:jc w:val="center"/>
              <w:rPr>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300</w:t>
            </w:r>
          </w:p>
        </w:tc>
        <w:tc>
          <w:tcPr>
            <w:tcW w:w="7309" w:type="dxa"/>
            <w:noWrap w:val="0"/>
            <w:vAlign w:val="center"/>
          </w:tcPr>
          <w:p>
            <w:pPr>
              <w:pStyle w:val="205"/>
              <w:numPr>
                <w:ilvl w:val="0"/>
                <w:numId w:val="0"/>
              </w:numPr>
              <w:ind w:left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一、</w:t>
            </w:r>
            <w:r>
              <w:rPr>
                <w:rFonts w:hint="eastAsia" w:ascii="宋体" w:hAnsi="宋体"/>
                <w:color w:val="000000" w:themeColor="text1"/>
                <w:szCs w:val="21"/>
                <w14:textFill>
                  <w14:solidFill>
                    <w14:schemeClr w14:val="tx1"/>
                  </w14:solidFill>
                </w14:textFill>
              </w:rPr>
              <w:t>尺寸：175*130*50，重量460克。</w:t>
            </w:r>
          </w:p>
          <w:p>
            <w:pPr>
              <w:pStyle w:val="205"/>
              <w:numPr>
                <w:ilvl w:val="0"/>
                <w:numId w:val="0"/>
              </w:numPr>
              <w:ind w:left="0" w:leftChars="0" w:firstLine="0" w:firstLineChars="0"/>
              <w:rPr>
                <w:color w:val="000000" w:themeColor="text1"/>
                <w:spacing w:val="-21"/>
                <w:position w:val="1"/>
                <w:sz w:val="21"/>
                <w:szCs w:val="21"/>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一、</w:t>
            </w:r>
            <w:r>
              <w:rPr>
                <w:rFonts w:hint="eastAsia" w:ascii="宋体" w:hAnsi="宋体"/>
                <w:color w:val="000000" w:themeColor="text1"/>
                <w:szCs w:val="21"/>
                <w14:textFill>
                  <w14:solidFill>
                    <w14:schemeClr w14:val="tx1"/>
                  </w14:solidFill>
                </w14:textFill>
              </w:rPr>
              <w:t>内含医用纱布块2片，医用弹性绷带1卷，创可贴10片，医用透气胶带1卷，消毒液10支，医用服帖2片，三角绷带1包，止血带1个，医用检查手套1双，急救毯1块，安全别针10个。</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19</w:t>
            </w:r>
          </w:p>
        </w:tc>
        <w:tc>
          <w:tcPr>
            <w:tcW w:w="1081"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应急工具箱</w:t>
            </w:r>
          </w:p>
        </w:tc>
        <w:tc>
          <w:tcPr>
            <w:tcW w:w="682" w:type="dxa"/>
            <w:noWrap w:val="0"/>
            <w:vAlign w:val="center"/>
          </w:tcPr>
          <w:p>
            <w:pPr>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个</w:t>
            </w:r>
          </w:p>
        </w:tc>
        <w:tc>
          <w:tcPr>
            <w:tcW w:w="886" w:type="dxa"/>
            <w:noWrap w:val="0"/>
            <w:vAlign w:val="center"/>
          </w:tcPr>
          <w:p>
            <w:pPr>
              <w:jc w:val="center"/>
              <w:rPr>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300</w:t>
            </w:r>
          </w:p>
        </w:tc>
        <w:tc>
          <w:tcPr>
            <w:tcW w:w="7309" w:type="dxa"/>
            <w:noWrap w:val="0"/>
            <w:vAlign w:val="center"/>
          </w:tcPr>
          <w:p>
            <w:pPr>
              <w:rPr>
                <w:color w:val="000000" w:themeColor="text1"/>
                <w:spacing w:val="-21"/>
                <w:position w:val="1"/>
                <w:sz w:val="21"/>
                <w:szCs w:val="21"/>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一、</w:t>
            </w:r>
            <w:r>
              <w:rPr>
                <w:rFonts w:hint="eastAsia" w:ascii="宋体" w:hAnsi="宋体"/>
                <w:color w:val="000000" w:themeColor="text1"/>
                <w:szCs w:val="21"/>
                <w14:textFill>
                  <w14:solidFill>
                    <w14:schemeClr w14:val="tx1"/>
                  </w14:solidFill>
                </w14:textFill>
              </w:rPr>
              <w:t>24种，两电一充套装，包括卷尺、壁纸刀、测电笔、钢锯、胶布、钢丝钳、尖嘴钳、斜口钳、剥线钳、扳手、羊角锤、手电钻、电池、充电器、螺丝刀（大中小、梅花、一字）、内六角（多种规格）、工具箱等。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431" w:hRule="atLeast"/>
        </w:trPr>
        <w:tc>
          <w:tcPr>
            <w:tcW w:w="481" w:type="dxa"/>
            <w:gridSpan w:val="2"/>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20</w:t>
            </w:r>
          </w:p>
        </w:tc>
        <w:tc>
          <w:tcPr>
            <w:tcW w:w="1081"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单兵急救包</w:t>
            </w:r>
          </w:p>
        </w:tc>
        <w:tc>
          <w:tcPr>
            <w:tcW w:w="682" w:type="dxa"/>
            <w:noWrap w:val="0"/>
            <w:vAlign w:val="center"/>
          </w:tcPr>
          <w:p>
            <w:pPr>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套</w:t>
            </w:r>
          </w:p>
        </w:tc>
        <w:tc>
          <w:tcPr>
            <w:tcW w:w="886" w:type="dxa"/>
            <w:noWrap w:val="0"/>
            <w:vAlign w:val="center"/>
          </w:tcPr>
          <w:p>
            <w:pPr>
              <w:jc w:val="center"/>
              <w:rPr>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100</w:t>
            </w:r>
          </w:p>
        </w:tc>
        <w:tc>
          <w:tcPr>
            <w:tcW w:w="7309" w:type="dxa"/>
            <w:noWrap w:val="0"/>
            <w:vAlign w:val="center"/>
          </w:tcPr>
          <w:p>
            <w:pPr>
              <w:pStyle w:val="205"/>
              <w:numPr>
                <w:ilvl w:val="0"/>
                <w:numId w:val="0"/>
              </w:numPr>
              <w:ind w:left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一、</w:t>
            </w:r>
            <w:r>
              <w:rPr>
                <w:rFonts w:hint="eastAsia" w:ascii="宋体" w:hAnsi="宋体"/>
                <w:color w:val="000000" w:themeColor="text1"/>
                <w:szCs w:val="21"/>
                <w:lang w:val="en-US" w:eastAsia="zh-CN"/>
                <w14:textFill>
                  <w14:solidFill>
                    <w14:schemeClr w14:val="tx1"/>
                  </w14:solidFill>
                </w14:textFill>
              </w:rPr>
              <w:t>1、</w:t>
            </w:r>
            <w:r>
              <w:rPr>
                <w:rFonts w:hint="eastAsia" w:ascii="宋体" w:hAnsi="宋体"/>
                <w:color w:val="000000" w:themeColor="text1"/>
                <w:szCs w:val="21"/>
                <w14:textFill>
                  <w14:solidFill>
                    <w14:schemeClr w14:val="tx1"/>
                  </w14:solidFill>
                </w14:textFill>
              </w:rPr>
              <w:t>盛放常规外伤和化学伤害急救所需的敷料、药品和器械等。</w:t>
            </w:r>
          </w:p>
          <w:p>
            <w:pPr>
              <w:pStyle w:val="205"/>
              <w:numPr>
                <w:ilvl w:val="0"/>
                <w:numId w:val="0"/>
              </w:numPr>
              <w:ind w:leftChars="0" w:firstLine="420" w:firstLineChars="200"/>
              <w:rPr>
                <w:rFonts w:ascii="宋体" w:hAnsi="宋体" w:cs="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2、</w:t>
            </w:r>
            <w:r>
              <w:rPr>
                <w:rFonts w:hint="eastAsia" w:ascii="宋体" w:hAnsi="宋体"/>
                <w:color w:val="000000" w:themeColor="text1"/>
                <w:szCs w:val="21"/>
                <w14:textFill>
                  <w14:solidFill>
                    <w14:schemeClr w14:val="tx1"/>
                  </w14:solidFill>
                </w14:textFill>
              </w:rPr>
              <w:t>含 13cm 丁字开口器，14cm 止血钳、镊子、普通手术剪、体温计、注射针筒（50ml、20ml、5ml）各 1 个，纱布、绷带、医用胶带、棉签各 2 包、乳胶止血带、压舌板、听诊器、血压计各 1 个、骨夹板 1 包（内含 4 块）。</w:t>
            </w:r>
          </w:p>
          <w:p>
            <w:pPr>
              <w:pStyle w:val="205"/>
              <w:numPr>
                <w:ilvl w:val="0"/>
                <w:numId w:val="0"/>
              </w:numPr>
              <w:ind w:left="0" w:leftChars="0" w:firstLine="420" w:firstLineChars="200"/>
              <w:rPr>
                <w:color w:val="000000" w:themeColor="text1"/>
                <w:spacing w:val="-21"/>
                <w:position w:val="1"/>
                <w:sz w:val="2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3、</w:t>
            </w:r>
            <w:r>
              <w:rPr>
                <w:rFonts w:hint="eastAsia" w:ascii="宋体" w:hAnsi="宋体"/>
                <w:color w:val="000000" w:themeColor="text1"/>
                <w:szCs w:val="21"/>
                <w14:textFill>
                  <w14:solidFill>
                    <w14:schemeClr w14:val="tx1"/>
                  </w14:solidFill>
                </w14:textFill>
              </w:rPr>
              <w:t>长×宽×高：35.5×18.5×20.5cm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21</w:t>
            </w:r>
          </w:p>
        </w:tc>
        <w:tc>
          <w:tcPr>
            <w:tcW w:w="1081"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单兵救援头盔</w:t>
            </w:r>
          </w:p>
        </w:tc>
        <w:tc>
          <w:tcPr>
            <w:tcW w:w="682" w:type="dxa"/>
            <w:noWrap w:val="0"/>
            <w:vAlign w:val="center"/>
          </w:tcPr>
          <w:p>
            <w:pPr>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个</w:t>
            </w:r>
          </w:p>
        </w:tc>
        <w:tc>
          <w:tcPr>
            <w:tcW w:w="886" w:type="dxa"/>
            <w:noWrap w:val="0"/>
            <w:vAlign w:val="center"/>
          </w:tcPr>
          <w:p>
            <w:pPr>
              <w:jc w:val="center"/>
              <w:rPr>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200</w:t>
            </w:r>
          </w:p>
        </w:tc>
        <w:tc>
          <w:tcPr>
            <w:tcW w:w="7309" w:type="dxa"/>
            <w:noWrap w:val="0"/>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17 式消防员抢险救援防护头盔采取多功能模块化滑轨设计，指挥员头盔为红色，战斗员头盔为橘红色，总体性能符合《GA 633-2006 消防员抢险救援防护服装》标准。</w:t>
            </w:r>
          </w:p>
          <w:p>
            <w:pP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一、颜色</w:t>
            </w:r>
          </w:p>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1、盔壳：红色潘通色号为 PANTONE 186C，橘红色为PANTONE 17-1456 TCX Tigerlily，色差≥3 级。</w:t>
            </w:r>
            <w:r>
              <w:rPr>
                <w:rFonts w:hint="eastAsia" w:ascii="宋体" w:hAnsi="宋体"/>
                <w:color w:val="000000" w:themeColor="text1"/>
                <w:szCs w:val="21"/>
                <w14:textFill>
                  <w14:solidFill>
                    <w14:schemeClr w14:val="tx1"/>
                  </w14:solidFill>
                </w14:textFill>
              </w:rPr>
              <w:br w:type="textWrapping"/>
            </w:r>
            <w:r>
              <w:rPr>
                <w:rFonts w:hint="eastAsia" w:ascii="宋体" w:hAnsi="宋体"/>
                <w:color w:val="000000" w:themeColor="text1"/>
                <w:szCs w:val="21"/>
                <w14:textFill>
                  <w14:solidFill>
                    <w14:schemeClr w14:val="tx1"/>
                  </w14:solidFill>
                </w14:textFill>
              </w:rPr>
              <w:t>2、反光标识条：荧光黄色潘通色号为 PANTONE 809C，色差≥3 级。</w:t>
            </w:r>
          </w:p>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3、单位标识：银灰色潘通色号为 PANTONE 423C，色差≥3 级。</w:t>
            </w:r>
          </w:p>
          <w:p>
            <w:pP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二、结构</w:t>
            </w:r>
          </w:p>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1、由盔壳、滑轨、缓冲层、舒适衬垫、佩戴装置等组成。</w:t>
            </w:r>
          </w:p>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2、盔壳：改性阻燃尼龙 66 材质，指挥员头盔为红色，战斗员头盔为橘红色。</w:t>
            </w:r>
          </w:p>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3、滑轨：盔体两侧设黑色多功能模块化滑轨，为改性阻燃尼龙 66 材质。</w:t>
            </w:r>
            <w:r>
              <w:rPr>
                <w:rFonts w:hint="eastAsia" w:ascii="宋体" w:hAnsi="宋体"/>
                <w:color w:val="000000" w:themeColor="text1"/>
                <w:szCs w:val="21"/>
                <w14:textFill>
                  <w14:solidFill>
                    <w14:schemeClr w14:val="tx1"/>
                  </w14:solidFill>
                </w14:textFill>
              </w:rPr>
              <w:br w:type="textWrapping"/>
            </w:r>
            <w:r>
              <w:rPr>
                <w:rFonts w:hint="eastAsia" w:ascii="宋体" w:hAnsi="宋体"/>
                <w:color w:val="000000" w:themeColor="text1"/>
                <w:szCs w:val="21"/>
                <w14:textFill>
                  <w14:solidFill>
                    <w14:schemeClr w14:val="tx1"/>
                  </w14:solidFill>
                </w14:textFill>
              </w:rPr>
              <w:t>4、缓冲层：聚苯乙烯发泡树脂材质，颜色为黑色。</w:t>
            </w:r>
            <w:r>
              <w:rPr>
                <w:rFonts w:hint="eastAsia" w:ascii="宋体" w:hAnsi="宋体"/>
                <w:color w:val="000000" w:themeColor="text1"/>
                <w:szCs w:val="21"/>
                <w14:textFill>
                  <w14:solidFill>
                    <w14:schemeClr w14:val="tx1"/>
                  </w14:solidFill>
                </w14:textFill>
              </w:rPr>
              <w:br w:type="textWrapping"/>
            </w:r>
            <w:r>
              <w:rPr>
                <w:rFonts w:hint="eastAsia" w:ascii="宋体" w:hAnsi="宋体"/>
                <w:color w:val="000000" w:themeColor="text1"/>
                <w:szCs w:val="21"/>
                <w14:textFill>
                  <w14:solidFill>
                    <w14:schemeClr w14:val="tx1"/>
                  </w14:solidFill>
                </w14:textFill>
              </w:rPr>
              <w:t>5、舒适衬垫：顶部为芳纶网状衬垫，四周为革质舒适层（与帽箍一体）可调节戴帽高度。</w:t>
            </w:r>
            <w:r>
              <w:rPr>
                <w:rFonts w:hint="eastAsia" w:ascii="宋体" w:hAnsi="宋体"/>
                <w:color w:val="000000" w:themeColor="text1"/>
                <w:szCs w:val="21"/>
                <w14:textFill>
                  <w14:solidFill>
                    <w14:schemeClr w14:val="tx1"/>
                  </w14:solidFill>
                </w14:textFill>
              </w:rPr>
              <w:br w:type="textWrapping"/>
            </w:r>
            <w:r>
              <w:rPr>
                <w:rFonts w:hint="eastAsia" w:ascii="宋体" w:hAnsi="宋体"/>
                <w:color w:val="000000" w:themeColor="text1"/>
                <w:szCs w:val="21"/>
                <w14:textFill>
                  <w14:solidFill>
                    <w14:schemeClr w14:val="tx1"/>
                  </w14:solidFill>
                </w14:textFill>
              </w:rPr>
              <w:t>6、佩戴装置：包括帽箍和系带，为改性阻燃尼龙 66 材质。在盔体后沿下侧设头围调节旋钮，调节范围为540mm～620mm；系带可调节佩戴松紧，加装带孔透气下颏托；插扣为快脱插扣。</w:t>
            </w:r>
            <w:r>
              <w:rPr>
                <w:rFonts w:hint="eastAsia" w:ascii="宋体" w:hAnsi="宋体"/>
                <w:color w:val="000000" w:themeColor="text1"/>
                <w:szCs w:val="21"/>
                <w14:textFill>
                  <w14:solidFill>
                    <w14:schemeClr w14:val="tx1"/>
                  </w14:solidFill>
                </w14:textFill>
              </w:rPr>
              <w:br w:type="textWrapping"/>
            </w:r>
            <w:r>
              <w:rPr>
                <w:rFonts w:hint="eastAsia" w:ascii="宋体" w:hAnsi="宋体"/>
                <w:color w:val="000000" w:themeColor="text1"/>
                <w:szCs w:val="21"/>
                <w14:textFill>
                  <w14:solidFill>
                    <w14:schemeClr w14:val="tx1"/>
                  </w14:solidFill>
                </w14:textFill>
              </w:rPr>
              <w:t>7、反光标识：两侧粘贴弧形反光标识条带，颜色为荧光黄色，潘通色号为 PANTONE 809C；宽度为 30±1mm，长度为 226±2mm，弧形总高 52±1mm。</w:t>
            </w:r>
          </w:p>
          <w:p>
            <w:pPr>
              <w:rPr>
                <w:color w:val="000000" w:themeColor="text1"/>
                <w:spacing w:val="-21"/>
                <w:position w:val="1"/>
                <w:sz w:val="2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8、所有可调节扣件全部采用黄色，为改性阻燃尼龙 66材料。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94" w:hRule="atLeast"/>
        </w:trPr>
        <w:tc>
          <w:tcPr>
            <w:tcW w:w="481" w:type="dxa"/>
            <w:gridSpan w:val="2"/>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22</w:t>
            </w:r>
          </w:p>
        </w:tc>
        <w:tc>
          <w:tcPr>
            <w:tcW w:w="1081"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大锹</w:t>
            </w:r>
          </w:p>
        </w:tc>
        <w:tc>
          <w:tcPr>
            <w:tcW w:w="682" w:type="dxa"/>
            <w:noWrap w:val="0"/>
            <w:vAlign w:val="center"/>
          </w:tcPr>
          <w:p>
            <w:pPr>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把</w:t>
            </w:r>
          </w:p>
        </w:tc>
        <w:tc>
          <w:tcPr>
            <w:tcW w:w="886" w:type="dxa"/>
            <w:noWrap w:val="0"/>
            <w:vAlign w:val="center"/>
          </w:tcPr>
          <w:p>
            <w:pPr>
              <w:jc w:val="center"/>
              <w:rPr>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300</w:t>
            </w:r>
          </w:p>
        </w:tc>
        <w:tc>
          <w:tcPr>
            <w:tcW w:w="7309" w:type="dxa"/>
            <w:noWrap w:val="0"/>
            <w:vAlign w:val="center"/>
          </w:tcPr>
          <w:p>
            <w:pPr>
              <w:pStyle w:val="205"/>
              <w:numPr>
                <w:ilvl w:val="0"/>
                <w:numId w:val="0"/>
              </w:numPr>
              <w:ind w:left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一、</w:t>
            </w:r>
            <w:r>
              <w:rPr>
                <w:rFonts w:hint="eastAsia" w:ascii="宋体" w:hAnsi="宋体"/>
                <w:color w:val="000000" w:themeColor="text1"/>
                <w:szCs w:val="21"/>
                <w:lang w:val="en-US" w:eastAsia="zh-CN"/>
                <w14:textFill>
                  <w14:solidFill>
                    <w14:schemeClr w14:val="tx1"/>
                  </w14:solidFill>
                </w14:textFill>
              </w:rPr>
              <w:t>1、</w:t>
            </w:r>
            <w:r>
              <w:rPr>
                <w:rFonts w:hint="eastAsia" w:ascii="宋体" w:hAnsi="宋体"/>
                <w:color w:val="000000" w:themeColor="text1"/>
                <w:szCs w:val="21"/>
                <w14:textFill>
                  <w14:solidFill>
                    <w14:schemeClr w14:val="tx1"/>
                  </w14:solidFill>
                </w14:textFill>
              </w:rPr>
              <w:t>锹头头部尺寸 23x29.5CM，锹头 50 锰钢，热处理。</w:t>
            </w:r>
          </w:p>
          <w:p>
            <w:pPr>
              <w:pStyle w:val="205"/>
              <w:numPr>
                <w:ilvl w:val="0"/>
                <w:numId w:val="0"/>
              </w:numPr>
              <w:ind w:leftChars="0"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2、</w:t>
            </w:r>
            <w:r>
              <w:rPr>
                <w:rFonts w:hint="eastAsia" w:ascii="宋体" w:hAnsi="宋体"/>
                <w:color w:val="000000" w:themeColor="text1"/>
                <w:szCs w:val="21"/>
                <w14:textFill>
                  <w14:solidFill>
                    <w14:schemeClr w14:val="tx1"/>
                  </w14:solidFill>
                </w14:textFill>
              </w:rPr>
              <w:t>硬度 48-52HRC，全长 1.2 米。</w:t>
            </w:r>
          </w:p>
          <w:p>
            <w:pPr>
              <w:pStyle w:val="205"/>
              <w:numPr>
                <w:ilvl w:val="0"/>
                <w:numId w:val="0"/>
              </w:numPr>
              <w:ind w:left="0" w:leftChars="0" w:firstLine="420" w:firstLineChars="200"/>
              <w:rPr>
                <w:color w:val="000000" w:themeColor="text1"/>
                <w:spacing w:val="-21"/>
                <w:position w:val="1"/>
                <w:sz w:val="2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3、</w:t>
            </w:r>
            <w:r>
              <w:rPr>
                <w:rFonts w:hint="eastAsia" w:ascii="宋体" w:hAnsi="宋体"/>
                <w:color w:val="000000" w:themeColor="text1"/>
                <w:szCs w:val="21"/>
                <w14:textFill>
                  <w14:solidFill>
                    <w14:schemeClr w14:val="tx1"/>
                  </w14:solidFill>
                </w14:textFill>
              </w:rPr>
              <w:t>重量整只 1.6 公斤左右。木柄材质：椿木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24" w:hRule="atLeast"/>
        </w:trPr>
        <w:tc>
          <w:tcPr>
            <w:tcW w:w="481" w:type="dxa"/>
            <w:gridSpan w:val="2"/>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23</w:t>
            </w:r>
          </w:p>
        </w:tc>
        <w:tc>
          <w:tcPr>
            <w:tcW w:w="1081"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大镐</w:t>
            </w:r>
          </w:p>
        </w:tc>
        <w:tc>
          <w:tcPr>
            <w:tcW w:w="682" w:type="dxa"/>
            <w:noWrap w:val="0"/>
            <w:vAlign w:val="center"/>
          </w:tcPr>
          <w:p>
            <w:pPr>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把</w:t>
            </w:r>
          </w:p>
        </w:tc>
        <w:tc>
          <w:tcPr>
            <w:tcW w:w="886" w:type="dxa"/>
            <w:noWrap w:val="0"/>
            <w:vAlign w:val="center"/>
          </w:tcPr>
          <w:p>
            <w:pPr>
              <w:jc w:val="center"/>
              <w:rPr>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300</w:t>
            </w:r>
          </w:p>
        </w:tc>
        <w:tc>
          <w:tcPr>
            <w:tcW w:w="7309" w:type="dxa"/>
            <w:noWrap w:val="0"/>
            <w:vAlign w:val="center"/>
          </w:tcPr>
          <w:p>
            <w:pPr>
              <w:ind w:left="420" w:leftChars="0" w:hanging="420" w:hangingChars="200"/>
              <w:rPr>
                <w:color w:val="000000" w:themeColor="text1"/>
                <w:spacing w:val="-21"/>
                <w:position w:val="1"/>
                <w:sz w:val="21"/>
                <w:szCs w:val="21"/>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一、</w:t>
            </w:r>
            <w:r>
              <w:rPr>
                <w:rFonts w:hint="eastAsia" w:ascii="宋体" w:hAnsi="宋体"/>
                <w:color w:val="000000" w:themeColor="text1"/>
                <w:szCs w:val="21"/>
                <w14:textFill>
                  <w14:solidFill>
                    <w14:schemeClr w14:val="tx1"/>
                  </w14:solidFill>
                </w14:textFill>
              </w:rPr>
              <w:t>1、按国家标准配置，用于灾害现场破拆作业材。</w:t>
            </w:r>
            <w:r>
              <w:rPr>
                <w:rFonts w:hint="eastAsia" w:ascii="宋体" w:hAnsi="宋体"/>
                <w:color w:val="000000" w:themeColor="text1"/>
                <w:szCs w:val="21"/>
                <w14:textFill>
                  <w14:solidFill>
                    <w14:schemeClr w14:val="tx1"/>
                  </w14:solidFill>
                </w14:textFill>
              </w:rPr>
              <w:br w:type="textWrapping"/>
            </w:r>
            <w:r>
              <w:rPr>
                <w:rFonts w:hint="eastAsia" w:ascii="宋体" w:hAnsi="宋体"/>
                <w:color w:val="000000" w:themeColor="text1"/>
                <w:szCs w:val="21"/>
                <w14:textFill>
                  <w14:solidFill>
                    <w14:schemeClr w14:val="tx1"/>
                  </w14:solidFill>
                </w14:textFill>
              </w:rPr>
              <w:t>2、包装尺寸：1000×400×180mm。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24</w:t>
            </w:r>
          </w:p>
        </w:tc>
        <w:tc>
          <w:tcPr>
            <w:tcW w:w="1081"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手摇式充电宝</w:t>
            </w:r>
          </w:p>
        </w:tc>
        <w:tc>
          <w:tcPr>
            <w:tcW w:w="682" w:type="dxa"/>
            <w:noWrap w:val="0"/>
            <w:vAlign w:val="center"/>
          </w:tcPr>
          <w:p>
            <w:pPr>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个</w:t>
            </w:r>
          </w:p>
        </w:tc>
        <w:tc>
          <w:tcPr>
            <w:tcW w:w="886" w:type="dxa"/>
            <w:noWrap w:val="0"/>
            <w:vAlign w:val="center"/>
          </w:tcPr>
          <w:p>
            <w:pPr>
              <w:jc w:val="center"/>
              <w:rPr>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100</w:t>
            </w:r>
          </w:p>
        </w:tc>
        <w:tc>
          <w:tcPr>
            <w:tcW w:w="7309" w:type="dxa"/>
            <w:noWrap w:val="0"/>
            <w:vAlign w:val="center"/>
          </w:tcPr>
          <w:p>
            <w:pPr>
              <w:pStyle w:val="205"/>
              <w:numPr>
                <w:ilvl w:val="0"/>
                <w:numId w:val="0"/>
              </w:numPr>
              <w:ind w:left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一、</w:t>
            </w:r>
            <w:r>
              <w:rPr>
                <w:rFonts w:hint="eastAsia" w:ascii="宋体" w:hAnsi="宋体"/>
                <w:color w:val="000000" w:themeColor="text1"/>
                <w:szCs w:val="21"/>
                <w:lang w:val="en-US" w:eastAsia="zh-CN"/>
                <w14:textFill>
                  <w14:solidFill>
                    <w14:schemeClr w14:val="tx1"/>
                  </w14:solidFill>
                </w14:textFill>
              </w:rPr>
              <w:t>1、</w:t>
            </w:r>
            <w:r>
              <w:rPr>
                <w:rFonts w:hint="eastAsia" w:ascii="宋体" w:hAnsi="宋体"/>
                <w:color w:val="000000" w:themeColor="text1"/>
                <w:szCs w:val="21"/>
                <w14:textFill>
                  <w14:solidFill>
                    <w14:schemeClr w14:val="tx1"/>
                  </w14:solidFill>
                </w14:textFill>
              </w:rPr>
              <w:t>通过摇晃或者旋转产生电流。</w:t>
            </w:r>
          </w:p>
          <w:p>
            <w:pPr>
              <w:pStyle w:val="205"/>
              <w:numPr>
                <w:ilvl w:val="0"/>
                <w:numId w:val="0"/>
              </w:numPr>
              <w:ind w:left="0" w:leftChars="0" w:firstLine="420" w:firstLineChars="200"/>
              <w:rPr>
                <w:color w:val="000000" w:themeColor="text1"/>
                <w:spacing w:val="-21"/>
                <w:position w:val="1"/>
                <w:sz w:val="2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2、</w:t>
            </w:r>
            <w:r>
              <w:rPr>
                <w:rFonts w:hint="eastAsia" w:ascii="宋体" w:hAnsi="宋体"/>
                <w:color w:val="000000" w:themeColor="text1"/>
                <w:szCs w:val="21"/>
                <w14:textFill>
                  <w14:solidFill>
                    <w14:schemeClr w14:val="tx1"/>
                  </w14:solidFill>
                </w14:textFill>
              </w:rPr>
              <w:t>最高可以生成5V/1A的电流。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6" w:hRule="atLeast"/>
        </w:trPr>
        <w:tc>
          <w:tcPr>
            <w:tcW w:w="481" w:type="dxa"/>
            <w:gridSpan w:val="2"/>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25</w:t>
            </w:r>
          </w:p>
        </w:tc>
        <w:tc>
          <w:tcPr>
            <w:tcW w:w="1081" w:type="dxa"/>
            <w:noWrap w:val="0"/>
            <w:vAlign w:val="center"/>
          </w:tcPr>
          <w:p>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移动充电宝</w:t>
            </w:r>
          </w:p>
        </w:tc>
        <w:tc>
          <w:tcPr>
            <w:tcW w:w="682" w:type="dxa"/>
            <w:noWrap w:val="0"/>
            <w:vAlign w:val="center"/>
          </w:tcPr>
          <w:p>
            <w:pPr>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个</w:t>
            </w:r>
          </w:p>
        </w:tc>
        <w:tc>
          <w:tcPr>
            <w:tcW w:w="886" w:type="dxa"/>
            <w:noWrap w:val="0"/>
            <w:vAlign w:val="center"/>
          </w:tcPr>
          <w:p>
            <w:pPr>
              <w:jc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150</w:t>
            </w:r>
          </w:p>
        </w:tc>
        <w:tc>
          <w:tcPr>
            <w:tcW w:w="7309" w:type="dxa"/>
            <w:noWrap w:val="0"/>
            <w:vAlign w:val="center"/>
          </w:tcPr>
          <w:p>
            <w:pPr>
              <w:rPr>
                <w:color w:val="000000" w:themeColor="text1"/>
                <w:spacing w:val="-21"/>
                <w:position w:val="1"/>
                <w:sz w:val="21"/>
                <w:szCs w:val="21"/>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一、</w:t>
            </w:r>
            <w:r>
              <w:rPr>
                <w:rFonts w:hint="eastAsia" w:ascii="宋体" w:hAnsi="宋体"/>
                <w:color w:val="000000" w:themeColor="text1"/>
                <w:szCs w:val="21"/>
                <w:lang w:val="en-US" w:eastAsia="zh-CN"/>
                <w14:textFill>
                  <w14:solidFill>
                    <w14:schemeClr w14:val="tx1"/>
                  </w14:solidFill>
                </w14:textFill>
              </w:rPr>
              <w:t>1、</w:t>
            </w:r>
            <w:r>
              <w:rPr>
                <w:rFonts w:hint="eastAsia" w:ascii="宋体" w:hAnsi="宋体"/>
                <w:color w:val="000000" w:themeColor="text1"/>
                <w:szCs w:val="21"/>
                <w14:textFill>
                  <w14:solidFill>
                    <w14:schemeClr w14:val="tx1"/>
                  </w14:solidFill>
                </w14:textFill>
              </w:rPr>
              <w:t>电池类型: 锂聚合物电池</w:t>
            </w:r>
            <w:r>
              <w:rPr>
                <w:rFonts w:hint="eastAsia" w:ascii="宋体" w:hAnsi="宋体"/>
                <w:color w:val="000000" w:themeColor="text1"/>
                <w:szCs w:val="21"/>
                <w14:textFill>
                  <w14:solidFill>
                    <w14:schemeClr w14:val="tx1"/>
                  </w14:solidFill>
                </w14:textFill>
              </w:rPr>
              <w:br w:type="textWrapping"/>
            </w:r>
            <w:r>
              <w:rPr>
                <w:rFonts w:hint="eastAsia" w:ascii="宋体" w:hAnsi="宋体"/>
                <w:color w:val="000000" w:themeColor="text1"/>
                <w:szCs w:val="21"/>
                <w:lang w:val="en-US" w:eastAsia="zh-CN"/>
                <w14:textFill>
                  <w14:solidFill>
                    <w14:schemeClr w14:val="tx1"/>
                  </w14:solidFill>
                </w14:textFill>
              </w:rPr>
              <w:t xml:space="preserve">  2</w:t>
            </w:r>
            <w:r>
              <w:rPr>
                <w:rFonts w:hint="eastAsia" w:ascii="宋体" w:hAnsi="宋体"/>
                <w:color w:val="000000" w:themeColor="text1"/>
                <w:szCs w:val="21"/>
                <w14:textFill>
                  <w14:solidFill>
                    <w14:schemeClr w14:val="tx1"/>
                  </w14:solidFill>
                </w14:textFill>
              </w:rPr>
              <w:t>、外壳材质: 塑料</w:t>
            </w:r>
            <w:r>
              <w:rPr>
                <w:rFonts w:hint="eastAsia" w:ascii="宋体" w:hAnsi="宋体"/>
                <w:color w:val="000000" w:themeColor="text1"/>
                <w:szCs w:val="21"/>
                <w14:textFill>
                  <w14:solidFill>
                    <w14:schemeClr w14:val="tx1"/>
                  </w14:solidFill>
                </w14:textFill>
              </w:rPr>
              <w:br w:type="textWrapping"/>
            </w:r>
            <w:r>
              <w:rPr>
                <w:rFonts w:hint="eastAsia" w:ascii="宋体" w:hAnsi="宋体"/>
                <w:color w:val="000000" w:themeColor="text1"/>
                <w:szCs w:val="21"/>
                <w:lang w:val="en-US" w:eastAsia="zh-CN"/>
                <w14:textFill>
                  <w14:solidFill>
                    <w14:schemeClr w14:val="tx1"/>
                  </w14:solidFill>
                </w14:textFill>
              </w:rPr>
              <w:t xml:space="preserve">  3</w:t>
            </w:r>
            <w:r>
              <w:rPr>
                <w:rFonts w:hint="eastAsia" w:ascii="宋体" w:hAnsi="宋体"/>
                <w:color w:val="000000" w:themeColor="text1"/>
                <w:szCs w:val="21"/>
                <w14:textFill>
                  <w14:solidFill>
                    <w14:schemeClr w14:val="tx1"/>
                  </w14:solidFill>
                </w14:textFill>
              </w:rPr>
              <w:t>、尺寸: 167x81x32mm</w:t>
            </w:r>
            <w:r>
              <w:rPr>
                <w:rFonts w:hint="eastAsia" w:ascii="宋体" w:hAnsi="宋体"/>
                <w:color w:val="000000" w:themeColor="text1"/>
                <w:szCs w:val="21"/>
                <w14:textFill>
                  <w14:solidFill>
                    <w14:schemeClr w14:val="tx1"/>
                  </w14:solidFill>
                </w14:textFill>
              </w:rPr>
              <w:br w:type="textWrapping"/>
            </w:r>
            <w:r>
              <w:rPr>
                <w:rFonts w:hint="eastAsia" w:ascii="宋体" w:hAnsi="宋体"/>
                <w:color w:val="000000" w:themeColor="text1"/>
                <w:szCs w:val="21"/>
                <w:lang w:val="en-US" w:eastAsia="zh-CN"/>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4、电芯类型: 软包</w:t>
            </w:r>
            <w:r>
              <w:rPr>
                <w:rFonts w:hint="eastAsia" w:ascii="宋体" w:hAnsi="宋体"/>
                <w:color w:val="000000" w:themeColor="text1"/>
                <w:szCs w:val="21"/>
                <w14:textFill>
                  <w14:solidFill>
                    <w14:schemeClr w14:val="tx1"/>
                  </w14:solidFill>
                </w14:textFill>
              </w:rPr>
              <w:br w:type="textWrapping"/>
            </w:r>
            <w:r>
              <w:rPr>
                <w:rFonts w:hint="eastAsia" w:ascii="宋体" w:hAnsi="宋体"/>
                <w:color w:val="000000" w:themeColor="text1"/>
                <w:szCs w:val="21"/>
                <w:lang w:val="en-US" w:eastAsia="zh-CN"/>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5、电池容量: 30000mAh</w:t>
            </w:r>
            <w:r>
              <w:rPr>
                <w:rFonts w:hint="eastAsia" w:ascii="宋体" w:hAnsi="宋体"/>
                <w:color w:val="000000" w:themeColor="text1"/>
                <w:szCs w:val="21"/>
                <w14:textFill>
                  <w14:solidFill>
                    <w14:schemeClr w14:val="tx1"/>
                  </w14:solidFill>
                </w14:textFill>
              </w:rPr>
              <w:br w:type="textWrapping"/>
            </w:r>
            <w:r>
              <w:rPr>
                <w:rFonts w:hint="eastAsia"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lang w:val="en-US" w:eastAsia="zh-CN"/>
                <w14:textFill>
                  <w14:solidFill>
                    <w14:schemeClr w14:val="tx1"/>
                  </w14:solidFill>
                </w14:textFill>
              </w:rPr>
              <w:t xml:space="preserve"> 6</w:t>
            </w:r>
            <w:r>
              <w:rPr>
                <w:rFonts w:hint="eastAsia" w:ascii="宋体" w:hAnsi="宋体"/>
                <w:color w:val="000000" w:themeColor="text1"/>
                <w:szCs w:val="21"/>
                <w14:textFill>
                  <w14:solidFill>
                    <w14:schemeClr w14:val="tx1"/>
                  </w14:solidFill>
                </w14:textFill>
              </w:rPr>
              <w:t>、充电协议: pd2.0 PD3.0 QC2.0 QC3.0 FCP</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22" w:hRule="atLeast"/>
        </w:trPr>
        <w:tc>
          <w:tcPr>
            <w:tcW w:w="10439" w:type="dxa"/>
            <w:gridSpan w:val="6"/>
            <w:noWrap w:val="0"/>
            <w:vAlign w:val="top"/>
          </w:tcPr>
          <w:p>
            <w:pPr>
              <w:pStyle w:val="209"/>
              <w:ind w:left="107"/>
              <w:rPr>
                <w:rFonts w:hint="eastAsia"/>
                <w:color w:val="000000" w:themeColor="text1"/>
                <w:spacing w:val="-4"/>
                <w:szCs w:val="21"/>
                <w:lang w:val="en-US" w:eastAsia="zh-CN"/>
                <w14:textFill>
                  <w14:solidFill>
                    <w14:schemeClr w14:val="tx1"/>
                  </w14:solidFill>
                </w14:textFill>
              </w:rPr>
            </w:pPr>
            <w:r>
              <w:rPr>
                <w:color w:val="000000" w:themeColor="text1"/>
                <w:spacing w:val="-4"/>
                <w:szCs w:val="21"/>
                <w14:textFill>
                  <w14:solidFill>
                    <w14:schemeClr w14:val="tx1"/>
                  </w14:solidFill>
                </w14:textFill>
              </w:rPr>
              <w:t>备注：</w:t>
            </w:r>
            <w:r>
              <w:rPr>
                <w:rFonts w:hint="eastAsia"/>
                <w:color w:val="000000" w:themeColor="text1"/>
                <w:spacing w:val="-4"/>
                <w:szCs w:val="21"/>
                <w:lang w:val="en-US" w:eastAsia="zh-CN"/>
                <w14:textFill>
                  <w14:solidFill>
                    <w14:schemeClr w14:val="tx1"/>
                  </w14:solidFill>
                </w14:textFill>
              </w:rPr>
              <w:t>B标段</w:t>
            </w:r>
          </w:p>
          <w:p>
            <w:pPr>
              <w:pStyle w:val="209"/>
              <w:ind w:left="107"/>
              <w:rPr>
                <w:color w:val="000000" w:themeColor="text1"/>
                <w:sz w:val="21"/>
                <w:szCs w:val="21"/>
                <w14:textFill>
                  <w14:solidFill>
                    <w14:schemeClr w14:val="tx1"/>
                  </w14:solidFill>
                </w14:textFill>
              </w:rPr>
            </w:pPr>
            <w:r>
              <w:rPr>
                <w:color w:val="000000" w:themeColor="text1"/>
                <w:spacing w:val="-4"/>
                <w:szCs w:val="21"/>
                <w14:textFill>
                  <w14:solidFill>
                    <w14:schemeClr w14:val="tx1"/>
                  </w14:solidFill>
                </w14:textFill>
              </w:rPr>
              <w:t xml:space="preserve">投标文件中必须提供第三方检验机构【具备 </w:t>
            </w:r>
            <w:r>
              <w:rPr>
                <w:color w:val="000000" w:themeColor="text1"/>
                <w:szCs w:val="21"/>
                <w14:textFill>
                  <w14:solidFill>
                    <w14:schemeClr w14:val="tx1"/>
                  </w14:solidFill>
                </w14:textFill>
              </w:rPr>
              <w:t>CMA</w:t>
            </w:r>
            <w:r>
              <w:rPr>
                <w:color w:val="000000" w:themeColor="text1"/>
                <w:spacing w:val="-8"/>
                <w:szCs w:val="21"/>
                <w14:textFill>
                  <w14:solidFill>
                    <w14:schemeClr w14:val="tx1"/>
                  </w14:solidFill>
                </w14:textFill>
              </w:rPr>
              <w:t xml:space="preserve"> 资质的检验机构】</w:t>
            </w:r>
            <w:r>
              <w:rPr>
                <w:color w:val="000000" w:themeColor="text1"/>
                <w:szCs w:val="21"/>
                <w14:textFill>
                  <w14:solidFill>
                    <w14:schemeClr w14:val="tx1"/>
                  </w14:solidFill>
                </w14:textFill>
              </w:rPr>
              <w:t>2019</w:t>
            </w:r>
            <w:r>
              <w:rPr>
                <w:color w:val="000000" w:themeColor="text1"/>
                <w:spacing w:val="-40"/>
                <w:szCs w:val="21"/>
                <w14:textFill>
                  <w14:solidFill>
                    <w14:schemeClr w14:val="tx1"/>
                  </w14:solidFill>
                </w14:textFill>
              </w:rPr>
              <w:t xml:space="preserve"> 年 </w:t>
            </w:r>
            <w:r>
              <w:rPr>
                <w:rFonts w:hint="eastAsia"/>
                <w:color w:val="000000" w:themeColor="text1"/>
                <w:spacing w:val="-40"/>
                <w:szCs w:val="21"/>
                <w:lang w:val="en-US" w:eastAsia="zh-CN"/>
                <w14:textFill>
                  <w14:solidFill>
                    <w14:schemeClr w14:val="tx1"/>
                  </w14:solidFill>
                </w14:textFill>
              </w:rPr>
              <w:t xml:space="preserve">  7 </w:t>
            </w:r>
            <w:r>
              <w:rPr>
                <w:color w:val="000000" w:themeColor="text1"/>
                <w:spacing w:val="-40"/>
                <w:szCs w:val="21"/>
                <w14:textFill>
                  <w14:solidFill>
                    <w14:schemeClr w14:val="tx1"/>
                  </w14:solidFill>
                </w14:textFill>
              </w:rPr>
              <w:t xml:space="preserve"> 月 </w:t>
            </w:r>
            <w:r>
              <w:rPr>
                <w:rFonts w:hint="eastAsia"/>
                <w:color w:val="000000" w:themeColor="text1"/>
                <w:spacing w:val="-40"/>
                <w:szCs w:val="21"/>
                <w:lang w:val="en-US" w:eastAsia="zh-CN"/>
                <w14:textFill>
                  <w14:solidFill>
                    <w14:schemeClr w14:val="tx1"/>
                  </w14:solidFill>
                </w14:textFill>
              </w:rPr>
              <w:t xml:space="preserve">  1 </w:t>
            </w:r>
            <w:r>
              <w:rPr>
                <w:color w:val="000000" w:themeColor="text1"/>
                <w:spacing w:val="-30"/>
                <w:szCs w:val="21"/>
                <w14:textFill>
                  <w14:solidFill>
                    <w14:schemeClr w14:val="tx1"/>
                  </w14:solidFill>
                </w14:textFill>
              </w:rPr>
              <w:t xml:space="preserve"> 日</w:t>
            </w:r>
            <w:r>
              <w:rPr>
                <w:color w:val="000000" w:themeColor="text1"/>
                <w:szCs w:val="21"/>
                <w14:textFill>
                  <w14:solidFill>
                    <w14:schemeClr w14:val="tx1"/>
                  </w14:solidFill>
                </w14:textFill>
              </w:rPr>
              <w:t>以来合格的产品检验报告</w:t>
            </w:r>
            <w:r>
              <w:rPr>
                <w:rFonts w:hint="eastAsia"/>
                <w:color w:val="000000" w:themeColor="text1"/>
                <w:szCs w:val="21"/>
                <w:lang w:eastAsia="zh-CN"/>
                <w14:textFill>
                  <w14:solidFill>
                    <w14:schemeClr w14:val="tx1"/>
                  </w14:solidFill>
                </w14:textFill>
              </w:rPr>
              <w:t>原件</w:t>
            </w:r>
            <w:r>
              <w:rPr>
                <w:color w:val="000000" w:themeColor="text1"/>
                <w:szCs w:val="21"/>
                <w14:textFill>
                  <w14:solidFill>
                    <w14:schemeClr w14:val="tx1"/>
                  </w14:solidFill>
                </w14:textFill>
              </w:rPr>
              <w:t>（核心产品</w:t>
            </w:r>
            <w:r>
              <w:rPr>
                <w:rFonts w:hint="eastAsia"/>
                <w:color w:val="000000" w:themeColor="text1"/>
                <w:szCs w:val="2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2、3、7、13</w:t>
            </w:r>
            <w:r>
              <w:rPr>
                <w:color w:val="000000" w:themeColor="text1"/>
                <w:szCs w:val="21"/>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22" w:hRule="atLeast"/>
        </w:trPr>
        <w:tc>
          <w:tcPr>
            <w:tcW w:w="10439" w:type="dxa"/>
            <w:gridSpan w:val="6"/>
            <w:tcBorders>
              <w:bottom w:val="single" w:color="000000" w:sz="12" w:space="0"/>
            </w:tcBorders>
            <w:noWrap w:val="0"/>
            <w:vAlign w:val="top"/>
          </w:tcPr>
          <w:p>
            <w:pPr>
              <w:adjustRightInd/>
              <w:spacing w:line="276" w:lineRule="auto"/>
              <w:textAlignment w:val="auto"/>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一、合同签订期：自中标通知书发出之日起</w:t>
            </w:r>
            <w:r>
              <w:rPr>
                <w:rFonts w:hint="eastAsia" w:ascii="宋体" w:hAnsi="宋体" w:cs="宋体"/>
                <w:b w:val="0"/>
                <w:bCs/>
                <w:color w:val="000000" w:themeColor="text1"/>
                <w:sz w:val="21"/>
                <w:szCs w:val="21"/>
                <w:lang w:val="en-US" w:eastAsia="zh-CN"/>
                <w14:textFill>
                  <w14:solidFill>
                    <w14:schemeClr w14:val="tx1"/>
                  </w14:solidFill>
                </w14:textFill>
              </w:rPr>
              <w:t>15</w:t>
            </w:r>
            <w:r>
              <w:rPr>
                <w:rFonts w:hint="eastAsia" w:ascii="宋体" w:hAnsi="宋体" w:eastAsia="宋体" w:cs="宋体"/>
                <w:b w:val="0"/>
                <w:bCs/>
                <w:color w:val="000000" w:themeColor="text1"/>
                <w:sz w:val="21"/>
                <w:szCs w:val="21"/>
                <w14:textFill>
                  <w14:solidFill>
                    <w14:schemeClr w14:val="tx1"/>
                  </w14:solidFill>
                </w14:textFill>
              </w:rPr>
              <w:t>日内</w:t>
            </w:r>
          </w:p>
          <w:p>
            <w:pPr>
              <w:adjustRightInd/>
              <w:spacing w:line="276" w:lineRule="auto"/>
              <w:textAlignment w:val="auto"/>
              <w:rPr>
                <w:rFonts w:hint="default"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★二、供货期：</w:t>
            </w:r>
            <w:r>
              <w:rPr>
                <w:rFonts w:hint="eastAsia" w:ascii="宋体" w:hAnsi="宋体" w:cs="宋体"/>
                <w:b w:val="0"/>
                <w:bCs/>
                <w:color w:val="000000" w:themeColor="text1"/>
                <w:sz w:val="21"/>
                <w:szCs w:val="21"/>
                <w:lang w:val="en-US" w:eastAsia="zh-CN"/>
                <w14:textFill>
                  <w14:solidFill>
                    <w14:schemeClr w14:val="tx1"/>
                  </w14:solidFill>
                </w14:textFill>
              </w:rPr>
              <w:t>10个工作日</w:t>
            </w:r>
          </w:p>
          <w:p>
            <w:pPr>
              <w:adjustRightInd/>
              <w:spacing w:line="276" w:lineRule="auto"/>
              <w:textAlignment w:val="auto"/>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三、交货地点：采购人指定地点</w:t>
            </w:r>
          </w:p>
          <w:p>
            <w:pPr>
              <w:adjustRightInd/>
              <w:spacing w:line="276" w:lineRule="auto"/>
              <w:textAlignment w:val="auto"/>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四、交货方式：现场交货</w:t>
            </w:r>
          </w:p>
          <w:p>
            <w:pPr>
              <w:adjustRightInd/>
              <w:spacing w:line="276" w:lineRule="auto"/>
              <w:textAlignment w:val="auto"/>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五、售后服务要求：</w:t>
            </w:r>
          </w:p>
          <w:p>
            <w:pPr>
              <w:adjustRightInd/>
              <w:spacing w:line="276" w:lineRule="auto"/>
              <w:textAlignment w:val="auto"/>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★1、质量保证期1年（自交货并验收合格之日起计）</w:t>
            </w:r>
          </w:p>
          <w:p>
            <w:pPr>
              <w:jc w:val="left"/>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2、中标供应商和制造商在质量保证期内应当为采购人提供以下技术支持和服务：</w:t>
            </w:r>
          </w:p>
          <w:p>
            <w:pPr>
              <w:jc w:val="left"/>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2.1 电话咨询：</w:t>
            </w:r>
          </w:p>
          <w:p>
            <w:pPr>
              <w:jc w:val="left"/>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中标供应商应当为采购人提供 7×24 小时技术援助电话，解答采购人在使用中遇到的问题，及时为采购人提出解决问题的建议。</w:t>
            </w:r>
          </w:p>
          <w:p>
            <w:pPr>
              <w:jc w:val="left"/>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2.2 现场响应：</w:t>
            </w:r>
          </w:p>
          <w:p>
            <w:pPr>
              <w:jc w:val="left"/>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采购人遇到使用或技术问题，电话咨询不能解决的，中标供应商应在 1 小时内到达现场进行处理，到达现场后 1 小时内排除故障，恢复正常使用。</w:t>
            </w:r>
          </w:p>
          <w:p>
            <w:pPr>
              <w:jc w:val="left"/>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3、质保期外服务要求</w:t>
            </w:r>
          </w:p>
          <w:p>
            <w:pPr>
              <w:jc w:val="left"/>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3.1 质量保证期过后，中标供应商应同样提供 7×24 小时免费电话咨询服务，并应承诺提供产品上门维护。</w:t>
            </w:r>
          </w:p>
          <w:p>
            <w:pPr>
              <w:adjustRightInd/>
              <w:spacing w:line="276" w:lineRule="auto"/>
              <w:textAlignment w:val="auto"/>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3.2 质量保证期过后，采购人需要继续由原中标供应商提供售后服务的，该中标供应商应以优惠价格提供售后服务。</w:t>
            </w:r>
          </w:p>
          <w:p>
            <w:pPr>
              <w:adjustRightInd/>
              <w:spacing w:line="276" w:lineRule="auto"/>
              <w:textAlignment w:val="auto"/>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六、其他要求：</w:t>
            </w:r>
          </w:p>
          <w:p>
            <w:pPr>
              <w:adjustRightInd/>
              <w:spacing w:line="276" w:lineRule="auto"/>
              <w:textAlignment w:val="auto"/>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★1、投标报价为采购人指定地点的现场交货价，包括：</w:t>
            </w:r>
          </w:p>
          <w:p>
            <w:pPr>
              <w:adjustRightInd/>
              <w:spacing w:line="276" w:lineRule="auto"/>
              <w:textAlignment w:val="auto"/>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（1）货物及标准附件、备品备件、专用工具的价格；</w:t>
            </w:r>
          </w:p>
          <w:p>
            <w:pPr>
              <w:adjustRightInd/>
              <w:spacing w:line="276" w:lineRule="auto"/>
              <w:textAlignment w:val="auto"/>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（2）运输、装卸、调试、培训、技术支持、售后服务等费用；</w:t>
            </w:r>
          </w:p>
          <w:p>
            <w:pPr>
              <w:adjustRightInd/>
              <w:spacing w:line="276" w:lineRule="auto"/>
              <w:textAlignment w:val="auto"/>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（3）必要的保险费用和各项税费；</w:t>
            </w:r>
          </w:p>
          <w:p>
            <w:pPr>
              <w:adjustRightInd/>
              <w:spacing w:line="276" w:lineRule="auto"/>
              <w:textAlignment w:val="auto"/>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（4）安装等费用。</w:t>
            </w:r>
          </w:p>
          <w:p>
            <w:pPr>
              <w:pStyle w:val="209"/>
              <w:spacing w:line="357" w:lineRule="auto"/>
              <w:ind w:right="744"/>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付款方式：甲方在签订合同后五个工作日内支付给乙方30%的预付款（乙方需同时提供相应发票）。在项目设备到场安装、调试、验收合格后十个工作日内甲方一次性付清尾款。（乙方需同时开具发票给甲方）质量保证金为合同金额3%，履约保证金自成交供应商按合同约定交货验收合格之日起自动转为质量保证金，质保期为一年，质保金在质保期满一年后无息退还给乙方。</w:t>
            </w:r>
          </w:p>
          <w:p>
            <w:pPr>
              <w:spacing w:line="360" w:lineRule="auto"/>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3.投标人提供全部设备必须是具备厂家合法销售渠道的全新合格正品，所有设备必须完全满足采购文件所述性能配置要求，若产品在运输过程中损坏或擦伤须无偿调换相同产品。</w:t>
            </w:r>
          </w:p>
          <w:p>
            <w:pPr>
              <w:pStyle w:val="209"/>
              <w:spacing w:line="357" w:lineRule="auto"/>
              <w:ind w:right="744"/>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4.保修期内非用户原因引起的质量事故中标供应商应负全部责任。</w:t>
            </w:r>
          </w:p>
          <w:p>
            <w:pPr>
              <w:pStyle w:val="209"/>
              <w:spacing w:line="357" w:lineRule="auto"/>
              <w:ind w:right="744"/>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t>七、验收要求：</w:t>
            </w:r>
          </w:p>
          <w:p>
            <w:pPr>
              <w:pStyle w:val="209"/>
              <w:spacing w:line="357" w:lineRule="auto"/>
              <w:ind w:right="744" w:firstLine="210" w:firstLineChars="10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1、所有原材料、成品合检验标准应符合“</w:t>
            </w:r>
            <w:r>
              <w:rPr>
                <w:rFonts w:hint="eastAsia" w:ascii="宋体" w:hAnsi="宋体"/>
                <w:color w:val="000000" w:themeColor="text1"/>
                <w:szCs w:val="32"/>
                <w14:textFill>
                  <w14:solidFill>
                    <w14:schemeClr w14:val="tx1"/>
                  </w14:solidFill>
                </w14:textFill>
              </w:rPr>
              <w:t>采购需求一览表</w:t>
            </w:r>
            <w:r>
              <w:rPr>
                <w:rFonts w:hint="eastAsia" w:ascii="宋体" w:hAnsi="宋体" w:eastAsia="宋体" w:cs="宋体"/>
                <w:b w:val="0"/>
                <w:bCs/>
                <w:color w:val="000000" w:themeColor="text1"/>
                <w:sz w:val="21"/>
                <w:szCs w:val="21"/>
                <w14:textFill>
                  <w14:solidFill>
                    <w14:schemeClr w14:val="tx1"/>
                  </w14:solidFill>
                </w14:textFill>
              </w:rPr>
              <w:t>”表参数中的执行标准等相关技术标准</w:t>
            </w:r>
            <w:r>
              <w:rPr>
                <w:rFonts w:hint="eastAsia" w:cs="宋体"/>
                <w:b w:val="0"/>
                <w:bCs/>
                <w:color w:val="000000" w:themeColor="text1"/>
                <w:sz w:val="21"/>
                <w:szCs w:val="21"/>
                <w:lang w:val="en-US" w:eastAsia="zh-CN"/>
                <w14:textFill>
                  <w14:solidFill>
                    <w14:schemeClr w14:val="tx1"/>
                  </w14:solidFill>
                </w14:textFill>
              </w:rPr>
              <w:t>并提供货物产品合格证作为验收依据</w:t>
            </w:r>
            <w:r>
              <w:rPr>
                <w:rFonts w:hint="eastAsia" w:ascii="宋体" w:hAnsi="宋体" w:eastAsia="宋体" w:cs="宋体"/>
                <w:b w:val="0"/>
                <w:bCs/>
                <w:color w:val="000000" w:themeColor="text1"/>
                <w:sz w:val="21"/>
                <w:szCs w:val="21"/>
                <w14:textFill>
                  <w14:solidFill>
                    <w14:schemeClr w14:val="tx1"/>
                  </w14:solidFill>
                </w14:textFill>
              </w:rPr>
              <w:t>。</w:t>
            </w:r>
          </w:p>
          <w:p>
            <w:pPr>
              <w:pStyle w:val="209"/>
              <w:spacing w:line="357" w:lineRule="auto"/>
              <w:ind w:right="744"/>
              <w:rPr>
                <w:rFonts w:hint="eastAsia" w:ascii="宋体" w:hAnsi="宋体" w:eastAsia="宋体" w:cs="宋体"/>
                <w:b w:val="0"/>
                <w:bCs/>
                <w:color w:val="000000" w:themeColor="text1"/>
                <w:sz w:val="21"/>
                <w:szCs w:val="21"/>
                <w14:textFill>
                  <w14:solidFill>
                    <w14:schemeClr w14:val="tx1"/>
                  </w14:solidFill>
                </w14:textFill>
              </w:rPr>
            </w:pPr>
          </w:p>
          <w:p>
            <w:pPr>
              <w:pStyle w:val="209"/>
              <w:spacing w:before="5" w:line="290" w:lineRule="exact"/>
              <w:ind w:left="107"/>
              <w:rPr>
                <w:color w:val="000000" w:themeColor="text1"/>
                <w:spacing w:val="-4"/>
                <w:sz w:val="21"/>
                <w:szCs w:val="21"/>
                <w14:textFill>
                  <w14:solidFill>
                    <w14:schemeClr w14:val="tx1"/>
                  </w14:solidFill>
                </w14:textFill>
              </w:rPr>
            </w:pPr>
          </w:p>
        </w:tc>
      </w:tr>
    </w:tbl>
    <w:p>
      <w:pPr>
        <w:widowControl/>
        <w:adjustRightInd/>
        <w:spacing w:line="240" w:lineRule="auto"/>
        <w:ind w:firstLine="4200" w:firstLineChars="1400"/>
        <w:jc w:val="left"/>
        <w:textAlignment w:val="auto"/>
        <w:rPr>
          <w:rFonts w:ascii="宋体" w:hAnsi="宋体"/>
          <w:sz w:val="30"/>
          <w:szCs w:val="30"/>
        </w:rPr>
      </w:pPr>
      <w:bookmarkStart w:id="22" w:name="_Toc57749777"/>
      <w:bookmarkStart w:id="23" w:name="_Toc139966432"/>
      <w:bookmarkStart w:id="24" w:name="_Toc213206173"/>
      <w:bookmarkStart w:id="25" w:name="_Toc213325922"/>
      <w:bookmarkStart w:id="26" w:name="_Toc139967216"/>
      <w:r>
        <w:rPr>
          <w:rFonts w:hint="eastAsia" w:ascii="宋体" w:hAnsi="宋体"/>
          <w:sz w:val="30"/>
          <w:szCs w:val="30"/>
        </w:rPr>
        <w:t>第三章评标办法</w:t>
      </w:r>
      <w:bookmarkEnd w:id="22"/>
    </w:p>
    <w:bookmarkEnd w:id="23"/>
    <w:bookmarkEnd w:id="24"/>
    <w:bookmarkEnd w:id="25"/>
    <w:bookmarkEnd w:id="26"/>
    <w:p>
      <w:pPr>
        <w:pStyle w:val="19"/>
        <w:spacing w:line="360" w:lineRule="auto"/>
        <w:ind w:firstLine="602" w:firstLineChars="200"/>
        <w:jc w:val="center"/>
        <w:rPr>
          <w:rFonts w:hAnsi="宋体"/>
          <w:b/>
          <w:sz w:val="30"/>
          <w:szCs w:val="30"/>
        </w:rPr>
      </w:pPr>
      <w:bookmarkStart w:id="27" w:name="_Toc213206174"/>
      <w:bookmarkStart w:id="28" w:name="_Toc213325923"/>
      <w:r>
        <w:rPr>
          <w:rFonts w:hint="eastAsia" w:hAnsi="宋体"/>
          <w:b/>
          <w:sz w:val="30"/>
          <w:szCs w:val="30"/>
        </w:rPr>
        <w:t>综合评分法</w:t>
      </w:r>
    </w:p>
    <w:p>
      <w:pPr>
        <w:widowControl/>
        <w:adjustRightInd/>
        <w:spacing w:line="440" w:lineRule="exact"/>
        <w:ind w:firstLine="422" w:firstLineChars="200"/>
        <w:jc w:val="left"/>
        <w:rPr>
          <w:rFonts w:ascii="宋体" w:hAnsi="宋体"/>
          <w:b/>
          <w:kern w:val="0"/>
          <w:szCs w:val="21"/>
        </w:rPr>
      </w:pPr>
      <w:r>
        <w:rPr>
          <w:rFonts w:ascii="宋体" w:hAnsi="宋体"/>
          <w:b/>
          <w:kern w:val="0"/>
          <w:szCs w:val="21"/>
        </w:rPr>
        <w:t>一、投标文件评审(初步评审)：</w:t>
      </w:r>
    </w:p>
    <w:p>
      <w:pPr>
        <w:widowControl/>
        <w:tabs>
          <w:tab w:val="left" w:pos="1140"/>
        </w:tabs>
        <w:adjustRightInd/>
        <w:spacing w:line="440" w:lineRule="exact"/>
        <w:ind w:firstLine="420" w:firstLineChars="200"/>
        <w:rPr>
          <w:rFonts w:ascii="宋体" w:hAnsi="宋体"/>
          <w:szCs w:val="21"/>
        </w:rPr>
      </w:pPr>
      <w:r>
        <w:rPr>
          <w:rFonts w:ascii="宋体" w:hAnsi="宋体"/>
          <w:szCs w:val="21"/>
        </w:rPr>
        <w:t>1、评标委员会依据法律法规和招标文件的规定，对投标文件中的资格证明进行资格性审查，以确定投标供应商是否具备投标资格。</w:t>
      </w:r>
    </w:p>
    <w:p>
      <w:pPr>
        <w:widowControl/>
        <w:tabs>
          <w:tab w:val="left" w:pos="1140"/>
        </w:tabs>
        <w:adjustRightInd/>
        <w:spacing w:line="440" w:lineRule="exact"/>
        <w:ind w:firstLine="420" w:firstLineChars="200"/>
        <w:rPr>
          <w:rFonts w:ascii="宋体" w:hAnsi="宋体"/>
          <w:szCs w:val="21"/>
        </w:rPr>
      </w:pPr>
      <w:r>
        <w:rPr>
          <w:rFonts w:ascii="宋体" w:hAnsi="宋体"/>
          <w:szCs w:val="21"/>
        </w:rPr>
        <w:t>2、评标委员会依据招标文件的规定，从投标文件的有效性、完整性和对招标文件的响应程度进行符合性审查，以确定是否对招标文件的实质性要求作出响应。</w:t>
      </w:r>
    </w:p>
    <w:p>
      <w:pPr>
        <w:widowControl/>
        <w:tabs>
          <w:tab w:val="left" w:pos="1140"/>
        </w:tabs>
        <w:adjustRightInd/>
        <w:spacing w:line="440" w:lineRule="exact"/>
        <w:ind w:firstLine="420" w:firstLineChars="200"/>
        <w:rPr>
          <w:rFonts w:ascii="宋体" w:hAnsi="宋体"/>
          <w:b/>
          <w:szCs w:val="21"/>
        </w:rPr>
      </w:pPr>
      <w:r>
        <w:rPr>
          <w:rFonts w:ascii="宋体" w:hAnsi="宋体"/>
          <w:szCs w:val="21"/>
        </w:rPr>
        <w:t>3、资格性及符合性审查内容：</w:t>
      </w:r>
      <w:r>
        <w:rPr>
          <w:rFonts w:ascii="宋体" w:hAnsi="宋体"/>
          <w:b/>
          <w:szCs w:val="21"/>
        </w:rPr>
        <w:t>如有一项不符合，初步评审不通过，不再进入下一轮详评。</w:t>
      </w:r>
    </w:p>
    <w:p>
      <w:pPr>
        <w:widowControl/>
        <w:adjustRightInd/>
        <w:spacing w:line="440" w:lineRule="exact"/>
        <w:ind w:firstLine="422" w:firstLineChars="200"/>
        <w:rPr>
          <w:rFonts w:ascii="宋体" w:hAnsi="宋体"/>
          <w:b/>
          <w:bCs/>
          <w:szCs w:val="21"/>
        </w:rPr>
      </w:pPr>
      <w:r>
        <w:rPr>
          <w:rFonts w:ascii="宋体" w:hAnsi="宋体"/>
          <w:b/>
          <w:szCs w:val="21"/>
        </w:rPr>
        <w:t>二、</w:t>
      </w:r>
      <w:r>
        <w:rPr>
          <w:rFonts w:ascii="宋体" w:hAnsi="宋体"/>
          <w:b/>
          <w:bCs/>
          <w:szCs w:val="21"/>
        </w:rPr>
        <w:t>投标文件评审（详细评审）</w:t>
      </w:r>
    </w:p>
    <w:p>
      <w:pPr>
        <w:widowControl/>
        <w:adjustRightInd/>
        <w:spacing w:line="440" w:lineRule="exact"/>
        <w:ind w:firstLine="420" w:firstLineChars="200"/>
        <w:rPr>
          <w:rFonts w:ascii="宋体" w:hAnsi="宋体"/>
          <w:b/>
          <w:bCs/>
          <w:szCs w:val="21"/>
        </w:rPr>
      </w:pPr>
      <w:r>
        <w:rPr>
          <w:rFonts w:ascii="宋体" w:hAnsi="宋体"/>
          <w:szCs w:val="21"/>
        </w:rPr>
        <w:t>（一）评标依据：评标委员会以招标文件和投标文件为评标依据，对投标文件的投标报价、技术、项目实施方案、企业实力和信誉、业绩、售后服务等方面内容按百分制打分。</w:t>
      </w:r>
    </w:p>
    <w:p>
      <w:pPr>
        <w:widowControl/>
        <w:adjustRightInd/>
        <w:spacing w:line="440" w:lineRule="exact"/>
        <w:ind w:firstLine="420" w:firstLineChars="200"/>
        <w:rPr>
          <w:rFonts w:ascii="宋体" w:hAnsi="宋体"/>
          <w:b/>
          <w:bCs/>
          <w:szCs w:val="21"/>
        </w:rPr>
      </w:pPr>
      <w:r>
        <w:rPr>
          <w:rFonts w:ascii="宋体" w:hAnsi="宋体"/>
          <w:szCs w:val="21"/>
        </w:rPr>
        <w:t>（二）评标方式：以封闭方式进行评标。</w:t>
      </w:r>
    </w:p>
    <w:p>
      <w:pPr>
        <w:widowControl/>
        <w:adjustRightInd/>
        <w:spacing w:line="440" w:lineRule="exact"/>
        <w:ind w:firstLine="420" w:firstLineChars="200"/>
        <w:rPr>
          <w:rFonts w:ascii="宋体" w:hAnsi="宋体"/>
          <w:szCs w:val="21"/>
        </w:rPr>
      </w:pPr>
      <w:r>
        <w:rPr>
          <w:rFonts w:ascii="宋体" w:hAnsi="宋体"/>
          <w:szCs w:val="21"/>
        </w:rPr>
        <w:t>（三）采购人和采购代理机构、评标委员会成员要严格遵守政府采购相关法律制度，依法履行各自职责，公正、客观、审慎地组织和参与评审工作。</w:t>
      </w:r>
    </w:p>
    <w:p>
      <w:pPr>
        <w:widowControl/>
        <w:adjustRightInd/>
        <w:spacing w:line="440" w:lineRule="exact"/>
        <w:ind w:firstLine="420" w:firstLineChars="200"/>
        <w:rPr>
          <w:rFonts w:ascii="宋体" w:hAnsi="宋体"/>
          <w:bCs/>
          <w:szCs w:val="21"/>
        </w:rPr>
      </w:pPr>
      <w:r>
        <w:rPr>
          <w:rFonts w:ascii="宋体" w:hAnsi="宋体"/>
          <w:bCs/>
          <w:szCs w:val="21"/>
        </w:rPr>
        <w:t>（四）评标方法：</w:t>
      </w:r>
      <w:r>
        <w:rPr>
          <w:rFonts w:ascii="宋体" w:hAnsi="宋体"/>
          <w:szCs w:val="21"/>
        </w:rPr>
        <w:t>对进入详评的，采用百分制综合评分法。</w:t>
      </w:r>
    </w:p>
    <w:p>
      <w:pPr>
        <w:widowControl/>
        <w:adjustRightInd/>
        <w:spacing w:line="440" w:lineRule="exact"/>
        <w:ind w:firstLine="420" w:firstLineChars="200"/>
        <w:rPr>
          <w:rFonts w:ascii="宋体" w:hAnsi="宋体"/>
          <w:szCs w:val="21"/>
        </w:rPr>
      </w:pPr>
      <w:r>
        <w:rPr>
          <w:rFonts w:ascii="宋体" w:hAnsi="宋体"/>
          <w:szCs w:val="21"/>
        </w:rPr>
        <w:t>（五）计分办法（</w:t>
      </w:r>
      <w:r>
        <w:rPr>
          <w:rFonts w:ascii="宋体" w:hAnsi="宋体"/>
          <w:bCs/>
          <w:szCs w:val="21"/>
        </w:rPr>
        <w:t>按四舍五入取至小数点后二位</w:t>
      </w:r>
      <w:r>
        <w:rPr>
          <w:rFonts w:ascii="宋体" w:hAnsi="宋体"/>
          <w:szCs w:val="21"/>
        </w:rPr>
        <w:t>）：</w:t>
      </w:r>
    </w:p>
    <w:p>
      <w:pPr>
        <w:widowControl/>
        <w:adjustRightInd/>
        <w:spacing w:line="440" w:lineRule="exact"/>
        <w:ind w:firstLine="420"/>
        <w:rPr>
          <w:rFonts w:ascii="宋体" w:hAnsi="宋体"/>
          <w:b/>
          <w:bCs/>
          <w:szCs w:val="21"/>
        </w:rPr>
      </w:pPr>
      <w:r>
        <w:rPr>
          <w:rFonts w:ascii="宋体" w:hAnsi="宋体"/>
          <w:b/>
          <w:szCs w:val="21"/>
        </w:rPr>
        <w:t>1、</w:t>
      </w:r>
      <w:r>
        <w:rPr>
          <w:rFonts w:ascii="宋体" w:hAnsi="宋体"/>
          <w:b/>
          <w:bCs/>
          <w:szCs w:val="21"/>
        </w:rPr>
        <w:t>价格分………………………………………………………………………</w:t>
      </w:r>
      <w:r>
        <w:rPr>
          <w:rFonts w:ascii="宋体" w:hAnsi="宋体"/>
          <w:b/>
          <w:szCs w:val="21"/>
        </w:rPr>
        <w:t>满分</w:t>
      </w:r>
      <w:r>
        <w:rPr>
          <w:rFonts w:ascii="宋体" w:hAnsi="宋体"/>
          <w:b/>
          <w:bCs/>
          <w:szCs w:val="21"/>
        </w:rPr>
        <w:t>30分</w:t>
      </w:r>
    </w:p>
    <w:p>
      <w:pPr>
        <w:widowControl/>
        <w:adjustRightInd/>
        <w:spacing w:line="440" w:lineRule="exact"/>
        <w:ind w:firstLine="420" w:firstLineChars="200"/>
        <w:rPr>
          <w:rFonts w:ascii="宋体" w:hAnsi="宋体"/>
          <w:bCs/>
          <w:szCs w:val="21"/>
        </w:rPr>
      </w:pPr>
      <w:r>
        <w:rPr>
          <w:rFonts w:ascii="宋体" w:hAnsi="宋体"/>
          <w:bCs/>
          <w:szCs w:val="21"/>
        </w:rPr>
        <w:t>（1）</w:t>
      </w:r>
      <w:r>
        <w:rPr>
          <w:rFonts w:ascii="宋体" w:hAnsi="宋体"/>
          <w:szCs w:val="21"/>
        </w:rPr>
        <w:t>按照《政府采购促进中小企业发展暂行办法》（财库[2011]181号）规定：</w:t>
      </w:r>
    </w:p>
    <w:p>
      <w:pPr>
        <w:widowControl/>
        <w:adjustRightInd/>
        <w:spacing w:line="440" w:lineRule="exact"/>
        <w:ind w:firstLine="420" w:firstLineChars="200"/>
        <w:rPr>
          <w:rFonts w:ascii="宋体" w:hAnsi="宋体"/>
          <w:szCs w:val="21"/>
        </w:rPr>
      </w:pPr>
      <w:r>
        <w:rPr>
          <w:rFonts w:ascii="宋体" w:hAnsi="宋体"/>
          <w:szCs w:val="21"/>
        </w:rPr>
        <w:t>被认定为小型和微型企业且所投标产品被认定为小型和微型企业产品的</w:t>
      </w:r>
      <w:r>
        <w:rPr>
          <w:rFonts w:ascii="宋体" w:hAnsi="宋体"/>
          <w:kern w:val="0"/>
          <w:szCs w:val="21"/>
        </w:rPr>
        <w:t>（以投标文件提供的符合规定的有关证明材料为准），</w:t>
      </w:r>
      <w:r>
        <w:rPr>
          <w:rFonts w:ascii="宋体" w:hAnsi="宋体"/>
          <w:szCs w:val="21"/>
        </w:rPr>
        <w:t>对小型和微型企业产品的价格给予</w:t>
      </w:r>
      <w:r>
        <w:rPr>
          <w:rFonts w:ascii="宋体" w:hAnsi="宋体"/>
          <w:szCs w:val="21"/>
          <w:u w:val="single"/>
        </w:rPr>
        <w:t>10%</w:t>
      </w:r>
      <w:r>
        <w:rPr>
          <w:rFonts w:ascii="宋体" w:hAnsi="宋体"/>
          <w:szCs w:val="21"/>
        </w:rPr>
        <w:t>的扣除，扣除后的价格为评标报价，即评标报价=投标报价×（1-10%）；除上述情况外，评标报价=投标报价。</w:t>
      </w:r>
    </w:p>
    <w:p>
      <w:pPr>
        <w:widowControl/>
        <w:adjustRightInd/>
        <w:spacing w:line="440" w:lineRule="exact"/>
        <w:ind w:firstLine="420" w:firstLineChars="200"/>
        <w:rPr>
          <w:rFonts w:ascii="宋体" w:hAnsi="宋体"/>
          <w:szCs w:val="21"/>
        </w:rPr>
      </w:pPr>
      <w:r>
        <w:rPr>
          <w:rFonts w:ascii="宋体" w:hAnsi="宋体"/>
          <w:szCs w:val="21"/>
        </w:rPr>
        <w:t xml:space="preserve">(2) </w:t>
      </w:r>
      <w:r>
        <w:rPr>
          <w:rFonts w:ascii="宋体" w:hAnsi="宋体"/>
          <w:kern w:val="0"/>
          <w:szCs w:val="21"/>
        </w:rPr>
        <w:t>根据《关于政府采购支持监狱企业发展有关问题的通知》（财库[2014]68号）和</w:t>
      </w:r>
      <w:r>
        <w:rPr>
          <w:rFonts w:ascii="宋体" w:hAnsi="宋体"/>
          <w:szCs w:val="21"/>
        </w:rPr>
        <w:t>《关于促进残疾人就业政府采购政策的通知》（财库[2017]141号）</w:t>
      </w:r>
      <w:r>
        <w:rPr>
          <w:rFonts w:ascii="宋体" w:hAnsi="宋体"/>
          <w:kern w:val="0"/>
          <w:szCs w:val="21"/>
        </w:rPr>
        <w:t>，监狱企业和符合条件的残疾人企业视同小型、微型企业，享受小型、微型企业评审中价格扣除的政府采购政策。</w:t>
      </w:r>
    </w:p>
    <w:p>
      <w:pPr>
        <w:widowControl/>
        <w:adjustRightInd/>
        <w:spacing w:line="440" w:lineRule="exact"/>
        <w:ind w:firstLine="420" w:firstLineChars="200"/>
        <w:rPr>
          <w:rFonts w:ascii="宋体" w:hAnsi="宋体"/>
          <w:szCs w:val="21"/>
        </w:rPr>
      </w:pPr>
      <w:r>
        <w:rPr>
          <w:rFonts w:ascii="宋体" w:hAnsi="宋体"/>
          <w:szCs w:val="21"/>
        </w:rPr>
        <w:t>（3）价格分应当采用低价优先法计算，即满足招标文件要求且投标价格最低的投标报价为评标基准价，其价格分为满分。进入详评的价格分统一按照下列公式计算：</w:t>
      </w:r>
    </w:p>
    <w:p>
      <w:pPr>
        <w:widowControl/>
        <w:tabs>
          <w:tab w:val="left" w:pos="567"/>
        </w:tabs>
        <w:adjustRightInd/>
        <w:spacing w:line="440" w:lineRule="exact"/>
        <w:ind w:firstLine="420" w:firstLineChars="200"/>
        <w:rPr>
          <w:rFonts w:ascii="宋体" w:hAnsi="宋体"/>
          <w:szCs w:val="21"/>
        </w:rPr>
      </w:pPr>
      <w:r>
        <w:rPr>
          <w:rFonts w:ascii="宋体" w:hAnsi="宋体"/>
          <w:szCs w:val="21"/>
        </w:rPr>
        <w:t>以进入评标的最低的评标报价为30分。</w:t>
      </w:r>
    </w:p>
    <w:p>
      <w:pPr>
        <w:widowControl/>
        <w:adjustRightInd/>
        <w:spacing w:line="440" w:lineRule="exact"/>
        <w:ind w:firstLine="315" w:firstLineChars="150"/>
        <w:rPr>
          <w:rFonts w:ascii="宋体" w:hAnsi="宋体"/>
          <w:bCs/>
          <w:szCs w:val="21"/>
        </w:rPr>
      </w:pPr>
      <w:r>
        <w:rPr>
          <w:rFonts w:ascii="宋体" w:hAnsi="宋体"/>
        </w:rPr>
        <mc:AlternateContent>
          <mc:Choice Requires="wps">
            <w:drawing>
              <wp:anchor distT="0" distB="0" distL="114300" distR="114300" simplePos="0" relativeHeight="251660288" behindDoc="0" locked="0" layoutInCell="1" allowOverlap="1">
                <wp:simplePos x="0" y="0"/>
                <wp:positionH relativeFrom="column">
                  <wp:posOffset>1866900</wp:posOffset>
                </wp:positionH>
                <wp:positionV relativeFrom="paragraph">
                  <wp:posOffset>234950</wp:posOffset>
                </wp:positionV>
                <wp:extent cx="2200275" cy="0"/>
                <wp:effectExtent l="0" t="0" r="0" b="0"/>
                <wp:wrapNone/>
                <wp:docPr id="3" name="直线 5"/>
                <wp:cNvGraphicFramePr/>
                <a:graphic xmlns:a="http://schemas.openxmlformats.org/drawingml/2006/main">
                  <a:graphicData uri="http://schemas.microsoft.com/office/word/2010/wordprocessingShape">
                    <wps:wsp>
                      <wps:cNvCnPr/>
                      <wps:spPr>
                        <a:xfrm>
                          <a:off x="0" y="0"/>
                          <a:ext cx="2200275" cy="0"/>
                        </a:xfrm>
                        <a:prstGeom prst="line">
                          <a:avLst/>
                        </a:prstGeom>
                        <a:ln w="9525" cap="flat" cmpd="sng">
                          <a:solidFill>
                            <a:srgbClr val="000000"/>
                          </a:solidFill>
                          <a:prstDash val="solid"/>
                          <a:miter/>
                          <a:headEnd type="none" w="med" len="med"/>
                          <a:tailEnd type="none" w="med" len="med"/>
                        </a:ln>
                        <a:effectLst/>
                      </wps:spPr>
                      <wps:bodyPr/>
                    </wps:wsp>
                  </a:graphicData>
                </a:graphic>
              </wp:anchor>
            </w:drawing>
          </mc:Choice>
          <mc:Fallback>
            <w:pict>
              <v:line id="直线 5" o:spid="_x0000_s1026" o:spt="20" style="position:absolute;left:0pt;margin-left:147pt;margin-top:18.5pt;height:0pt;width:173.25pt;z-index:251660288;mso-width-relative:page;mso-height-relative:page;" filled="f" stroked="t" coordsize="21600,21600" o:gfxdata="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3O82fdkAAAAJAQAADwAAAAAAAAABACAAAAAiAAAA&#10;ZHJzL2Rvd25yZXYueG1sUEsBAhQAFAAAAAgAh07iQJglsZnNAQAAmQMAAA4AAAAAAAAAAQAgAAAA&#10;KAEAAGRycy9lMm9Eb2MueG1sUEsFBgAAAAAGAAYAWQEAAGcFAAAAAA==&#10;">
                <v:fill on="f" focussize="0,0"/>
                <v:stroke color="#000000" joinstyle="miter"/>
                <v:imagedata o:title=""/>
                <o:lock v:ext="edit" aspectratio="f"/>
              </v:line>
            </w:pict>
          </mc:Fallback>
        </mc:AlternateContent>
      </w:r>
      <w:r>
        <w:rPr>
          <w:rFonts w:ascii="宋体" w:hAnsi="宋体"/>
          <w:bCs/>
          <w:szCs w:val="21"/>
        </w:rPr>
        <w:t>（4）价格分 =                    投标人最低评标报价        *30分</w:t>
      </w:r>
    </w:p>
    <w:p>
      <w:pPr>
        <w:widowControl/>
        <w:adjustRightInd/>
        <w:spacing w:line="440" w:lineRule="exact"/>
        <w:ind w:firstLine="315" w:firstLineChars="150"/>
        <w:rPr>
          <w:rFonts w:ascii="宋体" w:hAnsi="宋体"/>
          <w:szCs w:val="21"/>
        </w:rPr>
      </w:pPr>
      <w:r>
        <w:rPr>
          <w:rFonts w:hint="eastAsia" w:ascii="宋体" w:hAnsi="宋体"/>
          <w:szCs w:val="21"/>
        </w:rPr>
        <w:t xml:space="preserve">                                       </w:t>
      </w:r>
      <w:r>
        <w:rPr>
          <w:rFonts w:ascii="宋体" w:hAnsi="宋体"/>
          <w:szCs w:val="21"/>
        </w:rPr>
        <w:t>评标报价</w:t>
      </w:r>
    </w:p>
    <w:p>
      <w:pPr>
        <w:widowControl/>
        <w:adjustRightInd/>
        <w:spacing w:line="440" w:lineRule="exact"/>
        <w:ind w:firstLine="315" w:firstLineChars="150"/>
        <w:rPr>
          <w:rFonts w:ascii="宋体" w:hAnsi="宋体"/>
          <w:szCs w:val="21"/>
        </w:rPr>
      </w:pPr>
      <w:r>
        <w:rPr>
          <w:rFonts w:ascii="宋体" w:hAnsi="宋体"/>
          <w:szCs w:val="21"/>
        </w:rPr>
        <w:t>注：投标报价有效报价范围：投标报价应低于或等于采购预算价。投标报价不能超过项目采购预算价，超过采购预算价作无效标处理；评标委员会认为报价明显低于其企业成本的，需提供有效证明文件证明其报价合理，如不能提供的，作无效标书处理。</w:t>
      </w:r>
    </w:p>
    <w:p>
      <w:pPr>
        <w:widowControl/>
        <w:adjustRightInd/>
        <w:spacing w:line="440" w:lineRule="exact"/>
        <w:rPr>
          <w:rFonts w:hint="default" w:ascii="宋体" w:hAnsi="宋体" w:eastAsia="宋体"/>
          <w:b/>
          <w:bCs/>
          <w:szCs w:val="21"/>
          <w:lang w:val="en-US" w:eastAsia="zh-CN"/>
        </w:rPr>
      </w:pPr>
      <w:r>
        <w:rPr>
          <w:rFonts w:hint="eastAsia" w:ascii="宋体" w:hAnsi="宋体"/>
          <w:b/>
          <w:bCs/>
          <w:szCs w:val="21"/>
          <w:lang w:val="en-US" w:eastAsia="zh-CN"/>
        </w:rPr>
        <w:t>A标段：</w:t>
      </w:r>
    </w:p>
    <w:p>
      <w:pPr>
        <w:widowControl/>
        <w:adjustRightInd/>
        <w:spacing w:line="440" w:lineRule="exact"/>
        <w:rPr>
          <w:rFonts w:ascii="宋体" w:hAnsi="宋体"/>
          <w:b/>
          <w:bCs/>
          <w:szCs w:val="21"/>
        </w:rPr>
      </w:pPr>
      <w:r>
        <w:rPr>
          <w:rFonts w:hint="eastAsia" w:ascii="宋体" w:hAnsi="宋体"/>
          <w:b/>
          <w:bCs/>
          <w:szCs w:val="21"/>
        </w:rPr>
        <w:t>2、技术性能分…………………………………………………………………………………………………</w:t>
      </w:r>
      <w:r>
        <w:rPr>
          <w:rFonts w:hint="eastAsia" w:ascii="宋体" w:hAnsi="宋体"/>
          <w:b/>
          <w:bCs/>
          <w:szCs w:val="21"/>
          <w:lang w:val="en-US" w:eastAsia="zh-CN"/>
        </w:rPr>
        <w:t>38</w:t>
      </w:r>
      <w:r>
        <w:rPr>
          <w:rFonts w:hint="eastAsia" w:ascii="宋体" w:hAnsi="宋体"/>
          <w:b/>
          <w:bCs/>
          <w:szCs w:val="21"/>
        </w:rPr>
        <w:t>分</w:t>
      </w:r>
    </w:p>
    <w:p>
      <w:pPr>
        <w:widowControl/>
        <w:tabs>
          <w:tab w:val="left" w:pos="4214"/>
        </w:tabs>
        <w:adjustRightInd/>
        <w:spacing w:line="440" w:lineRule="exact"/>
        <w:rPr>
          <w:rFonts w:ascii="?????" w:hAnsi="Courier New" w:eastAsiaTheme="minorEastAsia"/>
          <w:b w:val="0"/>
          <w:bCs/>
          <w:color w:val="auto"/>
          <w:spacing w:val="-8"/>
          <w:kern w:val="0"/>
          <w:sz w:val="21"/>
          <w:szCs w:val="21"/>
        </w:rPr>
      </w:pPr>
      <w:r>
        <w:rPr>
          <w:rFonts w:hint="eastAsia" w:ascii="?????" w:hAnsi="Courier New" w:eastAsiaTheme="minorEastAsia"/>
          <w:b w:val="0"/>
          <w:bCs/>
          <w:color w:val="auto"/>
          <w:spacing w:val="-8"/>
          <w:kern w:val="0"/>
          <w:sz w:val="21"/>
          <w:szCs w:val="21"/>
        </w:rPr>
        <w:t>2.</w:t>
      </w:r>
      <w:r>
        <w:rPr>
          <w:rFonts w:ascii="?????" w:hAnsi="Courier New" w:eastAsiaTheme="minorEastAsia"/>
          <w:b w:val="0"/>
          <w:bCs/>
          <w:color w:val="auto"/>
          <w:spacing w:val="-8"/>
          <w:kern w:val="0"/>
          <w:sz w:val="21"/>
          <w:szCs w:val="21"/>
        </w:rPr>
        <w:t>1</w:t>
      </w:r>
      <w:r>
        <w:rPr>
          <w:rFonts w:hint="eastAsia" w:ascii="?????" w:hAnsi="Courier New" w:eastAsiaTheme="minorEastAsia"/>
          <w:b w:val="0"/>
          <w:bCs/>
          <w:color w:val="auto"/>
          <w:spacing w:val="-8"/>
          <w:kern w:val="0"/>
          <w:sz w:val="21"/>
          <w:szCs w:val="21"/>
        </w:rPr>
        <w:t>、为</w:t>
      </w:r>
      <w:r>
        <w:rPr>
          <w:rFonts w:ascii="?????" w:hAnsi="Courier New" w:eastAsiaTheme="minorEastAsia"/>
          <w:b w:val="0"/>
          <w:bCs/>
          <w:color w:val="auto"/>
          <w:spacing w:val="-8"/>
          <w:kern w:val="0"/>
          <w:sz w:val="21"/>
          <w:szCs w:val="21"/>
        </w:rPr>
        <w:t>保证为民救灾物资质量</w:t>
      </w:r>
      <w:r>
        <w:rPr>
          <w:rFonts w:hint="eastAsia" w:ascii="?????" w:hAnsi="Courier New" w:eastAsiaTheme="minorEastAsia"/>
          <w:b w:val="0"/>
          <w:bCs/>
          <w:color w:val="auto"/>
          <w:spacing w:val="-8"/>
          <w:kern w:val="0"/>
          <w:sz w:val="21"/>
          <w:szCs w:val="21"/>
        </w:rPr>
        <w:t>符合</w:t>
      </w:r>
      <w:r>
        <w:rPr>
          <w:rFonts w:ascii="?????" w:hAnsi="Courier New" w:eastAsiaTheme="minorEastAsia"/>
          <w:b w:val="0"/>
          <w:bCs/>
          <w:color w:val="auto"/>
          <w:spacing w:val="-8"/>
          <w:kern w:val="0"/>
          <w:sz w:val="21"/>
          <w:szCs w:val="21"/>
        </w:rPr>
        <w:t>国家</w:t>
      </w:r>
      <w:r>
        <w:rPr>
          <w:rFonts w:hint="eastAsia" w:ascii="?????" w:hAnsi="Courier New" w:eastAsiaTheme="minorEastAsia"/>
          <w:b w:val="0"/>
          <w:bCs/>
          <w:color w:val="auto"/>
          <w:spacing w:val="-8"/>
          <w:kern w:val="0"/>
          <w:sz w:val="21"/>
          <w:szCs w:val="21"/>
        </w:rPr>
        <w:t>03棉衣</w:t>
      </w:r>
      <w:r>
        <w:rPr>
          <w:rFonts w:ascii="?????" w:hAnsi="Courier New" w:eastAsiaTheme="minorEastAsia"/>
          <w:b w:val="0"/>
          <w:bCs/>
          <w:color w:val="auto"/>
          <w:spacing w:val="-8"/>
          <w:kern w:val="0"/>
          <w:sz w:val="21"/>
          <w:szCs w:val="21"/>
        </w:rPr>
        <w:t>执行标准，</w:t>
      </w:r>
      <w:r>
        <w:rPr>
          <w:rFonts w:hint="eastAsia" w:ascii="?????" w:hAnsi="Courier New" w:eastAsiaTheme="minorEastAsia"/>
          <w:b w:val="0"/>
          <w:bCs/>
          <w:color w:val="auto"/>
          <w:spacing w:val="-8"/>
          <w:kern w:val="0"/>
          <w:sz w:val="21"/>
          <w:szCs w:val="21"/>
        </w:rPr>
        <w:t>所投▲03棉衣，提供具有</w:t>
      </w:r>
      <w:r>
        <w:rPr>
          <w:rFonts w:hint="eastAsia" w:ascii="?????" w:hAnsi="Courier New" w:eastAsiaTheme="minorEastAsia"/>
          <w:b w:val="0"/>
          <w:bCs/>
          <w:color w:val="auto"/>
          <w:spacing w:val="-8"/>
          <w:kern w:val="0"/>
          <w:sz w:val="21"/>
          <w:szCs w:val="21"/>
          <w:lang w:val="en-US" w:eastAsia="zh-CN"/>
        </w:rPr>
        <w:t>检验</w:t>
      </w:r>
      <w:r>
        <w:rPr>
          <w:rFonts w:hint="eastAsia" w:ascii="?????" w:hAnsi="Courier New" w:eastAsiaTheme="minorEastAsia"/>
          <w:b w:val="0"/>
          <w:bCs/>
          <w:color w:val="auto"/>
          <w:spacing w:val="-8"/>
          <w:kern w:val="0"/>
          <w:sz w:val="21"/>
          <w:szCs w:val="21"/>
        </w:rPr>
        <w:t>检测报告予以佐证得3 分，不提供或带★号项漏项或不符不得分；</w:t>
      </w:r>
    </w:p>
    <w:p>
      <w:pPr>
        <w:widowControl/>
        <w:tabs>
          <w:tab w:val="left" w:pos="4214"/>
        </w:tabs>
        <w:adjustRightInd/>
        <w:spacing w:line="440" w:lineRule="exact"/>
        <w:rPr>
          <w:rFonts w:hint="eastAsia" w:ascii="?????" w:hAnsi="Courier New" w:eastAsiaTheme="minorEastAsia"/>
          <w:b w:val="0"/>
          <w:bCs/>
          <w:color w:val="auto"/>
          <w:spacing w:val="-8"/>
          <w:kern w:val="0"/>
          <w:sz w:val="21"/>
          <w:szCs w:val="21"/>
          <w:lang w:val="en-US" w:eastAsia="zh-CN"/>
        </w:rPr>
      </w:pPr>
      <w:r>
        <w:rPr>
          <w:rFonts w:hint="eastAsia" w:ascii="?????" w:hAnsi="Courier New" w:eastAsiaTheme="minorEastAsia"/>
          <w:b w:val="0"/>
          <w:bCs/>
          <w:color w:val="auto"/>
          <w:spacing w:val="-8"/>
          <w:kern w:val="0"/>
          <w:sz w:val="21"/>
          <w:szCs w:val="21"/>
        </w:rPr>
        <w:t>2.</w:t>
      </w:r>
      <w:r>
        <w:rPr>
          <w:rFonts w:ascii="?????" w:hAnsi="Courier New" w:eastAsiaTheme="minorEastAsia"/>
          <w:b w:val="0"/>
          <w:bCs/>
          <w:color w:val="auto"/>
          <w:spacing w:val="-8"/>
          <w:kern w:val="0"/>
          <w:sz w:val="21"/>
          <w:szCs w:val="21"/>
        </w:rPr>
        <w:t>2</w:t>
      </w:r>
      <w:r>
        <w:rPr>
          <w:rFonts w:hint="eastAsia" w:ascii="?????" w:hAnsi="Courier New" w:eastAsiaTheme="minorEastAsia"/>
          <w:b w:val="0"/>
          <w:bCs/>
          <w:color w:val="auto"/>
          <w:spacing w:val="-8"/>
          <w:kern w:val="0"/>
          <w:sz w:val="21"/>
          <w:szCs w:val="21"/>
        </w:rPr>
        <w:t>、为</w:t>
      </w:r>
      <w:r>
        <w:rPr>
          <w:rFonts w:ascii="?????" w:hAnsi="Courier New" w:eastAsiaTheme="minorEastAsia"/>
          <w:b w:val="0"/>
          <w:bCs/>
          <w:color w:val="auto"/>
          <w:spacing w:val="-8"/>
          <w:kern w:val="0"/>
          <w:sz w:val="21"/>
          <w:szCs w:val="21"/>
        </w:rPr>
        <w:t>保证为民救灾物资质量</w:t>
      </w:r>
      <w:r>
        <w:rPr>
          <w:rFonts w:hint="eastAsia" w:ascii="?????" w:hAnsi="Courier New" w:eastAsiaTheme="minorEastAsia"/>
          <w:b w:val="0"/>
          <w:bCs/>
          <w:color w:val="auto"/>
          <w:spacing w:val="-8"/>
          <w:kern w:val="0"/>
          <w:sz w:val="21"/>
          <w:szCs w:val="21"/>
        </w:rPr>
        <w:t>符合</w:t>
      </w:r>
      <w:r>
        <w:rPr>
          <w:rFonts w:ascii="?????" w:hAnsi="Courier New" w:eastAsiaTheme="minorEastAsia"/>
          <w:b w:val="0"/>
          <w:bCs/>
          <w:color w:val="auto"/>
          <w:spacing w:val="-8"/>
          <w:kern w:val="0"/>
          <w:sz w:val="21"/>
          <w:szCs w:val="21"/>
        </w:rPr>
        <w:t>国家</w:t>
      </w:r>
      <w:r>
        <w:rPr>
          <w:rFonts w:hint="eastAsia" w:ascii="?????" w:hAnsi="Courier New" w:eastAsiaTheme="minorEastAsia"/>
          <w:b w:val="0"/>
          <w:bCs/>
          <w:color w:val="auto"/>
          <w:spacing w:val="-8"/>
          <w:kern w:val="0"/>
          <w:sz w:val="21"/>
          <w:szCs w:val="21"/>
        </w:rPr>
        <w:t>蚊帐</w:t>
      </w:r>
      <w:r>
        <w:rPr>
          <w:rFonts w:ascii="?????" w:hAnsi="Courier New" w:eastAsiaTheme="minorEastAsia"/>
          <w:b w:val="0"/>
          <w:bCs/>
          <w:color w:val="auto"/>
          <w:spacing w:val="-8"/>
          <w:kern w:val="0"/>
          <w:sz w:val="21"/>
          <w:szCs w:val="21"/>
        </w:rPr>
        <w:t>执行标准</w:t>
      </w:r>
      <w:r>
        <w:rPr>
          <w:rFonts w:hint="eastAsia" w:ascii="?????" w:hAnsi="Courier New" w:eastAsiaTheme="minorEastAsia"/>
          <w:b w:val="0"/>
          <w:bCs/>
          <w:color w:val="auto"/>
          <w:spacing w:val="-8"/>
          <w:kern w:val="0"/>
          <w:sz w:val="21"/>
          <w:szCs w:val="21"/>
        </w:rPr>
        <w:t>，所投▲蚊帐，提供具有</w:t>
      </w:r>
      <w:r>
        <w:rPr>
          <w:rFonts w:hint="eastAsia" w:ascii="?????" w:hAnsi="Courier New" w:eastAsiaTheme="minorEastAsia"/>
          <w:b w:val="0"/>
          <w:bCs/>
          <w:color w:val="auto"/>
          <w:spacing w:val="-8"/>
          <w:kern w:val="0"/>
          <w:sz w:val="21"/>
          <w:szCs w:val="21"/>
          <w:lang w:val="en-US" w:eastAsia="zh-CN"/>
        </w:rPr>
        <w:t>2020年5月份以后的省级或省级以上具有检测资质的检测机构出具的检验检测报告</w:t>
      </w:r>
      <w:r>
        <w:rPr>
          <w:rFonts w:hint="eastAsia" w:ascii="?????" w:hAnsi="Courier New" w:eastAsiaTheme="minorEastAsia"/>
          <w:b w:val="0"/>
          <w:bCs/>
          <w:color w:val="auto"/>
          <w:spacing w:val="-8"/>
          <w:kern w:val="0"/>
          <w:sz w:val="21"/>
          <w:szCs w:val="21"/>
        </w:rPr>
        <w:t>得</w:t>
      </w:r>
      <w:r>
        <w:rPr>
          <w:rFonts w:hint="eastAsia" w:ascii="?????" w:hAnsi="Courier New" w:eastAsiaTheme="minorEastAsia"/>
          <w:b w:val="0"/>
          <w:bCs/>
          <w:color w:val="auto"/>
          <w:spacing w:val="-8"/>
          <w:kern w:val="0"/>
          <w:sz w:val="21"/>
          <w:szCs w:val="21"/>
          <w:lang w:val="en-US" w:eastAsia="zh-CN"/>
        </w:rPr>
        <w:t>4</w:t>
      </w:r>
      <w:r>
        <w:rPr>
          <w:rFonts w:hint="eastAsia" w:ascii="?????" w:hAnsi="Courier New" w:eastAsiaTheme="minorEastAsia"/>
          <w:b w:val="0"/>
          <w:bCs/>
          <w:color w:val="auto"/>
          <w:spacing w:val="-8"/>
          <w:kern w:val="0"/>
          <w:sz w:val="21"/>
          <w:szCs w:val="21"/>
        </w:rPr>
        <w:t>分，不提供或带★号项漏项或不符不得分</w:t>
      </w:r>
      <w:r>
        <w:rPr>
          <w:rFonts w:hint="eastAsia" w:ascii="?????" w:hAnsi="Courier New" w:eastAsiaTheme="minorEastAsia"/>
          <w:b w:val="0"/>
          <w:bCs/>
          <w:color w:val="auto"/>
          <w:spacing w:val="-8"/>
          <w:kern w:val="0"/>
          <w:sz w:val="21"/>
          <w:szCs w:val="21"/>
          <w:lang w:eastAsia="zh-CN"/>
        </w:rPr>
        <w:t>，</w:t>
      </w:r>
      <w:r>
        <w:rPr>
          <w:rFonts w:hint="eastAsia" w:ascii="?????" w:hAnsi="Courier New" w:eastAsiaTheme="minorEastAsia"/>
          <w:b w:val="0"/>
          <w:bCs/>
          <w:color w:val="auto"/>
          <w:spacing w:val="-8"/>
          <w:kern w:val="0"/>
          <w:sz w:val="21"/>
          <w:szCs w:val="21"/>
          <w:lang w:val="en-US" w:eastAsia="zh-CN"/>
        </w:rPr>
        <w:t>（需提供原件核查）；</w:t>
      </w:r>
    </w:p>
    <w:p>
      <w:pPr>
        <w:widowControl/>
        <w:tabs>
          <w:tab w:val="left" w:pos="4214"/>
        </w:tabs>
        <w:adjustRightInd/>
        <w:spacing w:line="440" w:lineRule="exact"/>
        <w:rPr>
          <w:rFonts w:hint="eastAsia" w:ascii="?????" w:hAnsi="Courier New" w:eastAsiaTheme="minorEastAsia"/>
          <w:b w:val="0"/>
          <w:bCs/>
          <w:color w:val="auto"/>
          <w:spacing w:val="-8"/>
          <w:kern w:val="0"/>
          <w:sz w:val="21"/>
          <w:szCs w:val="21"/>
          <w:lang w:val="en-US" w:eastAsia="zh-CN"/>
        </w:rPr>
      </w:pPr>
      <w:r>
        <w:rPr>
          <w:rFonts w:hint="eastAsia" w:ascii="?????" w:hAnsi="Courier New" w:eastAsiaTheme="minorEastAsia"/>
          <w:b w:val="0"/>
          <w:bCs/>
          <w:color w:val="auto"/>
          <w:spacing w:val="-8"/>
          <w:kern w:val="0"/>
          <w:sz w:val="21"/>
          <w:szCs w:val="21"/>
        </w:rPr>
        <w:t>2.</w:t>
      </w:r>
      <w:r>
        <w:rPr>
          <w:rFonts w:ascii="?????" w:hAnsi="Courier New" w:eastAsiaTheme="minorEastAsia"/>
          <w:b w:val="0"/>
          <w:bCs/>
          <w:color w:val="auto"/>
          <w:spacing w:val="-8"/>
          <w:kern w:val="0"/>
          <w:sz w:val="21"/>
          <w:szCs w:val="21"/>
        </w:rPr>
        <w:t>3</w:t>
      </w:r>
      <w:r>
        <w:rPr>
          <w:rFonts w:hint="eastAsia" w:ascii="?????" w:hAnsi="Courier New" w:eastAsiaTheme="minorEastAsia"/>
          <w:b w:val="0"/>
          <w:bCs/>
          <w:color w:val="auto"/>
          <w:spacing w:val="-8"/>
          <w:kern w:val="0"/>
          <w:sz w:val="21"/>
          <w:szCs w:val="21"/>
        </w:rPr>
        <w:t>、为</w:t>
      </w:r>
      <w:r>
        <w:rPr>
          <w:rFonts w:ascii="?????" w:hAnsi="Courier New" w:eastAsiaTheme="minorEastAsia"/>
          <w:b w:val="0"/>
          <w:bCs/>
          <w:color w:val="auto"/>
          <w:spacing w:val="-8"/>
          <w:kern w:val="0"/>
          <w:sz w:val="21"/>
          <w:szCs w:val="21"/>
        </w:rPr>
        <w:t>保证为民救灾物资质量</w:t>
      </w:r>
      <w:r>
        <w:rPr>
          <w:rFonts w:hint="eastAsia" w:ascii="?????" w:hAnsi="Courier New" w:eastAsiaTheme="minorEastAsia"/>
          <w:b w:val="0"/>
          <w:bCs/>
          <w:color w:val="auto"/>
          <w:spacing w:val="-8"/>
          <w:kern w:val="0"/>
          <w:sz w:val="21"/>
          <w:szCs w:val="21"/>
        </w:rPr>
        <w:t>符合</w:t>
      </w:r>
      <w:r>
        <w:rPr>
          <w:rFonts w:ascii="?????" w:hAnsi="Courier New" w:eastAsiaTheme="minorEastAsia"/>
          <w:b w:val="0"/>
          <w:bCs/>
          <w:color w:val="auto"/>
          <w:spacing w:val="-8"/>
          <w:kern w:val="0"/>
          <w:sz w:val="21"/>
          <w:szCs w:val="21"/>
        </w:rPr>
        <w:t>国家</w:t>
      </w:r>
      <w:r>
        <w:rPr>
          <w:rFonts w:hint="eastAsia" w:ascii="?????" w:hAnsi="Courier New" w:eastAsiaTheme="minorEastAsia"/>
          <w:b w:val="0"/>
          <w:bCs/>
          <w:color w:val="auto"/>
          <w:spacing w:val="-8"/>
          <w:kern w:val="0"/>
          <w:sz w:val="21"/>
          <w:szCs w:val="21"/>
        </w:rPr>
        <w:t>卫生衣</w:t>
      </w:r>
      <w:r>
        <w:rPr>
          <w:rFonts w:ascii="?????" w:hAnsi="Courier New" w:eastAsiaTheme="minorEastAsia"/>
          <w:b w:val="0"/>
          <w:bCs/>
          <w:color w:val="auto"/>
          <w:spacing w:val="-8"/>
          <w:kern w:val="0"/>
          <w:sz w:val="21"/>
          <w:szCs w:val="21"/>
        </w:rPr>
        <w:t>执行标准</w:t>
      </w:r>
      <w:r>
        <w:rPr>
          <w:rFonts w:hint="eastAsia" w:ascii="?????" w:hAnsi="Courier New" w:eastAsiaTheme="minorEastAsia"/>
          <w:b w:val="0"/>
          <w:bCs/>
          <w:color w:val="auto"/>
          <w:spacing w:val="-8"/>
          <w:kern w:val="0"/>
          <w:sz w:val="21"/>
          <w:szCs w:val="21"/>
        </w:rPr>
        <w:t>，所投▲卫生衣，提供具有</w:t>
      </w:r>
      <w:r>
        <w:rPr>
          <w:rFonts w:hint="eastAsia" w:ascii="?????" w:hAnsi="Courier New" w:eastAsiaTheme="minorEastAsia"/>
          <w:b w:val="0"/>
          <w:bCs/>
          <w:color w:val="auto"/>
          <w:spacing w:val="-8"/>
          <w:kern w:val="0"/>
          <w:sz w:val="21"/>
          <w:szCs w:val="21"/>
          <w:lang w:val="en-US" w:eastAsia="zh-CN"/>
        </w:rPr>
        <w:t>2020年5月份以后的省级或省级以上具有检测资质的检测机构出具的检验检测报告</w:t>
      </w:r>
      <w:r>
        <w:rPr>
          <w:rFonts w:hint="eastAsia" w:ascii="?????" w:hAnsi="Courier New" w:eastAsiaTheme="minorEastAsia"/>
          <w:b w:val="0"/>
          <w:bCs/>
          <w:color w:val="auto"/>
          <w:spacing w:val="-8"/>
          <w:kern w:val="0"/>
          <w:sz w:val="21"/>
          <w:szCs w:val="21"/>
        </w:rPr>
        <w:t>得</w:t>
      </w:r>
      <w:r>
        <w:rPr>
          <w:rFonts w:hint="eastAsia" w:ascii="?????" w:hAnsi="Courier New" w:eastAsiaTheme="minorEastAsia"/>
          <w:b w:val="0"/>
          <w:bCs/>
          <w:color w:val="auto"/>
          <w:spacing w:val="-8"/>
          <w:kern w:val="0"/>
          <w:sz w:val="21"/>
          <w:szCs w:val="21"/>
          <w:lang w:val="en-US" w:eastAsia="zh-CN"/>
        </w:rPr>
        <w:t>5</w:t>
      </w:r>
      <w:r>
        <w:rPr>
          <w:rFonts w:hint="eastAsia" w:ascii="?????" w:hAnsi="Courier New" w:eastAsiaTheme="minorEastAsia"/>
          <w:b w:val="0"/>
          <w:bCs/>
          <w:color w:val="auto"/>
          <w:spacing w:val="-8"/>
          <w:kern w:val="0"/>
          <w:sz w:val="21"/>
          <w:szCs w:val="21"/>
        </w:rPr>
        <w:t>分，不提供或带★号项漏项或不符不得分</w:t>
      </w:r>
      <w:r>
        <w:rPr>
          <w:rFonts w:hint="eastAsia" w:ascii="?????" w:hAnsi="Courier New" w:eastAsiaTheme="minorEastAsia"/>
          <w:b w:val="0"/>
          <w:bCs/>
          <w:color w:val="auto"/>
          <w:spacing w:val="-8"/>
          <w:kern w:val="0"/>
          <w:sz w:val="21"/>
          <w:szCs w:val="21"/>
          <w:lang w:eastAsia="zh-CN"/>
        </w:rPr>
        <w:t>，</w:t>
      </w:r>
      <w:r>
        <w:rPr>
          <w:rFonts w:hint="eastAsia" w:ascii="?????" w:hAnsi="Courier New" w:eastAsiaTheme="minorEastAsia"/>
          <w:b w:val="0"/>
          <w:bCs/>
          <w:color w:val="auto"/>
          <w:spacing w:val="-8"/>
          <w:kern w:val="0"/>
          <w:sz w:val="21"/>
          <w:szCs w:val="21"/>
          <w:lang w:val="en-US" w:eastAsia="zh-CN"/>
        </w:rPr>
        <w:t>（需提供原件核查）；</w:t>
      </w:r>
    </w:p>
    <w:p>
      <w:pPr>
        <w:widowControl/>
        <w:tabs>
          <w:tab w:val="left" w:pos="4214"/>
        </w:tabs>
        <w:adjustRightInd/>
        <w:spacing w:line="440" w:lineRule="exact"/>
        <w:rPr>
          <w:rFonts w:ascii="?????" w:hAnsi="Courier New" w:eastAsiaTheme="minorEastAsia"/>
          <w:b w:val="0"/>
          <w:bCs/>
          <w:color w:val="auto"/>
          <w:spacing w:val="-8"/>
          <w:kern w:val="0"/>
          <w:sz w:val="21"/>
          <w:szCs w:val="21"/>
        </w:rPr>
      </w:pPr>
      <w:r>
        <w:rPr>
          <w:rFonts w:hint="eastAsia" w:ascii="?????" w:hAnsi="Courier New" w:eastAsiaTheme="minorEastAsia"/>
          <w:b w:val="0"/>
          <w:bCs/>
          <w:color w:val="auto"/>
          <w:spacing w:val="-8"/>
          <w:kern w:val="0"/>
          <w:sz w:val="21"/>
          <w:szCs w:val="21"/>
          <w:lang w:val="en-US" w:eastAsia="zh-CN"/>
        </w:rPr>
        <w:t>2.4、</w:t>
      </w:r>
      <w:bookmarkStart w:id="29" w:name="_Hlk35503696"/>
      <w:r>
        <w:rPr>
          <w:rFonts w:hint="eastAsia" w:ascii="?????" w:hAnsi="Courier New" w:eastAsiaTheme="minorEastAsia"/>
          <w:b w:val="0"/>
          <w:bCs/>
          <w:color w:val="auto"/>
          <w:spacing w:val="-8"/>
          <w:kern w:val="0"/>
          <w:sz w:val="21"/>
          <w:szCs w:val="21"/>
          <w:lang w:val="en-US" w:eastAsia="zh-CN"/>
        </w:rPr>
        <w:t>为保证为民救灾物资质量符合国家太空衣执行标准</w:t>
      </w:r>
      <w:r>
        <w:rPr>
          <w:rFonts w:hint="eastAsia" w:ascii="?????" w:hAnsi="Courier New" w:eastAsiaTheme="minorEastAsia"/>
          <w:b w:val="0"/>
          <w:bCs/>
          <w:color w:val="auto"/>
          <w:spacing w:val="-8"/>
          <w:kern w:val="0"/>
          <w:sz w:val="21"/>
          <w:szCs w:val="21"/>
        </w:rPr>
        <w:t>，所投</w:t>
      </w:r>
      <w:bookmarkEnd w:id="29"/>
      <w:r>
        <w:rPr>
          <w:rFonts w:hint="eastAsia" w:ascii="?????" w:hAnsi="Courier New" w:eastAsiaTheme="minorEastAsia"/>
          <w:b w:val="0"/>
          <w:bCs/>
          <w:color w:val="auto"/>
          <w:spacing w:val="-8"/>
          <w:kern w:val="0"/>
          <w:sz w:val="21"/>
          <w:szCs w:val="21"/>
        </w:rPr>
        <w:t>▲太空衣</w:t>
      </w:r>
      <w:r>
        <w:rPr>
          <w:rFonts w:hint="eastAsia" w:ascii="?????" w:hAnsi="Courier New" w:eastAsiaTheme="minorEastAsia"/>
          <w:b w:val="0"/>
          <w:bCs/>
          <w:color w:val="auto"/>
          <w:spacing w:val="-8"/>
          <w:kern w:val="0"/>
          <w:sz w:val="21"/>
          <w:szCs w:val="21"/>
          <w:lang w:eastAsia="zh-CN"/>
        </w:rPr>
        <w:t>，</w:t>
      </w:r>
      <w:r>
        <w:rPr>
          <w:rFonts w:hint="eastAsia" w:ascii="?????" w:hAnsi="Courier New" w:eastAsiaTheme="minorEastAsia"/>
          <w:b w:val="0"/>
          <w:bCs/>
          <w:color w:val="auto"/>
          <w:spacing w:val="-8"/>
          <w:kern w:val="0"/>
          <w:sz w:val="21"/>
          <w:szCs w:val="21"/>
        </w:rPr>
        <w:t>提供具有</w:t>
      </w:r>
      <w:r>
        <w:rPr>
          <w:rFonts w:hint="eastAsia" w:ascii="?????" w:hAnsi="Courier New" w:eastAsiaTheme="minorEastAsia"/>
          <w:b w:val="0"/>
          <w:bCs/>
          <w:color w:val="auto"/>
          <w:spacing w:val="-8"/>
          <w:kern w:val="0"/>
          <w:sz w:val="21"/>
          <w:szCs w:val="21"/>
          <w:lang w:eastAsia="zh-CN"/>
        </w:rPr>
        <w:t>提供</w:t>
      </w:r>
      <w:r>
        <w:rPr>
          <w:rFonts w:hint="eastAsia" w:ascii="?????" w:hAnsi="Courier New" w:eastAsiaTheme="minorEastAsia"/>
          <w:b w:val="0"/>
          <w:bCs/>
          <w:color w:val="auto"/>
          <w:spacing w:val="-8"/>
          <w:kern w:val="0"/>
          <w:sz w:val="21"/>
          <w:szCs w:val="21"/>
          <w:lang w:val="en-US" w:eastAsia="zh-CN"/>
        </w:rPr>
        <w:t>2020年5月份以后的省级或省级以上具有检测资质的检测机构出具的检验检测报告</w:t>
      </w:r>
      <w:r>
        <w:rPr>
          <w:rFonts w:hint="eastAsia" w:ascii="?????" w:hAnsi="Courier New" w:eastAsiaTheme="minorEastAsia"/>
          <w:b w:val="0"/>
          <w:bCs/>
          <w:color w:val="auto"/>
          <w:spacing w:val="-8"/>
          <w:kern w:val="0"/>
          <w:sz w:val="21"/>
          <w:szCs w:val="21"/>
        </w:rPr>
        <w:t>得</w:t>
      </w:r>
      <w:r>
        <w:rPr>
          <w:rFonts w:hint="eastAsia" w:ascii="?????" w:hAnsi="Courier New" w:eastAsiaTheme="minorEastAsia"/>
          <w:b w:val="0"/>
          <w:bCs/>
          <w:color w:val="auto"/>
          <w:spacing w:val="-8"/>
          <w:kern w:val="0"/>
          <w:sz w:val="21"/>
          <w:szCs w:val="21"/>
          <w:lang w:val="en-US" w:eastAsia="zh-CN"/>
        </w:rPr>
        <w:t>4</w:t>
      </w:r>
      <w:r>
        <w:rPr>
          <w:rFonts w:hint="eastAsia" w:ascii="?????" w:hAnsi="Courier New" w:eastAsiaTheme="minorEastAsia"/>
          <w:b w:val="0"/>
          <w:bCs/>
          <w:color w:val="auto"/>
          <w:spacing w:val="-8"/>
          <w:kern w:val="0"/>
          <w:sz w:val="21"/>
          <w:szCs w:val="21"/>
        </w:rPr>
        <w:t>分，不提供或带★号项漏项或不符不得分；</w:t>
      </w:r>
      <w:r>
        <w:rPr>
          <w:rFonts w:hint="eastAsia" w:ascii="?????" w:hAnsi="Courier New" w:eastAsiaTheme="minorEastAsia"/>
          <w:b w:val="0"/>
          <w:bCs/>
          <w:color w:val="auto"/>
          <w:spacing w:val="-8"/>
          <w:kern w:val="0"/>
          <w:sz w:val="21"/>
          <w:szCs w:val="21"/>
          <w:lang w:val="en-US" w:eastAsia="zh-CN"/>
        </w:rPr>
        <w:t>（需提供原件核查）；</w:t>
      </w:r>
    </w:p>
    <w:p>
      <w:pPr>
        <w:widowControl/>
        <w:tabs>
          <w:tab w:val="left" w:pos="4214"/>
        </w:tabs>
        <w:adjustRightInd/>
        <w:spacing w:line="440" w:lineRule="exact"/>
        <w:rPr>
          <w:rFonts w:hint="eastAsia" w:ascii="?????" w:hAnsi="Courier New" w:eastAsiaTheme="minorEastAsia"/>
          <w:b w:val="0"/>
          <w:bCs/>
          <w:color w:val="auto"/>
          <w:spacing w:val="-8"/>
          <w:kern w:val="0"/>
          <w:sz w:val="21"/>
          <w:szCs w:val="21"/>
          <w:lang w:val="en-US" w:eastAsia="zh-CN"/>
        </w:rPr>
      </w:pPr>
      <w:r>
        <w:rPr>
          <w:rFonts w:hint="eastAsia" w:ascii="?????" w:hAnsi="Courier New" w:eastAsiaTheme="minorEastAsia"/>
          <w:b w:val="0"/>
          <w:bCs/>
          <w:color w:val="auto"/>
          <w:spacing w:val="-8"/>
          <w:kern w:val="0"/>
          <w:sz w:val="21"/>
          <w:szCs w:val="21"/>
        </w:rPr>
        <w:t>2.5、为</w:t>
      </w:r>
      <w:r>
        <w:rPr>
          <w:rFonts w:ascii="?????" w:hAnsi="Courier New" w:eastAsiaTheme="minorEastAsia"/>
          <w:b w:val="0"/>
          <w:bCs/>
          <w:color w:val="auto"/>
          <w:spacing w:val="-8"/>
          <w:kern w:val="0"/>
          <w:sz w:val="21"/>
          <w:szCs w:val="21"/>
        </w:rPr>
        <w:t>保证为民救灾物资质量</w:t>
      </w:r>
      <w:r>
        <w:rPr>
          <w:rFonts w:hint="eastAsia" w:ascii="?????" w:hAnsi="Courier New" w:eastAsiaTheme="minorEastAsia"/>
          <w:b w:val="0"/>
          <w:bCs/>
          <w:color w:val="auto"/>
          <w:spacing w:val="-8"/>
          <w:kern w:val="0"/>
          <w:sz w:val="21"/>
          <w:szCs w:val="21"/>
        </w:rPr>
        <w:t>符合</w:t>
      </w:r>
      <w:r>
        <w:rPr>
          <w:rFonts w:ascii="?????" w:hAnsi="Courier New" w:eastAsiaTheme="minorEastAsia"/>
          <w:b w:val="0"/>
          <w:bCs/>
          <w:color w:val="auto"/>
          <w:spacing w:val="-8"/>
          <w:kern w:val="0"/>
          <w:sz w:val="21"/>
          <w:szCs w:val="21"/>
        </w:rPr>
        <w:t>国家</w:t>
      </w:r>
      <w:r>
        <w:rPr>
          <w:rFonts w:hint="eastAsia" w:ascii="?????" w:hAnsi="Courier New" w:eastAsiaTheme="minorEastAsia"/>
          <w:b w:val="0"/>
          <w:bCs/>
          <w:color w:val="auto"/>
          <w:spacing w:val="-8"/>
          <w:kern w:val="0"/>
          <w:sz w:val="21"/>
          <w:szCs w:val="21"/>
        </w:rPr>
        <w:t>毛巾</w:t>
      </w:r>
      <w:r>
        <w:rPr>
          <w:rFonts w:ascii="?????" w:hAnsi="Courier New" w:eastAsiaTheme="minorEastAsia"/>
          <w:b w:val="0"/>
          <w:bCs/>
          <w:color w:val="auto"/>
          <w:spacing w:val="-8"/>
          <w:kern w:val="0"/>
          <w:sz w:val="21"/>
          <w:szCs w:val="21"/>
        </w:rPr>
        <w:t>执行标准</w:t>
      </w:r>
      <w:r>
        <w:rPr>
          <w:rFonts w:hint="eastAsia" w:ascii="?????" w:hAnsi="Courier New" w:eastAsiaTheme="minorEastAsia"/>
          <w:b w:val="0"/>
          <w:bCs/>
          <w:color w:val="auto"/>
          <w:spacing w:val="-8"/>
          <w:kern w:val="0"/>
          <w:sz w:val="21"/>
          <w:szCs w:val="21"/>
        </w:rPr>
        <w:t>，所投▲毛巾，提供具有</w:t>
      </w:r>
      <w:r>
        <w:rPr>
          <w:rFonts w:hint="eastAsia" w:ascii="?????" w:hAnsi="Courier New" w:eastAsiaTheme="minorEastAsia"/>
          <w:b w:val="0"/>
          <w:bCs/>
          <w:color w:val="auto"/>
          <w:spacing w:val="-8"/>
          <w:kern w:val="0"/>
          <w:sz w:val="21"/>
          <w:szCs w:val="21"/>
          <w:lang w:val="en-US" w:eastAsia="zh-CN"/>
        </w:rPr>
        <w:t>2020年5月份以后的省级或省级以上具有检测资质的检测机构出具的检验检测报告</w:t>
      </w:r>
      <w:r>
        <w:rPr>
          <w:rFonts w:hint="eastAsia" w:ascii="?????" w:hAnsi="Courier New" w:eastAsiaTheme="minorEastAsia"/>
          <w:b w:val="0"/>
          <w:bCs/>
          <w:color w:val="auto"/>
          <w:spacing w:val="-8"/>
          <w:kern w:val="0"/>
          <w:sz w:val="21"/>
          <w:szCs w:val="21"/>
        </w:rPr>
        <w:t>得</w:t>
      </w:r>
      <w:r>
        <w:rPr>
          <w:rFonts w:hint="eastAsia" w:ascii="?????" w:hAnsi="Courier New" w:eastAsiaTheme="minorEastAsia"/>
          <w:b w:val="0"/>
          <w:bCs/>
          <w:color w:val="auto"/>
          <w:spacing w:val="-8"/>
          <w:kern w:val="0"/>
          <w:sz w:val="21"/>
          <w:szCs w:val="21"/>
          <w:lang w:val="en-US" w:eastAsia="zh-CN"/>
        </w:rPr>
        <w:t>5</w:t>
      </w:r>
      <w:r>
        <w:rPr>
          <w:rFonts w:hint="eastAsia" w:ascii="?????" w:hAnsi="Courier New" w:eastAsiaTheme="minorEastAsia"/>
          <w:b w:val="0"/>
          <w:bCs/>
          <w:color w:val="auto"/>
          <w:spacing w:val="-8"/>
          <w:kern w:val="0"/>
          <w:sz w:val="21"/>
          <w:szCs w:val="21"/>
        </w:rPr>
        <w:t>分，不提供或带★号项漏项或不符不得分</w:t>
      </w:r>
      <w:r>
        <w:rPr>
          <w:rFonts w:hint="eastAsia" w:ascii="?????" w:hAnsi="Courier New" w:eastAsiaTheme="minorEastAsia"/>
          <w:b w:val="0"/>
          <w:bCs/>
          <w:color w:val="auto"/>
          <w:spacing w:val="-8"/>
          <w:kern w:val="0"/>
          <w:sz w:val="21"/>
          <w:szCs w:val="21"/>
          <w:lang w:val="en-US" w:eastAsia="zh-CN"/>
        </w:rPr>
        <w:t>（需提供原件核查）；</w:t>
      </w:r>
    </w:p>
    <w:p>
      <w:pPr>
        <w:widowControl/>
        <w:tabs>
          <w:tab w:val="left" w:pos="4214"/>
        </w:tabs>
        <w:adjustRightInd/>
        <w:spacing w:line="440" w:lineRule="exact"/>
        <w:rPr>
          <w:rFonts w:ascii="?????" w:hAnsi="Courier New" w:eastAsiaTheme="minorEastAsia"/>
          <w:b w:val="0"/>
          <w:bCs/>
          <w:color w:val="auto"/>
          <w:spacing w:val="-8"/>
          <w:kern w:val="0"/>
          <w:sz w:val="21"/>
          <w:szCs w:val="21"/>
        </w:rPr>
      </w:pPr>
      <w:r>
        <w:rPr>
          <w:rFonts w:hint="eastAsia" w:ascii="?????" w:hAnsi="Courier New" w:eastAsiaTheme="minorEastAsia"/>
          <w:b w:val="0"/>
          <w:bCs/>
          <w:color w:val="auto"/>
          <w:spacing w:val="-8"/>
          <w:kern w:val="0"/>
          <w:sz w:val="21"/>
          <w:szCs w:val="21"/>
        </w:rPr>
        <w:t>2.6、为</w:t>
      </w:r>
      <w:r>
        <w:rPr>
          <w:rFonts w:ascii="?????" w:hAnsi="Courier New" w:eastAsiaTheme="minorEastAsia"/>
          <w:b w:val="0"/>
          <w:bCs/>
          <w:color w:val="auto"/>
          <w:spacing w:val="-8"/>
          <w:kern w:val="0"/>
          <w:sz w:val="21"/>
          <w:szCs w:val="21"/>
        </w:rPr>
        <w:t>保证为民救灾物资质量</w:t>
      </w:r>
      <w:r>
        <w:rPr>
          <w:rFonts w:hint="eastAsia" w:ascii="?????" w:hAnsi="Courier New" w:eastAsiaTheme="minorEastAsia"/>
          <w:b w:val="0"/>
          <w:bCs/>
          <w:color w:val="auto"/>
          <w:spacing w:val="-8"/>
          <w:kern w:val="0"/>
          <w:sz w:val="21"/>
          <w:szCs w:val="21"/>
        </w:rPr>
        <w:t>符合</w:t>
      </w:r>
      <w:r>
        <w:rPr>
          <w:rFonts w:ascii="?????" w:hAnsi="Courier New" w:eastAsiaTheme="minorEastAsia"/>
          <w:b w:val="0"/>
          <w:bCs/>
          <w:color w:val="auto"/>
          <w:spacing w:val="-8"/>
          <w:kern w:val="0"/>
          <w:sz w:val="21"/>
          <w:szCs w:val="21"/>
        </w:rPr>
        <w:t>国家</w:t>
      </w:r>
      <w:r>
        <w:rPr>
          <w:rFonts w:hint="eastAsia" w:ascii="?????" w:hAnsi="Courier New" w:eastAsiaTheme="minorEastAsia"/>
          <w:b w:val="0"/>
          <w:bCs/>
          <w:color w:val="auto"/>
          <w:spacing w:val="-8"/>
          <w:kern w:val="0"/>
          <w:sz w:val="21"/>
          <w:szCs w:val="21"/>
        </w:rPr>
        <w:t>救生衣</w:t>
      </w:r>
      <w:r>
        <w:rPr>
          <w:rFonts w:ascii="?????" w:hAnsi="Courier New" w:eastAsiaTheme="minorEastAsia"/>
          <w:b w:val="0"/>
          <w:bCs/>
          <w:color w:val="auto"/>
          <w:spacing w:val="-8"/>
          <w:kern w:val="0"/>
          <w:sz w:val="21"/>
          <w:szCs w:val="21"/>
        </w:rPr>
        <w:t>执行标准</w:t>
      </w:r>
      <w:r>
        <w:rPr>
          <w:rFonts w:hint="eastAsia" w:ascii="?????" w:hAnsi="Courier New" w:eastAsiaTheme="minorEastAsia"/>
          <w:b w:val="0"/>
          <w:bCs/>
          <w:color w:val="auto"/>
          <w:spacing w:val="-8"/>
          <w:kern w:val="0"/>
          <w:sz w:val="21"/>
          <w:szCs w:val="21"/>
        </w:rPr>
        <w:t>，所投▲救生衣，提供具有省级单位检验检测报告得3 分，不提供或带★号项漏项或不符不得分；</w:t>
      </w:r>
    </w:p>
    <w:p>
      <w:pPr>
        <w:widowControl/>
        <w:tabs>
          <w:tab w:val="left" w:pos="4214"/>
        </w:tabs>
        <w:adjustRightInd/>
        <w:spacing w:line="440" w:lineRule="exact"/>
        <w:rPr>
          <w:rFonts w:hint="eastAsia" w:ascii="?????" w:hAnsi="Courier New" w:eastAsiaTheme="minorEastAsia"/>
          <w:b w:val="0"/>
          <w:bCs/>
          <w:color w:val="auto"/>
          <w:spacing w:val="-8"/>
          <w:kern w:val="0"/>
          <w:sz w:val="21"/>
          <w:szCs w:val="21"/>
          <w:lang w:val="en-US" w:eastAsia="zh-CN"/>
        </w:rPr>
      </w:pPr>
      <w:r>
        <w:rPr>
          <w:rFonts w:hint="eastAsia" w:ascii="?????" w:hAnsi="Courier New" w:eastAsiaTheme="minorEastAsia"/>
          <w:b w:val="0"/>
          <w:bCs/>
          <w:color w:val="auto"/>
          <w:spacing w:val="-8"/>
          <w:kern w:val="0"/>
          <w:sz w:val="21"/>
          <w:szCs w:val="21"/>
        </w:rPr>
        <w:t>2.7、为</w:t>
      </w:r>
      <w:r>
        <w:rPr>
          <w:rFonts w:ascii="?????" w:hAnsi="Courier New" w:eastAsiaTheme="minorEastAsia"/>
          <w:b w:val="0"/>
          <w:bCs/>
          <w:color w:val="auto"/>
          <w:spacing w:val="-8"/>
          <w:kern w:val="0"/>
          <w:sz w:val="21"/>
          <w:szCs w:val="21"/>
        </w:rPr>
        <w:t>保证为民救灾物资质量</w:t>
      </w:r>
      <w:r>
        <w:rPr>
          <w:rFonts w:hint="eastAsia" w:ascii="?????" w:hAnsi="Courier New" w:eastAsiaTheme="minorEastAsia"/>
          <w:b w:val="0"/>
          <w:bCs/>
          <w:color w:val="auto"/>
          <w:spacing w:val="-8"/>
          <w:kern w:val="0"/>
          <w:sz w:val="21"/>
          <w:szCs w:val="21"/>
        </w:rPr>
        <w:t>符合</w:t>
      </w:r>
      <w:r>
        <w:rPr>
          <w:rFonts w:ascii="?????" w:hAnsi="Courier New" w:eastAsiaTheme="minorEastAsia"/>
          <w:b w:val="0"/>
          <w:bCs/>
          <w:color w:val="auto"/>
          <w:spacing w:val="-8"/>
          <w:kern w:val="0"/>
          <w:sz w:val="21"/>
          <w:szCs w:val="21"/>
        </w:rPr>
        <w:t>国家</w:t>
      </w:r>
      <w:r>
        <w:rPr>
          <w:rFonts w:hint="eastAsia" w:ascii="?????" w:hAnsi="Courier New" w:eastAsiaTheme="minorEastAsia"/>
          <w:b w:val="0"/>
          <w:bCs/>
          <w:color w:val="auto"/>
          <w:spacing w:val="-8"/>
          <w:kern w:val="0"/>
          <w:sz w:val="21"/>
          <w:szCs w:val="21"/>
        </w:rPr>
        <w:t>喊话器</w:t>
      </w:r>
      <w:r>
        <w:rPr>
          <w:rFonts w:ascii="?????" w:hAnsi="Courier New" w:eastAsiaTheme="minorEastAsia"/>
          <w:b w:val="0"/>
          <w:bCs/>
          <w:color w:val="auto"/>
          <w:spacing w:val="-8"/>
          <w:kern w:val="0"/>
          <w:sz w:val="21"/>
          <w:szCs w:val="21"/>
        </w:rPr>
        <w:t>执行标准</w:t>
      </w:r>
      <w:r>
        <w:rPr>
          <w:rFonts w:hint="eastAsia" w:ascii="?????" w:hAnsi="Courier New" w:eastAsiaTheme="minorEastAsia"/>
          <w:b w:val="0"/>
          <w:bCs/>
          <w:color w:val="auto"/>
          <w:spacing w:val="-8"/>
          <w:kern w:val="0"/>
          <w:sz w:val="21"/>
          <w:szCs w:val="21"/>
          <w:lang w:eastAsia="zh-CN"/>
        </w:rPr>
        <w:t>，</w:t>
      </w:r>
      <w:r>
        <w:rPr>
          <w:rFonts w:hint="eastAsia" w:ascii="?????" w:hAnsi="Courier New" w:eastAsiaTheme="minorEastAsia"/>
          <w:b w:val="0"/>
          <w:bCs/>
          <w:color w:val="auto"/>
          <w:spacing w:val="-8"/>
          <w:kern w:val="0"/>
          <w:sz w:val="21"/>
          <w:szCs w:val="21"/>
        </w:rPr>
        <w:t>所投▲喊话器</w:t>
      </w:r>
      <w:r>
        <w:rPr>
          <w:rFonts w:hint="eastAsia" w:ascii="?????" w:hAnsi="Courier New" w:eastAsiaTheme="minorEastAsia"/>
          <w:b w:val="0"/>
          <w:bCs/>
          <w:color w:val="auto"/>
          <w:spacing w:val="-8"/>
          <w:kern w:val="0"/>
          <w:sz w:val="21"/>
          <w:szCs w:val="21"/>
          <w:lang w:eastAsia="zh-CN"/>
        </w:rPr>
        <w:t>，</w:t>
      </w:r>
      <w:r>
        <w:rPr>
          <w:rFonts w:hint="eastAsia" w:ascii="?????" w:hAnsi="Courier New" w:eastAsiaTheme="minorEastAsia"/>
          <w:b w:val="0"/>
          <w:bCs/>
          <w:color w:val="auto"/>
          <w:spacing w:val="-8"/>
          <w:kern w:val="0"/>
          <w:sz w:val="21"/>
          <w:szCs w:val="21"/>
        </w:rPr>
        <w:t>提供具有省级单位检验检测报告得3 分，不提供或带★号项漏项或不符不得分</w:t>
      </w:r>
      <w:r>
        <w:rPr>
          <w:rFonts w:hint="eastAsia" w:ascii="?????" w:hAnsi="Courier New" w:eastAsiaTheme="minorEastAsia"/>
          <w:b w:val="0"/>
          <w:bCs/>
          <w:color w:val="auto"/>
          <w:spacing w:val="-8"/>
          <w:kern w:val="0"/>
          <w:sz w:val="21"/>
          <w:szCs w:val="21"/>
          <w:lang w:val="en-US" w:eastAsia="zh-CN"/>
        </w:rPr>
        <w:t>；</w:t>
      </w:r>
    </w:p>
    <w:p>
      <w:pPr>
        <w:widowControl/>
        <w:tabs>
          <w:tab w:val="left" w:pos="4214"/>
        </w:tabs>
        <w:adjustRightInd/>
        <w:spacing w:line="440" w:lineRule="exact"/>
        <w:rPr>
          <w:rFonts w:ascii="?????" w:hAnsi="Courier New" w:eastAsiaTheme="minorEastAsia"/>
          <w:b w:val="0"/>
          <w:bCs/>
          <w:color w:val="auto"/>
          <w:spacing w:val="-8"/>
          <w:kern w:val="0"/>
          <w:sz w:val="21"/>
          <w:szCs w:val="21"/>
        </w:rPr>
      </w:pPr>
      <w:r>
        <w:rPr>
          <w:rFonts w:hint="eastAsia" w:ascii="?????" w:hAnsi="Courier New" w:eastAsiaTheme="minorEastAsia"/>
          <w:b w:val="0"/>
          <w:bCs/>
          <w:color w:val="auto"/>
          <w:spacing w:val="-8"/>
          <w:kern w:val="0"/>
          <w:sz w:val="21"/>
          <w:szCs w:val="21"/>
        </w:rPr>
        <w:t>2.8、为</w:t>
      </w:r>
      <w:r>
        <w:rPr>
          <w:rFonts w:ascii="?????" w:hAnsi="Courier New" w:eastAsiaTheme="minorEastAsia"/>
          <w:b w:val="0"/>
          <w:bCs/>
          <w:color w:val="auto"/>
          <w:spacing w:val="-8"/>
          <w:kern w:val="0"/>
          <w:sz w:val="21"/>
          <w:szCs w:val="21"/>
        </w:rPr>
        <w:t>保证为民救灾物资质量</w:t>
      </w:r>
      <w:r>
        <w:rPr>
          <w:rFonts w:hint="eastAsia" w:ascii="?????" w:hAnsi="Courier New" w:eastAsiaTheme="minorEastAsia"/>
          <w:b w:val="0"/>
          <w:bCs/>
          <w:color w:val="auto"/>
          <w:spacing w:val="-8"/>
          <w:kern w:val="0"/>
          <w:sz w:val="21"/>
          <w:szCs w:val="21"/>
        </w:rPr>
        <w:t>符合</w:t>
      </w:r>
      <w:r>
        <w:rPr>
          <w:rFonts w:ascii="?????" w:hAnsi="Courier New" w:eastAsiaTheme="minorEastAsia"/>
          <w:b w:val="0"/>
          <w:bCs/>
          <w:color w:val="auto"/>
          <w:spacing w:val="-8"/>
          <w:kern w:val="0"/>
          <w:sz w:val="21"/>
          <w:szCs w:val="21"/>
        </w:rPr>
        <w:t>国家</w:t>
      </w:r>
      <w:r>
        <w:rPr>
          <w:rFonts w:hint="eastAsia" w:ascii="?????" w:hAnsi="Courier New" w:eastAsiaTheme="minorEastAsia"/>
          <w:b w:val="0"/>
          <w:bCs/>
          <w:color w:val="auto"/>
          <w:spacing w:val="-8"/>
          <w:kern w:val="0"/>
          <w:sz w:val="21"/>
          <w:szCs w:val="21"/>
        </w:rPr>
        <w:t>背囊</w:t>
      </w:r>
      <w:r>
        <w:rPr>
          <w:rFonts w:ascii="?????" w:hAnsi="Courier New" w:eastAsiaTheme="minorEastAsia"/>
          <w:b w:val="0"/>
          <w:bCs/>
          <w:color w:val="auto"/>
          <w:spacing w:val="-8"/>
          <w:kern w:val="0"/>
          <w:sz w:val="21"/>
          <w:szCs w:val="21"/>
        </w:rPr>
        <w:t>执行标准</w:t>
      </w:r>
      <w:r>
        <w:rPr>
          <w:rFonts w:hint="eastAsia" w:ascii="?????" w:hAnsi="Courier New" w:eastAsiaTheme="minorEastAsia"/>
          <w:b w:val="0"/>
          <w:bCs/>
          <w:color w:val="auto"/>
          <w:spacing w:val="-8"/>
          <w:kern w:val="0"/>
          <w:sz w:val="21"/>
          <w:szCs w:val="21"/>
        </w:rPr>
        <w:t>，所投▲背囊，提供具有</w:t>
      </w:r>
      <w:r>
        <w:rPr>
          <w:rFonts w:hint="eastAsia" w:ascii="?????" w:hAnsi="Courier New" w:eastAsiaTheme="minorEastAsia"/>
          <w:b w:val="0"/>
          <w:bCs/>
          <w:color w:val="auto"/>
          <w:spacing w:val="-8"/>
          <w:kern w:val="0"/>
          <w:sz w:val="21"/>
          <w:szCs w:val="21"/>
          <w:lang w:val="en-US" w:eastAsia="zh-CN"/>
        </w:rPr>
        <w:t>2020年5月份以后的省级或省级以上具有检测资质的检测机构出具的检验检测报告</w:t>
      </w:r>
      <w:r>
        <w:rPr>
          <w:rFonts w:hint="eastAsia" w:ascii="?????" w:hAnsi="Courier New" w:eastAsiaTheme="minorEastAsia"/>
          <w:b w:val="0"/>
          <w:bCs/>
          <w:color w:val="auto"/>
          <w:spacing w:val="-8"/>
          <w:kern w:val="0"/>
          <w:sz w:val="21"/>
          <w:szCs w:val="21"/>
        </w:rPr>
        <w:t>得</w:t>
      </w:r>
      <w:r>
        <w:rPr>
          <w:rFonts w:hint="eastAsia" w:ascii="?????" w:hAnsi="Courier New" w:eastAsiaTheme="minorEastAsia"/>
          <w:b w:val="0"/>
          <w:bCs/>
          <w:color w:val="auto"/>
          <w:spacing w:val="-8"/>
          <w:kern w:val="0"/>
          <w:sz w:val="21"/>
          <w:szCs w:val="21"/>
          <w:lang w:val="en-US" w:eastAsia="zh-CN"/>
        </w:rPr>
        <w:t>5</w:t>
      </w:r>
      <w:r>
        <w:rPr>
          <w:rFonts w:hint="eastAsia" w:ascii="?????" w:hAnsi="Courier New" w:eastAsiaTheme="minorEastAsia"/>
          <w:b w:val="0"/>
          <w:bCs/>
          <w:color w:val="auto"/>
          <w:spacing w:val="-8"/>
          <w:kern w:val="0"/>
          <w:sz w:val="21"/>
          <w:szCs w:val="21"/>
        </w:rPr>
        <w:t>分，不提供或带★号项漏项或不符不得分</w:t>
      </w:r>
      <w:r>
        <w:rPr>
          <w:rFonts w:hint="eastAsia" w:ascii="?????" w:hAnsi="Courier New" w:eastAsiaTheme="minorEastAsia"/>
          <w:b w:val="0"/>
          <w:bCs/>
          <w:color w:val="auto"/>
          <w:spacing w:val="-8"/>
          <w:kern w:val="0"/>
          <w:sz w:val="21"/>
          <w:szCs w:val="21"/>
          <w:lang w:eastAsia="zh-CN"/>
        </w:rPr>
        <w:t>（</w:t>
      </w:r>
      <w:r>
        <w:rPr>
          <w:rFonts w:hint="eastAsia" w:ascii="?????" w:hAnsi="Courier New" w:eastAsiaTheme="minorEastAsia"/>
          <w:b w:val="0"/>
          <w:bCs/>
          <w:color w:val="auto"/>
          <w:spacing w:val="-8"/>
          <w:kern w:val="0"/>
          <w:sz w:val="21"/>
          <w:szCs w:val="21"/>
          <w:lang w:val="en-US" w:eastAsia="zh-CN"/>
        </w:rPr>
        <w:t>需提供原件核查</w:t>
      </w:r>
      <w:r>
        <w:rPr>
          <w:rFonts w:hint="eastAsia" w:ascii="?????" w:hAnsi="Courier New" w:eastAsiaTheme="minorEastAsia"/>
          <w:b w:val="0"/>
          <w:bCs/>
          <w:color w:val="auto"/>
          <w:spacing w:val="-8"/>
          <w:kern w:val="0"/>
          <w:sz w:val="21"/>
          <w:szCs w:val="21"/>
          <w:lang w:eastAsia="zh-CN"/>
        </w:rPr>
        <w:t>）</w:t>
      </w:r>
      <w:r>
        <w:rPr>
          <w:rFonts w:hint="eastAsia" w:ascii="?????" w:hAnsi="Courier New" w:eastAsiaTheme="minorEastAsia"/>
          <w:b w:val="0"/>
          <w:bCs/>
          <w:color w:val="auto"/>
          <w:spacing w:val="-8"/>
          <w:kern w:val="0"/>
          <w:sz w:val="21"/>
          <w:szCs w:val="21"/>
        </w:rPr>
        <w:t>；</w:t>
      </w:r>
    </w:p>
    <w:p>
      <w:pPr>
        <w:widowControl/>
        <w:tabs>
          <w:tab w:val="left" w:pos="4214"/>
        </w:tabs>
        <w:adjustRightInd/>
        <w:spacing w:line="440" w:lineRule="exact"/>
        <w:rPr>
          <w:rFonts w:ascii="?????" w:hAnsi="Courier New" w:eastAsiaTheme="minorEastAsia"/>
          <w:b w:val="0"/>
          <w:bCs/>
          <w:color w:val="auto"/>
          <w:spacing w:val="-8"/>
          <w:kern w:val="0"/>
          <w:sz w:val="21"/>
          <w:szCs w:val="21"/>
        </w:rPr>
      </w:pPr>
      <w:r>
        <w:rPr>
          <w:rFonts w:hint="eastAsia" w:ascii="?????" w:hAnsi="Courier New" w:eastAsiaTheme="minorEastAsia"/>
          <w:b w:val="0"/>
          <w:bCs/>
          <w:color w:val="auto"/>
          <w:spacing w:val="-8"/>
          <w:kern w:val="0"/>
          <w:sz w:val="21"/>
          <w:szCs w:val="21"/>
        </w:rPr>
        <w:t>2.</w:t>
      </w:r>
      <w:r>
        <w:rPr>
          <w:rFonts w:hint="eastAsia" w:ascii="?????" w:hAnsi="Courier New" w:eastAsiaTheme="minorEastAsia"/>
          <w:b w:val="0"/>
          <w:bCs/>
          <w:color w:val="auto"/>
          <w:spacing w:val="-8"/>
          <w:kern w:val="0"/>
          <w:sz w:val="21"/>
          <w:szCs w:val="21"/>
          <w:lang w:val="en-US" w:eastAsia="zh-CN"/>
        </w:rPr>
        <w:t>9</w:t>
      </w:r>
      <w:r>
        <w:rPr>
          <w:rFonts w:hint="eastAsia" w:ascii="?????" w:hAnsi="Courier New" w:eastAsiaTheme="minorEastAsia"/>
          <w:b w:val="0"/>
          <w:bCs/>
          <w:color w:val="auto"/>
          <w:spacing w:val="-8"/>
          <w:kern w:val="0"/>
          <w:sz w:val="21"/>
          <w:szCs w:val="21"/>
        </w:rPr>
        <w:t>、为</w:t>
      </w:r>
      <w:r>
        <w:rPr>
          <w:rFonts w:ascii="?????" w:hAnsi="Courier New" w:eastAsiaTheme="minorEastAsia"/>
          <w:b w:val="0"/>
          <w:bCs/>
          <w:color w:val="auto"/>
          <w:spacing w:val="-8"/>
          <w:kern w:val="0"/>
          <w:sz w:val="21"/>
          <w:szCs w:val="21"/>
        </w:rPr>
        <w:t>保证为民救灾物资质量</w:t>
      </w:r>
      <w:r>
        <w:rPr>
          <w:rFonts w:hint="eastAsia" w:ascii="?????" w:hAnsi="Courier New" w:eastAsiaTheme="minorEastAsia"/>
          <w:b w:val="0"/>
          <w:bCs/>
          <w:color w:val="auto"/>
          <w:spacing w:val="-8"/>
          <w:kern w:val="0"/>
          <w:sz w:val="21"/>
          <w:szCs w:val="21"/>
        </w:rPr>
        <w:t>符合</w:t>
      </w:r>
      <w:r>
        <w:rPr>
          <w:rFonts w:ascii="?????" w:hAnsi="Courier New" w:eastAsiaTheme="minorEastAsia"/>
          <w:b w:val="0"/>
          <w:bCs/>
          <w:color w:val="auto"/>
          <w:spacing w:val="-8"/>
          <w:kern w:val="0"/>
          <w:sz w:val="21"/>
          <w:szCs w:val="21"/>
        </w:rPr>
        <w:t>国家</w:t>
      </w:r>
      <w:r>
        <w:rPr>
          <w:rFonts w:hint="eastAsia" w:ascii="?????" w:hAnsi="Courier New" w:eastAsiaTheme="minorEastAsia"/>
          <w:b w:val="0"/>
          <w:bCs/>
          <w:color w:val="auto"/>
          <w:spacing w:val="-8"/>
          <w:kern w:val="0"/>
          <w:sz w:val="21"/>
          <w:szCs w:val="21"/>
        </w:rPr>
        <w:t>对讲机</w:t>
      </w:r>
      <w:r>
        <w:rPr>
          <w:rFonts w:ascii="?????" w:hAnsi="Courier New" w:eastAsiaTheme="minorEastAsia"/>
          <w:b w:val="0"/>
          <w:bCs/>
          <w:color w:val="auto"/>
          <w:spacing w:val="-8"/>
          <w:kern w:val="0"/>
          <w:sz w:val="21"/>
          <w:szCs w:val="21"/>
        </w:rPr>
        <w:t>执行标准</w:t>
      </w:r>
      <w:r>
        <w:rPr>
          <w:rFonts w:hint="eastAsia" w:ascii="?????" w:hAnsi="Courier New" w:eastAsiaTheme="minorEastAsia"/>
          <w:b w:val="0"/>
          <w:bCs/>
          <w:color w:val="auto"/>
          <w:spacing w:val="-8"/>
          <w:kern w:val="0"/>
          <w:sz w:val="21"/>
          <w:szCs w:val="21"/>
        </w:rPr>
        <w:t>，所投▲对讲机，提供具有公安部检测中心出具的设备检测报告，并具有防爆电气设备防爆合格证</w:t>
      </w:r>
      <w:r>
        <w:rPr>
          <w:rFonts w:hint="eastAsia" w:ascii="?????" w:hAnsi="Courier New" w:eastAsiaTheme="minorEastAsia"/>
          <w:b w:val="0"/>
          <w:bCs/>
          <w:color w:val="auto"/>
          <w:spacing w:val="-8"/>
          <w:kern w:val="0"/>
          <w:sz w:val="21"/>
          <w:szCs w:val="21"/>
          <w:lang w:eastAsia="zh-CN"/>
        </w:rPr>
        <w:t>，</w:t>
      </w:r>
      <w:r>
        <w:rPr>
          <w:rFonts w:hint="eastAsia" w:ascii="?????" w:hAnsi="Courier New" w:eastAsiaTheme="minorEastAsia"/>
          <w:b w:val="0"/>
          <w:bCs/>
          <w:color w:val="auto"/>
          <w:spacing w:val="-8"/>
          <w:kern w:val="0"/>
          <w:sz w:val="21"/>
          <w:szCs w:val="21"/>
        </w:rPr>
        <w:t>检验检测报告予以佐证得3 分，不提供或带★号项漏项或不符不得分；</w:t>
      </w:r>
    </w:p>
    <w:p>
      <w:pPr>
        <w:widowControl/>
        <w:tabs>
          <w:tab w:val="left" w:pos="4214"/>
        </w:tabs>
        <w:adjustRightInd/>
        <w:spacing w:line="440" w:lineRule="exact"/>
        <w:rPr>
          <w:rFonts w:ascii="?????" w:hAnsi="Courier New" w:eastAsiaTheme="minorEastAsia"/>
          <w:b w:val="0"/>
          <w:bCs/>
          <w:color w:val="auto"/>
          <w:spacing w:val="-8"/>
          <w:kern w:val="0"/>
          <w:sz w:val="21"/>
          <w:szCs w:val="21"/>
        </w:rPr>
      </w:pPr>
      <w:r>
        <w:rPr>
          <w:rFonts w:hint="eastAsia" w:ascii="?????" w:hAnsi="Courier New" w:eastAsiaTheme="minorEastAsia"/>
          <w:b w:val="0"/>
          <w:bCs/>
          <w:color w:val="auto"/>
          <w:spacing w:val="-8"/>
          <w:kern w:val="0"/>
          <w:sz w:val="21"/>
          <w:szCs w:val="21"/>
        </w:rPr>
        <w:t>2.</w:t>
      </w:r>
      <w:r>
        <w:rPr>
          <w:rFonts w:hint="eastAsia" w:ascii="?????" w:hAnsi="Courier New" w:eastAsiaTheme="minorEastAsia"/>
          <w:b w:val="0"/>
          <w:bCs/>
          <w:color w:val="auto"/>
          <w:spacing w:val="-8"/>
          <w:kern w:val="0"/>
          <w:sz w:val="21"/>
          <w:szCs w:val="21"/>
          <w:lang w:val="en-US" w:eastAsia="zh-CN"/>
        </w:rPr>
        <w:t>10</w:t>
      </w:r>
      <w:r>
        <w:rPr>
          <w:rFonts w:hint="eastAsia" w:ascii="?????" w:hAnsi="Courier New" w:eastAsiaTheme="minorEastAsia"/>
          <w:b w:val="0"/>
          <w:bCs/>
          <w:color w:val="auto"/>
          <w:spacing w:val="-8"/>
          <w:kern w:val="0"/>
          <w:sz w:val="21"/>
          <w:szCs w:val="21"/>
        </w:rPr>
        <w:t>、为</w:t>
      </w:r>
      <w:r>
        <w:rPr>
          <w:rFonts w:ascii="?????" w:hAnsi="Courier New" w:eastAsiaTheme="minorEastAsia"/>
          <w:b w:val="0"/>
          <w:bCs/>
          <w:color w:val="auto"/>
          <w:spacing w:val="-8"/>
          <w:kern w:val="0"/>
          <w:sz w:val="21"/>
          <w:szCs w:val="21"/>
        </w:rPr>
        <w:t>保证为民救灾物资质量</w:t>
      </w:r>
      <w:r>
        <w:rPr>
          <w:rFonts w:hint="eastAsia" w:ascii="?????" w:hAnsi="Courier New" w:eastAsiaTheme="minorEastAsia"/>
          <w:b w:val="0"/>
          <w:bCs/>
          <w:color w:val="auto"/>
          <w:spacing w:val="-8"/>
          <w:kern w:val="0"/>
          <w:sz w:val="21"/>
          <w:szCs w:val="21"/>
        </w:rPr>
        <w:t>符合</w:t>
      </w:r>
      <w:r>
        <w:rPr>
          <w:rFonts w:ascii="?????" w:hAnsi="Courier New" w:eastAsiaTheme="minorEastAsia"/>
          <w:b w:val="0"/>
          <w:bCs/>
          <w:color w:val="auto"/>
          <w:spacing w:val="-8"/>
          <w:kern w:val="0"/>
          <w:sz w:val="21"/>
          <w:szCs w:val="21"/>
        </w:rPr>
        <w:t>国家</w:t>
      </w:r>
      <w:r>
        <w:rPr>
          <w:rFonts w:hint="eastAsia" w:ascii="?????" w:hAnsi="Courier New" w:eastAsiaTheme="minorEastAsia"/>
          <w:b w:val="0"/>
          <w:bCs/>
          <w:color w:val="auto"/>
          <w:spacing w:val="-8"/>
          <w:kern w:val="0"/>
          <w:sz w:val="21"/>
          <w:szCs w:val="21"/>
        </w:rPr>
        <w:t>饭盒</w:t>
      </w:r>
      <w:r>
        <w:rPr>
          <w:rFonts w:ascii="?????" w:hAnsi="Courier New" w:eastAsiaTheme="minorEastAsia"/>
          <w:b w:val="0"/>
          <w:bCs/>
          <w:color w:val="auto"/>
          <w:spacing w:val="-8"/>
          <w:kern w:val="0"/>
          <w:sz w:val="21"/>
          <w:szCs w:val="21"/>
        </w:rPr>
        <w:t>执行标准</w:t>
      </w:r>
      <w:r>
        <w:rPr>
          <w:rFonts w:hint="eastAsia" w:ascii="?????" w:hAnsi="Courier New" w:eastAsiaTheme="minorEastAsia"/>
          <w:b w:val="0"/>
          <w:bCs/>
          <w:color w:val="auto"/>
          <w:spacing w:val="-8"/>
          <w:kern w:val="0"/>
          <w:sz w:val="21"/>
          <w:szCs w:val="21"/>
        </w:rPr>
        <w:t>，所投▲饭盒，提供具有检验检测报告予以佐证得3 分，不提供或带★号项漏项或不符不得分；</w:t>
      </w:r>
    </w:p>
    <w:p>
      <w:pPr>
        <w:widowControl/>
        <w:tabs>
          <w:tab w:val="left" w:pos="4214"/>
        </w:tabs>
        <w:adjustRightInd/>
        <w:spacing w:line="440" w:lineRule="exact"/>
        <w:rPr>
          <w:rFonts w:ascii="宋体" w:hAnsi="宋体"/>
          <w:b/>
          <w:bCs/>
          <w:color w:val="auto"/>
          <w:szCs w:val="20"/>
        </w:rPr>
      </w:pPr>
      <w:r>
        <w:rPr>
          <w:rFonts w:ascii="宋体" w:hAnsi="宋体"/>
          <w:b/>
          <w:bCs/>
          <w:color w:val="auto"/>
          <w:szCs w:val="20"/>
        </w:rPr>
        <w:t>3、项目</w:t>
      </w:r>
      <w:r>
        <w:rPr>
          <w:rFonts w:hint="eastAsia" w:ascii="宋体" w:hAnsi="宋体"/>
          <w:b/>
          <w:bCs/>
          <w:color w:val="auto"/>
          <w:szCs w:val="20"/>
        </w:rPr>
        <w:t>实施</w:t>
      </w:r>
      <w:r>
        <w:rPr>
          <w:rFonts w:ascii="宋体" w:hAnsi="宋体"/>
          <w:b/>
          <w:bCs/>
          <w:color w:val="auto"/>
          <w:szCs w:val="20"/>
        </w:rPr>
        <w:t>方案</w:t>
      </w:r>
      <w:r>
        <w:rPr>
          <w:rFonts w:hint="eastAsia" w:ascii="宋体" w:hAnsi="宋体"/>
          <w:b/>
          <w:bCs/>
          <w:color w:val="auto"/>
          <w:szCs w:val="20"/>
        </w:rPr>
        <w:t>分</w:t>
      </w:r>
      <w:r>
        <w:rPr>
          <w:rFonts w:ascii="宋体" w:hAnsi="宋体"/>
          <w:b/>
          <w:bCs/>
          <w:color w:val="auto"/>
          <w:szCs w:val="20"/>
        </w:rPr>
        <w:t>…</w:t>
      </w:r>
      <w:r>
        <w:rPr>
          <w:rFonts w:hint="eastAsia" w:ascii="宋体" w:hAnsi="宋体"/>
          <w:b/>
          <w:bCs/>
          <w:color w:val="auto"/>
          <w:szCs w:val="21"/>
        </w:rPr>
        <w:t>……………………………………</w:t>
      </w:r>
      <w:r>
        <w:rPr>
          <w:rFonts w:ascii="宋体" w:hAnsi="宋体"/>
          <w:b/>
          <w:bCs/>
          <w:color w:val="auto"/>
          <w:szCs w:val="20"/>
        </w:rPr>
        <w:t>………………………………………………满分</w:t>
      </w:r>
      <w:r>
        <w:rPr>
          <w:rFonts w:hint="eastAsia" w:ascii="宋体" w:hAnsi="宋体"/>
          <w:b/>
          <w:bCs/>
          <w:color w:val="auto"/>
          <w:szCs w:val="20"/>
          <w:lang w:val="en-US" w:eastAsia="zh-CN"/>
        </w:rPr>
        <w:t>15</w:t>
      </w:r>
      <w:r>
        <w:rPr>
          <w:rFonts w:ascii="宋体" w:hAnsi="宋体"/>
          <w:b/>
          <w:bCs/>
          <w:color w:val="auto"/>
          <w:szCs w:val="20"/>
        </w:rPr>
        <w:t>分</w:t>
      </w:r>
    </w:p>
    <w:p>
      <w:pPr>
        <w:widowControl/>
        <w:tabs>
          <w:tab w:val="left" w:pos="1170"/>
        </w:tabs>
        <w:adjustRightInd/>
        <w:spacing w:line="440" w:lineRule="exact"/>
        <w:ind w:firstLine="420" w:firstLineChars="200"/>
        <w:jc w:val="left"/>
        <w:rPr>
          <w:rFonts w:ascii="宋体" w:hAnsi="宋体"/>
          <w:color w:val="auto"/>
          <w:szCs w:val="21"/>
        </w:rPr>
      </w:pPr>
      <w:r>
        <w:rPr>
          <w:rFonts w:ascii="宋体" w:hAnsi="宋体"/>
          <w:color w:val="auto"/>
          <w:szCs w:val="21"/>
        </w:rPr>
        <w:t>由评标委员会根据各供应商提供《项目实施方案》（</w:t>
      </w:r>
      <w:r>
        <w:rPr>
          <w:rFonts w:hint="eastAsia" w:ascii="宋体" w:hAnsi="宋体"/>
          <w:color w:val="auto"/>
          <w:szCs w:val="21"/>
        </w:rPr>
        <w:t>如质量保障措施</w:t>
      </w:r>
      <w:r>
        <w:rPr>
          <w:rFonts w:ascii="宋体" w:hAnsi="宋体"/>
          <w:color w:val="auto"/>
          <w:szCs w:val="21"/>
        </w:rPr>
        <w:t>、保证工期等内容）进行比较，集中讨论各供应商所属档次，在相应档次内打分。</w:t>
      </w:r>
    </w:p>
    <w:p>
      <w:pPr>
        <w:widowControl/>
        <w:tabs>
          <w:tab w:val="left" w:pos="1170"/>
        </w:tabs>
        <w:adjustRightInd/>
        <w:spacing w:line="440" w:lineRule="exact"/>
        <w:ind w:firstLine="420" w:firstLineChars="200"/>
        <w:jc w:val="left"/>
        <w:rPr>
          <w:rFonts w:ascii="宋体" w:hAnsi="宋体"/>
          <w:color w:val="auto"/>
          <w:szCs w:val="21"/>
        </w:rPr>
      </w:pPr>
      <w:r>
        <w:rPr>
          <w:rFonts w:ascii="宋体" w:hAnsi="宋体"/>
          <w:color w:val="auto"/>
          <w:szCs w:val="21"/>
        </w:rPr>
        <w:t>一档（</w:t>
      </w:r>
      <w:r>
        <w:rPr>
          <w:rFonts w:hint="eastAsia" w:ascii="宋体" w:hAnsi="宋体"/>
          <w:color w:val="auto"/>
          <w:szCs w:val="21"/>
          <w:lang w:val="en-US" w:eastAsia="zh-CN"/>
        </w:rPr>
        <w:t>5</w:t>
      </w:r>
      <w:r>
        <w:rPr>
          <w:rFonts w:ascii="宋体" w:hAnsi="宋体"/>
          <w:color w:val="auto"/>
          <w:szCs w:val="21"/>
        </w:rPr>
        <w:t>分）：</w:t>
      </w:r>
      <w:r>
        <w:rPr>
          <w:rFonts w:hint="eastAsia" w:ascii="宋体" w:hAnsi="宋体"/>
          <w:color w:val="auto"/>
          <w:szCs w:val="21"/>
        </w:rPr>
        <w:t>提供了简单的项目实施方案，方案基本满足采购文件要求；</w:t>
      </w:r>
    </w:p>
    <w:p>
      <w:pPr>
        <w:widowControl/>
        <w:tabs>
          <w:tab w:val="left" w:pos="1170"/>
        </w:tabs>
        <w:adjustRightInd/>
        <w:spacing w:line="440" w:lineRule="exact"/>
        <w:ind w:firstLine="420" w:firstLineChars="200"/>
        <w:jc w:val="left"/>
        <w:rPr>
          <w:rFonts w:ascii="宋体" w:hAnsi="宋体"/>
          <w:color w:val="auto"/>
          <w:szCs w:val="21"/>
        </w:rPr>
      </w:pPr>
      <w:r>
        <w:rPr>
          <w:rFonts w:ascii="宋体" w:hAnsi="宋体"/>
          <w:color w:val="auto"/>
          <w:szCs w:val="21"/>
        </w:rPr>
        <w:t>二档</w:t>
      </w:r>
      <w:r>
        <w:rPr>
          <w:rFonts w:hint="eastAsia" w:ascii="宋体" w:hAnsi="宋体"/>
          <w:color w:val="auto"/>
          <w:szCs w:val="21"/>
        </w:rPr>
        <w:t>（</w:t>
      </w:r>
      <w:r>
        <w:rPr>
          <w:rFonts w:hint="eastAsia" w:ascii="宋体" w:hAnsi="宋体"/>
          <w:color w:val="auto"/>
          <w:szCs w:val="21"/>
          <w:lang w:val="en-US" w:eastAsia="zh-CN"/>
        </w:rPr>
        <w:t>10</w:t>
      </w:r>
      <w:r>
        <w:rPr>
          <w:rFonts w:ascii="宋体" w:hAnsi="宋体"/>
          <w:color w:val="auto"/>
          <w:szCs w:val="21"/>
        </w:rPr>
        <w:t>分</w:t>
      </w:r>
      <w:r>
        <w:rPr>
          <w:rFonts w:hint="eastAsia" w:ascii="宋体" w:hAnsi="宋体"/>
          <w:color w:val="auto"/>
          <w:szCs w:val="21"/>
        </w:rPr>
        <w:t>）</w:t>
      </w:r>
      <w:r>
        <w:rPr>
          <w:rFonts w:ascii="宋体" w:hAnsi="宋体"/>
          <w:color w:val="auto"/>
          <w:szCs w:val="21"/>
        </w:rPr>
        <w:t>：</w:t>
      </w:r>
      <w:r>
        <w:rPr>
          <w:rFonts w:hint="eastAsia" w:ascii="宋体" w:hAnsi="宋体"/>
          <w:color w:val="auto"/>
          <w:szCs w:val="21"/>
        </w:rPr>
        <w:t>提供了较为具体的项目实施方案，对项目工作任务有简单的分析，简单描述了项目实施方式，具有可行性，方案满足采购文件要求。</w:t>
      </w:r>
    </w:p>
    <w:p>
      <w:pPr>
        <w:widowControl/>
        <w:tabs>
          <w:tab w:val="left" w:pos="1170"/>
        </w:tabs>
        <w:adjustRightInd/>
        <w:spacing w:line="440" w:lineRule="exact"/>
        <w:ind w:firstLine="420" w:firstLineChars="200"/>
        <w:jc w:val="left"/>
        <w:rPr>
          <w:rFonts w:ascii="宋体" w:hAnsi="宋体"/>
          <w:color w:val="auto"/>
          <w:szCs w:val="21"/>
        </w:rPr>
      </w:pPr>
      <w:r>
        <w:rPr>
          <w:rFonts w:hint="eastAsia" w:ascii="宋体" w:hAnsi="宋体"/>
          <w:color w:val="auto"/>
          <w:szCs w:val="21"/>
        </w:rPr>
        <w:t>三挡（</w:t>
      </w:r>
      <w:r>
        <w:rPr>
          <w:rFonts w:hint="eastAsia" w:ascii="宋体" w:hAnsi="宋体"/>
          <w:color w:val="auto"/>
          <w:szCs w:val="21"/>
          <w:lang w:val="en-US" w:eastAsia="zh-CN"/>
        </w:rPr>
        <w:t>15</w:t>
      </w:r>
      <w:r>
        <w:rPr>
          <w:rFonts w:hint="eastAsia" w:ascii="宋体" w:hAnsi="宋体"/>
          <w:color w:val="auto"/>
          <w:szCs w:val="21"/>
        </w:rPr>
        <w:t>分）提供了项目具体项目实施方案，对项目工作任务有详细的分析，较详细描述了项目的实现方式，对项目工作任务有详细的分析，实施方案描述详细、质量保障措施切实可行，能详细列明项目组织实施计划、验收计划、质量保证，有完善、合理的安装日程表等，可操作性强的。</w:t>
      </w:r>
    </w:p>
    <w:p>
      <w:pPr>
        <w:widowControl/>
        <w:tabs>
          <w:tab w:val="left" w:pos="4214"/>
        </w:tabs>
        <w:adjustRightInd/>
        <w:spacing w:line="440" w:lineRule="exact"/>
        <w:rPr>
          <w:rFonts w:ascii="宋体" w:hAnsi="宋体" w:cs="宋体"/>
          <w:b/>
          <w:bCs/>
          <w:color w:val="auto"/>
          <w:szCs w:val="21"/>
          <w:lang w:val="zh-CN" w:bidi="zh-CN"/>
        </w:rPr>
      </w:pPr>
      <w:r>
        <w:rPr>
          <w:rFonts w:hint="eastAsia" w:ascii="宋体" w:hAnsi="宋体" w:cs="宋体"/>
          <w:b/>
          <w:bCs/>
          <w:color w:val="auto"/>
          <w:szCs w:val="21"/>
          <w:lang w:bidi="zh-CN"/>
        </w:rPr>
        <w:t>4</w:t>
      </w:r>
      <w:r>
        <w:rPr>
          <w:rFonts w:ascii="宋体" w:hAnsi="宋体" w:cs="宋体"/>
          <w:b/>
          <w:bCs/>
          <w:color w:val="auto"/>
          <w:szCs w:val="21"/>
          <w:lang w:val="zh-CN" w:bidi="zh-CN"/>
        </w:rPr>
        <w:t>、</w:t>
      </w:r>
      <w:r>
        <w:rPr>
          <w:rFonts w:ascii="宋体" w:hAnsi="宋体" w:cs="宋体"/>
          <w:b/>
          <w:bCs/>
          <w:color w:val="auto"/>
          <w:szCs w:val="21"/>
          <w:lang w:bidi="zh-CN"/>
        </w:rPr>
        <w:t>售后服务</w:t>
      </w:r>
      <w:r>
        <w:rPr>
          <w:rFonts w:hint="eastAsia" w:ascii="宋体" w:hAnsi="宋体" w:cs="宋体"/>
          <w:b/>
          <w:bCs/>
          <w:color w:val="auto"/>
          <w:szCs w:val="21"/>
          <w:lang w:bidi="zh-CN"/>
        </w:rPr>
        <w:t>方案</w:t>
      </w:r>
      <w:r>
        <w:rPr>
          <w:rFonts w:ascii="宋体" w:hAnsi="宋体" w:cs="宋体"/>
          <w:b/>
          <w:bCs/>
          <w:color w:val="auto"/>
          <w:szCs w:val="21"/>
          <w:lang w:val="zh-CN" w:bidi="zh-CN"/>
        </w:rPr>
        <w:t>分…………………………………</w:t>
      </w:r>
      <w:r>
        <w:rPr>
          <w:rFonts w:hint="eastAsia" w:ascii="宋体" w:hAnsi="宋体"/>
          <w:b/>
          <w:bCs/>
          <w:color w:val="auto"/>
          <w:szCs w:val="21"/>
        </w:rPr>
        <w:t>…………………………</w:t>
      </w:r>
      <w:r>
        <w:rPr>
          <w:rFonts w:ascii="宋体" w:hAnsi="宋体" w:cs="宋体"/>
          <w:b/>
          <w:bCs/>
          <w:color w:val="auto"/>
          <w:szCs w:val="21"/>
          <w:lang w:val="zh-CN" w:bidi="zh-CN"/>
        </w:rPr>
        <w:t>…………………满分</w:t>
      </w:r>
      <w:r>
        <w:rPr>
          <w:rFonts w:hint="eastAsia" w:ascii="宋体" w:hAnsi="宋体" w:cs="宋体"/>
          <w:b/>
          <w:bCs/>
          <w:color w:val="auto"/>
          <w:szCs w:val="21"/>
          <w:lang w:val="en-US" w:bidi="zh-CN"/>
        </w:rPr>
        <w:t>15</w:t>
      </w:r>
      <w:r>
        <w:rPr>
          <w:rFonts w:ascii="宋体" w:hAnsi="宋体" w:cs="宋体"/>
          <w:b/>
          <w:bCs/>
          <w:color w:val="auto"/>
          <w:szCs w:val="21"/>
          <w:lang w:val="zh-CN" w:bidi="zh-CN"/>
        </w:rPr>
        <w:t>分</w:t>
      </w:r>
    </w:p>
    <w:p>
      <w:pPr>
        <w:widowControl/>
        <w:adjustRightInd/>
        <w:spacing w:before="130" w:line="440" w:lineRule="exact"/>
        <w:ind w:left="221" w:right="595" w:firstLine="420" w:firstLineChars="200"/>
        <w:rPr>
          <w:rFonts w:ascii="宋体" w:hAnsi="宋体"/>
          <w:color w:val="auto"/>
          <w:szCs w:val="21"/>
          <w:lang w:bidi="zh-CN"/>
        </w:rPr>
      </w:pPr>
      <w:r>
        <w:rPr>
          <w:rFonts w:ascii="宋体" w:hAnsi="宋体"/>
          <w:color w:val="auto"/>
          <w:szCs w:val="21"/>
          <w:lang w:val="zh-CN" w:bidi="zh-CN"/>
        </w:rPr>
        <w:t>由评委在打分前根据投标供应商售后服务方案的（完整性、可行性，从到达故障现场时间、故障出现解决方案，定期维护、免费技术培训方案、免费保修期外维修方案、其它优惠方案）等方面情况，集体讨论形成书面材料并记录各投标人售后服务主要条款，确定“一档、二档、三档”各所属档次；评委依照各投标人售后服务等级评定情况在确定档次内独立打分</w:t>
      </w:r>
      <w:r>
        <w:rPr>
          <w:rFonts w:hint="eastAsia" w:ascii="宋体" w:hAnsi="宋体"/>
          <w:color w:val="auto"/>
          <w:szCs w:val="21"/>
          <w:lang w:bidi="zh-CN"/>
        </w:rPr>
        <w:t>.</w:t>
      </w:r>
    </w:p>
    <w:p>
      <w:pPr>
        <w:widowControl/>
        <w:adjustRightInd/>
        <w:spacing w:before="130" w:line="440" w:lineRule="exact"/>
        <w:ind w:left="221" w:right="595" w:firstLine="420" w:firstLineChars="200"/>
        <w:rPr>
          <w:rFonts w:ascii="宋体" w:hAnsi="宋体"/>
          <w:color w:val="auto"/>
          <w:szCs w:val="21"/>
          <w:lang w:val="zh-CN" w:bidi="zh-CN"/>
        </w:rPr>
      </w:pPr>
      <w:r>
        <w:rPr>
          <w:rFonts w:hint="eastAsia" w:ascii="宋体" w:hAnsi="宋体"/>
          <w:color w:val="auto"/>
          <w:szCs w:val="21"/>
          <w:lang w:val="zh-CN" w:bidi="zh-CN"/>
        </w:rPr>
        <w:t>一档（</w:t>
      </w:r>
      <w:r>
        <w:rPr>
          <w:rFonts w:hint="eastAsia" w:ascii="宋体" w:hAnsi="宋体"/>
          <w:color w:val="auto"/>
          <w:szCs w:val="21"/>
          <w:lang w:val="en-US" w:bidi="zh-CN"/>
        </w:rPr>
        <w:t>5</w:t>
      </w:r>
      <w:r>
        <w:rPr>
          <w:rFonts w:hint="eastAsia" w:ascii="宋体" w:hAnsi="宋体"/>
          <w:color w:val="auto"/>
          <w:szCs w:val="21"/>
          <w:lang w:val="zh-CN" w:bidi="zh-CN"/>
        </w:rPr>
        <w:t xml:space="preserve"> 分）：供应商提供了简单的售后服务方案，方案基本满足采购文件要求；</w:t>
      </w:r>
    </w:p>
    <w:p>
      <w:pPr>
        <w:widowControl/>
        <w:adjustRightInd/>
        <w:spacing w:before="130" w:line="440" w:lineRule="exact"/>
        <w:ind w:left="221" w:right="595" w:firstLine="420" w:firstLineChars="200"/>
        <w:rPr>
          <w:rFonts w:ascii="宋体" w:hAnsi="宋体"/>
          <w:color w:val="auto"/>
          <w:szCs w:val="21"/>
          <w:lang w:val="zh-CN" w:bidi="zh-CN"/>
        </w:rPr>
      </w:pPr>
      <w:r>
        <w:rPr>
          <w:rFonts w:hint="eastAsia" w:ascii="宋体" w:hAnsi="宋体"/>
          <w:color w:val="auto"/>
          <w:szCs w:val="21"/>
          <w:lang w:val="zh-CN" w:bidi="zh-CN"/>
        </w:rPr>
        <w:t>二档（</w:t>
      </w:r>
      <w:r>
        <w:rPr>
          <w:rFonts w:hint="eastAsia" w:ascii="宋体" w:hAnsi="宋体"/>
          <w:color w:val="auto"/>
          <w:szCs w:val="21"/>
          <w:lang w:val="en-US" w:bidi="zh-CN"/>
        </w:rPr>
        <w:t>10</w:t>
      </w:r>
      <w:r>
        <w:rPr>
          <w:rFonts w:hint="eastAsia" w:ascii="宋体" w:hAnsi="宋体"/>
          <w:color w:val="auto"/>
          <w:szCs w:val="21"/>
          <w:lang w:val="zh-CN" w:bidi="zh-CN"/>
        </w:rPr>
        <w:t>分）：供应商提供了项目较为具体的售后服务方案，对售后工作有简单的分析，具有可行性，方案满足采购文件要求。</w:t>
      </w:r>
    </w:p>
    <w:p>
      <w:pPr>
        <w:widowControl/>
        <w:adjustRightInd/>
        <w:spacing w:before="130" w:line="440" w:lineRule="exact"/>
        <w:ind w:left="221" w:right="595" w:firstLine="420" w:firstLineChars="200"/>
        <w:rPr>
          <w:rFonts w:ascii="宋体" w:hAnsi="宋体"/>
          <w:color w:val="auto"/>
          <w:szCs w:val="21"/>
          <w:lang w:val="zh-CN" w:bidi="zh-CN"/>
        </w:rPr>
      </w:pPr>
      <w:r>
        <w:rPr>
          <w:rFonts w:hint="eastAsia" w:ascii="宋体" w:hAnsi="宋体"/>
          <w:color w:val="auto"/>
          <w:szCs w:val="21"/>
          <w:lang w:val="zh-CN" w:bidi="zh-CN"/>
        </w:rPr>
        <w:t>三档（</w:t>
      </w:r>
      <w:r>
        <w:rPr>
          <w:rFonts w:hint="eastAsia" w:ascii="宋体" w:hAnsi="宋体"/>
          <w:color w:val="auto"/>
          <w:szCs w:val="21"/>
          <w:lang w:val="en-US" w:bidi="zh-CN"/>
        </w:rPr>
        <w:t>15</w:t>
      </w:r>
      <w:r>
        <w:rPr>
          <w:rFonts w:hint="eastAsia" w:ascii="宋体" w:hAnsi="宋体"/>
          <w:color w:val="auto"/>
          <w:szCs w:val="21"/>
          <w:lang w:val="zh-CN" w:bidi="zh-CN"/>
        </w:rPr>
        <w:t>分）：供应商提供了详细的售后服务方案，对售后工作有深入的分析，较详细描述了售后工作的具体实现方式，阐述清楚售后保障体系，方案表述清晰、完整、严谨、合理，可操作性强</w:t>
      </w:r>
      <w:r>
        <w:rPr>
          <w:rFonts w:ascii="宋体" w:hAnsi="宋体"/>
          <w:color w:val="auto"/>
          <w:szCs w:val="21"/>
          <w:lang w:val="zh-CN" w:bidi="zh-CN"/>
        </w:rPr>
        <w:t>于招标文件要求的。</w:t>
      </w:r>
    </w:p>
    <w:p>
      <w:pPr>
        <w:widowControl/>
        <w:tabs>
          <w:tab w:val="left" w:pos="4214"/>
        </w:tabs>
        <w:adjustRightInd/>
        <w:spacing w:line="440" w:lineRule="exact"/>
        <w:ind w:firstLine="422" w:firstLineChars="200"/>
        <w:rPr>
          <w:rFonts w:ascii="宋体" w:hAnsi="宋体" w:cs="宋体"/>
          <w:b/>
          <w:bCs/>
          <w:color w:val="auto"/>
          <w:szCs w:val="21"/>
          <w:lang w:val="zh-CN" w:bidi="zh-CN"/>
        </w:rPr>
      </w:pPr>
      <w:r>
        <w:rPr>
          <w:rFonts w:hint="eastAsia" w:ascii="宋体" w:hAnsi="宋体" w:cs="宋体"/>
          <w:b/>
          <w:bCs/>
          <w:color w:val="auto"/>
          <w:szCs w:val="21"/>
          <w:lang w:bidi="zh-CN"/>
        </w:rPr>
        <w:t>5</w:t>
      </w:r>
      <w:r>
        <w:rPr>
          <w:rFonts w:ascii="宋体" w:hAnsi="宋体" w:cs="宋体"/>
          <w:b/>
          <w:bCs/>
          <w:color w:val="auto"/>
          <w:szCs w:val="21"/>
          <w:lang w:val="zh-CN" w:bidi="zh-CN"/>
        </w:rPr>
        <w:t>、</w:t>
      </w:r>
      <w:r>
        <w:rPr>
          <w:rFonts w:ascii="宋体" w:hAnsi="宋体" w:cs="宋体"/>
          <w:b/>
          <w:bCs/>
          <w:color w:val="auto"/>
          <w:szCs w:val="21"/>
          <w:lang w:bidi="zh-CN"/>
        </w:rPr>
        <w:t>政策功能</w:t>
      </w:r>
      <w:r>
        <w:rPr>
          <w:rFonts w:ascii="宋体" w:hAnsi="宋体" w:cs="宋体"/>
          <w:b/>
          <w:bCs/>
          <w:color w:val="auto"/>
          <w:szCs w:val="21"/>
          <w:lang w:val="zh-CN" w:bidi="zh-CN"/>
        </w:rPr>
        <w:t>分……………………………………………………………………………满分</w:t>
      </w:r>
      <w:r>
        <w:rPr>
          <w:rFonts w:hint="eastAsia" w:ascii="宋体" w:hAnsi="宋体" w:cs="宋体"/>
          <w:b/>
          <w:bCs/>
          <w:color w:val="auto"/>
          <w:szCs w:val="21"/>
          <w:lang w:val="en-US" w:bidi="zh-CN"/>
        </w:rPr>
        <w:t>2</w:t>
      </w:r>
      <w:r>
        <w:rPr>
          <w:rFonts w:ascii="宋体" w:hAnsi="宋体" w:cs="宋体"/>
          <w:b/>
          <w:bCs/>
          <w:color w:val="auto"/>
          <w:szCs w:val="21"/>
          <w:lang w:val="zh-CN" w:bidi="zh-CN"/>
        </w:rPr>
        <w:t>分</w:t>
      </w:r>
    </w:p>
    <w:p>
      <w:pPr>
        <w:widowControl/>
        <w:numPr>
          <w:ilvl w:val="0"/>
          <w:numId w:val="13"/>
        </w:numPr>
        <w:tabs>
          <w:tab w:val="left" w:pos="1170"/>
        </w:tabs>
        <w:adjustRightInd/>
        <w:spacing w:before="115" w:line="440" w:lineRule="exact"/>
        <w:ind w:right="583" w:firstLine="420"/>
        <w:jc w:val="left"/>
        <w:rPr>
          <w:rFonts w:ascii="宋体" w:hAnsi="宋体"/>
          <w:color w:val="auto"/>
          <w:szCs w:val="21"/>
          <w:lang w:val="zh-CN" w:bidi="zh-CN"/>
        </w:rPr>
      </w:pPr>
      <w:r>
        <w:rPr>
          <w:rFonts w:ascii="宋体" w:hAnsi="宋体"/>
          <w:color w:val="auto"/>
          <w:spacing w:val="-3"/>
          <w:szCs w:val="21"/>
          <w:lang w:val="zh-CN" w:bidi="zh-CN"/>
        </w:rPr>
        <w:t>应优先采购财政部现行《节能产品政府采购品目清单》目录内</w:t>
      </w:r>
      <w:r>
        <w:rPr>
          <w:rFonts w:ascii="宋体" w:hAnsi="宋体"/>
          <w:color w:val="auto"/>
          <w:szCs w:val="21"/>
          <w:lang w:val="zh-CN" w:bidi="zh-CN"/>
        </w:rPr>
        <w:t>（</w:t>
      </w:r>
      <w:r>
        <w:rPr>
          <w:rFonts w:ascii="宋体" w:hAnsi="宋体"/>
          <w:color w:val="auto"/>
          <w:spacing w:val="-3"/>
          <w:szCs w:val="21"/>
          <w:lang w:val="zh-CN" w:bidi="zh-CN"/>
        </w:rPr>
        <w:t>政府强制采购节能产品除外</w:t>
      </w:r>
      <w:r>
        <w:rPr>
          <w:rFonts w:ascii="宋体" w:hAnsi="宋体"/>
          <w:color w:val="auto"/>
          <w:szCs w:val="21"/>
          <w:lang w:val="zh-CN" w:bidi="zh-CN"/>
        </w:rPr>
        <w:t xml:space="preserve">） </w:t>
      </w:r>
      <w:r>
        <w:rPr>
          <w:rFonts w:ascii="宋体" w:hAnsi="宋体"/>
          <w:color w:val="auto"/>
          <w:spacing w:val="-1"/>
          <w:szCs w:val="21"/>
          <w:lang w:val="zh-CN" w:bidi="zh-CN"/>
        </w:rPr>
        <w:t>的产品</w:t>
      </w:r>
      <w:r>
        <w:rPr>
          <w:rFonts w:ascii="宋体" w:hAnsi="宋体"/>
          <w:color w:val="auto"/>
          <w:szCs w:val="21"/>
          <w:lang w:val="zh-CN" w:bidi="zh-CN"/>
        </w:rPr>
        <w:t>（</w:t>
      </w:r>
      <w:r>
        <w:rPr>
          <w:rFonts w:ascii="宋体" w:hAnsi="宋体"/>
          <w:color w:val="auto"/>
          <w:spacing w:val="-3"/>
          <w:szCs w:val="21"/>
          <w:lang w:val="zh-CN" w:bidi="zh-CN"/>
        </w:rPr>
        <w:t>提供有效证明复印件</w:t>
      </w:r>
      <w:r>
        <w:rPr>
          <w:rFonts w:ascii="宋体" w:hAnsi="宋体"/>
          <w:color w:val="auto"/>
          <w:szCs w:val="21"/>
          <w:lang w:val="zh-CN" w:bidi="zh-CN"/>
        </w:rPr>
        <w:t>）</w:t>
      </w:r>
      <w:r>
        <w:rPr>
          <w:rFonts w:ascii="宋体" w:hAnsi="宋体"/>
          <w:color w:val="auto"/>
          <w:spacing w:val="-3"/>
          <w:szCs w:val="21"/>
          <w:lang w:val="zh-CN" w:bidi="zh-CN"/>
        </w:rPr>
        <w:t>，根据其所占项目</w:t>
      </w:r>
      <w:r>
        <w:rPr>
          <w:rFonts w:ascii="宋体" w:hAnsi="宋体"/>
          <w:color w:val="auto"/>
          <w:szCs w:val="21"/>
          <w:lang w:val="zh-CN" w:bidi="zh-CN"/>
        </w:rPr>
        <w:t>（</w:t>
      </w:r>
      <w:r>
        <w:rPr>
          <w:rFonts w:ascii="宋体" w:hAnsi="宋体"/>
          <w:color w:val="auto"/>
          <w:spacing w:val="-2"/>
          <w:szCs w:val="21"/>
          <w:lang w:val="zh-CN" w:bidi="zh-CN"/>
        </w:rPr>
        <w:t>或分标</w:t>
      </w:r>
      <w:r>
        <w:rPr>
          <w:rFonts w:ascii="宋体" w:hAnsi="宋体"/>
          <w:color w:val="auto"/>
          <w:spacing w:val="-3"/>
          <w:szCs w:val="21"/>
          <w:lang w:val="zh-CN" w:bidi="zh-CN"/>
        </w:rPr>
        <w:t>）</w:t>
      </w:r>
      <w:r>
        <w:rPr>
          <w:rFonts w:ascii="宋体" w:hAnsi="宋体"/>
          <w:color w:val="auto"/>
          <w:spacing w:val="-15"/>
          <w:szCs w:val="21"/>
          <w:lang w:val="zh-CN" w:bidi="zh-CN"/>
        </w:rPr>
        <w:t xml:space="preserve">比例得 </w:t>
      </w:r>
      <w:r>
        <w:rPr>
          <w:rFonts w:hint="eastAsia" w:ascii="宋体" w:hAnsi="宋体"/>
          <w:color w:val="auto"/>
          <w:spacing w:val="-15"/>
          <w:szCs w:val="21"/>
          <w:lang w:val="en-US" w:bidi="zh-CN"/>
        </w:rPr>
        <w:t>0.5</w:t>
      </w:r>
      <w:r>
        <w:rPr>
          <w:rFonts w:ascii="宋体" w:hAnsi="宋体"/>
          <w:color w:val="auto"/>
          <w:szCs w:val="21"/>
          <w:lang w:val="zh-CN" w:bidi="zh-CN"/>
        </w:rPr>
        <w:t>分；</w:t>
      </w:r>
    </w:p>
    <w:p>
      <w:pPr>
        <w:widowControl/>
        <w:numPr>
          <w:ilvl w:val="0"/>
          <w:numId w:val="13"/>
        </w:numPr>
        <w:tabs>
          <w:tab w:val="left" w:pos="1170"/>
        </w:tabs>
        <w:adjustRightInd/>
        <w:spacing w:before="115" w:line="440" w:lineRule="exact"/>
        <w:ind w:right="583" w:firstLine="420"/>
        <w:jc w:val="left"/>
        <w:rPr>
          <w:rFonts w:ascii="宋体" w:hAnsi="宋体"/>
          <w:color w:val="auto"/>
          <w:spacing w:val="-3"/>
          <w:szCs w:val="21"/>
          <w:lang w:val="zh-CN" w:bidi="zh-CN"/>
        </w:rPr>
      </w:pPr>
      <w:r>
        <w:rPr>
          <w:rFonts w:ascii="宋体" w:hAnsi="宋体"/>
          <w:color w:val="auto"/>
          <w:spacing w:val="-3"/>
          <w:szCs w:val="21"/>
          <w:lang w:val="zh-CN" w:bidi="zh-CN"/>
        </w:rPr>
        <w:t>应优先采购财政部现行《环境标志产品政府采购品目清单》目录内的产品（提供有效证明复印件），根据其所占项目（或分标）比例得</w:t>
      </w:r>
      <w:r>
        <w:rPr>
          <w:rFonts w:hint="eastAsia" w:ascii="宋体" w:hAnsi="宋体"/>
          <w:color w:val="auto"/>
          <w:spacing w:val="-3"/>
          <w:szCs w:val="21"/>
          <w:lang w:val="en-US" w:bidi="zh-CN"/>
        </w:rPr>
        <w:t>0.5</w:t>
      </w:r>
      <w:r>
        <w:rPr>
          <w:rFonts w:ascii="宋体" w:hAnsi="宋体"/>
          <w:color w:val="auto"/>
          <w:spacing w:val="-3"/>
          <w:szCs w:val="21"/>
          <w:lang w:val="zh-CN" w:bidi="zh-CN"/>
        </w:rPr>
        <w:t xml:space="preserve">分； </w:t>
      </w:r>
    </w:p>
    <w:p>
      <w:pPr>
        <w:widowControl/>
        <w:numPr>
          <w:ilvl w:val="0"/>
          <w:numId w:val="13"/>
        </w:numPr>
        <w:tabs>
          <w:tab w:val="left" w:pos="1170"/>
        </w:tabs>
        <w:adjustRightInd/>
        <w:spacing w:before="115" w:line="440" w:lineRule="exact"/>
        <w:ind w:right="583" w:firstLine="420"/>
        <w:jc w:val="left"/>
        <w:rPr>
          <w:rFonts w:ascii="宋体" w:hAnsi="宋体"/>
          <w:color w:val="000000" w:themeColor="text1"/>
          <w:spacing w:val="-3"/>
          <w:szCs w:val="21"/>
          <w:lang w:val="zh-CN" w:bidi="zh-CN"/>
          <w14:textFill>
            <w14:solidFill>
              <w14:schemeClr w14:val="tx1"/>
            </w14:solidFill>
          </w14:textFill>
        </w:rPr>
      </w:pPr>
      <w:r>
        <w:rPr>
          <w:rFonts w:ascii="宋体" w:hAnsi="宋体"/>
          <w:color w:val="auto"/>
          <w:spacing w:val="-3"/>
          <w:szCs w:val="21"/>
          <w:lang w:val="zh-CN" w:bidi="zh-CN"/>
        </w:rPr>
        <w:t>投标产品 80%以上为广西工业产品的得</w:t>
      </w:r>
      <w:r>
        <w:rPr>
          <w:rFonts w:hint="eastAsia" w:ascii="宋体" w:hAnsi="宋体"/>
          <w:color w:val="auto"/>
          <w:spacing w:val="-3"/>
          <w:szCs w:val="21"/>
          <w:lang w:val="zh-CN" w:bidi="zh-CN"/>
        </w:rPr>
        <w:t>1</w:t>
      </w:r>
      <w:r>
        <w:rPr>
          <w:rFonts w:ascii="宋体" w:hAnsi="宋体"/>
          <w:color w:val="auto"/>
          <w:spacing w:val="-3"/>
          <w:szCs w:val="21"/>
          <w:lang w:val="zh-CN" w:bidi="zh-CN"/>
        </w:rPr>
        <w:t>分（以投标人按第六章“投标文件格式”要求提供的《广西工业产品声明函》为评分依据。根据《广西壮族自治区人民政府办公厅关于印发招标采购促进广西工业产品产销对接实施细则的通知》（桂政办发【2015】78 号）的规定，广西工业产品</w:t>
      </w:r>
      <w:r>
        <w:rPr>
          <w:rFonts w:ascii="宋体" w:hAnsi="宋体"/>
          <w:color w:val="000000" w:themeColor="text1"/>
          <w:spacing w:val="-3"/>
          <w:szCs w:val="21"/>
          <w:lang w:val="zh-CN" w:bidi="zh-CN"/>
          <w14:textFill>
            <w14:solidFill>
              <w14:schemeClr w14:val="tx1"/>
            </w14:solidFill>
          </w14:textFill>
        </w:rPr>
        <w:t xml:space="preserve">是指广西境内生产的工业产品，以生产企业的工商营业执照注册所在地为准。“投标产品 80%以上为广西工业产品”是指参加政府采购项目时供货范围中采用广西工业产品的金额占本次招标总金额的 80%以上） 满分 </w:t>
      </w:r>
      <w:r>
        <w:rPr>
          <w:rFonts w:hint="eastAsia" w:ascii="宋体" w:hAnsi="宋体"/>
          <w:color w:val="000000" w:themeColor="text1"/>
          <w:spacing w:val="-3"/>
          <w:szCs w:val="21"/>
          <w:lang w:val="en-US" w:bidi="zh-CN"/>
          <w14:textFill>
            <w14:solidFill>
              <w14:schemeClr w14:val="tx1"/>
            </w14:solidFill>
          </w14:textFill>
        </w:rPr>
        <w:t>2</w:t>
      </w:r>
      <w:r>
        <w:rPr>
          <w:rFonts w:ascii="宋体" w:hAnsi="宋体"/>
          <w:color w:val="000000" w:themeColor="text1"/>
          <w:spacing w:val="-3"/>
          <w:szCs w:val="21"/>
          <w:lang w:val="zh-CN" w:bidi="zh-CN"/>
          <w14:textFill>
            <w14:solidFill>
              <w14:schemeClr w14:val="tx1"/>
            </w14:solidFill>
          </w14:textFill>
        </w:rPr>
        <w:t>分</w:t>
      </w:r>
    </w:p>
    <w:p>
      <w:pPr>
        <w:widowControl/>
        <w:adjustRightInd/>
        <w:spacing w:line="440" w:lineRule="exact"/>
        <w:rPr>
          <w:rFonts w:hint="default" w:ascii="宋体" w:hAnsi="宋体" w:eastAsia="宋体"/>
          <w:b/>
          <w:bCs/>
          <w:color w:val="000000" w:themeColor="text1"/>
          <w:szCs w:val="21"/>
          <w:lang w:val="en-US" w:eastAsia="zh-CN"/>
          <w14:textFill>
            <w14:solidFill>
              <w14:schemeClr w14:val="tx1"/>
            </w14:solidFill>
          </w14:textFill>
        </w:rPr>
      </w:pPr>
      <w:r>
        <w:rPr>
          <w:rFonts w:hint="eastAsia" w:ascii="宋体" w:hAnsi="宋体"/>
          <w:b/>
          <w:bCs/>
          <w:color w:val="000000" w:themeColor="text1"/>
          <w:szCs w:val="21"/>
          <w:lang w:val="en-US" w:eastAsia="zh-CN"/>
          <w14:textFill>
            <w14:solidFill>
              <w14:schemeClr w14:val="tx1"/>
            </w14:solidFill>
          </w14:textFill>
        </w:rPr>
        <w:t>B标段：</w:t>
      </w:r>
    </w:p>
    <w:p>
      <w:pPr>
        <w:widowControl/>
        <w:adjustRightInd/>
        <w:spacing w:line="440" w:lineRule="exact"/>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2、技术性能分…………………………………………………………………………………</w:t>
      </w:r>
      <w:r>
        <w:rPr>
          <w:rFonts w:hint="eastAsia" w:ascii="宋体" w:hAnsi="宋体"/>
          <w:b/>
          <w:bCs/>
          <w:color w:val="000000" w:themeColor="text1"/>
          <w:szCs w:val="21"/>
          <w:lang w:val="en-US" w:eastAsia="zh-CN"/>
          <w14:textFill>
            <w14:solidFill>
              <w14:schemeClr w14:val="tx1"/>
            </w14:solidFill>
          </w14:textFill>
        </w:rPr>
        <w:t>30</w:t>
      </w:r>
      <w:r>
        <w:rPr>
          <w:rFonts w:hint="eastAsia" w:ascii="宋体" w:hAnsi="宋体"/>
          <w:b/>
          <w:bCs/>
          <w:color w:val="000000" w:themeColor="text1"/>
          <w:szCs w:val="21"/>
          <w14:textFill>
            <w14:solidFill>
              <w14:schemeClr w14:val="tx1"/>
            </w14:solidFill>
          </w14:textFill>
        </w:rPr>
        <w:t>分</w:t>
      </w:r>
    </w:p>
    <w:p>
      <w:pPr>
        <w:widowControl/>
        <w:tabs>
          <w:tab w:val="left" w:pos="4214"/>
        </w:tabs>
        <w:adjustRightInd/>
        <w:spacing w:line="440" w:lineRule="exact"/>
        <w:ind w:firstLine="388" w:firstLineChars="200"/>
        <w:rPr>
          <w:rFonts w:ascii="?????" w:hAnsi="Courier New" w:eastAsia="宋体"/>
          <w:b w:val="0"/>
          <w:bCs/>
          <w:color w:val="000000" w:themeColor="text1"/>
          <w:spacing w:val="-8"/>
          <w:kern w:val="0"/>
          <w:sz w:val="21"/>
          <w:szCs w:val="21"/>
          <w14:textFill>
            <w14:solidFill>
              <w14:schemeClr w14:val="tx1"/>
            </w14:solidFill>
          </w14:textFill>
        </w:rPr>
      </w:pPr>
      <w:r>
        <w:rPr>
          <w:rFonts w:hint="eastAsia" w:ascii="?????" w:hAnsi="Courier New" w:eastAsia="宋体"/>
          <w:b w:val="0"/>
          <w:bCs/>
          <w:color w:val="000000" w:themeColor="text1"/>
          <w:spacing w:val="-8"/>
          <w:kern w:val="0"/>
          <w:sz w:val="21"/>
          <w:szCs w:val="21"/>
          <w14:textFill>
            <w14:solidFill>
              <w14:schemeClr w14:val="tx1"/>
            </w14:solidFill>
          </w14:textFill>
        </w:rPr>
        <w:t>2.</w:t>
      </w:r>
      <w:r>
        <w:rPr>
          <w:rFonts w:hint="eastAsia" w:ascii="?????" w:hAnsi="Courier New"/>
          <w:b w:val="0"/>
          <w:bCs/>
          <w:color w:val="000000" w:themeColor="text1"/>
          <w:spacing w:val="-8"/>
          <w:kern w:val="0"/>
          <w:sz w:val="21"/>
          <w:szCs w:val="21"/>
          <w:lang w:val="en-US" w:eastAsia="zh-CN"/>
          <w14:textFill>
            <w14:solidFill>
              <w14:schemeClr w14:val="tx1"/>
            </w14:solidFill>
          </w14:textFill>
        </w:rPr>
        <w:t>1</w:t>
      </w:r>
      <w:r>
        <w:rPr>
          <w:rFonts w:hint="eastAsia" w:ascii="?????" w:hAnsi="Courier New" w:eastAsia="宋体"/>
          <w:b w:val="0"/>
          <w:bCs/>
          <w:color w:val="000000" w:themeColor="text1"/>
          <w:spacing w:val="-8"/>
          <w:kern w:val="0"/>
          <w:sz w:val="21"/>
          <w:szCs w:val="21"/>
          <w14:textFill>
            <w14:solidFill>
              <w14:schemeClr w14:val="tx1"/>
            </w14:solidFill>
          </w14:textFill>
        </w:rPr>
        <w:t>、为</w:t>
      </w:r>
      <w:r>
        <w:rPr>
          <w:rFonts w:ascii="?????" w:hAnsi="Courier New" w:eastAsia="宋体"/>
          <w:b w:val="0"/>
          <w:bCs/>
          <w:color w:val="000000" w:themeColor="text1"/>
          <w:spacing w:val="-8"/>
          <w:kern w:val="0"/>
          <w:sz w:val="21"/>
          <w:szCs w:val="21"/>
          <w14:textFill>
            <w14:solidFill>
              <w14:schemeClr w14:val="tx1"/>
            </w14:solidFill>
          </w14:textFill>
        </w:rPr>
        <w:t>保证为民救灾物资质量</w:t>
      </w:r>
      <w:r>
        <w:rPr>
          <w:rFonts w:hint="eastAsia" w:ascii="?????" w:hAnsi="Courier New" w:eastAsia="宋体"/>
          <w:b w:val="0"/>
          <w:bCs/>
          <w:color w:val="000000" w:themeColor="text1"/>
          <w:spacing w:val="-8"/>
          <w:kern w:val="0"/>
          <w:sz w:val="21"/>
          <w:szCs w:val="21"/>
          <w14:textFill>
            <w14:solidFill>
              <w14:schemeClr w14:val="tx1"/>
            </w14:solidFill>
          </w14:textFill>
        </w:rPr>
        <w:t>符合</w:t>
      </w:r>
      <w:r>
        <w:rPr>
          <w:rFonts w:ascii="?????" w:hAnsi="Courier New" w:eastAsia="宋体"/>
          <w:b w:val="0"/>
          <w:bCs/>
          <w:color w:val="000000" w:themeColor="text1"/>
          <w:spacing w:val="-8"/>
          <w:kern w:val="0"/>
          <w:sz w:val="21"/>
          <w:szCs w:val="21"/>
          <w14:textFill>
            <w14:solidFill>
              <w14:schemeClr w14:val="tx1"/>
            </w14:solidFill>
          </w14:textFill>
        </w:rPr>
        <w:t>国家</w:t>
      </w:r>
      <w:r>
        <w:rPr>
          <w:rFonts w:hint="eastAsia" w:ascii="?????" w:hAnsi="Courier New" w:eastAsia="宋体"/>
          <w:b w:val="0"/>
          <w:bCs/>
          <w:color w:val="000000" w:themeColor="text1"/>
          <w:spacing w:val="-8"/>
          <w:kern w:val="0"/>
          <w:sz w:val="21"/>
          <w:szCs w:val="21"/>
          <w14:textFill>
            <w14:solidFill>
              <w14:schemeClr w14:val="tx1"/>
            </w14:solidFill>
          </w14:textFill>
        </w:rPr>
        <w:t>棉大衣</w:t>
      </w:r>
      <w:r>
        <w:rPr>
          <w:rFonts w:ascii="?????" w:hAnsi="Courier New" w:eastAsia="宋体"/>
          <w:b w:val="0"/>
          <w:bCs/>
          <w:color w:val="000000" w:themeColor="text1"/>
          <w:spacing w:val="-8"/>
          <w:kern w:val="0"/>
          <w:sz w:val="21"/>
          <w:szCs w:val="21"/>
          <w14:textFill>
            <w14:solidFill>
              <w14:schemeClr w14:val="tx1"/>
            </w14:solidFill>
          </w14:textFill>
        </w:rPr>
        <w:t>执行标准</w:t>
      </w:r>
      <w:r>
        <w:rPr>
          <w:rFonts w:hint="eastAsia" w:ascii="?????" w:hAnsi="Courier New" w:eastAsia="宋体"/>
          <w:b w:val="0"/>
          <w:bCs/>
          <w:color w:val="000000" w:themeColor="text1"/>
          <w:spacing w:val="-8"/>
          <w:kern w:val="0"/>
          <w:sz w:val="21"/>
          <w:szCs w:val="21"/>
          <w14:textFill>
            <w14:solidFill>
              <w14:schemeClr w14:val="tx1"/>
            </w14:solidFill>
          </w14:textFill>
        </w:rPr>
        <w:t>，所投▲棉大衣，提供具有</w:t>
      </w:r>
      <w:r>
        <w:rPr>
          <w:rFonts w:hint="eastAsia" w:ascii="宋体" w:hAnsi="宋体" w:eastAsia="宋体"/>
          <w:color w:val="000000" w:themeColor="text1"/>
          <w:sz w:val="21"/>
          <w:szCs w:val="21"/>
          <w14:textFill>
            <w14:solidFill>
              <w14:schemeClr w14:val="tx1"/>
            </w14:solidFill>
          </w14:textFill>
        </w:rPr>
        <w:t>近6个月内省级或省级以上</w:t>
      </w:r>
      <w:r>
        <w:rPr>
          <w:rFonts w:hint="eastAsia" w:ascii="宋体" w:hAnsi="宋体" w:eastAsia="宋体" w:cs="宋体"/>
          <w:color w:val="000000" w:themeColor="text1"/>
          <w:sz w:val="21"/>
          <w:szCs w:val="21"/>
          <w14:textFill>
            <w14:solidFill>
              <w14:schemeClr w14:val="tx1"/>
            </w14:solidFill>
          </w14:textFill>
        </w:rPr>
        <w:t>有资质检测机构出具的棉胎检验报告</w:t>
      </w:r>
      <w:r>
        <w:rPr>
          <w:rFonts w:hint="eastAsia" w:ascii="?????" w:hAnsi="Courier New" w:eastAsia="宋体"/>
          <w:b w:val="0"/>
          <w:bCs/>
          <w:color w:val="000000" w:themeColor="text1"/>
          <w:spacing w:val="-8"/>
          <w:kern w:val="0"/>
          <w:sz w:val="21"/>
          <w:szCs w:val="21"/>
          <w14:textFill>
            <w14:solidFill>
              <w14:schemeClr w14:val="tx1"/>
            </w14:solidFill>
          </w14:textFill>
        </w:rPr>
        <w:t>得</w:t>
      </w:r>
      <w:r>
        <w:rPr>
          <w:rFonts w:hint="eastAsia" w:ascii="?????" w:hAnsi="Courier New"/>
          <w:b w:val="0"/>
          <w:bCs/>
          <w:color w:val="000000" w:themeColor="text1"/>
          <w:spacing w:val="-8"/>
          <w:kern w:val="0"/>
          <w:sz w:val="21"/>
          <w:szCs w:val="21"/>
          <w:lang w:val="en-US" w:eastAsia="zh-CN"/>
          <w14:textFill>
            <w14:solidFill>
              <w14:schemeClr w14:val="tx1"/>
            </w14:solidFill>
          </w14:textFill>
        </w:rPr>
        <w:t>6</w:t>
      </w:r>
      <w:r>
        <w:rPr>
          <w:rFonts w:hint="eastAsia" w:ascii="?????" w:hAnsi="Courier New" w:eastAsia="宋体"/>
          <w:b w:val="0"/>
          <w:bCs/>
          <w:color w:val="000000" w:themeColor="text1"/>
          <w:spacing w:val="-8"/>
          <w:kern w:val="0"/>
          <w:sz w:val="21"/>
          <w:szCs w:val="21"/>
          <w14:textFill>
            <w14:solidFill>
              <w14:schemeClr w14:val="tx1"/>
            </w14:solidFill>
          </w14:textFill>
        </w:rPr>
        <w:t>分，不提供或带</w:t>
      </w:r>
      <w:r>
        <w:rPr>
          <w:rFonts w:hint="eastAsia" w:ascii="宋体" w:hAnsi="宋体" w:eastAsia="宋体"/>
          <w:b w:val="0"/>
          <w:bCs/>
          <w:color w:val="000000" w:themeColor="text1"/>
          <w:spacing w:val="-8"/>
          <w:kern w:val="0"/>
          <w:sz w:val="21"/>
          <w:szCs w:val="21"/>
          <w14:textFill>
            <w14:solidFill>
              <w14:schemeClr w14:val="tx1"/>
            </w14:solidFill>
          </w14:textFill>
        </w:rPr>
        <w:t>★</w:t>
      </w:r>
      <w:r>
        <w:rPr>
          <w:rFonts w:hint="eastAsia" w:ascii="?????" w:hAnsi="Courier New" w:eastAsia="宋体"/>
          <w:b w:val="0"/>
          <w:bCs/>
          <w:color w:val="000000" w:themeColor="text1"/>
          <w:spacing w:val="-8"/>
          <w:kern w:val="0"/>
          <w:sz w:val="21"/>
          <w:szCs w:val="21"/>
          <w14:textFill>
            <w14:solidFill>
              <w14:schemeClr w14:val="tx1"/>
            </w14:solidFill>
          </w14:textFill>
        </w:rPr>
        <w:t>号项漏项或不符不得分</w:t>
      </w:r>
      <w:r>
        <w:rPr>
          <w:rFonts w:hint="eastAsia" w:ascii="?????" w:hAnsi="Courier New"/>
          <w:b w:val="0"/>
          <w:bCs/>
          <w:color w:val="000000" w:themeColor="text1"/>
          <w:spacing w:val="-8"/>
          <w:kern w:val="0"/>
          <w:sz w:val="21"/>
          <w:szCs w:val="21"/>
          <w:lang w:eastAsia="zh-CN"/>
          <w14:textFill>
            <w14:solidFill>
              <w14:schemeClr w14:val="tx1"/>
            </w14:solidFill>
          </w14:textFill>
        </w:rPr>
        <w:t>，（</w:t>
      </w:r>
      <w:r>
        <w:rPr>
          <w:rFonts w:hint="eastAsia" w:ascii="?????" w:hAnsi="Courier New"/>
          <w:b w:val="0"/>
          <w:bCs/>
          <w:color w:val="000000" w:themeColor="text1"/>
          <w:spacing w:val="-8"/>
          <w:kern w:val="0"/>
          <w:sz w:val="21"/>
          <w:szCs w:val="21"/>
          <w:lang w:val="en-US" w:eastAsia="zh-CN"/>
          <w14:textFill>
            <w14:solidFill>
              <w14:schemeClr w14:val="tx1"/>
            </w14:solidFill>
          </w14:textFill>
        </w:rPr>
        <w:t>需</w:t>
      </w:r>
      <w:r>
        <w:rPr>
          <w:rFonts w:hint="eastAsia" w:ascii="宋体" w:hAnsi="宋体" w:eastAsia="宋体" w:cs="宋体"/>
          <w:color w:val="000000" w:themeColor="text1"/>
          <w:sz w:val="21"/>
          <w:szCs w:val="21"/>
          <w14:textFill>
            <w14:solidFill>
              <w14:schemeClr w14:val="tx1"/>
            </w14:solidFill>
          </w14:textFill>
        </w:rPr>
        <w:t>原件</w:t>
      </w:r>
      <w:r>
        <w:rPr>
          <w:rFonts w:hint="eastAsia" w:ascii="宋体" w:hAnsi="宋体" w:eastAsia="宋体" w:cs="宋体"/>
          <w:color w:val="000000" w:themeColor="text1"/>
          <w:kern w:val="2"/>
          <w:sz w:val="21"/>
          <w:szCs w:val="21"/>
          <w14:textFill>
            <w14:solidFill>
              <w14:schemeClr w14:val="tx1"/>
            </w14:solidFill>
          </w14:textFill>
        </w:rPr>
        <w:t>进行核查</w:t>
      </w:r>
      <w:r>
        <w:rPr>
          <w:rFonts w:hint="eastAsia" w:ascii="?????" w:hAnsi="Courier New"/>
          <w:b w:val="0"/>
          <w:bCs/>
          <w:color w:val="000000" w:themeColor="text1"/>
          <w:spacing w:val="-8"/>
          <w:kern w:val="0"/>
          <w:sz w:val="21"/>
          <w:szCs w:val="21"/>
          <w:lang w:eastAsia="zh-CN"/>
          <w14:textFill>
            <w14:solidFill>
              <w14:schemeClr w14:val="tx1"/>
            </w14:solidFill>
          </w14:textFill>
        </w:rPr>
        <w:t>）</w:t>
      </w:r>
      <w:r>
        <w:rPr>
          <w:rFonts w:hint="eastAsia" w:ascii="?????" w:hAnsi="Courier New" w:eastAsia="宋体"/>
          <w:b w:val="0"/>
          <w:bCs/>
          <w:color w:val="000000" w:themeColor="text1"/>
          <w:spacing w:val="-8"/>
          <w:kern w:val="0"/>
          <w:sz w:val="21"/>
          <w:szCs w:val="21"/>
          <w14:textFill>
            <w14:solidFill>
              <w14:schemeClr w14:val="tx1"/>
            </w14:solidFill>
          </w14:textFill>
        </w:rPr>
        <w:t>；</w:t>
      </w:r>
    </w:p>
    <w:p>
      <w:pPr>
        <w:widowControl/>
        <w:tabs>
          <w:tab w:val="left" w:pos="4214"/>
        </w:tabs>
        <w:adjustRightInd/>
        <w:spacing w:line="440" w:lineRule="exact"/>
        <w:ind w:firstLine="388" w:firstLineChars="200"/>
        <w:rPr>
          <w:rFonts w:ascii="?????" w:hAnsi="Courier New" w:eastAsia="宋体"/>
          <w:b w:val="0"/>
          <w:bCs/>
          <w:color w:val="000000" w:themeColor="text1"/>
          <w:spacing w:val="-8"/>
          <w:kern w:val="0"/>
          <w:sz w:val="21"/>
          <w:szCs w:val="21"/>
          <w14:textFill>
            <w14:solidFill>
              <w14:schemeClr w14:val="tx1"/>
            </w14:solidFill>
          </w14:textFill>
        </w:rPr>
      </w:pPr>
      <w:r>
        <w:rPr>
          <w:rFonts w:hint="eastAsia" w:ascii="?????" w:hAnsi="Courier New" w:eastAsia="宋体"/>
          <w:b w:val="0"/>
          <w:bCs/>
          <w:color w:val="000000" w:themeColor="text1"/>
          <w:spacing w:val="-8"/>
          <w:kern w:val="0"/>
          <w:sz w:val="21"/>
          <w:szCs w:val="21"/>
          <w14:textFill>
            <w14:solidFill>
              <w14:schemeClr w14:val="tx1"/>
            </w14:solidFill>
          </w14:textFill>
        </w:rPr>
        <w:t>2.</w:t>
      </w:r>
      <w:r>
        <w:rPr>
          <w:rFonts w:hint="eastAsia" w:ascii="?????" w:hAnsi="Courier New"/>
          <w:b w:val="0"/>
          <w:bCs/>
          <w:color w:val="000000" w:themeColor="text1"/>
          <w:spacing w:val="-8"/>
          <w:kern w:val="0"/>
          <w:sz w:val="21"/>
          <w:szCs w:val="21"/>
          <w:lang w:val="en-US" w:eastAsia="zh-CN"/>
          <w14:textFill>
            <w14:solidFill>
              <w14:schemeClr w14:val="tx1"/>
            </w14:solidFill>
          </w14:textFill>
        </w:rPr>
        <w:t>2</w:t>
      </w:r>
      <w:r>
        <w:rPr>
          <w:rFonts w:hint="eastAsia" w:ascii="?????" w:hAnsi="Courier New" w:eastAsia="宋体"/>
          <w:b w:val="0"/>
          <w:bCs/>
          <w:color w:val="000000" w:themeColor="text1"/>
          <w:spacing w:val="-8"/>
          <w:kern w:val="0"/>
          <w:sz w:val="21"/>
          <w:szCs w:val="21"/>
          <w14:textFill>
            <w14:solidFill>
              <w14:schemeClr w14:val="tx1"/>
            </w14:solidFill>
          </w14:textFill>
        </w:rPr>
        <w:t>、为</w:t>
      </w:r>
      <w:r>
        <w:rPr>
          <w:rFonts w:ascii="?????" w:hAnsi="Courier New" w:eastAsia="宋体"/>
          <w:b w:val="0"/>
          <w:bCs/>
          <w:color w:val="000000" w:themeColor="text1"/>
          <w:spacing w:val="-8"/>
          <w:kern w:val="0"/>
          <w:sz w:val="21"/>
          <w:szCs w:val="21"/>
          <w14:textFill>
            <w14:solidFill>
              <w14:schemeClr w14:val="tx1"/>
            </w14:solidFill>
          </w14:textFill>
        </w:rPr>
        <w:t>保证为民救灾物资质量</w:t>
      </w:r>
      <w:r>
        <w:rPr>
          <w:rFonts w:hint="eastAsia" w:ascii="?????" w:hAnsi="Courier New" w:eastAsia="宋体"/>
          <w:b w:val="0"/>
          <w:bCs/>
          <w:color w:val="000000" w:themeColor="text1"/>
          <w:spacing w:val="-8"/>
          <w:kern w:val="0"/>
          <w:sz w:val="21"/>
          <w:szCs w:val="21"/>
          <w14:textFill>
            <w14:solidFill>
              <w14:schemeClr w14:val="tx1"/>
            </w14:solidFill>
          </w14:textFill>
        </w:rPr>
        <w:t>符合</w:t>
      </w:r>
      <w:r>
        <w:rPr>
          <w:rFonts w:ascii="?????" w:hAnsi="Courier New" w:eastAsia="宋体"/>
          <w:b w:val="0"/>
          <w:bCs/>
          <w:color w:val="000000" w:themeColor="text1"/>
          <w:spacing w:val="-8"/>
          <w:kern w:val="0"/>
          <w:sz w:val="21"/>
          <w:szCs w:val="21"/>
          <w14:textFill>
            <w14:solidFill>
              <w14:schemeClr w14:val="tx1"/>
            </w14:solidFill>
          </w14:textFill>
        </w:rPr>
        <w:t>国家</w:t>
      </w:r>
      <w:r>
        <w:rPr>
          <w:rFonts w:hint="eastAsia" w:ascii="宋体" w:hAnsi="宋体" w:cs="宋体"/>
          <w:color w:val="000000" w:themeColor="text1"/>
          <w:kern w:val="0"/>
          <w:sz w:val="24"/>
          <w:lang w:bidi="ar"/>
          <w14:textFill>
            <w14:solidFill>
              <w14:schemeClr w14:val="tx1"/>
            </w14:solidFill>
          </w14:textFill>
        </w:rPr>
        <w:t>军用棉被</w:t>
      </w:r>
      <w:r>
        <w:rPr>
          <w:rFonts w:hint="eastAsia" w:ascii="宋体" w:hAnsi="宋体" w:cs="宋体"/>
          <w:color w:val="000000" w:themeColor="text1"/>
          <w:kern w:val="0"/>
          <w:sz w:val="24"/>
          <w:lang w:eastAsia="zh-CN" w:bidi="ar"/>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棉胎</w:t>
      </w:r>
      <w:r>
        <w:rPr>
          <w:rFonts w:hint="eastAsia" w:ascii="宋体" w:hAnsi="宋体" w:cs="宋体"/>
          <w:color w:val="000000" w:themeColor="text1"/>
          <w:szCs w:val="21"/>
          <w:lang w:val="en-US" w:eastAsia="zh-CN"/>
          <w14:textFill>
            <w14:solidFill>
              <w14:schemeClr w14:val="tx1"/>
            </w14:solidFill>
          </w14:textFill>
        </w:rPr>
        <w:t>和</w:t>
      </w:r>
      <w:r>
        <w:rPr>
          <w:rFonts w:hint="eastAsia" w:ascii="宋体" w:hAnsi="宋体" w:cs="宋体"/>
          <w:color w:val="000000" w:themeColor="text1"/>
          <w:szCs w:val="21"/>
          <w:lang w:eastAsia="zh-CN"/>
          <w14:textFill>
            <w14:solidFill>
              <w14:schemeClr w14:val="tx1"/>
            </w14:solidFill>
          </w14:textFill>
        </w:rPr>
        <w:t>被套</w:t>
      </w:r>
      <w:r>
        <w:rPr>
          <w:rFonts w:hint="eastAsia" w:ascii="宋体" w:hAnsi="宋体" w:cs="宋体"/>
          <w:color w:val="000000" w:themeColor="text1"/>
          <w:kern w:val="0"/>
          <w:sz w:val="24"/>
          <w:lang w:eastAsia="zh-CN" w:bidi="ar"/>
          <w14:textFill>
            <w14:solidFill>
              <w14:schemeClr w14:val="tx1"/>
            </w14:solidFill>
          </w14:textFill>
        </w:rPr>
        <w:t>）</w:t>
      </w:r>
      <w:r>
        <w:rPr>
          <w:rFonts w:ascii="?????" w:hAnsi="Courier New" w:eastAsia="宋体"/>
          <w:b w:val="0"/>
          <w:bCs/>
          <w:color w:val="000000" w:themeColor="text1"/>
          <w:spacing w:val="-8"/>
          <w:kern w:val="0"/>
          <w:sz w:val="21"/>
          <w:szCs w:val="21"/>
          <w14:textFill>
            <w14:solidFill>
              <w14:schemeClr w14:val="tx1"/>
            </w14:solidFill>
          </w14:textFill>
        </w:rPr>
        <w:t>执行标准</w:t>
      </w:r>
      <w:r>
        <w:rPr>
          <w:rFonts w:hint="eastAsia" w:ascii="?????" w:hAnsi="Courier New" w:eastAsia="宋体"/>
          <w:b w:val="0"/>
          <w:bCs/>
          <w:color w:val="000000" w:themeColor="text1"/>
          <w:spacing w:val="-8"/>
          <w:kern w:val="0"/>
          <w:sz w:val="21"/>
          <w:szCs w:val="21"/>
          <w14:textFill>
            <w14:solidFill>
              <w14:schemeClr w14:val="tx1"/>
            </w14:solidFill>
          </w14:textFill>
        </w:rPr>
        <w:t>，所投▲</w:t>
      </w:r>
      <w:r>
        <w:rPr>
          <w:rFonts w:hint="eastAsia" w:ascii="宋体" w:hAnsi="宋体" w:cs="宋体"/>
          <w:color w:val="000000" w:themeColor="text1"/>
          <w:kern w:val="0"/>
          <w:sz w:val="24"/>
          <w:lang w:bidi="ar"/>
          <w14:textFill>
            <w14:solidFill>
              <w14:schemeClr w14:val="tx1"/>
            </w14:solidFill>
          </w14:textFill>
        </w:rPr>
        <w:t>军用棉被</w:t>
      </w:r>
      <w:r>
        <w:rPr>
          <w:rFonts w:hint="eastAsia" w:ascii="宋体" w:hAnsi="宋体" w:cs="宋体"/>
          <w:color w:val="000000" w:themeColor="text1"/>
          <w:kern w:val="0"/>
          <w:sz w:val="24"/>
          <w:lang w:eastAsia="zh-CN" w:bidi="ar"/>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棉胎</w:t>
      </w:r>
      <w:r>
        <w:rPr>
          <w:rFonts w:hint="eastAsia" w:ascii="宋体" w:hAnsi="宋体" w:cs="宋体"/>
          <w:color w:val="000000" w:themeColor="text1"/>
          <w:szCs w:val="21"/>
          <w:lang w:val="en-US" w:eastAsia="zh-CN"/>
          <w14:textFill>
            <w14:solidFill>
              <w14:schemeClr w14:val="tx1"/>
            </w14:solidFill>
          </w14:textFill>
        </w:rPr>
        <w:t>和</w:t>
      </w:r>
      <w:r>
        <w:rPr>
          <w:rFonts w:hint="eastAsia" w:ascii="宋体" w:hAnsi="宋体" w:cs="宋体"/>
          <w:color w:val="000000" w:themeColor="text1"/>
          <w:szCs w:val="21"/>
          <w:lang w:eastAsia="zh-CN"/>
          <w14:textFill>
            <w14:solidFill>
              <w14:schemeClr w14:val="tx1"/>
            </w14:solidFill>
          </w14:textFill>
        </w:rPr>
        <w:t>被套</w:t>
      </w:r>
      <w:r>
        <w:rPr>
          <w:rFonts w:hint="eastAsia" w:ascii="宋体" w:hAnsi="宋体" w:cs="宋体"/>
          <w:color w:val="000000" w:themeColor="text1"/>
          <w:kern w:val="0"/>
          <w:sz w:val="24"/>
          <w:lang w:eastAsia="zh-CN" w:bidi="ar"/>
          <w14:textFill>
            <w14:solidFill>
              <w14:schemeClr w14:val="tx1"/>
            </w14:solidFill>
          </w14:textFill>
        </w:rPr>
        <w:t>）</w:t>
      </w:r>
      <w:r>
        <w:rPr>
          <w:rFonts w:hint="eastAsia" w:ascii="?????" w:hAnsi="Courier New" w:eastAsia="宋体"/>
          <w:b w:val="0"/>
          <w:bCs/>
          <w:color w:val="000000" w:themeColor="text1"/>
          <w:spacing w:val="-8"/>
          <w:kern w:val="0"/>
          <w:sz w:val="21"/>
          <w:szCs w:val="21"/>
          <w14:textFill>
            <w14:solidFill>
              <w14:schemeClr w14:val="tx1"/>
            </w14:solidFill>
          </w14:textFill>
        </w:rPr>
        <w:t>，提供具有</w:t>
      </w:r>
      <w:r>
        <w:rPr>
          <w:rFonts w:hint="eastAsia" w:ascii="宋体" w:hAnsi="宋体"/>
          <w:color w:val="000000" w:themeColor="text1"/>
          <w:szCs w:val="21"/>
          <w14:textFill>
            <w14:solidFill>
              <w14:schemeClr w14:val="tx1"/>
            </w14:solidFill>
          </w14:textFill>
        </w:rPr>
        <w:t>6个月内省级或省级以上</w:t>
      </w:r>
      <w:r>
        <w:rPr>
          <w:rFonts w:hint="eastAsia" w:ascii="宋体" w:hAnsi="宋体" w:cs="宋体"/>
          <w:color w:val="000000" w:themeColor="text1"/>
          <w:szCs w:val="21"/>
          <w14:textFill>
            <w14:solidFill>
              <w14:schemeClr w14:val="tx1"/>
            </w14:solidFill>
          </w14:textFill>
        </w:rPr>
        <w:t>有资质检测机构出具的棉胎</w:t>
      </w:r>
      <w:r>
        <w:rPr>
          <w:rFonts w:hint="eastAsia" w:ascii="宋体" w:hAnsi="宋体" w:cs="宋体"/>
          <w:color w:val="000000" w:themeColor="text1"/>
          <w:szCs w:val="21"/>
          <w:lang w:eastAsia="zh-CN"/>
          <w14:textFill>
            <w14:solidFill>
              <w14:schemeClr w14:val="tx1"/>
            </w14:solidFill>
          </w14:textFill>
        </w:rPr>
        <w:t>和被套</w:t>
      </w:r>
      <w:r>
        <w:rPr>
          <w:rFonts w:hint="eastAsia" w:ascii="宋体" w:hAnsi="宋体" w:cs="宋体"/>
          <w:color w:val="000000" w:themeColor="text1"/>
          <w:szCs w:val="21"/>
          <w14:textFill>
            <w14:solidFill>
              <w14:schemeClr w14:val="tx1"/>
            </w14:solidFill>
          </w14:textFill>
        </w:rPr>
        <w:t>检验报告</w:t>
      </w:r>
      <w:r>
        <w:rPr>
          <w:rFonts w:hint="eastAsia" w:ascii="?????" w:hAnsi="Courier New" w:eastAsia="宋体"/>
          <w:b w:val="0"/>
          <w:bCs/>
          <w:color w:val="000000" w:themeColor="text1"/>
          <w:spacing w:val="-8"/>
          <w:kern w:val="0"/>
          <w:sz w:val="21"/>
          <w:szCs w:val="21"/>
          <w14:textFill>
            <w14:solidFill>
              <w14:schemeClr w14:val="tx1"/>
            </w14:solidFill>
          </w14:textFill>
        </w:rPr>
        <w:t>得</w:t>
      </w:r>
      <w:r>
        <w:rPr>
          <w:rFonts w:hint="eastAsia" w:ascii="?????" w:hAnsi="Courier New"/>
          <w:b w:val="0"/>
          <w:bCs/>
          <w:color w:val="000000" w:themeColor="text1"/>
          <w:spacing w:val="-8"/>
          <w:kern w:val="0"/>
          <w:sz w:val="21"/>
          <w:szCs w:val="21"/>
          <w:lang w:val="en-US" w:eastAsia="zh-CN"/>
          <w14:textFill>
            <w14:solidFill>
              <w14:schemeClr w14:val="tx1"/>
            </w14:solidFill>
          </w14:textFill>
        </w:rPr>
        <w:t>12</w:t>
      </w:r>
      <w:r>
        <w:rPr>
          <w:rFonts w:hint="eastAsia" w:ascii="?????" w:hAnsi="Courier New" w:eastAsia="宋体"/>
          <w:b w:val="0"/>
          <w:bCs/>
          <w:color w:val="000000" w:themeColor="text1"/>
          <w:spacing w:val="-8"/>
          <w:kern w:val="0"/>
          <w:sz w:val="21"/>
          <w:szCs w:val="21"/>
          <w14:textFill>
            <w14:solidFill>
              <w14:schemeClr w14:val="tx1"/>
            </w14:solidFill>
          </w14:textFill>
        </w:rPr>
        <w:t>分</w:t>
      </w:r>
      <w:r>
        <w:rPr>
          <w:rFonts w:hint="eastAsia" w:ascii="?????" w:hAnsi="Courier New"/>
          <w:b w:val="0"/>
          <w:bCs/>
          <w:color w:val="000000" w:themeColor="text1"/>
          <w:spacing w:val="-8"/>
          <w:kern w:val="0"/>
          <w:sz w:val="21"/>
          <w:szCs w:val="21"/>
          <w:lang w:eastAsia="zh-CN"/>
          <w14:textFill>
            <w14:solidFill>
              <w14:schemeClr w14:val="tx1"/>
            </w14:solidFill>
          </w14:textFill>
        </w:rPr>
        <w:t>，</w:t>
      </w:r>
      <w:r>
        <w:rPr>
          <w:rFonts w:hint="eastAsia" w:ascii="?????" w:hAnsi="Courier New" w:eastAsia="宋体"/>
          <w:b w:val="0"/>
          <w:bCs/>
          <w:color w:val="000000" w:themeColor="text1"/>
          <w:spacing w:val="-8"/>
          <w:kern w:val="0"/>
          <w:sz w:val="21"/>
          <w:szCs w:val="21"/>
          <w14:textFill>
            <w14:solidFill>
              <w14:schemeClr w14:val="tx1"/>
            </w14:solidFill>
          </w14:textFill>
        </w:rPr>
        <w:t>不提供或带</w:t>
      </w:r>
      <w:r>
        <w:rPr>
          <w:rFonts w:hint="eastAsia" w:ascii="宋体" w:hAnsi="宋体" w:eastAsia="宋体"/>
          <w:b w:val="0"/>
          <w:bCs/>
          <w:color w:val="000000" w:themeColor="text1"/>
          <w:spacing w:val="-8"/>
          <w:kern w:val="0"/>
          <w:sz w:val="21"/>
          <w:szCs w:val="21"/>
          <w14:textFill>
            <w14:solidFill>
              <w14:schemeClr w14:val="tx1"/>
            </w14:solidFill>
          </w14:textFill>
        </w:rPr>
        <w:t>★</w:t>
      </w:r>
      <w:r>
        <w:rPr>
          <w:rFonts w:hint="eastAsia" w:ascii="?????" w:hAnsi="Courier New" w:eastAsia="宋体"/>
          <w:b w:val="0"/>
          <w:bCs/>
          <w:color w:val="000000" w:themeColor="text1"/>
          <w:spacing w:val="-8"/>
          <w:kern w:val="0"/>
          <w:sz w:val="21"/>
          <w:szCs w:val="21"/>
          <w14:textFill>
            <w14:solidFill>
              <w14:schemeClr w14:val="tx1"/>
            </w14:solidFill>
          </w14:textFill>
        </w:rPr>
        <w:t>号项漏项或不符不得分</w:t>
      </w:r>
      <w:r>
        <w:rPr>
          <w:rFonts w:hint="eastAsia" w:ascii="?????" w:hAnsi="Courier New"/>
          <w:b w:val="0"/>
          <w:bCs/>
          <w:color w:val="000000" w:themeColor="text1"/>
          <w:spacing w:val="-8"/>
          <w:kern w:val="0"/>
          <w:sz w:val="21"/>
          <w:szCs w:val="21"/>
          <w:lang w:eastAsia="zh-CN"/>
          <w14:textFill>
            <w14:solidFill>
              <w14:schemeClr w14:val="tx1"/>
            </w14:solidFill>
          </w14:textFill>
        </w:rPr>
        <w:t>（</w:t>
      </w:r>
      <w:r>
        <w:rPr>
          <w:rFonts w:hint="eastAsia" w:ascii="?????" w:hAnsi="Courier New"/>
          <w:b w:val="0"/>
          <w:bCs/>
          <w:color w:val="000000" w:themeColor="text1"/>
          <w:spacing w:val="-8"/>
          <w:kern w:val="0"/>
          <w:sz w:val="21"/>
          <w:szCs w:val="21"/>
          <w:lang w:val="en-US" w:eastAsia="zh-CN"/>
          <w14:textFill>
            <w14:solidFill>
              <w14:schemeClr w14:val="tx1"/>
            </w14:solidFill>
          </w14:textFill>
        </w:rPr>
        <w:t>需</w:t>
      </w:r>
      <w:r>
        <w:rPr>
          <w:rFonts w:hint="eastAsia" w:ascii="宋体" w:hAnsi="宋体" w:eastAsia="宋体" w:cs="宋体"/>
          <w:color w:val="000000" w:themeColor="text1"/>
          <w:sz w:val="21"/>
          <w:szCs w:val="21"/>
          <w14:textFill>
            <w14:solidFill>
              <w14:schemeClr w14:val="tx1"/>
            </w14:solidFill>
          </w14:textFill>
        </w:rPr>
        <w:t>原件</w:t>
      </w:r>
      <w:r>
        <w:rPr>
          <w:rFonts w:hint="eastAsia" w:ascii="宋体" w:hAnsi="宋体" w:eastAsia="宋体" w:cs="宋体"/>
          <w:color w:val="000000" w:themeColor="text1"/>
          <w:kern w:val="2"/>
          <w:sz w:val="21"/>
          <w:szCs w:val="21"/>
          <w14:textFill>
            <w14:solidFill>
              <w14:schemeClr w14:val="tx1"/>
            </w14:solidFill>
          </w14:textFill>
        </w:rPr>
        <w:t>进行核查</w:t>
      </w:r>
      <w:r>
        <w:rPr>
          <w:rFonts w:hint="eastAsia" w:ascii="?????" w:hAnsi="Courier New"/>
          <w:b w:val="0"/>
          <w:bCs/>
          <w:color w:val="000000" w:themeColor="text1"/>
          <w:spacing w:val="-8"/>
          <w:kern w:val="0"/>
          <w:sz w:val="21"/>
          <w:szCs w:val="21"/>
          <w:lang w:eastAsia="zh-CN"/>
          <w14:textFill>
            <w14:solidFill>
              <w14:schemeClr w14:val="tx1"/>
            </w14:solidFill>
          </w14:textFill>
        </w:rPr>
        <w:t>）</w:t>
      </w:r>
      <w:r>
        <w:rPr>
          <w:rFonts w:hint="eastAsia" w:ascii="?????" w:hAnsi="Courier New" w:eastAsia="宋体"/>
          <w:b w:val="0"/>
          <w:bCs/>
          <w:color w:val="000000" w:themeColor="text1"/>
          <w:spacing w:val="-8"/>
          <w:kern w:val="0"/>
          <w:sz w:val="21"/>
          <w:szCs w:val="21"/>
          <w14:textFill>
            <w14:solidFill>
              <w14:schemeClr w14:val="tx1"/>
            </w14:solidFill>
          </w14:textFill>
        </w:rPr>
        <w:t>；</w:t>
      </w:r>
    </w:p>
    <w:p>
      <w:pPr>
        <w:widowControl/>
        <w:tabs>
          <w:tab w:val="left" w:pos="4214"/>
        </w:tabs>
        <w:adjustRightInd/>
        <w:spacing w:line="440" w:lineRule="exact"/>
        <w:ind w:firstLine="388" w:firstLineChars="200"/>
        <w:rPr>
          <w:rFonts w:ascii="?????" w:hAnsi="Courier New" w:eastAsia="宋体"/>
          <w:b w:val="0"/>
          <w:bCs/>
          <w:color w:val="000000" w:themeColor="text1"/>
          <w:spacing w:val="-8"/>
          <w:kern w:val="0"/>
          <w:sz w:val="21"/>
          <w:szCs w:val="21"/>
          <w14:textFill>
            <w14:solidFill>
              <w14:schemeClr w14:val="tx1"/>
            </w14:solidFill>
          </w14:textFill>
        </w:rPr>
      </w:pPr>
      <w:r>
        <w:rPr>
          <w:rFonts w:hint="eastAsia" w:ascii="?????" w:hAnsi="Courier New" w:eastAsia="宋体"/>
          <w:b w:val="0"/>
          <w:bCs/>
          <w:color w:val="000000" w:themeColor="text1"/>
          <w:spacing w:val="-8"/>
          <w:kern w:val="0"/>
          <w:sz w:val="21"/>
          <w:szCs w:val="21"/>
          <w14:textFill>
            <w14:solidFill>
              <w14:schemeClr w14:val="tx1"/>
            </w14:solidFill>
          </w14:textFill>
        </w:rPr>
        <w:t>2.</w:t>
      </w:r>
      <w:r>
        <w:rPr>
          <w:rFonts w:hint="eastAsia" w:ascii="?????" w:hAnsi="Courier New"/>
          <w:b w:val="0"/>
          <w:bCs/>
          <w:color w:val="000000" w:themeColor="text1"/>
          <w:spacing w:val="-8"/>
          <w:kern w:val="0"/>
          <w:sz w:val="21"/>
          <w:szCs w:val="21"/>
          <w:lang w:val="en-US" w:eastAsia="zh-CN"/>
          <w14:textFill>
            <w14:solidFill>
              <w14:schemeClr w14:val="tx1"/>
            </w14:solidFill>
          </w14:textFill>
        </w:rPr>
        <w:t>3</w:t>
      </w:r>
      <w:r>
        <w:rPr>
          <w:rFonts w:hint="eastAsia" w:ascii="?????" w:hAnsi="Courier New" w:eastAsia="宋体"/>
          <w:b w:val="0"/>
          <w:bCs/>
          <w:color w:val="000000" w:themeColor="text1"/>
          <w:spacing w:val="-8"/>
          <w:kern w:val="0"/>
          <w:sz w:val="21"/>
          <w:szCs w:val="21"/>
          <w14:textFill>
            <w14:solidFill>
              <w14:schemeClr w14:val="tx1"/>
            </w14:solidFill>
          </w14:textFill>
        </w:rPr>
        <w:t>、为</w:t>
      </w:r>
      <w:r>
        <w:rPr>
          <w:rFonts w:ascii="?????" w:hAnsi="Courier New" w:eastAsia="宋体"/>
          <w:b w:val="0"/>
          <w:bCs/>
          <w:color w:val="000000" w:themeColor="text1"/>
          <w:spacing w:val="-8"/>
          <w:kern w:val="0"/>
          <w:sz w:val="21"/>
          <w:szCs w:val="21"/>
          <w14:textFill>
            <w14:solidFill>
              <w14:schemeClr w14:val="tx1"/>
            </w14:solidFill>
          </w14:textFill>
        </w:rPr>
        <w:t>保证为民救灾物资质量</w:t>
      </w:r>
      <w:r>
        <w:rPr>
          <w:rFonts w:hint="eastAsia" w:ascii="?????" w:hAnsi="Courier New" w:eastAsia="宋体"/>
          <w:b w:val="0"/>
          <w:bCs/>
          <w:color w:val="000000" w:themeColor="text1"/>
          <w:spacing w:val="-8"/>
          <w:kern w:val="0"/>
          <w:sz w:val="21"/>
          <w:szCs w:val="21"/>
          <w14:textFill>
            <w14:solidFill>
              <w14:schemeClr w14:val="tx1"/>
            </w14:solidFill>
          </w14:textFill>
        </w:rPr>
        <w:t>符合</w:t>
      </w:r>
      <w:r>
        <w:rPr>
          <w:rFonts w:ascii="?????" w:hAnsi="Courier New" w:eastAsia="宋体"/>
          <w:b w:val="0"/>
          <w:bCs/>
          <w:color w:val="000000" w:themeColor="text1"/>
          <w:spacing w:val="-8"/>
          <w:kern w:val="0"/>
          <w:sz w:val="21"/>
          <w:szCs w:val="21"/>
          <w14:textFill>
            <w14:solidFill>
              <w14:schemeClr w14:val="tx1"/>
            </w14:solidFill>
          </w14:textFill>
        </w:rPr>
        <w:t>国家</w:t>
      </w:r>
      <w:r>
        <w:rPr>
          <w:rFonts w:hint="eastAsia" w:ascii="宋体" w:hAnsi="宋体" w:cs="宋体"/>
          <w:color w:val="000000" w:themeColor="text1"/>
          <w:kern w:val="0"/>
          <w:sz w:val="21"/>
          <w:szCs w:val="21"/>
          <w:lang w:bidi="ar"/>
          <w14:textFill>
            <w14:solidFill>
              <w14:schemeClr w14:val="tx1"/>
            </w14:solidFill>
          </w14:textFill>
        </w:rPr>
        <w:t>床单</w:t>
      </w:r>
      <w:r>
        <w:rPr>
          <w:rFonts w:ascii="?????" w:hAnsi="Courier New" w:eastAsia="宋体"/>
          <w:b w:val="0"/>
          <w:bCs/>
          <w:color w:val="000000" w:themeColor="text1"/>
          <w:spacing w:val="-8"/>
          <w:kern w:val="0"/>
          <w:sz w:val="21"/>
          <w:szCs w:val="21"/>
          <w14:textFill>
            <w14:solidFill>
              <w14:schemeClr w14:val="tx1"/>
            </w14:solidFill>
          </w14:textFill>
        </w:rPr>
        <w:t>执行标准</w:t>
      </w:r>
      <w:r>
        <w:rPr>
          <w:rFonts w:hint="eastAsia" w:ascii="?????" w:hAnsi="Courier New" w:eastAsia="宋体"/>
          <w:b w:val="0"/>
          <w:bCs/>
          <w:color w:val="000000" w:themeColor="text1"/>
          <w:spacing w:val="-8"/>
          <w:kern w:val="0"/>
          <w:sz w:val="21"/>
          <w:szCs w:val="21"/>
          <w14:textFill>
            <w14:solidFill>
              <w14:schemeClr w14:val="tx1"/>
            </w14:solidFill>
          </w14:textFill>
        </w:rPr>
        <w:t>，所投▲</w:t>
      </w:r>
      <w:r>
        <w:rPr>
          <w:rFonts w:hint="eastAsia" w:ascii="宋体" w:hAnsi="宋体" w:cs="宋体"/>
          <w:color w:val="000000" w:themeColor="text1"/>
          <w:kern w:val="0"/>
          <w:sz w:val="24"/>
          <w:lang w:bidi="ar"/>
          <w14:textFill>
            <w14:solidFill>
              <w14:schemeClr w14:val="tx1"/>
            </w14:solidFill>
          </w14:textFill>
        </w:rPr>
        <w:t>床单</w:t>
      </w:r>
      <w:r>
        <w:rPr>
          <w:rFonts w:hint="eastAsia" w:ascii="宋体" w:hAnsi="宋体" w:cs="宋体"/>
          <w:color w:val="000000" w:themeColor="text1"/>
          <w:kern w:val="0"/>
          <w:sz w:val="24"/>
          <w:lang w:eastAsia="zh-CN" w:bidi="ar"/>
          <w14:textFill>
            <w14:solidFill>
              <w14:schemeClr w14:val="tx1"/>
            </w14:solidFill>
          </w14:textFill>
        </w:rPr>
        <w:t>，</w:t>
      </w:r>
      <w:r>
        <w:rPr>
          <w:rFonts w:hint="eastAsia" w:ascii="?????" w:hAnsi="Courier New" w:eastAsia="宋体"/>
          <w:b w:val="0"/>
          <w:bCs/>
          <w:color w:val="000000" w:themeColor="text1"/>
          <w:spacing w:val="-8"/>
          <w:kern w:val="0"/>
          <w:sz w:val="21"/>
          <w:szCs w:val="21"/>
          <w14:textFill>
            <w14:solidFill>
              <w14:schemeClr w14:val="tx1"/>
            </w14:solidFill>
          </w14:textFill>
        </w:rPr>
        <w:t>提供具有</w:t>
      </w:r>
      <w:r>
        <w:rPr>
          <w:rFonts w:hint="eastAsia" w:ascii="宋体" w:hAnsi="宋体"/>
          <w:color w:val="000000" w:themeColor="text1"/>
          <w:szCs w:val="21"/>
          <w14:textFill>
            <w14:solidFill>
              <w14:schemeClr w14:val="tx1"/>
            </w14:solidFill>
          </w14:textFill>
        </w:rPr>
        <w:t>近6个月内省级或省级以上</w:t>
      </w:r>
      <w:r>
        <w:rPr>
          <w:rFonts w:hint="eastAsia" w:ascii="宋体" w:hAnsi="宋体" w:cs="宋体"/>
          <w:color w:val="000000" w:themeColor="text1"/>
          <w:szCs w:val="21"/>
          <w14:textFill>
            <w14:solidFill>
              <w14:schemeClr w14:val="tx1"/>
            </w14:solidFill>
          </w14:textFill>
        </w:rPr>
        <w:t>有资质检测机构出具的棉胎检验报告</w:t>
      </w:r>
      <w:r>
        <w:rPr>
          <w:rFonts w:hint="eastAsia" w:ascii="?????" w:hAnsi="Courier New" w:eastAsia="宋体"/>
          <w:b w:val="0"/>
          <w:bCs/>
          <w:color w:val="000000" w:themeColor="text1"/>
          <w:spacing w:val="-8"/>
          <w:kern w:val="0"/>
          <w:sz w:val="21"/>
          <w:szCs w:val="21"/>
          <w14:textFill>
            <w14:solidFill>
              <w14:schemeClr w14:val="tx1"/>
            </w14:solidFill>
          </w14:textFill>
        </w:rPr>
        <w:t>得</w:t>
      </w:r>
      <w:r>
        <w:rPr>
          <w:rFonts w:hint="eastAsia" w:ascii="?????" w:hAnsi="Courier New"/>
          <w:b w:val="0"/>
          <w:bCs/>
          <w:color w:val="000000" w:themeColor="text1"/>
          <w:spacing w:val="-8"/>
          <w:kern w:val="0"/>
          <w:sz w:val="21"/>
          <w:szCs w:val="21"/>
          <w:lang w:val="en-US" w:eastAsia="zh-CN"/>
          <w14:textFill>
            <w14:solidFill>
              <w14:schemeClr w14:val="tx1"/>
            </w14:solidFill>
          </w14:textFill>
        </w:rPr>
        <w:t>6</w:t>
      </w:r>
      <w:r>
        <w:rPr>
          <w:rFonts w:hint="eastAsia" w:ascii="?????" w:hAnsi="Courier New" w:eastAsia="宋体"/>
          <w:b w:val="0"/>
          <w:bCs/>
          <w:color w:val="000000" w:themeColor="text1"/>
          <w:spacing w:val="-8"/>
          <w:kern w:val="0"/>
          <w:sz w:val="21"/>
          <w:szCs w:val="21"/>
          <w14:textFill>
            <w14:solidFill>
              <w14:schemeClr w14:val="tx1"/>
            </w14:solidFill>
          </w14:textFill>
        </w:rPr>
        <w:t>分，不提供或带</w:t>
      </w:r>
      <w:r>
        <w:rPr>
          <w:rFonts w:hint="eastAsia" w:ascii="宋体" w:hAnsi="宋体" w:eastAsia="宋体"/>
          <w:b w:val="0"/>
          <w:bCs/>
          <w:color w:val="000000" w:themeColor="text1"/>
          <w:spacing w:val="-8"/>
          <w:kern w:val="0"/>
          <w:sz w:val="21"/>
          <w:szCs w:val="21"/>
          <w14:textFill>
            <w14:solidFill>
              <w14:schemeClr w14:val="tx1"/>
            </w14:solidFill>
          </w14:textFill>
        </w:rPr>
        <w:t>★</w:t>
      </w:r>
      <w:r>
        <w:rPr>
          <w:rFonts w:hint="eastAsia" w:ascii="?????" w:hAnsi="Courier New" w:eastAsia="宋体"/>
          <w:b w:val="0"/>
          <w:bCs/>
          <w:color w:val="000000" w:themeColor="text1"/>
          <w:spacing w:val="-8"/>
          <w:kern w:val="0"/>
          <w:sz w:val="21"/>
          <w:szCs w:val="21"/>
          <w14:textFill>
            <w14:solidFill>
              <w14:schemeClr w14:val="tx1"/>
            </w14:solidFill>
          </w14:textFill>
        </w:rPr>
        <w:t>号项漏项或不符不得分</w:t>
      </w:r>
      <w:r>
        <w:rPr>
          <w:rFonts w:hint="eastAsia" w:ascii="?????" w:hAnsi="Courier New"/>
          <w:b w:val="0"/>
          <w:bCs/>
          <w:color w:val="000000" w:themeColor="text1"/>
          <w:spacing w:val="-8"/>
          <w:kern w:val="0"/>
          <w:sz w:val="21"/>
          <w:szCs w:val="21"/>
          <w:lang w:eastAsia="zh-CN"/>
          <w14:textFill>
            <w14:solidFill>
              <w14:schemeClr w14:val="tx1"/>
            </w14:solidFill>
          </w14:textFill>
        </w:rPr>
        <w:t>，（</w:t>
      </w:r>
      <w:r>
        <w:rPr>
          <w:rFonts w:hint="eastAsia" w:ascii="?????" w:hAnsi="Courier New"/>
          <w:b w:val="0"/>
          <w:bCs/>
          <w:color w:val="000000" w:themeColor="text1"/>
          <w:spacing w:val="-8"/>
          <w:kern w:val="0"/>
          <w:sz w:val="21"/>
          <w:szCs w:val="21"/>
          <w:lang w:val="en-US" w:eastAsia="zh-CN"/>
          <w14:textFill>
            <w14:solidFill>
              <w14:schemeClr w14:val="tx1"/>
            </w14:solidFill>
          </w14:textFill>
        </w:rPr>
        <w:t>需</w:t>
      </w:r>
      <w:r>
        <w:rPr>
          <w:rFonts w:hint="eastAsia" w:ascii="宋体" w:hAnsi="宋体" w:eastAsia="宋体" w:cs="宋体"/>
          <w:color w:val="000000" w:themeColor="text1"/>
          <w:sz w:val="21"/>
          <w:szCs w:val="21"/>
          <w14:textFill>
            <w14:solidFill>
              <w14:schemeClr w14:val="tx1"/>
            </w14:solidFill>
          </w14:textFill>
        </w:rPr>
        <w:t>原件</w:t>
      </w:r>
      <w:r>
        <w:rPr>
          <w:rFonts w:hint="eastAsia" w:ascii="宋体" w:hAnsi="宋体" w:eastAsia="宋体" w:cs="宋体"/>
          <w:color w:val="000000" w:themeColor="text1"/>
          <w:kern w:val="2"/>
          <w:sz w:val="21"/>
          <w:szCs w:val="21"/>
          <w14:textFill>
            <w14:solidFill>
              <w14:schemeClr w14:val="tx1"/>
            </w14:solidFill>
          </w14:textFill>
        </w:rPr>
        <w:t>进行核查</w:t>
      </w:r>
      <w:r>
        <w:rPr>
          <w:rFonts w:hint="eastAsia" w:ascii="?????" w:hAnsi="Courier New"/>
          <w:b w:val="0"/>
          <w:bCs/>
          <w:color w:val="000000" w:themeColor="text1"/>
          <w:spacing w:val="-8"/>
          <w:kern w:val="0"/>
          <w:sz w:val="21"/>
          <w:szCs w:val="21"/>
          <w:lang w:eastAsia="zh-CN"/>
          <w14:textFill>
            <w14:solidFill>
              <w14:schemeClr w14:val="tx1"/>
            </w14:solidFill>
          </w14:textFill>
        </w:rPr>
        <w:t>）</w:t>
      </w:r>
      <w:r>
        <w:rPr>
          <w:rFonts w:hint="eastAsia" w:ascii="?????" w:hAnsi="Courier New" w:eastAsia="宋体"/>
          <w:b w:val="0"/>
          <w:bCs/>
          <w:color w:val="000000" w:themeColor="text1"/>
          <w:spacing w:val="-8"/>
          <w:kern w:val="0"/>
          <w:sz w:val="21"/>
          <w:szCs w:val="21"/>
          <w14:textFill>
            <w14:solidFill>
              <w14:schemeClr w14:val="tx1"/>
            </w14:solidFill>
          </w14:textFill>
        </w:rPr>
        <w:t>；</w:t>
      </w:r>
    </w:p>
    <w:p>
      <w:pPr>
        <w:widowControl/>
        <w:tabs>
          <w:tab w:val="left" w:pos="4214"/>
        </w:tabs>
        <w:adjustRightInd/>
        <w:spacing w:line="440" w:lineRule="exact"/>
        <w:ind w:firstLine="388" w:firstLineChars="200"/>
        <w:rPr>
          <w:rFonts w:ascii="?????" w:hAnsi="Courier New" w:eastAsia="宋体"/>
          <w:b w:val="0"/>
          <w:bCs/>
          <w:color w:val="000000" w:themeColor="text1"/>
          <w:spacing w:val="-8"/>
          <w:kern w:val="0"/>
          <w:sz w:val="21"/>
          <w:szCs w:val="21"/>
          <w14:textFill>
            <w14:solidFill>
              <w14:schemeClr w14:val="tx1"/>
            </w14:solidFill>
          </w14:textFill>
        </w:rPr>
      </w:pPr>
      <w:r>
        <w:rPr>
          <w:rFonts w:hint="eastAsia" w:ascii="?????" w:hAnsi="Courier New" w:eastAsia="宋体"/>
          <w:b w:val="0"/>
          <w:bCs/>
          <w:color w:val="000000" w:themeColor="text1"/>
          <w:spacing w:val="-8"/>
          <w:kern w:val="0"/>
          <w:sz w:val="21"/>
          <w:szCs w:val="21"/>
          <w14:textFill>
            <w14:solidFill>
              <w14:schemeClr w14:val="tx1"/>
            </w14:solidFill>
          </w14:textFill>
        </w:rPr>
        <w:t>2.</w:t>
      </w:r>
      <w:r>
        <w:rPr>
          <w:rFonts w:hint="eastAsia" w:ascii="?????" w:hAnsi="Courier New"/>
          <w:b w:val="0"/>
          <w:bCs/>
          <w:color w:val="000000" w:themeColor="text1"/>
          <w:spacing w:val="-8"/>
          <w:kern w:val="0"/>
          <w:sz w:val="21"/>
          <w:szCs w:val="21"/>
          <w:lang w:val="en-US" w:eastAsia="zh-CN"/>
          <w14:textFill>
            <w14:solidFill>
              <w14:schemeClr w14:val="tx1"/>
            </w14:solidFill>
          </w14:textFill>
        </w:rPr>
        <w:t>4</w:t>
      </w:r>
      <w:r>
        <w:rPr>
          <w:rFonts w:hint="eastAsia" w:ascii="?????" w:hAnsi="Courier New" w:eastAsia="宋体"/>
          <w:b w:val="0"/>
          <w:bCs/>
          <w:color w:val="000000" w:themeColor="text1"/>
          <w:spacing w:val="-8"/>
          <w:kern w:val="0"/>
          <w:sz w:val="21"/>
          <w:szCs w:val="21"/>
          <w14:textFill>
            <w14:solidFill>
              <w14:schemeClr w14:val="tx1"/>
            </w14:solidFill>
          </w14:textFill>
        </w:rPr>
        <w:t>、为</w:t>
      </w:r>
      <w:r>
        <w:rPr>
          <w:rFonts w:ascii="?????" w:hAnsi="Courier New" w:eastAsia="宋体"/>
          <w:b w:val="0"/>
          <w:bCs/>
          <w:color w:val="000000" w:themeColor="text1"/>
          <w:spacing w:val="-8"/>
          <w:kern w:val="0"/>
          <w:sz w:val="21"/>
          <w:szCs w:val="21"/>
          <w14:textFill>
            <w14:solidFill>
              <w14:schemeClr w14:val="tx1"/>
            </w14:solidFill>
          </w14:textFill>
        </w:rPr>
        <w:t>保证为</w:t>
      </w:r>
      <w:r>
        <w:rPr>
          <w:rFonts w:hint="eastAsia" w:ascii="宋体" w:hAnsi="宋体" w:cs="宋体"/>
          <w:color w:val="000000" w:themeColor="text1"/>
          <w:szCs w:val="21"/>
          <w14:textFill>
            <w14:solidFill>
              <w14:schemeClr w14:val="tx1"/>
            </w14:solidFill>
          </w14:textFill>
        </w:rPr>
        <w:t>民救灾物资质量符合国家劳保防滑手套执行标准，所投▲劳保防滑手套，提供具有近6个月内省级或省级以上有资质检测机构出具的棉胎检验报告得</w:t>
      </w:r>
      <w:r>
        <w:rPr>
          <w:rFonts w:hint="eastAsia" w:ascii="宋体" w:hAnsi="宋体" w:cs="宋体"/>
          <w:color w:val="000000" w:themeColor="text1"/>
          <w:szCs w:val="21"/>
          <w:lang w:val="en-US" w:eastAsia="zh-CN"/>
          <w14:textFill>
            <w14:solidFill>
              <w14:schemeClr w14:val="tx1"/>
            </w14:solidFill>
          </w14:textFill>
        </w:rPr>
        <w:t>6</w:t>
      </w:r>
      <w:r>
        <w:rPr>
          <w:rFonts w:hint="eastAsia" w:ascii="宋体" w:hAnsi="宋体" w:cs="宋体"/>
          <w:color w:val="000000" w:themeColor="text1"/>
          <w:szCs w:val="21"/>
          <w14:textFill>
            <w14:solidFill>
              <w14:schemeClr w14:val="tx1"/>
            </w14:solidFill>
          </w14:textFill>
        </w:rPr>
        <w:t>分，不提供或带★号项漏项或不符不得分</w:t>
      </w:r>
      <w:r>
        <w:rPr>
          <w:rFonts w:hint="eastAsia" w:ascii="宋体" w:hAnsi="宋体" w:cs="宋体"/>
          <w:color w:val="000000" w:themeColor="text1"/>
          <w:szCs w:val="21"/>
          <w:lang w:eastAsia="zh-CN"/>
          <w14:textFill>
            <w14:solidFill>
              <w14:schemeClr w14:val="tx1"/>
            </w14:solidFill>
          </w14:textFill>
        </w:rPr>
        <w:t>，（</w:t>
      </w:r>
      <w:r>
        <w:rPr>
          <w:rFonts w:hint="eastAsia" w:ascii="?????" w:hAnsi="Courier New"/>
          <w:b w:val="0"/>
          <w:bCs/>
          <w:color w:val="000000" w:themeColor="text1"/>
          <w:spacing w:val="-8"/>
          <w:kern w:val="0"/>
          <w:sz w:val="21"/>
          <w:szCs w:val="21"/>
          <w:lang w:val="en-US" w:eastAsia="zh-CN"/>
          <w14:textFill>
            <w14:solidFill>
              <w14:schemeClr w14:val="tx1"/>
            </w14:solidFill>
          </w14:textFill>
        </w:rPr>
        <w:t>需</w:t>
      </w:r>
      <w:r>
        <w:rPr>
          <w:rFonts w:hint="eastAsia" w:ascii="宋体" w:hAnsi="宋体" w:eastAsia="宋体" w:cs="宋体"/>
          <w:color w:val="000000" w:themeColor="text1"/>
          <w:sz w:val="21"/>
          <w:szCs w:val="21"/>
          <w14:textFill>
            <w14:solidFill>
              <w14:schemeClr w14:val="tx1"/>
            </w14:solidFill>
          </w14:textFill>
        </w:rPr>
        <w:t>原件</w:t>
      </w:r>
      <w:r>
        <w:rPr>
          <w:rFonts w:hint="eastAsia" w:ascii="宋体" w:hAnsi="宋体" w:eastAsia="宋体" w:cs="宋体"/>
          <w:color w:val="000000" w:themeColor="text1"/>
          <w:kern w:val="2"/>
          <w:sz w:val="21"/>
          <w:szCs w:val="21"/>
          <w14:textFill>
            <w14:solidFill>
              <w14:schemeClr w14:val="tx1"/>
            </w14:solidFill>
          </w14:textFill>
        </w:rPr>
        <w:t>进行核查</w:t>
      </w:r>
      <w:r>
        <w:rPr>
          <w:rFonts w:hint="eastAsia" w:ascii="?????" w:hAnsi="Courier New"/>
          <w:b w:val="0"/>
          <w:bCs/>
          <w:color w:val="000000" w:themeColor="text1"/>
          <w:spacing w:val="-8"/>
          <w:kern w:val="0"/>
          <w:sz w:val="21"/>
          <w:szCs w:val="21"/>
          <w:lang w:eastAsia="zh-CN"/>
          <w14:textFill>
            <w14:solidFill>
              <w14:schemeClr w14:val="tx1"/>
            </w14:solidFill>
          </w14:textFill>
        </w:rPr>
        <w:t>）</w:t>
      </w:r>
      <w:r>
        <w:rPr>
          <w:rFonts w:hint="eastAsia" w:ascii="?????" w:hAnsi="Courier New" w:eastAsia="宋体"/>
          <w:b w:val="0"/>
          <w:bCs/>
          <w:color w:val="000000" w:themeColor="text1"/>
          <w:spacing w:val="-8"/>
          <w:kern w:val="0"/>
          <w:sz w:val="21"/>
          <w:szCs w:val="21"/>
          <w14:textFill>
            <w14:solidFill>
              <w14:schemeClr w14:val="tx1"/>
            </w14:solidFill>
          </w14:textFill>
        </w:rPr>
        <w:t>；</w:t>
      </w:r>
    </w:p>
    <w:p>
      <w:pPr>
        <w:widowControl/>
        <w:tabs>
          <w:tab w:val="left" w:pos="4214"/>
        </w:tabs>
        <w:adjustRightInd/>
        <w:spacing w:line="440" w:lineRule="exact"/>
        <w:rPr>
          <w:rFonts w:ascii="宋体" w:hAnsi="宋体"/>
          <w:b/>
          <w:bCs/>
          <w:color w:val="000000" w:themeColor="text1"/>
          <w:szCs w:val="20"/>
          <w14:textFill>
            <w14:solidFill>
              <w14:schemeClr w14:val="tx1"/>
            </w14:solidFill>
          </w14:textFill>
        </w:rPr>
      </w:pPr>
      <w:r>
        <w:rPr>
          <w:rFonts w:ascii="宋体" w:hAnsi="宋体"/>
          <w:b/>
          <w:bCs/>
          <w:color w:val="000000" w:themeColor="text1"/>
          <w:szCs w:val="20"/>
          <w14:textFill>
            <w14:solidFill>
              <w14:schemeClr w14:val="tx1"/>
            </w14:solidFill>
          </w14:textFill>
        </w:rPr>
        <w:t>3、项目</w:t>
      </w:r>
      <w:r>
        <w:rPr>
          <w:rFonts w:hint="eastAsia" w:ascii="宋体" w:hAnsi="宋体"/>
          <w:b/>
          <w:bCs/>
          <w:color w:val="000000" w:themeColor="text1"/>
          <w:szCs w:val="20"/>
          <w14:textFill>
            <w14:solidFill>
              <w14:schemeClr w14:val="tx1"/>
            </w14:solidFill>
          </w14:textFill>
        </w:rPr>
        <w:t>实施</w:t>
      </w:r>
      <w:r>
        <w:rPr>
          <w:rFonts w:ascii="宋体" w:hAnsi="宋体"/>
          <w:b/>
          <w:bCs/>
          <w:color w:val="000000" w:themeColor="text1"/>
          <w:szCs w:val="20"/>
          <w14:textFill>
            <w14:solidFill>
              <w14:schemeClr w14:val="tx1"/>
            </w14:solidFill>
          </w14:textFill>
        </w:rPr>
        <w:t>方案</w:t>
      </w:r>
      <w:r>
        <w:rPr>
          <w:rFonts w:hint="eastAsia" w:ascii="宋体" w:hAnsi="宋体"/>
          <w:b/>
          <w:bCs/>
          <w:color w:val="000000" w:themeColor="text1"/>
          <w:szCs w:val="20"/>
          <w14:textFill>
            <w14:solidFill>
              <w14:schemeClr w14:val="tx1"/>
            </w14:solidFill>
          </w14:textFill>
        </w:rPr>
        <w:t>分</w:t>
      </w:r>
      <w:r>
        <w:rPr>
          <w:rFonts w:ascii="宋体" w:hAnsi="宋体"/>
          <w:b/>
          <w:bCs/>
          <w:color w:val="000000" w:themeColor="text1"/>
          <w:szCs w:val="20"/>
          <w14:textFill>
            <w14:solidFill>
              <w14:schemeClr w14:val="tx1"/>
            </w14:solidFill>
          </w14:textFill>
        </w:rPr>
        <w:t>…</w:t>
      </w:r>
      <w:r>
        <w:rPr>
          <w:rFonts w:hint="eastAsia" w:ascii="宋体" w:hAnsi="宋体"/>
          <w:b/>
          <w:bCs/>
          <w:color w:val="000000" w:themeColor="text1"/>
          <w:szCs w:val="21"/>
          <w14:textFill>
            <w14:solidFill>
              <w14:schemeClr w14:val="tx1"/>
            </w14:solidFill>
          </w14:textFill>
        </w:rPr>
        <w:t>……………………………………</w:t>
      </w:r>
      <w:r>
        <w:rPr>
          <w:rFonts w:ascii="宋体" w:hAnsi="宋体"/>
          <w:b/>
          <w:bCs/>
          <w:color w:val="000000" w:themeColor="text1"/>
          <w:szCs w:val="20"/>
          <w14:textFill>
            <w14:solidFill>
              <w14:schemeClr w14:val="tx1"/>
            </w14:solidFill>
          </w14:textFill>
        </w:rPr>
        <w:t>……………………………满分</w:t>
      </w:r>
      <w:r>
        <w:rPr>
          <w:rFonts w:hint="eastAsia" w:ascii="宋体" w:hAnsi="宋体"/>
          <w:b/>
          <w:bCs/>
          <w:color w:val="000000" w:themeColor="text1"/>
          <w:szCs w:val="20"/>
          <w14:textFill>
            <w14:solidFill>
              <w14:schemeClr w14:val="tx1"/>
            </w14:solidFill>
          </w14:textFill>
        </w:rPr>
        <w:t>2</w:t>
      </w:r>
      <w:r>
        <w:rPr>
          <w:rFonts w:hint="eastAsia" w:ascii="宋体" w:hAnsi="宋体"/>
          <w:b/>
          <w:bCs/>
          <w:color w:val="000000" w:themeColor="text1"/>
          <w:szCs w:val="20"/>
          <w:lang w:val="en-US" w:eastAsia="zh-CN"/>
          <w14:textFill>
            <w14:solidFill>
              <w14:schemeClr w14:val="tx1"/>
            </w14:solidFill>
          </w14:textFill>
        </w:rPr>
        <w:t>0</w:t>
      </w:r>
      <w:r>
        <w:rPr>
          <w:rFonts w:ascii="宋体" w:hAnsi="宋体"/>
          <w:b/>
          <w:bCs/>
          <w:color w:val="000000" w:themeColor="text1"/>
          <w:szCs w:val="20"/>
          <w14:textFill>
            <w14:solidFill>
              <w14:schemeClr w14:val="tx1"/>
            </w14:solidFill>
          </w14:textFill>
        </w:rPr>
        <w:t>分</w:t>
      </w:r>
    </w:p>
    <w:p>
      <w:pPr>
        <w:widowControl/>
        <w:tabs>
          <w:tab w:val="left" w:pos="1170"/>
        </w:tabs>
        <w:adjustRightInd/>
        <w:spacing w:line="440" w:lineRule="exact"/>
        <w:ind w:firstLine="420" w:firstLineChars="200"/>
        <w:jc w:val="lef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由评标委员会根据各供应商提供《项目实施方案》（</w:t>
      </w:r>
      <w:r>
        <w:rPr>
          <w:rFonts w:hint="eastAsia" w:ascii="宋体" w:hAnsi="宋体"/>
          <w:color w:val="000000" w:themeColor="text1"/>
          <w:szCs w:val="21"/>
          <w14:textFill>
            <w14:solidFill>
              <w14:schemeClr w14:val="tx1"/>
            </w14:solidFill>
          </w14:textFill>
        </w:rPr>
        <w:t>如质量保障措施</w:t>
      </w:r>
      <w:r>
        <w:rPr>
          <w:rFonts w:ascii="宋体" w:hAnsi="宋体"/>
          <w:color w:val="000000" w:themeColor="text1"/>
          <w:szCs w:val="21"/>
          <w14:textFill>
            <w14:solidFill>
              <w14:schemeClr w14:val="tx1"/>
            </w14:solidFill>
          </w14:textFill>
        </w:rPr>
        <w:t>、保证工期等内容）进行比较，集中讨论各供应商所属档次，在相应档次内打分。</w:t>
      </w:r>
    </w:p>
    <w:p>
      <w:pPr>
        <w:widowControl/>
        <w:tabs>
          <w:tab w:val="left" w:pos="1170"/>
        </w:tabs>
        <w:adjustRightInd/>
        <w:spacing w:line="440" w:lineRule="exact"/>
        <w:ind w:firstLine="420" w:firstLineChars="200"/>
        <w:jc w:val="lef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一档（</w:t>
      </w:r>
      <w:r>
        <w:rPr>
          <w:rFonts w:hint="eastAsia" w:ascii="宋体" w:hAnsi="宋体"/>
          <w:color w:val="000000" w:themeColor="text1"/>
          <w:szCs w:val="21"/>
          <w:lang w:val="en-US" w:eastAsia="zh-CN"/>
          <w14:textFill>
            <w14:solidFill>
              <w14:schemeClr w14:val="tx1"/>
            </w14:solidFill>
          </w14:textFill>
        </w:rPr>
        <w:t>9</w:t>
      </w:r>
      <w:r>
        <w:rPr>
          <w:rFonts w:ascii="宋体" w:hAnsi="宋体"/>
          <w:color w:val="000000" w:themeColor="text1"/>
          <w:szCs w:val="21"/>
          <w14:textFill>
            <w14:solidFill>
              <w14:schemeClr w14:val="tx1"/>
            </w14:solidFill>
          </w14:textFill>
        </w:rPr>
        <w:t>分）：</w:t>
      </w:r>
      <w:r>
        <w:rPr>
          <w:rFonts w:hint="eastAsia" w:ascii="宋体" w:hAnsi="宋体"/>
          <w:color w:val="000000" w:themeColor="text1"/>
          <w:szCs w:val="21"/>
          <w14:textFill>
            <w14:solidFill>
              <w14:schemeClr w14:val="tx1"/>
            </w14:solidFill>
          </w14:textFill>
        </w:rPr>
        <w:t>提供了简单的项目实施方案，方案基本满足采购文件要求；</w:t>
      </w:r>
    </w:p>
    <w:p>
      <w:pPr>
        <w:widowControl/>
        <w:tabs>
          <w:tab w:val="left" w:pos="1170"/>
        </w:tabs>
        <w:adjustRightInd/>
        <w:spacing w:line="440" w:lineRule="exact"/>
        <w:ind w:firstLine="420" w:firstLineChars="200"/>
        <w:jc w:val="lef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二档</w:t>
      </w:r>
      <w:r>
        <w:rPr>
          <w:rFonts w:hint="eastAsia" w:ascii="宋体" w:hAnsi="宋体"/>
          <w:color w:val="000000" w:themeColor="text1"/>
          <w:szCs w:val="21"/>
          <w14:textFill>
            <w14:solidFill>
              <w14:schemeClr w14:val="tx1"/>
            </w14:solidFill>
          </w14:textFill>
        </w:rPr>
        <w:t>（1</w:t>
      </w:r>
      <w:r>
        <w:rPr>
          <w:rFonts w:hint="eastAsia" w:ascii="宋体" w:hAnsi="宋体"/>
          <w:color w:val="000000" w:themeColor="text1"/>
          <w:szCs w:val="21"/>
          <w:lang w:val="en-US" w:eastAsia="zh-CN"/>
          <w14:textFill>
            <w14:solidFill>
              <w14:schemeClr w14:val="tx1"/>
            </w14:solidFill>
          </w14:textFill>
        </w:rPr>
        <w:t>5</w:t>
      </w:r>
      <w:r>
        <w:rPr>
          <w:rFonts w:ascii="宋体" w:hAnsi="宋体"/>
          <w:color w:val="000000" w:themeColor="text1"/>
          <w:szCs w:val="21"/>
          <w14:textFill>
            <w14:solidFill>
              <w14:schemeClr w14:val="tx1"/>
            </w14:solidFill>
          </w14:textFill>
        </w:rPr>
        <w:t>分</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提供了较为具体的项目实施方案，对项目工作任务有简单的分析，简单描述了项目实施方式，具有可行性，方案满足采购文件要求。</w:t>
      </w:r>
    </w:p>
    <w:p>
      <w:pPr>
        <w:widowControl/>
        <w:tabs>
          <w:tab w:val="left" w:pos="1170"/>
        </w:tabs>
        <w:adjustRightInd/>
        <w:spacing w:line="440" w:lineRule="exact"/>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三挡（2</w:t>
      </w:r>
      <w:r>
        <w:rPr>
          <w:rFonts w:hint="eastAsia" w:ascii="宋体" w:hAnsi="宋体"/>
          <w:color w:val="000000" w:themeColor="text1"/>
          <w:szCs w:val="21"/>
          <w:lang w:val="en-US" w:eastAsia="zh-CN"/>
          <w14:textFill>
            <w14:solidFill>
              <w14:schemeClr w14:val="tx1"/>
            </w14:solidFill>
          </w14:textFill>
        </w:rPr>
        <w:t>0</w:t>
      </w:r>
      <w:r>
        <w:rPr>
          <w:rFonts w:hint="eastAsia" w:ascii="宋体" w:hAnsi="宋体"/>
          <w:color w:val="000000" w:themeColor="text1"/>
          <w:szCs w:val="21"/>
          <w14:textFill>
            <w14:solidFill>
              <w14:schemeClr w14:val="tx1"/>
            </w14:solidFill>
          </w14:textFill>
        </w:rPr>
        <w:t>分）提供了项目具体项目实施方案，对项目工作任务有详细的分析，较详细描述了项目的实现方式，对项目工作任务有详细的分析，实施方案描述详细、质量保障措施切实可行，能详细列明项目组织实施计划、验收计划、质量保证，有完善、合理的安装日程表等，可操作性强的。</w:t>
      </w:r>
    </w:p>
    <w:p>
      <w:pPr>
        <w:widowControl/>
        <w:tabs>
          <w:tab w:val="left" w:pos="4214"/>
        </w:tabs>
        <w:adjustRightInd/>
        <w:spacing w:line="440" w:lineRule="exact"/>
        <w:rPr>
          <w:rFonts w:ascii="宋体" w:hAnsi="宋体" w:cs="宋体"/>
          <w:b/>
          <w:bCs/>
          <w:color w:val="000000" w:themeColor="text1"/>
          <w:szCs w:val="21"/>
          <w:lang w:val="zh-CN" w:bidi="zh-CN"/>
          <w14:textFill>
            <w14:solidFill>
              <w14:schemeClr w14:val="tx1"/>
            </w14:solidFill>
          </w14:textFill>
        </w:rPr>
      </w:pPr>
      <w:r>
        <w:rPr>
          <w:rFonts w:hint="eastAsia" w:ascii="宋体" w:hAnsi="宋体" w:cs="宋体"/>
          <w:b/>
          <w:bCs/>
          <w:color w:val="000000" w:themeColor="text1"/>
          <w:szCs w:val="21"/>
          <w:lang w:bidi="zh-CN"/>
          <w14:textFill>
            <w14:solidFill>
              <w14:schemeClr w14:val="tx1"/>
            </w14:solidFill>
          </w14:textFill>
        </w:rPr>
        <w:t>4</w:t>
      </w:r>
      <w:r>
        <w:rPr>
          <w:rFonts w:ascii="宋体" w:hAnsi="宋体" w:cs="宋体"/>
          <w:b/>
          <w:bCs/>
          <w:color w:val="000000" w:themeColor="text1"/>
          <w:szCs w:val="21"/>
          <w:lang w:val="zh-CN" w:bidi="zh-CN"/>
          <w14:textFill>
            <w14:solidFill>
              <w14:schemeClr w14:val="tx1"/>
            </w14:solidFill>
          </w14:textFill>
        </w:rPr>
        <w:t>、</w:t>
      </w:r>
      <w:r>
        <w:rPr>
          <w:rFonts w:ascii="宋体" w:hAnsi="宋体" w:cs="宋体"/>
          <w:b/>
          <w:bCs/>
          <w:color w:val="000000" w:themeColor="text1"/>
          <w:szCs w:val="21"/>
          <w:lang w:bidi="zh-CN"/>
          <w14:textFill>
            <w14:solidFill>
              <w14:schemeClr w14:val="tx1"/>
            </w14:solidFill>
          </w14:textFill>
        </w:rPr>
        <w:t>售后服务</w:t>
      </w:r>
      <w:r>
        <w:rPr>
          <w:rFonts w:hint="eastAsia" w:ascii="宋体" w:hAnsi="宋体" w:cs="宋体"/>
          <w:b/>
          <w:bCs/>
          <w:color w:val="000000" w:themeColor="text1"/>
          <w:szCs w:val="21"/>
          <w:lang w:bidi="zh-CN"/>
          <w14:textFill>
            <w14:solidFill>
              <w14:schemeClr w14:val="tx1"/>
            </w14:solidFill>
          </w14:textFill>
        </w:rPr>
        <w:t>方案</w:t>
      </w:r>
      <w:r>
        <w:rPr>
          <w:rFonts w:ascii="宋体" w:hAnsi="宋体" w:cs="宋体"/>
          <w:b/>
          <w:bCs/>
          <w:color w:val="000000" w:themeColor="text1"/>
          <w:szCs w:val="21"/>
          <w:lang w:val="zh-CN" w:bidi="zh-CN"/>
          <w14:textFill>
            <w14:solidFill>
              <w14:schemeClr w14:val="tx1"/>
            </w14:solidFill>
          </w14:textFill>
        </w:rPr>
        <w:t>分………………………</w:t>
      </w:r>
      <w:r>
        <w:rPr>
          <w:rFonts w:hint="eastAsia" w:ascii="宋体" w:hAnsi="宋体"/>
          <w:b/>
          <w:bCs/>
          <w:color w:val="000000" w:themeColor="text1"/>
          <w:szCs w:val="21"/>
          <w14:textFill>
            <w14:solidFill>
              <w14:schemeClr w14:val="tx1"/>
            </w14:solidFill>
          </w14:textFill>
        </w:rPr>
        <w:t>…………………………</w:t>
      </w:r>
      <w:r>
        <w:rPr>
          <w:rFonts w:ascii="宋体" w:hAnsi="宋体" w:cs="宋体"/>
          <w:b/>
          <w:bCs/>
          <w:color w:val="000000" w:themeColor="text1"/>
          <w:szCs w:val="21"/>
          <w:lang w:val="zh-CN" w:bidi="zh-CN"/>
          <w14:textFill>
            <w14:solidFill>
              <w14:schemeClr w14:val="tx1"/>
            </w14:solidFill>
          </w14:textFill>
        </w:rPr>
        <w:t>…………………满分</w:t>
      </w:r>
      <w:r>
        <w:rPr>
          <w:rFonts w:hint="eastAsia" w:ascii="宋体" w:hAnsi="宋体" w:cs="宋体"/>
          <w:b/>
          <w:bCs/>
          <w:color w:val="000000" w:themeColor="text1"/>
          <w:szCs w:val="21"/>
          <w:lang w:val="en-US" w:bidi="zh-CN"/>
          <w14:textFill>
            <w14:solidFill>
              <w14:schemeClr w14:val="tx1"/>
            </w14:solidFill>
          </w14:textFill>
        </w:rPr>
        <w:t>18</w:t>
      </w:r>
      <w:r>
        <w:rPr>
          <w:rFonts w:ascii="宋体" w:hAnsi="宋体" w:cs="宋体"/>
          <w:b/>
          <w:bCs/>
          <w:color w:val="000000" w:themeColor="text1"/>
          <w:szCs w:val="21"/>
          <w:lang w:val="zh-CN" w:bidi="zh-CN"/>
          <w14:textFill>
            <w14:solidFill>
              <w14:schemeClr w14:val="tx1"/>
            </w14:solidFill>
          </w14:textFill>
        </w:rPr>
        <w:t>分</w:t>
      </w:r>
    </w:p>
    <w:p>
      <w:pPr>
        <w:widowControl/>
        <w:adjustRightInd/>
        <w:spacing w:before="130" w:line="440" w:lineRule="exact"/>
        <w:ind w:left="221" w:right="595" w:firstLine="420" w:firstLineChars="200"/>
        <w:rPr>
          <w:rFonts w:ascii="宋体" w:hAnsi="宋体"/>
          <w:color w:val="000000" w:themeColor="text1"/>
          <w:szCs w:val="21"/>
          <w:lang w:bidi="zh-CN"/>
          <w14:textFill>
            <w14:solidFill>
              <w14:schemeClr w14:val="tx1"/>
            </w14:solidFill>
          </w14:textFill>
        </w:rPr>
      </w:pPr>
      <w:r>
        <w:rPr>
          <w:rFonts w:ascii="宋体" w:hAnsi="宋体"/>
          <w:color w:val="000000" w:themeColor="text1"/>
          <w:szCs w:val="21"/>
          <w:lang w:val="zh-CN" w:bidi="zh-CN"/>
          <w14:textFill>
            <w14:solidFill>
              <w14:schemeClr w14:val="tx1"/>
            </w14:solidFill>
          </w14:textFill>
        </w:rPr>
        <w:t>由评委在打分前根据投标供应商售后服务方案的（完整性、可行性，从到达故障现场时间、故障出现解决方案，定期维护、免费技术培训方案、免费保修期外维修方案、其它优惠方案）等方面情况，集体讨论形成书面材料并记录各投标人售后服务主要条款，确定“一档、二档、三档”各所属档次；评委依照各投标人售后服务等级评定情况在确定档次内独立打分</w:t>
      </w:r>
      <w:r>
        <w:rPr>
          <w:rFonts w:hint="eastAsia" w:ascii="宋体" w:hAnsi="宋体"/>
          <w:color w:val="000000" w:themeColor="text1"/>
          <w:szCs w:val="21"/>
          <w:lang w:bidi="zh-CN"/>
          <w14:textFill>
            <w14:solidFill>
              <w14:schemeClr w14:val="tx1"/>
            </w14:solidFill>
          </w14:textFill>
        </w:rPr>
        <w:t>.</w:t>
      </w:r>
    </w:p>
    <w:p>
      <w:pPr>
        <w:widowControl/>
        <w:adjustRightInd/>
        <w:spacing w:before="130" w:line="440" w:lineRule="exact"/>
        <w:ind w:left="221" w:right="595" w:firstLine="420" w:firstLineChars="200"/>
        <w:rPr>
          <w:rFonts w:ascii="宋体" w:hAnsi="宋体"/>
          <w:color w:val="000000" w:themeColor="text1"/>
          <w:szCs w:val="21"/>
          <w:lang w:val="zh-CN" w:bidi="zh-CN"/>
          <w14:textFill>
            <w14:solidFill>
              <w14:schemeClr w14:val="tx1"/>
            </w14:solidFill>
          </w14:textFill>
        </w:rPr>
      </w:pPr>
      <w:r>
        <w:rPr>
          <w:rFonts w:hint="eastAsia" w:ascii="宋体" w:hAnsi="宋体"/>
          <w:color w:val="000000" w:themeColor="text1"/>
          <w:szCs w:val="21"/>
          <w:lang w:val="zh-CN" w:bidi="zh-CN"/>
          <w14:textFill>
            <w14:solidFill>
              <w14:schemeClr w14:val="tx1"/>
            </w14:solidFill>
          </w14:textFill>
        </w:rPr>
        <w:t>一档（</w:t>
      </w:r>
      <w:r>
        <w:rPr>
          <w:rFonts w:hint="eastAsia" w:ascii="宋体" w:hAnsi="宋体"/>
          <w:color w:val="000000" w:themeColor="text1"/>
          <w:szCs w:val="21"/>
          <w:lang w:val="en-US" w:bidi="zh-CN"/>
          <w14:textFill>
            <w14:solidFill>
              <w14:schemeClr w14:val="tx1"/>
            </w14:solidFill>
          </w14:textFill>
        </w:rPr>
        <w:t>6</w:t>
      </w:r>
      <w:r>
        <w:rPr>
          <w:rFonts w:hint="eastAsia" w:ascii="宋体" w:hAnsi="宋体"/>
          <w:color w:val="000000" w:themeColor="text1"/>
          <w:szCs w:val="21"/>
          <w:lang w:val="zh-CN" w:bidi="zh-CN"/>
          <w14:textFill>
            <w14:solidFill>
              <w14:schemeClr w14:val="tx1"/>
            </w14:solidFill>
          </w14:textFill>
        </w:rPr>
        <w:t>分）：供应商提供了简单的售后服务方案，方案基本满足采购文件要求；</w:t>
      </w:r>
    </w:p>
    <w:p>
      <w:pPr>
        <w:widowControl/>
        <w:adjustRightInd/>
        <w:spacing w:before="130" w:line="440" w:lineRule="exact"/>
        <w:ind w:left="221" w:right="595" w:firstLine="420" w:firstLineChars="200"/>
        <w:rPr>
          <w:rFonts w:ascii="宋体" w:hAnsi="宋体"/>
          <w:color w:val="000000" w:themeColor="text1"/>
          <w:szCs w:val="21"/>
          <w:lang w:val="zh-CN" w:bidi="zh-CN"/>
          <w14:textFill>
            <w14:solidFill>
              <w14:schemeClr w14:val="tx1"/>
            </w14:solidFill>
          </w14:textFill>
        </w:rPr>
      </w:pPr>
      <w:r>
        <w:rPr>
          <w:rFonts w:hint="eastAsia" w:ascii="宋体" w:hAnsi="宋体"/>
          <w:color w:val="000000" w:themeColor="text1"/>
          <w:szCs w:val="21"/>
          <w:lang w:val="zh-CN" w:bidi="zh-CN"/>
          <w14:textFill>
            <w14:solidFill>
              <w14:schemeClr w14:val="tx1"/>
            </w14:solidFill>
          </w14:textFill>
        </w:rPr>
        <w:t>二档（</w:t>
      </w:r>
      <w:r>
        <w:rPr>
          <w:rFonts w:hint="eastAsia" w:ascii="宋体" w:hAnsi="宋体"/>
          <w:color w:val="000000" w:themeColor="text1"/>
          <w:szCs w:val="21"/>
          <w:lang w:val="en-US" w:bidi="zh-CN"/>
          <w14:textFill>
            <w14:solidFill>
              <w14:schemeClr w14:val="tx1"/>
            </w14:solidFill>
          </w14:textFill>
        </w:rPr>
        <w:t>12</w:t>
      </w:r>
      <w:r>
        <w:rPr>
          <w:rFonts w:hint="eastAsia" w:ascii="宋体" w:hAnsi="宋体"/>
          <w:color w:val="000000" w:themeColor="text1"/>
          <w:szCs w:val="21"/>
          <w:lang w:val="zh-CN" w:bidi="zh-CN"/>
          <w14:textFill>
            <w14:solidFill>
              <w14:schemeClr w14:val="tx1"/>
            </w14:solidFill>
          </w14:textFill>
        </w:rPr>
        <w:t>分）：供应商提供了项目较为具体的售后服务方案，对售后工作有简单的分析，具有可行性，方案满足采购文件要求。</w:t>
      </w:r>
    </w:p>
    <w:p>
      <w:pPr>
        <w:widowControl/>
        <w:adjustRightInd/>
        <w:spacing w:before="130" w:line="440" w:lineRule="exact"/>
        <w:ind w:left="221" w:right="595" w:firstLine="420" w:firstLineChars="200"/>
        <w:rPr>
          <w:rFonts w:ascii="宋体" w:hAnsi="宋体"/>
          <w:color w:val="000000" w:themeColor="text1"/>
          <w:szCs w:val="21"/>
          <w:lang w:val="zh-CN" w:bidi="zh-CN"/>
          <w14:textFill>
            <w14:solidFill>
              <w14:schemeClr w14:val="tx1"/>
            </w14:solidFill>
          </w14:textFill>
        </w:rPr>
      </w:pPr>
      <w:r>
        <w:rPr>
          <w:rFonts w:hint="eastAsia" w:ascii="宋体" w:hAnsi="宋体"/>
          <w:color w:val="000000" w:themeColor="text1"/>
          <w:szCs w:val="21"/>
          <w:lang w:val="zh-CN" w:bidi="zh-CN"/>
          <w14:textFill>
            <w14:solidFill>
              <w14:schemeClr w14:val="tx1"/>
            </w14:solidFill>
          </w14:textFill>
        </w:rPr>
        <w:t>三档（</w:t>
      </w:r>
      <w:r>
        <w:rPr>
          <w:rFonts w:hint="eastAsia" w:ascii="宋体" w:hAnsi="宋体"/>
          <w:color w:val="000000" w:themeColor="text1"/>
          <w:szCs w:val="21"/>
          <w:lang w:val="en-US" w:bidi="zh-CN"/>
          <w14:textFill>
            <w14:solidFill>
              <w14:schemeClr w14:val="tx1"/>
            </w14:solidFill>
          </w14:textFill>
        </w:rPr>
        <w:t>18</w:t>
      </w:r>
      <w:r>
        <w:rPr>
          <w:rFonts w:hint="eastAsia" w:ascii="宋体" w:hAnsi="宋体"/>
          <w:color w:val="000000" w:themeColor="text1"/>
          <w:szCs w:val="21"/>
          <w:lang w:val="zh-CN" w:bidi="zh-CN"/>
          <w14:textFill>
            <w14:solidFill>
              <w14:schemeClr w14:val="tx1"/>
            </w14:solidFill>
          </w14:textFill>
        </w:rPr>
        <w:t>分）：供应商提供了详细的售后服务方案，对售后工作有深入的分析，较详细描述了售后工作的具体实现方式，阐述清楚售后保障体系，方案表述清晰、完整、严谨、合理，可操作性强</w:t>
      </w:r>
      <w:r>
        <w:rPr>
          <w:rFonts w:ascii="宋体" w:hAnsi="宋体"/>
          <w:color w:val="000000" w:themeColor="text1"/>
          <w:szCs w:val="21"/>
          <w:lang w:val="zh-CN" w:bidi="zh-CN"/>
          <w14:textFill>
            <w14:solidFill>
              <w14:schemeClr w14:val="tx1"/>
            </w14:solidFill>
          </w14:textFill>
        </w:rPr>
        <w:t>于招标文件要求的。</w:t>
      </w:r>
    </w:p>
    <w:p>
      <w:pPr>
        <w:widowControl/>
        <w:tabs>
          <w:tab w:val="left" w:pos="4214"/>
        </w:tabs>
        <w:adjustRightInd/>
        <w:spacing w:line="440" w:lineRule="exact"/>
        <w:ind w:firstLine="422" w:firstLineChars="200"/>
        <w:rPr>
          <w:rFonts w:ascii="宋体" w:hAnsi="宋体" w:cs="宋体"/>
          <w:b/>
          <w:bCs/>
          <w:color w:val="000000" w:themeColor="text1"/>
          <w:szCs w:val="21"/>
          <w:lang w:val="zh-CN" w:bidi="zh-CN"/>
          <w14:textFill>
            <w14:solidFill>
              <w14:schemeClr w14:val="tx1"/>
            </w14:solidFill>
          </w14:textFill>
        </w:rPr>
      </w:pPr>
      <w:r>
        <w:rPr>
          <w:rFonts w:hint="eastAsia" w:ascii="宋体" w:hAnsi="宋体" w:cs="宋体"/>
          <w:b/>
          <w:bCs/>
          <w:color w:val="000000" w:themeColor="text1"/>
          <w:szCs w:val="21"/>
          <w:lang w:bidi="zh-CN"/>
          <w14:textFill>
            <w14:solidFill>
              <w14:schemeClr w14:val="tx1"/>
            </w14:solidFill>
          </w14:textFill>
        </w:rPr>
        <w:t>5</w:t>
      </w:r>
      <w:r>
        <w:rPr>
          <w:rFonts w:ascii="宋体" w:hAnsi="宋体" w:cs="宋体"/>
          <w:b/>
          <w:bCs/>
          <w:color w:val="000000" w:themeColor="text1"/>
          <w:szCs w:val="21"/>
          <w:lang w:val="zh-CN" w:bidi="zh-CN"/>
          <w14:textFill>
            <w14:solidFill>
              <w14:schemeClr w14:val="tx1"/>
            </w14:solidFill>
          </w14:textFill>
        </w:rPr>
        <w:t>、</w:t>
      </w:r>
      <w:r>
        <w:rPr>
          <w:rFonts w:ascii="宋体" w:hAnsi="宋体" w:cs="宋体"/>
          <w:b/>
          <w:bCs/>
          <w:color w:val="000000" w:themeColor="text1"/>
          <w:szCs w:val="21"/>
          <w:lang w:bidi="zh-CN"/>
          <w14:textFill>
            <w14:solidFill>
              <w14:schemeClr w14:val="tx1"/>
            </w14:solidFill>
          </w14:textFill>
        </w:rPr>
        <w:t>政策功能</w:t>
      </w:r>
      <w:r>
        <w:rPr>
          <w:rFonts w:ascii="宋体" w:hAnsi="宋体" w:cs="宋体"/>
          <w:b/>
          <w:bCs/>
          <w:color w:val="000000" w:themeColor="text1"/>
          <w:szCs w:val="21"/>
          <w:lang w:val="zh-CN" w:bidi="zh-CN"/>
          <w14:textFill>
            <w14:solidFill>
              <w14:schemeClr w14:val="tx1"/>
            </w14:solidFill>
          </w14:textFill>
        </w:rPr>
        <w:t>分……………………………………………………………………………满分</w:t>
      </w:r>
      <w:r>
        <w:rPr>
          <w:rFonts w:hint="eastAsia" w:ascii="宋体" w:hAnsi="宋体" w:cs="宋体"/>
          <w:b/>
          <w:bCs/>
          <w:color w:val="000000" w:themeColor="text1"/>
          <w:szCs w:val="21"/>
          <w:lang w:val="en-US" w:bidi="zh-CN"/>
          <w14:textFill>
            <w14:solidFill>
              <w14:schemeClr w14:val="tx1"/>
            </w14:solidFill>
          </w14:textFill>
        </w:rPr>
        <w:t>2</w:t>
      </w:r>
      <w:r>
        <w:rPr>
          <w:rFonts w:ascii="宋体" w:hAnsi="宋体" w:cs="宋体"/>
          <w:b/>
          <w:bCs/>
          <w:color w:val="000000" w:themeColor="text1"/>
          <w:szCs w:val="21"/>
          <w:lang w:val="zh-CN" w:bidi="zh-CN"/>
          <w14:textFill>
            <w14:solidFill>
              <w14:schemeClr w14:val="tx1"/>
            </w14:solidFill>
          </w14:textFill>
        </w:rPr>
        <w:t>分</w:t>
      </w:r>
    </w:p>
    <w:p>
      <w:pPr>
        <w:widowControl/>
        <w:numPr>
          <w:ilvl w:val="0"/>
          <w:numId w:val="13"/>
        </w:numPr>
        <w:tabs>
          <w:tab w:val="left" w:pos="1170"/>
        </w:tabs>
        <w:adjustRightInd/>
        <w:spacing w:before="115" w:line="440" w:lineRule="exact"/>
        <w:ind w:right="583" w:firstLine="420"/>
        <w:jc w:val="left"/>
        <w:rPr>
          <w:rFonts w:ascii="宋体" w:hAnsi="宋体"/>
          <w:color w:val="000000" w:themeColor="text1"/>
          <w:szCs w:val="21"/>
          <w:lang w:val="zh-CN" w:bidi="zh-CN"/>
          <w14:textFill>
            <w14:solidFill>
              <w14:schemeClr w14:val="tx1"/>
            </w14:solidFill>
          </w14:textFill>
        </w:rPr>
      </w:pPr>
      <w:r>
        <w:rPr>
          <w:rFonts w:ascii="宋体" w:hAnsi="宋体"/>
          <w:color w:val="000000" w:themeColor="text1"/>
          <w:spacing w:val="-3"/>
          <w:szCs w:val="21"/>
          <w:lang w:val="zh-CN" w:bidi="zh-CN"/>
          <w14:textFill>
            <w14:solidFill>
              <w14:schemeClr w14:val="tx1"/>
            </w14:solidFill>
          </w14:textFill>
        </w:rPr>
        <w:t>应优先采购财政部现行《节能产品政府采购品目清单》目录内</w:t>
      </w:r>
      <w:r>
        <w:rPr>
          <w:rFonts w:ascii="宋体" w:hAnsi="宋体"/>
          <w:color w:val="000000" w:themeColor="text1"/>
          <w:szCs w:val="21"/>
          <w:lang w:val="zh-CN" w:bidi="zh-CN"/>
          <w14:textFill>
            <w14:solidFill>
              <w14:schemeClr w14:val="tx1"/>
            </w14:solidFill>
          </w14:textFill>
        </w:rPr>
        <w:t>（</w:t>
      </w:r>
      <w:r>
        <w:rPr>
          <w:rFonts w:ascii="宋体" w:hAnsi="宋体"/>
          <w:color w:val="000000" w:themeColor="text1"/>
          <w:spacing w:val="-3"/>
          <w:szCs w:val="21"/>
          <w:lang w:val="zh-CN" w:bidi="zh-CN"/>
          <w14:textFill>
            <w14:solidFill>
              <w14:schemeClr w14:val="tx1"/>
            </w14:solidFill>
          </w14:textFill>
        </w:rPr>
        <w:t>政府强制采购节能产品除外</w:t>
      </w:r>
      <w:r>
        <w:rPr>
          <w:rFonts w:ascii="宋体" w:hAnsi="宋体"/>
          <w:color w:val="000000" w:themeColor="text1"/>
          <w:szCs w:val="21"/>
          <w:lang w:val="zh-CN" w:bidi="zh-CN"/>
          <w14:textFill>
            <w14:solidFill>
              <w14:schemeClr w14:val="tx1"/>
            </w14:solidFill>
          </w14:textFill>
        </w:rPr>
        <w:t xml:space="preserve">） </w:t>
      </w:r>
      <w:r>
        <w:rPr>
          <w:rFonts w:ascii="宋体" w:hAnsi="宋体"/>
          <w:color w:val="000000" w:themeColor="text1"/>
          <w:spacing w:val="-1"/>
          <w:szCs w:val="21"/>
          <w:lang w:val="zh-CN" w:bidi="zh-CN"/>
          <w14:textFill>
            <w14:solidFill>
              <w14:schemeClr w14:val="tx1"/>
            </w14:solidFill>
          </w14:textFill>
        </w:rPr>
        <w:t>的产品</w:t>
      </w:r>
      <w:r>
        <w:rPr>
          <w:rFonts w:ascii="宋体" w:hAnsi="宋体"/>
          <w:color w:val="000000" w:themeColor="text1"/>
          <w:szCs w:val="21"/>
          <w:lang w:val="zh-CN" w:bidi="zh-CN"/>
          <w14:textFill>
            <w14:solidFill>
              <w14:schemeClr w14:val="tx1"/>
            </w14:solidFill>
          </w14:textFill>
        </w:rPr>
        <w:t>（</w:t>
      </w:r>
      <w:r>
        <w:rPr>
          <w:rFonts w:ascii="宋体" w:hAnsi="宋体"/>
          <w:color w:val="000000" w:themeColor="text1"/>
          <w:spacing w:val="-3"/>
          <w:szCs w:val="21"/>
          <w:lang w:val="zh-CN" w:bidi="zh-CN"/>
          <w14:textFill>
            <w14:solidFill>
              <w14:schemeClr w14:val="tx1"/>
            </w14:solidFill>
          </w14:textFill>
        </w:rPr>
        <w:t>提供有效证明复印件</w:t>
      </w:r>
      <w:r>
        <w:rPr>
          <w:rFonts w:ascii="宋体" w:hAnsi="宋体"/>
          <w:color w:val="000000" w:themeColor="text1"/>
          <w:szCs w:val="21"/>
          <w:lang w:val="zh-CN" w:bidi="zh-CN"/>
          <w14:textFill>
            <w14:solidFill>
              <w14:schemeClr w14:val="tx1"/>
            </w14:solidFill>
          </w14:textFill>
        </w:rPr>
        <w:t>）</w:t>
      </w:r>
      <w:r>
        <w:rPr>
          <w:rFonts w:ascii="宋体" w:hAnsi="宋体"/>
          <w:color w:val="000000" w:themeColor="text1"/>
          <w:spacing w:val="-3"/>
          <w:szCs w:val="21"/>
          <w:lang w:val="zh-CN" w:bidi="zh-CN"/>
          <w14:textFill>
            <w14:solidFill>
              <w14:schemeClr w14:val="tx1"/>
            </w14:solidFill>
          </w14:textFill>
        </w:rPr>
        <w:t>，根据其所占项目</w:t>
      </w:r>
      <w:r>
        <w:rPr>
          <w:rFonts w:ascii="宋体" w:hAnsi="宋体"/>
          <w:color w:val="000000" w:themeColor="text1"/>
          <w:szCs w:val="21"/>
          <w:lang w:val="zh-CN" w:bidi="zh-CN"/>
          <w14:textFill>
            <w14:solidFill>
              <w14:schemeClr w14:val="tx1"/>
            </w14:solidFill>
          </w14:textFill>
        </w:rPr>
        <w:t>（</w:t>
      </w:r>
      <w:r>
        <w:rPr>
          <w:rFonts w:ascii="宋体" w:hAnsi="宋体"/>
          <w:color w:val="000000" w:themeColor="text1"/>
          <w:spacing w:val="-2"/>
          <w:szCs w:val="21"/>
          <w:lang w:val="zh-CN" w:bidi="zh-CN"/>
          <w14:textFill>
            <w14:solidFill>
              <w14:schemeClr w14:val="tx1"/>
            </w14:solidFill>
          </w14:textFill>
        </w:rPr>
        <w:t>或分标</w:t>
      </w:r>
      <w:r>
        <w:rPr>
          <w:rFonts w:ascii="宋体" w:hAnsi="宋体"/>
          <w:color w:val="000000" w:themeColor="text1"/>
          <w:spacing w:val="-3"/>
          <w:szCs w:val="21"/>
          <w:lang w:val="zh-CN" w:bidi="zh-CN"/>
          <w14:textFill>
            <w14:solidFill>
              <w14:schemeClr w14:val="tx1"/>
            </w14:solidFill>
          </w14:textFill>
        </w:rPr>
        <w:t>）</w:t>
      </w:r>
      <w:r>
        <w:rPr>
          <w:rFonts w:ascii="宋体" w:hAnsi="宋体"/>
          <w:color w:val="000000" w:themeColor="text1"/>
          <w:spacing w:val="-15"/>
          <w:szCs w:val="21"/>
          <w:lang w:val="zh-CN" w:bidi="zh-CN"/>
          <w14:textFill>
            <w14:solidFill>
              <w14:schemeClr w14:val="tx1"/>
            </w14:solidFill>
          </w14:textFill>
        </w:rPr>
        <w:t xml:space="preserve">比例得 </w:t>
      </w:r>
      <w:r>
        <w:rPr>
          <w:rFonts w:hint="eastAsia" w:ascii="宋体" w:hAnsi="宋体"/>
          <w:color w:val="000000" w:themeColor="text1"/>
          <w:szCs w:val="21"/>
          <w:lang w:val="zh-CN" w:bidi="zh-CN"/>
          <w14:textFill>
            <w14:solidFill>
              <w14:schemeClr w14:val="tx1"/>
            </w14:solidFill>
          </w14:textFill>
        </w:rPr>
        <w:t>0.5</w:t>
      </w:r>
      <w:r>
        <w:rPr>
          <w:rFonts w:ascii="宋体" w:hAnsi="宋体"/>
          <w:color w:val="000000" w:themeColor="text1"/>
          <w:szCs w:val="21"/>
          <w:lang w:val="zh-CN" w:bidi="zh-CN"/>
          <w14:textFill>
            <w14:solidFill>
              <w14:schemeClr w14:val="tx1"/>
            </w14:solidFill>
          </w14:textFill>
        </w:rPr>
        <w:t>分；</w:t>
      </w:r>
    </w:p>
    <w:p>
      <w:pPr>
        <w:widowControl/>
        <w:numPr>
          <w:ilvl w:val="0"/>
          <w:numId w:val="13"/>
        </w:numPr>
        <w:tabs>
          <w:tab w:val="left" w:pos="1170"/>
        </w:tabs>
        <w:adjustRightInd/>
        <w:spacing w:before="115" w:line="440" w:lineRule="exact"/>
        <w:ind w:right="583" w:firstLine="420"/>
        <w:jc w:val="left"/>
        <w:rPr>
          <w:rFonts w:ascii="宋体" w:hAnsi="宋体"/>
          <w:color w:val="000000" w:themeColor="text1"/>
          <w:spacing w:val="-3"/>
          <w:szCs w:val="21"/>
          <w:lang w:val="zh-CN" w:bidi="zh-CN"/>
          <w14:textFill>
            <w14:solidFill>
              <w14:schemeClr w14:val="tx1"/>
            </w14:solidFill>
          </w14:textFill>
        </w:rPr>
      </w:pPr>
      <w:r>
        <w:rPr>
          <w:rFonts w:ascii="宋体" w:hAnsi="宋体"/>
          <w:color w:val="000000" w:themeColor="text1"/>
          <w:spacing w:val="-3"/>
          <w:szCs w:val="21"/>
          <w:lang w:val="zh-CN" w:bidi="zh-CN"/>
          <w14:textFill>
            <w14:solidFill>
              <w14:schemeClr w14:val="tx1"/>
            </w14:solidFill>
          </w14:textFill>
        </w:rPr>
        <w:t>应优先采购财政部现行《环境标志产品政府采购品目清单》目录内的产品（提供有效证明复印件），根据其所占项目（或分标）比例得</w:t>
      </w:r>
      <w:r>
        <w:rPr>
          <w:rFonts w:hint="eastAsia" w:ascii="宋体" w:hAnsi="宋体"/>
          <w:color w:val="000000" w:themeColor="text1"/>
          <w:spacing w:val="-3"/>
          <w:szCs w:val="21"/>
          <w:lang w:val="zh-CN" w:bidi="zh-CN"/>
          <w14:textFill>
            <w14:solidFill>
              <w14:schemeClr w14:val="tx1"/>
            </w14:solidFill>
          </w14:textFill>
        </w:rPr>
        <w:t>0.5</w:t>
      </w:r>
      <w:r>
        <w:rPr>
          <w:rFonts w:ascii="宋体" w:hAnsi="宋体"/>
          <w:color w:val="000000" w:themeColor="text1"/>
          <w:spacing w:val="-3"/>
          <w:szCs w:val="21"/>
          <w:lang w:val="zh-CN" w:bidi="zh-CN"/>
          <w14:textFill>
            <w14:solidFill>
              <w14:schemeClr w14:val="tx1"/>
            </w14:solidFill>
          </w14:textFill>
        </w:rPr>
        <w:t xml:space="preserve"> 分； </w:t>
      </w:r>
    </w:p>
    <w:p>
      <w:pPr>
        <w:widowControl/>
        <w:numPr>
          <w:ilvl w:val="0"/>
          <w:numId w:val="13"/>
        </w:numPr>
        <w:tabs>
          <w:tab w:val="left" w:pos="1170"/>
        </w:tabs>
        <w:adjustRightInd/>
        <w:spacing w:before="115" w:line="440" w:lineRule="exact"/>
        <w:ind w:right="583" w:firstLine="420"/>
        <w:jc w:val="left"/>
        <w:rPr>
          <w:rFonts w:ascii="宋体" w:hAnsi="宋体"/>
          <w:color w:val="000000" w:themeColor="text1"/>
          <w:spacing w:val="-3"/>
          <w:szCs w:val="21"/>
          <w:lang w:val="zh-CN" w:bidi="zh-CN"/>
          <w14:textFill>
            <w14:solidFill>
              <w14:schemeClr w14:val="tx1"/>
            </w14:solidFill>
          </w14:textFill>
        </w:rPr>
      </w:pPr>
      <w:r>
        <w:rPr>
          <w:rFonts w:ascii="宋体" w:hAnsi="宋体"/>
          <w:color w:val="000000" w:themeColor="text1"/>
          <w:spacing w:val="-3"/>
          <w:szCs w:val="21"/>
          <w:lang w:val="zh-CN" w:bidi="zh-CN"/>
          <w14:textFill>
            <w14:solidFill>
              <w14:schemeClr w14:val="tx1"/>
            </w14:solidFill>
          </w14:textFill>
        </w:rPr>
        <w:t>投标产品 80%以上为广西工业产品的得</w:t>
      </w:r>
      <w:r>
        <w:rPr>
          <w:rFonts w:hint="eastAsia" w:ascii="宋体" w:hAnsi="宋体"/>
          <w:color w:val="000000" w:themeColor="text1"/>
          <w:spacing w:val="-3"/>
          <w:szCs w:val="21"/>
          <w:lang w:val="zh-CN" w:bidi="zh-CN"/>
          <w14:textFill>
            <w14:solidFill>
              <w14:schemeClr w14:val="tx1"/>
            </w14:solidFill>
          </w14:textFill>
        </w:rPr>
        <w:t>1</w:t>
      </w:r>
      <w:r>
        <w:rPr>
          <w:rFonts w:ascii="宋体" w:hAnsi="宋体"/>
          <w:color w:val="000000" w:themeColor="text1"/>
          <w:spacing w:val="-3"/>
          <w:szCs w:val="21"/>
          <w:lang w:val="zh-CN" w:bidi="zh-CN"/>
          <w14:textFill>
            <w14:solidFill>
              <w14:schemeClr w14:val="tx1"/>
            </w14:solidFill>
          </w14:textFill>
        </w:rPr>
        <w:t xml:space="preserve">分（以投标人按第六章“投标文件格式”要求提供的《广西工业产品声明函》为评分依据。根据《广西壮族自治区人民政府办公厅关于印发招标采购促进广西工业产品产销对接实施细则的通知》（桂政办发【2015】78 号）的规定，广西工业产品是指广西境内生产的工业产品，以生产企业的工商营业执照注册所在地为准。“投标产品 80%以上为广西工业产品”是指参加政府采购项目时供货范围中采用广西工业产品的金额占本次招标总金额的 80%以上） 满分 </w:t>
      </w:r>
      <w:r>
        <w:rPr>
          <w:rFonts w:hint="eastAsia" w:ascii="宋体" w:hAnsi="宋体"/>
          <w:color w:val="000000" w:themeColor="text1"/>
          <w:spacing w:val="-3"/>
          <w:szCs w:val="21"/>
          <w:lang w:val="en-US" w:bidi="zh-CN"/>
          <w14:textFill>
            <w14:solidFill>
              <w14:schemeClr w14:val="tx1"/>
            </w14:solidFill>
          </w14:textFill>
        </w:rPr>
        <w:t>1</w:t>
      </w:r>
      <w:r>
        <w:rPr>
          <w:rFonts w:ascii="宋体" w:hAnsi="宋体"/>
          <w:color w:val="000000" w:themeColor="text1"/>
          <w:spacing w:val="-3"/>
          <w:szCs w:val="21"/>
          <w:lang w:val="zh-CN" w:bidi="zh-CN"/>
          <w14:textFill>
            <w14:solidFill>
              <w14:schemeClr w14:val="tx1"/>
            </w14:solidFill>
          </w14:textFill>
        </w:rPr>
        <w:t>分</w:t>
      </w:r>
    </w:p>
    <w:p>
      <w:pPr>
        <w:widowControl/>
        <w:tabs>
          <w:tab w:val="left" w:pos="4214"/>
        </w:tabs>
        <w:adjustRightInd/>
        <w:spacing w:line="440" w:lineRule="exact"/>
        <w:rPr>
          <w:rFonts w:ascii="宋体" w:hAnsi="宋体"/>
          <w:b/>
          <w:bCs/>
          <w:color w:val="000000" w:themeColor="text1"/>
          <w:szCs w:val="21"/>
          <w14:textFill>
            <w14:solidFill>
              <w14:schemeClr w14:val="tx1"/>
            </w14:solidFill>
          </w14:textFill>
        </w:rPr>
      </w:pPr>
      <w:r>
        <w:rPr>
          <w:rFonts w:hint="eastAsia" w:ascii="宋体" w:hAnsi="宋体"/>
          <w:b/>
          <w:color w:val="000000" w:themeColor="text1"/>
          <w:szCs w:val="21"/>
          <w:lang w:val="en-US" w:eastAsia="zh-CN"/>
          <w14:textFill>
            <w14:solidFill>
              <w14:schemeClr w14:val="tx1"/>
            </w14:solidFill>
          </w14:textFill>
        </w:rPr>
        <w:t>6</w:t>
      </w:r>
      <w:r>
        <w:rPr>
          <w:rFonts w:ascii="宋体" w:hAnsi="宋体"/>
          <w:b/>
          <w:color w:val="000000" w:themeColor="text1"/>
          <w:szCs w:val="21"/>
          <w14:textFill>
            <w14:solidFill>
              <w14:schemeClr w14:val="tx1"/>
            </w14:solidFill>
          </w14:textFill>
        </w:rPr>
        <w:t>、综合得分＝1+2+3+4+5</w:t>
      </w:r>
    </w:p>
    <w:p>
      <w:pPr>
        <w:widowControl/>
        <w:adjustRightInd/>
        <w:spacing w:line="440" w:lineRule="exact"/>
        <w:ind w:firstLine="422" w:firstLineChars="200"/>
        <w:rPr>
          <w:rFonts w:ascii="宋体" w:hAnsi="宋体"/>
          <w:b/>
          <w:bCs/>
          <w:color w:val="000000" w:themeColor="text1"/>
          <w:szCs w:val="21"/>
          <w14:textFill>
            <w14:solidFill>
              <w14:schemeClr w14:val="tx1"/>
            </w14:solidFill>
          </w14:textFill>
        </w:rPr>
      </w:pPr>
      <w:r>
        <w:rPr>
          <w:rFonts w:ascii="宋体" w:hAnsi="宋体"/>
          <w:b/>
          <w:bCs/>
          <w:color w:val="000000" w:themeColor="text1"/>
          <w:szCs w:val="21"/>
          <w14:textFill>
            <w14:solidFill>
              <w14:schemeClr w14:val="tx1"/>
            </w14:solidFill>
          </w14:textFill>
        </w:rPr>
        <w:t>三、推荐中标候选人的原则</w:t>
      </w:r>
    </w:p>
    <w:p>
      <w:pPr>
        <w:widowControl/>
        <w:tabs>
          <w:tab w:val="left" w:pos="4214"/>
        </w:tabs>
        <w:adjustRightInd/>
        <w:spacing w:line="440" w:lineRule="exact"/>
        <w:ind w:firstLine="42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评标委员会根据综合得分由高到低排列次序；若得分相同时，按评标价由低到高顺序排列；若得分相同且评标价相同时，按投标报价由低到高顺序排列；若相同的，则依次按技术、项目实施方案、履约能力、售后服务得分由高到低的顺序排列并推荐中标候选供应商。</w:t>
      </w:r>
    </w:p>
    <w:p>
      <w:pPr>
        <w:widowControl/>
        <w:tabs>
          <w:tab w:val="left" w:pos="4214"/>
        </w:tabs>
        <w:adjustRightInd/>
        <w:spacing w:line="440" w:lineRule="exact"/>
        <w:ind w:firstLine="42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（2）评标委员会可推荐前三名为中标候选人，采购人应当确定评标委员会推荐排名第一的中标候选人为中标人。</w:t>
      </w:r>
    </w:p>
    <w:p>
      <w:pPr>
        <w:widowControl/>
        <w:adjustRightInd/>
        <w:spacing w:line="440" w:lineRule="exact"/>
        <w:ind w:firstLine="420" w:firstLineChars="200"/>
        <w:rPr>
          <w:rFonts w:ascii="宋体" w:hAnsi="宋体"/>
          <w:b/>
          <w:bCs/>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排名第一的中标候选人放弃中标、因不可抗力提出不能履行合同，或者招标文件规定应当提交履约保证金而在规定的期限内未能提交的，或因失信行为被取消中标候选人资格的，采购人可以确定排名第二的中标候选人为中标人或重新招标，并依此类推。</w:t>
      </w:r>
    </w:p>
    <w:p>
      <w:pPr>
        <w:pStyle w:val="19"/>
        <w:spacing w:line="440" w:lineRule="exact"/>
        <w:ind w:firstLine="420" w:firstLineChars="200"/>
        <w:rPr>
          <w:rFonts w:ascii="宋体" w:hAnsi="宋体"/>
          <w:szCs w:val="21"/>
        </w:rPr>
      </w:pPr>
      <w:r>
        <w:rPr>
          <w:rFonts w:hAnsi="宋体"/>
          <w:bCs/>
          <w:color w:val="000000" w:themeColor="text1"/>
          <w:szCs w:val="21"/>
          <w14:textFill>
            <w14:solidFill>
              <w14:schemeClr w14:val="tx1"/>
            </w14:solidFill>
          </w14:textFill>
        </w:rPr>
        <w:t>（4）</w:t>
      </w:r>
      <w:r>
        <w:rPr>
          <w:rFonts w:hint="eastAsia" w:hAnsi="宋体"/>
          <w:bCs/>
          <w:color w:val="000000" w:themeColor="text1"/>
          <w14:textFill>
            <w14:solidFill>
              <w14:schemeClr w14:val="tx1"/>
            </w14:solidFill>
          </w14:textFill>
        </w:rPr>
        <w:t>为了确保采购质量和维护公平的竞争，根据《中华人民共和国政府采购法》第七十七条和《中华人民共和国反不正当竞争法》第十一条，经营</w:t>
      </w:r>
      <w:r>
        <w:rPr>
          <w:rFonts w:hint="eastAsia" w:hAnsi="宋体"/>
          <w:bCs/>
        </w:rPr>
        <w:t>者不得以排挤对手为目的，以低于成本的价格销售商品（服务）。采购入不接受投标人的恶意低价竞争。如果在评标委员会认为投标人的报价明显低于其他人报价或采购预算的，投标人必须在评标专家约定的时间内提供本项目成本分析报告，如未在规定时间内提供或评委认定其资料不能详尽合理说明其成本的，则视为低于投标人成本报价，评标委员会不推荐该投标人为中标候选人。</w:t>
      </w:r>
    </w:p>
    <w:p>
      <w:pPr>
        <w:pStyle w:val="19"/>
        <w:spacing w:line="420" w:lineRule="exact"/>
        <w:ind w:firstLine="420"/>
        <w:rPr>
          <w:rFonts w:hAnsi="宋体"/>
          <w:b/>
          <w:sz w:val="36"/>
        </w:rPr>
      </w:pPr>
      <w:r>
        <w:rPr>
          <w:rFonts w:hint="eastAsia" w:hAnsi="宋体"/>
          <w:bCs/>
        </w:rPr>
        <w:br w:type="page"/>
      </w:r>
    </w:p>
    <w:p>
      <w:pPr>
        <w:pStyle w:val="3"/>
        <w:rPr>
          <w:rFonts w:ascii="宋体" w:hAnsi="宋体"/>
          <w:szCs w:val="36"/>
        </w:rPr>
      </w:pPr>
      <w:bookmarkStart w:id="30" w:name="_Toc57749778"/>
      <w:r>
        <w:rPr>
          <w:rFonts w:hint="eastAsia" w:ascii="宋体" w:hAnsi="宋体"/>
        </w:rPr>
        <w:t>第四章投标人须知</w:t>
      </w:r>
      <w:bookmarkEnd w:id="3"/>
      <w:bookmarkEnd w:id="4"/>
      <w:bookmarkEnd w:id="27"/>
      <w:bookmarkEnd w:id="28"/>
      <w:bookmarkEnd w:id="30"/>
      <w:bookmarkStart w:id="31" w:name="_Toc213326415"/>
    </w:p>
    <w:p>
      <w:pPr>
        <w:pStyle w:val="4"/>
        <w:rPr>
          <w:rFonts w:ascii="宋体" w:hAnsi="宋体"/>
        </w:rPr>
      </w:pPr>
      <w:bookmarkStart w:id="32" w:name="_Toc57749779"/>
      <w:r>
        <w:rPr>
          <w:rFonts w:hint="eastAsia" w:ascii="宋体" w:hAnsi="宋体"/>
        </w:rPr>
        <w:t>投标人须知前附表</w:t>
      </w:r>
      <w:bookmarkEnd w:id="31"/>
      <w:bookmarkEnd w:id="32"/>
    </w:p>
    <w:tbl>
      <w:tblPr>
        <w:tblStyle w:val="34"/>
        <w:tblW w:w="100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2977"/>
        <w:gridCol w:w="6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b/>
                <w:szCs w:val="21"/>
              </w:rPr>
            </w:pPr>
            <w:r>
              <w:rPr>
                <w:rFonts w:hint="eastAsia" w:hAnsi="宋体"/>
                <w:b/>
                <w:szCs w:val="21"/>
              </w:rPr>
              <w:t>条款号</w:t>
            </w:r>
          </w:p>
        </w:tc>
        <w:tc>
          <w:tcPr>
            <w:tcW w:w="2977" w:type="dxa"/>
            <w:vAlign w:val="center"/>
          </w:tcPr>
          <w:p>
            <w:pPr>
              <w:pStyle w:val="19"/>
              <w:spacing w:line="360" w:lineRule="auto"/>
              <w:jc w:val="center"/>
              <w:rPr>
                <w:rFonts w:hAnsi="宋体"/>
                <w:b/>
                <w:szCs w:val="21"/>
              </w:rPr>
            </w:pPr>
            <w:r>
              <w:rPr>
                <w:rFonts w:hint="eastAsia" w:hAnsi="宋体"/>
                <w:b/>
                <w:szCs w:val="21"/>
              </w:rPr>
              <w:t>条款名称</w:t>
            </w:r>
          </w:p>
        </w:tc>
        <w:tc>
          <w:tcPr>
            <w:tcW w:w="6031" w:type="dxa"/>
          </w:tcPr>
          <w:p>
            <w:pPr>
              <w:pStyle w:val="19"/>
              <w:spacing w:line="360" w:lineRule="auto"/>
              <w:jc w:val="center"/>
              <w:rPr>
                <w:rFonts w:hAnsi="宋体"/>
                <w:b/>
                <w:szCs w:val="21"/>
              </w:rPr>
            </w:pPr>
            <w:r>
              <w:rPr>
                <w:rFonts w:hint="eastAsia" w:hAnsi="宋体"/>
                <w:b/>
                <w:szCs w:val="21"/>
              </w:rPr>
              <w:t>详细内容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1.1</w:t>
            </w:r>
          </w:p>
        </w:tc>
        <w:tc>
          <w:tcPr>
            <w:tcW w:w="2977" w:type="dxa"/>
            <w:vAlign w:val="center"/>
          </w:tcPr>
          <w:p>
            <w:pPr>
              <w:pStyle w:val="19"/>
              <w:spacing w:line="360" w:lineRule="auto"/>
              <w:jc w:val="center"/>
              <w:rPr>
                <w:rFonts w:hAnsi="宋体"/>
                <w:szCs w:val="21"/>
              </w:rPr>
            </w:pPr>
            <w:r>
              <w:rPr>
                <w:rFonts w:hint="eastAsia" w:hAnsi="宋体"/>
                <w:szCs w:val="21"/>
              </w:rPr>
              <w:t>采购人</w:t>
            </w:r>
          </w:p>
        </w:tc>
        <w:tc>
          <w:tcPr>
            <w:tcW w:w="6031" w:type="dxa"/>
            <w:vAlign w:val="center"/>
          </w:tcPr>
          <w:p>
            <w:pPr>
              <w:pStyle w:val="19"/>
              <w:spacing w:line="360" w:lineRule="auto"/>
              <w:rPr>
                <w:rFonts w:hint="eastAsia" w:ascii="宋体" w:hAnsi="宋体" w:eastAsia="宋体" w:cs="Times New Roman"/>
                <w:kern w:val="2"/>
                <w:sz w:val="21"/>
                <w:szCs w:val="21"/>
                <w:lang w:val="en-US" w:eastAsia="zh-CN" w:bidi="ar-SA"/>
              </w:rPr>
            </w:pPr>
            <w:r>
              <w:rPr>
                <w:rFonts w:hint="eastAsia" w:hAnsi="宋体"/>
                <w:szCs w:val="21"/>
              </w:rPr>
              <w:t>名称：</w:t>
            </w:r>
            <w:r>
              <w:rPr>
                <w:rFonts w:hint="eastAsia" w:ascii="宋体" w:hAnsi="宋体" w:eastAsia="宋体" w:cs="Times New Roman"/>
                <w:kern w:val="2"/>
                <w:sz w:val="21"/>
                <w:szCs w:val="21"/>
                <w:lang w:val="en-US" w:eastAsia="zh-CN" w:bidi="ar-SA"/>
              </w:rPr>
              <w:t>龙州县应急管理局</w:t>
            </w:r>
          </w:p>
          <w:p>
            <w:pPr>
              <w:snapToGrid w:val="0"/>
              <w:spacing w:line="360" w:lineRule="auto"/>
              <w:rPr>
                <w:rFonts w:hint="eastAsia" w:ascii="宋体" w:hAnsi="宋体" w:eastAsia="宋体"/>
                <w:szCs w:val="21"/>
                <w:lang w:eastAsia="zh-CN"/>
              </w:rPr>
            </w:pPr>
            <w:r>
              <w:rPr>
                <w:rFonts w:hint="eastAsia" w:ascii="宋体" w:hAnsi="宋体"/>
                <w:szCs w:val="21"/>
              </w:rPr>
              <w:t>地址：</w:t>
            </w:r>
            <w:r>
              <w:rPr>
                <w:rFonts w:hint="eastAsia" w:ascii="宋体" w:hAnsi="宋体" w:eastAsia="宋体" w:cs="Times New Roman"/>
                <w:kern w:val="2"/>
                <w:sz w:val="21"/>
                <w:szCs w:val="21"/>
                <w:lang w:val="en-US" w:eastAsia="zh-CN" w:bidi="ar-SA"/>
              </w:rPr>
              <w:t>龙州县龙州镇都兴街四区034号</w:t>
            </w:r>
          </w:p>
          <w:p>
            <w:pPr>
              <w:snapToGrid w:val="0"/>
              <w:spacing w:line="360" w:lineRule="auto"/>
              <w:rPr>
                <w:rFonts w:hint="eastAsia" w:ascii="宋体" w:hAnsi="宋体" w:eastAsia="宋体" w:cs="Times New Roman"/>
                <w:kern w:val="2"/>
                <w:sz w:val="21"/>
                <w:szCs w:val="21"/>
                <w:lang w:val="en-US" w:eastAsia="zh-CN" w:bidi="ar-SA"/>
              </w:rPr>
            </w:pPr>
            <w:r>
              <w:rPr>
                <w:rFonts w:hint="eastAsia" w:ascii="宋体" w:hAnsi="宋体"/>
                <w:szCs w:val="21"/>
              </w:rPr>
              <w:t>联系人</w:t>
            </w:r>
            <w:r>
              <w:rPr>
                <w:rFonts w:hint="eastAsia" w:ascii="宋体" w:hAnsi="宋体" w:eastAsia="宋体" w:cs="Times New Roman"/>
                <w:kern w:val="2"/>
                <w:sz w:val="21"/>
                <w:szCs w:val="21"/>
                <w:lang w:val="en-US" w:eastAsia="zh-CN" w:bidi="ar-SA"/>
              </w:rPr>
              <w:t xml:space="preserve">：黎工  </w:t>
            </w:r>
          </w:p>
          <w:p>
            <w:pPr>
              <w:snapToGrid w:val="0"/>
              <w:spacing w:line="360" w:lineRule="auto"/>
              <w:rPr>
                <w:rFonts w:hint="default" w:ascii="宋体" w:hAnsi="宋体" w:eastAsia="宋体"/>
                <w:spacing w:val="6"/>
                <w:kern w:val="48"/>
                <w:szCs w:val="21"/>
                <w:lang w:val="en-US" w:eastAsia="zh-CN"/>
              </w:rPr>
            </w:pPr>
            <w:r>
              <w:rPr>
                <w:rFonts w:hint="eastAsia" w:ascii="宋体" w:hAnsi="宋体" w:eastAsia="宋体" w:cs="Times New Roman"/>
                <w:kern w:val="2"/>
                <w:sz w:val="21"/>
                <w:szCs w:val="21"/>
                <w:lang w:val="en-US" w:eastAsia="zh-CN" w:bidi="ar-SA"/>
              </w:rPr>
              <w:t xml:space="preserve">电话：0771- 8811630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1.2</w:t>
            </w:r>
          </w:p>
        </w:tc>
        <w:tc>
          <w:tcPr>
            <w:tcW w:w="2977" w:type="dxa"/>
            <w:vAlign w:val="center"/>
          </w:tcPr>
          <w:p>
            <w:pPr>
              <w:pStyle w:val="19"/>
              <w:spacing w:line="360" w:lineRule="auto"/>
              <w:jc w:val="center"/>
              <w:rPr>
                <w:rFonts w:hAnsi="宋体"/>
                <w:szCs w:val="21"/>
              </w:rPr>
            </w:pPr>
            <w:r>
              <w:rPr>
                <w:rFonts w:hint="eastAsia" w:hAnsi="宋体"/>
                <w:szCs w:val="21"/>
              </w:rPr>
              <w:t>采购代理机构</w:t>
            </w:r>
          </w:p>
        </w:tc>
        <w:tc>
          <w:tcPr>
            <w:tcW w:w="6031" w:type="dxa"/>
            <w:vAlign w:val="center"/>
          </w:tcPr>
          <w:p>
            <w:pPr>
              <w:pStyle w:val="19"/>
              <w:spacing w:line="360" w:lineRule="auto"/>
              <w:rPr>
                <w:rFonts w:hint="eastAsia" w:hAnsi="宋体"/>
              </w:rPr>
            </w:pPr>
            <w:r>
              <w:rPr>
                <w:rFonts w:hint="eastAsia" w:hAnsi="宋体"/>
              </w:rPr>
              <w:t>名称：</w:t>
            </w:r>
            <w:r>
              <w:rPr>
                <w:rFonts w:hint="eastAsia" w:ascii="宋体" w:hAnsi="宋体" w:cs="宋体"/>
                <w:color w:val="000000"/>
                <w:kern w:val="0"/>
                <w:sz w:val="24"/>
              </w:rPr>
              <w:t>：</w:t>
            </w:r>
            <w:r>
              <w:rPr>
                <w:rFonts w:hint="eastAsia" w:hAnsi="宋体"/>
              </w:rPr>
              <w:t>广西建坤工程咨询有限公司</w:t>
            </w:r>
          </w:p>
          <w:p>
            <w:pPr>
              <w:spacing w:line="360" w:lineRule="auto"/>
              <w:rPr>
                <w:rFonts w:hint="eastAsia" w:hAnsi="宋体"/>
                <w:lang w:val="en-US" w:eastAsia="zh-CN"/>
              </w:rPr>
            </w:pPr>
            <w:r>
              <w:rPr>
                <w:rFonts w:hint="eastAsia" w:hAnsi="宋体"/>
                <w:lang w:val="en-US" w:eastAsia="zh-CN"/>
              </w:rPr>
              <w:t>地址：</w:t>
            </w:r>
            <w:r>
              <w:rPr>
                <w:rFonts w:hint="eastAsia" w:ascii="宋体" w:hAnsi="宋体" w:eastAsia="宋体" w:cs="Times New Roman"/>
                <w:kern w:val="2"/>
                <w:sz w:val="21"/>
                <w:szCs w:val="20"/>
                <w:lang w:val="en-US" w:eastAsia="zh-CN" w:bidi="ar-SA"/>
              </w:rPr>
              <w:t>崇左市友谊大道北段东侧（华门新都）第9栋405-408室</w:t>
            </w:r>
          </w:p>
          <w:p>
            <w:pPr>
              <w:pStyle w:val="19"/>
              <w:spacing w:line="360" w:lineRule="auto"/>
              <w:rPr>
                <w:rFonts w:hint="eastAsia" w:hAnsi="宋体"/>
              </w:rPr>
            </w:pPr>
            <w:r>
              <w:rPr>
                <w:rFonts w:hint="eastAsia" w:hAnsi="宋体"/>
              </w:rPr>
              <w:t>项目联系人：覃工</w:t>
            </w:r>
          </w:p>
          <w:p>
            <w:pPr>
              <w:pStyle w:val="19"/>
              <w:spacing w:line="360" w:lineRule="auto"/>
              <w:rPr>
                <w:rFonts w:hAnsi="宋体"/>
                <w:szCs w:val="21"/>
              </w:rPr>
            </w:pPr>
            <w:r>
              <w:rPr>
                <w:rFonts w:hint="eastAsia" w:hAnsi="宋体"/>
              </w:rPr>
              <w:t>联系电话：</w:t>
            </w:r>
            <w:bookmarkStart w:id="33" w:name="CgwjmbEntity：TEL_0"/>
            <w:bookmarkEnd w:id="33"/>
            <w:r>
              <w:rPr>
                <w:rFonts w:hint="eastAsia" w:hAnsi="宋体"/>
              </w:rPr>
              <w:t>0771-7847999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1.3</w:t>
            </w:r>
          </w:p>
        </w:tc>
        <w:tc>
          <w:tcPr>
            <w:tcW w:w="2977" w:type="dxa"/>
            <w:vAlign w:val="center"/>
          </w:tcPr>
          <w:p>
            <w:pPr>
              <w:pStyle w:val="19"/>
              <w:spacing w:line="360" w:lineRule="auto"/>
              <w:jc w:val="center"/>
              <w:rPr>
                <w:rFonts w:hAnsi="宋体"/>
                <w:szCs w:val="21"/>
              </w:rPr>
            </w:pPr>
            <w:r>
              <w:rPr>
                <w:rFonts w:hint="eastAsia" w:hAnsi="宋体"/>
                <w:szCs w:val="21"/>
              </w:rPr>
              <w:t>项目名称</w:t>
            </w:r>
          </w:p>
        </w:tc>
        <w:tc>
          <w:tcPr>
            <w:tcW w:w="6031" w:type="dxa"/>
            <w:vAlign w:val="center"/>
          </w:tcPr>
          <w:p>
            <w:pPr>
              <w:pStyle w:val="19"/>
              <w:spacing w:line="360" w:lineRule="auto"/>
              <w:rPr>
                <w:rFonts w:hint="eastAsia" w:hAnsi="宋体" w:eastAsia="宋体"/>
                <w:szCs w:val="21"/>
                <w:lang w:eastAsia="zh-CN"/>
              </w:rPr>
            </w:pPr>
            <w:r>
              <w:rPr>
                <w:rFonts w:hint="eastAsia" w:hAnsi="宋体"/>
              </w:rPr>
              <w:t>龙州县备灾点救灾物资采购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1.4</w:t>
            </w:r>
          </w:p>
        </w:tc>
        <w:tc>
          <w:tcPr>
            <w:tcW w:w="2977" w:type="dxa"/>
            <w:vAlign w:val="center"/>
          </w:tcPr>
          <w:p>
            <w:pPr>
              <w:pStyle w:val="19"/>
              <w:spacing w:line="360" w:lineRule="auto"/>
              <w:jc w:val="center"/>
              <w:rPr>
                <w:rFonts w:hAnsi="宋体"/>
                <w:szCs w:val="21"/>
              </w:rPr>
            </w:pPr>
            <w:r>
              <w:rPr>
                <w:rFonts w:hint="eastAsia" w:hAnsi="宋体"/>
                <w:szCs w:val="21"/>
              </w:rPr>
              <w:t>项目编号</w:t>
            </w:r>
          </w:p>
        </w:tc>
        <w:tc>
          <w:tcPr>
            <w:tcW w:w="6031" w:type="dxa"/>
            <w:vAlign w:val="center"/>
          </w:tcPr>
          <w:p>
            <w:pPr>
              <w:pStyle w:val="19"/>
              <w:spacing w:line="360" w:lineRule="auto"/>
              <w:rPr>
                <w:rFonts w:hint="default" w:hAnsi="宋体" w:eastAsia="宋体"/>
                <w:szCs w:val="21"/>
                <w:lang w:val="en-US" w:eastAsia="zh-CN"/>
              </w:rPr>
            </w:pPr>
            <w:r>
              <w:rPr>
                <w:rFonts w:hint="eastAsia" w:hAnsi="宋体"/>
                <w:szCs w:val="21"/>
                <w:lang w:val="en-US" w:eastAsia="zh-CN"/>
              </w:rPr>
              <w:t>CZZC2020-G1-60013-GXJK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1" w:hRule="atLeast"/>
          <w:jc w:val="center"/>
        </w:trPr>
        <w:tc>
          <w:tcPr>
            <w:tcW w:w="993" w:type="dxa"/>
            <w:vAlign w:val="center"/>
          </w:tcPr>
          <w:p>
            <w:pPr>
              <w:pStyle w:val="19"/>
              <w:spacing w:line="360" w:lineRule="auto"/>
              <w:jc w:val="center"/>
              <w:rPr>
                <w:rFonts w:hAnsi="宋体"/>
                <w:szCs w:val="21"/>
              </w:rPr>
            </w:pPr>
            <w:r>
              <w:rPr>
                <w:rFonts w:hAnsi="宋体"/>
                <w:szCs w:val="21"/>
              </w:rPr>
              <w:t>1.5</w:t>
            </w:r>
          </w:p>
        </w:tc>
        <w:tc>
          <w:tcPr>
            <w:tcW w:w="2977" w:type="dxa"/>
            <w:vAlign w:val="center"/>
          </w:tcPr>
          <w:p>
            <w:pPr>
              <w:pStyle w:val="19"/>
              <w:spacing w:line="360" w:lineRule="auto"/>
              <w:jc w:val="center"/>
              <w:rPr>
                <w:rFonts w:hAnsi="宋体"/>
                <w:szCs w:val="21"/>
              </w:rPr>
            </w:pPr>
            <w:r>
              <w:rPr>
                <w:rFonts w:hint="eastAsia" w:hAnsi="宋体"/>
                <w:szCs w:val="21"/>
              </w:rPr>
              <w:t>采购总预算</w:t>
            </w:r>
          </w:p>
        </w:tc>
        <w:tc>
          <w:tcPr>
            <w:tcW w:w="6031" w:type="dxa"/>
            <w:vAlign w:val="center"/>
          </w:tcPr>
          <w:p>
            <w:pPr>
              <w:snapToGrid w:val="0"/>
              <w:spacing w:line="440" w:lineRule="exact"/>
              <w:rPr>
                <w:rFonts w:hint="eastAsia" w:ascii="宋体" w:hAnsi="宋体" w:cs="Arial"/>
                <w:bCs/>
                <w:szCs w:val="21"/>
                <w:lang w:val="en-US" w:eastAsia="zh-CN"/>
              </w:rPr>
            </w:pPr>
            <w:r>
              <w:rPr>
                <w:rFonts w:hint="eastAsia" w:hAnsi="宋体"/>
                <w:szCs w:val="21"/>
              </w:rPr>
              <w:t>人民币</w:t>
            </w:r>
            <w:r>
              <w:rPr>
                <w:rFonts w:hint="eastAsia" w:ascii="宋体" w:hAnsi="宋体" w:cs="Arial"/>
                <w:bCs/>
                <w:szCs w:val="21"/>
                <w:lang w:val="en-US" w:eastAsia="zh-CN"/>
              </w:rPr>
              <w:t xml:space="preserve"> A标段（￥1398220.00元）  B标段（￥1041520.00元）</w:t>
            </w:r>
          </w:p>
          <w:p>
            <w:pPr>
              <w:pStyle w:val="19"/>
              <w:spacing w:line="360" w:lineRule="auto"/>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1.7</w:t>
            </w:r>
          </w:p>
        </w:tc>
        <w:tc>
          <w:tcPr>
            <w:tcW w:w="2977" w:type="dxa"/>
            <w:vAlign w:val="center"/>
          </w:tcPr>
          <w:p>
            <w:pPr>
              <w:pStyle w:val="19"/>
              <w:spacing w:line="360" w:lineRule="auto"/>
              <w:jc w:val="center"/>
              <w:rPr>
                <w:rFonts w:hAnsi="宋体"/>
                <w:szCs w:val="21"/>
              </w:rPr>
            </w:pPr>
            <w:r>
              <w:rPr>
                <w:rFonts w:hint="eastAsia" w:hAnsi="宋体"/>
                <w:szCs w:val="21"/>
              </w:rPr>
              <w:t>获取招标文件的时间、地点、方式及招标文件售价</w:t>
            </w:r>
          </w:p>
        </w:tc>
        <w:tc>
          <w:tcPr>
            <w:tcW w:w="6031" w:type="dxa"/>
            <w:vAlign w:val="center"/>
          </w:tcPr>
          <w:p>
            <w:pPr>
              <w:pStyle w:val="19"/>
              <w:spacing w:line="360" w:lineRule="auto"/>
              <w:rPr>
                <w:rFonts w:hAnsi="宋体"/>
              </w:rPr>
            </w:pPr>
            <w:r>
              <w:rPr>
                <w:rFonts w:hint="eastAsia" w:hAnsi="宋体"/>
              </w:rPr>
              <w:t>获取招标文件方式：</w:t>
            </w:r>
          </w:p>
          <w:p>
            <w:pPr>
              <w:pStyle w:val="19"/>
              <w:spacing w:line="360" w:lineRule="auto"/>
              <w:rPr>
                <w:rFonts w:hAnsi="宋体" w:cs="Arial"/>
                <w:szCs w:val="21"/>
              </w:rPr>
            </w:pPr>
            <w:r>
              <w:rPr>
                <w:rFonts w:hint="eastAsia" w:hAnsi="宋体"/>
              </w:rPr>
              <w:t>由潜在投标人自行在</w:t>
            </w:r>
            <w:r>
              <w:rPr>
                <w:rFonts w:hint="eastAsia" w:hAnsi="宋体" w:cs="宋体"/>
                <w:bCs/>
                <w:spacing w:val="-4"/>
                <w:szCs w:val="21"/>
                <w:u w:val="single"/>
              </w:rPr>
              <w:t>政采云平台（https://www.zcygov.cn/）</w:t>
            </w:r>
            <w:r>
              <w:rPr>
                <w:rFonts w:hint="eastAsia" w:hAnsi="宋体" w:cs="宋体"/>
                <w:szCs w:val="21"/>
              </w:rPr>
              <w:t>获取招标文件</w:t>
            </w:r>
            <w:r>
              <w:rPr>
                <w:rFonts w:hint="eastAsia"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3.4</w:t>
            </w:r>
          </w:p>
        </w:tc>
        <w:tc>
          <w:tcPr>
            <w:tcW w:w="2977" w:type="dxa"/>
            <w:vAlign w:val="center"/>
          </w:tcPr>
          <w:p>
            <w:pPr>
              <w:pStyle w:val="19"/>
              <w:spacing w:line="360" w:lineRule="auto"/>
              <w:jc w:val="center"/>
              <w:rPr>
                <w:rFonts w:hAnsi="宋体"/>
                <w:szCs w:val="21"/>
              </w:rPr>
            </w:pPr>
            <w:r>
              <w:rPr>
                <w:rFonts w:hint="eastAsia" w:hAnsi="宋体"/>
                <w:bCs/>
                <w:szCs w:val="21"/>
              </w:rPr>
              <w:t>投标人应具备的特定资格条件</w:t>
            </w:r>
          </w:p>
        </w:tc>
        <w:tc>
          <w:tcPr>
            <w:tcW w:w="6031" w:type="dxa"/>
            <w:vAlign w:val="center"/>
          </w:tcPr>
          <w:p>
            <w:pPr>
              <w:snapToGrid w:val="0"/>
              <w:spacing w:line="360" w:lineRule="auto"/>
              <w:rPr>
                <w:rFonts w:ascii="宋体" w:hAnsi="宋体" w:cs="Arial"/>
                <w:b/>
                <w:bCs/>
                <w:szCs w:val="21"/>
              </w:rPr>
            </w:pPr>
            <w:r>
              <w:rPr>
                <w:rFonts w:hint="eastAsia" w:ascii="宋体" w:hAnsi="宋体" w:cs="Arial"/>
                <w:szCs w:val="21"/>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3.5</w:t>
            </w:r>
          </w:p>
        </w:tc>
        <w:tc>
          <w:tcPr>
            <w:tcW w:w="2977" w:type="dxa"/>
            <w:vAlign w:val="center"/>
          </w:tcPr>
          <w:p>
            <w:pPr>
              <w:pStyle w:val="19"/>
              <w:spacing w:line="360" w:lineRule="auto"/>
              <w:jc w:val="center"/>
              <w:rPr>
                <w:rFonts w:hAnsi="宋体"/>
                <w:szCs w:val="21"/>
              </w:rPr>
            </w:pPr>
            <w:r>
              <w:rPr>
                <w:rFonts w:hint="eastAsia" w:hAnsi="宋体"/>
                <w:szCs w:val="21"/>
              </w:rPr>
              <w:t>是否接受联合体投标</w:t>
            </w:r>
          </w:p>
        </w:tc>
        <w:tc>
          <w:tcPr>
            <w:tcW w:w="6031" w:type="dxa"/>
            <w:vAlign w:val="center"/>
          </w:tcPr>
          <w:p>
            <w:pPr>
              <w:pStyle w:val="19"/>
              <w:spacing w:line="360" w:lineRule="auto"/>
              <w:rPr>
                <w:rFonts w:hAnsi="宋体"/>
                <w:szCs w:val="21"/>
              </w:rPr>
            </w:pPr>
            <w:r>
              <w:rPr>
                <w:rFonts w:hint="eastAsia" w:hAnsi="宋体"/>
                <w:szCs w:val="21"/>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3" w:type="dxa"/>
            <w:vMerge w:val="restart"/>
            <w:vAlign w:val="center"/>
          </w:tcPr>
          <w:p>
            <w:pPr>
              <w:pStyle w:val="19"/>
              <w:spacing w:line="360" w:lineRule="auto"/>
              <w:jc w:val="center"/>
              <w:rPr>
                <w:rFonts w:hAnsi="宋体"/>
                <w:szCs w:val="21"/>
              </w:rPr>
            </w:pPr>
            <w:r>
              <w:rPr>
                <w:rFonts w:hAnsi="宋体"/>
                <w:szCs w:val="21"/>
              </w:rPr>
              <w:t>4.1</w:t>
            </w:r>
          </w:p>
        </w:tc>
        <w:tc>
          <w:tcPr>
            <w:tcW w:w="2977" w:type="dxa"/>
            <w:vAlign w:val="center"/>
          </w:tcPr>
          <w:p>
            <w:pPr>
              <w:pStyle w:val="19"/>
              <w:spacing w:line="360" w:lineRule="auto"/>
              <w:jc w:val="center"/>
              <w:rPr>
                <w:rFonts w:hAnsi="宋体"/>
                <w:szCs w:val="21"/>
              </w:rPr>
            </w:pPr>
            <w:r>
              <w:rPr>
                <w:rFonts w:hint="eastAsia" w:hAnsi="宋体"/>
                <w:szCs w:val="21"/>
              </w:rPr>
              <w:t>招标文件质疑提交的截止时间</w:t>
            </w:r>
          </w:p>
        </w:tc>
        <w:tc>
          <w:tcPr>
            <w:tcW w:w="6031" w:type="dxa"/>
            <w:vAlign w:val="center"/>
          </w:tcPr>
          <w:p>
            <w:pPr>
              <w:pStyle w:val="19"/>
              <w:spacing w:line="360" w:lineRule="auto"/>
              <w:rPr>
                <w:rFonts w:hAnsi="宋体"/>
                <w:szCs w:val="21"/>
              </w:rPr>
            </w:pPr>
            <w:r>
              <w:rPr>
                <w:rFonts w:hint="eastAsia" w:hAnsi="宋体"/>
                <w:szCs w:val="21"/>
              </w:rPr>
              <w:t>采购文件公告期届满之日起7个工作日内提出。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3" w:type="dxa"/>
            <w:vMerge w:val="continue"/>
            <w:vAlign w:val="center"/>
          </w:tcPr>
          <w:p>
            <w:pPr>
              <w:pStyle w:val="19"/>
              <w:spacing w:line="360" w:lineRule="auto"/>
              <w:jc w:val="center"/>
              <w:rPr>
                <w:rFonts w:hAnsi="宋体"/>
                <w:szCs w:val="21"/>
              </w:rPr>
            </w:pPr>
          </w:p>
        </w:tc>
        <w:tc>
          <w:tcPr>
            <w:tcW w:w="2977" w:type="dxa"/>
            <w:vAlign w:val="center"/>
          </w:tcPr>
          <w:p>
            <w:pPr>
              <w:pStyle w:val="19"/>
              <w:spacing w:line="360" w:lineRule="auto"/>
              <w:jc w:val="center"/>
              <w:rPr>
                <w:rFonts w:hAnsi="宋体"/>
                <w:szCs w:val="21"/>
              </w:rPr>
            </w:pPr>
            <w:r>
              <w:rPr>
                <w:rFonts w:hint="eastAsia" w:hAnsi="宋体"/>
                <w:szCs w:val="21"/>
              </w:rPr>
              <w:t>质疑提交地点、电话</w:t>
            </w:r>
          </w:p>
        </w:tc>
        <w:tc>
          <w:tcPr>
            <w:tcW w:w="6031" w:type="dxa"/>
            <w:vAlign w:val="center"/>
          </w:tcPr>
          <w:p>
            <w:pPr>
              <w:pStyle w:val="2"/>
              <w:spacing w:before="151" w:line="360" w:lineRule="auto"/>
              <w:rPr>
                <w:rFonts w:hint="eastAsia" w:ascii="宋体" w:hAnsi="宋体" w:eastAsia="宋体" w:cs="Times New Roman"/>
                <w:b w:val="0"/>
                <w:spacing w:val="0"/>
                <w:kern w:val="2"/>
                <w:sz w:val="21"/>
                <w:szCs w:val="21"/>
                <w:lang w:val="en-US" w:eastAsia="zh-CN" w:bidi="ar-SA"/>
              </w:rPr>
            </w:pPr>
            <w:r>
              <w:rPr>
                <w:rFonts w:hint="eastAsia" w:ascii="宋体" w:hAnsi="宋体" w:eastAsia="宋体" w:cs="Times New Roman"/>
                <w:b w:val="0"/>
                <w:spacing w:val="0"/>
                <w:kern w:val="2"/>
                <w:sz w:val="21"/>
                <w:szCs w:val="21"/>
                <w:lang w:val="zh-CN" w:eastAsia="zh-CN" w:bidi="ar-SA"/>
              </w:rPr>
              <w:t>广西建坤工程咨询有限公司</w:t>
            </w:r>
            <w:r>
              <w:rPr>
                <w:rFonts w:hint="eastAsia" w:ascii="宋体" w:hAnsi="宋体" w:eastAsia="宋体" w:cs="Times New Roman"/>
                <w:b w:val="0"/>
                <w:spacing w:val="0"/>
                <w:kern w:val="2"/>
                <w:sz w:val="21"/>
                <w:szCs w:val="21"/>
                <w:lang w:val="en-US" w:eastAsia="zh-CN" w:bidi="ar-SA"/>
              </w:rPr>
              <w:t>，地址：崇左市友谊大道北段东侧（华门新都）第9栋405-408室，质疑咨询电话：0771-7847999。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7.1</w:t>
            </w:r>
          </w:p>
        </w:tc>
        <w:tc>
          <w:tcPr>
            <w:tcW w:w="2977" w:type="dxa"/>
            <w:vAlign w:val="center"/>
          </w:tcPr>
          <w:p>
            <w:pPr>
              <w:pStyle w:val="19"/>
              <w:spacing w:line="360" w:lineRule="auto"/>
              <w:jc w:val="center"/>
              <w:rPr>
                <w:rFonts w:hAnsi="宋体" w:cs="宋体"/>
                <w:kern w:val="0"/>
                <w:szCs w:val="21"/>
              </w:rPr>
            </w:pPr>
            <w:r>
              <w:rPr>
                <w:rFonts w:hint="eastAsia" w:hAnsi="宋体" w:cs="宋体"/>
                <w:kern w:val="0"/>
                <w:szCs w:val="21"/>
              </w:rPr>
              <w:t>投标人要求澄清的截止时间</w:t>
            </w:r>
          </w:p>
        </w:tc>
        <w:tc>
          <w:tcPr>
            <w:tcW w:w="6031" w:type="dxa"/>
            <w:vAlign w:val="center"/>
          </w:tcPr>
          <w:p>
            <w:pPr>
              <w:pStyle w:val="19"/>
              <w:spacing w:line="360" w:lineRule="auto"/>
              <w:rPr>
                <w:rFonts w:hAnsi="宋体"/>
                <w:szCs w:val="21"/>
              </w:rPr>
            </w:pPr>
            <w:r>
              <w:rPr>
                <w:rFonts w:hint="eastAsia" w:hAnsi="宋体"/>
                <w:szCs w:val="21"/>
              </w:rPr>
              <w:t>投标人发现招标文件有误或有不合理要求的，必须在收到招标文件之日起七个工作日内以书面形式要求采购人、采购代理机构澄清。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8.7</w:t>
            </w:r>
          </w:p>
        </w:tc>
        <w:tc>
          <w:tcPr>
            <w:tcW w:w="2977" w:type="dxa"/>
            <w:vAlign w:val="center"/>
          </w:tcPr>
          <w:p>
            <w:pPr>
              <w:pStyle w:val="19"/>
              <w:spacing w:line="360" w:lineRule="auto"/>
              <w:jc w:val="center"/>
              <w:rPr>
                <w:rFonts w:hAnsi="宋体"/>
                <w:szCs w:val="21"/>
              </w:rPr>
            </w:pPr>
            <w:r>
              <w:rPr>
                <w:rFonts w:hint="eastAsia" w:hAnsi="宋体"/>
                <w:szCs w:val="21"/>
              </w:rPr>
              <w:t>投标文件副本份数</w:t>
            </w:r>
          </w:p>
        </w:tc>
        <w:tc>
          <w:tcPr>
            <w:tcW w:w="6031" w:type="dxa"/>
            <w:vAlign w:val="center"/>
          </w:tcPr>
          <w:p>
            <w:pPr>
              <w:pStyle w:val="19"/>
              <w:spacing w:line="360" w:lineRule="auto"/>
              <w:rPr>
                <w:rFonts w:hAnsi="宋体"/>
                <w:szCs w:val="21"/>
              </w:rPr>
            </w:pPr>
            <w:r>
              <w:rPr>
                <w:rFonts w:hint="eastAsia" w:hAnsi="宋体"/>
                <w:szCs w:val="21"/>
              </w:rPr>
              <w:t>报价文件：正本</w:t>
            </w:r>
            <w:r>
              <w:rPr>
                <w:rFonts w:hAnsi="宋体"/>
                <w:szCs w:val="21"/>
              </w:rPr>
              <w:t>1</w:t>
            </w:r>
            <w:r>
              <w:rPr>
                <w:rFonts w:hint="eastAsia" w:hAnsi="宋体"/>
                <w:szCs w:val="21"/>
              </w:rPr>
              <w:t>份，副本</w:t>
            </w:r>
            <w:r>
              <w:rPr>
                <w:rFonts w:hAnsi="宋体"/>
                <w:szCs w:val="21"/>
              </w:rPr>
              <w:t>4</w:t>
            </w:r>
            <w:r>
              <w:rPr>
                <w:rFonts w:hint="eastAsia" w:hAnsi="宋体"/>
                <w:szCs w:val="21"/>
              </w:rPr>
              <w:t>份</w:t>
            </w:r>
          </w:p>
          <w:p>
            <w:pPr>
              <w:pStyle w:val="19"/>
              <w:spacing w:line="360" w:lineRule="auto"/>
              <w:rPr>
                <w:rFonts w:hAnsi="宋体"/>
                <w:szCs w:val="21"/>
              </w:rPr>
            </w:pPr>
            <w:r>
              <w:rPr>
                <w:rFonts w:hint="eastAsia" w:hAnsi="宋体"/>
                <w:szCs w:val="21"/>
              </w:rPr>
              <w:t>资格文件：正本</w:t>
            </w:r>
            <w:r>
              <w:rPr>
                <w:rFonts w:hAnsi="宋体"/>
                <w:szCs w:val="21"/>
              </w:rPr>
              <w:t>1</w:t>
            </w:r>
            <w:r>
              <w:rPr>
                <w:rFonts w:hint="eastAsia" w:hAnsi="宋体"/>
                <w:szCs w:val="21"/>
              </w:rPr>
              <w:t>份，副本</w:t>
            </w:r>
            <w:r>
              <w:rPr>
                <w:rFonts w:hAnsi="宋体"/>
                <w:szCs w:val="21"/>
              </w:rPr>
              <w:t>4</w:t>
            </w:r>
            <w:r>
              <w:rPr>
                <w:rFonts w:hint="eastAsia" w:hAnsi="宋体"/>
                <w:szCs w:val="21"/>
              </w:rPr>
              <w:t>份</w:t>
            </w:r>
          </w:p>
          <w:p>
            <w:pPr>
              <w:pStyle w:val="19"/>
              <w:spacing w:line="360" w:lineRule="auto"/>
              <w:rPr>
                <w:rFonts w:hAnsi="宋体"/>
                <w:szCs w:val="21"/>
              </w:rPr>
            </w:pPr>
            <w:r>
              <w:rPr>
                <w:rFonts w:hint="eastAsia" w:hAnsi="宋体"/>
                <w:szCs w:val="21"/>
              </w:rPr>
              <w:t>商务文件：正本</w:t>
            </w:r>
            <w:r>
              <w:rPr>
                <w:rFonts w:hAnsi="宋体"/>
                <w:szCs w:val="21"/>
              </w:rPr>
              <w:t>1</w:t>
            </w:r>
            <w:r>
              <w:rPr>
                <w:rFonts w:hint="eastAsia" w:hAnsi="宋体"/>
                <w:szCs w:val="21"/>
              </w:rPr>
              <w:t>份，副本</w:t>
            </w:r>
            <w:r>
              <w:rPr>
                <w:rFonts w:hAnsi="宋体"/>
                <w:szCs w:val="21"/>
              </w:rPr>
              <w:t>4</w:t>
            </w:r>
            <w:r>
              <w:rPr>
                <w:rFonts w:hint="eastAsia" w:hAnsi="宋体"/>
                <w:szCs w:val="21"/>
              </w:rPr>
              <w:t>份</w:t>
            </w:r>
          </w:p>
          <w:p>
            <w:pPr>
              <w:pStyle w:val="19"/>
              <w:spacing w:line="360" w:lineRule="auto"/>
              <w:rPr>
                <w:rFonts w:hAnsi="宋体"/>
                <w:szCs w:val="21"/>
              </w:rPr>
            </w:pPr>
            <w:r>
              <w:rPr>
                <w:rFonts w:hint="eastAsia" w:hAnsi="宋体"/>
                <w:szCs w:val="21"/>
              </w:rPr>
              <w:t>技术文件：正本</w:t>
            </w:r>
            <w:r>
              <w:rPr>
                <w:rFonts w:hAnsi="宋体"/>
                <w:szCs w:val="21"/>
              </w:rPr>
              <w:t>1</w:t>
            </w:r>
            <w:r>
              <w:rPr>
                <w:rFonts w:hint="eastAsia" w:hAnsi="宋体"/>
                <w:szCs w:val="21"/>
              </w:rPr>
              <w:t>份，副本</w:t>
            </w:r>
            <w:r>
              <w:rPr>
                <w:rFonts w:hAnsi="宋体"/>
                <w:szCs w:val="21"/>
              </w:rPr>
              <w:t>4</w:t>
            </w:r>
            <w:r>
              <w:rPr>
                <w:rFonts w:hint="eastAsia" w:hAnsi="宋体"/>
                <w:szCs w:val="21"/>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p>
        </w:tc>
        <w:tc>
          <w:tcPr>
            <w:tcW w:w="2977" w:type="dxa"/>
            <w:vAlign w:val="center"/>
          </w:tcPr>
          <w:p>
            <w:pPr>
              <w:pStyle w:val="19"/>
              <w:spacing w:line="360" w:lineRule="auto"/>
              <w:jc w:val="center"/>
              <w:rPr>
                <w:rFonts w:hAnsi="宋体"/>
                <w:szCs w:val="21"/>
              </w:rPr>
            </w:pPr>
            <w:r>
              <w:rPr>
                <w:rFonts w:hint="eastAsia" w:hAnsi="宋体" w:cs="Courier New"/>
                <w:szCs w:val="21"/>
              </w:rPr>
              <w:t>投标文件电子版</w:t>
            </w:r>
          </w:p>
        </w:tc>
        <w:tc>
          <w:tcPr>
            <w:tcW w:w="6031" w:type="dxa"/>
            <w:vAlign w:val="center"/>
          </w:tcPr>
          <w:p>
            <w:pPr>
              <w:pStyle w:val="19"/>
              <w:spacing w:line="360" w:lineRule="auto"/>
              <w:rPr>
                <w:rFonts w:hAnsi="宋体"/>
                <w:szCs w:val="21"/>
              </w:rPr>
            </w:pPr>
            <w:r>
              <w:rPr>
                <w:rFonts w:hint="eastAsia" w:hAnsi="宋体" w:cs="Courier New"/>
                <w:szCs w:val="21"/>
              </w:rPr>
              <w:t>不需要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11.4</w:t>
            </w:r>
          </w:p>
        </w:tc>
        <w:tc>
          <w:tcPr>
            <w:tcW w:w="2977" w:type="dxa"/>
            <w:vAlign w:val="center"/>
          </w:tcPr>
          <w:p>
            <w:pPr>
              <w:autoSpaceDE w:val="0"/>
              <w:autoSpaceDN w:val="0"/>
              <w:spacing w:line="360" w:lineRule="auto"/>
              <w:jc w:val="center"/>
              <w:rPr>
                <w:rFonts w:ascii="宋体" w:hAnsi="宋体" w:cs="宋体"/>
                <w:kern w:val="0"/>
                <w:szCs w:val="21"/>
              </w:rPr>
            </w:pPr>
            <w:r>
              <w:rPr>
                <w:rFonts w:hint="eastAsia" w:ascii="宋体" w:hAnsi="宋体"/>
                <w:kern w:val="0"/>
                <w:szCs w:val="21"/>
              </w:rPr>
              <w:t>采购代理服务费</w:t>
            </w:r>
          </w:p>
        </w:tc>
        <w:tc>
          <w:tcPr>
            <w:tcW w:w="6031" w:type="dxa"/>
            <w:vAlign w:val="center"/>
          </w:tcPr>
          <w:p>
            <w:pPr>
              <w:pStyle w:val="19"/>
              <w:spacing w:line="360" w:lineRule="auto"/>
              <w:jc w:val="left"/>
              <w:rPr>
                <w:rFonts w:hAnsi="宋体" w:cs="宋体"/>
                <w:kern w:val="0"/>
                <w:szCs w:val="21"/>
              </w:rPr>
            </w:pPr>
            <w:r>
              <w:rPr>
                <w:rFonts w:hint="eastAsia" w:hAnsi="宋体"/>
                <w:szCs w:val="21"/>
              </w:rPr>
              <w:t>招标代理服务费各分标参照按【</w:t>
            </w:r>
            <w:r>
              <w:rPr>
                <w:rFonts w:hAnsi="宋体"/>
                <w:szCs w:val="21"/>
              </w:rPr>
              <w:t>2011</w:t>
            </w:r>
            <w:r>
              <w:rPr>
                <w:rFonts w:hint="eastAsia" w:hAnsi="宋体"/>
                <w:szCs w:val="21"/>
              </w:rPr>
              <w:t>】</w:t>
            </w:r>
            <w:r>
              <w:rPr>
                <w:rFonts w:hAnsi="宋体"/>
                <w:szCs w:val="21"/>
              </w:rPr>
              <w:t>534</w:t>
            </w:r>
            <w:r>
              <w:rPr>
                <w:rFonts w:hint="eastAsia" w:hAnsi="宋体"/>
                <w:szCs w:val="21"/>
              </w:rPr>
              <w:t>号文规定货物类标准（详见附件一）计取，在发出中标通知书时，中标人向采购代理机构一次性付清。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12.1</w:t>
            </w:r>
          </w:p>
        </w:tc>
        <w:tc>
          <w:tcPr>
            <w:tcW w:w="2977" w:type="dxa"/>
            <w:vAlign w:val="center"/>
          </w:tcPr>
          <w:p>
            <w:pPr>
              <w:pStyle w:val="19"/>
              <w:spacing w:line="360" w:lineRule="auto"/>
              <w:jc w:val="center"/>
              <w:rPr>
                <w:rFonts w:hAnsi="宋体"/>
                <w:szCs w:val="21"/>
              </w:rPr>
            </w:pPr>
            <w:r>
              <w:rPr>
                <w:rFonts w:hint="eastAsia" w:hAnsi="宋体"/>
                <w:szCs w:val="21"/>
              </w:rPr>
              <w:t>投标有效期</w:t>
            </w:r>
          </w:p>
        </w:tc>
        <w:tc>
          <w:tcPr>
            <w:tcW w:w="6031" w:type="dxa"/>
            <w:vAlign w:val="center"/>
          </w:tcPr>
          <w:p>
            <w:pPr>
              <w:pStyle w:val="19"/>
              <w:spacing w:line="360" w:lineRule="auto"/>
              <w:rPr>
                <w:rFonts w:hAnsi="宋体"/>
                <w:szCs w:val="21"/>
              </w:rPr>
            </w:pPr>
            <w:r>
              <w:rPr>
                <w:rFonts w:hint="eastAsia" w:hAnsi="宋体"/>
                <w:szCs w:val="21"/>
              </w:rPr>
              <w:t>自投标截止之日起</w:t>
            </w:r>
            <w:r>
              <w:rPr>
                <w:rFonts w:hAnsi="宋体"/>
                <w:szCs w:val="21"/>
              </w:rPr>
              <w:t>90</w:t>
            </w:r>
            <w:r>
              <w:rPr>
                <w:rFonts w:hint="eastAsia" w:hAnsi="宋体"/>
                <w:szCs w:val="21"/>
              </w:rPr>
              <w:t>日历天内保持有效，投标有效期不满足要求的投标将被视为非实质性响应投标而予以拒绝。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13.1</w:t>
            </w:r>
          </w:p>
        </w:tc>
        <w:tc>
          <w:tcPr>
            <w:tcW w:w="2977" w:type="dxa"/>
            <w:vAlign w:val="center"/>
          </w:tcPr>
          <w:p>
            <w:pPr>
              <w:pStyle w:val="19"/>
              <w:spacing w:line="360" w:lineRule="auto"/>
              <w:jc w:val="center"/>
              <w:rPr>
                <w:rFonts w:hAnsi="宋体"/>
                <w:szCs w:val="21"/>
              </w:rPr>
            </w:pPr>
            <w:r>
              <w:rPr>
                <w:rFonts w:hint="eastAsia" w:hAnsi="宋体"/>
                <w:szCs w:val="21"/>
              </w:rPr>
              <w:t>投标保证金金额</w:t>
            </w:r>
          </w:p>
        </w:tc>
        <w:tc>
          <w:tcPr>
            <w:tcW w:w="6031" w:type="dxa"/>
            <w:vAlign w:val="center"/>
          </w:tcPr>
          <w:p>
            <w:pPr>
              <w:snapToGrid w:val="0"/>
              <w:spacing w:line="360" w:lineRule="auto"/>
              <w:rPr>
                <w:rFonts w:ascii="宋体" w:hAnsi="宋体" w:cs="Arial"/>
                <w:szCs w:val="21"/>
              </w:rPr>
            </w:pPr>
            <w:r>
              <w:rPr>
                <w:rFonts w:hint="eastAsia" w:ascii="宋体" w:hAnsi="宋体" w:eastAsia="宋体" w:cs="Times New Roman"/>
                <w:kern w:val="2"/>
                <w:sz w:val="21"/>
                <w:szCs w:val="21"/>
                <w:lang w:val="en-US" w:eastAsia="zh-CN" w:bidi="ar-SA"/>
              </w:rPr>
              <w:t>A标段：</w:t>
            </w:r>
            <w:r>
              <w:rPr>
                <w:rFonts w:hint="eastAsia" w:ascii="宋体" w:hAnsi="宋体" w:cs="Times New Roman"/>
                <w:kern w:val="2"/>
                <w:sz w:val="21"/>
                <w:szCs w:val="21"/>
                <w:lang w:val="en-US" w:eastAsia="zh-CN" w:bidi="ar-SA"/>
              </w:rPr>
              <w:t>2</w:t>
            </w:r>
            <w:r>
              <w:rPr>
                <w:rFonts w:hint="eastAsia" w:ascii="宋体" w:hAnsi="宋体" w:eastAsia="宋体" w:cs="Times New Roman"/>
                <w:kern w:val="2"/>
                <w:sz w:val="21"/>
                <w:szCs w:val="21"/>
                <w:lang w:val="en-US" w:eastAsia="zh-CN" w:bidi="ar-SA"/>
              </w:rPr>
              <w:t>0000元 ，B标段:20000元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15.1</w:t>
            </w:r>
          </w:p>
        </w:tc>
        <w:tc>
          <w:tcPr>
            <w:tcW w:w="2977" w:type="dxa"/>
            <w:vAlign w:val="center"/>
          </w:tcPr>
          <w:p>
            <w:pPr>
              <w:pStyle w:val="19"/>
              <w:spacing w:line="360" w:lineRule="auto"/>
              <w:jc w:val="center"/>
              <w:rPr>
                <w:rFonts w:hAnsi="宋体"/>
                <w:szCs w:val="21"/>
              </w:rPr>
            </w:pPr>
            <w:r>
              <w:rPr>
                <w:rFonts w:hint="eastAsia" w:hAnsi="宋体"/>
                <w:szCs w:val="21"/>
              </w:rPr>
              <w:t>投标截止时间（开标时间）</w:t>
            </w:r>
          </w:p>
        </w:tc>
        <w:tc>
          <w:tcPr>
            <w:tcW w:w="6031" w:type="dxa"/>
            <w:vAlign w:val="center"/>
          </w:tcPr>
          <w:p>
            <w:pPr>
              <w:pStyle w:val="19"/>
              <w:spacing w:line="360" w:lineRule="auto"/>
              <w:rPr>
                <w:rFonts w:hAnsi="宋体"/>
                <w:szCs w:val="21"/>
              </w:rPr>
            </w:pPr>
            <w:r>
              <w:rPr>
                <w:rStyle w:val="202"/>
                <w:rFonts w:hAnsi="宋体"/>
                <w:color w:val="auto"/>
                <w:szCs w:val="21"/>
              </w:rPr>
              <w:t>202</w:t>
            </w:r>
            <w:r>
              <w:rPr>
                <w:rStyle w:val="202"/>
                <w:rFonts w:hint="eastAsia" w:hAnsi="宋体"/>
                <w:color w:val="auto"/>
                <w:szCs w:val="21"/>
                <w:lang w:val="en-US" w:eastAsia="zh-CN"/>
              </w:rPr>
              <w:t>1</w:t>
            </w:r>
            <w:r>
              <w:rPr>
                <w:rStyle w:val="202"/>
                <w:rFonts w:hAnsi="宋体"/>
                <w:color w:val="auto"/>
                <w:szCs w:val="21"/>
              </w:rPr>
              <w:t>年</w:t>
            </w:r>
            <w:r>
              <w:rPr>
                <w:rStyle w:val="202"/>
                <w:rFonts w:hint="eastAsia" w:hAnsi="宋体"/>
                <w:color w:val="auto"/>
                <w:szCs w:val="21"/>
              </w:rPr>
              <w:t xml:space="preserve"> </w:t>
            </w:r>
            <w:r>
              <w:rPr>
                <w:rStyle w:val="202"/>
                <w:rFonts w:hint="eastAsia" w:hAnsi="宋体"/>
                <w:color w:val="auto"/>
                <w:szCs w:val="21"/>
                <w:lang w:val="en-US" w:eastAsia="zh-CN"/>
              </w:rPr>
              <w:t>01</w:t>
            </w:r>
            <w:r>
              <w:rPr>
                <w:rStyle w:val="202"/>
                <w:rFonts w:hint="eastAsia" w:hAnsi="宋体"/>
                <w:color w:val="auto"/>
                <w:szCs w:val="21"/>
              </w:rPr>
              <w:t xml:space="preserve"> </w:t>
            </w:r>
            <w:r>
              <w:rPr>
                <w:rStyle w:val="202"/>
                <w:rFonts w:hAnsi="宋体"/>
                <w:color w:val="auto"/>
                <w:szCs w:val="21"/>
              </w:rPr>
              <w:t>月</w:t>
            </w:r>
            <w:r>
              <w:rPr>
                <w:rStyle w:val="202"/>
                <w:rFonts w:hint="eastAsia" w:hAnsi="宋体"/>
                <w:color w:val="auto"/>
                <w:szCs w:val="21"/>
              </w:rPr>
              <w:t xml:space="preserve"> </w:t>
            </w:r>
            <w:r>
              <w:rPr>
                <w:rStyle w:val="202"/>
                <w:rFonts w:hint="eastAsia" w:hAnsi="宋体"/>
                <w:color w:val="auto"/>
                <w:szCs w:val="21"/>
                <w:lang w:val="en-US" w:eastAsia="zh-CN"/>
              </w:rPr>
              <w:t>19</w:t>
            </w:r>
            <w:r>
              <w:rPr>
                <w:rStyle w:val="202"/>
                <w:rFonts w:hint="eastAsia" w:hAnsi="宋体"/>
                <w:color w:val="auto"/>
                <w:szCs w:val="21"/>
              </w:rPr>
              <w:t xml:space="preserve"> </w:t>
            </w:r>
            <w:r>
              <w:rPr>
                <w:rStyle w:val="202"/>
                <w:rFonts w:hAnsi="宋体"/>
                <w:color w:val="auto"/>
                <w:szCs w:val="21"/>
              </w:rPr>
              <w:t>日</w:t>
            </w:r>
            <w:r>
              <w:rPr>
                <w:rStyle w:val="202"/>
                <w:rFonts w:hint="eastAsia" w:hAnsi="宋体"/>
                <w:color w:val="auto"/>
                <w:szCs w:val="21"/>
                <w:lang w:val="en-US" w:eastAsia="zh-CN"/>
              </w:rPr>
              <w:t xml:space="preserve"> 15 </w:t>
            </w:r>
            <w:r>
              <w:rPr>
                <w:rStyle w:val="202"/>
                <w:rFonts w:hAnsi="宋体"/>
                <w:color w:val="auto"/>
                <w:szCs w:val="21"/>
              </w:rPr>
              <w:t>时</w:t>
            </w:r>
            <w:r>
              <w:rPr>
                <w:rStyle w:val="202"/>
                <w:rFonts w:hint="eastAsia" w:hAnsi="宋体"/>
                <w:color w:val="auto"/>
                <w:szCs w:val="21"/>
                <w:lang w:val="en-US" w:eastAsia="zh-CN"/>
              </w:rPr>
              <w:t xml:space="preserve"> 30 </w:t>
            </w:r>
            <w:r>
              <w:rPr>
                <w:rStyle w:val="202"/>
                <w:rFonts w:hAnsi="宋体"/>
                <w:color w:val="auto"/>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15.2</w:t>
            </w:r>
          </w:p>
        </w:tc>
        <w:tc>
          <w:tcPr>
            <w:tcW w:w="2977" w:type="dxa"/>
            <w:vAlign w:val="center"/>
          </w:tcPr>
          <w:p>
            <w:pPr>
              <w:pStyle w:val="19"/>
              <w:spacing w:line="360" w:lineRule="auto"/>
              <w:jc w:val="center"/>
              <w:rPr>
                <w:rFonts w:hAnsi="宋体"/>
                <w:szCs w:val="21"/>
              </w:rPr>
            </w:pPr>
            <w:r>
              <w:rPr>
                <w:rFonts w:hint="eastAsia" w:hAnsi="宋体"/>
                <w:szCs w:val="21"/>
              </w:rPr>
              <w:t>递交投标文件地点</w:t>
            </w:r>
          </w:p>
        </w:tc>
        <w:tc>
          <w:tcPr>
            <w:tcW w:w="6031" w:type="dxa"/>
            <w:vAlign w:val="center"/>
          </w:tcPr>
          <w:p>
            <w:pPr>
              <w:snapToGrid w:val="0"/>
              <w:spacing w:line="360" w:lineRule="auto"/>
              <w:jc w:val="left"/>
              <w:rPr>
                <w:rFonts w:ascii="宋体" w:hAnsi="宋体"/>
                <w:b/>
                <w:szCs w:val="21"/>
              </w:rPr>
            </w:pPr>
            <w:r>
              <w:rPr>
                <w:rFonts w:hint="eastAsia" w:ascii="宋体" w:hAnsi="宋体" w:cs="Arial"/>
                <w:szCs w:val="21"/>
              </w:rPr>
              <w:t>详见公告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15.3</w:t>
            </w:r>
          </w:p>
        </w:tc>
        <w:tc>
          <w:tcPr>
            <w:tcW w:w="2977" w:type="dxa"/>
            <w:vAlign w:val="center"/>
          </w:tcPr>
          <w:p>
            <w:pPr>
              <w:pStyle w:val="19"/>
              <w:spacing w:line="360" w:lineRule="auto"/>
              <w:jc w:val="center"/>
              <w:rPr>
                <w:rFonts w:hAnsi="宋体"/>
                <w:color w:val="auto"/>
                <w:szCs w:val="21"/>
              </w:rPr>
            </w:pPr>
            <w:r>
              <w:rPr>
                <w:rFonts w:hint="eastAsia" w:hAnsi="宋体"/>
                <w:color w:val="auto"/>
                <w:szCs w:val="21"/>
              </w:rPr>
              <w:t>递交投标样品截止时间</w:t>
            </w:r>
          </w:p>
        </w:tc>
        <w:tc>
          <w:tcPr>
            <w:tcW w:w="6031" w:type="dxa"/>
            <w:vAlign w:val="center"/>
          </w:tcPr>
          <w:p>
            <w:pPr>
              <w:pStyle w:val="19"/>
              <w:spacing w:line="360" w:lineRule="auto"/>
              <w:rPr>
                <w:rFonts w:hAnsi="宋体"/>
                <w:color w:val="auto"/>
                <w:szCs w:val="21"/>
              </w:rPr>
            </w:pPr>
            <w:r>
              <w:rPr>
                <w:rFonts w:hint="eastAsia" w:hAnsi="宋体" w:cs="宋体"/>
                <w:color w:val="auto"/>
                <w:szCs w:val="21"/>
              </w:rPr>
              <w:t>无样品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15.4</w:t>
            </w:r>
          </w:p>
        </w:tc>
        <w:tc>
          <w:tcPr>
            <w:tcW w:w="2977" w:type="dxa"/>
            <w:vAlign w:val="center"/>
          </w:tcPr>
          <w:p>
            <w:pPr>
              <w:pStyle w:val="19"/>
              <w:spacing w:line="360" w:lineRule="auto"/>
              <w:jc w:val="center"/>
              <w:rPr>
                <w:rFonts w:hAnsi="宋体"/>
                <w:color w:val="auto"/>
                <w:szCs w:val="21"/>
              </w:rPr>
            </w:pPr>
            <w:r>
              <w:rPr>
                <w:rFonts w:hint="eastAsia" w:hAnsi="宋体"/>
                <w:color w:val="auto"/>
                <w:szCs w:val="21"/>
              </w:rPr>
              <w:t>递交投标样品地点</w:t>
            </w:r>
          </w:p>
        </w:tc>
        <w:tc>
          <w:tcPr>
            <w:tcW w:w="6031" w:type="dxa"/>
            <w:vAlign w:val="center"/>
          </w:tcPr>
          <w:p>
            <w:pPr>
              <w:pStyle w:val="19"/>
              <w:spacing w:line="360" w:lineRule="auto"/>
              <w:rPr>
                <w:rFonts w:hAnsi="宋体" w:cs="宋体"/>
                <w:color w:val="auto"/>
                <w:szCs w:val="21"/>
              </w:rPr>
            </w:pPr>
            <w:r>
              <w:rPr>
                <w:rFonts w:hint="eastAsia" w:hAnsi="宋体" w:cs="宋体"/>
                <w:color w:val="auto"/>
                <w:szCs w:val="21"/>
              </w:rPr>
              <w:t>无样品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16.1</w:t>
            </w:r>
          </w:p>
        </w:tc>
        <w:tc>
          <w:tcPr>
            <w:tcW w:w="2977" w:type="dxa"/>
            <w:vAlign w:val="center"/>
          </w:tcPr>
          <w:p>
            <w:pPr>
              <w:pStyle w:val="19"/>
              <w:spacing w:line="360" w:lineRule="auto"/>
              <w:jc w:val="center"/>
              <w:rPr>
                <w:rFonts w:hAnsi="宋体"/>
                <w:szCs w:val="21"/>
              </w:rPr>
            </w:pPr>
            <w:r>
              <w:rPr>
                <w:rFonts w:hint="eastAsia" w:hAnsi="宋体"/>
                <w:szCs w:val="21"/>
              </w:rPr>
              <w:t>开标地点</w:t>
            </w:r>
          </w:p>
        </w:tc>
        <w:tc>
          <w:tcPr>
            <w:tcW w:w="6031" w:type="dxa"/>
            <w:vAlign w:val="center"/>
          </w:tcPr>
          <w:p>
            <w:pPr>
              <w:pStyle w:val="19"/>
              <w:spacing w:line="360" w:lineRule="auto"/>
              <w:rPr>
                <w:rFonts w:hAnsi="宋体"/>
                <w:szCs w:val="21"/>
              </w:rPr>
            </w:pPr>
            <w:r>
              <w:rPr>
                <w:rFonts w:hint="eastAsia" w:ascii="宋体" w:hAnsi="宋体"/>
                <w:color w:val="000000"/>
                <w:szCs w:val="21"/>
              </w:rPr>
              <w:t>崇左市公共资源交易中心（崇左市城南新区石景林路东段市政务服务中心 5 楼）开标室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17.3</w:t>
            </w:r>
          </w:p>
        </w:tc>
        <w:tc>
          <w:tcPr>
            <w:tcW w:w="2977" w:type="dxa"/>
            <w:vAlign w:val="center"/>
          </w:tcPr>
          <w:p>
            <w:pPr>
              <w:pStyle w:val="19"/>
              <w:spacing w:line="360" w:lineRule="auto"/>
              <w:jc w:val="center"/>
              <w:rPr>
                <w:rFonts w:hAnsi="宋体"/>
                <w:szCs w:val="21"/>
              </w:rPr>
            </w:pPr>
            <w:r>
              <w:rPr>
                <w:rFonts w:hint="eastAsia" w:hAnsi="宋体"/>
                <w:szCs w:val="21"/>
              </w:rPr>
              <w:t>评标方法</w:t>
            </w:r>
          </w:p>
        </w:tc>
        <w:tc>
          <w:tcPr>
            <w:tcW w:w="6031" w:type="dxa"/>
            <w:vAlign w:val="center"/>
          </w:tcPr>
          <w:p>
            <w:pPr>
              <w:pStyle w:val="19"/>
              <w:spacing w:line="360" w:lineRule="auto"/>
              <w:rPr>
                <w:rFonts w:hAnsi="宋体"/>
                <w:szCs w:val="21"/>
              </w:rPr>
            </w:pPr>
            <w:r>
              <w:rPr>
                <w:rFonts w:hint="eastAsia" w:hAnsi="宋体"/>
                <w:szCs w:val="21"/>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p>
        </w:tc>
        <w:tc>
          <w:tcPr>
            <w:tcW w:w="2977" w:type="dxa"/>
            <w:vAlign w:val="center"/>
          </w:tcPr>
          <w:p>
            <w:pPr>
              <w:pStyle w:val="19"/>
              <w:spacing w:line="360" w:lineRule="auto"/>
              <w:jc w:val="center"/>
              <w:rPr>
                <w:rFonts w:hAnsi="宋体"/>
                <w:szCs w:val="21"/>
              </w:rPr>
            </w:pPr>
            <w:r>
              <w:rPr>
                <w:rFonts w:hint="eastAsia" w:hAnsi="宋体" w:cs="Courier New"/>
                <w:szCs w:val="21"/>
              </w:rPr>
              <w:t>中标结果公告内容</w:t>
            </w:r>
          </w:p>
        </w:tc>
        <w:tc>
          <w:tcPr>
            <w:tcW w:w="6031" w:type="dxa"/>
            <w:vAlign w:val="center"/>
          </w:tcPr>
          <w:p>
            <w:pPr>
              <w:pStyle w:val="19"/>
              <w:spacing w:line="360" w:lineRule="auto"/>
              <w:rPr>
                <w:rFonts w:hAnsi="宋体"/>
                <w:szCs w:val="21"/>
              </w:rPr>
            </w:pPr>
            <w:r>
              <w:rPr>
                <w:rFonts w:hint="eastAsia" w:hAnsi="宋体" w:cs="Courier New"/>
                <w:szCs w:val="21"/>
              </w:rPr>
              <w:t>根据《中华人民共和国政府采购法实施条例》第四十三条规定，中标结果公告内容中包括中标供应商名称、地址和中标金额，主要中标标的的名称、规格型号、数量、单价、服务要求。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23.1</w:t>
            </w:r>
          </w:p>
        </w:tc>
        <w:tc>
          <w:tcPr>
            <w:tcW w:w="2977" w:type="dxa"/>
            <w:vAlign w:val="center"/>
          </w:tcPr>
          <w:p>
            <w:pPr>
              <w:pStyle w:val="19"/>
              <w:spacing w:line="360" w:lineRule="auto"/>
              <w:jc w:val="center"/>
              <w:rPr>
                <w:rFonts w:hAnsi="宋体"/>
                <w:szCs w:val="21"/>
              </w:rPr>
            </w:pPr>
            <w:r>
              <w:rPr>
                <w:rFonts w:hint="eastAsia" w:hAnsi="宋体"/>
                <w:szCs w:val="21"/>
              </w:rPr>
              <w:t>中标通知书的发放</w:t>
            </w:r>
          </w:p>
        </w:tc>
        <w:tc>
          <w:tcPr>
            <w:tcW w:w="6031" w:type="dxa"/>
            <w:vAlign w:val="center"/>
          </w:tcPr>
          <w:p>
            <w:pPr>
              <w:pStyle w:val="19"/>
              <w:spacing w:line="360" w:lineRule="auto"/>
              <w:rPr>
                <w:rFonts w:hAnsi="宋体"/>
                <w:szCs w:val="21"/>
              </w:rPr>
            </w:pPr>
            <w:r>
              <w:rPr>
                <w:rFonts w:hint="eastAsia" w:hAnsi="宋体"/>
                <w:szCs w:val="21"/>
              </w:rPr>
              <w:t>按相关规定在</w:t>
            </w:r>
            <w:r>
              <w:rPr>
                <w:rFonts w:hint="eastAsia" w:hAnsi="宋体" w:cs="宋体"/>
                <w:kern w:val="0"/>
                <w:szCs w:val="21"/>
              </w:rPr>
              <w:t>本章第</w:t>
            </w:r>
            <w:r>
              <w:rPr>
                <w:rFonts w:hAnsi="宋体" w:cs="宋体"/>
                <w:kern w:val="0"/>
                <w:szCs w:val="21"/>
              </w:rPr>
              <w:t>2.1</w:t>
            </w:r>
            <w:r>
              <w:rPr>
                <w:rFonts w:hint="eastAsia" w:hAnsi="宋体" w:cs="宋体"/>
                <w:kern w:val="0"/>
                <w:szCs w:val="21"/>
              </w:rPr>
              <w:t>项规定的政府采购信息发布媒体上公示中标结果，同时向中标供应商发出中标通知书。公示期为</w:t>
            </w:r>
            <w:r>
              <w:rPr>
                <w:rFonts w:hAnsi="宋体" w:cs="宋体"/>
                <w:kern w:val="0"/>
                <w:szCs w:val="21"/>
              </w:rPr>
              <w:t>1</w:t>
            </w:r>
            <w:r>
              <w:rPr>
                <w:rFonts w:hint="eastAsia" w:hAnsi="宋体" w:cs="宋体"/>
                <w:kern w:val="0"/>
                <w:szCs w:val="21"/>
              </w:rPr>
              <w:t>个工作日，公告期满无异议的，由</w:t>
            </w:r>
            <w:r>
              <w:rPr>
                <w:rFonts w:hint="eastAsia" w:hAnsi="宋体"/>
                <w:szCs w:val="21"/>
              </w:rPr>
              <w:t>招标代理机构</w:t>
            </w:r>
            <w:r>
              <w:rPr>
                <w:rFonts w:hint="eastAsia" w:hAnsi="宋体" w:cs="宋体"/>
                <w:kern w:val="0"/>
                <w:szCs w:val="21"/>
              </w:rPr>
              <w:t>向中标供应商发出政府采购合同。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26.1</w:t>
            </w:r>
          </w:p>
        </w:tc>
        <w:tc>
          <w:tcPr>
            <w:tcW w:w="2977" w:type="dxa"/>
            <w:vAlign w:val="center"/>
          </w:tcPr>
          <w:p>
            <w:pPr>
              <w:autoSpaceDE w:val="0"/>
              <w:autoSpaceDN w:val="0"/>
              <w:spacing w:line="360" w:lineRule="auto"/>
              <w:jc w:val="center"/>
              <w:rPr>
                <w:rFonts w:ascii="宋体" w:hAnsi="宋体" w:cs="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履约保证金</w:t>
            </w:r>
          </w:p>
        </w:tc>
        <w:tc>
          <w:tcPr>
            <w:tcW w:w="6031" w:type="dxa"/>
            <w:vAlign w:val="center"/>
          </w:tcPr>
          <w:p>
            <w:pPr>
              <w:pStyle w:val="209"/>
              <w:spacing w:before="129"/>
              <w:ind w:left="107"/>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履约保证金金额：按中标金额的 3%。</w:t>
            </w:r>
          </w:p>
          <w:p>
            <w:pPr>
              <w:pStyle w:val="209"/>
              <w:spacing w:before="130"/>
              <w:ind w:left="107"/>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履约保证金递交方式：转账或电汇形式。</w:t>
            </w:r>
          </w:p>
          <w:p>
            <w:pPr>
              <w:pStyle w:val="19"/>
              <w:spacing w:line="360" w:lineRule="auto"/>
              <w:rPr>
                <w:rFonts w:hint="eastAsia" w:hAnsi="宋体"/>
                <w:color w:val="000000" w:themeColor="text1"/>
                <w:szCs w:val="21"/>
                <w14:textFill>
                  <w14:solidFill>
                    <w14:schemeClr w14:val="tx1"/>
                  </w14:solidFill>
                </w14:textFill>
              </w:rPr>
            </w:pPr>
            <w:r>
              <w:rPr>
                <w:rFonts w:hint="eastAsia" w:hAnsi="宋体"/>
                <w:color w:val="000000" w:themeColor="text1"/>
                <w:szCs w:val="21"/>
                <w:lang w:val="en-US" w:eastAsia="zh-CN"/>
                <w14:textFill>
                  <w14:solidFill>
                    <w14:schemeClr w14:val="tx1"/>
                  </w14:solidFill>
                </w14:textFill>
              </w:rPr>
              <w:t>履约保证金指定账户：采购人指定账户（发布中标公告后确定）</w:t>
            </w:r>
          </w:p>
          <w:p>
            <w:pPr>
              <w:pStyle w:val="19"/>
              <w:spacing w:line="360" w:lineRule="auto"/>
              <w:rPr>
                <w:rFonts w:hint="default" w:eastAsia="宋体"/>
                <w:color w:val="000000" w:themeColor="text1"/>
                <w:lang w:val="en-US" w:eastAsia="zh-CN"/>
                <w14:textFill>
                  <w14:solidFill>
                    <w14:schemeClr w14:val="tx1"/>
                  </w14:solidFill>
                </w14:textFill>
              </w:rPr>
            </w:pPr>
            <w:r>
              <w:rPr>
                <w:rFonts w:hint="eastAsia" w:hAnsi="宋体"/>
                <w:color w:val="000000" w:themeColor="text1"/>
                <w:szCs w:val="21"/>
                <w:lang w:val="en-US" w:eastAsia="zh-CN"/>
                <w14:textFill>
                  <w14:solidFill>
                    <w14:schemeClr w14:val="tx1"/>
                  </w14:solidFill>
                </w14:textFill>
              </w:rPr>
              <w:t>备注：</w:t>
            </w:r>
            <w:r>
              <w:rPr>
                <w:rFonts w:hint="eastAsia" w:hAnsi="宋体"/>
                <w:color w:val="000000" w:themeColor="text1"/>
                <w:szCs w:val="21"/>
                <w14:textFill>
                  <w14:solidFill>
                    <w14:schemeClr w14:val="tx1"/>
                  </w14:solidFill>
                </w14:textFill>
              </w:rPr>
              <w:t>开户名称：</w:t>
            </w:r>
            <w:r>
              <w:rPr>
                <w:rFonts w:hint="eastAsia" w:hAnsi="宋体"/>
                <w:color w:val="000000" w:themeColor="text1"/>
                <w:szCs w:val="21"/>
                <w:lang w:val="en-US" w:eastAsia="zh-CN"/>
                <w14:textFill>
                  <w14:solidFill>
                    <w14:schemeClr w14:val="tx1"/>
                  </w14:solidFill>
                </w14:textFill>
              </w:rPr>
              <w:t>龙州县应急管理局</w:t>
            </w:r>
            <w:r>
              <w:rPr>
                <w:rFonts w:hint="eastAsia" w:hAnsi="宋体"/>
                <w:color w:val="000000" w:themeColor="text1"/>
                <w:szCs w:val="21"/>
                <w14:textFill>
                  <w14:solidFill>
                    <w14:schemeClr w14:val="tx1"/>
                  </w14:solidFill>
                </w14:textFill>
              </w:rPr>
              <w:t>；开户行：</w:t>
            </w:r>
            <w:r>
              <w:rPr>
                <w:rFonts w:hint="eastAsia" w:hAnsi="宋体"/>
                <w:color w:val="000000" w:themeColor="text1"/>
                <w:szCs w:val="21"/>
                <w:lang w:val="en-US" w:eastAsia="zh-CN"/>
                <w14:textFill>
                  <w14:solidFill>
                    <w14:schemeClr w14:val="tx1"/>
                  </w14:solidFill>
                </w14:textFill>
              </w:rPr>
              <w:t xml:space="preserve">中国农业银行龙州支行 </w:t>
            </w:r>
            <w:r>
              <w:rPr>
                <w:rFonts w:hint="eastAsia" w:hAnsi="宋体"/>
                <w:color w:val="000000" w:themeColor="text1"/>
                <w:szCs w:val="21"/>
                <w14:textFill>
                  <w14:solidFill>
                    <w14:schemeClr w14:val="tx1"/>
                  </w14:solidFill>
                </w14:textFill>
              </w:rPr>
              <w:t>；开户账号：</w:t>
            </w:r>
            <w:r>
              <w:rPr>
                <w:rFonts w:hint="eastAsia" w:hAnsi="宋体"/>
                <w:color w:val="000000" w:themeColor="text1"/>
                <w:szCs w:val="21"/>
                <w:lang w:val="en-US" w:eastAsia="zh-CN"/>
                <w14:textFill>
                  <w14:solidFill>
                    <w14:schemeClr w14:val="tx1"/>
                  </w14:solidFill>
                </w14:textFill>
              </w:rPr>
              <w:t>041101040006543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25.8</w:t>
            </w:r>
          </w:p>
        </w:tc>
        <w:tc>
          <w:tcPr>
            <w:tcW w:w="2977" w:type="dxa"/>
            <w:vAlign w:val="center"/>
          </w:tcPr>
          <w:p>
            <w:pPr>
              <w:autoSpaceDE w:val="0"/>
              <w:autoSpaceDN w:val="0"/>
              <w:spacing w:line="360" w:lineRule="auto"/>
              <w:jc w:val="center"/>
              <w:rPr>
                <w:rFonts w:ascii="宋体" w:hAnsi="宋体"/>
                <w:kern w:val="0"/>
                <w:szCs w:val="21"/>
              </w:rPr>
            </w:pPr>
            <w:r>
              <w:rPr>
                <w:rFonts w:hint="eastAsia" w:ascii="宋体" w:hAnsi="宋体"/>
                <w:szCs w:val="21"/>
              </w:rPr>
              <w:t>政府采购合同公告</w:t>
            </w:r>
          </w:p>
        </w:tc>
        <w:tc>
          <w:tcPr>
            <w:tcW w:w="6031" w:type="dxa"/>
            <w:vAlign w:val="center"/>
          </w:tcPr>
          <w:p>
            <w:pPr>
              <w:pStyle w:val="19"/>
              <w:spacing w:line="360" w:lineRule="auto"/>
              <w:rPr>
                <w:rFonts w:hAnsi="宋体"/>
                <w:szCs w:val="21"/>
              </w:rPr>
            </w:pPr>
            <w:r>
              <w:rPr>
                <w:rFonts w:hint="eastAsia" w:hAnsi="宋体"/>
                <w:szCs w:val="21"/>
              </w:rPr>
              <w:t>根据《中华人民共和国政府采购法实施条例》第五十条规定，采购人应当自政府采购合同签订之日起</w:t>
            </w:r>
            <w:r>
              <w:rPr>
                <w:rFonts w:hAnsi="宋体"/>
                <w:szCs w:val="21"/>
              </w:rPr>
              <w:t>2</w:t>
            </w:r>
            <w:r>
              <w:rPr>
                <w:rFonts w:hint="eastAsia" w:hAnsi="宋体"/>
                <w:szCs w:val="21"/>
              </w:rPr>
              <w:t>个工作日内，将政府采购合同在省级以上人民政府财政部门指定的媒体上公告，但政府采购合同中涉及国家秘密、商业秘密的内容除外。因此请各投标人应在投标文件中注明投标内容中涉及商业秘密的部分，未注明的视为投标文件中不涉及商业秘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28.1</w:t>
            </w:r>
          </w:p>
        </w:tc>
        <w:tc>
          <w:tcPr>
            <w:tcW w:w="2977" w:type="dxa"/>
            <w:vAlign w:val="center"/>
          </w:tcPr>
          <w:p>
            <w:pPr>
              <w:autoSpaceDE w:val="0"/>
              <w:autoSpaceDN w:val="0"/>
              <w:spacing w:line="360" w:lineRule="auto"/>
              <w:jc w:val="center"/>
              <w:rPr>
                <w:rFonts w:ascii="宋体" w:hAnsi="宋体"/>
                <w:kern w:val="0"/>
                <w:szCs w:val="21"/>
              </w:rPr>
            </w:pPr>
            <w:r>
              <w:rPr>
                <w:rFonts w:hint="eastAsia" w:ascii="宋体" w:hAnsi="宋体"/>
                <w:kern w:val="0"/>
                <w:szCs w:val="21"/>
              </w:rPr>
              <w:t>需要补充的其他内容</w:t>
            </w:r>
          </w:p>
        </w:tc>
        <w:tc>
          <w:tcPr>
            <w:tcW w:w="6031" w:type="dxa"/>
            <w:vAlign w:val="center"/>
          </w:tcPr>
          <w:p>
            <w:pPr>
              <w:widowControl/>
              <w:spacing w:line="360" w:lineRule="auto"/>
              <w:jc w:val="left"/>
              <w:rPr>
                <w:rFonts w:ascii="宋体" w:hAnsi="宋体"/>
              </w:rPr>
            </w:pPr>
            <w:r>
              <w:rPr>
                <w:rFonts w:ascii="宋体" w:hAnsi="宋体"/>
              </w:rPr>
              <w:t>1</w:t>
            </w:r>
            <w:r>
              <w:rPr>
                <w:rFonts w:hint="eastAsia" w:ascii="宋体" w:hAnsi="宋体"/>
              </w:rPr>
              <w:t>、本招标文件中描述投标人的“公章”是指根据我国对公章的管理规定，用投标人法定主体行为名称制作的印章，除本招标文件有特殊规定外，投标人的财务章、部门章、分公司章、工会章、合同章、投标专用章、业务专用章等其它形式印章均不能代替公章。</w:t>
            </w:r>
          </w:p>
          <w:p>
            <w:pPr>
              <w:widowControl/>
              <w:spacing w:line="360" w:lineRule="auto"/>
              <w:jc w:val="left"/>
              <w:rPr>
                <w:rFonts w:ascii="宋体" w:hAnsi="宋体"/>
              </w:rPr>
            </w:pPr>
            <w:r>
              <w:rPr>
                <w:rFonts w:ascii="宋体" w:hAnsi="宋体"/>
              </w:rPr>
              <w:t>2</w:t>
            </w:r>
            <w:r>
              <w:rPr>
                <w:rFonts w:hint="eastAsia" w:ascii="宋体" w:hAnsi="宋体"/>
              </w:rPr>
              <w:t>、本招标文件中描述投标人的“签字”是指投标人的法定代表人或被授权人亲自在招标文件规定签署处亲笔写上个人的名字的行为，私章、签字章、印鉴、影印等其它形式均不能代替亲笔签字。</w:t>
            </w:r>
          </w:p>
          <w:p>
            <w:pPr>
              <w:pStyle w:val="2"/>
              <w:spacing w:line="360" w:lineRule="auto"/>
              <w:rPr>
                <w:rFonts w:ascii="宋体" w:hAnsi="宋体" w:eastAsia="宋体"/>
              </w:rPr>
            </w:pPr>
            <w:r>
              <w:rPr>
                <w:rFonts w:hint="eastAsia" w:ascii="宋体" w:hAnsi="宋体" w:eastAsia="宋体"/>
                <w:b w:val="0"/>
                <w:spacing w:val="0"/>
                <w:kern w:val="2"/>
                <w:sz w:val="21"/>
                <w:szCs w:val="24"/>
              </w:rPr>
              <w:t>3、为帮助中小微企业解决资金周转或融资困难问题，南宁市政府采购试行政府采购信用融资制度，为中小企业参与政府采购活动提供金融服务。中标供应商可凭政府采购合同申请政府采购信用融资，具体办理要求与办理方式，详见南宁市公共资源交易中心网‘ 政府采购信用融资’专栏。</w:t>
            </w:r>
          </w:p>
        </w:tc>
      </w:tr>
    </w:tbl>
    <w:p>
      <w:pPr>
        <w:rPr>
          <w:rFonts w:ascii="宋体" w:hAnsi="宋体"/>
        </w:rPr>
      </w:pPr>
      <w:r>
        <w:rPr>
          <w:rFonts w:ascii="宋体" w:hAnsi="宋体"/>
        </w:rPr>
        <w:br w:type="page"/>
      </w:r>
      <w:bookmarkStart w:id="34" w:name="_Toc213326416"/>
      <w:bookmarkStart w:id="35" w:name="_Toc401396875"/>
      <w:bookmarkStart w:id="36" w:name="_Toc57749780"/>
    </w:p>
    <w:p>
      <w:pPr>
        <w:pStyle w:val="4"/>
        <w:rPr>
          <w:rFonts w:ascii="宋体" w:hAnsi="宋体"/>
          <w:sz w:val="28"/>
          <w:szCs w:val="28"/>
        </w:rPr>
      </w:pPr>
      <w:r>
        <w:rPr>
          <w:rFonts w:hint="eastAsia" w:ascii="宋体" w:hAnsi="宋体"/>
        </w:rPr>
        <w:t>一总则</w:t>
      </w:r>
      <w:bookmarkEnd w:id="34"/>
      <w:bookmarkEnd w:id="35"/>
      <w:bookmarkEnd w:id="36"/>
    </w:p>
    <w:p>
      <w:pPr>
        <w:pStyle w:val="19"/>
        <w:spacing w:line="440" w:lineRule="exact"/>
        <w:ind w:left="242" w:hanging="242" w:hangingChars="101"/>
        <w:jc w:val="left"/>
        <w:rPr>
          <w:rFonts w:hAnsi="宋体"/>
          <w:bCs/>
          <w:sz w:val="24"/>
        </w:rPr>
      </w:pPr>
      <w:r>
        <w:rPr>
          <w:rFonts w:hAnsi="宋体"/>
          <w:bCs/>
          <w:sz w:val="24"/>
        </w:rPr>
        <w:t xml:space="preserve">1. </w:t>
      </w:r>
      <w:r>
        <w:rPr>
          <w:rFonts w:hint="eastAsia" w:hAnsi="宋体"/>
          <w:bCs/>
          <w:sz w:val="24"/>
        </w:rPr>
        <w:t>项目概况</w:t>
      </w:r>
    </w:p>
    <w:p>
      <w:pPr>
        <w:pStyle w:val="19"/>
        <w:spacing w:line="440" w:lineRule="exact"/>
        <w:ind w:left="2" w:firstLine="358"/>
        <w:jc w:val="left"/>
        <w:rPr>
          <w:rFonts w:hAnsi="宋体"/>
          <w:bCs/>
        </w:rPr>
      </w:pPr>
      <w:r>
        <w:rPr>
          <w:rFonts w:hAnsi="宋体"/>
          <w:bCs/>
        </w:rPr>
        <w:t xml:space="preserve">1.1  </w:t>
      </w:r>
      <w:r>
        <w:rPr>
          <w:rFonts w:hint="eastAsia" w:hAnsi="宋体"/>
          <w:bCs/>
        </w:rPr>
        <w:t>采购人：见投标人须知前附表。</w:t>
      </w:r>
    </w:p>
    <w:p>
      <w:pPr>
        <w:pStyle w:val="19"/>
        <w:spacing w:line="440" w:lineRule="exact"/>
        <w:ind w:left="2" w:firstLine="358"/>
        <w:jc w:val="left"/>
        <w:rPr>
          <w:rFonts w:hAnsi="宋体"/>
        </w:rPr>
      </w:pPr>
      <w:r>
        <w:rPr>
          <w:rFonts w:hAnsi="宋体"/>
          <w:bCs/>
        </w:rPr>
        <w:t xml:space="preserve">1.2  </w:t>
      </w:r>
      <w:r>
        <w:rPr>
          <w:rFonts w:hint="eastAsia" w:hAnsi="宋体"/>
          <w:bCs/>
        </w:rPr>
        <w:t>采购代理机构：见投标人须知前附表。</w:t>
      </w:r>
    </w:p>
    <w:p>
      <w:pPr>
        <w:pStyle w:val="19"/>
        <w:spacing w:line="440" w:lineRule="exact"/>
        <w:ind w:left="2" w:firstLine="358"/>
        <w:jc w:val="left"/>
        <w:rPr>
          <w:rFonts w:hAnsi="宋体"/>
        </w:rPr>
      </w:pPr>
      <w:r>
        <w:rPr>
          <w:rFonts w:hAnsi="宋体"/>
        </w:rPr>
        <w:t>1.3  项目名称：</w:t>
      </w:r>
      <w:r>
        <w:rPr>
          <w:rFonts w:hint="eastAsia" w:hAnsi="宋体"/>
          <w:bCs/>
        </w:rPr>
        <w:t>见投标人须知前附表。</w:t>
      </w:r>
    </w:p>
    <w:p>
      <w:pPr>
        <w:pStyle w:val="19"/>
        <w:spacing w:line="440" w:lineRule="exact"/>
        <w:ind w:left="2" w:firstLine="358"/>
        <w:jc w:val="left"/>
        <w:rPr>
          <w:rFonts w:hAnsi="宋体"/>
          <w:bCs/>
        </w:rPr>
      </w:pPr>
      <w:r>
        <w:rPr>
          <w:rFonts w:hAnsi="宋体"/>
        </w:rPr>
        <w:t xml:space="preserve">1.4  </w:t>
      </w:r>
      <w:r>
        <w:rPr>
          <w:rFonts w:hint="eastAsia" w:hAnsi="宋体"/>
          <w:lang w:eastAsia="zh-CN"/>
        </w:rPr>
        <w:t>项目编号：</w:t>
      </w:r>
      <w:r>
        <w:rPr>
          <w:rFonts w:hint="eastAsia" w:hAnsi="宋体"/>
          <w:bCs/>
        </w:rPr>
        <w:t>见投标人须知前附表。</w:t>
      </w:r>
    </w:p>
    <w:p>
      <w:pPr>
        <w:pStyle w:val="19"/>
        <w:spacing w:line="440" w:lineRule="exact"/>
        <w:ind w:left="2" w:firstLine="358"/>
        <w:jc w:val="left"/>
        <w:rPr>
          <w:rFonts w:hAnsi="宋体"/>
          <w:bCs/>
        </w:rPr>
      </w:pPr>
      <w:r>
        <w:rPr>
          <w:rFonts w:hAnsi="宋体"/>
          <w:bCs/>
        </w:rPr>
        <w:t xml:space="preserve">1.5  </w:t>
      </w:r>
      <w:r>
        <w:rPr>
          <w:rFonts w:hint="eastAsia" w:hAnsi="宋体"/>
          <w:bCs/>
        </w:rPr>
        <w:t>采购预算：见投标人须知前附表。</w:t>
      </w:r>
    </w:p>
    <w:p>
      <w:pPr>
        <w:pStyle w:val="19"/>
        <w:spacing w:line="440" w:lineRule="exact"/>
        <w:ind w:left="2" w:firstLine="358"/>
        <w:jc w:val="left"/>
        <w:rPr>
          <w:rFonts w:hAnsi="宋体"/>
          <w:bCs/>
        </w:rPr>
      </w:pPr>
      <w:r>
        <w:rPr>
          <w:rFonts w:hAnsi="宋体"/>
          <w:bCs/>
        </w:rPr>
        <w:t xml:space="preserve">1.6  </w:t>
      </w:r>
      <w:r>
        <w:rPr>
          <w:rFonts w:hint="eastAsia" w:hAnsi="宋体"/>
          <w:bCs/>
        </w:rPr>
        <w:t>资金来源：</w:t>
      </w:r>
      <w:r>
        <w:rPr>
          <w:rFonts w:hint="eastAsia" w:hAnsi="宋体"/>
          <w:bCs/>
          <w:lang w:val="en-US" w:eastAsia="zh-CN"/>
        </w:rPr>
        <w:t>上级专项</w:t>
      </w:r>
      <w:r>
        <w:rPr>
          <w:rFonts w:hint="eastAsia" w:hAnsi="宋体"/>
          <w:bCs/>
        </w:rPr>
        <w:t>资金</w:t>
      </w:r>
    </w:p>
    <w:p>
      <w:pPr>
        <w:pStyle w:val="19"/>
        <w:spacing w:line="440" w:lineRule="exact"/>
        <w:ind w:left="2" w:firstLine="358"/>
        <w:jc w:val="left"/>
        <w:rPr>
          <w:rFonts w:hAnsi="宋体"/>
          <w:bCs/>
        </w:rPr>
      </w:pPr>
      <w:r>
        <w:rPr>
          <w:rFonts w:hAnsi="宋体"/>
          <w:bCs/>
        </w:rPr>
        <w:t xml:space="preserve">1.7  </w:t>
      </w:r>
      <w:r>
        <w:rPr>
          <w:rFonts w:hint="eastAsia" w:hAnsi="宋体"/>
          <w:szCs w:val="21"/>
        </w:rPr>
        <w:t>获取招标文件的时间、地点、方式及招标文件售价：</w:t>
      </w:r>
      <w:r>
        <w:rPr>
          <w:rFonts w:hint="eastAsia" w:hAnsi="宋体"/>
          <w:bCs/>
        </w:rPr>
        <w:t>见投标人须知前附表。</w:t>
      </w:r>
    </w:p>
    <w:p>
      <w:pPr>
        <w:pStyle w:val="19"/>
        <w:spacing w:line="440" w:lineRule="exact"/>
        <w:jc w:val="left"/>
        <w:rPr>
          <w:rFonts w:hAnsi="宋体"/>
          <w:bCs/>
          <w:sz w:val="24"/>
        </w:rPr>
      </w:pPr>
      <w:r>
        <w:rPr>
          <w:rFonts w:hAnsi="宋体"/>
          <w:bCs/>
          <w:sz w:val="24"/>
        </w:rPr>
        <w:t xml:space="preserve">2. </w:t>
      </w:r>
      <w:r>
        <w:rPr>
          <w:rFonts w:hint="eastAsia" w:hAnsi="宋体"/>
          <w:bCs/>
          <w:sz w:val="24"/>
        </w:rPr>
        <w:t>政府采购信息发布媒体：</w:t>
      </w:r>
    </w:p>
    <w:p>
      <w:pPr>
        <w:snapToGrid w:val="0"/>
        <w:spacing w:line="440" w:lineRule="exact"/>
        <w:ind w:firstLine="420" w:firstLineChars="200"/>
        <w:rPr>
          <w:rFonts w:ascii="宋体" w:hAnsi="宋体"/>
        </w:rPr>
      </w:pPr>
      <w:r>
        <w:rPr>
          <w:rFonts w:ascii="宋体" w:hAnsi="宋体"/>
        </w:rPr>
        <w:t xml:space="preserve">2.1  </w:t>
      </w:r>
      <w:r>
        <w:rPr>
          <w:rFonts w:hint="eastAsia" w:ascii="宋体" w:hAnsi="宋体"/>
        </w:rPr>
        <w:t>与本项目相关的政府采购业务信息（包括公开招标公告、中标公告及其更正事项等）将在以下媒体上发布：</w:t>
      </w:r>
      <w:r>
        <w:rPr>
          <w:rFonts w:ascii="宋体" w:hAnsi="宋体"/>
        </w:rPr>
        <w:t>www.ccgp.gov.cn</w:t>
      </w:r>
      <w:r>
        <w:rPr>
          <w:rFonts w:hint="eastAsia" w:ascii="宋体" w:hAnsi="宋体"/>
        </w:rPr>
        <w:t>（中国政府采购网），</w:t>
      </w:r>
      <w:r>
        <w:rPr>
          <w:rFonts w:ascii="宋体" w:hAnsi="宋体"/>
        </w:rPr>
        <w:t>www.gxzfcg.gov.cn</w:t>
      </w:r>
      <w:r>
        <w:rPr>
          <w:rFonts w:hint="eastAsia" w:ascii="宋体" w:hAnsi="宋体"/>
        </w:rPr>
        <w:t>（广西壮族自治区政府采购网）</w:t>
      </w:r>
      <w:r>
        <w:rPr>
          <w:rFonts w:hint="eastAsia" w:ascii="宋体" w:hAnsi="宋体"/>
        </w:rPr>
        <w:fldChar w:fldCharType="begin"/>
      </w:r>
      <w:r>
        <w:rPr>
          <w:rFonts w:hint="eastAsia" w:ascii="宋体" w:hAnsi="宋体"/>
        </w:rPr>
        <w:instrText xml:space="preserve"> HYPERLINK "http://www.czjyzx.gov.cn/" \h </w:instrText>
      </w:r>
      <w:r>
        <w:rPr>
          <w:rFonts w:hint="eastAsia" w:ascii="宋体" w:hAnsi="宋体"/>
        </w:rPr>
        <w:fldChar w:fldCharType="separate"/>
      </w:r>
      <w:r>
        <w:rPr>
          <w:rFonts w:hint="eastAsia" w:ascii="宋体" w:hAnsi="宋体"/>
        </w:rPr>
        <w:t>www.czjyzx.gov.cn</w:t>
      </w:r>
      <w:r>
        <w:rPr>
          <w:rFonts w:hint="eastAsia" w:ascii="宋体" w:hAnsi="宋体"/>
        </w:rPr>
        <w:fldChar w:fldCharType="end"/>
      </w:r>
      <w:r>
        <w:rPr>
          <w:rFonts w:hint="eastAsia" w:ascii="宋体" w:hAnsi="宋体"/>
        </w:rPr>
        <w:t>（崇左市公共资源交易中心网）。</w:t>
      </w:r>
    </w:p>
    <w:p>
      <w:pPr>
        <w:pStyle w:val="19"/>
        <w:spacing w:line="440" w:lineRule="exact"/>
        <w:ind w:left="242" w:hanging="242" w:hangingChars="101"/>
        <w:jc w:val="left"/>
        <w:rPr>
          <w:rFonts w:hAnsi="宋体"/>
          <w:bCs/>
          <w:sz w:val="24"/>
        </w:rPr>
      </w:pPr>
      <w:r>
        <w:rPr>
          <w:rFonts w:hAnsi="宋体"/>
          <w:bCs/>
          <w:sz w:val="24"/>
        </w:rPr>
        <w:t xml:space="preserve">3. </w:t>
      </w:r>
      <w:r>
        <w:rPr>
          <w:rFonts w:hint="eastAsia" w:hAnsi="宋体"/>
          <w:bCs/>
          <w:sz w:val="24"/>
        </w:rPr>
        <w:t>投标人资格要求：</w:t>
      </w:r>
    </w:p>
    <w:p>
      <w:pPr>
        <w:pStyle w:val="19"/>
        <w:spacing w:line="440" w:lineRule="exact"/>
        <w:ind w:firstLine="360"/>
        <w:rPr>
          <w:rFonts w:hAnsi="宋体"/>
          <w:bCs/>
        </w:rPr>
      </w:pPr>
      <w:r>
        <w:rPr>
          <w:rFonts w:hAnsi="宋体"/>
          <w:bCs/>
        </w:rPr>
        <w:t xml:space="preserve">3.1  </w:t>
      </w:r>
      <w:r>
        <w:rPr>
          <w:rFonts w:hint="eastAsia" w:hAnsi="宋体"/>
          <w:bCs/>
        </w:rPr>
        <w:t>投标人应</w:t>
      </w:r>
      <w:r>
        <w:rPr>
          <w:rFonts w:hint="eastAsia" w:hAnsi="宋体"/>
        </w:rPr>
        <w:t>符合《中华人民共和国政府采购法》第二十二条规定的</w:t>
      </w:r>
      <w:r>
        <w:rPr>
          <w:rFonts w:hint="eastAsia" w:hAnsi="宋体"/>
          <w:bCs/>
        </w:rPr>
        <w:t>下列</w:t>
      </w:r>
      <w:r>
        <w:rPr>
          <w:rFonts w:hint="eastAsia" w:hAnsi="宋体"/>
        </w:rPr>
        <w:t>投标人资格条件</w:t>
      </w:r>
      <w:r>
        <w:rPr>
          <w:rFonts w:hint="eastAsia" w:hAnsi="宋体"/>
          <w:bCs/>
        </w:rPr>
        <w:t>：</w:t>
      </w:r>
    </w:p>
    <w:p>
      <w:pPr>
        <w:pStyle w:val="19"/>
        <w:spacing w:line="440" w:lineRule="exact"/>
        <w:ind w:firstLine="720"/>
        <w:rPr>
          <w:rFonts w:hAnsi="宋体"/>
          <w:bCs/>
        </w:rPr>
      </w:pPr>
      <w:r>
        <w:rPr>
          <w:rFonts w:hint="eastAsia" w:hAnsi="宋体"/>
          <w:bCs/>
        </w:rPr>
        <w:t>（</w:t>
      </w:r>
      <w:r>
        <w:rPr>
          <w:rFonts w:hAnsi="宋体"/>
          <w:bCs/>
        </w:rPr>
        <w:t>1</w:t>
      </w:r>
      <w:r>
        <w:rPr>
          <w:rFonts w:hint="eastAsia" w:hAnsi="宋体"/>
          <w:bCs/>
        </w:rPr>
        <w:t>）具有独立承担民事责任的能力；</w:t>
      </w:r>
    </w:p>
    <w:p>
      <w:pPr>
        <w:pStyle w:val="19"/>
        <w:spacing w:line="440" w:lineRule="exact"/>
        <w:ind w:firstLine="720"/>
        <w:rPr>
          <w:rFonts w:hAnsi="宋体"/>
          <w:bCs/>
        </w:rPr>
      </w:pPr>
      <w:r>
        <w:rPr>
          <w:rFonts w:hint="eastAsia" w:hAnsi="宋体"/>
          <w:bCs/>
        </w:rPr>
        <w:t>（</w:t>
      </w:r>
      <w:r>
        <w:rPr>
          <w:rFonts w:hAnsi="宋体"/>
          <w:bCs/>
        </w:rPr>
        <w:t>2</w:t>
      </w:r>
      <w:r>
        <w:rPr>
          <w:rFonts w:hint="eastAsia" w:hAnsi="宋体"/>
          <w:bCs/>
        </w:rPr>
        <w:t>）具有良好的商业信誉和健全的财务会计制度；</w:t>
      </w:r>
    </w:p>
    <w:p>
      <w:pPr>
        <w:pStyle w:val="19"/>
        <w:spacing w:line="440" w:lineRule="exact"/>
        <w:ind w:firstLine="720"/>
        <w:rPr>
          <w:rFonts w:hAnsi="宋体"/>
          <w:bCs/>
        </w:rPr>
      </w:pPr>
      <w:r>
        <w:rPr>
          <w:rFonts w:hint="eastAsia" w:hAnsi="宋体"/>
          <w:bCs/>
        </w:rPr>
        <w:t>（</w:t>
      </w:r>
      <w:r>
        <w:rPr>
          <w:rFonts w:hAnsi="宋体"/>
          <w:bCs/>
        </w:rPr>
        <w:t>3</w:t>
      </w:r>
      <w:r>
        <w:rPr>
          <w:rFonts w:hint="eastAsia" w:hAnsi="宋体"/>
          <w:bCs/>
        </w:rPr>
        <w:t>）具有履行合同所必需的设备和专业技术能力；</w:t>
      </w:r>
    </w:p>
    <w:p>
      <w:pPr>
        <w:pStyle w:val="19"/>
        <w:spacing w:line="440" w:lineRule="exact"/>
        <w:ind w:firstLine="720"/>
        <w:rPr>
          <w:rFonts w:hAnsi="宋体"/>
          <w:bCs/>
        </w:rPr>
      </w:pPr>
      <w:r>
        <w:rPr>
          <w:rFonts w:hint="eastAsia" w:hAnsi="宋体"/>
          <w:bCs/>
        </w:rPr>
        <w:t>（</w:t>
      </w:r>
      <w:r>
        <w:rPr>
          <w:rFonts w:hAnsi="宋体"/>
          <w:bCs/>
        </w:rPr>
        <w:t>4</w:t>
      </w:r>
      <w:r>
        <w:rPr>
          <w:rFonts w:hint="eastAsia" w:hAnsi="宋体"/>
          <w:bCs/>
        </w:rPr>
        <w:t>）有依法缴纳税收和社会保障资金的良好记录；</w:t>
      </w:r>
    </w:p>
    <w:p>
      <w:pPr>
        <w:pStyle w:val="19"/>
        <w:spacing w:line="440" w:lineRule="exact"/>
        <w:ind w:firstLine="720"/>
        <w:rPr>
          <w:rFonts w:hAnsi="宋体"/>
          <w:bCs/>
        </w:rPr>
      </w:pPr>
      <w:r>
        <w:rPr>
          <w:rFonts w:hint="eastAsia" w:hAnsi="宋体"/>
          <w:bCs/>
        </w:rPr>
        <w:t>（</w:t>
      </w:r>
      <w:r>
        <w:rPr>
          <w:rFonts w:hAnsi="宋体"/>
          <w:bCs/>
        </w:rPr>
        <w:t>5</w:t>
      </w:r>
      <w:r>
        <w:rPr>
          <w:rFonts w:hint="eastAsia" w:hAnsi="宋体"/>
          <w:bCs/>
        </w:rPr>
        <w:t>）参加政府采购活动前三年内，在经营活动中没有重大违法记录；</w:t>
      </w:r>
    </w:p>
    <w:p>
      <w:pPr>
        <w:pStyle w:val="19"/>
        <w:spacing w:line="440" w:lineRule="exact"/>
        <w:ind w:firstLine="720"/>
        <w:rPr>
          <w:rFonts w:hAnsi="宋体"/>
          <w:bCs/>
        </w:rPr>
      </w:pPr>
      <w:r>
        <w:rPr>
          <w:rFonts w:hint="eastAsia" w:hAnsi="宋体"/>
          <w:bCs/>
        </w:rPr>
        <w:t>（</w:t>
      </w:r>
      <w:r>
        <w:rPr>
          <w:rFonts w:hAnsi="宋体"/>
          <w:bCs/>
        </w:rPr>
        <w:t>6</w:t>
      </w:r>
      <w:r>
        <w:rPr>
          <w:rFonts w:hint="eastAsia" w:hAnsi="宋体"/>
          <w:bCs/>
        </w:rPr>
        <w:t>）法律、行政法规规定的其他条件。</w:t>
      </w:r>
    </w:p>
    <w:p>
      <w:pPr>
        <w:pStyle w:val="19"/>
        <w:spacing w:line="440" w:lineRule="exact"/>
        <w:ind w:firstLine="360"/>
        <w:rPr>
          <w:rFonts w:hAnsi="宋体"/>
          <w:bCs/>
        </w:rPr>
      </w:pPr>
      <w:r>
        <w:rPr>
          <w:rFonts w:hAnsi="宋体"/>
          <w:bCs/>
        </w:rPr>
        <w:t xml:space="preserve">3.2  </w:t>
      </w:r>
      <w:r>
        <w:rPr>
          <w:rFonts w:hint="eastAsia" w:hAnsi="宋体"/>
          <w:bCs/>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pStyle w:val="19"/>
        <w:spacing w:line="440" w:lineRule="exact"/>
        <w:ind w:firstLine="360"/>
        <w:rPr>
          <w:rFonts w:hAnsi="宋体"/>
          <w:bCs/>
        </w:rPr>
      </w:pPr>
      <w:r>
        <w:rPr>
          <w:rFonts w:hAnsi="宋体"/>
          <w:bCs/>
        </w:rPr>
        <w:t xml:space="preserve">3.3  </w:t>
      </w:r>
      <w:r>
        <w:rPr>
          <w:rFonts w:hint="eastAsia" w:hAnsi="宋体"/>
          <w:bCs/>
        </w:rPr>
        <w:t>对在“信用中国”网站</w:t>
      </w:r>
      <w:r>
        <w:rPr>
          <w:rFonts w:hAnsi="宋体"/>
          <w:bCs/>
        </w:rPr>
        <w:t>(www.creditchina.gov.cn)</w:t>
      </w:r>
      <w:r>
        <w:rPr>
          <w:rFonts w:hint="eastAsia" w:hAnsi="宋体"/>
          <w:bCs/>
        </w:rPr>
        <w:t>列入失信被执行人、重大税收违法案件当事人名单、政府采购严重违法失信行为记录名单及其他不符合《中华人民共和国政府采购法》第二十二条规定条件的供应商，不得参与政府采购活动。</w:t>
      </w:r>
    </w:p>
    <w:p>
      <w:pPr>
        <w:pStyle w:val="19"/>
        <w:spacing w:line="440" w:lineRule="exact"/>
        <w:ind w:firstLine="360"/>
        <w:rPr>
          <w:rFonts w:hAnsi="宋体"/>
          <w:bCs/>
        </w:rPr>
      </w:pPr>
      <w:r>
        <w:rPr>
          <w:rFonts w:hAnsi="宋体"/>
          <w:bCs/>
        </w:rPr>
        <w:t xml:space="preserve">3.4  </w:t>
      </w:r>
      <w:r>
        <w:rPr>
          <w:rFonts w:hint="eastAsia" w:hAnsi="宋体"/>
          <w:bCs/>
        </w:rPr>
        <w:t>针对本项目，投标人应具备的特定资格条件：</w:t>
      </w:r>
      <w:r>
        <w:rPr>
          <w:rFonts w:hint="eastAsia" w:hAnsi="宋体"/>
          <w:b/>
          <w:bCs/>
        </w:rPr>
        <w:t>见投标人须知前附表</w:t>
      </w:r>
      <w:r>
        <w:rPr>
          <w:rFonts w:hint="eastAsia" w:hAnsi="宋体"/>
          <w:bCs/>
        </w:rPr>
        <w:t>。</w:t>
      </w:r>
    </w:p>
    <w:p>
      <w:pPr>
        <w:pStyle w:val="19"/>
        <w:spacing w:line="440" w:lineRule="exact"/>
        <w:ind w:firstLine="360"/>
        <w:rPr>
          <w:rFonts w:hAnsi="宋体"/>
          <w:szCs w:val="21"/>
        </w:rPr>
      </w:pPr>
      <w:r>
        <w:rPr>
          <w:rFonts w:hAnsi="宋体"/>
        </w:rPr>
        <w:t xml:space="preserve">3.5  </w:t>
      </w:r>
      <w:r>
        <w:rPr>
          <w:rFonts w:hint="eastAsia" w:hAnsi="宋体"/>
        </w:rPr>
        <w:t>投标人须知前附表规定接受联合体投标的，两个以上供应商可以组成一个投标联合体，</w:t>
      </w:r>
      <w:r>
        <w:rPr>
          <w:rFonts w:hint="eastAsia" w:hAnsi="宋体"/>
          <w:szCs w:val="21"/>
        </w:rPr>
        <w:t>以一个投标人的身份共同参加投标</w:t>
      </w:r>
      <w:r>
        <w:rPr>
          <w:rFonts w:hint="eastAsia" w:hAnsi="宋体"/>
        </w:rPr>
        <w:t>。以联合体形式参加投标的，联合体各方均应当符合本章第</w:t>
      </w:r>
      <w:r>
        <w:rPr>
          <w:rFonts w:hAnsi="宋体"/>
        </w:rPr>
        <w:t>3.1</w:t>
      </w:r>
      <w:r>
        <w:rPr>
          <w:rFonts w:hint="eastAsia" w:hAnsi="宋体"/>
        </w:rPr>
        <w:t>项的要求，至少应当有一方符合本章第</w:t>
      </w:r>
      <w:r>
        <w:rPr>
          <w:rFonts w:hAnsi="宋体"/>
        </w:rPr>
        <w:t>3.4</w:t>
      </w:r>
      <w:r>
        <w:rPr>
          <w:rFonts w:hint="eastAsia" w:hAnsi="宋体"/>
        </w:rPr>
        <w:t>项的要求；联合体各方应签订共同投标协议，明确联合体各方承担的工作和相应的责任，并将共同投标协议连同投标文件一并提交评标委员会；由同一专业的单位组成的联合体，按照资质等级最低的单位确定资质等级；联合体各方不得再以自己名义单独或组成新的联合体参加同一项目同一分标投标，否则与之相关的投标文件作废；投标联合体的业绩和信誉按联合体主体方（或牵头方）计算。</w:t>
      </w:r>
      <w:r>
        <w:rPr>
          <w:rFonts w:hint="eastAsia" w:hAnsi="宋体"/>
          <w:szCs w:val="21"/>
        </w:rPr>
        <w:t>根据《政府采购促进中小企业发展暂行办法》第六条规定，“鼓励大中型企业和其他自然人、法人或者其他组织与小型、微型企业组成联合体共同参加非专门面向中小企业的政府采购活动。联合协议中约定，小型、微型企业的协议合同金额占到联合体协议合同总金额</w:t>
      </w:r>
      <w:r>
        <w:rPr>
          <w:rFonts w:hAnsi="宋体"/>
          <w:szCs w:val="21"/>
        </w:rPr>
        <w:t>30%</w:t>
      </w:r>
      <w:r>
        <w:rPr>
          <w:rFonts w:hint="eastAsia" w:hAnsi="宋体"/>
          <w:szCs w:val="21"/>
        </w:rPr>
        <w:t>以上的，可给予联合体</w:t>
      </w:r>
      <w:r>
        <w:rPr>
          <w:rFonts w:hAnsi="宋体"/>
          <w:szCs w:val="21"/>
        </w:rPr>
        <w:t>2%-3%</w:t>
      </w:r>
      <w:r>
        <w:rPr>
          <w:rFonts w:hint="eastAsia" w:hAnsi="宋体"/>
          <w:szCs w:val="21"/>
        </w:rPr>
        <w:t>的价格扣除。联合体各方均为小型、微型企业的，联合体视同为小型、微型企业享受本办法第四条、第五条规定的扶持政策。组成联合体的大中型企业和其他自然人、法人或者其他组织，与小型、微型企业之间不得存在投资关系。”</w:t>
      </w:r>
    </w:p>
    <w:p>
      <w:pPr>
        <w:pStyle w:val="19"/>
        <w:spacing w:line="440" w:lineRule="exact"/>
        <w:ind w:firstLine="360"/>
        <w:rPr>
          <w:rFonts w:hAnsi="宋体"/>
          <w:szCs w:val="21"/>
        </w:rPr>
      </w:pPr>
      <w:r>
        <w:rPr>
          <w:rFonts w:hAnsi="宋体"/>
          <w:szCs w:val="21"/>
        </w:rPr>
        <w:t xml:space="preserve">3.5.1  </w:t>
      </w:r>
      <w:r>
        <w:rPr>
          <w:rFonts w:hint="eastAsia" w:hAnsi="宋体"/>
          <w:b/>
          <w:szCs w:val="21"/>
          <w:u w:val="single"/>
        </w:rPr>
        <w:t>投标人须知前附表规定不接受联合体投标的，本须知所有相关联合体要求及格式文件均不适用。投标人以联合体形式参加投标的，投标无效</w:t>
      </w:r>
      <w:r>
        <w:rPr>
          <w:rFonts w:hint="eastAsia" w:hAnsi="宋体"/>
          <w:szCs w:val="21"/>
        </w:rPr>
        <w:t>。</w:t>
      </w:r>
    </w:p>
    <w:p>
      <w:pPr>
        <w:pStyle w:val="19"/>
        <w:spacing w:line="440" w:lineRule="exact"/>
        <w:ind w:firstLine="360"/>
        <w:rPr>
          <w:rFonts w:hAnsi="宋体"/>
        </w:rPr>
      </w:pPr>
      <w:r>
        <w:rPr>
          <w:rFonts w:hAnsi="宋体"/>
          <w:bCs/>
        </w:rPr>
        <w:t xml:space="preserve">3.6  </w:t>
      </w:r>
      <w:r>
        <w:rPr>
          <w:rFonts w:hint="eastAsia" w:hAnsi="宋体"/>
        </w:rPr>
        <w:t>投标人不得直接或间接地与为本次采购的项目内容进行设计、编制规范和其他文件的咨询公司、采购代理机构或其附属机构有任何关联。</w:t>
      </w:r>
    </w:p>
    <w:p>
      <w:pPr>
        <w:pStyle w:val="19"/>
        <w:spacing w:line="440" w:lineRule="exact"/>
        <w:ind w:left="242" w:hanging="242" w:hangingChars="101"/>
        <w:jc w:val="left"/>
        <w:rPr>
          <w:rFonts w:hAnsi="宋体"/>
          <w:bCs/>
          <w:sz w:val="24"/>
        </w:rPr>
      </w:pPr>
      <w:r>
        <w:rPr>
          <w:rFonts w:hint="eastAsia" w:hAnsi="宋体"/>
          <w:bCs/>
          <w:sz w:val="24"/>
        </w:rPr>
        <w:t>4. 询问</w:t>
      </w:r>
    </w:p>
    <w:p>
      <w:pPr>
        <w:pStyle w:val="19"/>
        <w:spacing w:line="440" w:lineRule="exact"/>
        <w:ind w:left="2" w:firstLine="360"/>
        <w:jc w:val="left"/>
        <w:rPr>
          <w:rFonts w:hAnsi="宋体"/>
          <w:bCs/>
        </w:rPr>
      </w:pPr>
      <w:r>
        <w:rPr>
          <w:rFonts w:hint="eastAsia" w:hAnsi="宋体"/>
          <w:bCs/>
        </w:rPr>
        <w:t>4.1  供应商对政府采购活动事项有疑问的，可以向采购人或采购代理机构项目负责人提出询问。</w:t>
      </w:r>
    </w:p>
    <w:p>
      <w:pPr>
        <w:pStyle w:val="19"/>
        <w:spacing w:line="440" w:lineRule="exact"/>
        <w:ind w:left="2" w:firstLine="360"/>
        <w:jc w:val="left"/>
        <w:rPr>
          <w:rFonts w:hAnsi="宋体"/>
          <w:bCs/>
          <w:szCs w:val="21"/>
        </w:rPr>
      </w:pPr>
      <w:r>
        <w:rPr>
          <w:rFonts w:hint="eastAsia" w:hAnsi="宋体"/>
          <w:bCs/>
          <w:szCs w:val="21"/>
        </w:rPr>
        <w:t>4.2  采购人或采购人委托的采购代理机构自受理询问之日起3个工作日内对供应商依法提出的询问作出答复。</w:t>
      </w:r>
    </w:p>
    <w:p>
      <w:pPr>
        <w:pStyle w:val="19"/>
        <w:spacing w:line="440" w:lineRule="exact"/>
        <w:ind w:left="2" w:firstLine="360"/>
        <w:jc w:val="left"/>
        <w:rPr>
          <w:rFonts w:hAnsi="宋体"/>
          <w:bCs/>
          <w:szCs w:val="21"/>
        </w:rPr>
      </w:pPr>
      <w:r>
        <w:rPr>
          <w:rFonts w:hAnsi="宋体"/>
          <w:bCs/>
          <w:szCs w:val="21"/>
        </w:rPr>
        <w:t xml:space="preserve">4.3 </w:t>
      </w:r>
      <w:r>
        <w:rPr>
          <w:rFonts w:hint="eastAsia" w:hAnsi="宋体"/>
          <w:bCs/>
          <w:szCs w:val="21"/>
        </w:rPr>
        <w:t xml:space="preserve"> 询问事项可能影响中标、成交结果的，采购人应当暂停签订合同，已经签订合同的，应当中止履行合同。</w:t>
      </w:r>
    </w:p>
    <w:p>
      <w:pPr>
        <w:pStyle w:val="19"/>
        <w:spacing w:line="440" w:lineRule="exact"/>
        <w:ind w:left="242" w:hanging="242" w:hangingChars="101"/>
        <w:jc w:val="left"/>
        <w:rPr>
          <w:rFonts w:hAnsi="宋体"/>
          <w:bCs/>
          <w:sz w:val="24"/>
        </w:rPr>
      </w:pPr>
      <w:r>
        <w:rPr>
          <w:rFonts w:hint="eastAsia" w:hAnsi="宋体"/>
          <w:bCs/>
          <w:sz w:val="24"/>
        </w:rPr>
        <w:t>5.1质疑</w:t>
      </w:r>
    </w:p>
    <w:p>
      <w:pPr>
        <w:pStyle w:val="19"/>
        <w:spacing w:line="440" w:lineRule="exact"/>
        <w:ind w:firstLine="420" w:firstLineChars="200"/>
        <w:rPr>
          <w:rFonts w:hAnsi="宋体"/>
          <w:bCs/>
        </w:rPr>
      </w:pPr>
      <w:r>
        <w:rPr>
          <w:rFonts w:hint="eastAsia" w:hAnsi="宋体"/>
          <w:bCs/>
        </w:rPr>
        <w:t>5.1.1  供应商认为采购文件、采购过程、中标或者成交结果使自己的权益受到损害的，可以在知道或者应知其权益受到损害之日起7个工作日内，以书面形式提出质疑。质疑有效期结束后，采购人或采购代理机构不再受理该项目质疑。质疑材料统一提交至采购代理机构，质疑提交地点</w:t>
      </w:r>
      <w:r>
        <w:rPr>
          <w:rFonts w:hint="eastAsia" w:hAnsi="宋体"/>
          <w:bCs/>
          <w:szCs w:val="21"/>
        </w:rPr>
        <w:t>和联系方式</w:t>
      </w:r>
      <w:r>
        <w:rPr>
          <w:rFonts w:hint="eastAsia" w:hAnsi="宋体"/>
          <w:bCs/>
        </w:rPr>
        <w:t>详见投标人须知前附表。采购代理机构应根据采购文件的规定将属于采购人受理和答复的质疑材料及时移交给采购人，采购人应将质疑处理情况及时函告采购代理机构。</w:t>
      </w:r>
    </w:p>
    <w:p>
      <w:pPr>
        <w:pStyle w:val="19"/>
        <w:spacing w:line="440" w:lineRule="exact"/>
        <w:ind w:firstLine="420" w:firstLineChars="200"/>
        <w:rPr>
          <w:rFonts w:hAnsi="宋体"/>
          <w:bCs/>
        </w:rPr>
      </w:pPr>
      <w:r>
        <w:rPr>
          <w:rFonts w:hint="eastAsia" w:hAnsi="宋体"/>
          <w:bCs/>
        </w:rPr>
        <w:t>5.1.1.1潜在供应商依法获取公开招标文件后，认为采购文件使自己的权益受到损害的，应当在公开招标文件公告期限届满之日起7个工作日内提出质疑。对公开招标文件中采购需求（含资格要求、采购预算和评分办法）的质疑由采购人受理并负责答复；对公开招标文件中的采购执行程序的质疑由采购代理机构受理并负责答复。</w:t>
      </w:r>
    </w:p>
    <w:p>
      <w:pPr>
        <w:pStyle w:val="19"/>
        <w:spacing w:line="440" w:lineRule="exact"/>
        <w:ind w:firstLine="420" w:firstLineChars="200"/>
        <w:rPr>
          <w:rFonts w:hAnsi="宋体"/>
          <w:bCs/>
        </w:rPr>
      </w:pPr>
      <w:r>
        <w:rPr>
          <w:rFonts w:hint="eastAsia" w:hAnsi="宋体"/>
          <w:bCs/>
        </w:rPr>
        <w:t>5.1.1.2供应商认为采购过程使自己的权益受到损害的，应当在各采购程序环节结束之日起7个工作日内提出质疑。对采购过程中资格审查</w:t>
      </w:r>
      <w:r>
        <w:rPr>
          <w:rFonts w:hint="eastAsia" w:hAnsi="宋体"/>
          <w:szCs w:val="21"/>
        </w:rPr>
        <w:t>、符合性审查等具体评审情况</w:t>
      </w:r>
      <w:r>
        <w:rPr>
          <w:rFonts w:hint="eastAsia" w:hAnsi="宋体"/>
          <w:bCs/>
        </w:rPr>
        <w:t>的质疑应向采购人提出，由采购人受理并负责答复；对采购过程中采购执行程序的质疑由采购代理机构受理并负责答复。</w:t>
      </w:r>
    </w:p>
    <w:p>
      <w:pPr>
        <w:pStyle w:val="19"/>
        <w:spacing w:line="440" w:lineRule="exact"/>
        <w:ind w:left="2" w:firstLine="360"/>
        <w:jc w:val="left"/>
        <w:rPr>
          <w:rFonts w:hAnsi="宋体"/>
          <w:bCs/>
          <w:szCs w:val="21"/>
        </w:rPr>
      </w:pPr>
      <w:r>
        <w:rPr>
          <w:rFonts w:hint="eastAsia" w:hAnsi="宋体"/>
          <w:bCs/>
        </w:rPr>
        <w:t>5.1.1.3供应商认为中标或者成交结果使自己的权益受到损害的，应当在中标或者成交结果公告期限届满之日起7个工作日内提出质疑，由采购人受理并负责答复。</w:t>
      </w:r>
    </w:p>
    <w:p>
      <w:pPr>
        <w:pStyle w:val="19"/>
        <w:spacing w:line="440" w:lineRule="exact"/>
        <w:ind w:left="2" w:firstLine="360"/>
        <w:jc w:val="left"/>
        <w:rPr>
          <w:rFonts w:hAnsi="宋体"/>
          <w:bCs/>
          <w:szCs w:val="21"/>
        </w:rPr>
      </w:pPr>
      <w:r>
        <w:rPr>
          <w:rFonts w:hint="eastAsia" w:hAnsi="宋体"/>
          <w:bCs/>
          <w:szCs w:val="21"/>
        </w:rPr>
        <w:t>5.1.2  供应商质疑实行实名制，其质疑应当有具体的质疑事项及事实根据，质疑应当坚持依法依规、诚实信用原则，不得进行虚假、恶意质疑。</w:t>
      </w:r>
    </w:p>
    <w:p>
      <w:pPr>
        <w:pStyle w:val="19"/>
        <w:spacing w:line="440" w:lineRule="exact"/>
        <w:ind w:left="2" w:firstLine="360"/>
        <w:jc w:val="left"/>
        <w:rPr>
          <w:rFonts w:hAnsi="宋体"/>
          <w:bCs/>
          <w:szCs w:val="21"/>
        </w:rPr>
      </w:pPr>
      <w:r>
        <w:rPr>
          <w:rFonts w:hint="eastAsia" w:hAnsi="宋体"/>
          <w:bCs/>
          <w:szCs w:val="21"/>
        </w:rPr>
        <w:t>5.1.3  供应商提交质疑应当提交质疑函和必要的证明材料</w:t>
      </w:r>
      <w:r>
        <w:rPr>
          <w:rFonts w:hAnsi="宋体"/>
          <w:bCs/>
          <w:szCs w:val="21"/>
        </w:rPr>
        <w:t>[</w:t>
      </w:r>
      <w:r>
        <w:rPr>
          <w:rFonts w:hint="eastAsia" w:hAnsi="宋体"/>
          <w:bCs/>
          <w:szCs w:val="21"/>
        </w:rPr>
        <w:t>按第七章“质疑材料格式”提供的“质疑函（格式）”和“质疑证明材料（格式）”的要求填写</w:t>
      </w:r>
      <w:r>
        <w:rPr>
          <w:rFonts w:hAnsi="宋体"/>
          <w:bCs/>
          <w:szCs w:val="21"/>
        </w:rPr>
        <w:t>]</w:t>
      </w:r>
      <w:r>
        <w:rPr>
          <w:rFonts w:hint="eastAsia" w:hAnsi="宋体"/>
          <w:bCs/>
          <w:szCs w:val="21"/>
        </w:rPr>
        <w:t>，质疑函应当包括下列内容：</w:t>
      </w:r>
    </w:p>
    <w:p>
      <w:pPr>
        <w:pStyle w:val="19"/>
        <w:spacing w:line="440" w:lineRule="exact"/>
        <w:ind w:left="2" w:firstLine="360"/>
        <w:jc w:val="left"/>
        <w:rPr>
          <w:rFonts w:hAnsi="宋体"/>
          <w:bCs/>
          <w:szCs w:val="21"/>
        </w:rPr>
      </w:pPr>
      <w:r>
        <w:rPr>
          <w:rFonts w:hint="eastAsia" w:hAnsi="宋体"/>
          <w:bCs/>
          <w:szCs w:val="21"/>
        </w:rPr>
        <w:t>（1）供应商的姓名或者名称、地址、邮编、联系人及联系电话；</w:t>
      </w:r>
    </w:p>
    <w:p>
      <w:pPr>
        <w:pStyle w:val="19"/>
        <w:spacing w:line="440" w:lineRule="exact"/>
        <w:ind w:left="2" w:firstLine="360"/>
        <w:jc w:val="left"/>
        <w:rPr>
          <w:rFonts w:hAnsi="宋体"/>
          <w:bCs/>
          <w:szCs w:val="21"/>
        </w:rPr>
      </w:pPr>
      <w:r>
        <w:rPr>
          <w:rFonts w:hint="eastAsia" w:hAnsi="宋体"/>
          <w:bCs/>
          <w:szCs w:val="21"/>
        </w:rPr>
        <w:t>（2）质疑项目的名称、编号；</w:t>
      </w:r>
    </w:p>
    <w:p>
      <w:pPr>
        <w:pStyle w:val="19"/>
        <w:spacing w:line="440" w:lineRule="exact"/>
        <w:ind w:left="2" w:firstLine="360"/>
        <w:jc w:val="left"/>
        <w:rPr>
          <w:rFonts w:hAnsi="宋体"/>
          <w:bCs/>
          <w:szCs w:val="21"/>
        </w:rPr>
      </w:pPr>
      <w:r>
        <w:rPr>
          <w:rFonts w:hint="eastAsia" w:hAnsi="宋体"/>
          <w:bCs/>
          <w:szCs w:val="21"/>
        </w:rPr>
        <w:t>（3）具体、明确的质疑事项和质疑事项相关的请求；</w:t>
      </w:r>
    </w:p>
    <w:p>
      <w:pPr>
        <w:pStyle w:val="19"/>
        <w:spacing w:line="440" w:lineRule="exact"/>
        <w:ind w:left="2" w:firstLine="360"/>
        <w:jc w:val="left"/>
        <w:rPr>
          <w:rFonts w:hAnsi="宋体"/>
          <w:bCs/>
          <w:szCs w:val="21"/>
        </w:rPr>
      </w:pPr>
      <w:r>
        <w:rPr>
          <w:rFonts w:hint="eastAsia" w:hAnsi="宋体"/>
          <w:bCs/>
          <w:szCs w:val="21"/>
        </w:rPr>
        <w:t>（4）事实依据（列明权益受到损害的事实和理由）；</w:t>
      </w:r>
    </w:p>
    <w:p>
      <w:pPr>
        <w:pStyle w:val="19"/>
        <w:spacing w:line="440" w:lineRule="exact"/>
        <w:ind w:left="2" w:firstLine="360"/>
        <w:jc w:val="left"/>
        <w:rPr>
          <w:rFonts w:hAnsi="宋体"/>
          <w:bCs/>
          <w:szCs w:val="21"/>
        </w:rPr>
      </w:pPr>
      <w:r>
        <w:rPr>
          <w:rFonts w:hint="eastAsia" w:hAnsi="宋体"/>
          <w:bCs/>
          <w:szCs w:val="21"/>
        </w:rPr>
        <w:t>（5）必要的法律依据；</w:t>
      </w:r>
    </w:p>
    <w:p>
      <w:pPr>
        <w:pStyle w:val="19"/>
        <w:spacing w:line="440" w:lineRule="exact"/>
        <w:ind w:left="2" w:firstLine="360"/>
        <w:jc w:val="left"/>
        <w:rPr>
          <w:rFonts w:hAnsi="宋体"/>
          <w:bCs/>
          <w:szCs w:val="21"/>
        </w:rPr>
      </w:pPr>
      <w:r>
        <w:rPr>
          <w:rFonts w:hint="eastAsia" w:hAnsi="宋体"/>
          <w:bCs/>
          <w:szCs w:val="21"/>
        </w:rPr>
        <w:t>（6）提起质疑的日期；</w:t>
      </w:r>
    </w:p>
    <w:p>
      <w:pPr>
        <w:pStyle w:val="19"/>
        <w:spacing w:line="440" w:lineRule="exact"/>
        <w:ind w:left="2" w:firstLine="360"/>
        <w:jc w:val="left"/>
        <w:rPr>
          <w:rFonts w:hAnsi="宋体"/>
        </w:rPr>
      </w:pPr>
      <w:r>
        <w:rPr>
          <w:rFonts w:hint="eastAsia" w:hAnsi="宋体"/>
          <w:bCs/>
          <w:szCs w:val="21"/>
        </w:rPr>
        <w:t>供应商为自然人的，应当由本人签字；质疑供应商为法人或者其他组织的，应当由法定代表人、主要负责人签字或其授权代表签字或盖章并加盖公章。</w:t>
      </w:r>
    </w:p>
    <w:p>
      <w:pPr>
        <w:pStyle w:val="19"/>
        <w:spacing w:line="440" w:lineRule="exact"/>
        <w:ind w:left="2" w:firstLine="360"/>
        <w:rPr>
          <w:rFonts w:hAnsi="宋体"/>
          <w:bCs/>
        </w:rPr>
      </w:pPr>
      <w:r>
        <w:rPr>
          <w:rFonts w:hint="eastAsia" w:hAnsi="宋体"/>
          <w:bCs/>
        </w:rPr>
        <w:t>5.1.4  质疑供应商可以委托代理人办理质疑事务。委托代理人应熟悉相关业务情况。代理人办理质疑事务时，除提交质疑书外，还应当提交质疑供应商的授权委托书，授权委托书应当载明委托代理的具体权限和事项</w:t>
      </w:r>
      <w:r>
        <w:rPr>
          <w:rFonts w:hint="eastAsia" w:hAnsi="宋体"/>
        </w:rPr>
        <w:t>。</w:t>
      </w:r>
    </w:p>
    <w:p>
      <w:pPr>
        <w:pStyle w:val="19"/>
        <w:spacing w:line="440" w:lineRule="exact"/>
        <w:ind w:left="2" w:firstLine="360"/>
        <w:rPr>
          <w:rFonts w:hAnsi="宋体"/>
          <w:bCs/>
        </w:rPr>
      </w:pPr>
      <w:r>
        <w:rPr>
          <w:rFonts w:hint="eastAsia" w:hAnsi="宋体"/>
          <w:bCs/>
        </w:rPr>
        <w:t>5.1.5  质疑供应商提起质疑应当符合下列条件：</w:t>
      </w:r>
    </w:p>
    <w:p>
      <w:pPr>
        <w:pStyle w:val="19"/>
        <w:spacing w:line="440" w:lineRule="exact"/>
        <w:ind w:left="2" w:firstLine="360"/>
        <w:rPr>
          <w:rFonts w:hAnsi="宋体"/>
          <w:bCs/>
        </w:rPr>
      </w:pPr>
      <w:r>
        <w:rPr>
          <w:rFonts w:hint="eastAsia" w:hAnsi="宋体"/>
          <w:bCs/>
        </w:rPr>
        <w:t>（1）质疑供应商是参与所质疑</w:t>
      </w:r>
      <w:r>
        <w:rPr>
          <w:rFonts w:hint="eastAsia" w:hAnsi="宋体"/>
          <w:bCs/>
          <w:szCs w:val="21"/>
        </w:rPr>
        <w:t>项目</w:t>
      </w:r>
      <w:r>
        <w:rPr>
          <w:rFonts w:hint="eastAsia" w:hAnsi="宋体"/>
          <w:bCs/>
        </w:rPr>
        <w:t>采购活动的供应商，以联合体形式参加政府采购活动的，其质疑应当由组成联合体的所有供应商共同提出；</w:t>
      </w:r>
    </w:p>
    <w:p>
      <w:pPr>
        <w:pStyle w:val="19"/>
        <w:spacing w:line="440" w:lineRule="exact"/>
        <w:ind w:left="2" w:firstLine="360"/>
        <w:rPr>
          <w:rFonts w:hAnsi="宋体"/>
          <w:bCs/>
        </w:rPr>
      </w:pPr>
      <w:r>
        <w:rPr>
          <w:rFonts w:hint="eastAsia" w:hAnsi="宋体"/>
          <w:bCs/>
        </w:rPr>
        <w:t>（2）质疑函内容符合本章第5.1.3项的规定；</w:t>
      </w:r>
    </w:p>
    <w:p>
      <w:pPr>
        <w:pStyle w:val="19"/>
        <w:spacing w:line="440" w:lineRule="exact"/>
        <w:ind w:left="2" w:firstLine="360"/>
        <w:rPr>
          <w:rFonts w:hAnsi="宋体"/>
          <w:bCs/>
        </w:rPr>
      </w:pPr>
      <w:r>
        <w:rPr>
          <w:rFonts w:hint="eastAsia" w:hAnsi="宋体"/>
          <w:bCs/>
        </w:rPr>
        <w:t>（3）在质疑有效期限内提起质疑；</w:t>
      </w:r>
    </w:p>
    <w:p>
      <w:pPr>
        <w:pStyle w:val="19"/>
        <w:spacing w:line="440" w:lineRule="exact"/>
        <w:ind w:left="2" w:firstLine="360"/>
        <w:rPr>
          <w:rFonts w:hAnsi="宋体"/>
          <w:bCs/>
        </w:rPr>
      </w:pPr>
      <w:r>
        <w:rPr>
          <w:rFonts w:hint="eastAsia" w:hAnsi="宋体"/>
          <w:bCs/>
        </w:rPr>
        <w:t>（4）属于所质疑的采购人或采购人委托的采购代理机构组织的采购活动；</w:t>
      </w:r>
    </w:p>
    <w:p>
      <w:pPr>
        <w:pStyle w:val="19"/>
        <w:spacing w:line="440" w:lineRule="exact"/>
        <w:ind w:left="2" w:firstLine="360"/>
        <w:rPr>
          <w:rFonts w:hAnsi="宋体"/>
          <w:bCs/>
        </w:rPr>
      </w:pPr>
      <w:r>
        <w:rPr>
          <w:rFonts w:hint="eastAsia" w:hAnsi="宋体"/>
          <w:bCs/>
        </w:rPr>
        <w:t xml:space="preserve">（5）同一质疑事项未经采购人或采购人委托的采购代理机构质疑处理； </w:t>
      </w:r>
    </w:p>
    <w:p>
      <w:pPr>
        <w:pStyle w:val="19"/>
        <w:spacing w:line="440" w:lineRule="exact"/>
        <w:ind w:left="2" w:firstLine="360"/>
        <w:rPr>
          <w:rFonts w:hAnsi="宋体"/>
          <w:bCs/>
        </w:rPr>
      </w:pPr>
      <w:r>
        <w:rPr>
          <w:rFonts w:hint="eastAsia" w:hAnsi="宋体"/>
          <w:bCs/>
        </w:rPr>
        <w:t>（6）供应商对同一采购程序环节的质疑应当在质疑有效期内一次性提出；</w:t>
      </w:r>
    </w:p>
    <w:p>
      <w:pPr>
        <w:pStyle w:val="19"/>
        <w:spacing w:line="440" w:lineRule="exact"/>
        <w:ind w:left="2" w:firstLine="360"/>
        <w:rPr>
          <w:rFonts w:hAnsi="宋体"/>
          <w:bCs/>
        </w:rPr>
      </w:pPr>
      <w:r>
        <w:rPr>
          <w:rFonts w:hint="eastAsia" w:hAnsi="宋体"/>
          <w:bCs/>
        </w:rPr>
        <w:t>（7）</w:t>
      </w:r>
      <w:r>
        <w:rPr>
          <w:rFonts w:hint="eastAsia" w:hAnsi="宋体"/>
          <w:bCs/>
          <w:szCs w:val="21"/>
        </w:rPr>
        <w:t>供应商提交质疑应当提交必要的证明材料，证明材料应以合法手段取得；</w:t>
      </w:r>
    </w:p>
    <w:p>
      <w:pPr>
        <w:pStyle w:val="19"/>
        <w:spacing w:line="440" w:lineRule="exact"/>
        <w:ind w:left="2" w:firstLine="360"/>
        <w:rPr>
          <w:rFonts w:hAnsi="宋体"/>
          <w:bCs/>
        </w:rPr>
      </w:pPr>
      <w:r>
        <w:rPr>
          <w:rFonts w:hint="eastAsia" w:hAnsi="宋体"/>
          <w:bCs/>
        </w:rPr>
        <w:t>（8）财政部门规定的其他条件。</w:t>
      </w:r>
    </w:p>
    <w:p>
      <w:pPr>
        <w:pStyle w:val="19"/>
        <w:spacing w:line="460" w:lineRule="exact"/>
        <w:ind w:firstLine="420" w:firstLineChars="200"/>
        <w:rPr>
          <w:rFonts w:hAnsi="宋体"/>
          <w:szCs w:val="21"/>
        </w:rPr>
      </w:pPr>
      <w:r>
        <w:rPr>
          <w:rFonts w:hint="eastAsia" w:hAnsi="宋体"/>
        </w:rPr>
        <w:t xml:space="preserve">5.1.6  </w:t>
      </w:r>
      <w:r>
        <w:rPr>
          <w:rFonts w:hint="eastAsia" w:hAnsi="宋体"/>
          <w:szCs w:val="21"/>
        </w:rPr>
        <w:t>采购人或采购人委托的采购代理机构在收到质疑函后7个工作日内作出答复，并以书面形式通知质疑供应商及其他有关供应商。对不符合质疑条件的质疑，答复质疑不成立，并说明理由；对符合质疑条件的质疑，对质疑事项作出答复</w:t>
      </w:r>
      <w:r>
        <w:rPr>
          <w:rFonts w:hint="eastAsia" w:hAnsi="宋体" w:cs="Helvetica"/>
        </w:rPr>
        <w:t>。</w:t>
      </w:r>
    </w:p>
    <w:p>
      <w:pPr>
        <w:pStyle w:val="19"/>
        <w:spacing w:line="440" w:lineRule="exact"/>
        <w:ind w:left="2" w:firstLine="360"/>
        <w:rPr>
          <w:rFonts w:hAnsi="宋体"/>
        </w:rPr>
      </w:pPr>
      <w:r>
        <w:rPr>
          <w:rFonts w:hAnsi="宋体"/>
          <w:bCs/>
          <w:szCs w:val="21"/>
        </w:rPr>
        <w:t>5.1.7</w:t>
      </w:r>
      <w:r>
        <w:rPr>
          <w:rFonts w:hint="eastAsia" w:hAnsi="宋体"/>
          <w:bCs/>
          <w:szCs w:val="21"/>
        </w:rPr>
        <w:t>质疑事项可能影响中标、成交结果的，采购人应当暂停签订合同，已经签订合同的，应当中止履行合同。</w:t>
      </w:r>
    </w:p>
    <w:p>
      <w:pPr>
        <w:pStyle w:val="19"/>
        <w:spacing w:line="440" w:lineRule="exact"/>
        <w:ind w:left="242" w:hanging="242" w:hangingChars="101"/>
        <w:jc w:val="left"/>
        <w:rPr>
          <w:rFonts w:hAnsi="宋体"/>
          <w:bCs/>
          <w:sz w:val="24"/>
        </w:rPr>
      </w:pPr>
      <w:r>
        <w:rPr>
          <w:rFonts w:hAnsi="宋体"/>
          <w:bCs/>
          <w:sz w:val="24"/>
        </w:rPr>
        <w:t>5.</w:t>
      </w:r>
      <w:r>
        <w:rPr>
          <w:rFonts w:hint="eastAsia" w:hAnsi="宋体"/>
          <w:bCs/>
          <w:sz w:val="24"/>
        </w:rPr>
        <w:t>2投诉</w:t>
      </w:r>
    </w:p>
    <w:p>
      <w:pPr>
        <w:pStyle w:val="2"/>
        <w:spacing w:before="151" w:line="360" w:lineRule="auto"/>
        <w:ind w:left="631"/>
        <w:rPr>
          <w:rFonts w:hint="eastAsia" w:ascii="宋体" w:hAnsi="宋体" w:eastAsia="宋体" w:cs="Times New Roman"/>
          <w:b w:val="0"/>
          <w:bCs/>
          <w:spacing w:val="0"/>
          <w:kern w:val="2"/>
          <w:sz w:val="21"/>
          <w:szCs w:val="21"/>
          <w:lang w:val="en-US" w:eastAsia="zh-CN" w:bidi="ar-SA"/>
        </w:rPr>
      </w:pPr>
      <w:r>
        <w:rPr>
          <w:rFonts w:hint="eastAsia" w:ascii="宋体" w:hAnsi="宋体" w:eastAsia="宋体" w:cs="Times New Roman"/>
          <w:b w:val="0"/>
          <w:bCs/>
          <w:spacing w:val="0"/>
          <w:kern w:val="2"/>
          <w:sz w:val="21"/>
          <w:szCs w:val="21"/>
          <w:lang w:val="en-US" w:eastAsia="zh-CN" w:bidi="ar-SA"/>
        </w:rPr>
        <w:t>5.2.1  供应商认为采购文件、采购过程、中标和成交结果使自己的合法权益受到损害的，应当首先依法向采购人或采购人委托的采购代理机构提出质疑。对采购人、采购代理机构的答复不满意，或者采购人、采购代理机构未在规定期限内做出答复的，供应商可以在答复期满后十五个工作日内向龙州县财政局政府采购监督股管理部门提起投诉。</w:t>
      </w:r>
    </w:p>
    <w:p>
      <w:pPr>
        <w:pStyle w:val="19"/>
        <w:spacing w:line="440" w:lineRule="exact"/>
        <w:ind w:left="2" w:firstLine="357" w:firstLineChars="170"/>
        <w:jc w:val="left"/>
        <w:rPr>
          <w:rFonts w:hAnsi="宋体"/>
        </w:rPr>
      </w:pPr>
      <w:r>
        <w:rPr>
          <w:rFonts w:hAnsi="宋体"/>
        </w:rPr>
        <w:t xml:space="preserve">5.2 </w:t>
      </w:r>
      <w:r>
        <w:rPr>
          <w:rFonts w:hint="eastAsia" w:hAnsi="宋体"/>
        </w:rPr>
        <w:t>.2投诉人投诉时，应当提交投诉书，并按照被投诉采购人、采购代理机构和与投诉事项有关的供应商数量提供投诉书的副本。投诉书</w:t>
      </w:r>
      <w:r>
        <w:rPr>
          <w:rFonts w:hint="eastAsia" w:hAnsi="宋体"/>
          <w:szCs w:val="21"/>
        </w:rPr>
        <w:t>应当包括下列主要内容</w:t>
      </w:r>
      <w:r>
        <w:rPr>
          <w:rFonts w:hint="eastAsia" w:hAnsi="宋体"/>
        </w:rPr>
        <w:t>（如材料中有外文资料应同时附上对应的中文译本）</w:t>
      </w:r>
      <w:r>
        <w:rPr>
          <w:rFonts w:hint="eastAsia" w:hAnsi="宋体"/>
          <w:szCs w:val="21"/>
        </w:rPr>
        <w:t>：</w:t>
      </w:r>
    </w:p>
    <w:p>
      <w:pPr>
        <w:pStyle w:val="19"/>
        <w:spacing w:line="440" w:lineRule="exact"/>
        <w:ind w:left="2" w:firstLine="716" w:firstLineChars="341"/>
        <w:jc w:val="left"/>
        <w:rPr>
          <w:rFonts w:hAnsi="宋体"/>
        </w:rPr>
      </w:pPr>
      <w:r>
        <w:rPr>
          <w:rFonts w:hint="eastAsia" w:hAnsi="宋体"/>
        </w:rPr>
        <w:t>（</w:t>
      </w:r>
      <w:r>
        <w:rPr>
          <w:rFonts w:hAnsi="宋体"/>
        </w:rPr>
        <w:t>1</w:t>
      </w:r>
      <w:r>
        <w:rPr>
          <w:rFonts w:hint="eastAsia" w:hAnsi="宋体"/>
        </w:rPr>
        <w:t>）投诉人和被投诉人的名称、地址、电话等；</w:t>
      </w:r>
    </w:p>
    <w:p>
      <w:pPr>
        <w:pStyle w:val="19"/>
        <w:spacing w:line="440" w:lineRule="exact"/>
        <w:ind w:left="2" w:firstLine="716" w:firstLineChars="341"/>
        <w:jc w:val="left"/>
        <w:rPr>
          <w:rFonts w:hAnsi="宋体"/>
        </w:rPr>
      </w:pPr>
      <w:r>
        <w:rPr>
          <w:rFonts w:hint="eastAsia" w:hAnsi="宋体"/>
        </w:rPr>
        <w:t>（</w:t>
      </w:r>
      <w:r>
        <w:rPr>
          <w:rFonts w:hAnsi="宋体"/>
        </w:rPr>
        <w:t>2</w:t>
      </w:r>
      <w:r>
        <w:rPr>
          <w:rFonts w:hint="eastAsia" w:hAnsi="宋体"/>
        </w:rPr>
        <w:t>）具体的投诉事项及事实依据；</w:t>
      </w:r>
    </w:p>
    <w:p>
      <w:pPr>
        <w:pStyle w:val="19"/>
        <w:spacing w:line="440" w:lineRule="exact"/>
        <w:ind w:left="2" w:firstLine="716" w:firstLineChars="341"/>
        <w:jc w:val="left"/>
        <w:rPr>
          <w:rFonts w:hAnsi="宋体"/>
        </w:rPr>
      </w:pPr>
      <w:r>
        <w:rPr>
          <w:rFonts w:hint="eastAsia" w:hAnsi="宋体"/>
        </w:rPr>
        <w:t>（</w:t>
      </w:r>
      <w:r>
        <w:rPr>
          <w:rFonts w:hAnsi="宋体"/>
        </w:rPr>
        <w:t>3</w:t>
      </w:r>
      <w:r>
        <w:rPr>
          <w:rFonts w:hint="eastAsia" w:hAnsi="宋体"/>
        </w:rPr>
        <w:t>）质疑和质疑答复情况及相关证明材料；</w:t>
      </w:r>
    </w:p>
    <w:p>
      <w:pPr>
        <w:pStyle w:val="19"/>
        <w:spacing w:line="440" w:lineRule="exact"/>
        <w:ind w:left="2" w:firstLine="716" w:firstLineChars="341"/>
        <w:jc w:val="left"/>
        <w:rPr>
          <w:rFonts w:hAnsi="宋体"/>
        </w:rPr>
      </w:pPr>
      <w:r>
        <w:rPr>
          <w:rFonts w:hint="eastAsia" w:hAnsi="宋体"/>
        </w:rPr>
        <w:t>（</w:t>
      </w:r>
      <w:r>
        <w:rPr>
          <w:rFonts w:hAnsi="宋体"/>
        </w:rPr>
        <w:t>4</w:t>
      </w:r>
      <w:r>
        <w:rPr>
          <w:rFonts w:hint="eastAsia" w:hAnsi="宋体"/>
        </w:rPr>
        <w:t>）提起投诉的日期。</w:t>
      </w:r>
    </w:p>
    <w:p>
      <w:pPr>
        <w:pStyle w:val="19"/>
        <w:spacing w:line="440" w:lineRule="exact"/>
        <w:rPr>
          <w:rFonts w:hAnsi="宋体"/>
        </w:rPr>
      </w:pPr>
      <w:r>
        <w:rPr>
          <w:rFonts w:hint="eastAsia" w:hAnsi="宋体"/>
        </w:rPr>
        <w:t>投诉书应当署名。投诉人为自然人的，应当由本人签字；投诉人为法人或者其他组织的，应当由法定代表人或者主要负责人签字盖章并加盖公章。</w:t>
      </w:r>
    </w:p>
    <w:p>
      <w:pPr>
        <w:pStyle w:val="19"/>
        <w:spacing w:line="440" w:lineRule="exact"/>
        <w:ind w:firstLine="359" w:firstLineChars="171"/>
        <w:rPr>
          <w:rFonts w:hAnsi="宋体"/>
        </w:rPr>
      </w:pPr>
      <w:r>
        <w:rPr>
          <w:rFonts w:hAnsi="宋体"/>
        </w:rPr>
        <w:t>5.</w:t>
      </w:r>
      <w:r>
        <w:rPr>
          <w:rFonts w:hint="eastAsia" w:hAnsi="宋体"/>
        </w:rPr>
        <w:t>2.</w:t>
      </w:r>
      <w:r>
        <w:rPr>
          <w:rFonts w:hAnsi="宋体"/>
        </w:rPr>
        <w:t xml:space="preserve">3  </w:t>
      </w:r>
      <w:r>
        <w:rPr>
          <w:rFonts w:hint="eastAsia" w:hAnsi="宋体"/>
        </w:rPr>
        <w:t>投诉人可以委托代理人办理投诉事务。代理人办理投诉事务时，除提交投诉书外，还应当提交投诉人的授权委托书，授权委托书应当载明委托代理的具体权限和事项。</w:t>
      </w:r>
    </w:p>
    <w:p>
      <w:pPr>
        <w:pStyle w:val="19"/>
        <w:spacing w:line="440" w:lineRule="exact"/>
        <w:ind w:firstLine="359" w:firstLineChars="171"/>
        <w:rPr>
          <w:rFonts w:hAnsi="宋体"/>
        </w:rPr>
      </w:pPr>
      <w:r>
        <w:rPr>
          <w:rFonts w:hAnsi="宋体"/>
        </w:rPr>
        <w:t>5.</w:t>
      </w:r>
      <w:r>
        <w:rPr>
          <w:rFonts w:hint="eastAsia" w:hAnsi="宋体"/>
        </w:rPr>
        <w:t>2.</w:t>
      </w:r>
      <w:r>
        <w:rPr>
          <w:rFonts w:hAnsi="宋体"/>
        </w:rPr>
        <w:t xml:space="preserve">4  </w:t>
      </w:r>
      <w:r>
        <w:rPr>
          <w:rFonts w:hint="eastAsia" w:hAnsi="宋体"/>
        </w:rPr>
        <w:t>投诉人提起投诉应当符合下列条件：</w:t>
      </w:r>
    </w:p>
    <w:p>
      <w:pPr>
        <w:spacing w:line="440" w:lineRule="exact"/>
        <w:ind w:firstLine="720"/>
        <w:rPr>
          <w:rFonts w:ascii="宋体" w:hAnsi="宋体"/>
        </w:rPr>
      </w:pPr>
      <w:r>
        <w:rPr>
          <w:rFonts w:hint="eastAsia" w:ascii="宋体" w:hAnsi="宋体"/>
        </w:rPr>
        <w:t>（</w:t>
      </w:r>
      <w:r>
        <w:rPr>
          <w:rFonts w:ascii="宋体" w:hAnsi="宋体"/>
        </w:rPr>
        <w:t>1</w:t>
      </w:r>
      <w:r>
        <w:rPr>
          <w:rFonts w:hint="eastAsia" w:ascii="宋体" w:hAnsi="宋体"/>
        </w:rPr>
        <w:t>）投诉人是参与所投诉政府采购活动的供应商；</w:t>
      </w:r>
    </w:p>
    <w:p>
      <w:pPr>
        <w:spacing w:line="440" w:lineRule="exact"/>
        <w:ind w:firstLine="720"/>
        <w:rPr>
          <w:rFonts w:ascii="宋体" w:hAnsi="宋体"/>
        </w:rPr>
      </w:pPr>
      <w:r>
        <w:rPr>
          <w:rFonts w:hint="eastAsia" w:ascii="宋体" w:hAnsi="宋体"/>
        </w:rPr>
        <w:t>（</w:t>
      </w:r>
      <w:r>
        <w:rPr>
          <w:rFonts w:ascii="宋体" w:hAnsi="宋体"/>
        </w:rPr>
        <w:t>2</w:t>
      </w:r>
      <w:r>
        <w:rPr>
          <w:rFonts w:hint="eastAsia" w:ascii="宋体" w:hAnsi="宋体"/>
        </w:rPr>
        <w:t>）提起投诉前已依法进行质疑；</w:t>
      </w:r>
    </w:p>
    <w:p>
      <w:pPr>
        <w:spacing w:line="440" w:lineRule="exact"/>
        <w:ind w:firstLine="720"/>
        <w:rPr>
          <w:rFonts w:ascii="宋体" w:hAnsi="宋体"/>
        </w:rPr>
      </w:pPr>
      <w:r>
        <w:rPr>
          <w:rFonts w:hint="eastAsia" w:ascii="宋体" w:hAnsi="宋体"/>
        </w:rPr>
        <w:t>（</w:t>
      </w:r>
      <w:r>
        <w:rPr>
          <w:rFonts w:ascii="宋体" w:hAnsi="宋体"/>
        </w:rPr>
        <w:t>3</w:t>
      </w:r>
      <w:r>
        <w:rPr>
          <w:rFonts w:hint="eastAsia" w:ascii="宋体" w:hAnsi="宋体"/>
        </w:rPr>
        <w:t>）投诉书内容符合本章第</w:t>
      </w:r>
      <w:r>
        <w:rPr>
          <w:rFonts w:ascii="宋体" w:hAnsi="宋体"/>
        </w:rPr>
        <w:t>5.2</w:t>
      </w:r>
      <w:r>
        <w:rPr>
          <w:rFonts w:hint="eastAsia" w:ascii="宋体" w:hAnsi="宋体"/>
        </w:rPr>
        <w:t>项的规定；</w:t>
      </w:r>
    </w:p>
    <w:p>
      <w:pPr>
        <w:spacing w:line="440" w:lineRule="exact"/>
        <w:ind w:firstLine="720"/>
        <w:rPr>
          <w:rFonts w:ascii="宋体" w:hAnsi="宋体"/>
        </w:rPr>
      </w:pPr>
      <w:r>
        <w:rPr>
          <w:rFonts w:hint="eastAsia" w:ascii="宋体" w:hAnsi="宋体"/>
        </w:rPr>
        <w:t>（</w:t>
      </w:r>
      <w:r>
        <w:rPr>
          <w:rFonts w:ascii="宋体" w:hAnsi="宋体"/>
        </w:rPr>
        <w:t>4</w:t>
      </w:r>
      <w:r>
        <w:rPr>
          <w:rFonts w:hint="eastAsia" w:ascii="宋体" w:hAnsi="宋体"/>
        </w:rPr>
        <w:t>）在投诉有效期限内提起投诉；</w:t>
      </w:r>
    </w:p>
    <w:p>
      <w:pPr>
        <w:spacing w:line="440" w:lineRule="exact"/>
        <w:ind w:firstLine="720"/>
        <w:rPr>
          <w:rFonts w:ascii="宋体" w:hAnsi="宋体"/>
        </w:rPr>
      </w:pPr>
      <w:r>
        <w:rPr>
          <w:rFonts w:hint="eastAsia" w:ascii="宋体" w:hAnsi="宋体"/>
        </w:rPr>
        <w:t>（</w:t>
      </w:r>
      <w:r>
        <w:rPr>
          <w:rFonts w:ascii="宋体" w:hAnsi="宋体"/>
        </w:rPr>
        <w:t>5</w:t>
      </w:r>
      <w:r>
        <w:rPr>
          <w:rFonts w:hint="eastAsia" w:ascii="宋体" w:hAnsi="宋体"/>
        </w:rPr>
        <w:t>）属于</w:t>
      </w:r>
      <w:r>
        <w:rPr>
          <w:rFonts w:hint="eastAsia" w:ascii="宋体" w:hAnsi="宋体" w:eastAsia="宋体" w:cs="Times New Roman"/>
          <w:b w:val="0"/>
          <w:bCs/>
          <w:spacing w:val="0"/>
          <w:kern w:val="2"/>
          <w:sz w:val="21"/>
          <w:szCs w:val="24"/>
          <w:lang w:val="en-US" w:eastAsia="zh-CN" w:bidi="ar-SA"/>
        </w:rPr>
        <w:t>龙州县财政局政府采购监督股</w:t>
      </w:r>
      <w:r>
        <w:rPr>
          <w:rFonts w:hint="eastAsia" w:ascii="宋体" w:hAnsi="宋体"/>
        </w:rPr>
        <w:t>管理部门管辖；</w:t>
      </w:r>
    </w:p>
    <w:p>
      <w:pPr>
        <w:spacing w:line="440" w:lineRule="exact"/>
        <w:ind w:firstLine="720"/>
        <w:rPr>
          <w:rFonts w:ascii="宋体" w:hAnsi="宋体"/>
        </w:rPr>
      </w:pPr>
      <w:r>
        <w:rPr>
          <w:rFonts w:hint="eastAsia" w:ascii="宋体" w:hAnsi="宋体"/>
        </w:rPr>
        <w:t>（</w:t>
      </w:r>
      <w:r>
        <w:rPr>
          <w:rFonts w:ascii="宋体" w:hAnsi="宋体"/>
        </w:rPr>
        <w:t>6</w:t>
      </w:r>
      <w:r>
        <w:rPr>
          <w:rFonts w:hint="eastAsia" w:ascii="宋体" w:hAnsi="宋体"/>
        </w:rPr>
        <w:t>）同一投诉事</w:t>
      </w:r>
      <w:r>
        <w:rPr>
          <w:rFonts w:hint="eastAsia" w:ascii="宋体" w:hAnsi="宋体" w:eastAsia="宋体" w:cs="Times New Roman"/>
          <w:b w:val="0"/>
          <w:bCs/>
          <w:spacing w:val="0"/>
          <w:kern w:val="2"/>
          <w:sz w:val="21"/>
          <w:szCs w:val="24"/>
          <w:lang w:val="en-US" w:eastAsia="zh-CN" w:bidi="ar-SA"/>
        </w:rPr>
        <w:t>项未经龙州县财政局政府采购监督股管理部门投诉处理</w:t>
      </w:r>
      <w:r>
        <w:rPr>
          <w:rFonts w:hint="eastAsia" w:ascii="宋体" w:hAnsi="宋体"/>
        </w:rPr>
        <w:t>；</w:t>
      </w:r>
    </w:p>
    <w:p>
      <w:pPr>
        <w:spacing w:line="440" w:lineRule="exact"/>
        <w:ind w:firstLine="720"/>
        <w:rPr>
          <w:rFonts w:ascii="宋体" w:hAnsi="宋体"/>
        </w:rPr>
      </w:pPr>
      <w:r>
        <w:rPr>
          <w:rFonts w:hint="eastAsia" w:ascii="宋体" w:hAnsi="宋体"/>
        </w:rPr>
        <w:t>（</w:t>
      </w:r>
      <w:r>
        <w:rPr>
          <w:rFonts w:ascii="宋体" w:hAnsi="宋体"/>
        </w:rPr>
        <w:t>7</w:t>
      </w:r>
      <w:r>
        <w:rPr>
          <w:rFonts w:hint="eastAsia" w:ascii="宋体" w:hAnsi="宋体"/>
        </w:rPr>
        <w:t>）国务院财政部门规定的其他条件。</w:t>
      </w:r>
    </w:p>
    <w:p>
      <w:pPr>
        <w:pStyle w:val="2"/>
        <w:spacing w:before="151" w:line="360" w:lineRule="auto"/>
        <w:ind w:firstLine="210" w:firstLineChars="100"/>
        <w:rPr>
          <w:rFonts w:hint="eastAsia"/>
          <w:lang w:val="en-US" w:eastAsia="zh-CN"/>
        </w:rPr>
      </w:pPr>
      <w:r>
        <w:rPr>
          <w:rFonts w:hint="eastAsia" w:ascii="宋体" w:hAnsi="宋体" w:eastAsia="宋体" w:cs="Times New Roman"/>
          <w:b w:val="0"/>
          <w:bCs/>
          <w:spacing w:val="0"/>
          <w:kern w:val="2"/>
          <w:sz w:val="21"/>
          <w:szCs w:val="24"/>
          <w:lang w:val="en-US" w:eastAsia="zh-CN" w:bidi="ar-SA"/>
        </w:rPr>
        <w:t xml:space="preserve"> </w:t>
      </w:r>
      <w:r>
        <w:rPr>
          <w:rFonts w:ascii="宋体" w:hAnsi="宋体"/>
          <w:b w:val="0"/>
          <w:bCs/>
          <w:sz w:val="21"/>
          <w:szCs w:val="21"/>
        </w:rPr>
        <w:t>5.</w:t>
      </w:r>
      <w:r>
        <w:rPr>
          <w:rFonts w:hint="eastAsia" w:ascii="宋体" w:hAnsi="宋体"/>
          <w:b w:val="0"/>
          <w:bCs/>
          <w:sz w:val="21"/>
          <w:szCs w:val="21"/>
        </w:rPr>
        <w:t>2.</w:t>
      </w:r>
      <w:r>
        <w:rPr>
          <w:rFonts w:ascii="宋体" w:hAnsi="宋体"/>
          <w:b w:val="0"/>
          <w:bCs/>
          <w:sz w:val="21"/>
          <w:szCs w:val="21"/>
        </w:rPr>
        <w:t>5</w:t>
      </w:r>
      <w:r>
        <w:rPr>
          <w:rFonts w:hint="eastAsia" w:ascii="宋体" w:hAnsi="宋体" w:eastAsia="宋体"/>
          <w:sz w:val="21"/>
          <w:szCs w:val="21"/>
          <w:lang w:val="en-US" w:eastAsia="zh-CN"/>
        </w:rPr>
        <w:t xml:space="preserve">  </w:t>
      </w:r>
      <w:r>
        <w:rPr>
          <w:rFonts w:hint="eastAsia" w:ascii="宋体" w:hAnsi="宋体" w:eastAsia="宋体" w:cs="Times New Roman"/>
          <w:b w:val="0"/>
          <w:bCs/>
          <w:spacing w:val="0"/>
          <w:kern w:val="2"/>
          <w:sz w:val="21"/>
          <w:szCs w:val="24"/>
          <w:lang w:val="en-US" w:eastAsia="zh-CN" w:bidi="ar-SA"/>
        </w:rPr>
        <w:t>龙州县财政局政府采购监督股管理部门自受理投诉之日起三十个工作日内，对投诉事项作出处理决定，并以书面形式通知投诉人、被投诉人及其他与投诉处理结果有利害关系的政府采购当事人。</w:t>
      </w:r>
    </w:p>
    <w:p>
      <w:pPr>
        <w:spacing w:line="440" w:lineRule="exact"/>
        <w:ind w:firstLine="360"/>
        <w:rPr>
          <w:rFonts w:ascii="宋体" w:hAnsi="宋体"/>
          <w:bCs/>
        </w:rPr>
      </w:pPr>
      <w:r>
        <w:rPr>
          <w:rFonts w:hint="eastAsia" w:ascii="宋体" w:hAnsi="宋体" w:eastAsia="宋体" w:cs="Times New Roman"/>
          <w:b w:val="0"/>
          <w:bCs/>
          <w:spacing w:val="0"/>
          <w:kern w:val="2"/>
          <w:sz w:val="21"/>
          <w:szCs w:val="24"/>
          <w:lang w:val="en-US" w:eastAsia="zh-CN" w:bidi="ar-SA"/>
        </w:rPr>
        <w:t>5.2.6  龙州县财政局政府采购监督股</w:t>
      </w:r>
      <w:r>
        <w:rPr>
          <w:rFonts w:hint="eastAsia" w:ascii="宋体" w:hAnsi="宋体"/>
        </w:rPr>
        <w:t>管理</w:t>
      </w:r>
      <w:r>
        <w:rPr>
          <w:rFonts w:hint="eastAsia" w:ascii="宋体" w:hAnsi="宋体" w:eastAsia="宋体" w:cs="Times New Roman"/>
          <w:b w:val="0"/>
          <w:bCs/>
          <w:spacing w:val="0"/>
          <w:kern w:val="2"/>
          <w:sz w:val="21"/>
          <w:szCs w:val="24"/>
          <w:lang w:val="en-US" w:eastAsia="zh-CN" w:bidi="ar-SA"/>
        </w:rPr>
        <w:t>部门在处理投诉事项期间，可以</w:t>
      </w:r>
      <w:r>
        <w:rPr>
          <w:rFonts w:hint="eastAsia" w:ascii="宋体" w:hAnsi="宋体"/>
        </w:rPr>
        <w:t>视具体情况暂停采购活动。</w:t>
      </w:r>
    </w:p>
    <w:p>
      <w:pPr>
        <w:pStyle w:val="19"/>
        <w:spacing w:line="440" w:lineRule="exact"/>
        <w:jc w:val="center"/>
        <w:outlineLvl w:val="1"/>
        <w:rPr>
          <w:rFonts w:hAnsi="宋体"/>
          <w:b/>
          <w:sz w:val="30"/>
          <w:szCs w:val="30"/>
        </w:rPr>
      </w:pPr>
      <w:bookmarkStart w:id="37" w:name="_Toc401396876"/>
      <w:bookmarkStart w:id="38" w:name="_Toc213326417"/>
    </w:p>
    <w:p>
      <w:pPr>
        <w:pStyle w:val="4"/>
        <w:rPr>
          <w:rFonts w:ascii="宋体" w:hAnsi="宋体"/>
        </w:rPr>
      </w:pPr>
      <w:bookmarkStart w:id="39" w:name="_Toc57749781"/>
      <w:r>
        <w:rPr>
          <w:rFonts w:hint="eastAsia" w:ascii="宋体" w:hAnsi="宋体"/>
        </w:rPr>
        <w:t>二公开招标文件</w:t>
      </w:r>
      <w:bookmarkEnd w:id="37"/>
      <w:bookmarkEnd w:id="38"/>
      <w:bookmarkEnd w:id="39"/>
    </w:p>
    <w:p>
      <w:pPr>
        <w:pStyle w:val="19"/>
        <w:spacing w:line="440" w:lineRule="exact"/>
        <w:rPr>
          <w:rFonts w:hAnsi="宋体"/>
          <w:bCs/>
        </w:rPr>
      </w:pPr>
      <w:r>
        <w:rPr>
          <w:rFonts w:hAnsi="宋体"/>
          <w:bCs/>
          <w:sz w:val="24"/>
        </w:rPr>
        <w:t xml:space="preserve">6.  </w:t>
      </w:r>
      <w:r>
        <w:rPr>
          <w:rFonts w:hint="eastAsia" w:hAnsi="宋体"/>
          <w:bCs/>
          <w:sz w:val="24"/>
        </w:rPr>
        <w:t>公开招标文件的组成</w:t>
      </w:r>
    </w:p>
    <w:p>
      <w:pPr>
        <w:pStyle w:val="19"/>
        <w:spacing w:line="440" w:lineRule="exact"/>
        <w:ind w:firstLine="359" w:firstLineChars="171"/>
        <w:rPr>
          <w:rFonts w:hAnsi="宋体"/>
        </w:rPr>
      </w:pPr>
      <w:r>
        <w:rPr>
          <w:rFonts w:hAnsi="宋体"/>
        </w:rPr>
        <w:t xml:space="preserve">6.1  </w:t>
      </w:r>
      <w:r>
        <w:rPr>
          <w:rFonts w:hint="eastAsia" w:hAnsi="宋体"/>
        </w:rPr>
        <w:t>本</w:t>
      </w:r>
      <w:r>
        <w:rPr>
          <w:rFonts w:hint="eastAsia" w:hAnsi="宋体"/>
          <w:bCs/>
        </w:rPr>
        <w:t>公开招标</w:t>
      </w:r>
      <w:r>
        <w:rPr>
          <w:rFonts w:hint="eastAsia" w:hAnsi="宋体"/>
        </w:rPr>
        <w:t>文件包括六个章节，各章的内容如下：</w:t>
      </w:r>
    </w:p>
    <w:p>
      <w:pPr>
        <w:pStyle w:val="19"/>
        <w:spacing w:line="440" w:lineRule="exact"/>
        <w:ind w:firstLine="718" w:firstLineChars="342"/>
        <w:rPr>
          <w:rFonts w:hAnsi="宋体"/>
        </w:rPr>
      </w:pPr>
      <w:r>
        <w:rPr>
          <w:rFonts w:hint="eastAsia" w:hAnsi="宋体"/>
        </w:rPr>
        <w:t>第一章公告</w:t>
      </w:r>
    </w:p>
    <w:p>
      <w:pPr>
        <w:pStyle w:val="19"/>
        <w:spacing w:line="440" w:lineRule="exact"/>
        <w:ind w:firstLine="718" w:firstLineChars="342"/>
        <w:rPr>
          <w:rFonts w:hAnsi="宋体"/>
        </w:rPr>
      </w:pPr>
      <w:r>
        <w:rPr>
          <w:rFonts w:hint="eastAsia" w:hAnsi="宋体"/>
        </w:rPr>
        <w:t>第二章</w:t>
      </w:r>
      <w:r>
        <w:rPr>
          <w:rFonts w:hAnsi="宋体"/>
        </w:rPr>
        <w:t>采购需求一览表</w:t>
      </w:r>
    </w:p>
    <w:p>
      <w:pPr>
        <w:pStyle w:val="19"/>
        <w:spacing w:line="440" w:lineRule="exact"/>
        <w:ind w:firstLine="718" w:firstLineChars="342"/>
        <w:rPr>
          <w:rFonts w:hAnsi="宋体"/>
        </w:rPr>
      </w:pPr>
      <w:r>
        <w:rPr>
          <w:rFonts w:hint="eastAsia" w:hAnsi="宋体"/>
        </w:rPr>
        <w:t>第三章评标方法</w:t>
      </w:r>
    </w:p>
    <w:p>
      <w:pPr>
        <w:pStyle w:val="19"/>
        <w:spacing w:line="440" w:lineRule="exact"/>
        <w:ind w:firstLine="718" w:firstLineChars="342"/>
        <w:rPr>
          <w:rFonts w:hAnsi="宋体"/>
        </w:rPr>
      </w:pPr>
      <w:r>
        <w:rPr>
          <w:rFonts w:hint="eastAsia" w:hAnsi="宋体"/>
        </w:rPr>
        <w:t>第四章投标人须知</w:t>
      </w:r>
    </w:p>
    <w:p>
      <w:pPr>
        <w:pStyle w:val="19"/>
        <w:spacing w:line="440" w:lineRule="exact"/>
        <w:ind w:firstLine="718" w:firstLineChars="342"/>
        <w:rPr>
          <w:rFonts w:hAnsi="宋体"/>
        </w:rPr>
      </w:pPr>
      <w:r>
        <w:rPr>
          <w:rFonts w:hint="eastAsia" w:hAnsi="宋体"/>
        </w:rPr>
        <w:t>第五章投标文件格式</w:t>
      </w:r>
    </w:p>
    <w:p>
      <w:pPr>
        <w:pStyle w:val="19"/>
        <w:spacing w:line="440" w:lineRule="exact"/>
        <w:ind w:firstLine="718" w:firstLineChars="342"/>
        <w:rPr>
          <w:rFonts w:hAnsi="宋体"/>
        </w:rPr>
      </w:pPr>
      <w:r>
        <w:rPr>
          <w:rFonts w:hint="eastAsia" w:hAnsi="宋体"/>
        </w:rPr>
        <w:t>第六章合同条款及格式</w:t>
      </w:r>
    </w:p>
    <w:p>
      <w:pPr>
        <w:pStyle w:val="19"/>
        <w:spacing w:line="440" w:lineRule="exact"/>
        <w:ind w:firstLine="359" w:firstLineChars="171"/>
        <w:rPr>
          <w:rFonts w:hAnsi="宋体"/>
        </w:rPr>
      </w:pPr>
      <w:r>
        <w:rPr>
          <w:rFonts w:hAnsi="宋体"/>
        </w:rPr>
        <w:t>6.2</w:t>
      </w:r>
      <w:r>
        <w:rPr>
          <w:rFonts w:hint="eastAsia" w:hAnsi="宋体"/>
        </w:rPr>
        <w:t>根据本章第</w:t>
      </w:r>
      <w:r>
        <w:rPr>
          <w:rFonts w:hAnsi="宋体"/>
        </w:rPr>
        <w:t>7.1</w:t>
      </w:r>
      <w:r>
        <w:rPr>
          <w:rFonts w:hint="eastAsia" w:hAnsi="宋体"/>
        </w:rPr>
        <w:t>项的规定对公开招标文件所做的澄清、修改，构成招标文件的组成部分。当公开招标文件与招标文件的澄清和修改就同一内容的表述不一致时，以最后发出的书面文件为准。</w:t>
      </w:r>
    </w:p>
    <w:p>
      <w:pPr>
        <w:pStyle w:val="19"/>
        <w:spacing w:line="440" w:lineRule="exact"/>
        <w:rPr>
          <w:rFonts w:hAnsi="宋体"/>
          <w:bCs/>
          <w:sz w:val="24"/>
        </w:rPr>
      </w:pPr>
      <w:r>
        <w:rPr>
          <w:rFonts w:hAnsi="宋体"/>
          <w:bCs/>
          <w:sz w:val="24"/>
        </w:rPr>
        <w:t xml:space="preserve">7.  </w:t>
      </w:r>
      <w:r>
        <w:rPr>
          <w:rFonts w:hint="eastAsia" w:hAnsi="宋体"/>
          <w:bCs/>
          <w:sz w:val="24"/>
        </w:rPr>
        <w:t>招标文件的澄清和修改</w:t>
      </w:r>
    </w:p>
    <w:p>
      <w:pPr>
        <w:pStyle w:val="19"/>
        <w:spacing w:after="165" w:line="440" w:lineRule="exact"/>
        <w:ind w:left="2" w:firstLine="480"/>
        <w:rPr>
          <w:rFonts w:hAnsi="宋体"/>
        </w:rPr>
      </w:pPr>
      <w:r>
        <w:rPr>
          <w:rFonts w:hAnsi="宋体"/>
        </w:rPr>
        <w:t xml:space="preserve">7.1  </w:t>
      </w:r>
      <w:r>
        <w:rPr>
          <w:rFonts w:hint="eastAsia" w:hAnsi="宋体"/>
        </w:rPr>
        <w:t>投标人应认真审阅本公开招标文件，如有疑问，或发现其中有误或有要求不合理的，应在投标人须知前附表规定的</w:t>
      </w:r>
      <w:r>
        <w:rPr>
          <w:rFonts w:hint="eastAsia" w:hAnsi="宋体" w:cs="宋体"/>
          <w:kern w:val="0"/>
          <w:szCs w:val="21"/>
        </w:rPr>
        <w:t>投标人要求澄清的截止时间</w:t>
      </w:r>
      <w:r>
        <w:rPr>
          <w:rFonts w:hint="eastAsia" w:hAnsi="宋体"/>
        </w:rPr>
        <w:t>前以书面形式要求采购人或采购代理机构对招标文件予以澄清；否则，由此产生的后果由投标人自行负责。</w:t>
      </w:r>
    </w:p>
    <w:p>
      <w:pPr>
        <w:pStyle w:val="19"/>
        <w:spacing w:line="440" w:lineRule="exact"/>
        <w:ind w:left="2" w:firstLine="360"/>
        <w:rPr>
          <w:rFonts w:hAnsi="宋体"/>
        </w:rPr>
      </w:pPr>
      <w:r>
        <w:rPr>
          <w:rFonts w:hAnsi="宋体"/>
        </w:rPr>
        <w:t xml:space="preserve">7.2  </w:t>
      </w:r>
      <w:r>
        <w:rPr>
          <w:rFonts w:hint="eastAsia" w:hAnsi="宋体"/>
        </w:rPr>
        <w:t>采购人或采购代理机构必须在投标截止时间十五日前，以书面形式答复投标人要求澄清的问题，并将不包含问题来源的澄清通知所有招标文件收受人，除书面澄清以外的其他澄清方式及澄清内容均无效；</w:t>
      </w:r>
      <w:r>
        <w:rPr>
          <w:rFonts w:hint="eastAsia" w:hAnsi="宋体" w:cs="宋体"/>
          <w:kern w:val="0"/>
          <w:szCs w:val="21"/>
        </w:rPr>
        <w:t>同时，采购代理机构</w:t>
      </w:r>
      <w:r>
        <w:rPr>
          <w:rFonts w:hint="eastAsia" w:hAnsi="宋体"/>
        </w:rPr>
        <w:t>在</w:t>
      </w:r>
      <w:r>
        <w:rPr>
          <w:rFonts w:hint="eastAsia" w:hAnsi="宋体" w:cs="宋体"/>
          <w:kern w:val="0"/>
          <w:szCs w:val="21"/>
        </w:rPr>
        <w:t>本章第</w:t>
      </w:r>
      <w:r>
        <w:rPr>
          <w:rFonts w:hAnsi="宋体" w:cs="宋体"/>
          <w:kern w:val="0"/>
          <w:szCs w:val="21"/>
        </w:rPr>
        <w:t>2.1</w:t>
      </w:r>
      <w:r>
        <w:rPr>
          <w:rFonts w:hint="eastAsia" w:hAnsi="宋体" w:cs="宋体"/>
          <w:kern w:val="0"/>
          <w:szCs w:val="21"/>
        </w:rPr>
        <w:t>项规定的政府采购信息发布媒体上</w:t>
      </w:r>
      <w:r>
        <w:rPr>
          <w:rFonts w:hint="eastAsia" w:hAnsi="宋体"/>
        </w:rPr>
        <w:t>发布更正公告。如果澄清发出的时间距投标截止时间不足十五日，则相应延长投标截止时间。</w:t>
      </w:r>
    </w:p>
    <w:p>
      <w:pPr>
        <w:pStyle w:val="19"/>
        <w:spacing w:after="165" w:line="440" w:lineRule="exact"/>
        <w:ind w:left="2" w:firstLine="480"/>
        <w:rPr>
          <w:rFonts w:hAnsi="宋体"/>
        </w:rPr>
      </w:pPr>
      <w:r>
        <w:rPr>
          <w:rFonts w:hAnsi="宋体"/>
        </w:rPr>
        <w:t xml:space="preserve">7.3  </w:t>
      </w:r>
      <w:r>
        <w:rPr>
          <w:rFonts w:hint="eastAsia" w:hAnsi="宋体"/>
        </w:rPr>
        <w:t>采购人或采购代理机构对已发出的招标文件进行必要修改的，应在投标截止时间十五日前，以书面形式通知所有招标文件收受人；同时，采购代理机构在</w:t>
      </w:r>
      <w:r>
        <w:rPr>
          <w:rFonts w:hint="eastAsia" w:hAnsi="宋体" w:cs="宋体"/>
          <w:kern w:val="0"/>
          <w:szCs w:val="21"/>
        </w:rPr>
        <w:t>本章第</w:t>
      </w:r>
      <w:r>
        <w:rPr>
          <w:rFonts w:hAnsi="宋体" w:cs="宋体"/>
          <w:kern w:val="0"/>
          <w:szCs w:val="21"/>
        </w:rPr>
        <w:t>2.1</w:t>
      </w:r>
      <w:r>
        <w:rPr>
          <w:rFonts w:hint="eastAsia" w:hAnsi="宋体" w:cs="宋体"/>
          <w:kern w:val="0"/>
          <w:szCs w:val="21"/>
        </w:rPr>
        <w:t>项规定的政府采购信息发布媒体上</w:t>
      </w:r>
      <w:r>
        <w:rPr>
          <w:rFonts w:hint="eastAsia" w:hAnsi="宋体"/>
        </w:rPr>
        <w:t>发布更正公告。如果修改招标文件的时间距投标截止时间不足十五日，则相应延长投标截止时间。</w:t>
      </w:r>
    </w:p>
    <w:p>
      <w:pPr>
        <w:pStyle w:val="19"/>
        <w:spacing w:line="440" w:lineRule="exact"/>
        <w:ind w:left="2" w:firstLine="360"/>
        <w:rPr>
          <w:rFonts w:hAnsi="宋体"/>
        </w:rPr>
      </w:pPr>
      <w:r>
        <w:rPr>
          <w:rFonts w:hAnsi="宋体"/>
        </w:rPr>
        <w:t xml:space="preserve">7.4  </w:t>
      </w:r>
      <w:r>
        <w:rPr>
          <w:rFonts w:hint="eastAsia" w:hAnsi="宋体"/>
        </w:rPr>
        <w:t>采购人和采购代理机构可以视采购具体情况，延长投标截止时间和开标时间，但至少应当在投标截止时间三日前，将变更时间书面通知所有招标文件收受人。</w:t>
      </w:r>
      <w:r>
        <w:rPr>
          <w:rFonts w:hint="eastAsia" w:hAnsi="宋体" w:cs="宋体"/>
          <w:kern w:val="0"/>
          <w:szCs w:val="21"/>
        </w:rPr>
        <w:t>同时，采购代理机构</w:t>
      </w:r>
      <w:r>
        <w:rPr>
          <w:rFonts w:hint="eastAsia" w:hAnsi="宋体"/>
        </w:rPr>
        <w:t>在</w:t>
      </w:r>
      <w:r>
        <w:rPr>
          <w:rFonts w:hint="eastAsia" w:hAnsi="宋体" w:cs="宋体"/>
          <w:kern w:val="0"/>
          <w:szCs w:val="21"/>
        </w:rPr>
        <w:t>本章第</w:t>
      </w:r>
      <w:r>
        <w:rPr>
          <w:rFonts w:hAnsi="宋体" w:cs="宋体"/>
          <w:kern w:val="0"/>
          <w:szCs w:val="21"/>
        </w:rPr>
        <w:t>2.1</w:t>
      </w:r>
      <w:r>
        <w:rPr>
          <w:rFonts w:hint="eastAsia" w:hAnsi="宋体" w:cs="宋体"/>
          <w:kern w:val="0"/>
          <w:szCs w:val="21"/>
        </w:rPr>
        <w:t>项规定的政府采购信息发布媒体上</w:t>
      </w:r>
      <w:r>
        <w:rPr>
          <w:rFonts w:hint="eastAsia" w:hAnsi="宋体"/>
        </w:rPr>
        <w:t>发布变更公告。</w:t>
      </w:r>
    </w:p>
    <w:p>
      <w:pPr>
        <w:pStyle w:val="19"/>
        <w:spacing w:line="440" w:lineRule="exact"/>
        <w:ind w:left="2" w:firstLine="360"/>
        <w:rPr>
          <w:rFonts w:hAnsi="宋体"/>
          <w:b/>
          <w:bCs/>
        </w:rPr>
      </w:pPr>
    </w:p>
    <w:p>
      <w:pPr>
        <w:pStyle w:val="4"/>
        <w:rPr>
          <w:rFonts w:ascii="宋体" w:hAnsi="宋体"/>
        </w:rPr>
      </w:pPr>
      <w:bookmarkStart w:id="40" w:name="_Toc57749782"/>
      <w:bookmarkStart w:id="41" w:name="_Toc401396877"/>
      <w:bookmarkStart w:id="42" w:name="_Toc213326418"/>
      <w:r>
        <w:rPr>
          <w:rFonts w:hint="eastAsia" w:ascii="宋体" w:hAnsi="宋体"/>
        </w:rPr>
        <w:t>三投标文件</w:t>
      </w:r>
      <w:bookmarkEnd w:id="40"/>
      <w:bookmarkEnd w:id="41"/>
      <w:bookmarkEnd w:id="42"/>
    </w:p>
    <w:p>
      <w:pPr>
        <w:pStyle w:val="19"/>
        <w:spacing w:line="440" w:lineRule="exact"/>
        <w:rPr>
          <w:rFonts w:hAnsi="宋体"/>
          <w:bCs/>
          <w:sz w:val="24"/>
        </w:rPr>
      </w:pPr>
      <w:r>
        <w:rPr>
          <w:rFonts w:hAnsi="宋体"/>
          <w:bCs/>
          <w:sz w:val="24"/>
        </w:rPr>
        <w:t xml:space="preserve">8.  </w:t>
      </w:r>
      <w:r>
        <w:rPr>
          <w:rFonts w:hint="eastAsia" w:hAnsi="宋体"/>
          <w:bCs/>
          <w:sz w:val="24"/>
        </w:rPr>
        <w:t>投标文件的编制</w:t>
      </w:r>
    </w:p>
    <w:p>
      <w:pPr>
        <w:pStyle w:val="19"/>
        <w:spacing w:line="440" w:lineRule="exact"/>
        <w:ind w:left="2" w:firstLine="360"/>
        <w:rPr>
          <w:rFonts w:hAnsi="宋体"/>
        </w:rPr>
      </w:pPr>
      <w:r>
        <w:rPr>
          <w:rFonts w:hAnsi="宋体"/>
        </w:rPr>
        <w:t xml:space="preserve">8.1  </w:t>
      </w:r>
      <w:r>
        <w:rPr>
          <w:rFonts w:hint="eastAsia" w:hAnsi="宋体"/>
        </w:rPr>
        <w:t>投标人应仔细阅读招标文件，在充分了解招标的内容、技术参数要求和商务条款以及实质性要求和条件后，编写投标文件。</w:t>
      </w:r>
    </w:p>
    <w:p>
      <w:pPr>
        <w:pStyle w:val="19"/>
        <w:spacing w:line="440" w:lineRule="exact"/>
        <w:ind w:left="2" w:firstLine="360"/>
        <w:rPr>
          <w:rFonts w:hAnsi="宋体"/>
        </w:rPr>
      </w:pPr>
      <w:r>
        <w:rPr>
          <w:rFonts w:hAnsi="宋体"/>
        </w:rPr>
        <w:t xml:space="preserve">8.2  </w:t>
      </w:r>
      <w:r>
        <w:rPr>
          <w:rFonts w:hint="eastAsia" w:hAnsi="宋体"/>
        </w:rPr>
        <w:t>对招标文件的实质性要求和条件作出响应是指投标人必须对招标文件中标注为实质性要求和条件的技术参数要求、商务条款及其它内容</w:t>
      </w:r>
      <w:r>
        <w:rPr>
          <w:rFonts w:hint="eastAsia" w:hAnsi="宋体"/>
          <w:b/>
        </w:rPr>
        <w:t>作出满足或者优于原要求和条件的承诺</w:t>
      </w:r>
      <w:r>
        <w:rPr>
          <w:rFonts w:hint="eastAsia" w:hAnsi="宋体"/>
        </w:rPr>
        <w:t>。</w:t>
      </w:r>
    </w:p>
    <w:p>
      <w:pPr>
        <w:pStyle w:val="19"/>
        <w:spacing w:line="440" w:lineRule="exact"/>
        <w:ind w:left="2" w:firstLine="360"/>
        <w:rPr>
          <w:rFonts w:hAnsi="宋体"/>
          <w:color w:val="auto"/>
        </w:rPr>
      </w:pPr>
      <w:r>
        <w:rPr>
          <w:rFonts w:hAnsi="宋体"/>
        </w:rPr>
        <w:t>8.3</w:t>
      </w:r>
      <w:r>
        <w:rPr>
          <w:rFonts w:hAnsi="宋体"/>
          <w:color w:val="auto"/>
        </w:rPr>
        <w:t xml:space="preserve">  </w:t>
      </w:r>
      <w:r>
        <w:rPr>
          <w:rFonts w:hint="eastAsia" w:hAnsi="宋体"/>
          <w:color w:val="auto"/>
        </w:rPr>
        <w:t>招标文件中标注★号的内容为实质性要求和条件。未标注★号的内容在评标时不得作为判定投标无效的依据。</w:t>
      </w:r>
    </w:p>
    <w:p>
      <w:pPr>
        <w:pStyle w:val="19"/>
        <w:spacing w:line="440" w:lineRule="exact"/>
        <w:ind w:left="2" w:firstLine="360"/>
        <w:rPr>
          <w:rFonts w:hAnsi="宋体"/>
        </w:rPr>
      </w:pPr>
      <w:r>
        <w:rPr>
          <w:rFonts w:hAnsi="宋体"/>
          <w:color w:val="auto"/>
        </w:rPr>
        <w:t xml:space="preserve">8.4  </w:t>
      </w:r>
      <w:r>
        <w:rPr>
          <w:rFonts w:hint="eastAsia" w:hAnsi="宋体"/>
          <w:color w:val="auto"/>
        </w:rPr>
        <w:t>投标文件应用不褪色的材料书写或打印，保证其清楚、工整，相关材</w:t>
      </w:r>
      <w:r>
        <w:rPr>
          <w:rFonts w:hint="eastAsia" w:hAnsi="宋体"/>
        </w:rPr>
        <w:t>料的复印件应清晰可辨认。投标文件字迹潦草、表达不清、模糊无法辨认而导致非唯一理解是投标人的风险，很可能导致该投标无效。</w:t>
      </w:r>
    </w:p>
    <w:p>
      <w:pPr>
        <w:pStyle w:val="19"/>
        <w:spacing w:line="440" w:lineRule="exact"/>
        <w:ind w:left="2" w:firstLine="360"/>
        <w:rPr>
          <w:rFonts w:hAnsi="宋体"/>
        </w:rPr>
      </w:pPr>
      <w:r>
        <w:rPr>
          <w:rFonts w:hAnsi="宋体"/>
        </w:rPr>
        <w:t xml:space="preserve">8.5  </w:t>
      </w:r>
      <w:r>
        <w:rPr>
          <w:rFonts w:hint="eastAsia" w:hAnsi="宋体"/>
        </w:rPr>
        <w:t>第五章“投标文件格式”中规定了投标文件格式的，应按相应格式要求编写。</w:t>
      </w:r>
    </w:p>
    <w:p>
      <w:pPr>
        <w:pStyle w:val="19"/>
        <w:spacing w:line="440" w:lineRule="exact"/>
        <w:ind w:left="2" w:firstLine="360"/>
        <w:rPr>
          <w:rFonts w:hAnsi="宋体"/>
        </w:rPr>
      </w:pPr>
      <w:r>
        <w:rPr>
          <w:rFonts w:hAnsi="宋体"/>
        </w:rPr>
        <w:t xml:space="preserve">8.6  </w:t>
      </w:r>
      <w:r>
        <w:rPr>
          <w:rFonts w:hint="eastAsia" w:hAnsi="宋体"/>
        </w:rPr>
        <w:t>投标文件应尽量避免涂改、行间插字或删除。如果出现上述情况，改动之处应加盖单位公章或由投标人的法定代表人或其委托代理人签字或盖章确认。</w:t>
      </w:r>
    </w:p>
    <w:p>
      <w:pPr>
        <w:pStyle w:val="19"/>
        <w:spacing w:line="440" w:lineRule="exact"/>
        <w:ind w:left="2" w:firstLine="360"/>
        <w:rPr>
          <w:rFonts w:hAnsi="宋体"/>
        </w:rPr>
      </w:pPr>
      <w:r>
        <w:rPr>
          <w:rFonts w:hAnsi="宋体"/>
        </w:rPr>
        <w:t xml:space="preserve">8.7  </w:t>
      </w:r>
      <w:r>
        <w:rPr>
          <w:rFonts w:hint="eastAsia" w:hAnsi="宋体"/>
        </w:rPr>
        <w:t>投标文件的正本和副本应分别装订成册，封面上应清楚地标记“正本”或“副本”字样，并标明项目名称、项目编号、投标人名称及地址等内容。副本可以采用正本的复印件，当副本和正本不一致时，以正本为准。投标人应准备报价文件正本、资格文件正本、技术文件正本、商务文件正本各一份，副本份数见投标人须知前附表。</w:t>
      </w:r>
    </w:p>
    <w:p>
      <w:pPr>
        <w:pStyle w:val="19"/>
        <w:spacing w:line="440" w:lineRule="exact"/>
        <w:rPr>
          <w:rFonts w:hAnsi="宋体"/>
          <w:bCs/>
          <w:sz w:val="24"/>
        </w:rPr>
      </w:pPr>
      <w:r>
        <w:rPr>
          <w:rFonts w:hAnsi="宋体"/>
          <w:bCs/>
          <w:sz w:val="24"/>
        </w:rPr>
        <w:t xml:space="preserve">9.  </w:t>
      </w:r>
      <w:r>
        <w:rPr>
          <w:rFonts w:hint="eastAsia" w:hAnsi="宋体"/>
          <w:bCs/>
          <w:sz w:val="24"/>
        </w:rPr>
        <w:t>投标语言文字及计量单位</w:t>
      </w:r>
    </w:p>
    <w:p>
      <w:pPr>
        <w:pStyle w:val="19"/>
        <w:spacing w:line="440" w:lineRule="exact"/>
        <w:ind w:firstLine="360"/>
        <w:rPr>
          <w:rFonts w:hAnsi="宋体"/>
        </w:rPr>
      </w:pPr>
      <w:r>
        <w:rPr>
          <w:rFonts w:hAnsi="宋体"/>
        </w:rPr>
        <w:t xml:space="preserve">9.1  </w:t>
      </w:r>
      <w:r>
        <w:rPr>
          <w:rFonts w:hint="eastAsia" w:hAnsi="宋体"/>
        </w:rPr>
        <w:t>投标人的投标文件以及投标人与采购人、采购代理机构就有关投标的所有往来函电统一使用中文（特别规定除外）。</w:t>
      </w:r>
    </w:p>
    <w:p>
      <w:pPr>
        <w:pStyle w:val="19"/>
        <w:spacing w:line="440" w:lineRule="exact"/>
        <w:ind w:firstLine="360"/>
        <w:rPr>
          <w:rFonts w:hAnsi="宋体"/>
        </w:rPr>
      </w:pPr>
      <w:r>
        <w:rPr>
          <w:rFonts w:hAnsi="宋体"/>
        </w:rPr>
        <w:t>9.2</w:t>
      </w:r>
      <w:r>
        <w:rPr>
          <w:rFonts w:hint="eastAsia" w:hAnsi="宋体"/>
        </w:rPr>
        <w:t>投标人的投标文件中提供的证明材料是中文以外的其他语言的，应附有中文翻译。</w:t>
      </w:r>
    </w:p>
    <w:p>
      <w:pPr>
        <w:pStyle w:val="19"/>
        <w:spacing w:line="440" w:lineRule="exact"/>
        <w:ind w:firstLine="360"/>
        <w:rPr>
          <w:rFonts w:hAnsi="宋体"/>
        </w:rPr>
      </w:pPr>
      <w:r>
        <w:rPr>
          <w:rFonts w:hAnsi="宋体"/>
        </w:rPr>
        <w:t>9.</w:t>
      </w:r>
      <w:r>
        <w:rPr>
          <w:rFonts w:hint="eastAsia" w:hAnsi="宋体"/>
        </w:rPr>
        <w:t>3对不同文字文本投标文件的解释发生异议的，以中文文本为准。</w:t>
      </w:r>
    </w:p>
    <w:p>
      <w:pPr>
        <w:pStyle w:val="19"/>
        <w:spacing w:line="440" w:lineRule="exact"/>
        <w:ind w:firstLine="360"/>
        <w:rPr>
          <w:rFonts w:hAnsi="宋体"/>
        </w:rPr>
      </w:pPr>
      <w:r>
        <w:rPr>
          <w:rFonts w:hAnsi="宋体"/>
        </w:rPr>
        <w:t>9.</w:t>
      </w:r>
      <w:r>
        <w:rPr>
          <w:rFonts w:hint="eastAsia" w:hAnsi="宋体"/>
        </w:rPr>
        <w:t>4投标文件使用的计量单位除招标文件中有特殊规定外，一律使用中华人民共和国法定计量单位。</w:t>
      </w:r>
    </w:p>
    <w:p>
      <w:pPr>
        <w:pStyle w:val="19"/>
        <w:spacing w:line="440" w:lineRule="exact"/>
        <w:rPr>
          <w:rFonts w:hAnsi="宋体"/>
          <w:bCs/>
          <w:sz w:val="24"/>
        </w:rPr>
      </w:pPr>
      <w:r>
        <w:rPr>
          <w:rFonts w:hAnsi="宋体"/>
          <w:bCs/>
          <w:sz w:val="24"/>
        </w:rPr>
        <w:t xml:space="preserve">10.  </w:t>
      </w:r>
      <w:r>
        <w:rPr>
          <w:rFonts w:hint="eastAsia" w:hAnsi="宋体"/>
          <w:bCs/>
          <w:sz w:val="24"/>
        </w:rPr>
        <w:t>投标文件的组成</w:t>
      </w:r>
    </w:p>
    <w:p>
      <w:pPr>
        <w:pStyle w:val="19"/>
        <w:spacing w:line="440" w:lineRule="exact"/>
        <w:ind w:firstLine="360"/>
        <w:rPr>
          <w:rFonts w:hAnsi="宋体"/>
        </w:rPr>
      </w:pPr>
      <w:r>
        <w:rPr>
          <w:rFonts w:hAnsi="宋体"/>
        </w:rPr>
        <w:t xml:space="preserve">10.1  </w:t>
      </w:r>
      <w:r>
        <w:rPr>
          <w:rFonts w:hint="eastAsia" w:hAnsi="宋体"/>
        </w:rPr>
        <w:t>投标人需编制的投标文件包括报价文件、资格文件正本、技术文件和商务文件四部分，投标人应按下列说明编写和提交。应递交的有关文件如未特别注明为原件的，可提交复印件。</w:t>
      </w:r>
    </w:p>
    <w:p>
      <w:pPr>
        <w:pStyle w:val="19"/>
        <w:spacing w:line="440" w:lineRule="exact"/>
        <w:ind w:firstLine="360"/>
        <w:rPr>
          <w:rFonts w:hAnsi="宋体"/>
        </w:rPr>
      </w:pPr>
      <w:r>
        <w:rPr>
          <w:rFonts w:hAnsi="宋体"/>
        </w:rPr>
        <w:t xml:space="preserve">10.1.1  </w:t>
      </w:r>
      <w:r>
        <w:rPr>
          <w:rFonts w:hint="eastAsia" w:hAnsi="宋体"/>
        </w:rPr>
        <w:t>报价文件组成要求，包括：</w:t>
      </w:r>
    </w:p>
    <w:p>
      <w:pPr>
        <w:pStyle w:val="19"/>
        <w:spacing w:line="440" w:lineRule="exact"/>
        <w:ind w:firstLine="720"/>
        <w:rPr>
          <w:rFonts w:hAnsi="宋体"/>
        </w:rPr>
      </w:pPr>
      <w:r>
        <w:rPr>
          <w:rFonts w:hint="eastAsia" w:hAnsi="宋体"/>
        </w:rPr>
        <w:t>（</w:t>
      </w:r>
      <w:r>
        <w:rPr>
          <w:rFonts w:hAnsi="宋体"/>
        </w:rPr>
        <w:t>1</w:t>
      </w:r>
      <w:r>
        <w:rPr>
          <w:rFonts w:hint="eastAsia" w:hAnsi="宋体"/>
        </w:rPr>
        <w:t>）投标函：按第五章“投标文件格式”提供的“投标函（格式）”的要求填写；</w:t>
      </w:r>
    </w:p>
    <w:p>
      <w:pPr>
        <w:pStyle w:val="19"/>
        <w:spacing w:line="440" w:lineRule="exact"/>
        <w:ind w:firstLine="720"/>
        <w:rPr>
          <w:rFonts w:hAnsi="宋体"/>
        </w:rPr>
      </w:pPr>
      <w:r>
        <w:rPr>
          <w:rFonts w:hint="eastAsia" w:hAnsi="宋体"/>
        </w:rPr>
        <w:t>（</w:t>
      </w:r>
      <w:r>
        <w:rPr>
          <w:rFonts w:hAnsi="宋体"/>
        </w:rPr>
        <w:t>2</w:t>
      </w:r>
      <w:r>
        <w:rPr>
          <w:rFonts w:hint="eastAsia" w:hAnsi="宋体"/>
        </w:rPr>
        <w:t>）投标报价表：按第五章“投标文件格式”提供的“投标报价表（格式）”的要求填写。</w:t>
      </w:r>
    </w:p>
    <w:p>
      <w:pPr>
        <w:pStyle w:val="19"/>
        <w:spacing w:line="440" w:lineRule="exact"/>
        <w:ind w:firstLine="720"/>
        <w:rPr>
          <w:rFonts w:hAnsi="宋体"/>
        </w:rPr>
      </w:pPr>
      <w:r>
        <w:rPr>
          <w:rFonts w:hint="eastAsia" w:hAnsi="宋体"/>
        </w:rPr>
        <w:t>（</w:t>
      </w:r>
      <w:r>
        <w:rPr>
          <w:rFonts w:hAnsi="宋体"/>
        </w:rPr>
        <w:t>3</w:t>
      </w:r>
      <w:r>
        <w:rPr>
          <w:rFonts w:hint="eastAsia" w:hAnsi="宋体"/>
        </w:rPr>
        <w:t>）投标人针对报价需要说明的其他文件和说明。</w:t>
      </w:r>
    </w:p>
    <w:p>
      <w:pPr>
        <w:pStyle w:val="19"/>
        <w:spacing w:line="440" w:lineRule="exact"/>
        <w:ind w:firstLine="413" w:firstLineChars="196"/>
        <w:rPr>
          <w:rFonts w:hAnsi="宋体"/>
          <w:b/>
        </w:rPr>
      </w:pPr>
      <w:r>
        <w:rPr>
          <w:rFonts w:hint="eastAsia" w:hAnsi="宋体"/>
          <w:b/>
        </w:rPr>
        <w:t>报价文件中的第（</w:t>
      </w:r>
      <w:r>
        <w:rPr>
          <w:rFonts w:hAnsi="宋体"/>
          <w:b/>
        </w:rPr>
        <w:t>1</w:t>
      </w:r>
      <w:r>
        <w:rPr>
          <w:rFonts w:hint="eastAsia" w:hAnsi="宋体"/>
          <w:b/>
        </w:rPr>
        <w:t>）（</w:t>
      </w:r>
      <w:r>
        <w:rPr>
          <w:rFonts w:hAnsi="宋体"/>
          <w:b/>
        </w:rPr>
        <w:t>2</w:t>
      </w:r>
      <w:r>
        <w:rPr>
          <w:rFonts w:hint="eastAsia" w:hAnsi="宋体"/>
          <w:b/>
        </w:rPr>
        <w:t>）项必须加盖投标单位公章提交，否则投标无效；第（</w:t>
      </w:r>
      <w:r>
        <w:rPr>
          <w:rFonts w:hAnsi="宋体"/>
          <w:b/>
        </w:rPr>
        <w:t>3</w:t>
      </w:r>
      <w:r>
        <w:rPr>
          <w:rFonts w:hint="eastAsia" w:hAnsi="宋体"/>
          <w:b/>
        </w:rPr>
        <w:t>）项如招标文件未作要求的如有请提交。</w:t>
      </w:r>
    </w:p>
    <w:p>
      <w:pPr>
        <w:pStyle w:val="19"/>
        <w:spacing w:line="440" w:lineRule="exact"/>
        <w:ind w:firstLine="411" w:firstLineChars="196"/>
        <w:jc w:val="left"/>
        <w:rPr>
          <w:rFonts w:hAnsi="宋体"/>
        </w:rPr>
      </w:pPr>
      <w:r>
        <w:rPr>
          <w:rFonts w:hAnsi="宋体"/>
        </w:rPr>
        <w:t xml:space="preserve">10.1.2  </w:t>
      </w:r>
      <w:r>
        <w:rPr>
          <w:rFonts w:hint="eastAsia" w:hAnsi="宋体"/>
        </w:rPr>
        <w:t>资格文件组成要求，包括：</w:t>
      </w:r>
    </w:p>
    <w:p>
      <w:pPr>
        <w:pStyle w:val="19"/>
        <w:spacing w:line="440" w:lineRule="exact"/>
        <w:ind w:firstLine="709"/>
        <w:jc w:val="left"/>
        <w:rPr>
          <w:rFonts w:hAnsi="宋体"/>
        </w:rPr>
      </w:pPr>
      <w:r>
        <w:rPr>
          <w:rFonts w:hint="eastAsia" w:hAnsi="宋体"/>
        </w:rPr>
        <w:t>（</w:t>
      </w:r>
      <w:r>
        <w:rPr>
          <w:rFonts w:hAnsi="宋体"/>
        </w:rPr>
        <w:t>1</w:t>
      </w:r>
      <w:r>
        <w:rPr>
          <w:rFonts w:hint="eastAsia" w:hAnsi="宋体"/>
        </w:rPr>
        <w:t>）</w:t>
      </w:r>
      <w:r>
        <w:rPr>
          <w:rFonts w:hint="eastAsia" w:hAnsi="宋体"/>
          <w:szCs w:val="21"/>
        </w:rPr>
        <w:t>投标人有效的“营业执照”副本复印件</w:t>
      </w:r>
      <w:r>
        <w:rPr>
          <w:rFonts w:hint="eastAsia" w:hAnsi="宋体"/>
        </w:rPr>
        <w:t>（加盖公章）；</w:t>
      </w:r>
    </w:p>
    <w:p>
      <w:pPr>
        <w:pStyle w:val="19"/>
        <w:spacing w:line="440" w:lineRule="exact"/>
        <w:ind w:firstLine="709"/>
        <w:jc w:val="left"/>
        <w:rPr>
          <w:rFonts w:hAnsi="宋体"/>
        </w:rPr>
      </w:pPr>
      <w:r>
        <w:rPr>
          <w:rFonts w:hint="eastAsia" w:hAnsi="宋体"/>
        </w:rPr>
        <w:t>（</w:t>
      </w:r>
      <w:r>
        <w:rPr>
          <w:rFonts w:hAnsi="宋体"/>
        </w:rPr>
        <w:t>2</w:t>
      </w:r>
      <w:r>
        <w:rPr>
          <w:rFonts w:hint="eastAsia" w:hAnsi="宋体"/>
        </w:rPr>
        <w:t>）投标截止之日前半年内投标人任意连续三个月的依法缴纳税费或依法免缴税费的证明（复印件，格式自拟）；无纳税记录的，应提供由投标人所在地主管国税、地税部门出具的《依法纳税或依法免税证明》（格式自拟，复印件），从取得营业执照时间起到投标截止时间止不满足要求的新建企业，只需要提交企业取得营业执照时间后的可正常办理纳税之时起至投标截止最近月份的相关资料；</w:t>
      </w:r>
    </w:p>
    <w:p>
      <w:pPr>
        <w:pStyle w:val="19"/>
        <w:spacing w:line="440" w:lineRule="exact"/>
        <w:ind w:firstLine="709"/>
        <w:jc w:val="left"/>
        <w:rPr>
          <w:rFonts w:hAnsi="宋体"/>
        </w:rPr>
      </w:pPr>
      <w:r>
        <w:rPr>
          <w:rFonts w:hint="eastAsia" w:hAnsi="宋体"/>
        </w:rPr>
        <w:t>（</w:t>
      </w:r>
      <w:r>
        <w:rPr>
          <w:rFonts w:hAnsi="宋体"/>
        </w:rPr>
        <w:t>3</w:t>
      </w:r>
      <w:r>
        <w:rPr>
          <w:rFonts w:hint="eastAsia" w:hAnsi="宋体"/>
        </w:rPr>
        <w:t>）投标截止之日前半年内投标人任意连续三个月的依法缴纳社保费的缴费凭证（复印件</w:t>
      </w:r>
      <w:r>
        <w:rPr>
          <w:rFonts w:hint="eastAsia" w:hAnsi="宋体"/>
          <w:lang w:eastAsia="zh-CN"/>
        </w:rPr>
        <w:t>，</w:t>
      </w:r>
      <w:r>
        <w:rPr>
          <w:rFonts w:hint="eastAsia" w:hAnsi="宋体"/>
        </w:rPr>
        <w:t>格式自拟）；无缴费记录的，应提供由投标人所在地社保部门出具的《依法缴纳或依法免缴社保费证明》（格式自拟，复印件），从取得营业执照时间起到投标截止时间止不满足要求的新建企业，只需要提交企业取得营业执照时间后的可正常办理社保之时起至投标截止最近月份的相关资料；</w:t>
      </w:r>
    </w:p>
    <w:p>
      <w:pPr>
        <w:pStyle w:val="19"/>
        <w:spacing w:line="440" w:lineRule="exact"/>
        <w:ind w:firstLine="709"/>
        <w:jc w:val="left"/>
        <w:rPr>
          <w:rFonts w:hAnsi="宋体"/>
        </w:rPr>
      </w:pPr>
      <w:r>
        <w:rPr>
          <w:rFonts w:hint="eastAsia" w:hAnsi="宋体"/>
        </w:rPr>
        <w:t>（</w:t>
      </w:r>
      <w:r>
        <w:rPr>
          <w:rFonts w:hAnsi="宋体"/>
        </w:rPr>
        <w:t>4</w:t>
      </w:r>
      <w:r>
        <w:rPr>
          <w:rFonts w:hint="eastAsia" w:hAnsi="宋体"/>
        </w:rPr>
        <w:t>）具备有效的审计资质的第三方机构出具的</w:t>
      </w:r>
      <w:r>
        <w:rPr>
          <w:rFonts w:hint="eastAsia" w:hAnsi="宋体"/>
          <w:lang w:val="en-US" w:eastAsia="zh-CN"/>
        </w:rPr>
        <w:t>2018-</w:t>
      </w:r>
      <w:r>
        <w:rPr>
          <w:rFonts w:hint="eastAsia" w:hAnsi="宋体"/>
        </w:rPr>
        <w:t>2019年度审计报告复印件（新建企业按实际情况提供）；</w:t>
      </w:r>
    </w:p>
    <w:p>
      <w:pPr>
        <w:pStyle w:val="19"/>
        <w:spacing w:line="440" w:lineRule="exact"/>
        <w:ind w:firstLine="709"/>
        <w:jc w:val="left"/>
        <w:rPr>
          <w:rFonts w:hAnsi="宋体"/>
          <w:szCs w:val="21"/>
        </w:rPr>
      </w:pPr>
      <w:r>
        <w:rPr>
          <w:rFonts w:hint="eastAsia" w:hAnsi="宋体"/>
        </w:rPr>
        <w:t>（</w:t>
      </w:r>
      <w:r>
        <w:rPr>
          <w:rFonts w:hAnsi="宋体"/>
        </w:rPr>
        <w:t>5</w:t>
      </w:r>
      <w:r>
        <w:rPr>
          <w:rFonts w:hint="eastAsia" w:hAnsi="宋体"/>
        </w:rPr>
        <w:t>）</w:t>
      </w:r>
      <w:r>
        <w:rPr>
          <w:rFonts w:hint="eastAsia" w:hAnsi="宋体"/>
          <w:szCs w:val="21"/>
        </w:rPr>
        <w:t>投标人认为有必要提供的其他证明材料。</w:t>
      </w:r>
    </w:p>
    <w:p>
      <w:pPr>
        <w:pStyle w:val="19"/>
        <w:spacing w:line="440" w:lineRule="exact"/>
        <w:ind w:firstLine="709"/>
        <w:jc w:val="left"/>
        <w:rPr>
          <w:rFonts w:hAnsi="宋体"/>
        </w:rPr>
      </w:pPr>
      <w:r>
        <w:rPr>
          <w:rFonts w:hint="eastAsia" w:hAnsi="宋体"/>
          <w:b/>
        </w:rPr>
        <w:t>资格文件组成要求的第（</w:t>
      </w:r>
      <w:r>
        <w:rPr>
          <w:rFonts w:hAnsi="宋体"/>
          <w:b/>
        </w:rPr>
        <w:t>1</w:t>
      </w:r>
      <w:r>
        <w:rPr>
          <w:rFonts w:hint="eastAsia" w:hAnsi="宋体"/>
          <w:b/>
        </w:rPr>
        <w:t>）～（4）项必须加盖投标单位公章提交，否则投标无效。</w:t>
      </w:r>
    </w:p>
    <w:p>
      <w:pPr>
        <w:pStyle w:val="19"/>
        <w:spacing w:line="440" w:lineRule="exact"/>
        <w:ind w:firstLine="360"/>
        <w:rPr>
          <w:rFonts w:hAnsi="宋体"/>
          <w:b/>
          <w:bCs/>
        </w:rPr>
      </w:pPr>
      <w:r>
        <w:rPr>
          <w:rFonts w:hAnsi="宋体"/>
        </w:rPr>
        <w:t xml:space="preserve">10.1.3  </w:t>
      </w:r>
      <w:r>
        <w:rPr>
          <w:rFonts w:hint="eastAsia" w:hAnsi="宋体"/>
        </w:rPr>
        <w:t>技术文件组成要求，包括：</w:t>
      </w:r>
    </w:p>
    <w:p>
      <w:pPr>
        <w:pStyle w:val="19"/>
        <w:spacing w:line="440" w:lineRule="exact"/>
        <w:ind w:firstLine="720"/>
        <w:rPr>
          <w:rFonts w:hAnsi="宋体"/>
        </w:rPr>
      </w:pPr>
      <w:r>
        <w:rPr>
          <w:rFonts w:hint="eastAsia" w:hAnsi="宋体"/>
        </w:rPr>
        <w:t>（</w:t>
      </w:r>
      <w:r>
        <w:rPr>
          <w:rFonts w:hAnsi="宋体"/>
        </w:rPr>
        <w:t>1</w:t>
      </w:r>
      <w:r>
        <w:rPr>
          <w:rFonts w:hint="eastAsia" w:hAnsi="宋体"/>
        </w:rPr>
        <w:t>）投标服务技术资料表：按第五章“投标文件格式”提供的“投标服务技术资料表（格式）”的要求填写；</w:t>
      </w:r>
    </w:p>
    <w:p>
      <w:pPr>
        <w:pStyle w:val="19"/>
        <w:spacing w:line="440" w:lineRule="exact"/>
        <w:ind w:firstLine="720"/>
        <w:rPr>
          <w:rFonts w:hAnsi="宋体"/>
        </w:rPr>
      </w:pPr>
      <w:r>
        <w:rPr>
          <w:rFonts w:hint="eastAsia" w:hAnsi="宋体"/>
        </w:rPr>
        <w:t>（</w:t>
      </w:r>
      <w:r>
        <w:rPr>
          <w:rFonts w:hAnsi="宋体"/>
        </w:rPr>
        <w:t>2</w:t>
      </w:r>
      <w:r>
        <w:rPr>
          <w:rFonts w:hint="eastAsia" w:hAnsi="宋体"/>
        </w:rPr>
        <w:t>）技术、实施方案：格式自拟；</w:t>
      </w:r>
    </w:p>
    <w:p>
      <w:pPr>
        <w:pStyle w:val="19"/>
        <w:spacing w:line="440" w:lineRule="exact"/>
        <w:ind w:firstLine="720"/>
        <w:rPr>
          <w:rFonts w:hAnsi="宋体"/>
        </w:rPr>
      </w:pPr>
      <w:r>
        <w:rPr>
          <w:rFonts w:hint="eastAsia" w:hAnsi="宋体"/>
        </w:rPr>
        <w:t>（</w:t>
      </w:r>
      <w:r>
        <w:rPr>
          <w:rFonts w:hAnsi="宋体"/>
        </w:rPr>
        <w:t>3</w:t>
      </w:r>
      <w:r>
        <w:rPr>
          <w:rFonts w:hint="eastAsia" w:hAnsi="宋体"/>
        </w:rPr>
        <w:t>）第三章评标办法中要求的材料；</w:t>
      </w:r>
    </w:p>
    <w:p>
      <w:pPr>
        <w:pStyle w:val="19"/>
        <w:spacing w:line="440" w:lineRule="exact"/>
        <w:ind w:firstLine="720"/>
        <w:rPr>
          <w:rFonts w:hAnsi="宋体"/>
        </w:rPr>
      </w:pPr>
      <w:r>
        <w:rPr>
          <w:rFonts w:hint="eastAsia" w:hAnsi="宋体"/>
        </w:rPr>
        <w:t>（</w:t>
      </w:r>
      <w:r>
        <w:rPr>
          <w:rFonts w:hAnsi="宋体"/>
        </w:rPr>
        <w:t>4</w:t>
      </w:r>
      <w:r>
        <w:rPr>
          <w:rFonts w:hint="eastAsia" w:hAnsi="宋体"/>
        </w:rPr>
        <w:t>）投标人认为有必要提供的其他材料。</w:t>
      </w:r>
    </w:p>
    <w:p>
      <w:pPr>
        <w:pStyle w:val="19"/>
        <w:spacing w:line="440" w:lineRule="exact"/>
        <w:ind w:firstLine="420"/>
        <w:rPr>
          <w:rFonts w:hAnsi="宋体"/>
          <w:b/>
        </w:rPr>
      </w:pPr>
      <w:r>
        <w:rPr>
          <w:rFonts w:hint="eastAsia" w:hAnsi="宋体"/>
          <w:b/>
        </w:rPr>
        <w:t>其中，技术文件组成要求的第（</w:t>
      </w:r>
      <w:r>
        <w:rPr>
          <w:rFonts w:hAnsi="宋体"/>
          <w:b/>
        </w:rPr>
        <w:t>1</w:t>
      </w:r>
      <w:r>
        <w:rPr>
          <w:rFonts w:hint="eastAsia" w:hAnsi="宋体"/>
          <w:b/>
        </w:rPr>
        <w:t>）、（</w:t>
      </w:r>
      <w:r>
        <w:rPr>
          <w:rFonts w:hAnsi="宋体"/>
          <w:b/>
        </w:rPr>
        <w:t>2</w:t>
      </w:r>
      <w:r>
        <w:rPr>
          <w:rFonts w:hint="eastAsia" w:hAnsi="宋体"/>
          <w:b/>
        </w:rPr>
        <w:t>）项必须加盖投标单位公章提交，否则投标无效；技术文件要求的第（</w:t>
      </w:r>
      <w:r>
        <w:rPr>
          <w:rFonts w:hAnsi="宋体"/>
          <w:b/>
        </w:rPr>
        <w:t>3</w:t>
      </w:r>
      <w:r>
        <w:rPr>
          <w:rFonts w:hint="eastAsia" w:hAnsi="宋体"/>
          <w:b/>
        </w:rPr>
        <w:t>）、（</w:t>
      </w:r>
      <w:r>
        <w:rPr>
          <w:rFonts w:hAnsi="宋体"/>
          <w:b/>
        </w:rPr>
        <w:t>4</w:t>
      </w:r>
      <w:r>
        <w:rPr>
          <w:rFonts w:hint="eastAsia" w:hAnsi="宋体"/>
          <w:b/>
        </w:rPr>
        <w:t>）项如招标文件未作要求的如有请提交。</w:t>
      </w:r>
    </w:p>
    <w:p>
      <w:pPr>
        <w:pStyle w:val="19"/>
        <w:spacing w:line="440" w:lineRule="exact"/>
        <w:ind w:firstLine="360"/>
        <w:rPr>
          <w:rFonts w:hAnsi="宋体"/>
        </w:rPr>
      </w:pPr>
      <w:r>
        <w:rPr>
          <w:rFonts w:hAnsi="宋体"/>
        </w:rPr>
        <w:t xml:space="preserve">10.1.4  </w:t>
      </w:r>
      <w:r>
        <w:rPr>
          <w:rFonts w:hint="eastAsia" w:hAnsi="宋体"/>
        </w:rPr>
        <w:t>商务文件组成要求，包括：</w:t>
      </w:r>
    </w:p>
    <w:p>
      <w:pPr>
        <w:pStyle w:val="19"/>
        <w:spacing w:line="440" w:lineRule="exact"/>
        <w:ind w:firstLine="360"/>
        <w:rPr>
          <w:rFonts w:hAnsi="宋体"/>
        </w:rPr>
      </w:pPr>
      <w:r>
        <w:rPr>
          <w:rFonts w:hint="eastAsia" w:hAnsi="宋体"/>
        </w:rPr>
        <w:t>（</w:t>
      </w:r>
      <w:r>
        <w:rPr>
          <w:rFonts w:hAnsi="宋体"/>
        </w:rPr>
        <w:t>1</w:t>
      </w:r>
      <w:r>
        <w:rPr>
          <w:rFonts w:hint="eastAsia" w:hAnsi="宋体"/>
        </w:rPr>
        <w:t>）投标声明书：按第五章“投标文件格式”提供；</w:t>
      </w:r>
    </w:p>
    <w:p>
      <w:pPr>
        <w:pStyle w:val="19"/>
        <w:spacing w:line="440" w:lineRule="exact"/>
        <w:ind w:firstLine="360"/>
        <w:rPr>
          <w:rFonts w:hAnsi="宋体"/>
        </w:rPr>
      </w:pPr>
      <w:r>
        <w:rPr>
          <w:rFonts w:hint="eastAsia" w:hAnsi="宋体"/>
        </w:rPr>
        <w:t>（</w:t>
      </w:r>
      <w:r>
        <w:rPr>
          <w:rFonts w:hAnsi="宋体"/>
        </w:rPr>
        <w:t>2</w:t>
      </w:r>
      <w:r>
        <w:rPr>
          <w:rFonts w:hint="eastAsia" w:hAnsi="宋体"/>
        </w:rPr>
        <w:t>）商务条款偏离表：按第五章“投标文件格式”提供的“商务条款偏离表（格式）”的要求填写；</w:t>
      </w:r>
    </w:p>
    <w:p>
      <w:pPr>
        <w:pStyle w:val="19"/>
        <w:spacing w:line="440" w:lineRule="exact"/>
        <w:ind w:firstLine="360"/>
        <w:rPr>
          <w:rFonts w:hAnsi="宋体"/>
        </w:rPr>
      </w:pPr>
      <w:r>
        <w:rPr>
          <w:rFonts w:hint="eastAsia" w:hAnsi="宋体"/>
        </w:rPr>
        <w:t>（</w:t>
      </w:r>
      <w:r>
        <w:rPr>
          <w:rFonts w:hAnsi="宋体"/>
        </w:rPr>
        <w:t>3</w:t>
      </w:r>
      <w:r>
        <w:rPr>
          <w:rFonts w:hint="eastAsia" w:hAnsi="宋体"/>
        </w:rPr>
        <w:t>）参加政府采购活动前三年内在经营活动中没有重大违法记录的书面声明：按第五章“投标文件格式”提供；</w:t>
      </w:r>
    </w:p>
    <w:p>
      <w:pPr>
        <w:pStyle w:val="19"/>
        <w:spacing w:line="440" w:lineRule="exact"/>
        <w:ind w:firstLine="360"/>
        <w:rPr>
          <w:rFonts w:hAnsi="宋体"/>
        </w:rPr>
      </w:pPr>
      <w:r>
        <w:rPr>
          <w:rFonts w:hint="eastAsia" w:hAnsi="宋体"/>
        </w:rPr>
        <w:t>（</w:t>
      </w:r>
      <w:r>
        <w:rPr>
          <w:rFonts w:hAnsi="宋体"/>
        </w:rPr>
        <w:t>4</w:t>
      </w:r>
      <w:r>
        <w:rPr>
          <w:rFonts w:hint="eastAsia" w:hAnsi="宋体"/>
        </w:rPr>
        <w:t>）法定代表人身份证明书：按第五章“投标文件格式”提供的“法定代表人身份证明书（格式）”的要求填写；</w:t>
      </w:r>
    </w:p>
    <w:p>
      <w:pPr>
        <w:pStyle w:val="19"/>
        <w:spacing w:line="440" w:lineRule="exact"/>
        <w:ind w:firstLine="360"/>
        <w:rPr>
          <w:rFonts w:hAnsi="宋体"/>
        </w:rPr>
      </w:pPr>
      <w:r>
        <w:rPr>
          <w:rFonts w:hint="eastAsia" w:hAnsi="宋体"/>
        </w:rPr>
        <w:t>（</w:t>
      </w:r>
      <w:r>
        <w:rPr>
          <w:rFonts w:hAnsi="宋体"/>
        </w:rPr>
        <w:t>5</w:t>
      </w:r>
      <w:r>
        <w:rPr>
          <w:rFonts w:hint="eastAsia" w:hAnsi="宋体"/>
        </w:rPr>
        <w:t>）法定代表人授权委托书：按第五章“投标文件格式”提供的“法定代表人授权委托书（格式）”的要求填写；</w:t>
      </w:r>
    </w:p>
    <w:p>
      <w:pPr>
        <w:pStyle w:val="19"/>
        <w:spacing w:line="440" w:lineRule="exact"/>
        <w:ind w:firstLine="360"/>
        <w:rPr>
          <w:rFonts w:hAnsi="宋体"/>
        </w:rPr>
      </w:pPr>
      <w:r>
        <w:rPr>
          <w:rFonts w:hint="eastAsia" w:hAnsi="宋体"/>
        </w:rPr>
        <w:t>（6）售后服务承诺书：按第五章“投标文件格式”提供的“售后服务承诺书（格式）”的要求填写；</w:t>
      </w:r>
    </w:p>
    <w:p>
      <w:pPr>
        <w:pStyle w:val="19"/>
        <w:spacing w:line="440" w:lineRule="exact"/>
        <w:ind w:firstLine="360"/>
        <w:rPr>
          <w:rFonts w:hAnsi="宋体"/>
        </w:rPr>
      </w:pPr>
      <w:r>
        <w:rPr>
          <w:rFonts w:hint="eastAsia" w:hAnsi="宋体"/>
        </w:rPr>
        <w:t>（7）投标人认为有必要提供的其他证明材料；</w:t>
      </w:r>
    </w:p>
    <w:p>
      <w:pPr>
        <w:pStyle w:val="19"/>
        <w:spacing w:line="440" w:lineRule="exact"/>
        <w:ind w:firstLine="413" w:firstLineChars="196"/>
        <w:rPr>
          <w:rFonts w:hAnsi="宋体"/>
        </w:rPr>
      </w:pPr>
      <w:r>
        <w:rPr>
          <w:rFonts w:hint="eastAsia" w:hAnsi="宋体"/>
          <w:b/>
        </w:rPr>
        <w:t>商务文件中的第（</w:t>
      </w:r>
      <w:r>
        <w:rPr>
          <w:rFonts w:hAnsi="宋体"/>
          <w:b/>
        </w:rPr>
        <w:t>1</w:t>
      </w:r>
      <w:r>
        <w:rPr>
          <w:rFonts w:hint="eastAsia" w:hAnsi="宋体"/>
          <w:b/>
        </w:rPr>
        <w:t>）～（</w:t>
      </w:r>
      <w:r>
        <w:rPr>
          <w:rFonts w:hAnsi="宋体"/>
          <w:b/>
        </w:rPr>
        <w:t>4</w:t>
      </w:r>
      <w:r>
        <w:rPr>
          <w:rFonts w:hint="eastAsia" w:hAnsi="宋体"/>
          <w:b/>
        </w:rPr>
        <w:t>）（6）项必须加盖投标单位公章提交，否则投标无效；第（</w:t>
      </w:r>
      <w:r>
        <w:rPr>
          <w:rFonts w:hAnsi="宋体"/>
          <w:b/>
        </w:rPr>
        <w:t>5</w:t>
      </w:r>
      <w:r>
        <w:rPr>
          <w:rFonts w:hint="eastAsia" w:hAnsi="宋体"/>
          <w:b/>
        </w:rPr>
        <w:t>）项在委托代理时必须提交；第（7）项如招标文件未作要求的如有请提交。</w:t>
      </w:r>
    </w:p>
    <w:p>
      <w:pPr>
        <w:pStyle w:val="19"/>
        <w:spacing w:line="440" w:lineRule="exact"/>
        <w:ind w:firstLine="360"/>
        <w:rPr>
          <w:rFonts w:hAnsi="宋体"/>
          <w:b/>
        </w:rPr>
      </w:pPr>
      <w:r>
        <w:rPr>
          <w:rFonts w:hAnsi="宋体"/>
        </w:rPr>
        <w:t xml:space="preserve">10.2  </w:t>
      </w:r>
      <w:r>
        <w:rPr>
          <w:rFonts w:hint="eastAsia" w:hAnsi="宋体"/>
        </w:rPr>
        <w:t>投标人应编制目录，按上述顺序将报价文件、资格文件、技术文件和商务文件</w:t>
      </w:r>
      <w:r>
        <w:rPr>
          <w:rFonts w:hint="eastAsia" w:hAnsi="宋体"/>
          <w:b/>
        </w:rPr>
        <w:t>分别装订成册</w:t>
      </w:r>
      <w:r>
        <w:rPr>
          <w:rFonts w:hint="eastAsia" w:hAnsi="宋体"/>
        </w:rPr>
        <w:t>。</w:t>
      </w:r>
      <w:r>
        <w:rPr>
          <w:rFonts w:hint="eastAsia" w:hAnsi="宋体"/>
          <w:b/>
        </w:rPr>
        <w:t>特别注意投标报价不得出现在资格文件、技术文件和商务文件中。</w:t>
      </w:r>
    </w:p>
    <w:p>
      <w:pPr>
        <w:pStyle w:val="19"/>
        <w:spacing w:line="440" w:lineRule="exact"/>
        <w:ind w:firstLine="360"/>
        <w:rPr>
          <w:rFonts w:hAnsi="宋体"/>
          <w:b/>
        </w:rPr>
      </w:pPr>
      <w:r>
        <w:rPr>
          <w:rFonts w:hAnsi="宋体"/>
          <w:b/>
        </w:rPr>
        <w:t xml:space="preserve">10.2.1  </w:t>
      </w:r>
      <w:r>
        <w:rPr>
          <w:rFonts w:hint="eastAsia" w:hAnsi="宋体"/>
          <w:b/>
        </w:rPr>
        <w:t>上述文件应由投标人的法定代表人或其委托代理人在规定签章处签字并加盖单位公章。其中，法定代表人授权委托书必须有法定代表人签字及被授权人签字并加盖单位公章。未在规定签章处签字并加盖单位公章的，作投标无效处理。</w:t>
      </w:r>
    </w:p>
    <w:p>
      <w:pPr>
        <w:pStyle w:val="19"/>
        <w:spacing w:line="440" w:lineRule="exact"/>
        <w:rPr>
          <w:rFonts w:hAnsi="宋体"/>
          <w:bCs/>
          <w:sz w:val="24"/>
        </w:rPr>
      </w:pPr>
      <w:r>
        <w:rPr>
          <w:rFonts w:hAnsi="宋体"/>
          <w:bCs/>
          <w:sz w:val="24"/>
        </w:rPr>
        <w:t xml:space="preserve">11.  </w:t>
      </w:r>
      <w:r>
        <w:rPr>
          <w:rFonts w:hint="eastAsia" w:hAnsi="宋体"/>
          <w:bCs/>
          <w:sz w:val="24"/>
        </w:rPr>
        <w:t>投标报价</w:t>
      </w:r>
    </w:p>
    <w:p>
      <w:pPr>
        <w:pStyle w:val="19"/>
        <w:spacing w:line="440" w:lineRule="exact"/>
        <w:ind w:firstLine="360"/>
        <w:rPr>
          <w:rFonts w:hAnsi="宋体"/>
        </w:rPr>
      </w:pPr>
      <w:r>
        <w:rPr>
          <w:rFonts w:hAnsi="宋体"/>
        </w:rPr>
        <w:t xml:space="preserve">11.1  </w:t>
      </w:r>
      <w:r>
        <w:rPr>
          <w:rFonts w:hint="eastAsia" w:hAnsi="宋体"/>
        </w:rPr>
        <w:t>投标人应以人民币报价。</w:t>
      </w:r>
    </w:p>
    <w:p>
      <w:pPr>
        <w:pStyle w:val="19"/>
        <w:spacing w:line="440" w:lineRule="exact"/>
        <w:ind w:firstLine="360"/>
        <w:rPr>
          <w:rFonts w:hAnsi="宋体"/>
        </w:rPr>
      </w:pPr>
      <w:r>
        <w:rPr>
          <w:rFonts w:hAnsi="宋体"/>
        </w:rPr>
        <w:t xml:space="preserve">11.2  </w:t>
      </w:r>
      <w:r>
        <w:rPr>
          <w:rFonts w:hint="eastAsia" w:hAnsi="宋体"/>
        </w:rPr>
        <w:t>投标人可就第二章“</w:t>
      </w:r>
      <w:r>
        <w:rPr>
          <w:rFonts w:hAnsi="宋体"/>
        </w:rPr>
        <w:t>采购需求一览表</w:t>
      </w:r>
      <w:r>
        <w:rPr>
          <w:rFonts w:hint="eastAsia" w:hAnsi="宋体"/>
        </w:rPr>
        <w:t>”中的</w:t>
      </w:r>
      <w:r>
        <w:rPr>
          <w:rFonts w:hint="eastAsia" w:hAnsi="宋体"/>
          <w:b/>
        </w:rPr>
        <w:t>某一个分标内容报出完整且唯一报价，也可就某几个或所有分标内容分别报出完整且唯一报价，附带有条件的报价将不予接受。</w:t>
      </w:r>
    </w:p>
    <w:p>
      <w:pPr>
        <w:pStyle w:val="19"/>
        <w:spacing w:line="440" w:lineRule="exact"/>
        <w:ind w:firstLine="360"/>
        <w:rPr>
          <w:rFonts w:hAnsi="宋体"/>
        </w:rPr>
      </w:pPr>
      <w:r>
        <w:rPr>
          <w:rFonts w:hAnsi="宋体"/>
        </w:rPr>
        <w:t xml:space="preserve">11.3  </w:t>
      </w:r>
      <w:r>
        <w:rPr>
          <w:rFonts w:hint="eastAsia" w:hAnsi="宋体"/>
        </w:rPr>
        <w:t>投标报价为中标供应商履行合同的最终价格，合同实施过程中，采购人不再向中标供应商支付其投标报价之外的任何费用。</w:t>
      </w:r>
    </w:p>
    <w:p>
      <w:pPr>
        <w:pStyle w:val="19"/>
        <w:spacing w:line="440" w:lineRule="exact"/>
        <w:ind w:firstLine="360"/>
        <w:rPr>
          <w:rFonts w:hint="eastAsia" w:hAnsi="宋体"/>
        </w:rPr>
      </w:pPr>
      <w:r>
        <w:rPr>
          <w:rFonts w:hAnsi="宋体"/>
        </w:rPr>
        <w:t xml:space="preserve">11.4  </w:t>
      </w:r>
      <w:r>
        <w:rPr>
          <w:rFonts w:hint="eastAsia" w:hAnsi="宋体"/>
        </w:rPr>
        <w:t>本项目中标服务费在签订合同前，中标供应商须向采购代理机构一次付清代理服务费。</w:t>
      </w:r>
    </w:p>
    <w:p>
      <w:pPr>
        <w:pStyle w:val="19"/>
        <w:spacing w:line="440" w:lineRule="exact"/>
        <w:ind w:firstLine="360"/>
        <w:rPr>
          <w:rFonts w:hAnsi="宋体"/>
        </w:rPr>
      </w:pPr>
      <w:r>
        <w:rPr>
          <w:rFonts w:hAnsi="宋体"/>
        </w:rPr>
        <w:t xml:space="preserve">11.5  </w:t>
      </w:r>
      <w:r>
        <w:rPr>
          <w:rFonts w:hint="eastAsia" w:hAnsi="宋体"/>
        </w:rPr>
        <w:t>不论投标结果如何，投标人均应自行承担与编制和递交投标文件有关的全部费用。</w:t>
      </w:r>
    </w:p>
    <w:p>
      <w:pPr>
        <w:pStyle w:val="19"/>
        <w:spacing w:line="440" w:lineRule="exact"/>
        <w:rPr>
          <w:rFonts w:hAnsi="宋体"/>
          <w:bCs/>
          <w:sz w:val="24"/>
        </w:rPr>
      </w:pPr>
      <w:r>
        <w:rPr>
          <w:rFonts w:hAnsi="宋体"/>
          <w:bCs/>
          <w:sz w:val="24"/>
        </w:rPr>
        <w:t xml:space="preserve">12.  </w:t>
      </w:r>
      <w:r>
        <w:rPr>
          <w:rFonts w:hint="eastAsia" w:hAnsi="宋体"/>
          <w:bCs/>
          <w:sz w:val="24"/>
        </w:rPr>
        <w:t>投标有效期</w:t>
      </w:r>
    </w:p>
    <w:p>
      <w:pPr>
        <w:pStyle w:val="19"/>
        <w:spacing w:line="440" w:lineRule="exact"/>
        <w:ind w:firstLine="360"/>
        <w:rPr>
          <w:rFonts w:hAnsi="宋体"/>
        </w:rPr>
      </w:pPr>
      <w:r>
        <w:rPr>
          <w:rFonts w:hAnsi="宋体"/>
        </w:rPr>
        <w:t xml:space="preserve">12.1  </w:t>
      </w:r>
      <w:r>
        <w:rPr>
          <w:rFonts w:hint="eastAsia" w:hAnsi="宋体"/>
        </w:rPr>
        <w:t>在投标人须知前附表规定的投标有效期内，投标人不得要求撤销或修改其投标文件。投标有效期不满足要求的投标将被视为非实质性响应投标而予以拒绝。</w:t>
      </w:r>
    </w:p>
    <w:p>
      <w:pPr>
        <w:pStyle w:val="19"/>
        <w:spacing w:line="440" w:lineRule="exact"/>
        <w:ind w:firstLine="360"/>
        <w:rPr>
          <w:rFonts w:hAnsi="宋体"/>
        </w:rPr>
      </w:pPr>
      <w:r>
        <w:rPr>
          <w:rFonts w:hAnsi="宋体"/>
        </w:rPr>
        <w:t xml:space="preserve">12.2  </w:t>
      </w:r>
      <w:r>
        <w:rPr>
          <w:rFonts w:hint="eastAsia" w:hAnsi="宋体"/>
        </w:rPr>
        <w:t>在特殊情况下，采购人或采购代理机构可与投标人协商延长投标有效期，这种要求与答复均应使用书面形式。投标人同意延长的，应相应延长其投标保证金的有效期，但不得要求或被允许修改或撤销其投标文件；投标人拒绝延长的，其投标在超过原有效期后失效，其投标保证金不会被没收。</w:t>
      </w:r>
    </w:p>
    <w:p>
      <w:pPr>
        <w:pStyle w:val="19"/>
        <w:spacing w:line="440" w:lineRule="exact"/>
        <w:rPr>
          <w:rFonts w:hAnsi="宋体"/>
          <w:bCs/>
          <w:sz w:val="24"/>
        </w:rPr>
      </w:pPr>
      <w:r>
        <w:rPr>
          <w:rFonts w:hAnsi="宋体"/>
          <w:bCs/>
          <w:sz w:val="24"/>
        </w:rPr>
        <w:t xml:space="preserve">13.  </w:t>
      </w:r>
      <w:r>
        <w:rPr>
          <w:rFonts w:hint="eastAsia" w:hAnsi="宋体"/>
          <w:bCs/>
          <w:sz w:val="24"/>
        </w:rPr>
        <w:t>投标保证金</w:t>
      </w:r>
    </w:p>
    <w:p>
      <w:pPr>
        <w:pStyle w:val="6"/>
        <w:spacing w:before="132"/>
        <w:ind w:left="0" w:leftChars="0" w:firstLine="420" w:firstLineChars="200"/>
        <w:rPr>
          <w:rFonts w:hint="eastAsia" w:ascii="宋体" w:hAnsi="宋体" w:eastAsia="宋体" w:cs="Times New Roman"/>
          <w:kern w:val="2"/>
          <w:sz w:val="21"/>
          <w:szCs w:val="20"/>
          <w:lang w:val="en-US" w:eastAsia="zh-CN" w:bidi="ar-SA"/>
        </w:rPr>
      </w:pPr>
      <w:r>
        <w:rPr>
          <w:rFonts w:hint="eastAsia" w:ascii="宋体" w:hAnsi="宋体" w:eastAsia="宋体" w:cs="Times New Roman"/>
          <w:kern w:val="2"/>
          <w:sz w:val="21"/>
          <w:szCs w:val="20"/>
          <w:lang w:val="en-US" w:eastAsia="zh-CN" w:bidi="ar-SA"/>
        </w:rPr>
        <w:t>13.1 投标保证金：A标段：2</w:t>
      </w:r>
      <w:bookmarkStart w:id="71" w:name="_GoBack"/>
      <w:bookmarkEnd w:id="71"/>
      <w:r>
        <w:rPr>
          <w:rFonts w:hint="eastAsia" w:ascii="宋体" w:hAnsi="宋体" w:eastAsia="宋体" w:cs="Times New Roman"/>
          <w:kern w:val="2"/>
          <w:sz w:val="21"/>
          <w:szCs w:val="20"/>
          <w:lang w:val="en-US" w:eastAsia="zh-CN" w:bidi="ar-SA"/>
        </w:rPr>
        <w:t>0000元 ，B标段:20000元；</w:t>
      </w:r>
    </w:p>
    <w:p>
      <w:pPr>
        <w:pStyle w:val="6"/>
        <w:spacing w:before="132"/>
        <w:ind w:left="0" w:leftChars="0" w:firstLine="420" w:firstLineChars="200"/>
        <w:rPr>
          <w:rFonts w:hint="eastAsia" w:ascii="宋体" w:hAnsi="宋体" w:eastAsia="宋体" w:cs="Times New Roman"/>
          <w:kern w:val="2"/>
          <w:sz w:val="21"/>
          <w:szCs w:val="20"/>
          <w:lang w:val="en-US" w:eastAsia="zh-CN" w:bidi="ar-SA"/>
        </w:rPr>
      </w:pPr>
      <w:r>
        <w:rPr>
          <w:rFonts w:hint="eastAsia" w:ascii="宋体" w:hAnsi="宋体" w:eastAsia="宋体" w:cs="Times New Roman"/>
          <w:kern w:val="2"/>
          <w:sz w:val="21"/>
          <w:szCs w:val="20"/>
          <w:lang w:val="en-US" w:eastAsia="zh-CN" w:bidi="ar-SA"/>
        </w:rPr>
        <w:t>13.2投标保证金的交纳方式：支持银行转账、支票、汇票、本票或者保险机构出具的保函、保险单，禁止采用现钞方式；</w:t>
      </w:r>
    </w:p>
    <w:p>
      <w:pPr>
        <w:pStyle w:val="6"/>
        <w:spacing w:before="132" w:line="240" w:lineRule="auto"/>
        <w:ind w:left="0" w:leftChars="0" w:firstLine="630" w:firstLineChars="300"/>
        <w:rPr>
          <w:rFonts w:hint="eastAsia" w:ascii="宋体" w:hAnsi="宋体" w:eastAsia="宋体" w:cs="Times New Roman"/>
          <w:kern w:val="2"/>
          <w:sz w:val="21"/>
          <w:szCs w:val="20"/>
          <w:lang w:val="en-US" w:eastAsia="zh-CN" w:bidi="ar-SA"/>
        </w:rPr>
      </w:pPr>
      <w:r>
        <w:rPr>
          <w:rFonts w:hint="eastAsia" w:ascii="宋体" w:hAnsi="宋体" w:eastAsia="宋体" w:cs="Times New Roman"/>
          <w:kern w:val="2"/>
          <w:sz w:val="21"/>
          <w:szCs w:val="20"/>
          <w:lang w:val="en-US" w:eastAsia="zh-CN" w:bidi="ar-SA"/>
        </w:rPr>
        <w:t>开户名称：崇左市公共资源交易中心 </w:t>
      </w:r>
    </w:p>
    <w:p>
      <w:pPr>
        <w:pStyle w:val="6"/>
        <w:spacing w:before="132" w:line="240" w:lineRule="auto"/>
        <w:ind w:left="630" w:leftChars="300" w:firstLine="0" w:firstLineChars="0"/>
        <w:rPr>
          <w:rFonts w:hint="default" w:ascii="宋体" w:hAnsi="宋体" w:eastAsia="宋体" w:cs="Times New Roman"/>
          <w:kern w:val="2"/>
          <w:sz w:val="21"/>
          <w:szCs w:val="20"/>
          <w:lang w:val="en-US" w:eastAsia="zh-CN" w:bidi="ar-SA"/>
        </w:rPr>
      </w:pPr>
      <w:r>
        <w:rPr>
          <w:rFonts w:hint="eastAsia" w:ascii="宋体" w:hAnsi="宋体" w:eastAsia="宋体" w:cs="Times New Roman"/>
          <w:kern w:val="2"/>
          <w:sz w:val="21"/>
          <w:szCs w:val="20"/>
          <w:lang w:val="en-US" w:eastAsia="zh-CN" w:bidi="ar-SA"/>
        </w:rPr>
        <w:t>开户行：广西北部湾银行崇左分行 </w:t>
      </w:r>
      <w:r>
        <w:rPr>
          <w:rFonts w:hint="eastAsia" w:ascii="宋体" w:hAnsi="宋体" w:eastAsia="宋体" w:cs="Times New Roman"/>
          <w:kern w:val="2"/>
          <w:sz w:val="21"/>
          <w:szCs w:val="20"/>
          <w:lang w:val="en-US" w:eastAsia="zh-CN" w:bidi="ar-SA"/>
        </w:rPr>
        <w:br w:type="textWrapping"/>
      </w:r>
      <w:r>
        <w:rPr>
          <w:rFonts w:hint="eastAsia" w:ascii="宋体" w:hAnsi="宋体" w:eastAsia="宋体" w:cs="Times New Roman"/>
          <w:kern w:val="2"/>
          <w:sz w:val="21"/>
          <w:szCs w:val="20"/>
          <w:lang w:val="en-US" w:eastAsia="zh-CN" w:bidi="ar-SA"/>
        </w:rPr>
        <w:t>开户账号2：8000 9177 3466 663 </w:t>
      </w:r>
      <w:bookmarkStart w:id="43" w:name="_Toc213326419"/>
      <w:bookmarkStart w:id="44" w:name="_Toc401396878"/>
      <w:r>
        <w:rPr>
          <w:rFonts w:hint="eastAsia" w:hAnsi="宋体" w:cs="Times New Roman"/>
          <w:kern w:val="2"/>
          <w:sz w:val="21"/>
          <w:szCs w:val="20"/>
          <w:lang w:val="en-US" w:eastAsia="zh-CN" w:bidi="ar-SA"/>
        </w:rPr>
        <w:t xml:space="preserve"> </w:t>
      </w:r>
    </w:p>
    <w:p>
      <w:pPr>
        <w:pStyle w:val="4"/>
        <w:rPr>
          <w:rFonts w:ascii="宋体" w:hAnsi="宋体"/>
        </w:rPr>
      </w:pPr>
      <w:bookmarkStart w:id="45" w:name="_Toc57749783"/>
      <w:r>
        <w:rPr>
          <w:rFonts w:hint="eastAsia" w:ascii="宋体" w:hAnsi="宋体"/>
        </w:rPr>
        <w:t>四投标</w:t>
      </w:r>
      <w:bookmarkEnd w:id="43"/>
      <w:bookmarkEnd w:id="44"/>
      <w:bookmarkEnd w:id="45"/>
    </w:p>
    <w:p>
      <w:pPr>
        <w:pStyle w:val="19"/>
        <w:spacing w:line="440" w:lineRule="exact"/>
        <w:rPr>
          <w:rFonts w:hAnsi="宋体"/>
          <w:bCs/>
          <w:sz w:val="24"/>
        </w:rPr>
      </w:pPr>
      <w:r>
        <w:rPr>
          <w:rFonts w:hAnsi="宋体"/>
          <w:bCs/>
          <w:sz w:val="24"/>
        </w:rPr>
        <w:t xml:space="preserve">14.  </w:t>
      </w:r>
      <w:r>
        <w:rPr>
          <w:rFonts w:hint="eastAsia" w:hAnsi="宋体"/>
          <w:bCs/>
          <w:sz w:val="24"/>
        </w:rPr>
        <w:t>投标文件的密封</w:t>
      </w:r>
    </w:p>
    <w:p>
      <w:pPr>
        <w:pStyle w:val="19"/>
        <w:spacing w:line="440" w:lineRule="exact"/>
        <w:ind w:firstLine="359" w:firstLineChars="171"/>
        <w:rPr>
          <w:rFonts w:hAnsi="宋体"/>
        </w:rPr>
      </w:pPr>
      <w:r>
        <w:rPr>
          <w:rFonts w:hAnsi="宋体"/>
        </w:rPr>
        <w:t xml:space="preserve">14.1  </w:t>
      </w:r>
      <w:r>
        <w:rPr>
          <w:rFonts w:hint="eastAsia" w:hAnsi="宋体"/>
        </w:rPr>
        <w:t>投标人应将投标正、副本文件、统一装入一个文件包装袋中加以密封。封口处必须加盖投标人单位公章或被授权人签字，以示密封。密封袋上应标明项目名称、项目编号、投标人名称和地址、及“在（开标日期、时间）之前不得启封”的字样。</w:t>
      </w:r>
    </w:p>
    <w:p>
      <w:pPr>
        <w:pStyle w:val="19"/>
        <w:spacing w:line="440" w:lineRule="exact"/>
        <w:ind w:firstLine="359" w:firstLineChars="171"/>
        <w:rPr>
          <w:rFonts w:hAnsi="宋体"/>
        </w:rPr>
      </w:pPr>
      <w:r>
        <w:rPr>
          <w:rFonts w:hint="eastAsia" w:hAnsi="宋体"/>
        </w:rPr>
        <w:t>如投标人未按上述要求密封及加写标记，其投标文件不予接收，并且采购人或采购代理机构对其投标文件的误投或过早启封概不负责。</w:t>
      </w:r>
    </w:p>
    <w:p>
      <w:pPr>
        <w:pStyle w:val="19"/>
        <w:spacing w:line="440" w:lineRule="exact"/>
        <w:rPr>
          <w:rFonts w:hAnsi="宋体"/>
          <w:bCs/>
          <w:sz w:val="24"/>
        </w:rPr>
      </w:pPr>
      <w:r>
        <w:rPr>
          <w:rFonts w:hAnsi="宋体"/>
          <w:bCs/>
          <w:sz w:val="24"/>
        </w:rPr>
        <w:t xml:space="preserve">15.  </w:t>
      </w:r>
      <w:r>
        <w:rPr>
          <w:rFonts w:hint="eastAsia" w:hAnsi="宋体"/>
          <w:bCs/>
          <w:sz w:val="24"/>
        </w:rPr>
        <w:t>投标文件及投标样品的递交</w:t>
      </w:r>
    </w:p>
    <w:p>
      <w:pPr>
        <w:pStyle w:val="19"/>
        <w:spacing w:line="440" w:lineRule="exact"/>
        <w:ind w:firstLine="360"/>
        <w:rPr>
          <w:rFonts w:hAnsi="宋体"/>
        </w:rPr>
      </w:pPr>
      <w:r>
        <w:rPr>
          <w:rFonts w:hAnsi="宋体"/>
        </w:rPr>
        <w:t xml:space="preserve">15.1  </w:t>
      </w:r>
      <w:r>
        <w:rPr>
          <w:rFonts w:hint="eastAsia" w:hAnsi="宋体"/>
        </w:rPr>
        <w:t>投标人投标截止时间：见投标人须知前附表。</w:t>
      </w:r>
    </w:p>
    <w:p>
      <w:pPr>
        <w:pStyle w:val="19"/>
        <w:spacing w:line="440" w:lineRule="exact"/>
        <w:ind w:firstLine="360"/>
        <w:rPr>
          <w:rFonts w:hAnsi="宋体"/>
        </w:rPr>
      </w:pPr>
      <w:r>
        <w:rPr>
          <w:rFonts w:hAnsi="宋体"/>
        </w:rPr>
        <w:t xml:space="preserve">15.2  </w:t>
      </w:r>
      <w:r>
        <w:rPr>
          <w:rFonts w:hint="eastAsia" w:hAnsi="宋体"/>
        </w:rPr>
        <w:t>投标人递交投标文件地点：见投标人须知前附表。</w:t>
      </w:r>
    </w:p>
    <w:p>
      <w:pPr>
        <w:pStyle w:val="19"/>
        <w:spacing w:line="440" w:lineRule="exact"/>
        <w:ind w:firstLine="360"/>
        <w:rPr>
          <w:rFonts w:hAnsi="宋体"/>
        </w:rPr>
      </w:pPr>
      <w:r>
        <w:rPr>
          <w:rFonts w:hAnsi="宋体"/>
        </w:rPr>
        <w:t xml:space="preserve">15.3  </w:t>
      </w:r>
      <w:r>
        <w:rPr>
          <w:rFonts w:hint="eastAsia" w:hAnsi="宋体"/>
        </w:rPr>
        <w:t>投标人递交投标样品截止时间：见投标人须知前附表。</w:t>
      </w:r>
    </w:p>
    <w:p>
      <w:pPr>
        <w:pStyle w:val="19"/>
        <w:spacing w:line="440" w:lineRule="exact"/>
        <w:ind w:firstLine="360"/>
        <w:rPr>
          <w:rFonts w:hAnsi="宋体"/>
        </w:rPr>
      </w:pPr>
      <w:r>
        <w:rPr>
          <w:rFonts w:hAnsi="宋体"/>
        </w:rPr>
        <w:t xml:space="preserve">15.4  </w:t>
      </w:r>
      <w:r>
        <w:rPr>
          <w:rFonts w:hint="eastAsia" w:hAnsi="宋体"/>
        </w:rPr>
        <w:t>投标人递交投标样品地点：见投标人须知前附表。</w:t>
      </w:r>
    </w:p>
    <w:p>
      <w:pPr>
        <w:pStyle w:val="19"/>
        <w:spacing w:line="440" w:lineRule="exact"/>
        <w:jc w:val="center"/>
        <w:rPr>
          <w:rFonts w:hAnsi="宋体"/>
        </w:rPr>
      </w:pPr>
    </w:p>
    <w:p>
      <w:pPr>
        <w:pStyle w:val="4"/>
        <w:rPr>
          <w:rFonts w:ascii="宋体" w:hAnsi="宋体"/>
        </w:rPr>
      </w:pPr>
      <w:bookmarkStart w:id="46" w:name="_Toc401396879"/>
      <w:bookmarkStart w:id="47" w:name="_Toc57749784"/>
      <w:bookmarkStart w:id="48" w:name="_Toc213326420"/>
      <w:r>
        <w:rPr>
          <w:rFonts w:hint="eastAsia" w:ascii="宋体" w:hAnsi="宋体"/>
        </w:rPr>
        <w:t>五开标与评标</w:t>
      </w:r>
      <w:bookmarkEnd w:id="46"/>
      <w:bookmarkEnd w:id="47"/>
      <w:bookmarkEnd w:id="48"/>
    </w:p>
    <w:p>
      <w:pPr>
        <w:pStyle w:val="19"/>
        <w:spacing w:line="440" w:lineRule="exact"/>
        <w:rPr>
          <w:rFonts w:hAnsi="宋体"/>
          <w:bCs/>
          <w:sz w:val="24"/>
        </w:rPr>
      </w:pPr>
      <w:r>
        <w:rPr>
          <w:rFonts w:hAnsi="宋体"/>
          <w:bCs/>
          <w:sz w:val="24"/>
        </w:rPr>
        <w:t xml:space="preserve">16.  </w:t>
      </w:r>
      <w:r>
        <w:rPr>
          <w:rFonts w:hint="eastAsia" w:hAnsi="宋体"/>
          <w:bCs/>
          <w:sz w:val="24"/>
        </w:rPr>
        <w:t>开标</w:t>
      </w:r>
    </w:p>
    <w:p>
      <w:pPr>
        <w:pStyle w:val="19"/>
        <w:spacing w:line="440" w:lineRule="exact"/>
        <w:ind w:firstLine="359" w:firstLineChars="171"/>
        <w:rPr>
          <w:rFonts w:hAnsi="宋体"/>
          <w:color w:val="auto"/>
        </w:rPr>
      </w:pPr>
      <w:r>
        <w:rPr>
          <w:rFonts w:hAnsi="宋体"/>
        </w:rPr>
        <w:t xml:space="preserve">16.1  </w:t>
      </w:r>
      <w:r>
        <w:rPr>
          <w:rFonts w:hint="eastAsia" w:hAnsi="宋体"/>
        </w:rPr>
        <w:t>采购代理机构将在本章第</w:t>
      </w:r>
      <w:r>
        <w:rPr>
          <w:rFonts w:hAnsi="宋体"/>
        </w:rPr>
        <w:t>15.1</w:t>
      </w:r>
      <w:r>
        <w:rPr>
          <w:rFonts w:hint="eastAsia" w:hAnsi="宋体"/>
        </w:rPr>
        <w:t>项规定的投标截止时间（即开标时间）和投标人须知前附表规定的地点公开开标，</w:t>
      </w:r>
      <w:r>
        <w:rPr>
          <w:rFonts w:hint="eastAsia" w:hAnsi="宋体"/>
          <w:color w:val="auto"/>
          <w:szCs w:val="21"/>
        </w:rPr>
        <w:t>向</w:t>
      </w:r>
      <w:r>
        <w:rPr>
          <w:rFonts w:hint="eastAsia" w:hAnsi="宋体"/>
          <w:color w:val="auto"/>
        </w:rPr>
        <w:t>采购代理机构</w:t>
      </w:r>
      <w:r>
        <w:rPr>
          <w:rFonts w:hint="eastAsia" w:hAnsi="宋体"/>
          <w:color w:val="auto"/>
          <w:szCs w:val="21"/>
        </w:rPr>
        <w:t>提交本人身份证原件及营业执照复印件[包括法定代表人身份证明原件（企业法定代表人参加投标会时检查）或委托代理投标相关证明及营业执照复印件（附法定代表人身份证明的授权委托书原件、受委托的委托代理人身份证原件，委托代理人参加投标会时检查）（加盖单位公章）]</w:t>
      </w:r>
      <w:r>
        <w:rPr>
          <w:rFonts w:hint="eastAsia" w:hAnsi="宋体"/>
          <w:color w:val="auto"/>
        </w:rPr>
        <w:t>投标人的法定代表人或其委托代理人应准时参加并签到。如未按时签到，由此产生的后果由投标人自行负责。</w:t>
      </w:r>
    </w:p>
    <w:p>
      <w:pPr>
        <w:pStyle w:val="19"/>
        <w:spacing w:line="440" w:lineRule="exact"/>
        <w:ind w:firstLine="359" w:firstLineChars="171"/>
        <w:rPr>
          <w:rFonts w:hAnsi="宋体"/>
        </w:rPr>
      </w:pPr>
      <w:r>
        <w:rPr>
          <w:rFonts w:hAnsi="宋体"/>
        </w:rPr>
        <w:t xml:space="preserve">16.2  </w:t>
      </w:r>
      <w:r>
        <w:rPr>
          <w:rFonts w:hint="eastAsia" w:hAnsi="宋体"/>
        </w:rPr>
        <w:t>开标程序：</w:t>
      </w:r>
    </w:p>
    <w:p>
      <w:pPr>
        <w:pStyle w:val="19"/>
        <w:spacing w:line="440" w:lineRule="exact"/>
        <w:ind w:firstLine="720"/>
        <w:rPr>
          <w:rFonts w:hAnsi="宋体"/>
        </w:rPr>
      </w:pPr>
      <w:r>
        <w:rPr>
          <w:rFonts w:hint="eastAsia" w:hAnsi="宋体"/>
        </w:rPr>
        <w:t>（</w:t>
      </w:r>
      <w:r>
        <w:rPr>
          <w:rFonts w:hAnsi="宋体"/>
        </w:rPr>
        <w:t>1</w:t>
      </w:r>
      <w:r>
        <w:rPr>
          <w:rFonts w:hint="eastAsia" w:hAnsi="宋体"/>
        </w:rPr>
        <w:t>）开标会由采购代理机构主持，主持人宣布开标会议开始；</w:t>
      </w:r>
    </w:p>
    <w:p>
      <w:pPr>
        <w:pStyle w:val="19"/>
        <w:spacing w:line="440" w:lineRule="exact"/>
        <w:ind w:firstLine="720"/>
        <w:rPr>
          <w:rFonts w:hAnsi="宋体"/>
        </w:rPr>
      </w:pPr>
      <w:r>
        <w:rPr>
          <w:rFonts w:hint="eastAsia" w:hAnsi="宋体"/>
        </w:rPr>
        <w:t>（</w:t>
      </w:r>
      <w:r>
        <w:rPr>
          <w:rFonts w:hAnsi="宋体"/>
        </w:rPr>
        <w:t>2</w:t>
      </w:r>
      <w:r>
        <w:rPr>
          <w:rFonts w:hint="eastAsia" w:hAnsi="宋体"/>
        </w:rPr>
        <w:t>）公布在投标截止时间前递交投标文件的投标人家数、投标单位名称，并点名确认投标人是否到场；</w:t>
      </w:r>
    </w:p>
    <w:p>
      <w:pPr>
        <w:pStyle w:val="19"/>
        <w:spacing w:line="440" w:lineRule="exact"/>
        <w:ind w:firstLine="720"/>
        <w:rPr>
          <w:rFonts w:hAnsi="宋体"/>
        </w:rPr>
      </w:pPr>
      <w:r>
        <w:rPr>
          <w:rFonts w:hint="eastAsia" w:hAnsi="宋体"/>
        </w:rPr>
        <w:t>（</w:t>
      </w:r>
      <w:r>
        <w:rPr>
          <w:rFonts w:hAnsi="宋体"/>
        </w:rPr>
        <w:t>3</w:t>
      </w:r>
      <w:r>
        <w:rPr>
          <w:rFonts w:hint="eastAsia" w:hAnsi="宋体"/>
        </w:rPr>
        <w:t>）宣布开标人、唱标人、记录人、监标人等有关人员；</w:t>
      </w:r>
    </w:p>
    <w:p>
      <w:pPr>
        <w:pStyle w:val="19"/>
        <w:spacing w:line="440" w:lineRule="exact"/>
        <w:ind w:firstLine="720"/>
        <w:rPr>
          <w:rFonts w:hAnsi="宋体"/>
        </w:rPr>
      </w:pPr>
      <w:r>
        <w:rPr>
          <w:rFonts w:hint="eastAsia" w:hAnsi="宋体"/>
        </w:rPr>
        <w:t>（</w:t>
      </w:r>
      <w:r>
        <w:rPr>
          <w:rFonts w:hAnsi="宋体"/>
        </w:rPr>
        <w:t>4</w:t>
      </w:r>
      <w:r>
        <w:rPr>
          <w:rFonts w:hint="eastAsia" w:hAnsi="宋体"/>
        </w:rPr>
        <w:t>）投标人代表按本章第</w:t>
      </w:r>
      <w:r>
        <w:rPr>
          <w:rFonts w:hAnsi="宋体"/>
        </w:rPr>
        <w:t>14.1</w:t>
      </w:r>
      <w:r>
        <w:rPr>
          <w:rFonts w:hint="eastAsia" w:hAnsi="宋体"/>
        </w:rPr>
        <w:t>项的规定由各投标人检查各自的投标文件密封情况并签字确认；</w:t>
      </w:r>
    </w:p>
    <w:p>
      <w:pPr>
        <w:pStyle w:val="19"/>
        <w:spacing w:line="440" w:lineRule="exact"/>
        <w:ind w:firstLine="720"/>
        <w:rPr>
          <w:rFonts w:hAnsi="宋体"/>
        </w:rPr>
      </w:pPr>
      <w:r>
        <w:rPr>
          <w:rFonts w:hint="eastAsia" w:hAnsi="宋体"/>
        </w:rPr>
        <w:t>（</w:t>
      </w:r>
      <w:r>
        <w:rPr>
          <w:rFonts w:hAnsi="宋体"/>
        </w:rPr>
        <w:t>5</w:t>
      </w:r>
      <w:r>
        <w:rPr>
          <w:rFonts w:hint="eastAsia" w:hAnsi="宋体"/>
        </w:rPr>
        <w:t>）按各投标人递交投标文件时间的先后顺序当众拆封投标文件，由唱标人宣读投标人名称、分标名称、投标报价、服务期等以及采购代理机构认为有必要宣读的其他内容；</w:t>
      </w:r>
    </w:p>
    <w:p>
      <w:pPr>
        <w:pStyle w:val="19"/>
        <w:spacing w:line="440" w:lineRule="exact"/>
        <w:ind w:firstLine="720"/>
        <w:rPr>
          <w:rFonts w:hAnsi="宋体"/>
        </w:rPr>
      </w:pPr>
      <w:r>
        <w:rPr>
          <w:rFonts w:hint="eastAsia" w:hAnsi="宋体"/>
        </w:rPr>
        <w:t>（</w:t>
      </w:r>
      <w:r>
        <w:rPr>
          <w:rFonts w:hAnsi="宋体"/>
        </w:rPr>
        <w:t>6</w:t>
      </w:r>
      <w:r>
        <w:rPr>
          <w:rFonts w:hint="eastAsia" w:hAnsi="宋体"/>
        </w:rPr>
        <w:t>）相关人员在开标记录上签字确认；</w:t>
      </w:r>
    </w:p>
    <w:p>
      <w:pPr>
        <w:pStyle w:val="19"/>
        <w:spacing w:line="440" w:lineRule="exact"/>
        <w:ind w:firstLine="720"/>
        <w:rPr>
          <w:rFonts w:hAnsi="宋体"/>
        </w:rPr>
      </w:pPr>
      <w:r>
        <w:rPr>
          <w:rFonts w:hint="eastAsia" w:hAnsi="宋体"/>
        </w:rPr>
        <w:t>（</w:t>
      </w:r>
      <w:r>
        <w:rPr>
          <w:rFonts w:hAnsi="宋体"/>
        </w:rPr>
        <w:t>7</w:t>
      </w:r>
      <w:r>
        <w:rPr>
          <w:rFonts w:hint="eastAsia" w:hAnsi="宋体"/>
        </w:rPr>
        <w:t>）宣布评标期间的有关事项；</w:t>
      </w:r>
    </w:p>
    <w:p>
      <w:pPr>
        <w:pStyle w:val="19"/>
        <w:spacing w:line="440" w:lineRule="exact"/>
        <w:ind w:firstLine="720"/>
        <w:rPr>
          <w:rFonts w:hAnsi="宋体"/>
        </w:rPr>
      </w:pPr>
      <w:r>
        <w:rPr>
          <w:rFonts w:hint="eastAsia" w:hAnsi="宋体"/>
        </w:rPr>
        <w:t>（</w:t>
      </w:r>
      <w:r>
        <w:rPr>
          <w:rFonts w:hAnsi="宋体"/>
        </w:rPr>
        <w:t>8</w:t>
      </w:r>
      <w:r>
        <w:rPr>
          <w:rFonts w:hint="eastAsia" w:hAnsi="宋体"/>
        </w:rPr>
        <w:t>）开标结束。</w:t>
      </w:r>
    </w:p>
    <w:p>
      <w:pPr>
        <w:pStyle w:val="19"/>
        <w:spacing w:line="440" w:lineRule="exact"/>
        <w:ind w:firstLine="720"/>
        <w:rPr>
          <w:rFonts w:hAnsi="宋体"/>
        </w:rPr>
      </w:pPr>
      <w:r>
        <w:rPr>
          <w:rFonts w:hint="eastAsia" w:hAnsi="宋体"/>
        </w:rPr>
        <w:t>16.3资格审查</w:t>
      </w:r>
    </w:p>
    <w:p>
      <w:pPr>
        <w:pStyle w:val="19"/>
        <w:spacing w:line="440" w:lineRule="exact"/>
        <w:ind w:firstLine="420" w:firstLineChars="200"/>
        <w:rPr>
          <w:rFonts w:hAnsi="宋体"/>
          <w:szCs w:val="21"/>
        </w:rPr>
      </w:pPr>
      <w:r>
        <w:rPr>
          <w:rFonts w:hint="eastAsia" w:hAnsi="宋体"/>
          <w:szCs w:val="21"/>
        </w:rPr>
        <w:t>采购人依据法律法规和招标文件的规定，对投标文件中的资格文件进行审查，以确定投标供应商是否具备投标资格。合格投标人不足3家的，不得评标。</w:t>
      </w:r>
    </w:p>
    <w:p>
      <w:pPr>
        <w:pStyle w:val="19"/>
        <w:spacing w:line="440" w:lineRule="exact"/>
        <w:ind w:firstLine="720"/>
        <w:rPr>
          <w:rFonts w:hAnsi="宋体"/>
        </w:rPr>
      </w:pPr>
      <w:r>
        <w:rPr>
          <w:rFonts w:hint="eastAsia" w:hAnsi="宋体"/>
        </w:rPr>
        <w:t>资格检查：依据法律法规和招标文件的规定，对投标文件中的资格证明、投标保证金等进行审查，以确定投标供应商是否具备投标资格。其中：</w:t>
      </w:r>
    </w:p>
    <w:p>
      <w:pPr>
        <w:pStyle w:val="19"/>
        <w:spacing w:line="440" w:lineRule="exact"/>
        <w:ind w:firstLine="720"/>
        <w:rPr>
          <w:rFonts w:hAnsi="宋体"/>
        </w:rPr>
      </w:pPr>
      <w:r>
        <w:rPr>
          <w:rFonts w:hint="eastAsia" w:hAnsi="宋体"/>
        </w:rPr>
        <w:t>在对投标人资格审查时进行信用查询</w:t>
      </w:r>
    </w:p>
    <w:p>
      <w:pPr>
        <w:pStyle w:val="19"/>
        <w:spacing w:line="440" w:lineRule="exact"/>
        <w:ind w:firstLine="720"/>
        <w:rPr>
          <w:rFonts w:hAnsi="宋体"/>
        </w:rPr>
      </w:pPr>
      <w:r>
        <w:rPr>
          <w:rFonts w:hint="eastAsia" w:hAnsi="宋体"/>
        </w:rPr>
        <w:t>查询渠道：“信用中国”网站</w:t>
      </w:r>
      <w:r>
        <w:rPr>
          <w:rFonts w:hAnsi="宋体"/>
        </w:rPr>
        <w:t>(www.creditchina.gov.cn)</w:t>
      </w:r>
      <w:r>
        <w:rPr>
          <w:rFonts w:hint="eastAsia" w:hAnsi="宋体"/>
        </w:rPr>
        <w:t>、中国政府采购网</w:t>
      </w:r>
      <w:r>
        <w:rPr>
          <w:rFonts w:hAnsi="宋体"/>
        </w:rPr>
        <w:t>(www.ccgp.gov.cn)</w:t>
      </w:r>
      <w:r>
        <w:rPr>
          <w:rFonts w:hint="eastAsia" w:hAnsi="宋体"/>
        </w:rPr>
        <w:t>等</w:t>
      </w:r>
    </w:p>
    <w:p>
      <w:pPr>
        <w:pStyle w:val="19"/>
        <w:spacing w:line="440" w:lineRule="exact"/>
        <w:ind w:firstLine="720"/>
        <w:rPr>
          <w:rFonts w:hAnsi="宋体"/>
        </w:rPr>
      </w:pPr>
      <w:r>
        <w:rPr>
          <w:rFonts w:hint="eastAsia" w:hAnsi="宋体"/>
        </w:rPr>
        <w:t>查询记录和证据留存方式：在查询网站中直接打印查询记录，打印材料作为评审资料保存。</w:t>
      </w:r>
    </w:p>
    <w:p>
      <w:pPr>
        <w:pStyle w:val="19"/>
        <w:spacing w:line="440" w:lineRule="exact"/>
        <w:ind w:firstLine="720"/>
        <w:rPr>
          <w:rFonts w:hAnsi="宋体"/>
        </w:rPr>
      </w:pPr>
      <w:r>
        <w:rPr>
          <w:rFonts w:hint="eastAsia" w:hAnsi="宋体"/>
        </w:rPr>
        <w:t>信用信息使用规则：对在“信用中国”网站</w:t>
      </w:r>
      <w:r>
        <w:rPr>
          <w:rFonts w:hAnsi="宋体"/>
        </w:rPr>
        <w:t>(www.creditchina.gov.cn)</w:t>
      </w:r>
      <w:r>
        <w:rPr>
          <w:rFonts w:hint="eastAsia" w:hAnsi="宋体"/>
        </w:rPr>
        <w:t>、中国政府采购网</w:t>
      </w:r>
      <w:r>
        <w:rPr>
          <w:rFonts w:hAnsi="宋体"/>
        </w:rPr>
        <w:t>(www.ccgp.gov.cn)</w:t>
      </w:r>
      <w:r>
        <w:rPr>
          <w:rFonts w:hint="eastAsia" w:hAnsi="宋体"/>
        </w:rPr>
        <w:t>列入失信被执行人、重大税收违法案件当事人名单、政府采购严重违法失信行为记录名单及其他不符合《中华人民共和国政府采购法》第二十二条规定条件的供应商，资格审查不通过，不得参与政府采购活动。</w:t>
      </w:r>
    </w:p>
    <w:p>
      <w:pPr>
        <w:pStyle w:val="19"/>
        <w:spacing w:line="440" w:lineRule="exact"/>
        <w:rPr>
          <w:rFonts w:hAnsi="宋体"/>
          <w:bCs/>
          <w:sz w:val="24"/>
        </w:rPr>
      </w:pPr>
      <w:r>
        <w:rPr>
          <w:rFonts w:hAnsi="宋体"/>
          <w:bCs/>
          <w:sz w:val="24"/>
        </w:rPr>
        <w:t xml:space="preserve">17.  </w:t>
      </w:r>
      <w:r>
        <w:rPr>
          <w:rFonts w:hint="eastAsia" w:hAnsi="宋体"/>
          <w:bCs/>
          <w:sz w:val="24"/>
        </w:rPr>
        <w:t>评标</w:t>
      </w:r>
    </w:p>
    <w:p>
      <w:pPr>
        <w:pStyle w:val="19"/>
        <w:spacing w:line="440" w:lineRule="exact"/>
        <w:ind w:firstLine="360"/>
        <w:rPr>
          <w:rFonts w:hAnsi="宋体"/>
        </w:rPr>
      </w:pPr>
      <w:r>
        <w:rPr>
          <w:rFonts w:hAnsi="宋体"/>
        </w:rPr>
        <w:t xml:space="preserve">17.1  </w:t>
      </w:r>
      <w:r>
        <w:rPr>
          <w:rFonts w:hint="eastAsia" w:hAnsi="宋体"/>
        </w:rPr>
        <w:t>评标委员会：评标由依法组建的评标委员会负责。评标委员会由采购人代表和有关技术、经济等方面的专家组成。采购人或采购代理机构根据本项目的特点，从政采云评审专家库中，通过随机方式抽取专家。</w:t>
      </w:r>
    </w:p>
    <w:p>
      <w:pPr>
        <w:pStyle w:val="19"/>
        <w:spacing w:line="440" w:lineRule="exact"/>
        <w:ind w:firstLine="360"/>
        <w:rPr>
          <w:rFonts w:hAnsi="宋体"/>
        </w:rPr>
      </w:pPr>
      <w:r>
        <w:rPr>
          <w:rFonts w:hint="eastAsia" w:hAnsi="宋体"/>
        </w:rPr>
        <w:t>在政府采购活动中，评审专家与投标人有下列利害关系之一的，应当回避：</w:t>
      </w:r>
    </w:p>
    <w:p>
      <w:pPr>
        <w:pStyle w:val="19"/>
        <w:spacing w:line="440" w:lineRule="exact"/>
        <w:ind w:firstLine="360"/>
        <w:rPr>
          <w:rFonts w:hAnsi="宋体"/>
        </w:rPr>
      </w:pPr>
      <w:r>
        <w:rPr>
          <w:rFonts w:hint="eastAsia" w:hAnsi="宋体"/>
        </w:rPr>
        <w:t>（</w:t>
      </w:r>
      <w:r>
        <w:rPr>
          <w:rFonts w:hAnsi="宋体"/>
        </w:rPr>
        <w:t>1</w:t>
      </w:r>
      <w:r>
        <w:rPr>
          <w:rFonts w:hint="eastAsia" w:hAnsi="宋体"/>
        </w:rPr>
        <w:t>）参加采购活动前</w:t>
      </w:r>
      <w:r>
        <w:rPr>
          <w:rFonts w:hAnsi="宋体"/>
        </w:rPr>
        <w:t>3</w:t>
      </w:r>
      <w:r>
        <w:rPr>
          <w:rFonts w:hint="eastAsia" w:hAnsi="宋体"/>
        </w:rPr>
        <w:t>年内与投标人存在劳动关系；</w:t>
      </w:r>
    </w:p>
    <w:p>
      <w:pPr>
        <w:pStyle w:val="19"/>
        <w:spacing w:line="440" w:lineRule="exact"/>
        <w:ind w:firstLine="360"/>
        <w:rPr>
          <w:rFonts w:hAnsi="宋体"/>
        </w:rPr>
      </w:pPr>
      <w:r>
        <w:rPr>
          <w:rFonts w:hint="eastAsia" w:hAnsi="宋体"/>
        </w:rPr>
        <w:t>（</w:t>
      </w:r>
      <w:r>
        <w:rPr>
          <w:rFonts w:hAnsi="宋体"/>
        </w:rPr>
        <w:t>2</w:t>
      </w:r>
      <w:r>
        <w:rPr>
          <w:rFonts w:hint="eastAsia" w:hAnsi="宋体"/>
        </w:rPr>
        <w:t>）参加采购活动前</w:t>
      </w:r>
      <w:r>
        <w:rPr>
          <w:rFonts w:hAnsi="宋体"/>
        </w:rPr>
        <w:t>3</w:t>
      </w:r>
      <w:r>
        <w:rPr>
          <w:rFonts w:hint="eastAsia" w:hAnsi="宋体"/>
        </w:rPr>
        <w:t>年内担任投标人的董事、监事；</w:t>
      </w:r>
    </w:p>
    <w:p>
      <w:pPr>
        <w:pStyle w:val="19"/>
        <w:spacing w:line="440" w:lineRule="exact"/>
        <w:ind w:firstLine="360"/>
        <w:rPr>
          <w:rFonts w:hAnsi="宋体"/>
        </w:rPr>
      </w:pPr>
      <w:r>
        <w:rPr>
          <w:rFonts w:hint="eastAsia" w:hAnsi="宋体"/>
        </w:rPr>
        <w:t>（</w:t>
      </w:r>
      <w:r>
        <w:rPr>
          <w:rFonts w:hAnsi="宋体"/>
        </w:rPr>
        <w:t>3</w:t>
      </w:r>
      <w:r>
        <w:rPr>
          <w:rFonts w:hint="eastAsia" w:hAnsi="宋体"/>
        </w:rPr>
        <w:t>）参加采购活动前</w:t>
      </w:r>
      <w:r>
        <w:rPr>
          <w:rFonts w:hAnsi="宋体"/>
        </w:rPr>
        <w:t>3</w:t>
      </w:r>
      <w:r>
        <w:rPr>
          <w:rFonts w:hint="eastAsia" w:hAnsi="宋体"/>
        </w:rPr>
        <w:t>年内是投标人的控股股东或者实际控制人；</w:t>
      </w:r>
    </w:p>
    <w:p>
      <w:pPr>
        <w:pStyle w:val="19"/>
        <w:spacing w:line="440" w:lineRule="exact"/>
        <w:ind w:firstLine="360"/>
        <w:rPr>
          <w:rFonts w:hAnsi="宋体"/>
        </w:rPr>
      </w:pPr>
      <w:r>
        <w:rPr>
          <w:rFonts w:hint="eastAsia" w:hAnsi="宋体"/>
        </w:rPr>
        <w:t>（</w:t>
      </w:r>
      <w:r>
        <w:rPr>
          <w:rFonts w:hAnsi="宋体"/>
        </w:rPr>
        <w:t>4</w:t>
      </w:r>
      <w:r>
        <w:rPr>
          <w:rFonts w:hint="eastAsia" w:hAnsi="宋体"/>
        </w:rPr>
        <w:t>）与投标人的法定代表人或者负责人有夫妻、直系血亲、三代以内旁系血亲或者近姻亲关系；</w:t>
      </w:r>
    </w:p>
    <w:p>
      <w:pPr>
        <w:pStyle w:val="19"/>
        <w:spacing w:line="440" w:lineRule="exact"/>
        <w:ind w:firstLine="360"/>
        <w:rPr>
          <w:rFonts w:hAnsi="宋体"/>
        </w:rPr>
      </w:pPr>
      <w:r>
        <w:rPr>
          <w:rFonts w:hint="eastAsia" w:hAnsi="宋体"/>
        </w:rPr>
        <w:t>（</w:t>
      </w:r>
      <w:r>
        <w:rPr>
          <w:rFonts w:hAnsi="宋体"/>
        </w:rPr>
        <w:t>5</w:t>
      </w:r>
      <w:r>
        <w:rPr>
          <w:rFonts w:hint="eastAsia" w:hAnsi="宋体"/>
        </w:rPr>
        <w:t>）与投标人有其他可能影响政府采购活动公平、公正进行的关系。</w:t>
      </w:r>
    </w:p>
    <w:p>
      <w:pPr>
        <w:pStyle w:val="19"/>
        <w:spacing w:line="440" w:lineRule="exact"/>
        <w:ind w:firstLine="360"/>
        <w:rPr>
          <w:rFonts w:hAnsi="宋体"/>
        </w:rPr>
      </w:pPr>
      <w:r>
        <w:rPr>
          <w:rFonts w:hint="eastAsia" w:hAnsi="宋体"/>
        </w:rPr>
        <w:t>投标人认为采购人员及相关人员与其他投标人有利害关系的，可以向采购人或者采购代理机构书面提出回避申请，并说明理由。采购人或者采购代理机构应当及时询问被申请回避人员，有利害关系的被申请回避人员应当回避。</w:t>
      </w:r>
    </w:p>
    <w:p>
      <w:pPr>
        <w:pStyle w:val="19"/>
        <w:spacing w:line="440" w:lineRule="exact"/>
        <w:ind w:firstLine="360"/>
        <w:rPr>
          <w:rFonts w:hAnsi="宋体"/>
        </w:rPr>
      </w:pPr>
      <w:r>
        <w:rPr>
          <w:rFonts w:hAnsi="宋体"/>
        </w:rPr>
        <w:t xml:space="preserve">17.2  </w:t>
      </w:r>
      <w:r>
        <w:rPr>
          <w:rFonts w:hint="eastAsia" w:hAnsi="宋体"/>
        </w:rPr>
        <w:t>评标原则：评标活动遵循公平、公正、科学和择优的原则。</w:t>
      </w:r>
    </w:p>
    <w:p>
      <w:pPr>
        <w:pStyle w:val="19"/>
        <w:spacing w:line="440" w:lineRule="exact"/>
        <w:ind w:firstLine="360"/>
        <w:rPr>
          <w:rFonts w:hAnsi="宋体"/>
        </w:rPr>
      </w:pPr>
      <w:r>
        <w:rPr>
          <w:rFonts w:hAnsi="宋体"/>
        </w:rPr>
        <w:t xml:space="preserve">17.3  </w:t>
      </w:r>
      <w:r>
        <w:rPr>
          <w:rFonts w:hint="eastAsia" w:hAnsi="宋体"/>
        </w:rPr>
        <w:t>评标方法：评标委员会按照投标人须知前附表和第三章“评标方法”规定的方法、评审因素和标准对投标文件进行评审。在评标中，不得改变第三章“评标办法”规定的方法、评审因素和标准；第三章“评标办法”没有规定的方法、评审因素和标准，不作为评标依据。</w:t>
      </w:r>
    </w:p>
    <w:p>
      <w:pPr>
        <w:pStyle w:val="19"/>
        <w:spacing w:line="440" w:lineRule="exact"/>
        <w:ind w:firstLine="360"/>
        <w:rPr>
          <w:rFonts w:hAnsi="宋体"/>
          <w:bCs/>
        </w:rPr>
      </w:pPr>
      <w:r>
        <w:rPr>
          <w:rFonts w:hAnsi="宋体"/>
        </w:rPr>
        <w:t xml:space="preserve">17.4  </w:t>
      </w:r>
      <w:r>
        <w:rPr>
          <w:rFonts w:hint="eastAsia" w:hAnsi="宋体"/>
          <w:bCs/>
        </w:rPr>
        <w:t>评标程序：</w:t>
      </w:r>
    </w:p>
    <w:p>
      <w:pPr>
        <w:pStyle w:val="19"/>
        <w:spacing w:line="440" w:lineRule="exact"/>
        <w:ind w:firstLine="360"/>
        <w:rPr>
          <w:rFonts w:hAnsi="宋体"/>
          <w:bCs/>
        </w:rPr>
      </w:pPr>
      <w:r>
        <w:rPr>
          <w:rFonts w:hAnsi="宋体"/>
          <w:bCs/>
        </w:rPr>
        <w:t xml:space="preserve">17.4.1  </w:t>
      </w:r>
      <w:r>
        <w:rPr>
          <w:rFonts w:hint="eastAsia" w:hAnsi="宋体"/>
          <w:bCs/>
        </w:rPr>
        <w:t>采购代理机构项目负责人宣读评标现场纪律要求，集中管理通讯工具，询问在场人员是否申请回避；</w:t>
      </w:r>
    </w:p>
    <w:p>
      <w:pPr>
        <w:pStyle w:val="19"/>
        <w:spacing w:line="440" w:lineRule="exact"/>
        <w:ind w:firstLine="360"/>
        <w:rPr>
          <w:rFonts w:hAnsi="宋体"/>
          <w:bCs/>
        </w:rPr>
      </w:pPr>
      <w:r>
        <w:rPr>
          <w:rFonts w:hAnsi="宋体"/>
          <w:bCs/>
        </w:rPr>
        <w:t xml:space="preserve">17.4.2  </w:t>
      </w:r>
      <w:r>
        <w:rPr>
          <w:rFonts w:hint="eastAsia" w:hAnsi="宋体"/>
          <w:bCs/>
        </w:rPr>
        <w:t>采购代理机构项目负责人介绍项目概况及评标委员会组成情况（但不得发表影响评审的倾向性、歧视性言论），推选评标组长（原则上采购人不得担任评标组长）；</w:t>
      </w:r>
    </w:p>
    <w:p>
      <w:pPr>
        <w:pStyle w:val="19"/>
        <w:spacing w:line="440" w:lineRule="exact"/>
        <w:ind w:firstLine="360"/>
        <w:rPr>
          <w:rFonts w:hAnsi="宋体"/>
          <w:bCs/>
        </w:rPr>
      </w:pPr>
      <w:r>
        <w:rPr>
          <w:rFonts w:hAnsi="宋体"/>
          <w:bCs/>
        </w:rPr>
        <w:t xml:space="preserve">17.4.3  </w:t>
      </w:r>
      <w:r>
        <w:rPr>
          <w:rFonts w:hint="eastAsia" w:hAnsi="宋体"/>
          <w:bCs/>
        </w:rPr>
        <w:t>评标委员会按分工开展评标工作：</w:t>
      </w:r>
    </w:p>
    <w:p>
      <w:pPr>
        <w:pStyle w:val="19"/>
        <w:spacing w:line="440" w:lineRule="exact"/>
        <w:ind w:firstLine="720"/>
        <w:rPr>
          <w:rFonts w:hAnsi="宋体"/>
        </w:rPr>
      </w:pPr>
      <w:r>
        <w:rPr>
          <w:rFonts w:hint="eastAsia" w:hAnsi="宋体"/>
        </w:rPr>
        <w:t>（</w:t>
      </w:r>
      <w:r>
        <w:rPr>
          <w:rFonts w:hAnsi="宋体"/>
        </w:rPr>
        <w:t>1</w:t>
      </w:r>
      <w:r>
        <w:rPr>
          <w:rFonts w:hint="eastAsia" w:hAnsi="宋体"/>
        </w:rPr>
        <w:t>）投标文件初审符合性检查。</w:t>
      </w:r>
    </w:p>
    <w:p>
      <w:pPr>
        <w:pStyle w:val="19"/>
        <w:spacing w:line="440" w:lineRule="exact"/>
        <w:ind w:firstLine="720"/>
        <w:rPr>
          <w:rFonts w:hAnsi="宋体"/>
        </w:rPr>
      </w:pPr>
      <w:r>
        <w:rPr>
          <w:rFonts w:hint="eastAsia" w:hAnsi="宋体"/>
        </w:rPr>
        <w:t>符合性检查：依据招标文件的规定，从投标文件的有效性、完整性和对招标文件的响应程度进行审查，以确定是否对招标文件的实质性要求和条件作出响应。</w:t>
      </w:r>
    </w:p>
    <w:p>
      <w:pPr>
        <w:pStyle w:val="19"/>
        <w:spacing w:line="440" w:lineRule="exact"/>
        <w:ind w:firstLine="720"/>
        <w:rPr>
          <w:rFonts w:hAnsi="宋体"/>
        </w:rPr>
      </w:pPr>
      <w:r>
        <w:rPr>
          <w:rFonts w:hint="eastAsia" w:hAnsi="宋体"/>
        </w:rPr>
        <w:t>（</w:t>
      </w:r>
      <w:r>
        <w:rPr>
          <w:rFonts w:hAnsi="宋体"/>
        </w:rPr>
        <w:t>2</w:t>
      </w:r>
      <w:r>
        <w:rPr>
          <w:rFonts w:hint="eastAsia" w:hAnsi="宋体"/>
        </w:rPr>
        <w:t>）澄清有关问题。对投标文件中含义不明确、同类问题表述不一致或者有明显文字和计算错误的内容，评标委员会可以书面形式（应当由评标委员会专家签字）要求投标人作出必要的澄清、说明或者纠正。投标人的澄清、说明或者纠正应当采用书面形式，由法定代表人或其委托代理人签字或盖章确认，且不得超出投标文件的范围或者改变投标文件的实质性内容。该澄清、说明或者纠正是投标文件的组成部分。</w:t>
      </w:r>
    </w:p>
    <w:p>
      <w:pPr>
        <w:pStyle w:val="19"/>
        <w:spacing w:line="440" w:lineRule="exact"/>
        <w:ind w:firstLine="720"/>
        <w:rPr>
          <w:rFonts w:hAnsi="宋体"/>
        </w:rPr>
      </w:pPr>
      <w:r>
        <w:rPr>
          <w:rFonts w:hint="eastAsia" w:hAnsi="宋体"/>
        </w:rPr>
        <w:t>（</w:t>
      </w:r>
      <w:r>
        <w:rPr>
          <w:rFonts w:hAnsi="宋体"/>
        </w:rPr>
        <w:t>3</w:t>
      </w:r>
      <w:r>
        <w:rPr>
          <w:rFonts w:hint="eastAsia" w:hAnsi="宋体"/>
        </w:rPr>
        <w:t>）比较与评价。按招标文件中规定的评标方法和标准，对资格性检查和符合性检查合格的投标文件进行商务和技术评估，综合比较与评价。</w:t>
      </w:r>
    </w:p>
    <w:p>
      <w:pPr>
        <w:pStyle w:val="19"/>
        <w:spacing w:line="440" w:lineRule="exact"/>
        <w:ind w:firstLine="720"/>
        <w:rPr>
          <w:rFonts w:hAnsi="宋体"/>
        </w:rPr>
      </w:pPr>
      <w:r>
        <w:rPr>
          <w:rFonts w:hint="eastAsia" w:hAnsi="宋体"/>
        </w:rPr>
        <w:t>（</w:t>
      </w:r>
      <w:r>
        <w:rPr>
          <w:rFonts w:hAnsi="宋体"/>
        </w:rPr>
        <w:t>4</w:t>
      </w:r>
      <w:r>
        <w:rPr>
          <w:rFonts w:hint="eastAsia" w:hAnsi="宋体"/>
        </w:rPr>
        <w:t>）编写评标报告，并确定中标供应商名单。</w:t>
      </w:r>
    </w:p>
    <w:p>
      <w:pPr>
        <w:pStyle w:val="19"/>
        <w:spacing w:line="440" w:lineRule="exact"/>
        <w:ind w:firstLine="360"/>
        <w:rPr>
          <w:rFonts w:hAnsi="宋体"/>
          <w:bCs/>
        </w:rPr>
      </w:pPr>
      <w:r>
        <w:rPr>
          <w:rFonts w:hAnsi="宋体"/>
        </w:rPr>
        <w:t xml:space="preserve">17.4.4  </w:t>
      </w:r>
      <w:r>
        <w:rPr>
          <w:rFonts w:hint="eastAsia" w:hAnsi="宋体"/>
        </w:rPr>
        <w:t>整个现场评标过程中，采购代理机构应严格按照招标文件既定的程序组织评委评审，针对评委作出的评分、评标结论现场认真进行核对和复核，如有错漏，应及时请当事评委进行校正。</w:t>
      </w:r>
    </w:p>
    <w:p>
      <w:pPr>
        <w:pStyle w:val="19"/>
        <w:spacing w:line="440" w:lineRule="exact"/>
        <w:ind w:firstLine="359" w:firstLineChars="171"/>
        <w:rPr>
          <w:rFonts w:hAnsi="宋体"/>
        </w:rPr>
      </w:pPr>
      <w:r>
        <w:rPr>
          <w:rFonts w:hAnsi="宋体"/>
        </w:rPr>
        <w:t xml:space="preserve">17.5  </w:t>
      </w:r>
      <w:r>
        <w:rPr>
          <w:rFonts w:hint="eastAsia" w:hAnsi="宋体"/>
        </w:rPr>
        <w:t>在确定中标供应商前，采购人或采购代理机构不得与投标供应商就投标价格、投标方案等实质性内容进行谈判。</w:t>
      </w:r>
    </w:p>
    <w:p>
      <w:pPr>
        <w:pStyle w:val="19"/>
        <w:spacing w:line="440" w:lineRule="exact"/>
        <w:ind w:firstLine="359" w:firstLineChars="171"/>
        <w:rPr>
          <w:rFonts w:hAnsi="宋体"/>
        </w:rPr>
      </w:pPr>
      <w:r>
        <w:rPr>
          <w:rFonts w:hAnsi="宋体"/>
        </w:rPr>
        <w:t xml:space="preserve">17.6  </w:t>
      </w:r>
      <w:r>
        <w:rPr>
          <w:rFonts w:hint="eastAsia" w:hAnsi="宋体"/>
        </w:rPr>
        <w:t>评标过程的保密。评标在严格保密的情况下进行，任何单位和个人不得非法干预、影响评标办法的确定，以及评标过程和结果。评标委员会成员和参与评标的有关工作人员不得透露对投标文件的评审和比较、中标候选人的推荐情况以及与评标有关的其他情况。</w:t>
      </w:r>
    </w:p>
    <w:p>
      <w:pPr>
        <w:pStyle w:val="19"/>
        <w:spacing w:line="440" w:lineRule="exact"/>
        <w:rPr>
          <w:rFonts w:hAnsi="宋体"/>
          <w:bCs/>
          <w:sz w:val="24"/>
        </w:rPr>
      </w:pPr>
      <w:r>
        <w:rPr>
          <w:rFonts w:hAnsi="宋体"/>
          <w:bCs/>
          <w:sz w:val="24"/>
        </w:rPr>
        <w:t xml:space="preserve">18.  </w:t>
      </w:r>
      <w:r>
        <w:rPr>
          <w:rFonts w:hint="eastAsia" w:hAnsi="宋体"/>
          <w:bCs/>
          <w:sz w:val="24"/>
        </w:rPr>
        <w:t>投标文件的修正</w:t>
      </w:r>
    </w:p>
    <w:p>
      <w:pPr>
        <w:pStyle w:val="19"/>
        <w:spacing w:line="440" w:lineRule="exact"/>
        <w:ind w:firstLine="359" w:firstLineChars="171"/>
        <w:rPr>
          <w:rFonts w:hAnsi="宋体"/>
        </w:rPr>
      </w:pPr>
      <w:r>
        <w:rPr>
          <w:rFonts w:hAnsi="宋体"/>
        </w:rPr>
        <w:t xml:space="preserve">18.1  </w:t>
      </w:r>
      <w:r>
        <w:rPr>
          <w:rFonts w:hint="eastAsia" w:hAnsi="宋体"/>
        </w:rPr>
        <w:t>投标文件报价出现前后不一致的，</w:t>
      </w:r>
      <w:r>
        <w:rPr>
          <w:rFonts w:hint="eastAsia" w:hAnsi="宋体"/>
          <w:lang w:val="en-US" w:eastAsia="zh-CN"/>
        </w:rPr>
        <w:t>按</w:t>
      </w:r>
      <w:r>
        <w:rPr>
          <w:rFonts w:hint="eastAsia" w:hAnsi="宋体"/>
        </w:rPr>
        <w:t>照下列规定修正：</w:t>
      </w:r>
    </w:p>
    <w:p>
      <w:pPr>
        <w:pStyle w:val="19"/>
        <w:spacing w:line="440" w:lineRule="exact"/>
        <w:ind w:firstLine="720"/>
        <w:rPr>
          <w:rFonts w:hAnsi="宋体"/>
        </w:rPr>
      </w:pPr>
      <w:r>
        <w:rPr>
          <w:rFonts w:hint="eastAsia" w:hAnsi="宋体"/>
        </w:rPr>
        <w:t>（</w:t>
      </w:r>
      <w:r>
        <w:rPr>
          <w:rFonts w:hAnsi="宋体"/>
        </w:rPr>
        <w:t>1</w:t>
      </w:r>
      <w:r>
        <w:rPr>
          <w:rFonts w:hint="eastAsia" w:hAnsi="宋体"/>
        </w:rPr>
        <w:t>）投标文件中报价文件内容与投标文件中相应内容不一致的，以报价文件为准；</w:t>
      </w:r>
    </w:p>
    <w:p>
      <w:pPr>
        <w:pStyle w:val="19"/>
        <w:spacing w:line="440" w:lineRule="exact"/>
        <w:ind w:firstLine="720"/>
        <w:rPr>
          <w:rFonts w:hAnsi="宋体"/>
        </w:rPr>
      </w:pPr>
      <w:r>
        <w:rPr>
          <w:rFonts w:hint="eastAsia" w:hAnsi="宋体"/>
        </w:rPr>
        <w:t>（</w:t>
      </w:r>
      <w:r>
        <w:rPr>
          <w:rFonts w:hAnsi="宋体"/>
        </w:rPr>
        <w:t>2</w:t>
      </w:r>
      <w:r>
        <w:rPr>
          <w:rFonts w:hint="eastAsia" w:hAnsi="宋体"/>
        </w:rPr>
        <w:t>）大写金额和小写金额不一致的，以大写金额为准；</w:t>
      </w:r>
    </w:p>
    <w:p>
      <w:pPr>
        <w:pStyle w:val="19"/>
        <w:spacing w:line="440" w:lineRule="exact"/>
        <w:ind w:firstLine="720"/>
        <w:rPr>
          <w:rFonts w:hAnsi="宋体"/>
        </w:rPr>
      </w:pPr>
      <w:r>
        <w:rPr>
          <w:rFonts w:hint="eastAsia" w:hAnsi="宋体"/>
        </w:rPr>
        <w:t>（</w:t>
      </w:r>
      <w:r>
        <w:rPr>
          <w:rFonts w:hAnsi="宋体"/>
        </w:rPr>
        <w:t>3</w:t>
      </w:r>
      <w:r>
        <w:rPr>
          <w:rFonts w:hint="eastAsia" w:hAnsi="宋体"/>
        </w:rPr>
        <w:t>）单价金额小数点或者百分比有明显错位的，以报价文件的总价为准，并修改单价；</w:t>
      </w:r>
    </w:p>
    <w:p>
      <w:pPr>
        <w:pStyle w:val="19"/>
        <w:spacing w:line="440" w:lineRule="exact"/>
        <w:ind w:firstLine="720"/>
        <w:rPr>
          <w:rFonts w:hAnsi="宋体"/>
        </w:rPr>
      </w:pPr>
      <w:r>
        <w:rPr>
          <w:rFonts w:hint="eastAsia" w:hAnsi="宋体"/>
        </w:rPr>
        <w:t>（</w:t>
      </w:r>
      <w:r>
        <w:rPr>
          <w:rFonts w:hAnsi="宋体"/>
        </w:rPr>
        <w:t>4</w:t>
      </w:r>
      <w:r>
        <w:rPr>
          <w:rFonts w:hint="eastAsia" w:hAnsi="宋体"/>
        </w:rPr>
        <w:t>）总价金额与按单价汇总金额不一致的，以单价金额计算结果为准。</w:t>
      </w:r>
    </w:p>
    <w:p>
      <w:pPr>
        <w:pStyle w:val="19"/>
        <w:spacing w:line="440" w:lineRule="exact"/>
        <w:ind w:firstLine="720"/>
        <w:rPr>
          <w:rFonts w:hAnsi="宋体"/>
        </w:rPr>
      </w:pPr>
      <w:r>
        <w:rPr>
          <w:rFonts w:hint="eastAsia" w:hAnsi="宋体"/>
        </w:rPr>
        <w:t>同时出现两种以上不一致的，按照前款规定的顺序修正。修正后的报价经投标人确认后产生约束力，投标人不确认的，其投标无效。</w:t>
      </w:r>
    </w:p>
    <w:p>
      <w:pPr>
        <w:pStyle w:val="19"/>
        <w:spacing w:line="440" w:lineRule="exact"/>
        <w:ind w:firstLine="359" w:firstLineChars="171"/>
        <w:rPr>
          <w:rFonts w:hAnsi="宋体"/>
        </w:rPr>
      </w:pPr>
      <w:r>
        <w:rPr>
          <w:rFonts w:hAnsi="宋体"/>
        </w:rPr>
        <w:t>18.2</w:t>
      </w:r>
      <w:r>
        <w:rPr>
          <w:rFonts w:hint="eastAsia" w:hAnsi="宋体"/>
        </w:rPr>
        <w:t>修正后的最终投标报价若超过采购预算金额，投标人的投标文件作无效投标处理。</w:t>
      </w:r>
    </w:p>
    <w:p>
      <w:pPr>
        <w:pStyle w:val="19"/>
        <w:spacing w:line="440" w:lineRule="exact"/>
        <w:ind w:firstLine="359" w:firstLineChars="171"/>
        <w:rPr>
          <w:rFonts w:hAnsi="宋体"/>
        </w:rPr>
      </w:pPr>
      <w:r>
        <w:rPr>
          <w:rFonts w:hAnsi="宋体"/>
        </w:rPr>
        <w:t>18.3</w:t>
      </w:r>
      <w:r>
        <w:rPr>
          <w:rFonts w:hint="eastAsia" w:hAnsi="宋体"/>
        </w:rPr>
        <w:t>修正后的最终投标报价仅作为签订合同的一个依据，不参与评标价得分的计算。</w:t>
      </w:r>
    </w:p>
    <w:p>
      <w:pPr>
        <w:pStyle w:val="19"/>
        <w:spacing w:line="440" w:lineRule="exact"/>
        <w:ind w:firstLine="720"/>
        <w:rPr>
          <w:rFonts w:hAnsi="宋体"/>
        </w:rPr>
      </w:pPr>
      <w:r>
        <w:rPr>
          <w:rFonts w:hint="eastAsia" w:hAnsi="宋体"/>
        </w:rPr>
        <w:t>（</w:t>
      </w:r>
      <w:r>
        <w:rPr>
          <w:rFonts w:hAnsi="宋体"/>
        </w:rPr>
        <w:t>1</w:t>
      </w:r>
      <w:r>
        <w:rPr>
          <w:rFonts w:hint="eastAsia" w:hAnsi="宋体"/>
        </w:rPr>
        <w:t>）若修正后的最终投标报价小于开标时的报价文件文字报价，签订合同时，则以修正后的最终投标报价为准；</w:t>
      </w:r>
    </w:p>
    <w:p>
      <w:pPr>
        <w:pStyle w:val="19"/>
        <w:spacing w:line="440" w:lineRule="exact"/>
        <w:ind w:firstLine="720"/>
        <w:rPr>
          <w:rFonts w:hAnsi="宋体"/>
        </w:rPr>
      </w:pPr>
      <w:r>
        <w:rPr>
          <w:rFonts w:hint="eastAsia" w:hAnsi="宋体"/>
        </w:rPr>
        <w:t>（</w:t>
      </w:r>
      <w:r>
        <w:rPr>
          <w:rFonts w:hAnsi="宋体"/>
        </w:rPr>
        <w:t>2</w:t>
      </w:r>
      <w:r>
        <w:rPr>
          <w:rFonts w:hint="eastAsia" w:hAnsi="宋体"/>
        </w:rPr>
        <w:t>）若修正后的最终投标报价大于开标时的报价文件文字报价，签订合同时，则以开标时的报价文件文字报价为准，同时按比例修正相应项目的单价或总价。</w:t>
      </w:r>
    </w:p>
    <w:p>
      <w:pPr>
        <w:pStyle w:val="19"/>
        <w:spacing w:line="440" w:lineRule="exact"/>
        <w:rPr>
          <w:rFonts w:hAnsi="宋体"/>
          <w:b/>
          <w:bCs/>
          <w:sz w:val="24"/>
        </w:rPr>
      </w:pPr>
      <w:r>
        <w:rPr>
          <w:rFonts w:hAnsi="宋体"/>
          <w:b/>
          <w:bCs/>
          <w:sz w:val="24"/>
        </w:rPr>
        <w:t xml:space="preserve">19.  </w:t>
      </w:r>
      <w:r>
        <w:rPr>
          <w:rFonts w:hint="eastAsia" w:hAnsi="宋体"/>
          <w:b/>
          <w:bCs/>
          <w:sz w:val="24"/>
        </w:rPr>
        <w:t>拒绝接收</w:t>
      </w:r>
    </w:p>
    <w:p>
      <w:pPr>
        <w:pStyle w:val="19"/>
        <w:spacing w:line="440" w:lineRule="exact"/>
        <w:ind w:firstLine="720"/>
        <w:rPr>
          <w:rFonts w:hAnsi="宋体"/>
        </w:rPr>
      </w:pPr>
      <w:r>
        <w:rPr>
          <w:rFonts w:hAnsi="宋体"/>
        </w:rPr>
        <w:t xml:space="preserve">19.1  </w:t>
      </w:r>
      <w:r>
        <w:rPr>
          <w:rFonts w:hint="eastAsia" w:hAnsi="宋体"/>
        </w:rPr>
        <w:t>投标人未在本章第</w:t>
      </w:r>
      <w:r>
        <w:rPr>
          <w:rFonts w:hAnsi="宋体"/>
        </w:rPr>
        <w:t>15.1</w:t>
      </w:r>
      <w:r>
        <w:rPr>
          <w:rFonts w:hint="eastAsia" w:hAnsi="宋体"/>
        </w:rPr>
        <w:t>项规定的时间之前将投标文件送达至本章第</w:t>
      </w:r>
      <w:r>
        <w:rPr>
          <w:rFonts w:hAnsi="宋体"/>
        </w:rPr>
        <w:t>15.2</w:t>
      </w:r>
      <w:r>
        <w:rPr>
          <w:rFonts w:hint="eastAsia" w:hAnsi="宋体"/>
        </w:rPr>
        <w:t>项指定地点的，采购代理机构应当拒绝接收该投标人的投标文件。</w:t>
      </w:r>
    </w:p>
    <w:p>
      <w:pPr>
        <w:pStyle w:val="19"/>
        <w:spacing w:line="440" w:lineRule="exact"/>
        <w:ind w:firstLine="720"/>
        <w:rPr>
          <w:rFonts w:hAnsi="宋体"/>
        </w:rPr>
      </w:pPr>
      <w:r>
        <w:rPr>
          <w:rFonts w:hAnsi="宋体"/>
        </w:rPr>
        <w:t xml:space="preserve">19.2  </w:t>
      </w:r>
      <w:r>
        <w:rPr>
          <w:rFonts w:hint="eastAsia" w:hAnsi="宋体"/>
        </w:rPr>
        <w:t>投标人未在本章第</w:t>
      </w:r>
      <w:r>
        <w:rPr>
          <w:rFonts w:hAnsi="宋体"/>
        </w:rPr>
        <w:t>15.3</w:t>
      </w:r>
      <w:r>
        <w:rPr>
          <w:rFonts w:hint="eastAsia" w:hAnsi="宋体"/>
        </w:rPr>
        <w:t>项规定的时间之前将投标样品送达至本章第</w:t>
      </w:r>
      <w:r>
        <w:rPr>
          <w:rFonts w:hAnsi="宋体"/>
        </w:rPr>
        <w:t>15.4</w:t>
      </w:r>
      <w:r>
        <w:rPr>
          <w:rFonts w:hint="eastAsia" w:hAnsi="宋体"/>
        </w:rPr>
        <w:t>项指定地点的，将拒绝接收该投标人的投标样品。</w:t>
      </w:r>
    </w:p>
    <w:p>
      <w:pPr>
        <w:pStyle w:val="19"/>
        <w:spacing w:line="440" w:lineRule="exact"/>
        <w:rPr>
          <w:rFonts w:hAnsi="宋体"/>
          <w:b/>
          <w:bCs/>
          <w:sz w:val="24"/>
        </w:rPr>
      </w:pPr>
      <w:r>
        <w:rPr>
          <w:rFonts w:hAnsi="宋体"/>
          <w:b/>
          <w:bCs/>
          <w:sz w:val="24"/>
        </w:rPr>
        <w:t xml:space="preserve">20.  </w:t>
      </w:r>
      <w:r>
        <w:rPr>
          <w:rFonts w:hint="eastAsia" w:hAnsi="宋体"/>
          <w:b/>
          <w:bCs/>
          <w:sz w:val="24"/>
        </w:rPr>
        <w:t>无效投标</w:t>
      </w:r>
    </w:p>
    <w:p>
      <w:pPr>
        <w:pStyle w:val="19"/>
        <w:spacing w:line="440" w:lineRule="exact"/>
        <w:ind w:firstLine="359" w:firstLineChars="171"/>
        <w:rPr>
          <w:rFonts w:hAnsi="宋体"/>
        </w:rPr>
      </w:pPr>
      <w:r>
        <w:rPr>
          <w:rFonts w:hAnsi="宋体"/>
        </w:rPr>
        <w:t xml:space="preserve">20.1  </w:t>
      </w:r>
      <w:r>
        <w:rPr>
          <w:rFonts w:hint="eastAsia" w:hAnsi="宋体"/>
        </w:rPr>
        <w:t>属下列情形之一的，投标人的投标无效：</w:t>
      </w:r>
    </w:p>
    <w:p>
      <w:pPr>
        <w:pStyle w:val="19"/>
        <w:spacing w:line="440" w:lineRule="exact"/>
        <w:ind w:firstLine="718" w:firstLineChars="342"/>
        <w:rPr>
          <w:rFonts w:hAnsi="宋体"/>
        </w:rPr>
      </w:pPr>
      <w:r>
        <w:rPr>
          <w:rFonts w:hint="eastAsia" w:hAnsi="宋体"/>
        </w:rPr>
        <w:t>实质上没有响应招标文件要求的投标将被视为无效投标。</w:t>
      </w:r>
    </w:p>
    <w:p>
      <w:pPr>
        <w:pStyle w:val="19"/>
        <w:spacing w:line="440" w:lineRule="exact"/>
        <w:ind w:firstLine="424" w:firstLineChars="202"/>
        <w:rPr>
          <w:rFonts w:hAnsi="宋体"/>
        </w:rPr>
      </w:pPr>
      <w:r>
        <w:rPr>
          <w:rFonts w:hAnsi="宋体"/>
        </w:rPr>
        <w:t>20.1.1</w:t>
      </w:r>
      <w:r>
        <w:rPr>
          <w:rFonts w:hint="eastAsia" w:hAnsi="宋体"/>
        </w:rPr>
        <w:t>在资格、符合性审查和商务评审时，如发现下列情形之一的，投标文件将被视为无效：</w:t>
      </w:r>
    </w:p>
    <w:p>
      <w:pPr>
        <w:pStyle w:val="19"/>
        <w:spacing w:line="440" w:lineRule="exact"/>
        <w:ind w:firstLine="718" w:firstLineChars="342"/>
        <w:rPr>
          <w:rFonts w:hAnsi="宋体"/>
        </w:rPr>
      </w:pPr>
      <w:r>
        <w:rPr>
          <w:rFonts w:hint="eastAsia" w:hAnsi="宋体"/>
        </w:rPr>
        <w:t>（</w:t>
      </w:r>
      <w:r>
        <w:rPr>
          <w:rFonts w:hAnsi="宋体"/>
        </w:rPr>
        <w:t>1</w:t>
      </w:r>
      <w:r>
        <w:rPr>
          <w:rFonts w:hint="eastAsia" w:hAnsi="宋体"/>
        </w:rPr>
        <w:t>）超越了按照法律法规规定必须获得行政许可证或者行政审批的经营范围的；</w:t>
      </w:r>
    </w:p>
    <w:p>
      <w:pPr>
        <w:pStyle w:val="19"/>
        <w:spacing w:line="440" w:lineRule="exact"/>
        <w:ind w:firstLine="718" w:firstLineChars="342"/>
        <w:rPr>
          <w:rFonts w:hAnsi="宋体"/>
        </w:rPr>
      </w:pPr>
      <w:r>
        <w:rPr>
          <w:rFonts w:hint="eastAsia" w:hAnsi="宋体"/>
        </w:rPr>
        <w:t>（</w:t>
      </w:r>
      <w:r>
        <w:rPr>
          <w:rFonts w:hAnsi="宋体"/>
        </w:rPr>
        <w:t>2</w:t>
      </w:r>
      <w:r>
        <w:rPr>
          <w:rFonts w:hint="eastAsia" w:hAnsi="宋体"/>
        </w:rPr>
        <w:t>）资格证明文件不全的，或者不具备招标文件中规定的资格要求的；</w:t>
      </w:r>
    </w:p>
    <w:p>
      <w:pPr>
        <w:pStyle w:val="19"/>
        <w:spacing w:line="440" w:lineRule="exact"/>
        <w:ind w:firstLine="718" w:firstLineChars="342"/>
        <w:rPr>
          <w:rFonts w:hAnsi="宋体"/>
        </w:rPr>
      </w:pPr>
      <w:r>
        <w:rPr>
          <w:rFonts w:hint="eastAsia" w:hAnsi="宋体"/>
        </w:rPr>
        <w:t>（</w:t>
      </w:r>
      <w:r>
        <w:rPr>
          <w:rFonts w:hAnsi="宋体"/>
        </w:rPr>
        <w:t>3</w:t>
      </w:r>
      <w:r>
        <w:rPr>
          <w:rFonts w:hint="eastAsia" w:hAnsi="宋体"/>
        </w:rPr>
        <w:t>）投标文件无法定代表人或其授权委托代理人签字</w:t>
      </w:r>
      <w:r>
        <w:rPr>
          <w:rFonts w:hAnsi="宋体"/>
        </w:rPr>
        <w:t>,</w:t>
      </w:r>
      <w:r>
        <w:rPr>
          <w:rFonts w:hint="eastAsia" w:hAnsi="宋体"/>
        </w:rPr>
        <w:t>或未提供法定代表人身份证明、法定代表人授权委托书；</w:t>
      </w:r>
    </w:p>
    <w:p>
      <w:pPr>
        <w:pStyle w:val="19"/>
        <w:spacing w:line="440" w:lineRule="exact"/>
        <w:ind w:firstLine="718" w:firstLineChars="342"/>
        <w:rPr>
          <w:rFonts w:hAnsi="宋体"/>
        </w:rPr>
      </w:pPr>
      <w:r>
        <w:rPr>
          <w:rFonts w:hint="eastAsia" w:hAnsi="宋体"/>
        </w:rPr>
        <w:t>（</w:t>
      </w:r>
      <w:r>
        <w:rPr>
          <w:rFonts w:hAnsi="宋体"/>
        </w:rPr>
        <w:t>4</w:t>
      </w:r>
      <w:r>
        <w:rPr>
          <w:rFonts w:hint="eastAsia" w:hAnsi="宋体"/>
        </w:rPr>
        <w:t>）投标代表人未能出具有效身份证明或与法定代表人授权委托人身份不符的；</w:t>
      </w:r>
    </w:p>
    <w:p>
      <w:pPr>
        <w:pStyle w:val="19"/>
        <w:spacing w:line="440" w:lineRule="exact"/>
        <w:ind w:firstLine="718" w:firstLineChars="342"/>
        <w:rPr>
          <w:rFonts w:hAnsi="宋体"/>
        </w:rPr>
      </w:pPr>
      <w:r>
        <w:rPr>
          <w:rFonts w:hint="eastAsia" w:hAnsi="宋体"/>
        </w:rPr>
        <w:t>（</w:t>
      </w:r>
      <w:r>
        <w:rPr>
          <w:rFonts w:hAnsi="宋体"/>
        </w:rPr>
        <w:t>5</w:t>
      </w:r>
      <w:r>
        <w:rPr>
          <w:rFonts w:hint="eastAsia" w:hAnsi="宋体"/>
        </w:rPr>
        <w:t>）项目填写不齐全或者内容虚假的；</w:t>
      </w:r>
    </w:p>
    <w:p>
      <w:pPr>
        <w:pStyle w:val="19"/>
        <w:spacing w:line="440" w:lineRule="exact"/>
        <w:ind w:firstLine="718" w:firstLineChars="342"/>
        <w:rPr>
          <w:rFonts w:hAnsi="宋体"/>
        </w:rPr>
      </w:pPr>
      <w:r>
        <w:rPr>
          <w:rFonts w:hint="eastAsia" w:hAnsi="宋体"/>
        </w:rPr>
        <w:t>（</w:t>
      </w:r>
      <w:r>
        <w:rPr>
          <w:rFonts w:hAnsi="宋体"/>
        </w:rPr>
        <w:t>6</w:t>
      </w:r>
      <w:r>
        <w:rPr>
          <w:rFonts w:hint="eastAsia" w:hAnsi="宋体"/>
        </w:rPr>
        <w:t>）投标文件的实质性内容未使用中文表述、意思表述不明确、前后矛盾或者使用计量单位不符合招标文件要求的（经评标委员会认定并允许其当场更正的笔误除外）</w:t>
      </w:r>
    </w:p>
    <w:p>
      <w:pPr>
        <w:pStyle w:val="19"/>
        <w:spacing w:line="440" w:lineRule="exact"/>
        <w:ind w:firstLine="718" w:firstLineChars="342"/>
        <w:rPr>
          <w:rFonts w:hAnsi="宋体"/>
        </w:rPr>
      </w:pPr>
      <w:r>
        <w:rPr>
          <w:rFonts w:hint="eastAsia" w:hAnsi="宋体"/>
        </w:rPr>
        <w:t>（</w:t>
      </w:r>
      <w:r>
        <w:rPr>
          <w:rFonts w:hAnsi="宋体"/>
        </w:rPr>
        <w:t>7</w:t>
      </w:r>
      <w:r>
        <w:rPr>
          <w:rFonts w:hint="eastAsia" w:hAnsi="宋体"/>
        </w:rPr>
        <w:t>）投标有效期、服务期限时间、质保期、服务等商务条款不能满足招标文件要求的；</w:t>
      </w:r>
    </w:p>
    <w:p>
      <w:pPr>
        <w:pStyle w:val="19"/>
        <w:spacing w:line="440" w:lineRule="exact"/>
        <w:ind w:firstLine="718" w:firstLineChars="342"/>
        <w:rPr>
          <w:rFonts w:hAnsi="宋体"/>
        </w:rPr>
      </w:pPr>
      <w:r>
        <w:rPr>
          <w:rFonts w:hint="eastAsia" w:hAnsi="宋体"/>
        </w:rPr>
        <w:t>（</w:t>
      </w:r>
      <w:r>
        <w:rPr>
          <w:rFonts w:hAnsi="宋体"/>
        </w:rPr>
        <w:t>8</w:t>
      </w:r>
      <w:r>
        <w:rPr>
          <w:rFonts w:hint="eastAsia" w:hAnsi="宋体"/>
        </w:rPr>
        <w:t>）未实质性响应招标文件要求或者投标文件含有采购人不能接受的附加条件的；</w:t>
      </w:r>
    </w:p>
    <w:p>
      <w:pPr>
        <w:pStyle w:val="19"/>
        <w:spacing w:line="440" w:lineRule="exact"/>
        <w:ind w:firstLine="718" w:firstLineChars="342"/>
        <w:rPr>
          <w:rFonts w:hAnsi="宋体"/>
        </w:rPr>
      </w:pPr>
      <w:r>
        <w:rPr>
          <w:rFonts w:hint="eastAsia" w:hAnsi="宋体"/>
        </w:rPr>
        <w:t>（</w:t>
      </w:r>
      <w:r>
        <w:rPr>
          <w:rFonts w:hAnsi="宋体"/>
        </w:rPr>
        <w:t>9</w:t>
      </w:r>
      <w:r>
        <w:rPr>
          <w:rFonts w:hint="eastAsia" w:hAnsi="宋体"/>
        </w:rPr>
        <w:t>）未按照招标文件的规定提交投标保证金的；</w:t>
      </w:r>
    </w:p>
    <w:p>
      <w:pPr>
        <w:pStyle w:val="19"/>
        <w:spacing w:line="440" w:lineRule="exact"/>
        <w:ind w:firstLine="718" w:firstLineChars="342"/>
        <w:rPr>
          <w:rFonts w:hAnsi="宋体"/>
        </w:rPr>
      </w:pPr>
      <w:r>
        <w:rPr>
          <w:rFonts w:hint="eastAsia" w:hAnsi="宋体"/>
        </w:rPr>
        <w:t>（</w:t>
      </w:r>
      <w:r>
        <w:rPr>
          <w:rFonts w:hAnsi="宋体"/>
        </w:rPr>
        <w:t>10</w:t>
      </w:r>
      <w:r>
        <w:rPr>
          <w:rFonts w:hint="eastAsia" w:hAnsi="宋体"/>
        </w:rPr>
        <w:t>）投标文件未按招标文件要求签署、盖章的；</w:t>
      </w:r>
    </w:p>
    <w:p>
      <w:pPr>
        <w:pStyle w:val="19"/>
        <w:spacing w:line="440" w:lineRule="exact"/>
        <w:ind w:firstLine="718" w:firstLineChars="342"/>
        <w:rPr>
          <w:rFonts w:hAnsi="宋体"/>
        </w:rPr>
      </w:pPr>
      <w:r>
        <w:rPr>
          <w:rFonts w:hint="eastAsia" w:hAnsi="宋体"/>
        </w:rPr>
        <w:t>（</w:t>
      </w:r>
      <w:r>
        <w:rPr>
          <w:rFonts w:hAnsi="宋体"/>
        </w:rPr>
        <w:t>11</w:t>
      </w:r>
      <w:r>
        <w:rPr>
          <w:rFonts w:hint="eastAsia" w:hAnsi="宋体"/>
        </w:rPr>
        <w:t>）法律、法规和招标文件规定的其他无效情形。</w:t>
      </w:r>
    </w:p>
    <w:p>
      <w:pPr>
        <w:pStyle w:val="19"/>
        <w:spacing w:line="440" w:lineRule="exact"/>
        <w:ind w:firstLine="424" w:firstLineChars="202"/>
        <w:rPr>
          <w:rFonts w:hAnsi="宋体"/>
        </w:rPr>
      </w:pPr>
      <w:r>
        <w:rPr>
          <w:rFonts w:hAnsi="宋体"/>
        </w:rPr>
        <w:t>20.1.2</w:t>
      </w:r>
      <w:r>
        <w:rPr>
          <w:rFonts w:hint="eastAsia" w:hAnsi="宋体"/>
        </w:rPr>
        <w:t>在技术评审时，如发现下列情形之一的，投标文件将被视为无效：</w:t>
      </w:r>
    </w:p>
    <w:p>
      <w:pPr>
        <w:pStyle w:val="19"/>
        <w:spacing w:line="440" w:lineRule="exact"/>
        <w:ind w:firstLine="718" w:firstLineChars="342"/>
        <w:rPr>
          <w:rFonts w:hAnsi="宋体"/>
        </w:rPr>
      </w:pPr>
      <w:r>
        <w:rPr>
          <w:rFonts w:hint="eastAsia" w:hAnsi="宋体"/>
        </w:rPr>
        <w:t>（</w:t>
      </w:r>
      <w:r>
        <w:rPr>
          <w:rFonts w:hAnsi="宋体"/>
        </w:rPr>
        <w:t>1</w:t>
      </w:r>
      <w:r>
        <w:rPr>
          <w:rFonts w:hint="eastAsia" w:hAnsi="宋体"/>
        </w:rPr>
        <w:t>）未提供或未如实提供投标货物的技术参数，或者投标文件标明的响应或偏离与事实不符或虚假投标的；</w:t>
      </w:r>
    </w:p>
    <w:p>
      <w:pPr>
        <w:pStyle w:val="19"/>
        <w:spacing w:line="440" w:lineRule="exact"/>
        <w:ind w:firstLine="718" w:firstLineChars="342"/>
        <w:rPr>
          <w:rFonts w:hAnsi="宋体"/>
        </w:rPr>
      </w:pPr>
      <w:r>
        <w:rPr>
          <w:rFonts w:hint="eastAsia" w:hAnsi="宋体"/>
        </w:rPr>
        <w:t>（</w:t>
      </w:r>
      <w:r>
        <w:rPr>
          <w:rFonts w:hAnsi="宋体"/>
        </w:rPr>
        <w:t>2</w:t>
      </w:r>
      <w:r>
        <w:rPr>
          <w:rFonts w:hint="eastAsia" w:hAnsi="宋体"/>
        </w:rPr>
        <w:t>）明显不符合招标文件要求的技术规格、安全、质量标准，或者与招标文件中标“</w:t>
      </w:r>
      <w:r>
        <w:rPr>
          <w:rFonts w:hint="eastAsia" w:hAnsi="宋体"/>
          <w:bCs/>
        </w:rPr>
        <w:t>★</w:t>
      </w:r>
      <w:r>
        <w:rPr>
          <w:rFonts w:hint="eastAsia" w:hAnsi="宋体"/>
        </w:rPr>
        <w:t>”的技术指标、主要功能项目发生实质性负偏离的；</w:t>
      </w:r>
    </w:p>
    <w:p>
      <w:pPr>
        <w:pStyle w:val="19"/>
        <w:spacing w:line="440" w:lineRule="exact"/>
        <w:ind w:firstLine="718" w:firstLineChars="342"/>
        <w:rPr>
          <w:rFonts w:hAnsi="宋体"/>
        </w:rPr>
      </w:pPr>
      <w:r>
        <w:rPr>
          <w:rFonts w:hint="eastAsia" w:hAnsi="宋体"/>
        </w:rPr>
        <w:t>（</w:t>
      </w:r>
      <w:r>
        <w:rPr>
          <w:rFonts w:hAnsi="宋体"/>
        </w:rPr>
        <w:t>3</w:t>
      </w:r>
      <w:r>
        <w:rPr>
          <w:rFonts w:hint="eastAsia" w:hAnsi="宋体"/>
        </w:rPr>
        <w:t>）允许偏离的技术、性能指标或者辅助功能项目发生负偏离超出允许负偏离的数量的。</w:t>
      </w:r>
    </w:p>
    <w:p>
      <w:pPr>
        <w:pStyle w:val="19"/>
        <w:spacing w:line="440" w:lineRule="exact"/>
        <w:ind w:firstLine="718" w:firstLineChars="342"/>
        <w:rPr>
          <w:rFonts w:hAnsi="宋体"/>
        </w:rPr>
      </w:pPr>
      <w:r>
        <w:rPr>
          <w:rFonts w:hint="eastAsia" w:hAnsi="宋体"/>
        </w:rPr>
        <w:t>（</w:t>
      </w:r>
      <w:r>
        <w:rPr>
          <w:rFonts w:hAnsi="宋体"/>
        </w:rPr>
        <w:t>4</w:t>
      </w:r>
      <w:r>
        <w:rPr>
          <w:rFonts w:hint="eastAsia" w:hAnsi="宋体"/>
        </w:rPr>
        <w:t>）投标技术方案不明确，存在一个或一个以上备选（替代）投标方案的；</w:t>
      </w:r>
    </w:p>
    <w:p>
      <w:pPr>
        <w:pStyle w:val="19"/>
        <w:spacing w:line="440" w:lineRule="exact"/>
        <w:ind w:firstLine="718" w:firstLineChars="342"/>
        <w:rPr>
          <w:rFonts w:hAnsi="宋体"/>
        </w:rPr>
      </w:pPr>
      <w:r>
        <w:rPr>
          <w:rFonts w:hint="eastAsia" w:hAnsi="宋体"/>
        </w:rPr>
        <w:t>（</w:t>
      </w:r>
      <w:r>
        <w:rPr>
          <w:rFonts w:hAnsi="宋体"/>
        </w:rPr>
        <w:t>5</w:t>
      </w:r>
      <w:r>
        <w:rPr>
          <w:rFonts w:hint="eastAsia" w:hAnsi="宋体"/>
        </w:rPr>
        <w:t>）与其他参加本次投标供应商的投标文件（技术文件）的文字表述内容差错相同二处以上的；</w:t>
      </w:r>
    </w:p>
    <w:p>
      <w:pPr>
        <w:pStyle w:val="19"/>
        <w:spacing w:line="440" w:lineRule="exact"/>
        <w:ind w:firstLine="424" w:firstLineChars="202"/>
        <w:rPr>
          <w:rFonts w:hAnsi="宋体"/>
        </w:rPr>
      </w:pPr>
      <w:r>
        <w:rPr>
          <w:rFonts w:hAnsi="宋体"/>
        </w:rPr>
        <w:t>20.1.3</w:t>
      </w:r>
      <w:r>
        <w:rPr>
          <w:rFonts w:hint="eastAsia" w:hAnsi="宋体"/>
        </w:rPr>
        <w:t>在报价评审时，如发现下列情形之一的，投标文件将被视为无效：</w:t>
      </w:r>
    </w:p>
    <w:p>
      <w:pPr>
        <w:pStyle w:val="19"/>
        <w:spacing w:line="440" w:lineRule="exact"/>
        <w:ind w:firstLine="718" w:firstLineChars="342"/>
        <w:rPr>
          <w:rFonts w:hAnsi="宋体"/>
        </w:rPr>
      </w:pPr>
      <w:r>
        <w:rPr>
          <w:rFonts w:hint="eastAsia" w:hAnsi="宋体"/>
        </w:rPr>
        <w:t>（</w:t>
      </w:r>
      <w:r>
        <w:rPr>
          <w:rFonts w:hAnsi="宋体"/>
        </w:rPr>
        <w:t>1</w:t>
      </w:r>
      <w:r>
        <w:rPr>
          <w:rFonts w:hint="eastAsia" w:hAnsi="宋体"/>
        </w:rPr>
        <w:t>）未采用人民币报价或者未按照招标文件标明的币种报价的；</w:t>
      </w:r>
    </w:p>
    <w:p>
      <w:pPr>
        <w:pStyle w:val="19"/>
        <w:spacing w:line="440" w:lineRule="exact"/>
        <w:ind w:firstLine="718" w:firstLineChars="342"/>
        <w:rPr>
          <w:rFonts w:hAnsi="宋体"/>
        </w:rPr>
      </w:pPr>
      <w:r>
        <w:rPr>
          <w:rFonts w:hint="eastAsia" w:hAnsi="宋体"/>
        </w:rPr>
        <w:t>（</w:t>
      </w:r>
      <w:r>
        <w:rPr>
          <w:rFonts w:hAnsi="宋体"/>
        </w:rPr>
        <w:t>2</w:t>
      </w:r>
      <w:r>
        <w:rPr>
          <w:rFonts w:hint="eastAsia" w:hAnsi="宋体"/>
        </w:rPr>
        <w:t>）报价超出招标文件规定最高限价，或者超出采购预算金额的；</w:t>
      </w:r>
    </w:p>
    <w:p>
      <w:pPr>
        <w:pStyle w:val="19"/>
        <w:spacing w:line="440" w:lineRule="exact"/>
        <w:ind w:firstLine="718" w:firstLineChars="342"/>
        <w:rPr>
          <w:rFonts w:hAnsi="宋体"/>
        </w:rPr>
      </w:pPr>
      <w:r>
        <w:rPr>
          <w:rFonts w:hint="eastAsia" w:hAnsi="宋体"/>
        </w:rPr>
        <w:t>（</w:t>
      </w:r>
      <w:r>
        <w:rPr>
          <w:rFonts w:hAnsi="宋体"/>
        </w:rPr>
        <w:t>3</w:t>
      </w:r>
      <w:r>
        <w:rPr>
          <w:rFonts w:hint="eastAsia" w:hAnsi="宋体"/>
        </w:rPr>
        <w:t>）具有选择性投标报价的；</w:t>
      </w:r>
    </w:p>
    <w:p>
      <w:pPr>
        <w:pStyle w:val="19"/>
        <w:spacing w:line="440" w:lineRule="exact"/>
        <w:ind w:firstLine="718" w:firstLineChars="342"/>
        <w:rPr>
          <w:rFonts w:hAnsi="宋体"/>
        </w:rPr>
      </w:pPr>
      <w:r>
        <w:rPr>
          <w:rFonts w:hint="eastAsia" w:hAnsi="宋体"/>
        </w:rPr>
        <w:t>（</w:t>
      </w:r>
      <w:r>
        <w:rPr>
          <w:rFonts w:hAnsi="宋体"/>
        </w:rPr>
        <w:t>4</w:t>
      </w:r>
      <w:r>
        <w:rPr>
          <w:rFonts w:hint="eastAsia" w:hAnsi="宋体"/>
        </w:rPr>
        <w:t>）投标人未就所投分标的全部内容作完整唯一报价的，或有漏项报价的或有选择的或有条件的报价的。</w:t>
      </w:r>
    </w:p>
    <w:p>
      <w:pPr>
        <w:pStyle w:val="19"/>
        <w:spacing w:line="440" w:lineRule="exact"/>
        <w:rPr>
          <w:rFonts w:hAnsi="宋体"/>
        </w:rPr>
      </w:pPr>
      <w:r>
        <w:rPr>
          <w:rFonts w:hAnsi="宋体"/>
        </w:rPr>
        <w:t xml:space="preserve">   20.2  </w:t>
      </w:r>
      <w:r>
        <w:rPr>
          <w:rFonts w:hint="eastAsia" w:hAnsi="宋体"/>
        </w:rPr>
        <w:t>有下列情形之一的视为投标人相互串通投标，投标文件将被视为无效：</w:t>
      </w:r>
    </w:p>
    <w:p>
      <w:pPr>
        <w:pStyle w:val="19"/>
        <w:spacing w:line="440" w:lineRule="exact"/>
        <w:ind w:firstLine="735" w:firstLineChars="350"/>
        <w:rPr>
          <w:rFonts w:hAnsi="宋体"/>
        </w:rPr>
      </w:pPr>
      <w:r>
        <w:rPr>
          <w:rFonts w:hint="eastAsia" w:hAnsi="宋体"/>
        </w:rPr>
        <w:t>（</w:t>
      </w:r>
      <w:r>
        <w:rPr>
          <w:rFonts w:hAnsi="宋体"/>
        </w:rPr>
        <w:t>1</w:t>
      </w:r>
      <w:r>
        <w:rPr>
          <w:rFonts w:hint="eastAsia" w:hAnsi="宋体"/>
        </w:rPr>
        <w:t>）不同投标人的投标文件由同一单位或者个人编制；或不同投标人报名的</w:t>
      </w:r>
      <w:r>
        <w:rPr>
          <w:rFonts w:hAnsi="宋体"/>
        </w:rPr>
        <w:t>IP</w:t>
      </w:r>
      <w:r>
        <w:rPr>
          <w:rFonts w:hint="eastAsia" w:hAnsi="宋体"/>
        </w:rPr>
        <w:t>地址一致的；</w:t>
      </w:r>
    </w:p>
    <w:p>
      <w:pPr>
        <w:pStyle w:val="19"/>
        <w:spacing w:line="440" w:lineRule="exact"/>
        <w:ind w:firstLine="735" w:firstLineChars="350"/>
        <w:rPr>
          <w:rFonts w:hAnsi="宋体"/>
        </w:rPr>
      </w:pPr>
      <w:r>
        <w:rPr>
          <w:rFonts w:hint="eastAsia" w:hAnsi="宋体"/>
        </w:rPr>
        <w:t>（</w:t>
      </w:r>
      <w:r>
        <w:rPr>
          <w:rFonts w:hAnsi="宋体"/>
        </w:rPr>
        <w:t>2</w:t>
      </w:r>
      <w:r>
        <w:rPr>
          <w:rFonts w:hint="eastAsia" w:hAnsi="宋体"/>
        </w:rPr>
        <w:t>）不同投标人委托同一单位或者个人办理投标事宜；</w:t>
      </w:r>
    </w:p>
    <w:p>
      <w:pPr>
        <w:pStyle w:val="19"/>
        <w:spacing w:line="440" w:lineRule="exact"/>
        <w:ind w:firstLine="735" w:firstLineChars="350"/>
        <w:rPr>
          <w:rFonts w:hAnsi="宋体"/>
        </w:rPr>
      </w:pPr>
      <w:r>
        <w:rPr>
          <w:rFonts w:hint="eastAsia" w:hAnsi="宋体"/>
        </w:rPr>
        <w:t>（</w:t>
      </w:r>
      <w:r>
        <w:rPr>
          <w:rFonts w:hAnsi="宋体"/>
        </w:rPr>
        <w:t>3</w:t>
      </w:r>
      <w:r>
        <w:rPr>
          <w:rFonts w:hint="eastAsia" w:hAnsi="宋体"/>
        </w:rPr>
        <w:t>）不同的投标人的投标文件载明的项目管理员为同一个人；</w:t>
      </w:r>
    </w:p>
    <w:p>
      <w:pPr>
        <w:pStyle w:val="19"/>
        <w:spacing w:line="440" w:lineRule="exact"/>
        <w:ind w:firstLine="735" w:firstLineChars="350"/>
        <w:rPr>
          <w:rFonts w:hAnsi="宋体"/>
        </w:rPr>
      </w:pPr>
      <w:r>
        <w:rPr>
          <w:rFonts w:hint="eastAsia" w:hAnsi="宋体"/>
        </w:rPr>
        <w:t>（</w:t>
      </w:r>
      <w:r>
        <w:rPr>
          <w:rFonts w:hAnsi="宋体"/>
        </w:rPr>
        <w:t>4</w:t>
      </w:r>
      <w:r>
        <w:rPr>
          <w:rFonts w:hint="eastAsia" w:hAnsi="宋体"/>
        </w:rPr>
        <w:t>）不同投标人的投标文件异常一致或投标报价呈规律性差异；</w:t>
      </w:r>
    </w:p>
    <w:p>
      <w:pPr>
        <w:pStyle w:val="19"/>
        <w:spacing w:line="440" w:lineRule="exact"/>
        <w:ind w:firstLine="735" w:firstLineChars="350"/>
        <w:rPr>
          <w:rFonts w:hAnsi="宋体"/>
        </w:rPr>
      </w:pPr>
      <w:r>
        <w:rPr>
          <w:rFonts w:hint="eastAsia" w:hAnsi="宋体"/>
        </w:rPr>
        <w:t>（</w:t>
      </w:r>
      <w:r>
        <w:rPr>
          <w:rFonts w:hAnsi="宋体"/>
        </w:rPr>
        <w:t>5</w:t>
      </w:r>
      <w:r>
        <w:rPr>
          <w:rFonts w:hint="eastAsia" w:hAnsi="宋体"/>
        </w:rPr>
        <w:t>）不同投标人的投标文件相互混装；</w:t>
      </w:r>
    </w:p>
    <w:p>
      <w:pPr>
        <w:pStyle w:val="19"/>
        <w:spacing w:line="440" w:lineRule="exact"/>
        <w:ind w:firstLine="735" w:firstLineChars="350"/>
        <w:rPr>
          <w:rFonts w:hAnsi="宋体"/>
        </w:rPr>
      </w:pPr>
      <w:r>
        <w:rPr>
          <w:rFonts w:hint="eastAsia" w:hAnsi="宋体"/>
        </w:rPr>
        <w:t>（</w:t>
      </w:r>
      <w:r>
        <w:rPr>
          <w:rFonts w:hAnsi="宋体"/>
        </w:rPr>
        <w:t>6</w:t>
      </w:r>
      <w:r>
        <w:rPr>
          <w:rFonts w:hint="eastAsia" w:hAnsi="宋体"/>
        </w:rPr>
        <w:t>）不同投标人的投标保证金从同一单位或者个人账户转出。</w:t>
      </w:r>
    </w:p>
    <w:p>
      <w:pPr>
        <w:pStyle w:val="19"/>
        <w:spacing w:line="440" w:lineRule="exact"/>
        <w:rPr>
          <w:rFonts w:hAnsi="宋体"/>
          <w:b/>
          <w:bCs/>
          <w:sz w:val="24"/>
        </w:rPr>
      </w:pPr>
      <w:r>
        <w:rPr>
          <w:rFonts w:hAnsi="宋体"/>
          <w:b/>
          <w:bCs/>
          <w:sz w:val="24"/>
        </w:rPr>
        <w:t xml:space="preserve">21.  </w:t>
      </w:r>
      <w:r>
        <w:rPr>
          <w:rFonts w:hint="eastAsia" w:hAnsi="宋体"/>
          <w:b/>
          <w:bCs/>
          <w:sz w:val="24"/>
        </w:rPr>
        <w:t>废标</w:t>
      </w:r>
    </w:p>
    <w:p>
      <w:pPr>
        <w:pStyle w:val="19"/>
        <w:spacing w:line="440" w:lineRule="exact"/>
        <w:ind w:firstLine="359" w:firstLineChars="171"/>
        <w:rPr>
          <w:rFonts w:hAnsi="宋体"/>
        </w:rPr>
      </w:pPr>
      <w:r>
        <w:rPr>
          <w:rFonts w:hAnsi="宋体"/>
        </w:rPr>
        <w:t xml:space="preserve">21.1  </w:t>
      </w:r>
      <w:r>
        <w:rPr>
          <w:rFonts w:hint="eastAsia" w:hAnsi="宋体"/>
        </w:rPr>
        <w:t>在招标过程中，出现下列情形之一的，予以废标：</w:t>
      </w:r>
    </w:p>
    <w:p>
      <w:pPr>
        <w:pStyle w:val="19"/>
        <w:spacing w:line="440" w:lineRule="exact"/>
        <w:ind w:firstLine="720"/>
        <w:rPr>
          <w:rFonts w:hAnsi="宋体"/>
        </w:rPr>
      </w:pPr>
      <w:r>
        <w:rPr>
          <w:rFonts w:hint="eastAsia" w:hAnsi="宋体"/>
        </w:rPr>
        <w:t>（</w:t>
      </w:r>
      <w:r>
        <w:rPr>
          <w:rFonts w:hAnsi="宋体"/>
        </w:rPr>
        <w:t>1</w:t>
      </w:r>
      <w:r>
        <w:rPr>
          <w:rFonts w:hint="eastAsia" w:hAnsi="宋体"/>
        </w:rPr>
        <w:t>）符合专业条件的供应商或者对招标文件作实质响应的供应商不足三家的；</w:t>
      </w:r>
    </w:p>
    <w:p>
      <w:pPr>
        <w:pStyle w:val="19"/>
        <w:spacing w:line="440" w:lineRule="exact"/>
        <w:ind w:firstLine="720"/>
        <w:rPr>
          <w:rFonts w:hAnsi="宋体"/>
        </w:rPr>
      </w:pPr>
      <w:r>
        <w:rPr>
          <w:rFonts w:hint="eastAsia" w:hAnsi="宋体"/>
          <w:b/>
        </w:rPr>
        <w:t>供应商家数计算规则：</w:t>
      </w:r>
      <w:r>
        <w:rPr>
          <w:rFonts w:hint="eastAsia" w:hAnsi="宋体"/>
        </w:rPr>
        <w:t>多家投标供应商参加投标，如其中两家或两家以上投标供应商的法定代表人为同一人或相互之间存在投资关系且达到控股的，应当按一个供应商认定。评审时，取其中通过资格审查后的报价最低一家为有效供应商；当报价相同时，则以技术标最优一家为有效供应商；均相同时，由评标委员会集体决定。</w:t>
      </w:r>
    </w:p>
    <w:p>
      <w:pPr>
        <w:pStyle w:val="19"/>
        <w:spacing w:line="440" w:lineRule="exact"/>
        <w:ind w:firstLine="720"/>
        <w:rPr>
          <w:rFonts w:hAnsi="宋体"/>
          <w:bCs/>
          <w:sz w:val="24"/>
        </w:rPr>
      </w:pPr>
      <w:r>
        <w:rPr>
          <w:rFonts w:hint="eastAsia" w:hAnsi="宋体"/>
        </w:rPr>
        <w:t>（</w:t>
      </w:r>
      <w:r>
        <w:rPr>
          <w:rFonts w:hAnsi="宋体"/>
        </w:rPr>
        <w:t>2</w:t>
      </w:r>
      <w:r>
        <w:rPr>
          <w:rFonts w:hint="eastAsia" w:hAnsi="宋体"/>
        </w:rPr>
        <w:t>）出现影响采购公正的违法、违规行为的；</w:t>
      </w:r>
    </w:p>
    <w:p>
      <w:pPr>
        <w:pStyle w:val="19"/>
        <w:spacing w:line="440" w:lineRule="exact"/>
        <w:ind w:firstLine="720"/>
        <w:rPr>
          <w:rFonts w:hAnsi="宋体"/>
        </w:rPr>
      </w:pPr>
      <w:r>
        <w:rPr>
          <w:rFonts w:hint="eastAsia" w:hAnsi="宋体"/>
        </w:rPr>
        <w:t>（</w:t>
      </w:r>
      <w:r>
        <w:rPr>
          <w:rFonts w:hAnsi="宋体"/>
        </w:rPr>
        <w:t>3</w:t>
      </w:r>
      <w:r>
        <w:rPr>
          <w:rFonts w:hint="eastAsia" w:hAnsi="宋体"/>
        </w:rPr>
        <w:t>）投标人的报价均超过了采购预算，采购人不能支付的；</w:t>
      </w:r>
    </w:p>
    <w:p>
      <w:pPr>
        <w:pStyle w:val="19"/>
        <w:spacing w:line="440" w:lineRule="exact"/>
        <w:ind w:firstLine="720"/>
        <w:rPr>
          <w:rFonts w:hAnsi="宋体"/>
        </w:rPr>
      </w:pPr>
      <w:r>
        <w:rPr>
          <w:rFonts w:hint="eastAsia" w:hAnsi="宋体"/>
        </w:rPr>
        <w:t>（</w:t>
      </w:r>
      <w:r>
        <w:rPr>
          <w:rFonts w:hAnsi="宋体"/>
        </w:rPr>
        <w:t>4</w:t>
      </w:r>
      <w:r>
        <w:rPr>
          <w:rFonts w:hint="eastAsia" w:hAnsi="宋体"/>
        </w:rPr>
        <w:t>）因重大变故，采购任务取消的。</w:t>
      </w:r>
    </w:p>
    <w:p>
      <w:pPr>
        <w:pStyle w:val="19"/>
        <w:spacing w:line="440" w:lineRule="exact"/>
        <w:ind w:firstLine="411" w:firstLineChars="196"/>
        <w:rPr>
          <w:rFonts w:hAnsi="宋体"/>
        </w:rPr>
      </w:pPr>
      <w:r>
        <w:rPr>
          <w:rFonts w:hAnsi="宋体"/>
        </w:rPr>
        <w:t xml:space="preserve">21.2  </w:t>
      </w:r>
      <w:r>
        <w:rPr>
          <w:rFonts w:hint="eastAsia" w:hAnsi="宋体"/>
        </w:rPr>
        <w:t>废标后，采购代理机构将在本章第</w:t>
      </w:r>
      <w:r>
        <w:rPr>
          <w:rFonts w:hAnsi="宋体"/>
        </w:rPr>
        <w:t>2.1</w:t>
      </w:r>
      <w:r>
        <w:rPr>
          <w:rFonts w:hint="eastAsia" w:hAnsi="宋体"/>
        </w:rPr>
        <w:t>项规定的政府采购信息发布媒体上公告废标理由，不再另行通知。</w:t>
      </w:r>
    </w:p>
    <w:p>
      <w:pPr>
        <w:pStyle w:val="4"/>
        <w:rPr>
          <w:rFonts w:ascii="宋体" w:hAnsi="宋体"/>
        </w:rPr>
      </w:pPr>
      <w:bookmarkStart w:id="49" w:name="_Toc57749785"/>
      <w:bookmarkStart w:id="50" w:name="_Toc401396880"/>
      <w:bookmarkStart w:id="51" w:name="_Toc213326421"/>
      <w:r>
        <w:rPr>
          <w:rFonts w:hint="eastAsia" w:ascii="宋体" w:hAnsi="宋体"/>
        </w:rPr>
        <w:t>六合同授予</w:t>
      </w:r>
      <w:bookmarkEnd w:id="49"/>
      <w:bookmarkEnd w:id="50"/>
      <w:bookmarkEnd w:id="51"/>
    </w:p>
    <w:p>
      <w:pPr>
        <w:pStyle w:val="19"/>
        <w:spacing w:line="440" w:lineRule="exact"/>
        <w:rPr>
          <w:rFonts w:hAnsi="宋体"/>
          <w:bCs/>
          <w:sz w:val="24"/>
        </w:rPr>
      </w:pPr>
      <w:r>
        <w:rPr>
          <w:rFonts w:hAnsi="宋体"/>
          <w:bCs/>
          <w:sz w:val="24"/>
        </w:rPr>
        <w:t xml:space="preserve">22.  </w:t>
      </w:r>
      <w:r>
        <w:rPr>
          <w:rFonts w:hint="eastAsia" w:hAnsi="宋体"/>
          <w:bCs/>
          <w:sz w:val="24"/>
        </w:rPr>
        <w:t>中标供应商的确定</w:t>
      </w:r>
    </w:p>
    <w:p>
      <w:pPr>
        <w:spacing w:line="440" w:lineRule="exact"/>
        <w:ind w:firstLine="420"/>
        <w:rPr>
          <w:rFonts w:ascii="宋体" w:hAnsi="宋体"/>
          <w:szCs w:val="20"/>
        </w:rPr>
      </w:pPr>
      <w:r>
        <w:rPr>
          <w:rFonts w:ascii="宋体" w:hAnsi="宋体"/>
          <w:szCs w:val="20"/>
        </w:rPr>
        <w:t xml:space="preserve">22.1  </w:t>
      </w:r>
      <w:r>
        <w:rPr>
          <w:rFonts w:hint="eastAsia" w:ascii="宋体" w:hAnsi="宋体"/>
          <w:szCs w:val="20"/>
        </w:rPr>
        <w:t>评标委员会按第三章“评标方法”的规定</w:t>
      </w:r>
      <w:r>
        <w:rPr>
          <w:rFonts w:hint="eastAsia" w:ascii="宋体" w:hAnsi="宋体"/>
        </w:rPr>
        <w:t>排列中标候选供应商顺序，并依照次序确定中标供应商。</w:t>
      </w:r>
    </w:p>
    <w:p>
      <w:pPr>
        <w:pStyle w:val="19"/>
        <w:spacing w:line="440" w:lineRule="exact"/>
        <w:rPr>
          <w:rFonts w:hAnsi="宋体"/>
          <w:bCs/>
          <w:sz w:val="24"/>
        </w:rPr>
      </w:pPr>
      <w:r>
        <w:rPr>
          <w:rFonts w:hAnsi="宋体"/>
          <w:bCs/>
          <w:sz w:val="24"/>
        </w:rPr>
        <w:t xml:space="preserve">23.  </w:t>
      </w:r>
      <w:r>
        <w:rPr>
          <w:rFonts w:hint="eastAsia" w:hAnsi="宋体"/>
          <w:bCs/>
          <w:sz w:val="24"/>
        </w:rPr>
        <w:t>中标通知书</w:t>
      </w:r>
    </w:p>
    <w:p>
      <w:pPr>
        <w:pStyle w:val="19"/>
        <w:spacing w:line="440" w:lineRule="exact"/>
        <w:ind w:firstLine="360"/>
        <w:rPr>
          <w:rFonts w:hAnsi="宋体" w:cs="宋体"/>
          <w:kern w:val="0"/>
          <w:szCs w:val="21"/>
        </w:rPr>
      </w:pPr>
      <w:r>
        <w:rPr>
          <w:rFonts w:hAnsi="宋体"/>
        </w:rPr>
        <w:t xml:space="preserve">23.1  </w:t>
      </w:r>
      <w:r>
        <w:rPr>
          <w:rFonts w:hint="eastAsia" w:hAnsi="宋体" w:cs="宋体"/>
          <w:kern w:val="0"/>
          <w:szCs w:val="21"/>
        </w:rPr>
        <w:t>评标结束后，评标结果由采购代理机构在本章第</w:t>
      </w:r>
      <w:r>
        <w:rPr>
          <w:rFonts w:hAnsi="宋体" w:cs="宋体"/>
          <w:kern w:val="0"/>
          <w:szCs w:val="21"/>
        </w:rPr>
        <w:t>2.1</w:t>
      </w:r>
      <w:r>
        <w:rPr>
          <w:rFonts w:hint="eastAsia" w:hAnsi="宋体" w:cs="宋体"/>
          <w:kern w:val="0"/>
          <w:szCs w:val="21"/>
        </w:rPr>
        <w:t>项规定的政府采购信息发布媒体上公示，公示期为一个工作日，公告期满无异议的，由采购代理机构向中标供应商发出政府采购合同。</w:t>
      </w:r>
    </w:p>
    <w:p>
      <w:pPr>
        <w:pStyle w:val="19"/>
        <w:spacing w:line="440" w:lineRule="exact"/>
        <w:ind w:firstLine="360"/>
        <w:rPr>
          <w:rFonts w:hAnsi="宋体" w:cs="宋体"/>
          <w:kern w:val="0"/>
          <w:szCs w:val="21"/>
        </w:rPr>
      </w:pPr>
      <w:r>
        <w:rPr>
          <w:rFonts w:hAnsi="宋体" w:cs="宋体"/>
          <w:kern w:val="0"/>
          <w:szCs w:val="21"/>
        </w:rPr>
        <w:t xml:space="preserve">23.1.1  </w:t>
      </w:r>
      <w:r>
        <w:rPr>
          <w:rFonts w:hint="eastAsia" w:hAnsi="宋体" w:cs="宋体"/>
          <w:kern w:val="0"/>
          <w:szCs w:val="21"/>
        </w:rPr>
        <w:t>在发布中标公告的同时，采购代理机构向中标供应商发出中标通知书。采购人或采购代理发出中标通知书前，应当对中标人信用进行查询，对列入失信被执行人、重大税收违法案件当事人名单、政府采购严重违法失信行为记录名单及其他不符合《中华人民共和国政府采购法》第二十二条规定条件的供应商，取消其中标资格，并确定排名第二的中标候选人为中标人。</w:t>
      </w:r>
    </w:p>
    <w:p>
      <w:pPr>
        <w:pStyle w:val="19"/>
        <w:spacing w:line="440" w:lineRule="exact"/>
        <w:ind w:firstLine="360"/>
        <w:rPr>
          <w:rFonts w:hAnsi="宋体" w:cs="宋体"/>
          <w:kern w:val="0"/>
          <w:szCs w:val="21"/>
        </w:rPr>
      </w:pPr>
      <w:r>
        <w:rPr>
          <w:rFonts w:hint="eastAsia" w:hAnsi="宋体" w:cs="宋体"/>
          <w:kern w:val="0"/>
          <w:szCs w:val="21"/>
        </w:rPr>
        <w:t>排名第二的中标候选人因前款规定的同样原因被取消中标资格的，采购人可以确定排名第三的中标候选人为中标人。</w:t>
      </w:r>
    </w:p>
    <w:p>
      <w:pPr>
        <w:pStyle w:val="19"/>
        <w:spacing w:line="440" w:lineRule="exact"/>
        <w:ind w:firstLine="360"/>
        <w:rPr>
          <w:rFonts w:hAnsi="宋体" w:cs="宋体"/>
          <w:kern w:val="0"/>
          <w:szCs w:val="21"/>
        </w:rPr>
      </w:pPr>
      <w:r>
        <w:rPr>
          <w:rFonts w:hint="eastAsia" w:hAnsi="宋体" w:cs="宋体"/>
          <w:kern w:val="0"/>
          <w:szCs w:val="21"/>
        </w:rPr>
        <w:t>以上信息查询记录及相关证据与采购文件一并保存。</w:t>
      </w:r>
    </w:p>
    <w:p>
      <w:pPr>
        <w:pStyle w:val="19"/>
        <w:spacing w:line="440" w:lineRule="exact"/>
        <w:ind w:firstLine="360"/>
        <w:rPr>
          <w:rFonts w:hAnsi="宋体" w:cs="宋体"/>
          <w:kern w:val="0"/>
          <w:szCs w:val="21"/>
        </w:rPr>
      </w:pPr>
      <w:r>
        <w:rPr>
          <w:rFonts w:hAnsi="宋体" w:cs="宋体"/>
          <w:kern w:val="0"/>
          <w:szCs w:val="21"/>
        </w:rPr>
        <w:t xml:space="preserve">23.2  </w:t>
      </w:r>
      <w:r>
        <w:rPr>
          <w:rFonts w:hint="eastAsia" w:hAnsi="宋体" w:cs="宋体"/>
          <w:kern w:val="0"/>
          <w:szCs w:val="21"/>
        </w:rPr>
        <w:t>中标通知书对采购人和中标供应商具有同等法律效力。中标通知书发出后，采购人改变中标结果，或者中标供应商放弃中标，应当承担相应的法律责任。</w:t>
      </w:r>
    </w:p>
    <w:p>
      <w:pPr>
        <w:pStyle w:val="19"/>
        <w:spacing w:line="440" w:lineRule="exact"/>
        <w:rPr>
          <w:rFonts w:hAnsi="宋体"/>
          <w:bCs/>
          <w:sz w:val="24"/>
        </w:rPr>
      </w:pPr>
      <w:r>
        <w:rPr>
          <w:rFonts w:hAnsi="宋体"/>
          <w:bCs/>
          <w:sz w:val="24"/>
        </w:rPr>
        <w:t xml:space="preserve">24.  </w:t>
      </w:r>
      <w:r>
        <w:rPr>
          <w:rFonts w:hint="eastAsia" w:hAnsi="宋体"/>
          <w:bCs/>
          <w:sz w:val="24"/>
        </w:rPr>
        <w:t>投标文件及投标样品的退回</w:t>
      </w:r>
    </w:p>
    <w:p>
      <w:pPr>
        <w:pStyle w:val="19"/>
        <w:spacing w:line="440" w:lineRule="exact"/>
        <w:ind w:firstLine="360"/>
        <w:rPr>
          <w:rFonts w:hAnsi="宋体"/>
        </w:rPr>
      </w:pPr>
      <w:r>
        <w:rPr>
          <w:rFonts w:hAnsi="宋体"/>
        </w:rPr>
        <w:t xml:space="preserve">24.1  </w:t>
      </w:r>
      <w:r>
        <w:rPr>
          <w:rFonts w:hint="eastAsia" w:hAnsi="宋体"/>
        </w:rPr>
        <w:t>采购人及采购代理机构无义务向未中标供应商解释其未中标原因和退回投标文件。</w:t>
      </w:r>
    </w:p>
    <w:p>
      <w:pPr>
        <w:pStyle w:val="19"/>
        <w:spacing w:line="440" w:lineRule="exact"/>
        <w:ind w:firstLine="360"/>
        <w:rPr>
          <w:rFonts w:hAnsi="宋体"/>
        </w:rPr>
      </w:pPr>
      <w:r>
        <w:rPr>
          <w:rFonts w:hAnsi="宋体"/>
        </w:rPr>
        <w:t xml:space="preserve">24.2  </w:t>
      </w:r>
      <w:r>
        <w:rPr>
          <w:rFonts w:hint="eastAsia" w:hAnsi="宋体"/>
        </w:rPr>
        <w:t>中标供应商的投标样品由采购人保管，做为验收的依据，验收后由采购人退回。未中标供应商的投标样品由供应商在中标结果公布后两个工作日内领回，否则按无主物品处理。</w:t>
      </w:r>
    </w:p>
    <w:p>
      <w:pPr>
        <w:pStyle w:val="19"/>
        <w:spacing w:line="440" w:lineRule="exact"/>
        <w:rPr>
          <w:rFonts w:hAnsi="宋体"/>
          <w:bCs/>
          <w:sz w:val="24"/>
        </w:rPr>
      </w:pPr>
      <w:r>
        <w:rPr>
          <w:rFonts w:hAnsi="宋体"/>
          <w:bCs/>
          <w:sz w:val="24"/>
        </w:rPr>
        <w:t xml:space="preserve">25.   </w:t>
      </w:r>
      <w:r>
        <w:rPr>
          <w:rFonts w:hint="eastAsia" w:hAnsi="宋体"/>
          <w:bCs/>
          <w:sz w:val="24"/>
        </w:rPr>
        <w:t>签订合同</w:t>
      </w:r>
    </w:p>
    <w:p>
      <w:pPr>
        <w:pStyle w:val="19"/>
        <w:spacing w:line="440" w:lineRule="exact"/>
        <w:ind w:firstLine="360"/>
        <w:rPr>
          <w:rFonts w:hAnsi="宋体"/>
        </w:rPr>
      </w:pPr>
      <w:r>
        <w:rPr>
          <w:rFonts w:hAnsi="宋体"/>
        </w:rPr>
        <w:t xml:space="preserve">25.1  </w:t>
      </w:r>
      <w:r>
        <w:rPr>
          <w:rFonts w:hint="eastAsia" w:hAnsi="宋体"/>
        </w:rPr>
        <w:t>采购人与中标供应商应当在中标通知书发出之日起</w:t>
      </w:r>
      <w:r>
        <w:rPr>
          <w:rFonts w:hint="eastAsia" w:hAnsi="宋体"/>
          <w:lang w:val="en-US" w:eastAsia="zh-CN"/>
        </w:rPr>
        <w:t>师十</w:t>
      </w:r>
      <w:r>
        <w:rPr>
          <w:rFonts w:hint="eastAsia" w:hAnsi="宋体"/>
        </w:rPr>
        <w:t>五日内，按照采购文件确定的事项签订政府采购合同。</w:t>
      </w:r>
    </w:p>
    <w:p>
      <w:pPr>
        <w:pStyle w:val="19"/>
        <w:spacing w:line="440" w:lineRule="exact"/>
        <w:ind w:firstLine="360"/>
        <w:rPr>
          <w:rFonts w:hAnsi="宋体"/>
        </w:rPr>
      </w:pPr>
      <w:r>
        <w:rPr>
          <w:rFonts w:hAnsi="宋体"/>
        </w:rPr>
        <w:t xml:space="preserve">25.2  </w:t>
      </w:r>
      <w:r>
        <w:rPr>
          <w:rFonts w:hint="eastAsia" w:hAnsi="宋体"/>
        </w:rPr>
        <w:t>联合体投标的，联合体各方应当共同与采购人签订采购合同，就采购合同约定的事项对采购人承担连带责任。</w:t>
      </w:r>
    </w:p>
    <w:p>
      <w:pPr>
        <w:pStyle w:val="19"/>
        <w:spacing w:line="440" w:lineRule="exact"/>
        <w:ind w:firstLine="420"/>
        <w:rPr>
          <w:rFonts w:hAnsi="宋体" w:cs="宋体"/>
          <w:kern w:val="0"/>
          <w:szCs w:val="28"/>
        </w:rPr>
      </w:pPr>
      <w:r>
        <w:rPr>
          <w:rFonts w:hAnsi="宋体" w:cs="宋体"/>
          <w:kern w:val="0"/>
          <w:szCs w:val="28"/>
        </w:rPr>
        <w:t>25.3</w:t>
      </w:r>
      <w:r>
        <w:rPr>
          <w:rFonts w:hint="eastAsia" w:hAnsi="宋体" w:cs="宋体"/>
          <w:kern w:val="0"/>
          <w:szCs w:val="28"/>
        </w:rPr>
        <w:t>政府采购合同签订应当采用政府采购合同格式文本，合同应内容完整、盖章齐全；项目合同的各要素和内容应与招标文件、中标供应商的承诺、中标通知书等的内容一致；合同附件齐全；多页合同每页应顺序标出页码并盖骑缝章。</w:t>
      </w:r>
    </w:p>
    <w:p>
      <w:pPr>
        <w:pStyle w:val="19"/>
        <w:spacing w:line="440" w:lineRule="exact"/>
        <w:ind w:firstLine="360"/>
        <w:rPr>
          <w:rFonts w:hAnsi="宋体"/>
        </w:rPr>
      </w:pPr>
      <w:r>
        <w:rPr>
          <w:rFonts w:hAnsi="宋体"/>
        </w:rPr>
        <w:t>25.</w:t>
      </w:r>
      <w:r>
        <w:rPr>
          <w:rFonts w:hint="eastAsia" w:hAnsi="宋体"/>
        </w:rPr>
        <w:t>4</w:t>
      </w:r>
      <w:r>
        <w:rPr>
          <w:rFonts w:hAnsi="宋体"/>
        </w:rPr>
        <w:t xml:space="preserve">  </w:t>
      </w:r>
      <w:r>
        <w:rPr>
          <w:rFonts w:hint="eastAsia" w:hAnsi="宋体"/>
        </w:rPr>
        <w:t>中标通知书发出后，中标供应商有本章第</w:t>
      </w:r>
      <w:r>
        <w:rPr>
          <w:rFonts w:hAnsi="宋体"/>
        </w:rPr>
        <w:t>13.5</w:t>
      </w:r>
      <w:r>
        <w:rPr>
          <w:rFonts w:hint="eastAsia" w:hAnsi="宋体"/>
        </w:rPr>
        <w:t>项第（</w:t>
      </w:r>
      <w:r>
        <w:rPr>
          <w:rFonts w:hAnsi="宋体"/>
        </w:rPr>
        <w:t>3</w:t>
      </w:r>
      <w:r>
        <w:rPr>
          <w:rFonts w:hint="eastAsia" w:hAnsi="宋体"/>
        </w:rPr>
        <w:t>）至（</w:t>
      </w:r>
      <w:r>
        <w:rPr>
          <w:rFonts w:hAnsi="宋体"/>
        </w:rPr>
        <w:t>6</w:t>
      </w:r>
      <w:r>
        <w:rPr>
          <w:rFonts w:hint="eastAsia" w:hAnsi="宋体"/>
        </w:rPr>
        <w:t>）项情形之一的，中标无效，不予退还其交纳的投标保证金，采购人可追究中标供应商</w:t>
      </w:r>
      <w:r>
        <w:rPr>
          <w:rFonts w:hint="eastAsia" w:hAnsi="宋体" w:cs="宋体"/>
          <w:kern w:val="0"/>
          <w:szCs w:val="21"/>
        </w:rPr>
        <w:t>承担相应的法律责任</w:t>
      </w:r>
      <w:r>
        <w:rPr>
          <w:rFonts w:hint="eastAsia" w:hAnsi="宋体"/>
        </w:rPr>
        <w:t>。如采购人无正当理由拒签合同的，应退还中标供应商投标保证金；采购人给中标供应商造成损失的，中标供应商可追究采购人承担相应的法律责任。</w:t>
      </w:r>
    </w:p>
    <w:p>
      <w:pPr>
        <w:pStyle w:val="19"/>
        <w:spacing w:line="440" w:lineRule="exact"/>
        <w:ind w:firstLine="360"/>
        <w:rPr>
          <w:rFonts w:hAnsi="宋体"/>
        </w:rPr>
      </w:pPr>
      <w:r>
        <w:rPr>
          <w:rFonts w:hAnsi="宋体"/>
        </w:rPr>
        <w:t xml:space="preserve">25.6  </w:t>
      </w:r>
      <w:r>
        <w:rPr>
          <w:rFonts w:hint="eastAsia" w:hAnsi="宋体"/>
          <w:szCs w:val="28"/>
        </w:rPr>
        <w:t>采购人在签订合同之前有权要求中标供应商提供本项目招标文件要求的资料原件进行核查，中标供应商不得拒绝。如中标供应商拒绝提供，则自行承担由此产生的后果。</w:t>
      </w:r>
    </w:p>
    <w:p>
      <w:pPr>
        <w:pStyle w:val="19"/>
        <w:spacing w:line="440" w:lineRule="exact"/>
        <w:ind w:firstLine="360"/>
        <w:rPr>
          <w:rFonts w:hAnsi="宋体"/>
        </w:rPr>
      </w:pPr>
      <w:r>
        <w:rPr>
          <w:rFonts w:hAnsi="宋体"/>
        </w:rPr>
        <w:t xml:space="preserve">25.7  </w:t>
      </w:r>
      <w:r>
        <w:rPr>
          <w:rFonts w:hint="eastAsia" w:hAnsi="宋体"/>
        </w:rPr>
        <w:t>中标供应商因不可抗力或者自身原因不能履行政府采购合同的，采购人可以与排位在中标供应商之后第一位的中标候选供应商签订政府采购合同（以此类推），或重新开展政府采购活动。</w:t>
      </w:r>
    </w:p>
    <w:p>
      <w:pPr>
        <w:pStyle w:val="19"/>
        <w:spacing w:line="440" w:lineRule="exact"/>
        <w:ind w:firstLine="360"/>
        <w:rPr>
          <w:rFonts w:hAnsi="宋体"/>
        </w:rPr>
      </w:pPr>
      <w:r>
        <w:rPr>
          <w:rFonts w:hAnsi="宋体"/>
        </w:rPr>
        <w:t>25.8</w:t>
      </w:r>
      <w:r>
        <w:rPr>
          <w:rFonts w:hint="eastAsia" w:hAnsi="宋体"/>
        </w:rPr>
        <w:t>政府采购合同公告</w:t>
      </w:r>
    </w:p>
    <w:p>
      <w:pPr>
        <w:pStyle w:val="19"/>
        <w:spacing w:line="440" w:lineRule="exact"/>
        <w:ind w:firstLine="360"/>
        <w:rPr>
          <w:rFonts w:hAnsi="宋体" w:cs="宋体"/>
          <w:kern w:val="0"/>
          <w:sz w:val="28"/>
          <w:szCs w:val="28"/>
        </w:rPr>
      </w:pPr>
      <w:r>
        <w:rPr>
          <w:rFonts w:hint="eastAsia" w:hAnsi="宋体"/>
        </w:rPr>
        <w:t>根据《中华人民共和国政府采购法实施条例》第五十条规定，采购人应当自政府采购合同签订之日起</w:t>
      </w:r>
      <w:r>
        <w:rPr>
          <w:rFonts w:hAnsi="宋体"/>
        </w:rPr>
        <w:t>2</w:t>
      </w:r>
      <w:r>
        <w:rPr>
          <w:rFonts w:hint="eastAsia" w:hAnsi="宋体"/>
        </w:rPr>
        <w:t>个工作日内，将政府采购合同在省级以上人民政府财政部门指定的媒体上公告，但政府采购合同中涉及国家秘密、商业秘密的内容除外。</w:t>
      </w:r>
    </w:p>
    <w:p>
      <w:pPr>
        <w:pStyle w:val="19"/>
        <w:spacing w:line="440" w:lineRule="exact"/>
        <w:rPr>
          <w:rFonts w:hAnsi="宋体"/>
          <w:bCs/>
          <w:sz w:val="24"/>
        </w:rPr>
      </w:pPr>
      <w:r>
        <w:rPr>
          <w:rFonts w:hAnsi="宋体"/>
          <w:bCs/>
          <w:sz w:val="24"/>
        </w:rPr>
        <w:t xml:space="preserve">26.  </w:t>
      </w:r>
      <w:r>
        <w:rPr>
          <w:rFonts w:hint="eastAsia" w:hAnsi="宋体"/>
          <w:bCs/>
          <w:sz w:val="24"/>
        </w:rPr>
        <w:t>履约保证金</w:t>
      </w:r>
    </w:p>
    <w:p>
      <w:pPr>
        <w:pStyle w:val="19"/>
        <w:spacing w:line="440" w:lineRule="exact"/>
        <w:ind w:firstLine="359" w:firstLineChars="171"/>
        <w:rPr>
          <w:rFonts w:hAnsi="宋体"/>
        </w:rPr>
      </w:pPr>
      <w:r>
        <w:rPr>
          <w:rFonts w:hAnsi="宋体"/>
        </w:rPr>
        <w:t xml:space="preserve">26.1  </w:t>
      </w:r>
      <w:r>
        <w:rPr>
          <w:rFonts w:hint="eastAsia" w:hAnsi="宋体"/>
        </w:rPr>
        <w:t>履约保证金要求：</w:t>
      </w:r>
      <w:r>
        <w:rPr>
          <w:rFonts w:hint="eastAsia" w:hAnsi="宋体"/>
          <w:b/>
        </w:rPr>
        <w:t>见投标人须知前附表</w:t>
      </w:r>
      <w:r>
        <w:rPr>
          <w:rFonts w:hint="eastAsia" w:hAnsi="宋体"/>
        </w:rPr>
        <w:t>。若项目要求履约保证金的，中标人须于签订合同前按本须知前附表规定的金额将履约保证金直接缴入采购人指定账户。否则，不予签订合同。</w:t>
      </w:r>
    </w:p>
    <w:p>
      <w:pPr>
        <w:pStyle w:val="19"/>
        <w:spacing w:line="440" w:lineRule="exact"/>
        <w:ind w:firstLine="359" w:firstLineChars="171"/>
        <w:rPr>
          <w:rFonts w:hAnsi="宋体"/>
        </w:rPr>
      </w:pPr>
      <w:r>
        <w:rPr>
          <w:rFonts w:hAnsi="宋体"/>
        </w:rPr>
        <w:t xml:space="preserve">26.2  </w:t>
      </w:r>
      <w:r>
        <w:rPr>
          <w:rFonts w:hint="eastAsia" w:hAnsi="宋体"/>
        </w:rPr>
        <w:t>签订合同后，如中标人不按双方签订的合同规定履约，则没收其全部履约保证金并上缴财政部门，履约保证金不足以赔偿损失的，按实际损失赔偿。</w:t>
      </w:r>
    </w:p>
    <w:p>
      <w:pPr>
        <w:pStyle w:val="19"/>
        <w:spacing w:line="440" w:lineRule="exact"/>
        <w:ind w:firstLine="359" w:firstLineChars="171"/>
        <w:rPr>
          <w:rFonts w:hAnsi="宋体"/>
        </w:rPr>
      </w:pPr>
      <w:r>
        <w:rPr>
          <w:rFonts w:hAnsi="宋体"/>
        </w:rPr>
        <w:t xml:space="preserve">26.3  </w:t>
      </w:r>
      <w:r>
        <w:rPr>
          <w:rFonts w:hint="eastAsia" w:hAnsi="宋体"/>
        </w:rPr>
        <w:t>履约保证金自中标供应商按合同约定交货验收合格之日起转为质量保证金。在第二章“</w:t>
      </w:r>
      <w:r>
        <w:rPr>
          <w:rFonts w:hAnsi="宋体"/>
        </w:rPr>
        <w:t>采购需求一览表</w:t>
      </w:r>
      <w:r>
        <w:rPr>
          <w:rFonts w:hint="eastAsia" w:hAnsi="宋体"/>
        </w:rPr>
        <w:t>”要求的质量保证期内，中标供应商提供的货物和服务符合合同约定的，质量保证期满，由中标人向采购人提供《政府采购项目履约保证金退付意见书》及《政府采购项目合同验收报告》（详见附件二、三），采购人在收到合格材料后五个工作日内以银行转帐方式如数退还（不计利息）。</w:t>
      </w:r>
    </w:p>
    <w:p>
      <w:pPr>
        <w:pStyle w:val="19"/>
        <w:spacing w:line="440" w:lineRule="exact"/>
        <w:ind w:firstLine="359" w:firstLineChars="171"/>
        <w:rPr>
          <w:rFonts w:hAnsi="宋体"/>
        </w:rPr>
      </w:pPr>
      <w:r>
        <w:rPr>
          <w:rFonts w:hAnsi="宋体"/>
        </w:rPr>
        <w:t xml:space="preserve">26.4  </w:t>
      </w:r>
      <w:r>
        <w:rPr>
          <w:rFonts w:hint="eastAsia" w:hAnsi="宋体"/>
        </w:rPr>
        <w:t>在履约保证金退还日期前，若中标人的开户名称、开户银行、帐号有变动的，请以书面形式通知采购代理机构，否则由此产生的后果由中标人自负。</w:t>
      </w:r>
    </w:p>
    <w:p>
      <w:pPr>
        <w:pStyle w:val="19"/>
        <w:spacing w:line="440" w:lineRule="exact"/>
        <w:ind w:firstLine="359" w:firstLineChars="171"/>
        <w:rPr>
          <w:rFonts w:hAnsi="宋体"/>
        </w:rPr>
      </w:pPr>
      <w:r>
        <w:rPr>
          <w:rFonts w:hAnsi="宋体"/>
        </w:rPr>
        <w:t>27.5.1</w:t>
      </w:r>
      <w:r>
        <w:rPr>
          <w:rFonts w:hint="eastAsia" w:hAnsi="宋体"/>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采取随机抽取方式确定一个投标人获得中标人推荐资格。</w:t>
      </w:r>
    </w:p>
    <w:p>
      <w:pPr>
        <w:pStyle w:val="19"/>
        <w:spacing w:line="440" w:lineRule="exact"/>
        <w:ind w:firstLine="359" w:firstLineChars="171"/>
        <w:rPr>
          <w:rFonts w:hAnsi="宋体"/>
        </w:rPr>
      </w:pPr>
      <w:r>
        <w:rPr>
          <w:rFonts w:hint="eastAsia" w:hAnsi="宋体"/>
        </w:rPr>
        <w:t>非单一产品采购项目，多家投标人提供的核心产品品牌相同的，按前款规定处理。</w:t>
      </w:r>
    </w:p>
    <w:p>
      <w:pPr>
        <w:pStyle w:val="19"/>
        <w:spacing w:line="440" w:lineRule="exact"/>
        <w:ind w:firstLine="359" w:firstLineChars="171"/>
        <w:rPr>
          <w:rFonts w:hAnsi="宋体"/>
        </w:rPr>
      </w:pPr>
      <w:r>
        <w:rPr>
          <w:rFonts w:hAnsi="宋体"/>
        </w:rPr>
        <w:t>27.5.2</w:t>
      </w:r>
      <w:r>
        <w:rPr>
          <w:rFonts w:hint="eastAsia" w:hAnsi="宋体"/>
        </w:rPr>
        <w:t>投标人投标所使用的资格、信誉、荣誉、业绩与企业认证必须为本法人所拥有。投标人投标所使用的采购项目实施人员必须为本法人员工（或必须为本法人或控股公司正式员工）。</w:t>
      </w:r>
    </w:p>
    <w:p>
      <w:pPr>
        <w:pStyle w:val="19"/>
        <w:spacing w:line="440" w:lineRule="exact"/>
        <w:ind w:firstLine="359" w:firstLineChars="171"/>
        <w:rPr>
          <w:rFonts w:hAnsi="宋体"/>
        </w:rPr>
      </w:pPr>
      <w:r>
        <w:rPr>
          <w:rFonts w:hAnsi="宋体"/>
        </w:rPr>
        <w:t>27.5.3</w:t>
      </w:r>
      <w:r>
        <w:rPr>
          <w:rFonts w:hint="eastAsia" w:hAnsi="宋体"/>
        </w:rPr>
        <w:t>投标人应仔细阅读招标文件的所有内容，按照招标文件的要求提交投标文件，并对所提供的全部资料的真实性承担法律责任。</w:t>
      </w:r>
    </w:p>
    <w:p>
      <w:pPr>
        <w:pStyle w:val="19"/>
        <w:spacing w:line="440" w:lineRule="exact"/>
        <w:ind w:firstLine="359" w:firstLineChars="171"/>
        <w:rPr>
          <w:rFonts w:hAnsi="宋体"/>
        </w:rPr>
      </w:pPr>
      <w:r>
        <w:rPr>
          <w:rFonts w:hAnsi="宋体"/>
        </w:rPr>
        <w:t>27.5.4</w:t>
      </w:r>
      <w:r>
        <w:rPr>
          <w:rFonts w:hint="eastAsia" w:hAnsi="宋体"/>
        </w:rPr>
        <w:t>投标人在投标活动中提供任何虚假材料</w:t>
      </w:r>
      <w:r>
        <w:rPr>
          <w:rFonts w:hAnsi="宋体"/>
        </w:rPr>
        <w:t>,</w:t>
      </w:r>
      <w:r>
        <w:rPr>
          <w:rFonts w:hint="eastAsia" w:hAnsi="宋体"/>
        </w:rPr>
        <w:t>其投标无效，并报监管部门查处；中标后发现的</w:t>
      </w:r>
      <w:r>
        <w:rPr>
          <w:rFonts w:hAnsi="宋体"/>
        </w:rPr>
        <w:t>,</w:t>
      </w:r>
      <w:r>
        <w:rPr>
          <w:rFonts w:hint="eastAsia" w:hAnsi="宋体"/>
        </w:rPr>
        <w:t>中标人须依照《中华人民共和国消费者权益保护法》规定赔偿采购人，且民事赔偿并不免除违法投标人的行政与刑事责任。</w:t>
      </w:r>
    </w:p>
    <w:p>
      <w:pPr>
        <w:pStyle w:val="19"/>
        <w:spacing w:line="440" w:lineRule="exact"/>
        <w:ind w:firstLine="359" w:firstLineChars="171"/>
        <w:rPr>
          <w:rFonts w:hAnsi="宋体"/>
        </w:rPr>
      </w:pPr>
      <w:r>
        <w:rPr>
          <w:rFonts w:hAnsi="宋体"/>
        </w:rPr>
        <w:t>27.5.5</w:t>
      </w:r>
      <w:r>
        <w:rPr>
          <w:rFonts w:hint="eastAsia" w:hAnsi="宋体"/>
        </w:rPr>
        <w:t>在政府采购活动中，采购人员及相关人员与投标人有下列利害关系之一的，应当回避：</w:t>
      </w:r>
    </w:p>
    <w:p>
      <w:pPr>
        <w:pStyle w:val="19"/>
        <w:spacing w:line="440" w:lineRule="exact"/>
        <w:ind w:firstLine="359" w:firstLineChars="171"/>
        <w:rPr>
          <w:rFonts w:hAnsi="宋体"/>
        </w:rPr>
      </w:pPr>
      <w:r>
        <w:rPr>
          <w:rFonts w:hint="eastAsia" w:hAnsi="宋体"/>
        </w:rPr>
        <w:t>（</w:t>
      </w:r>
      <w:r>
        <w:rPr>
          <w:rFonts w:hAnsi="宋体"/>
        </w:rPr>
        <w:t>1</w:t>
      </w:r>
      <w:r>
        <w:rPr>
          <w:rFonts w:hint="eastAsia" w:hAnsi="宋体"/>
        </w:rPr>
        <w:t>）参加采购活动前</w:t>
      </w:r>
      <w:r>
        <w:rPr>
          <w:rFonts w:hAnsi="宋体"/>
        </w:rPr>
        <w:t>3</w:t>
      </w:r>
      <w:r>
        <w:rPr>
          <w:rFonts w:hint="eastAsia" w:hAnsi="宋体"/>
        </w:rPr>
        <w:t>年内与投标人存在劳动关系；</w:t>
      </w:r>
    </w:p>
    <w:p>
      <w:pPr>
        <w:pStyle w:val="19"/>
        <w:spacing w:line="440" w:lineRule="exact"/>
        <w:ind w:firstLine="359" w:firstLineChars="171"/>
        <w:rPr>
          <w:rFonts w:hAnsi="宋体"/>
        </w:rPr>
      </w:pPr>
      <w:r>
        <w:rPr>
          <w:rFonts w:hint="eastAsia" w:hAnsi="宋体"/>
        </w:rPr>
        <w:t>（</w:t>
      </w:r>
      <w:r>
        <w:rPr>
          <w:rFonts w:hAnsi="宋体"/>
        </w:rPr>
        <w:t>2</w:t>
      </w:r>
      <w:r>
        <w:rPr>
          <w:rFonts w:hint="eastAsia" w:hAnsi="宋体"/>
        </w:rPr>
        <w:t>）参加采购活动前</w:t>
      </w:r>
      <w:r>
        <w:rPr>
          <w:rFonts w:hAnsi="宋体"/>
        </w:rPr>
        <w:t>3</w:t>
      </w:r>
      <w:r>
        <w:rPr>
          <w:rFonts w:hint="eastAsia" w:hAnsi="宋体"/>
        </w:rPr>
        <w:t>年内担任投标人的董事、监事；</w:t>
      </w:r>
    </w:p>
    <w:p>
      <w:pPr>
        <w:pStyle w:val="19"/>
        <w:spacing w:line="440" w:lineRule="exact"/>
        <w:ind w:firstLine="359" w:firstLineChars="171"/>
        <w:rPr>
          <w:rFonts w:hAnsi="宋体"/>
        </w:rPr>
      </w:pPr>
      <w:r>
        <w:rPr>
          <w:rFonts w:hint="eastAsia" w:hAnsi="宋体"/>
        </w:rPr>
        <w:t>（</w:t>
      </w:r>
      <w:r>
        <w:rPr>
          <w:rFonts w:hAnsi="宋体"/>
        </w:rPr>
        <w:t>3</w:t>
      </w:r>
      <w:r>
        <w:rPr>
          <w:rFonts w:hint="eastAsia" w:hAnsi="宋体"/>
        </w:rPr>
        <w:t>）参加采购活动前</w:t>
      </w:r>
      <w:r>
        <w:rPr>
          <w:rFonts w:hAnsi="宋体"/>
        </w:rPr>
        <w:t>3</w:t>
      </w:r>
      <w:r>
        <w:rPr>
          <w:rFonts w:hint="eastAsia" w:hAnsi="宋体"/>
        </w:rPr>
        <w:t>年内是投标人的控股股东或者实际控制人；</w:t>
      </w:r>
    </w:p>
    <w:p>
      <w:pPr>
        <w:pStyle w:val="19"/>
        <w:spacing w:line="440" w:lineRule="exact"/>
        <w:ind w:firstLine="359" w:firstLineChars="171"/>
        <w:rPr>
          <w:rFonts w:hAnsi="宋体"/>
        </w:rPr>
      </w:pPr>
      <w:r>
        <w:rPr>
          <w:rFonts w:hint="eastAsia" w:hAnsi="宋体"/>
        </w:rPr>
        <w:t>（</w:t>
      </w:r>
      <w:r>
        <w:rPr>
          <w:rFonts w:hAnsi="宋体"/>
        </w:rPr>
        <w:t>4</w:t>
      </w:r>
      <w:r>
        <w:rPr>
          <w:rFonts w:hint="eastAsia" w:hAnsi="宋体"/>
        </w:rPr>
        <w:t>）与投标人的法定代表人或者负责人有夫妻、直系血亲、三代以内旁系血亲或者近姻亲关系；</w:t>
      </w:r>
    </w:p>
    <w:p>
      <w:pPr>
        <w:pStyle w:val="19"/>
        <w:spacing w:line="440" w:lineRule="exact"/>
        <w:ind w:firstLine="359" w:firstLineChars="171"/>
        <w:rPr>
          <w:rFonts w:hAnsi="宋体"/>
        </w:rPr>
      </w:pPr>
      <w:r>
        <w:rPr>
          <w:rFonts w:hint="eastAsia" w:hAnsi="宋体"/>
        </w:rPr>
        <w:t>（</w:t>
      </w:r>
      <w:r>
        <w:rPr>
          <w:rFonts w:hAnsi="宋体"/>
        </w:rPr>
        <w:t>5</w:t>
      </w:r>
      <w:r>
        <w:rPr>
          <w:rFonts w:hint="eastAsia" w:hAnsi="宋体"/>
        </w:rPr>
        <w:t>）与投标人有其他可能影响政府采购活动公平、公正进行的关系。</w:t>
      </w:r>
    </w:p>
    <w:p>
      <w:pPr>
        <w:pStyle w:val="19"/>
        <w:spacing w:line="440" w:lineRule="exact"/>
        <w:ind w:firstLine="359" w:firstLineChars="171"/>
        <w:rPr>
          <w:rFonts w:hAnsi="宋体"/>
        </w:rPr>
      </w:pPr>
      <w:r>
        <w:rPr>
          <w:rFonts w:hint="eastAsia" w:hAnsi="宋体"/>
        </w:rPr>
        <w:t>投标人认为采购人员及相关人员与其他投标人有利害关系的，可以向采购人或者采购代理机构书面提出回避申请，并说明理由。采购人或者采购代理机构应当及时询问被申请回避人员，有利害关系的被申请回避人员应当回避。</w:t>
      </w:r>
    </w:p>
    <w:p>
      <w:pPr>
        <w:pStyle w:val="19"/>
        <w:spacing w:line="440" w:lineRule="exact"/>
        <w:ind w:firstLine="359" w:firstLineChars="171"/>
        <w:rPr>
          <w:rFonts w:hAnsi="宋体"/>
        </w:rPr>
      </w:pPr>
      <w:r>
        <w:rPr>
          <w:rFonts w:hAnsi="宋体"/>
        </w:rPr>
        <w:t>27.5.6</w:t>
      </w:r>
      <w:r>
        <w:rPr>
          <w:rFonts w:hint="eastAsia" w:hAnsi="宋体"/>
        </w:rPr>
        <w:t>有下列情形之一的视为投标人相互串通投标，投标文件将被视为无效：</w:t>
      </w:r>
    </w:p>
    <w:p>
      <w:pPr>
        <w:pStyle w:val="19"/>
        <w:spacing w:line="440" w:lineRule="exact"/>
        <w:ind w:firstLine="359" w:firstLineChars="171"/>
        <w:rPr>
          <w:rFonts w:hAnsi="宋体"/>
        </w:rPr>
      </w:pPr>
      <w:r>
        <w:rPr>
          <w:rFonts w:hint="eastAsia" w:hAnsi="宋体"/>
        </w:rPr>
        <w:t>（</w:t>
      </w:r>
      <w:r>
        <w:rPr>
          <w:rFonts w:hAnsi="宋体"/>
        </w:rPr>
        <w:t>1</w:t>
      </w:r>
      <w:r>
        <w:rPr>
          <w:rFonts w:hint="eastAsia" w:hAnsi="宋体"/>
        </w:rPr>
        <w:t>）不同投标人的投标文件由同一单位或者个人编制；或不同投标人报名的</w:t>
      </w:r>
      <w:r>
        <w:rPr>
          <w:rFonts w:hAnsi="宋体"/>
        </w:rPr>
        <w:t>IP</w:t>
      </w:r>
      <w:r>
        <w:rPr>
          <w:rFonts w:hint="eastAsia" w:hAnsi="宋体"/>
        </w:rPr>
        <w:t>地址一致的；</w:t>
      </w:r>
    </w:p>
    <w:p>
      <w:pPr>
        <w:pStyle w:val="19"/>
        <w:spacing w:line="440" w:lineRule="exact"/>
        <w:ind w:firstLine="359" w:firstLineChars="171"/>
        <w:rPr>
          <w:rFonts w:hAnsi="宋体"/>
        </w:rPr>
      </w:pPr>
      <w:r>
        <w:rPr>
          <w:rFonts w:hint="eastAsia" w:hAnsi="宋体"/>
        </w:rPr>
        <w:t>（</w:t>
      </w:r>
      <w:r>
        <w:rPr>
          <w:rFonts w:hAnsi="宋体"/>
        </w:rPr>
        <w:t>2</w:t>
      </w:r>
      <w:r>
        <w:rPr>
          <w:rFonts w:hint="eastAsia" w:hAnsi="宋体"/>
        </w:rPr>
        <w:t>）不同投标人委托同一单位或者个人办理投标事宜；</w:t>
      </w:r>
    </w:p>
    <w:p>
      <w:pPr>
        <w:pStyle w:val="19"/>
        <w:spacing w:line="440" w:lineRule="exact"/>
        <w:ind w:firstLine="359" w:firstLineChars="171"/>
        <w:rPr>
          <w:rFonts w:hAnsi="宋体"/>
        </w:rPr>
      </w:pPr>
      <w:r>
        <w:rPr>
          <w:rFonts w:hint="eastAsia" w:hAnsi="宋体"/>
        </w:rPr>
        <w:t>（</w:t>
      </w:r>
      <w:r>
        <w:rPr>
          <w:rFonts w:hAnsi="宋体"/>
        </w:rPr>
        <w:t>3</w:t>
      </w:r>
      <w:r>
        <w:rPr>
          <w:rFonts w:hint="eastAsia" w:hAnsi="宋体"/>
        </w:rPr>
        <w:t>）不同的投标人的投标文件载明的项目管理员为同一个人；</w:t>
      </w:r>
    </w:p>
    <w:p>
      <w:pPr>
        <w:pStyle w:val="19"/>
        <w:spacing w:line="440" w:lineRule="exact"/>
        <w:ind w:firstLine="359" w:firstLineChars="171"/>
        <w:rPr>
          <w:rFonts w:hAnsi="宋体"/>
        </w:rPr>
      </w:pPr>
      <w:r>
        <w:rPr>
          <w:rFonts w:hint="eastAsia" w:hAnsi="宋体"/>
        </w:rPr>
        <w:t>（</w:t>
      </w:r>
      <w:r>
        <w:rPr>
          <w:rFonts w:hAnsi="宋体"/>
        </w:rPr>
        <w:t>4</w:t>
      </w:r>
      <w:r>
        <w:rPr>
          <w:rFonts w:hint="eastAsia" w:hAnsi="宋体"/>
        </w:rPr>
        <w:t>）不同投标人的投标文件异常一致或投标报价呈规律性差异；</w:t>
      </w:r>
    </w:p>
    <w:p>
      <w:pPr>
        <w:pStyle w:val="19"/>
        <w:spacing w:line="440" w:lineRule="exact"/>
        <w:ind w:firstLine="359" w:firstLineChars="171"/>
        <w:rPr>
          <w:rFonts w:hAnsi="宋体"/>
        </w:rPr>
      </w:pPr>
      <w:r>
        <w:rPr>
          <w:rFonts w:hint="eastAsia" w:hAnsi="宋体"/>
        </w:rPr>
        <w:t>（</w:t>
      </w:r>
      <w:r>
        <w:rPr>
          <w:rFonts w:hAnsi="宋体"/>
        </w:rPr>
        <w:t>5</w:t>
      </w:r>
      <w:r>
        <w:rPr>
          <w:rFonts w:hint="eastAsia" w:hAnsi="宋体"/>
        </w:rPr>
        <w:t>）不同投标人的投标文件相互混装；</w:t>
      </w:r>
    </w:p>
    <w:p>
      <w:pPr>
        <w:pStyle w:val="19"/>
        <w:spacing w:line="440" w:lineRule="exact"/>
        <w:ind w:firstLine="359" w:firstLineChars="171"/>
        <w:rPr>
          <w:rFonts w:hAnsi="宋体"/>
        </w:rPr>
      </w:pPr>
      <w:r>
        <w:rPr>
          <w:rFonts w:hint="eastAsia" w:hAnsi="宋体"/>
        </w:rPr>
        <w:t>（</w:t>
      </w:r>
      <w:r>
        <w:rPr>
          <w:rFonts w:hAnsi="宋体"/>
        </w:rPr>
        <w:t>6</w:t>
      </w:r>
      <w:r>
        <w:rPr>
          <w:rFonts w:hint="eastAsia" w:hAnsi="宋体"/>
        </w:rPr>
        <w:t>）不同投标人的投标保证金从同一单位或者个人账户转出。</w:t>
      </w:r>
    </w:p>
    <w:p>
      <w:pPr>
        <w:pStyle w:val="19"/>
        <w:spacing w:line="440" w:lineRule="exact"/>
        <w:ind w:firstLine="359" w:firstLineChars="171"/>
        <w:rPr>
          <w:rFonts w:hAnsi="宋体"/>
        </w:rPr>
      </w:pPr>
      <w:r>
        <w:rPr>
          <w:rFonts w:hAnsi="宋体"/>
        </w:rPr>
        <w:t>27.5.7</w:t>
      </w:r>
      <w:r>
        <w:rPr>
          <w:rFonts w:hint="eastAsia" w:hAnsi="宋体"/>
        </w:rPr>
        <w:t>供应商有下列情形之一的，属于恶意串通行为：</w:t>
      </w:r>
    </w:p>
    <w:p>
      <w:pPr>
        <w:pStyle w:val="19"/>
        <w:spacing w:line="440" w:lineRule="exact"/>
        <w:ind w:firstLine="359" w:firstLineChars="171"/>
        <w:rPr>
          <w:rFonts w:hAnsi="宋体"/>
        </w:rPr>
      </w:pPr>
      <w:r>
        <w:rPr>
          <w:rFonts w:hint="eastAsia" w:hAnsi="宋体"/>
        </w:rPr>
        <w:t>（</w:t>
      </w:r>
      <w:r>
        <w:rPr>
          <w:rFonts w:hAnsi="宋体"/>
        </w:rPr>
        <w:t>1</w:t>
      </w:r>
      <w:r>
        <w:rPr>
          <w:rFonts w:hint="eastAsia" w:hAnsi="宋体"/>
        </w:rPr>
        <w:t>）供应商直接或者间接从采购人或者采购代理机构处获得其他供应商的相关信息并修改其投标文件或者响应文件：</w:t>
      </w:r>
    </w:p>
    <w:p>
      <w:pPr>
        <w:pStyle w:val="19"/>
        <w:spacing w:line="440" w:lineRule="exact"/>
        <w:ind w:firstLine="359" w:firstLineChars="171"/>
        <w:rPr>
          <w:rFonts w:hAnsi="宋体"/>
        </w:rPr>
      </w:pPr>
      <w:r>
        <w:rPr>
          <w:rFonts w:hint="eastAsia" w:hAnsi="宋体"/>
        </w:rPr>
        <w:t>（</w:t>
      </w:r>
      <w:r>
        <w:rPr>
          <w:rFonts w:hAnsi="宋体"/>
        </w:rPr>
        <w:t>2</w:t>
      </w:r>
      <w:r>
        <w:rPr>
          <w:rFonts w:hint="eastAsia" w:hAnsi="宋体"/>
        </w:rPr>
        <w:t>）供应商按照采购人或者采购代理机构的授意撤换、修改投标文件或者响应文件；</w:t>
      </w:r>
    </w:p>
    <w:p>
      <w:pPr>
        <w:pStyle w:val="19"/>
        <w:spacing w:line="440" w:lineRule="exact"/>
        <w:ind w:firstLine="359" w:firstLineChars="171"/>
        <w:rPr>
          <w:rFonts w:hAnsi="宋体"/>
        </w:rPr>
      </w:pPr>
      <w:r>
        <w:rPr>
          <w:rFonts w:hint="eastAsia" w:hAnsi="宋体"/>
        </w:rPr>
        <w:t>（</w:t>
      </w:r>
      <w:r>
        <w:rPr>
          <w:rFonts w:hAnsi="宋体"/>
        </w:rPr>
        <w:t>3</w:t>
      </w:r>
      <w:r>
        <w:rPr>
          <w:rFonts w:hint="eastAsia" w:hAnsi="宋体"/>
        </w:rPr>
        <w:t>）供应商之间协商报价、技术方案等投标文件或者响应文件的实质性内容；</w:t>
      </w:r>
    </w:p>
    <w:p>
      <w:pPr>
        <w:pStyle w:val="19"/>
        <w:spacing w:line="440" w:lineRule="exact"/>
        <w:ind w:firstLine="359" w:firstLineChars="171"/>
        <w:rPr>
          <w:rFonts w:hAnsi="宋体"/>
        </w:rPr>
      </w:pPr>
      <w:r>
        <w:rPr>
          <w:rFonts w:hint="eastAsia" w:hAnsi="宋体"/>
        </w:rPr>
        <w:t>（</w:t>
      </w:r>
      <w:r>
        <w:rPr>
          <w:rFonts w:hAnsi="宋体"/>
        </w:rPr>
        <w:t>4</w:t>
      </w:r>
      <w:r>
        <w:rPr>
          <w:rFonts w:hint="eastAsia" w:hAnsi="宋体"/>
        </w:rPr>
        <w:t>）属于同一集团、协会、商会等组织成员的供应商按照该组织要求协同参加政府采购活动；</w:t>
      </w:r>
    </w:p>
    <w:p>
      <w:pPr>
        <w:pStyle w:val="19"/>
        <w:spacing w:line="440" w:lineRule="exact"/>
        <w:ind w:firstLine="359" w:firstLineChars="171"/>
        <w:rPr>
          <w:rFonts w:hAnsi="宋体"/>
        </w:rPr>
      </w:pPr>
      <w:r>
        <w:rPr>
          <w:rFonts w:hint="eastAsia" w:hAnsi="宋体"/>
        </w:rPr>
        <w:t>（</w:t>
      </w:r>
      <w:r>
        <w:rPr>
          <w:rFonts w:hAnsi="宋体"/>
        </w:rPr>
        <w:t>5</w:t>
      </w:r>
      <w:r>
        <w:rPr>
          <w:rFonts w:hint="eastAsia" w:hAnsi="宋体"/>
        </w:rPr>
        <w:t>）供应商之间事先约定一致抬高或者压低投标报价</w:t>
      </w:r>
      <w:r>
        <w:rPr>
          <w:rFonts w:hAnsi="宋体"/>
        </w:rPr>
        <w:t>,</w:t>
      </w:r>
      <w:r>
        <w:rPr>
          <w:rFonts w:hint="eastAsia" w:hAnsi="宋体"/>
        </w:rPr>
        <w:t>或者在招标项目中事先约定轮流以高价位或者低价位中标</w:t>
      </w:r>
      <w:r>
        <w:rPr>
          <w:rFonts w:hAnsi="宋体"/>
        </w:rPr>
        <w:t>,</w:t>
      </w:r>
      <w:r>
        <w:rPr>
          <w:rFonts w:hint="eastAsia" w:hAnsi="宋体"/>
        </w:rPr>
        <w:t>或者事先约定由某一特定供应商中标</w:t>
      </w:r>
      <w:r>
        <w:rPr>
          <w:rFonts w:hAnsi="宋体"/>
        </w:rPr>
        <w:t>,</w:t>
      </w:r>
      <w:r>
        <w:rPr>
          <w:rFonts w:hint="eastAsia" w:hAnsi="宋体"/>
        </w:rPr>
        <w:t>然后再参加投标；</w:t>
      </w:r>
    </w:p>
    <w:p>
      <w:pPr>
        <w:pStyle w:val="19"/>
        <w:spacing w:line="440" w:lineRule="exact"/>
        <w:ind w:firstLine="359" w:firstLineChars="171"/>
        <w:rPr>
          <w:rFonts w:hAnsi="宋体"/>
        </w:rPr>
      </w:pPr>
      <w:r>
        <w:rPr>
          <w:rFonts w:hint="eastAsia" w:hAnsi="宋体"/>
        </w:rPr>
        <w:t>（</w:t>
      </w:r>
      <w:r>
        <w:rPr>
          <w:rFonts w:hAnsi="宋体"/>
        </w:rPr>
        <w:t>6</w:t>
      </w:r>
      <w:r>
        <w:rPr>
          <w:rFonts w:hint="eastAsia" w:hAnsi="宋体"/>
        </w:rPr>
        <w:t>）供应商之间商定部分供应商放弃参加政府采购活动或者放弃中标；</w:t>
      </w:r>
    </w:p>
    <w:p>
      <w:pPr>
        <w:pStyle w:val="19"/>
        <w:spacing w:line="440" w:lineRule="exact"/>
        <w:ind w:firstLine="359" w:firstLineChars="171"/>
        <w:rPr>
          <w:rFonts w:hAnsi="宋体"/>
        </w:rPr>
      </w:pPr>
      <w:r>
        <w:rPr>
          <w:rFonts w:hint="eastAsia" w:hAnsi="宋体"/>
        </w:rPr>
        <w:t>（</w:t>
      </w:r>
      <w:r>
        <w:rPr>
          <w:rFonts w:hAnsi="宋体"/>
        </w:rPr>
        <w:t>7</w:t>
      </w:r>
      <w:r>
        <w:rPr>
          <w:rFonts w:hint="eastAsia" w:hAnsi="宋体"/>
        </w:rPr>
        <w:t>）供应商与采购人或者采购代理机构之间、供应商相互之间，为谋求特定供应商中标或者排斥其他供应商的其他串通行为。</w:t>
      </w:r>
    </w:p>
    <w:p>
      <w:pPr>
        <w:pStyle w:val="19"/>
        <w:spacing w:line="440" w:lineRule="exact"/>
        <w:ind w:firstLine="359" w:firstLineChars="171"/>
        <w:rPr>
          <w:rFonts w:hAnsi="宋体"/>
        </w:rPr>
      </w:pPr>
      <w:r>
        <w:rPr>
          <w:rFonts w:hAnsi="宋体"/>
        </w:rPr>
        <w:t>27.5.8</w:t>
      </w:r>
      <w:r>
        <w:rPr>
          <w:rFonts w:hint="eastAsia" w:hAnsi="宋体"/>
        </w:rPr>
        <w:t>关联供应商不得参加同一合同项下政府采购活动，否则投标文件将被视为无效：</w:t>
      </w:r>
    </w:p>
    <w:p>
      <w:pPr>
        <w:pStyle w:val="19"/>
        <w:spacing w:line="440" w:lineRule="exact"/>
        <w:ind w:firstLine="359" w:firstLineChars="171"/>
        <w:rPr>
          <w:rFonts w:hAnsi="宋体"/>
        </w:rPr>
      </w:pPr>
      <w:r>
        <w:rPr>
          <w:rFonts w:hint="eastAsia" w:hAnsi="宋体"/>
        </w:rPr>
        <w:t>（</w:t>
      </w:r>
      <w:r>
        <w:rPr>
          <w:rFonts w:hAnsi="宋体"/>
        </w:rPr>
        <w:t>1</w:t>
      </w:r>
      <w:r>
        <w:rPr>
          <w:rFonts w:hint="eastAsia" w:hAnsi="宋体"/>
        </w:rPr>
        <w:t>）单位负责人为同一人或者存在直接控股、管理关系的不同的供应商，不得参加同一合同项下的政府采购活动；</w:t>
      </w:r>
    </w:p>
    <w:p>
      <w:pPr>
        <w:pStyle w:val="19"/>
        <w:spacing w:line="440" w:lineRule="exact"/>
        <w:ind w:firstLine="359" w:firstLineChars="171"/>
        <w:rPr>
          <w:rFonts w:hAnsi="宋体"/>
        </w:rPr>
      </w:pPr>
      <w:r>
        <w:rPr>
          <w:rFonts w:hint="eastAsia" w:hAnsi="宋体"/>
        </w:rPr>
        <w:t>（</w:t>
      </w:r>
      <w:r>
        <w:rPr>
          <w:rFonts w:hAnsi="宋体"/>
        </w:rPr>
        <w:t>2</w:t>
      </w:r>
      <w:r>
        <w:rPr>
          <w:rFonts w:hint="eastAsia" w:hAnsi="宋体"/>
        </w:rPr>
        <w:t>）生产厂商授权给供应商后自己不得参加同一合同项下的政府采购活动；生产厂商对同一品牌同一型号的货物，仅能委托一个代理商参加投标。</w:t>
      </w:r>
    </w:p>
    <w:p>
      <w:pPr>
        <w:pStyle w:val="19"/>
        <w:spacing w:line="440" w:lineRule="exact"/>
        <w:ind w:firstLine="359" w:firstLineChars="171"/>
        <w:rPr>
          <w:rFonts w:hAnsi="宋体"/>
        </w:rPr>
      </w:pPr>
    </w:p>
    <w:p>
      <w:pPr>
        <w:pStyle w:val="4"/>
        <w:rPr>
          <w:rFonts w:ascii="宋体" w:hAnsi="宋体"/>
        </w:rPr>
      </w:pPr>
      <w:bookmarkStart w:id="52" w:name="_Toc57749786"/>
      <w:bookmarkStart w:id="53" w:name="_Toc213326422"/>
      <w:bookmarkStart w:id="54" w:name="_Toc401396881"/>
      <w:r>
        <w:rPr>
          <w:rFonts w:hint="eastAsia" w:ascii="宋体" w:hAnsi="宋体"/>
        </w:rPr>
        <w:t>七其他事项</w:t>
      </w:r>
      <w:bookmarkEnd w:id="52"/>
      <w:bookmarkEnd w:id="53"/>
      <w:bookmarkEnd w:id="54"/>
    </w:p>
    <w:p>
      <w:pPr>
        <w:pStyle w:val="19"/>
        <w:spacing w:line="440" w:lineRule="exact"/>
        <w:rPr>
          <w:rFonts w:hAnsi="宋体"/>
          <w:bCs/>
          <w:sz w:val="24"/>
        </w:rPr>
      </w:pPr>
      <w:r>
        <w:rPr>
          <w:rFonts w:hAnsi="宋体"/>
          <w:bCs/>
          <w:sz w:val="24"/>
        </w:rPr>
        <w:t xml:space="preserve">27.  </w:t>
      </w:r>
      <w:r>
        <w:rPr>
          <w:rFonts w:hint="eastAsia" w:hAnsi="宋体"/>
          <w:bCs/>
          <w:sz w:val="24"/>
        </w:rPr>
        <w:t>解释权</w:t>
      </w:r>
    </w:p>
    <w:p>
      <w:pPr>
        <w:pStyle w:val="19"/>
        <w:spacing w:line="440" w:lineRule="exact"/>
        <w:ind w:firstLine="360"/>
        <w:jc w:val="left"/>
        <w:rPr>
          <w:rFonts w:hAnsi="宋体"/>
        </w:rPr>
      </w:pPr>
      <w:r>
        <w:rPr>
          <w:rFonts w:hAnsi="宋体"/>
        </w:rPr>
        <w:t xml:space="preserve">27.1  </w:t>
      </w:r>
      <w:r>
        <w:rPr>
          <w:rFonts w:hint="eastAsia" w:hAnsi="宋体"/>
        </w:rPr>
        <w:t>本招标文件根据</w:t>
      </w:r>
      <w:r>
        <w:rPr>
          <w:rFonts w:hint="eastAsia" w:hAnsi="宋体"/>
          <w:szCs w:val="21"/>
          <w:u w:val="single"/>
        </w:rPr>
        <w:t>《中华人民共和国政府采购法》、《中华人民共和国政府采购法实施条例》、《政府采购货物和服务招标投标管理办法》</w:t>
      </w:r>
      <w:r>
        <w:rPr>
          <w:rFonts w:hint="eastAsia" w:hAnsi="宋体"/>
        </w:rPr>
        <w:t>及相关法律法规编制。</w:t>
      </w:r>
    </w:p>
    <w:p>
      <w:pPr>
        <w:pStyle w:val="19"/>
        <w:spacing w:line="440" w:lineRule="exact"/>
        <w:jc w:val="left"/>
        <w:rPr>
          <w:rFonts w:hAnsi="宋体"/>
          <w:sz w:val="24"/>
        </w:rPr>
      </w:pPr>
      <w:r>
        <w:rPr>
          <w:rFonts w:hAnsi="宋体"/>
          <w:sz w:val="24"/>
        </w:rPr>
        <w:t xml:space="preserve">28.  </w:t>
      </w:r>
      <w:r>
        <w:rPr>
          <w:rFonts w:hint="eastAsia" w:hAnsi="宋体"/>
          <w:sz w:val="24"/>
        </w:rPr>
        <w:t>需要补充的其他内容</w:t>
      </w:r>
    </w:p>
    <w:p>
      <w:pPr>
        <w:pStyle w:val="19"/>
        <w:spacing w:line="440" w:lineRule="exact"/>
        <w:ind w:firstLine="360"/>
        <w:jc w:val="left"/>
        <w:rPr>
          <w:rFonts w:hAnsi="宋体"/>
        </w:rPr>
      </w:pPr>
      <w:r>
        <w:rPr>
          <w:rFonts w:hAnsi="宋体"/>
        </w:rPr>
        <w:t xml:space="preserve">28.1  </w:t>
      </w:r>
      <w:r>
        <w:rPr>
          <w:rFonts w:hint="eastAsia" w:hAnsi="宋体"/>
        </w:rPr>
        <w:t>需要补充的其他内容：见投标人须知前附表。</w:t>
      </w:r>
    </w:p>
    <w:p>
      <w:pPr>
        <w:pStyle w:val="19"/>
        <w:snapToGrid w:val="0"/>
        <w:spacing w:line="360" w:lineRule="exact"/>
        <w:ind w:firstLine="420" w:firstLineChars="200"/>
        <w:rPr>
          <w:rFonts w:hAnsi="宋体"/>
          <w:szCs w:val="21"/>
        </w:rPr>
      </w:pPr>
    </w:p>
    <w:p>
      <w:pPr>
        <w:pStyle w:val="19"/>
        <w:snapToGrid w:val="0"/>
        <w:spacing w:line="360" w:lineRule="exact"/>
        <w:ind w:firstLine="420" w:firstLineChars="200"/>
        <w:rPr>
          <w:rFonts w:hAnsi="宋体"/>
          <w:szCs w:val="21"/>
        </w:rPr>
      </w:pPr>
      <w:r>
        <w:rPr>
          <w:rFonts w:hint="eastAsia" w:hAnsi="宋体"/>
          <w:szCs w:val="21"/>
        </w:rPr>
        <w:t>附件一：</w:t>
      </w:r>
    </w:p>
    <w:p>
      <w:pPr>
        <w:pStyle w:val="19"/>
        <w:snapToGrid w:val="0"/>
        <w:spacing w:line="360" w:lineRule="exact"/>
        <w:ind w:firstLine="420" w:firstLineChars="200"/>
        <w:rPr>
          <w:rFonts w:hAnsi="宋体"/>
          <w:szCs w:val="21"/>
        </w:rPr>
      </w:pPr>
      <w:r>
        <w:rPr>
          <w:rFonts w:hint="eastAsia" w:hAnsi="宋体"/>
          <w:szCs w:val="21"/>
        </w:rPr>
        <w:t>代理服务收费标准：</w:t>
      </w:r>
    </w:p>
    <w:tbl>
      <w:tblPr>
        <w:tblStyle w:val="34"/>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3"/>
        <w:gridCol w:w="2087"/>
        <w:gridCol w:w="1898"/>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73" w:type="dxa"/>
            <w:tcBorders>
              <w:tl2br w:val="single" w:color="auto" w:sz="4" w:space="0"/>
            </w:tcBorders>
          </w:tcPr>
          <w:p>
            <w:pPr>
              <w:spacing w:line="360" w:lineRule="exact"/>
              <w:rPr>
                <w:rFonts w:ascii="宋体" w:hAnsi="宋体"/>
                <w:szCs w:val="21"/>
              </w:rPr>
            </w:pPr>
            <w:r>
              <w:rPr>
                <w:rFonts w:hint="eastAsia" w:ascii="宋体" w:hAnsi="宋体"/>
                <w:szCs w:val="21"/>
              </w:rPr>
              <w:t>费率</w:t>
            </w:r>
          </w:p>
          <w:p>
            <w:pPr>
              <w:spacing w:line="360" w:lineRule="exact"/>
              <w:rPr>
                <w:rFonts w:ascii="宋体" w:hAnsi="宋体"/>
                <w:szCs w:val="21"/>
              </w:rPr>
            </w:pPr>
            <w:r>
              <w:rPr>
                <w:rFonts w:hint="eastAsia" w:ascii="宋体" w:hAnsi="宋体"/>
                <w:szCs w:val="21"/>
              </w:rPr>
              <w:t>中标金额</w:t>
            </w:r>
          </w:p>
        </w:tc>
        <w:tc>
          <w:tcPr>
            <w:tcW w:w="2087" w:type="dxa"/>
            <w:vAlign w:val="center"/>
          </w:tcPr>
          <w:p>
            <w:pPr>
              <w:spacing w:line="360" w:lineRule="exact"/>
              <w:jc w:val="center"/>
              <w:rPr>
                <w:rFonts w:ascii="宋体" w:hAnsi="宋体"/>
                <w:szCs w:val="21"/>
              </w:rPr>
            </w:pPr>
            <w:r>
              <w:rPr>
                <w:rFonts w:hint="eastAsia" w:ascii="宋体" w:hAnsi="宋体"/>
                <w:szCs w:val="21"/>
              </w:rPr>
              <w:t>货物招标</w:t>
            </w:r>
          </w:p>
        </w:tc>
        <w:tc>
          <w:tcPr>
            <w:tcW w:w="1898" w:type="dxa"/>
            <w:vAlign w:val="center"/>
          </w:tcPr>
          <w:p>
            <w:pPr>
              <w:spacing w:line="360" w:lineRule="exact"/>
              <w:jc w:val="center"/>
              <w:rPr>
                <w:rFonts w:ascii="宋体" w:hAnsi="宋体"/>
                <w:szCs w:val="21"/>
              </w:rPr>
            </w:pPr>
            <w:r>
              <w:rPr>
                <w:rFonts w:hint="eastAsia" w:ascii="宋体" w:hAnsi="宋体"/>
                <w:szCs w:val="21"/>
              </w:rPr>
              <w:t>服务招标</w:t>
            </w:r>
          </w:p>
        </w:tc>
        <w:tc>
          <w:tcPr>
            <w:tcW w:w="1896" w:type="dxa"/>
            <w:vAlign w:val="center"/>
          </w:tcPr>
          <w:p>
            <w:pPr>
              <w:spacing w:line="360" w:lineRule="exact"/>
              <w:jc w:val="center"/>
              <w:rPr>
                <w:rFonts w:ascii="宋体" w:hAnsi="宋体"/>
                <w:szCs w:val="21"/>
              </w:rPr>
            </w:pPr>
            <w:r>
              <w:rPr>
                <w:rFonts w:hint="eastAsia" w:ascii="宋体" w:hAnsi="宋体"/>
                <w:szCs w:val="21"/>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73" w:type="dxa"/>
          </w:tcPr>
          <w:p>
            <w:pPr>
              <w:spacing w:line="360" w:lineRule="exact"/>
              <w:rPr>
                <w:rFonts w:ascii="宋体" w:hAnsi="宋体"/>
                <w:szCs w:val="21"/>
              </w:rPr>
            </w:pPr>
            <w:r>
              <w:rPr>
                <w:rFonts w:ascii="宋体" w:hAnsi="宋体"/>
                <w:szCs w:val="21"/>
              </w:rPr>
              <w:t>100</w:t>
            </w:r>
            <w:r>
              <w:rPr>
                <w:rFonts w:hint="eastAsia" w:ascii="宋体" w:hAnsi="宋体"/>
                <w:szCs w:val="21"/>
              </w:rPr>
              <w:t>万元以下</w:t>
            </w:r>
          </w:p>
        </w:tc>
        <w:tc>
          <w:tcPr>
            <w:tcW w:w="2087" w:type="dxa"/>
          </w:tcPr>
          <w:p>
            <w:pPr>
              <w:spacing w:line="360" w:lineRule="exact"/>
              <w:rPr>
                <w:rFonts w:ascii="宋体" w:hAnsi="宋体"/>
                <w:szCs w:val="21"/>
              </w:rPr>
            </w:pPr>
            <w:r>
              <w:rPr>
                <w:rFonts w:ascii="宋体" w:hAnsi="宋体" w:cs="宋体"/>
                <w:kern w:val="0"/>
                <w:szCs w:val="21"/>
              </w:rPr>
              <w:t>1.5%</w:t>
            </w:r>
          </w:p>
        </w:tc>
        <w:tc>
          <w:tcPr>
            <w:tcW w:w="1898" w:type="dxa"/>
          </w:tcPr>
          <w:p>
            <w:pPr>
              <w:spacing w:line="360" w:lineRule="exact"/>
              <w:rPr>
                <w:rFonts w:ascii="宋体" w:hAnsi="宋体"/>
                <w:szCs w:val="21"/>
              </w:rPr>
            </w:pPr>
            <w:r>
              <w:rPr>
                <w:rFonts w:ascii="宋体" w:hAnsi="宋体" w:cs="宋体"/>
                <w:kern w:val="0"/>
                <w:szCs w:val="21"/>
              </w:rPr>
              <w:t>1.5%</w:t>
            </w:r>
          </w:p>
        </w:tc>
        <w:tc>
          <w:tcPr>
            <w:tcW w:w="1896" w:type="dxa"/>
          </w:tcPr>
          <w:p>
            <w:pPr>
              <w:spacing w:line="360" w:lineRule="exact"/>
              <w:rPr>
                <w:rFonts w:ascii="宋体" w:hAnsi="宋体"/>
                <w:szCs w:val="21"/>
              </w:rPr>
            </w:pPr>
            <w:r>
              <w:rPr>
                <w:rFonts w:ascii="宋体" w:hAnsi="宋体" w:cs="宋体"/>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73" w:type="dxa"/>
          </w:tcPr>
          <w:p>
            <w:pPr>
              <w:spacing w:line="360" w:lineRule="exact"/>
              <w:rPr>
                <w:rFonts w:ascii="宋体" w:hAnsi="宋体"/>
                <w:szCs w:val="21"/>
              </w:rPr>
            </w:pPr>
            <w:r>
              <w:rPr>
                <w:rFonts w:ascii="宋体" w:hAnsi="宋体"/>
                <w:szCs w:val="21"/>
              </w:rPr>
              <w:t>100</w:t>
            </w:r>
            <w:r>
              <w:rPr>
                <w:rFonts w:hint="eastAsia" w:ascii="宋体" w:hAnsi="宋体"/>
                <w:szCs w:val="21"/>
              </w:rPr>
              <w:t>～</w:t>
            </w:r>
            <w:r>
              <w:rPr>
                <w:rFonts w:ascii="宋体" w:hAnsi="宋体"/>
                <w:szCs w:val="21"/>
              </w:rPr>
              <w:t>500</w:t>
            </w:r>
            <w:r>
              <w:rPr>
                <w:rFonts w:hint="eastAsia" w:ascii="宋体" w:hAnsi="宋体"/>
                <w:szCs w:val="21"/>
              </w:rPr>
              <w:t>万元</w:t>
            </w:r>
          </w:p>
        </w:tc>
        <w:tc>
          <w:tcPr>
            <w:tcW w:w="2087" w:type="dxa"/>
          </w:tcPr>
          <w:p>
            <w:pPr>
              <w:spacing w:line="360" w:lineRule="exact"/>
              <w:rPr>
                <w:rFonts w:ascii="宋体" w:hAnsi="宋体"/>
                <w:szCs w:val="21"/>
              </w:rPr>
            </w:pPr>
            <w:r>
              <w:rPr>
                <w:rFonts w:ascii="宋体" w:hAnsi="宋体" w:cs="宋体"/>
                <w:kern w:val="0"/>
                <w:szCs w:val="21"/>
              </w:rPr>
              <w:t>1.1%</w:t>
            </w:r>
          </w:p>
        </w:tc>
        <w:tc>
          <w:tcPr>
            <w:tcW w:w="1898" w:type="dxa"/>
          </w:tcPr>
          <w:p>
            <w:pPr>
              <w:spacing w:line="360" w:lineRule="exact"/>
              <w:rPr>
                <w:rFonts w:ascii="宋体" w:hAnsi="宋体"/>
                <w:szCs w:val="21"/>
              </w:rPr>
            </w:pPr>
            <w:r>
              <w:rPr>
                <w:rFonts w:ascii="宋体" w:hAnsi="宋体" w:cs="宋体"/>
                <w:kern w:val="0"/>
                <w:szCs w:val="21"/>
              </w:rPr>
              <w:t>0.8%</w:t>
            </w:r>
          </w:p>
        </w:tc>
        <w:tc>
          <w:tcPr>
            <w:tcW w:w="1896" w:type="dxa"/>
          </w:tcPr>
          <w:p>
            <w:pPr>
              <w:spacing w:line="360" w:lineRule="exact"/>
              <w:rPr>
                <w:rFonts w:ascii="宋体" w:hAnsi="宋体"/>
                <w:szCs w:val="21"/>
              </w:rPr>
            </w:pPr>
            <w:r>
              <w:rPr>
                <w:rFonts w:ascii="宋体" w:hAnsi="宋体" w:cs="宋体"/>
                <w:kern w:val="0"/>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73" w:type="dxa"/>
          </w:tcPr>
          <w:p>
            <w:pPr>
              <w:spacing w:line="360" w:lineRule="exact"/>
              <w:rPr>
                <w:rFonts w:ascii="宋体" w:hAnsi="宋体"/>
                <w:szCs w:val="21"/>
              </w:rPr>
            </w:pPr>
            <w:r>
              <w:rPr>
                <w:rFonts w:ascii="宋体" w:hAnsi="宋体"/>
                <w:szCs w:val="21"/>
              </w:rPr>
              <w:t>500</w:t>
            </w:r>
            <w:r>
              <w:rPr>
                <w:rFonts w:hint="eastAsia" w:ascii="宋体" w:hAnsi="宋体"/>
                <w:szCs w:val="21"/>
              </w:rPr>
              <w:t>～</w:t>
            </w:r>
            <w:r>
              <w:rPr>
                <w:rFonts w:ascii="宋体" w:hAnsi="宋体"/>
                <w:szCs w:val="21"/>
              </w:rPr>
              <w:t>1000</w:t>
            </w:r>
            <w:r>
              <w:rPr>
                <w:rFonts w:hint="eastAsia" w:ascii="宋体" w:hAnsi="宋体"/>
                <w:szCs w:val="21"/>
              </w:rPr>
              <w:t>万元</w:t>
            </w:r>
          </w:p>
        </w:tc>
        <w:tc>
          <w:tcPr>
            <w:tcW w:w="2087" w:type="dxa"/>
          </w:tcPr>
          <w:p>
            <w:pPr>
              <w:spacing w:line="360" w:lineRule="exact"/>
              <w:rPr>
                <w:rFonts w:ascii="宋体" w:hAnsi="宋体"/>
                <w:szCs w:val="21"/>
              </w:rPr>
            </w:pPr>
            <w:r>
              <w:rPr>
                <w:rFonts w:ascii="宋体" w:hAnsi="宋体" w:cs="宋体"/>
                <w:kern w:val="0"/>
                <w:szCs w:val="21"/>
              </w:rPr>
              <w:t>0.8%</w:t>
            </w:r>
          </w:p>
        </w:tc>
        <w:tc>
          <w:tcPr>
            <w:tcW w:w="1898" w:type="dxa"/>
          </w:tcPr>
          <w:p>
            <w:pPr>
              <w:spacing w:line="360" w:lineRule="exact"/>
              <w:rPr>
                <w:rFonts w:ascii="宋体" w:hAnsi="宋体"/>
                <w:szCs w:val="21"/>
              </w:rPr>
            </w:pPr>
            <w:r>
              <w:rPr>
                <w:rFonts w:ascii="宋体" w:hAnsi="宋体" w:cs="宋体"/>
                <w:kern w:val="0"/>
                <w:szCs w:val="21"/>
              </w:rPr>
              <w:t>0.45%</w:t>
            </w:r>
          </w:p>
        </w:tc>
        <w:tc>
          <w:tcPr>
            <w:tcW w:w="1896" w:type="dxa"/>
          </w:tcPr>
          <w:p>
            <w:pPr>
              <w:spacing w:line="360" w:lineRule="exact"/>
              <w:rPr>
                <w:rFonts w:ascii="宋体" w:hAnsi="宋体"/>
                <w:szCs w:val="21"/>
              </w:rPr>
            </w:pPr>
            <w:r>
              <w:rPr>
                <w:rFonts w:ascii="宋体" w:hAnsi="宋体" w:cs="宋体"/>
                <w:kern w:val="0"/>
                <w:szCs w:val="21"/>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73" w:type="dxa"/>
          </w:tcPr>
          <w:p>
            <w:pPr>
              <w:spacing w:line="360" w:lineRule="exact"/>
              <w:rPr>
                <w:rFonts w:ascii="宋体" w:hAnsi="宋体"/>
                <w:szCs w:val="21"/>
              </w:rPr>
            </w:pPr>
            <w:r>
              <w:rPr>
                <w:rFonts w:ascii="宋体" w:hAnsi="宋体"/>
                <w:szCs w:val="21"/>
              </w:rPr>
              <w:t>1000</w:t>
            </w:r>
            <w:r>
              <w:rPr>
                <w:rFonts w:hint="eastAsia" w:ascii="宋体" w:hAnsi="宋体"/>
                <w:szCs w:val="21"/>
              </w:rPr>
              <w:t>～</w:t>
            </w:r>
            <w:r>
              <w:rPr>
                <w:rFonts w:ascii="宋体" w:hAnsi="宋体"/>
                <w:szCs w:val="21"/>
              </w:rPr>
              <w:t>5000</w:t>
            </w:r>
            <w:r>
              <w:rPr>
                <w:rFonts w:hint="eastAsia" w:ascii="宋体" w:hAnsi="宋体"/>
                <w:szCs w:val="21"/>
              </w:rPr>
              <w:t>万元</w:t>
            </w:r>
          </w:p>
        </w:tc>
        <w:tc>
          <w:tcPr>
            <w:tcW w:w="2087" w:type="dxa"/>
          </w:tcPr>
          <w:p>
            <w:pPr>
              <w:spacing w:line="360" w:lineRule="exact"/>
              <w:rPr>
                <w:rFonts w:ascii="宋体" w:hAnsi="宋体"/>
                <w:szCs w:val="21"/>
              </w:rPr>
            </w:pPr>
            <w:r>
              <w:rPr>
                <w:rFonts w:ascii="宋体" w:hAnsi="宋体" w:cs="宋体"/>
                <w:kern w:val="0"/>
                <w:szCs w:val="21"/>
              </w:rPr>
              <w:t>0.5%</w:t>
            </w:r>
          </w:p>
        </w:tc>
        <w:tc>
          <w:tcPr>
            <w:tcW w:w="1898" w:type="dxa"/>
          </w:tcPr>
          <w:p>
            <w:pPr>
              <w:spacing w:line="360" w:lineRule="exact"/>
              <w:rPr>
                <w:rFonts w:ascii="宋体" w:hAnsi="宋体"/>
                <w:szCs w:val="21"/>
              </w:rPr>
            </w:pPr>
            <w:r>
              <w:rPr>
                <w:rFonts w:ascii="宋体" w:hAnsi="宋体" w:cs="宋体"/>
                <w:kern w:val="0"/>
                <w:szCs w:val="21"/>
              </w:rPr>
              <w:t>0.25%</w:t>
            </w:r>
          </w:p>
        </w:tc>
        <w:tc>
          <w:tcPr>
            <w:tcW w:w="1896" w:type="dxa"/>
          </w:tcPr>
          <w:p>
            <w:pPr>
              <w:spacing w:line="360" w:lineRule="exact"/>
              <w:rPr>
                <w:rFonts w:ascii="宋体" w:hAnsi="宋体"/>
                <w:szCs w:val="21"/>
              </w:rPr>
            </w:pPr>
            <w:r>
              <w:rPr>
                <w:rFonts w:ascii="宋体" w:hAnsi="宋体" w:cs="宋体"/>
                <w:kern w:val="0"/>
                <w:szCs w:val="21"/>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73" w:type="dxa"/>
          </w:tcPr>
          <w:p>
            <w:pPr>
              <w:spacing w:line="360" w:lineRule="exact"/>
              <w:rPr>
                <w:rFonts w:ascii="宋体" w:hAnsi="宋体"/>
                <w:szCs w:val="21"/>
              </w:rPr>
            </w:pPr>
            <w:r>
              <w:rPr>
                <w:rFonts w:ascii="宋体" w:hAnsi="宋体"/>
                <w:szCs w:val="21"/>
              </w:rPr>
              <w:t>5000</w:t>
            </w:r>
            <w:r>
              <w:rPr>
                <w:rFonts w:hint="eastAsia" w:ascii="宋体" w:hAnsi="宋体"/>
                <w:szCs w:val="21"/>
              </w:rPr>
              <w:t>万元～</w:t>
            </w:r>
            <w:r>
              <w:rPr>
                <w:rFonts w:ascii="宋体" w:hAnsi="宋体"/>
                <w:szCs w:val="21"/>
              </w:rPr>
              <w:t>1</w:t>
            </w:r>
            <w:r>
              <w:rPr>
                <w:rFonts w:hint="eastAsia" w:ascii="宋体" w:hAnsi="宋体"/>
                <w:szCs w:val="21"/>
              </w:rPr>
              <w:t>亿元</w:t>
            </w:r>
          </w:p>
        </w:tc>
        <w:tc>
          <w:tcPr>
            <w:tcW w:w="2087" w:type="dxa"/>
          </w:tcPr>
          <w:p>
            <w:pPr>
              <w:spacing w:line="360" w:lineRule="exact"/>
              <w:rPr>
                <w:rFonts w:ascii="宋体" w:hAnsi="宋体"/>
                <w:szCs w:val="21"/>
              </w:rPr>
            </w:pPr>
            <w:r>
              <w:rPr>
                <w:rFonts w:ascii="宋体" w:hAnsi="宋体" w:cs="宋体"/>
                <w:kern w:val="0"/>
                <w:szCs w:val="21"/>
              </w:rPr>
              <w:t>0.25%</w:t>
            </w:r>
          </w:p>
        </w:tc>
        <w:tc>
          <w:tcPr>
            <w:tcW w:w="1898" w:type="dxa"/>
          </w:tcPr>
          <w:p>
            <w:pPr>
              <w:spacing w:line="360" w:lineRule="exact"/>
              <w:rPr>
                <w:rFonts w:ascii="宋体" w:hAnsi="宋体"/>
                <w:szCs w:val="21"/>
              </w:rPr>
            </w:pPr>
            <w:r>
              <w:rPr>
                <w:rFonts w:ascii="宋体" w:hAnsi="宋体" w:cs="宋体"/>
                <w:kern w:val="0"/>
                <w:szCs w:val="21"/>
              </w:rPr>
              <w:t>0.1%</w:t>
            </w:r>
          </w:p>
        </w:tc>
        <w:tc>
          <w:tcPr>
            <w:tcW w:w="1896" w:type="dxa"/>
          </w:tcPr>
          <w:p>
            <w:pPr>
              <w:spacing w:line="360" w:lineRule="exact"/>
              <w:rPr>
                <w:rFonts w:ascii="宋体" w:hAnsi="宋体"/>
                <w:szCs w:val="21"/>
              </w:rPr>
            </w:pPr>
            <w:r>
              <w:rPr>
                <w:rFonts w:ascii="宋体" w:hAnsi="宋体" w:cs="宋体"/>
                <w:kern w:val="0"/>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73" w:type="dxa"/>
          </w:tcPr>
          <w:p>
            <w:pPr>
              <w:spacing w:line="360" w:lineRule="exact"/>
              <w:rPr>
                <w:rFonts w:ascii="宋体" w:hAnsi="宋体"/>
                <w:szCs w:val="21"/>
              </w:rPr>
            </w:pPr>
            <w:r>
              <w:rPr>
                <w:rFonts w:ascii="宋体" w:hAnsi="宋体"/>
                <w:szCs w:val="21"/>
              </w:rPr>
              <w:t>1</w:t>
            </w:r>
            <w:r>
              <w:rPr>
                <w:rFonts w:hint="eastAsia" w:ascii="宋体" w:hAnsi="宋体"/>
                <w:szCs w:val="21"/>
              </w:rPr>
              <w:t>～</w:t>
            </w:r>
            <w:r>
              <w:rPr>
                <w:rFonts w:ascii="宋体" w:hAnsi="宋体"/>
                <w:szCs w:val="21"/>
              </w:rPr>
              <w:t>5</w:t>
            </w:r>
            <w:r>
              <w:rPr>
                <w:rFonts w:hint="eastAsia" w:ascii="宋体" w:hAnsi="宋体"/>
                <w:szCs w:val="21"/>
              </w:rPr>
              <w:t>亿元</w:t>
            </w:r>
          </w:p>
        </w:tc>
        <w:tc>
          <w:tcPr>
            <w:tcW w:w="2087" w:type="dxa"/>
          </w:tcPr>
          <w:p>
            <w:pPr>
              <w:spacing w:line="360" w:lineRule="exact"/>
              <w:rPr>
                <w:rFonts w:ascii="宋体" w:hAnsi="宋体"/>
                <w:szCs w:val="21"/>
              </w:rPr>
            </w:pPr>
            <w:r>
              <w:rPr>
                <w:rFonts w:ascii="宋体" w:hAnsi="宋体"/>
                <w:szCs w:val="21"/>
              </w:rPr>
              <w:t>0.05%</w:t>
            </w:r>
          </w:p>
        </w:tc>
        <w:tc>
          <w:tcPr>
            <w:tcW w:w="1898" w:type="dxa"/>
          </w:tcPr>
          <w:p>
            <w:pPr>
              <w:spacing w:line="360" w:lineRule="exact"/>
              <w:rPr>
                <w:rFonts w:ascii="宋体" w:hAnsi="宋体"/>
                <w:szCs w:val="21"/>
              </w:rPr>
            </w:pPr>
            <w:r>
              <w:rPr>
                <w:rFonts w:ascii="宋体" w:hAnsi="宋体"/>
                <w:szCs w:val="21"/>
              </w:rPr>
              <w:t>0.05%</w:t>
            </w:r>
          </w:p>
        </w:tc>
        <w:tc>
          <w:tcPr>
            <w:tcW w:w="1896" w:type="dxa"/>
          </w:tcPr>
          <w:p>
            <w:pPr>
              <w:spacing w:line="360" w:lineRule="exact"/>
              <w:rPr>
                <w:rFonts w:ascii="宋体" w:hAnsi="宋体"/>
                <w:szCs w:val="21"/>
              </w:rPr>
            </w:pPr>
            <w:r>
              <w:rPr>
                <w:rFonts w:ascii="宋体" w:hAnsi="宋体"/>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73" w:type="dxa"/>
          </w:tcPr>
          <w:p>
            <w:pPr>
              <w:spacing w:line="360" w:lineRule="exact"/>
              <w:rPr>
                <w:rFonts w:ascii="宋体" w:hAnsi="宋体"/>
                <w:szCs w:val="21"/>
              </w:rPr>
            </w:pPr>
            <w:r>
              <w:rPr>
                <w:rFonts w:ascii="宋体" w:hAnsi="宋体"/>
                <w:szCs w:val="21"/>
              </w:rPr>
              <w:t>5</w:t>
            </w:r>
            <w:r>
              <w:rPr>
                <w:rFonts w:hint="eastAsia" w:ascii="宋体" w:hAnsi="宋体"/>
                <w:szCs w:val="21"/>
              </w:rPr>
              <w:t>～</w:t>
            </w:r>
            <w:r>
              <w:rPr>
                <w:rFonts w:ascii="宋体" w:hAnsi="宋体"/>
                <w:szCs w:val="21"/>
              </w:rPr>
              <w:t>10</w:t>
            </w:r>
            <w:r>
              <w:rPr>
                <w:rFonts w:hint="eastAsia" w:ascii="宋体" w:hAnsi="宋体"/>
                <w:szCs w:val="21"/>
              </w:rPr>
              <w:t>亿元</w:t>
            </w:r>
          </w:p>
        </w:tc>
        <w:tc>
          <w:tcPr>
            <w:tcW w:w="2087" w:type="dxa"/>
          </w:tcPr>
          <w:p>
            <w:pPr>
              <w:spacing w:line="360" w:lineRule="exact"/>
              <w:rPr>
                <w:rFonts w:ascii="宋体" w:hAnsi="宋体"/>
                <w:szCs w:val="21"/>
              </w:rPr>
            </w:pPr>
            <w:r>
              <w:rPr>
                <w:rFonts w:ascii="宋体" w:hAnsi="宋体"/>
                <w:szCs w:val="21"/>
              </w:rPr>
              <w:t>0.035%</w:t>
            </w:r>
          </w:p>
        </w:tc>
        <w:tc>
          <w:tcPr>
            <w:tcW w:w="1898" w:type="dxa"/>
          </w:tcPr>
          <w:p>
            <w:pPr>
              <w:spacing w:line="360" w:lineRule="exact"/>
              <w:rPr>
                <w:rFonts w:ascii="宋体" w:hAnsi="宋体"/>
                <w:szCs w:val="21"/>
              </w:rPr>
            </w:pPr>
            <w:r>
              <w:rPr>
                <w:rFonts w:ascii="宋体" w:hAnsi="宋体"/>
                <w:szCs w:val="21"/>
              </w:rPr>
              <w:t>0.035%</w:t>
            </w:r>
          </w:p>
        </w:tc>
        <w:tc>
          <w:tcPr>
            <w:tcW w:w="1896" w:type="dxa"/>
          </w:tcPr>
          <w:p>
            <w:pPr>
              <w:spacing w:line="360" w:lineRule="exact"/>
              <w:rPr>
                <w:rFonts w:ascii="宋体" w:hAnsi="宋体"/>
                <w:szCs w:val="21"/>
              </w:rPr>
            </w:pPr>
            <w:r>
              <w:rPr>
                <w:rFonts w:ascii="宋体" w:hAnsi="宋体"/>
                <w:szCs w:val="21"/>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73" w:type="dxa"/>
          </w:tcPr>
          <w:p>
            <w:pPr>
              <w:spacing w:line="360" w:lineRule="exact"/>
              <w:rPr>
                <w:rFonts w:ascii="宋体" w:hAnsi="宋体"/>
                <w:szCs w:val="21"/>
              </w:rPr>
            </w:pPr>
            <w:r>
              <w:rPr>
                <w:rFonts w:ascii="宋体" w:hAnsi="宋体"/>
                <w:szCs w:val="21"/>
              </w:rPr>
              <w:t>10</w:t>
            </w:r>
            <w:r>
              <w:rPr>
                <w:rFonts w:hint="eastAsia" w:ascii="宋体" w:hAnsi="宋体"/>
                <w:szCs w:val="21"/>
              </w:rPr>
              <w:t>～</w:t>
            </w:r>
            <w:r>
              <w:rPr>
                <w:rFonts w:ascii="宋体" w:hAnsi="宋体"/>
                <w:szCs w:val="21"/>
              </w:rPr>
              <w:t>50</w:t>
            </w:r>
            <w:r>
              <w:rPr>
                <w:rFonts w:hint="eastAsia" w:ascii="宋体" w:hAnsi="宋体"/>
                <w:szCs w:val="21"/>
              </w:rPr>
              <w:t>亿元</w:t>
            </w:r>
          </w:p>
        </w:tc>
        <w:tc>
          <w:tcPr>
            <w:tcW w:w="2087" w:type="dxa"/>
          </w:tcPr>
          <w:p>
            <w:pPr>
              <w:spacing w:line="360" w:lineRule="exact"/>
              <w:rPr>
                <w:rFonts w:ascii="宋体" w:hAnsi="宋体"/>
                <w:szCs w:val="21"/>
              </w:rPr>
            </w:pPr>
            <w:r>
              <w:rPr>
                <w:rFonts w:ascii="宋体" w:hAnsi="宋体"/>
                <w:szCs w:val="21"/>
              </w:rPr>
              <w:t>0.008%</w:t>
            </w:r>
          </w:p>
        </w:tc>
        <w:tc>
          <w:tcPr>
            <w:tcW w:w="1898" w:type="dxa"/>
          </w:tcPr>
          <w:p>
            <w:pPr>
              <w:spacing w:line="360" w:lineRule="exact"/>
              <w:rPr>
                <w:rFonts w:ascii="宋体" w:hAnsi="宋体"/>
                <w:szCs w:val="21"/>
              </w:rPr>
            </w:pPr>
            <w:r>
              <w:rPr>
                <w:rFonts w:ascii="宋体" w:hAnsi="宋体"/>
                <w:szCs w:val="21"/>
              </w:rPr>
              <w:t>0.008%</w:t>
            </w:r>
          </w:p>
        </w:tc>
        <w:tc>
          <w:tcPr>
            <w:tcW w:w="1896" w:type="dxa"/>
          </w:tcPr>
          <w:p>
            <w:pPr>
              <w:spacing w:line="360" w:lineRule="exact"/>
              <w:rPr>
                <w:rFonts w:ascii="宋体" w:hAnsi="宋体"/>
                <w:szCs w:val="21"/>
              </w:rPr>
            </w:pPr>
            <w:r>
              <w:rPr>
                <w:rFonts w:ascii="宋体" w:hAnsi="宋体"/>
                <w:szCs w:val="21"/>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73" w:type="dxa"/>
          </w:tcPr>
          <w:p>
            <w:pPr>
              <w:spacing w:line="360" w:lineRule="exact"/>
              <w:rPr>
                <w:rFonts w:ascii="宋体" w:hAnsi="宋体"/>
                <w:szCs w:val="21"/>
              </w:rPr>
            </w:pPr>
            <w:r>
              <w:rPr>
                <w:rFonts w:ascii="宋体" w:hAnsi="宋体"/>
                <w:szCs w:val="21"/>
              </w:rPr>
              <w:t>50</w:t>
            </w:r>
            <w:r>
              <w:rPr>
                <w:rFonts w:hint="eastAsia" w:ascii="宋体" w:hAnsi="宋体"/>
                <w:szCs w:val="21"/>
              </w:rPr>
              <w:t>～</w:t>
            </w:r>
            <w:r>
              <w:rPr>
                <w:rFonts w:ascii="宋体" w:hAnsi="宋体"/>
                <w:szCs w:val="21"/>
              </w:rPr>
              <w:t>100</w:t>
            </w:r>
            <w:r>
              <w:rPr>
                <w:rFonts w:hint="eastAsia" w:ascii="宋体" w:hAnsi="宋体"/>
                <w:szCs w:val="21"/>
              </w:rPr>
              <w:t>亿元</w:t>
            </w:r>
          </w:p>
        </w:tc>
        <w:tc>
          <w:tcPr>
            <w:tcW w:w="2087" w:type="dxa"/>
          </w:tcPr>
          <w:p>
            <w:pPr>
              <w:spacing w:line="360" w:lineRule="exact"/>
              <w:rPr>
                <w:rFonts w:ascii="宋体" w:hAnsi="宋体"/>
                <w:szCs w:val="21"/>
              </w:rPr>
            </w:pPr>
            <w:r>
              <w:rPr>
                <w:rFonts w:ascii="宋体" w:hAnsi="宋体"/>
                <w:szCs w:val="21"/>
              </w:rPr>
              <w:t>0.006%</w:t>
            </w:r>
          </w:p>
        </w:tc>
        <w:tc>
          <w:tcPr>
            <w:tcW w:w="1898" w:type="dxa"/>
          </w:tcPr>
          <w:p>
            <w:pPr>
              <w:spacing w:line="360" w:lineRule="exact"/>
              <w:rPr>
                <w:rFonts w:ascii="宋体" w:hAnsi="宋体"/>
                <w:szCs w:val="21"/>
              </w:rPr>
            </w:pPr>
            <w:r>
              <w:rPr>
                <w:rFonts w:ascii="宋体" w:hAnsi="宋体"/>
                <w:szCs w:val="21"/>
              </w:rPr>
              <w:t>0.006%</w:t>
            </w:r>
          </w:p>
        </w:tc>
        <w:tc>
          <w:tcPr>
            <w:tcW w:w="1896" w:type="dxa"/>
          </w:tcPr>
          <w:p>
            <w:pPr>
              <w:spacing w:line="360" w:lineRule="exact"/>
              <w:rPr>
                <w:rFonts w:ascii="宋体" w:hAnsi="宋体"/>
                <w:szCs w:val="21"/>
              </w:rPr>
            </w:pPr>
            <w:r>
              <w:rPr>
                <w:rFonts w:ascii="宋体" w:hAnsi="宋体"/>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73" w:type="dxa"/>
          </w:tcPr>
          <w:p>
            <w:pPr>
              <w:spacing w:line="360" w:lineRule="exact"/>
              <w:rPr>
                <w:rFonts w:ascii="宋体" w:hAnsi="宋体"/>
                <w:szCs w:val="21"/>
              </w:rPr>
            </w:pPr>
            <w:r>
              <w:rPr>
                <w:rFonts w:ascii="宋体" w:hAnsi="宋体"/>
                <w:szCs w:val="21"/>
              </w:rPr>
              <w:t>100</w:t>
            </w:r>
            <w:r>
              <w:rPr>
                <w:rFonts w:hint="eastAsia" w:ascii="宋体" w:hAnsi="宋体"/>
                <w:szCs w:val="21"/>
              </w:rPr>
              <w:t>亿以上</w:t>
            </w:r>
          </w:p>
        </w:tc>
        <w:tc>
          <w:tcPr>
            <w:tcW w:w="2087" w:type="dxa"/>
          </w:tcPr>
          <w:p>
            <w:pPr>
              <w:spacing w:line="360" w:lineRule="exact"/>
              <w:rPr>
                <w:rFonts w:ascii="宋体" w:hAnsi="宋体"/>
                <w:szCs w:val="21"/>
              </w:rPr>
            </w:pPr>
            <w:r>
              <w:rPr>
                <w:rFonts w:ascii="宋体" w:hAnsi="宋体"/>
                <w:szCs w:val="21"/>
              </w:rPr>
              <w:t>0.004%</w:t>
            </w:r>
          </w:p>
        </w:tc>
        <w:tc>
          <w:tcPr>
            <w:tcW w:w="1898" w:type="dxa"/>
          </w:tcPr>
          <w:p>
            <w:pPr>
              <w:spacing w:line="360" w:lineRule="exact"/>
              <w:rPr>
                <w:rFonts w:ascii="宋体" w:hAnsi="宋体"/>
                <w:szCs w:val="21"/>
              </w:rPr>
            </w:pPr>
            <w:r>
              <w:rPr>
                <w:rFonts w:ascii="宋体" w:hAnsi="宋体"/>
                <w:szCs w:val="21"/>
              </w:rPr>
              <w:t>0.004%</w:t>
            </w:r>
          </w:p>
        </w:tc>
        <w:tc>
          <w:tcPr>
            <w:tcW w:w="1896" w:type="dxa"/>
          </w:tcPr>
          <w:p>
            <w:pPr>
              <w:spacing w:line="360" w:lineRule="exact"/>
              <w:rPr>
                <w:rFonts w:ascii="宋体" w:hAnsi="宋体"/>
                <w:szCs w:val="21"/>
              </w:rPr>
            </w:pPr>
            <w:r>
              <w:rPr>
                <w:rFonts w:ascii="宋体" w:hAnsi="宋体"/>
                <w:szCs w:val="21"/>
              </w:rPr>
              <w:t>0.004%</w:t>
            </w:r>
          </w:p>
        </w:tc>
      </w:tr>
    </w:tbl>
    <w:p>
      <w:pPr>
        <w:pStyle w:val="19"/>
        <w:spacing w:line="360" w:lineRule="auto"/>
        <w:rPr>
          <w:rFonts w:hAnsi="宋体"/>
        </w:rPr>
      </w:pPr>
    </w:p>
    <w:p>
      <w:pPr>
        <w:pStyle w:val="19"/>
        <w:spacing w:line="360" w:lineRule="auto"/>
        <w:rPr>
          <w:rFonts w:hAnsi="宋体"/>
        </w:rPr>
      </w:pPr>
    </w:p>
    <w:p>
      <w:pPr>
        <w:pStyle w:val="19"/>
        <w:spacing w:line="360" w:lineRule="auto"/>
        <w:rPr>
          <w:rFonts w:hAnsi="宋体"/>
        </w:rPr>
      </w:pPr>
    </w:p>
    <w:p>
      <w:pPr>
        <w:pStyle w:val="19"/>
        <w:spacing w:line="360" w:lineRule="auto"/>
        <w:rPr>
          <w:rFonts w:hAnsi="宋体"/>
        </w:rPr>
      </w:pPr>
    </w:p>
    <w:p>
      <w:pPr>
        <w:pStyle w:val="19"/>
        <w:spacing w:line="360" w:lineRule="auto"/>
        <w:rPr>
          <w:rFonts w:hAnsi="宋体"/>
        </w:rPr>
      </w:pPr>
    </w:p>
    <w:p>
      <w:pPr>
        <w:pStyle w:val="19"/>
        <w:spacing w:line="360" w:lineRule="auto"/>
        <w:rPr>
          <w:rFonts w:hAnsi="宋体"/>
        </w:rPr>
      </w:pPr>
    </w:p>
    <w:p>
      <w:pPr>
        <w:pStyle w:val="19"/>
        <w:snapToGrid w:val="0"/>
        <w:rPr>
          <w:rFonts w:hint="eastAsia" w:hAnsi="宋体"/>
          <w:color w:val="000000"/>
          <w:sz w:val="20"/>
          <w:szCs w:val="20"/>
        </w:rPr>
      </w:pPr>
      <w:r>
        <w:rPr>
          <w:rFonts w:hint="eastAsia" w:ascii="黑体" w:hAnsi="黑体" w:eastAsia="黑体" w:cs="黑体"/>
          <w:bCs/>
          <w:color w:val="000000"/>
          <w:sz w:val="20"/>
          <w:szCs w:val="20"/>
        </w:rPr>
        <w:t>附件</w:t>
      </w:r>
      <w:r>
        <w:rPr>
          <w:rFonts w:hint="eastAsia" w:ascii="黑体" w:hAnsi="黑体" w:eastAsia="黑体" w:cs="黑体"/>
          <w:bCs/>
          <w:color w:val="000000"/>
          <w:sz w:val="20"/>
          <w:szCs w:val="20"/>
          <w:lang w:val="en-US" w:eastAsia="zh-CN"/>
        </w:rPr>
        <w:t>二</w:t>
      </w:r>
      <w:r>
        <w:rPr>
          <w:rFonts w:hint="eastAsia" w:ascii="黑体" w:hAnsi="黑体" w:eastAsia="黑体" w:cs="黑体"/>
          <w:bCs/>
          <w:color w:val="000000"/>
          <w:sz w:val="20"/>
          <w:szCs w:val="20"/>
        </w:rPr>
        <w:t>：</w:t>
      </w:r>
    </w:p>
    <w:p>
      <w:pPr>
        <w:widowControl/>
        <w:shd w:val="clear" w:color="auto" w:fill="FFFFFF"/>
        <w:spacing w:line="480" w:lineRule="atLeast"/>
        <w:jc w:val="center"/>
        <w:rPr>
          <w:rFonts w:hint="eastAsia" w:ascii="仿宋" w:hAnsi="仿宋" w:eastAsia="仿宋" w:cs="宋体"/>
          <w:color w:val="000000"/>
          <w:kern w:val="0"/>
          <w:sz w:val="24"/>
          <w:szCs w:val="24"/>
        </w:rPr>
      </w:pPr>
      <w:r>
        <w:rPr>
          <w:rFonts w:hint="eastAsia" w:ascii="宋体" w:hAnsi="宋体" w:cs="宋体"/>
          <w:b/>
          <w:bCs/>
          <w:color w:val="000000"/>
          <w:kern w:val="0"/>
          <w:sz w:val="24"/>
          <w:szCs w:val="24"/>
        </w:rPr>
        <w:t>广西壮族自治区政府采购项目合同验收书</w:t>
      </w:r>
    </w:p>
    <w:p>
      <w:pPr>
        <w:widowControl/>
        <w:shd w:val="clear" w:color="auto" w:fill="FFFFFF"/>
        <w:snapToGrid w:val="0"/>
        <w:spacing w:line="320" w:lineRule="atLeast"/>
        <w:ind w:firstLine="480"/>
        <w:jc w:val="left"/>
        <w:rPr>
          <w:rFonts w:hint="eastAsia" w:ascii="仿宋" w:hAnsi="仿宋" w:eastAsia="仿宋" w:cs="宋体"/>
          <w:color w:val="000000"/>
          <w:kern w:val="0"/>
          <w:sz w:val="20"/>
          <w:szCs w:val="20"/>
        </w:rPr>
      </w:pPr>
      <w:r>
        <w:rPr>
          <w:rFonts w:hint="eastAsia" w:ascii="仿宋" w:hAnsi="仿宋" w:eastAsia="仿宋" w:cs="宋体"/>
          <w:color w:val="000000"/>
          <w:kern w:val="0"/>
          <w:sz w:val="22"/>
          <w:szCs w:val="22"/>
        </w:rPr>
        <w:t>根据政府采购项目（</w:t>
      </w:r>
      <w:r>
        <w:rPr>
          <w:rFonts w:hint="eastAsia" w:ascii="仿宋" w:hAnsi="仿宋" w:eastAsia="仿宋" w:cs="宋体"/>
          <w:color w:val="000000"/>
          <w:kern w:val="0"/>
          <w:sz w:val="22"/>
          <w:szCs w:val="22"/>
          <w:u w:val="single"/>
        </w:rPr>
        <w:t>采购合同编号：</w:t>
      </w:r>
      <w:r>
        <w:rPr>
          <w:rFonts w:hint="eastAsia" w:ascii="仿宋" w:hAnsi="仿宋" w:eastAsia="仿宋" w:cs="宋体"/>
          <w:color w:val="000000"/>
          <w:kern w:val="0"/>
          <w:sz w:val="22"/>
          <w:szCs w:val="22"/>
          <w:u w:val="single"/>
          <w:lang w:val="en-US" w:eastAsia="zh-CN"/>
        </w:rPr>
        <w:t xml:space="preserve">  </w:t>
      </w:r>
      <w:r>
        <w:rPr>
          <w:rFonts w:hint="eastAsia" w:ascii="仿宋" w:hAnsi="仿宋" w:eastAsia="仿宋" w:cs="宋体"/>
          <w:color w:val="000000"/>
          <w:kern w:val="0"/>
          <w:sz w:val="22"/>
          <w:szCs w:val="22"/>
        </w:rPr>
        <w:softHyphen/>
      </w:r>
      <w:r>
        <w:rPr>
          <w:rFonts w:hint="eastAsia" w:ascii="仿宋" w:hAnsi="仿宋" w:eastAsia="仿宋" w:cs="宋体"/>
          <w:color w:val="000000"/>
          <w:kern w:val="0"/>
          <w:sz w:val="22"/>
          <w:szCs w:val="22"/>
        </w:rPr>
        <w:t xml:space="preserve"> ）的约定，我单位对（</w:t>
      </w:r>
      <w:r>
        <w:rPr>
          <w:rFonts w:hint="eastAsia" w:ascii="仿宋" w:hAnsi="仿宋" w:eastAsia="仿宋" w:cs="宋体"/>
          <w:color w:val="000000"/>
          <w:kern w:val="0"/>
          <w:sz w:val="22"/>
          <w:szCs w:val="22"/>
          <w:u w:val="single"/>
        </w:rPr>
        <w:t xml:space="preserve">项目名称 </w:t>
      </w:r>
      <w:r>
        <w:rPr>
          <w:rFonts w:hint="eastAsia" w:ascii="仿宋" w:hAnsi="仿宋" w:eastAsia="仿宋" w:cs="宋体"/>
          <w:color w:val="000000"/>
          <w:kern w:val="0"/>
          <w:sz w:val="22"/>
          <w:szCs w:val="22"/>
        </w:rPr>
        <w:t>）采购项目成交供应商（或成交）</w:t>
      </w:r>
      <w:r>
        <w:rPr>
          <w:rFonts w:hint="eastAsia" w:ascii="仿宋" w:hAnsi="仿宋" w:eastAsia="仿宋" w:cs="宋体"/>
          <w:color w:val="000000"/>
          <w:kern w:val="0"/>
          <w:sz w:val="22"/>
          <w:szCs w:val="22"/>
          <w:lang w:val="en-US" w:eastAsia="zh-CN"/>
        </w:rPr>
        <w:t>供应商（</w:t>
      </w:r>
      <w:r>
        <w:rPr>
          <w:rFonts w:hint="eastAsia" w:ascii="仿宋" w:hAnsi="仿宋" w:eastAsia="仿宋" w:cs="宋体"/>
          <w:color w:val="000000"/>
          <w:kern w:val="0"/>
          <w:sz w:val="22"/>
          <w:szCs w:val="22"/>
          <w:u w:val="single"/>
          <w:lang w:val="en-US" w:eastAsia="zh-CN"/>
        </w:rPr>
        <w:t>公司名称</w:t>
      </w:r>
      <w:r>
        <w:rPr>
          <w:rFonts w:hint="eastAsia" w:ascii="仿宋" w:hAnsi="仿宋" w:eastAsia="仿宋" w:cs="宋体"/>
          <w:color w:val="000000"/>
          <w:kern w:val="0"/>
          <w:sz w:val="22"/>
          <w:szCs w:val="22"/>
          <w:lang w:val="en-US" w:eastAsia="zh-CN"/>
        </w:rPr>
        <w:t>）</w:t>
      </w:r>
      <w:r>
        <w:rPr>
          <w:rFonts w:hint="eastAsia" w:ascii="仿宋" w:hAnsi="仿宋" w:eastAsia="仿宋" w:cs="宋体"/>
          <w:color w:val="000000"/>
          <w:kern w:val="0"/>
          <w:sz w:val="22"/>
          <w:szCs w:val="22"/>
        </w:rPr>
        <w:t xml:space="preserve"> 提供的</w:t>
      </w:r>
      <w:r>
        <w:rPr>
          <w:rFonts w:hint="eastAsia" w:ascii="仿宋" w:hAnsi="仿宋" w:eastAsia="仿宋" w:cs="宋体"/>
          <w:color w:val="000000"/>
          <w:kern w:val="0"/>
          <w:sz w:val="22"/>
          <w:szCs w:val="22"/>
          <w:lang w:val="en-US" w:eastAsia="zh-CN"/>
        </w:rPr>
        <w:t>货物</w:t>
      </w:r>
      <w:r>
        <w:rPr>
          <w:rFonts w:hint="eastAsia" w:ascii="仿宋" w:hAnsi="仿宋" w:eastAsia="仿宋" w:cs="宋体"/>
          <w:color w:val="000000"/>
          <w:kern w:val="0"/>
          <w:sz w:val="22"/>
          <w:szCs w:val="22"/>
          <w:lang w:eastAsia="zh-CN"/>
        </w:rPr>
        <w:t>（</w:t>
      </w:r>
      <w:r>
        <w:rPr>
          <w:rFonts w:hint="eastAsia" w:ascii="仿宋" w:hAnsi="仿宋" w:eastAsia="仿宋" w:cs="宋体"/>
          <w:color w:val="000000"/>
          <w:kern w:val="0"/>
          <w:sz w:val="22"/>
          <w:szCs w:val="22"/>
          <w:lang w:val="en-US" w:eastAsia="zh-CN"/>
        </w:rPr>
        <w:t>或工程、服务）</w:t>
      </w:r>
      <w:r>
        <w:rPr>
          <w:rFonts w:hint="eastAsia" w:ascii="仿宋" w:hAnsi="仿宋" w:eastAsia="仿宋" w:cs="宋体"/>
          <w:color w:val="000000"/>
          <w:kern w:val="0"/>
          <w:sz w:val="22"/>
          <w:szCs w:val="22"/>
        </w:rPr>
        <w:t>进行了验收，验收情况如下：</w:t>
      </w:r>
    </w:p>
    <w:tbl>
      <w:tblPr>
        <w:tblStyle w:val="34"/>
        <w:tblW w:w="8445" w:type="dxa"/>
        <w:jc w:val="center"/>
        <w:tblInd w:w="0" w:type="dxa"/>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tblPrEx>
          <w:tblLayout w:type="fixed"/>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noWrap w:val="0"/>
            <w:vAlign w:val="center"/>
          </w:tcPr>
          <w:p>
            <w:pPr>
              <w:widowControl/>
              <w:snapToGrid w:val="0"/>
              <w:spacing w:before="100" w:beforeAutospacing="1" w:after="100" w:afterAutospacing="1" w:line="320" w:lineRule="atLeast"/>
              <w:ind w:firstLine="5"/>
              <w:jc w:val="center"/>
              <w:rPr>
                <w:rFonts w:ascii="Verdana" w:hAnsi="Verdana" w:cs="宋体"/>
                <w:color w:val="000000"/>
                <w:kern w:val="0"/>
                <w:sz w:val="21"/>
                <w:szCs w:val="21"/>
              </w:rPr>
            </w:pPr>
            <w:r>
              <w:rPr>
                <w:rFonts w:ascii="Verdana" w:hAnsi="Verdana" w:cs="宋体"/>
                <w:color w:val="000000"/>
                <w:kern w:val="0"/>
                <w:sz w:val="21"/>
                <w:szCs w:val="21"/>
              </w:rPr>
              <w:t>验收方式：</w:t>
            </w:r>
          </w:p>
        </w:tc>
        <w:tc>
          <w:tcPr>
            <w:tcW w:w="5193" w:type="dxa"/>
            <w:gridSpan w:val="6"/>
            <w:tcBorders>
              <w:top w:val="single" w:color="auto" w:sz="8" w:space="0"/>
              <w:left w:val="nil"/>
              <w:bottom w:val="single" w:color="auto" w:sz="8" w:space="0"/>
              <w:right w:val="single" w:color="auto" w:sz="8" w:space="0"/>
            </w:tcBorders>
            <w:noWrap w:val="0"/>
            <w:vAlign w:val="center"/>
          </w:tcPr>
          <w:p>
            <w:pPr>
              <w:widowControl/>
              <w:snapToGrid w:val="0"/>
              <w:spacing w:before="100" w:beforeAutospacing="1" w:after="100" w:afterAutospacing="1" w:line="320" w:lineRule="atLeast"/>
              <w:jc w:val="center"/>
              <w:rPr>
                <w:rFonts w:ascii="Verdana" w:hAnsi="Verdana" w:cs="宋体"/>
                <w:color w:val="000000"/>
                <w:kern w:val="0"/>
                <w:sz w:val="21"/>
                <w:szCs w:val="21"/>
              </w:rPr>
            </w:pPr>
            <w:r>
              <w:rPr>
                <w:rFonts w:ascii="Verdana" w:hAnsi="Verdana" w:cs="宋体"/>
                <w:color w:val="000000"/>
                <w:kern w:val="0"/>
                <w:sz w:val="21"/>
                <w:szCs w:val="21"/>
              </w:rPr>
              <w:sym w:font="Wingdings 2" w:char="00A3"/>
            </w:r>
            <w:r>
              <w:rPr>
                <w:rFonts w:ascii="Verdana" w:hAnsi="Verdana" w:cs="宋体"/>
                <w:color w:val="000000"/>
                <w:kern w:val="0"/>
                <w:sz w:val="21"/>
                <w:szCs w:val="21"/>
              </w:rPr>
              <w:t xml:space="preserve">自行验收 </w:t>
            </w:r>
            <w:r>
              <w:rPr>
                <w:rFonts w:ascii="Verdana" w:hAnsi="Verdana" w:cs="宋体"/>
                <w:color w:val="000000"/>
                <w:kern w:val="0"/>
                <w:sz w:val="21"/>
                <w:szCs w:val="21"/>
              </w:rPr>
              <w:sym w:font="Wingdings 2" w:char="00A3"/>
            </w:r>
            <w:r>
              <w:rPr>
                <w:rFonts w:ascii="Verdana" w:hAnsi="Verdana" w:cs="宋体"/>
                <w:color w:val="000000"/>
                <w:kern w:val="0"/>
                <w:sz w:val="21"/>
                <w:szCs w:val="21"/>
              </w:rPr>
              <w:t>委托验收</w:t>
            </w:r>
          </w:p>
        </w:tc>
      </w:tr>
      <w:tr>
        <w:tblPrEx>
          <w:tblLayout w:type="fixed"/>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noWrap w:val="0"/>
            <w:vAlign w:val="center"/>
          </w:tcPr>
          <w:p>
            <w:pPr>
              <w:widowControl/>
              <w:snapToGrid w:val="0"/>
              <w:spacing w:before="100" w:beforeAutospacing="1" w:after="100" w:afterAutospacing="1" w:line="320" w:lineRule="atLeast"/>
              <w:ind w:firstLine="2"/>
              <w:jc w:val="center"/>
              <w:rPr>
                <w:rFonts w:ascii="Verdana" w:hAnsi="Verdana" w:cs="宋体"/>
                <w:color w:val="000000"/>
                <w:kern w:val="0"/>
                <w:sz w:val="21"/>
                <w:szCs w:val="21"/>
              </w:rPr>
            </w:pPr>
            <w:r>
              <w:rPr>
                <w:rFonts w:ascii="Verdana" w:hAnsi="Verdana" w:cs="宋体"/>
                <w:color w:val="000000"/>
                <w:kern w:val="0"/>
                <w:sz w:val="21"/>
                <w:szCs w:val="21"/>
              </w:rPr>
              <w:t>序号</w:t>
            </w:r>
          </w:p>
        </w:tc>
        <w:tc>
          <w:tcPr>
            <w:tcW w:w="2448" w:type="dxa"/>
            <w:gridSpan w:val="2"/>
            <w:tcBorders>
              <w:top w:val="nil"/>
              <w:left w:val="nil"/>
              <w:bottom w:val="single" w:color="auto" w:sz="8" w:space="0"/>
              <w:right w:val="single" w:color="auto" w:sz="8" w:space="0"/>
            </w:tcBorders>
            <w:noWrap w:val="0"/>
            <w:vAlign w:val="center"/>
          </w:tcPr>
          <w:p>
            <w:pPr>
              <w:widowControl/>
              <w:snapToGrid w:val="0"/>
              <w:spacing w:before="100" w:beforeAutospacing="1" w:after="100" w:afterAutospacing="1" w:line="320" w:lineRule="atLeast"/>
              <w:ind w:firstLine="2"/>
              <w:jc w:val="center"/>
              <w:rPr>
                <w:rFonts w:ascii="Verdana" w:hAnsi="Verdana" w:cs="宋体"/>
                <w:color w:val="000000"/>
                <w:kern w:val="0"/>
                <w:sz w:val="21"/>
                <w:szCs w:val="21"/>
              </w:rPr>
            </w:pPr>
            <w:r>
              <w:rPr>
                <w:rFonts w:ascii="Verdana" w:hAnsi="Verdana" w:cs="宋体"/>
                <w:color w:val="000000"/>
                <w:kern w:val="0"/>
                <w:sz w:val="21"/>
                <w:szCs w:val="21"/>
              </w:rPr>
              <w:t>名称</w:t>
            </w:r>
          </w:p>
        </w:tc>
        <w:tc>
          <w:tcPr>
            <w:tcW w:w="2902" w:type="dxa"/>
            <w:gridSpan w:val="3"/>
            <w:tcBorders>
              <w:top w:val="nil"/>
              <w:left w:val="nil"/>
              <w:bottom w:val="single" w:color="auto" w:sz="8" w:space="0"/>
              <w:right w:val="single" w:color="auto" w:sz="8" w:space="0"/>
            </w:tcBorders>
            <w:noWrap w:val="0"/>
            <w:vAlign w:val="center"/>
          </w:tcPr>
          <w:p>
            <w:pPr>
              <w:widowControl/>
              <w:snapToGrid w:val="0"/>
              <w:spacing w:before="100" w:beforeAutospacing="1" w:after="100" w:afterAutospacing="1" w:line="320" w:lineRule="atLeast"/>
              <w:ind w:firstLine="2"/>
              <w:jc w:val="center"/>
              <w:rPr>
                <w:rFonts w:ascii="Verdana" w:hAnsi="Verdana" w:cs="宋体"/>
                <w:color w:val="000000"/>
                <w:kern w:val="0"/>
                <w:sz w:val="21"/>
                <w:szCs w:val="21"/>
              </w:rPr>
            </w:pPr>
            <w:r>
              <w:rPr>
                <w:rFonts w:ascii="Verdana" w:hAnsi="Verdana" w:cs="宋体"/>
                <w:color w:val="000000"/>
                <w:kern w:val="0"/>
                <w:sz w:val="21"/>
                <w:szCs w:val="21"/>
              </w:rPr>
              <w:t>货物型号规格、标准及配置等（或服务内容、标准）</w:t>
            </w:r>
          </w:p>
        </w:tc>
        <w:tc>
          <w:tcPr>
            <w:tcW w:w="863" w:type="dxa"/>
            <w:gridSpan w:val="2"/>
            <w:tcBorders>
              <w:top w:val="nil"/>
              <w:left w:val="nil"/>
              <w:bottom w:val="single" w:color="auto" w:sz="8" w:space="0"/>
              <w:right w:val="single" w:color="auto" w:sz="8" w:space="0"/>
            </w:tcBorders>
            <w:noWrap w:val="0"/>
            <w:vAlign w:val="center"/>
          </w:tcPr>
          <w:p>
            <w:pPr>
              <w:widowControl/>
              <w:snapToGrid w:val="0"/>
              <w:spacing w:before="100" w:beforeAutospacing="1" w:after="100" w:afterAutospacing="1" w:line="320" w:lineRule="atLeast"/>
              <w:jc w:val="center"/>
              <w:rPr>
                <w:rFonts w:ascii="Verdana" w:hAnsi="Verdana" w:cs="宋体"/>
                <w:color w:val="000000"/>
                <w:kern w:val="0"/>
                <w:sz w:val="21"/>
                <w:szCs w:val="21"/>
              </w:rPr>
            </w:pPr>
            <w:r>
              <w:rPr>
                <w:rFonts w:ascii="Verdana" w:hAnsi="Verdana" w:cs="宋体"/>
                <w:color w:val="000000"/>
                <w:kern w:val="0"/>
                <w:sz w:val="21"/>
                <w:szCs w:val="21"/>
              </w:rPr>
              <w:t>数量</w:t>
            </w:r>
          </w:p>
        </w:tc>
        <w:tc>
          <w:tcPr>
            <w:tcW w:w="1428" w:type="dxa"/>
            <w:tcBorders>
              <w:top w:val="nil"/>
              <w:left w:val="nil"/>
              <w:bottom w:val="single" w:color="auto" w:sz="8" w:space="0"/>
              <w:right w:val="single" w:color="auto" w:sz="8" w:space="0"/>
            </w:tcBorders>
            <w:noWrap w:val="0"/>
            <w:vAlign w:val="center"/>
          </w:tcPr>
          <w:p>
            <w:pPr>
              <w:widowControl/>
              <w:snapToGrid w:val="0"/>
              <w:spacing w:before="100" w:beforeAutospacing="1" w:after="100" w:afterAutospacing="1" w:line="320" w:lineRule="atLeast"/>
              <w:ind w:firstLine="2"/>
              <w:jc w:val="center"/>
              <w:rPr>
                <w:rFonts w:ascii="Verdana" w:hAnsi="Verdana" w:cs="宋体"/>
                <w:color w:val="000000"/>
                <w:kern w:val="0"/>
                <w:sz w:val="21"/>
                <w:szCs w:val="21"/>
              </w:rPr>
            </w:pPr>
            <w:r>
              <w:rPr>
                <w:rFonts w:ascii="Verdana" w:hAnsi="Verdana" w:cs="宋体"/>
                <w:color w:val="000000"/>
                <w:kern w:val="0"/>
                <w:sz w:val="21"/>
                <w:szCs w:val="21"/>
              </w:rPr>
              <w:t>金额</w:t>
            </w:r>
          </w:p>
        </w:tc>
      </w:tr>
      <w:tr>
        <w:tblPrEx>
          <w:tblLayout w:type="fixed"/>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000000"/>
                <w:kern w:val="0"/>
                <w:sz w:val="21"/>
                <w:szCs w:val="21"/>
              </w:rPr>
            </w:pPr>
          </w:p>
        </w:tc>
        <w:tc>
          <w:tcPr>
            <w:tcW w:w="2448" w:type="dxa"/>
            <w:gridSpan w:val="2"/>
            <w:tcBorders>
              <w:top w:val="nil"/>
              <w:left w:val="nil"/>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000000"/>
                <w:kern w:val="0"/>
                <w:sz w:val="21"/>
                <w:szCs w:val="21"/>
              </w:rPr>
            </w:pPr>
          </w:p>
        </w:tc>
        <w:tc>
          <w:tcPr>
            <w:tcW w:w="2902" w:type="dxa"/>
            <w:gridSpan w:val="3"/>
            <w:tcBorders>
              <w:top w:val="nil"/>
              <w:left w:val="nil"/>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000000"/>
                <w:kern w:val="0"/>
                <w:sz w:val="21"/>
                <w:szCs w:val="21"/>
              </w:rPr>
            </w:pPr>
          </w:p>
        </w:tc>
        <w:tc>
          <w:tcPr>
            <w:tcW w:w="863" w:type="dxa"/>
            <w:gridSpan w:val="2"/>
            <w:tcBorders>
              <w:top w:val="nil"/>
              <w:left w:val="nil"/>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000000"/>
                <w:kern w:val="0"/>
                <w:sz w:val="21"/>
                <w:szCs w:val="21"/>
              </w:rPr>
            </w:pPr>
          </w:p>
        </w:tc>
        <w:tc>
          <w:tcPr>
            <w:tcW w:w="1428" w:type="dxa"/>
            <w:tcBorders>
              <w:top w:val="nil"/>
              <w:left w:val="nil"/>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000000"/>
                <w:kern w:val="0"/>
                <w:sz w:val="21"/>
                <w:szCs w:val="21"/>
              </w:rPr>
            </w:pPr>
          </w:p>
        </w:tc>
      </w:tr>
      <w:tr>
        <w:tblPrEx>
          <w:tblLayout w:type="fixed"/>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000000"/>
                <w:kern w:val="0"/>
                <w:sz w:val="21"/>
                <w:szCs w:val="21"/>
              </w:rPr>
            </w:pPr>
          </w:p>
        </w:tc>
        <w:tc>
          <w:tcPr>
            <w:tcW w:w="2448" w:type="dxa"/>
            <w:gridSpan w:val="2"/>
            <w:tcBorders>
              <w:top w:val="nil"/>
              <w:left w:val="nil"/>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000000"/>
                <w:kern w:val="0"/>
                <w:sz w:val="21"/>
                <w:szCs w:val="21"/>
              </w:rPr>
            </w:pPr>
          </w:p>
        </w:tc>
        <w:tc>
          <w:tcPr>
            <w:tcW w:w="2902" w:type="dxa"/>
            <w:gridSpan w:val="3"/>
            <w:tcBorders>
              <w:top w:val="nil"/>
              <w:left w:val="nil"/>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000000"/>
                <w:kern w:val="0"/>
                <w:sz w:val="21"/>
                <w:szCs w:val="21"/>
              </w:rPr>
            </w:pPr>
          </w:p>
        </w:tc>
        <w:tc>
          <w:tcPr>
            <w:tcW w:w="863" w:type="dxa"/>
            <w:gridSpan w:val="2"/>
            <w:tcBorders>
              <w:top w:val="nil"/>
              <w:left w:val="nil"/>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000000"/>
                <w:kern w:val="0"/>
                <w:sz w:val="21"/>
                <w:szCs w:val="21"/>
              </w:rPr>
            </w:pPr>
          </w:p>
        </w:tc>
        <w:tc>
          <w:tcPr>
            <w:tcW w:w="1428" w:type="dxa"/>
            <w:tcBorders>
              <w:top w:val="nil"/>
              <w:left w:val="nil"/>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000000"/>
                <w:kern w:val="0"/>
                <w:sz w:val="21"/>
                <w:szCs w:val="21"/>
              </w:rPr>
            </w:pPr>
          </w:p>
        </w:tc>
      </w:tr>
      <w:tr>
        <w:tblPrEx>
          <w:tblLayout w:type="fixed"/>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000000"/>
                <w:kern w:val="0"/>
                <w:sz w:val="21"/>
                <w:szCs w:val="21"/>
              </w:rPr>
            </w:pPr>
          </w:p>
        </w:tc>
        <w:tc>
          <w:tcPr>
            <w:tcW w:w="2448" w:type="dxa"/>
            <w:gridSpan w:val="2"/>
            <w:tcBorders>
              <w:top w:val="nil"/>
              <w:left w:val="nil"/>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000000"/>
                <w:kern w:val="0"/>
                <w:sz w:val="21"/>
                <w:szCs w:val="21"/>
              </w:rPr>
            </w:pPr>
          </w:p>
        </w:tc>
        <w:tc>
          <w:tcPr>
            <w:tcW w:w="2902" w:type="dxa"/>
            <w:gridSpan w:val="3"/>
            <w:tcBorders>
              <w:top w:val="nil"/>
              <w:left w:val="nil"/>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000000"/>
                <w:kern w:val="0"/>
                <w:sz w:val="21"/>
                <w:szCs w:val="21"/>
              </w:rPr>
            </w:pPr>
          </w:p>
        </w:tc>
        <w:tc>
          <w:tcPr>
            <w:tcW w:w="863" w:type="dxa"/>
            <w:gridSpan w:val="2"/>
            <w:tcBorders>
              <w:top w:val="nil"/>
              <w:left w:val="nil"/>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000000"/>
                <w:kern w:val="0"/>
                <w:sz w:val="21"/>
                <w:szCs w:val="21"/>
              </w:rPr>
            </w:pPr>
          </w:p>
        </w:tc>
        <w:tc>
          <w:tcPr>
            <w:tcW w:w="1428" w:type="dxa"/>
            <w:tcBorders>
              <w:top w:val="nil"/>
              <w:left w:val="nil"/>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000000"/>
                <w:kern w:val="0"/>
                <w:sz w:val="21"/>
                <w:szCs w:val="21"/>
              </w:rPr>
            </w:pPr>
          </w:p>
        </w:tc>
      </w:tr>
      <w:tr>
        <w:tblPrEx>
          <w:tblLayout w:type="fixed"/>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noWrap w:val="0"/>
            <w:vAlign w:val="center"/>
          </w:tcPr>
          <w:p>
            <w:pPr>
              <w:widowControl/>
              <w:snapToGrid w:val="0"/>
              <w:spacing w:before="100" w:beforeAutospacing="1" w:after="100" w:afterAutospacing="1" w:line="320" w:lineRule="atLeast"/>
              <w:ind w:firstLine="5"/>
              <w:jc w:val="center"/>
              <w:rPr>
                <w:rFonts w:ascii="Verdana" w:hAnsi="Verdana" w:cs="宋体"/>
                <w:color w:val="000000"/>
                <w:kern w:val="0"/>
                <w:sz w:val="21"/>
                <w:szCs w:val="21"/>
              </w:rPr>
            </w:pPr>
            <w:r>
              <w:rPr>
                <w:rFonts w:ascii="Verdana" w:hAnsi="Verdana" w:cs="宋体"/>
                <w:color w:val="000000"/>
                <w:kern w:val="0"/>
                <w:sz w:val="21"/>
                <w:szCs w:val="21"/>
              </w:rPr>
              <w:t>合 计</w:t>
            </w:r>
          </w:p>
        </w:tc>
        <w:tc>
          <w:tcPr>
            <w:tcW w:w="863" w:type="dxa"/>
            <w:gridSpan w:val="2"/>
            <w:tcBorders>
              <w:top w:val="nil"/>
              <w:left w:val="nil"/>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000000"/>
                <w:kern w:val="0"/>
                <w:sz w:val="21"/>
                <w:szCs w:val="21"/>
              </w:rPr>
            </w:pPr>
          </w:p>
        </w:tc>
        <w:tc>
          <w:tcPr>
            <w:tcW w:w="1428" w:type="dxa"/>
            <w:tcBorders>
              <w:top w:val="nil"/>
              <w:left w:val="nil"/>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000000"/>
                <w:kern w:val="0"/>
                <w:sz w:val="21"/>
                <w:szCs w:val="21"/>
              </w:rPr>
            </w:pPr>
          </w:p>
        </w:tc>
      </w:tr>
      <w:tr>
        <w:tblPrEx>
          <w:tblLayout w:type="fixed"/>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noWrap w:val="0"/>
            <w:vAlign w:val="center"/>
          </w:tcPr>
          <w:p>
            <w:pPr>
              <w:widowControl/>
              <w:snapToGrid w:val="0"/>
              <w:spacing w:before="100" w:beforeAutospacing="1" w:after="100" w:afterAutospacing="1" w:line="320" w:lineRule="atLeast"/>
              <w:ind w:firstLine="210" w:firstLineChars="100"/>
              <w:jc w:val="left"/>
              <w:rPr>
                <w:rFonts w:ascii="Verdana" w:hAnsi="Verdana" w:cs="宋体"/>
                <w:color w:val="000000"/>
                <w:kern w:val="0"/>
                <w:sz w:val="21"/>
                <w:szCs w:val="21"/>
              </w:rPr>
            </w:pPr>
            <w:r>
              <w:rPr>
                <w:rFonts w:ascii="Verdana" w:hAnsi="Verdana" w:cs="宋体"/>
                <w:color w:val="000000"/>
                <w:kern w:val="0"/>
                <w:sz w:val="21"/>
                <w:szCs w:val="21"/>
              </w:rPr>
              <w:t xml:space="preserve">合计大写金额： </w:t>
            </w:r>
            <w:r>
              <w:rPr>
                <w:rFonts w:hint="eastAsia" w:ascii="Verdana" w:hAnsi="Verdana" w:cs="宋体"/>
                <w:color w:val="000000"/>
                <w:kern w:val="0"/>
                <w:sz w:val="21"/>
                <w:szCs w:val="21"/>
              </w:rPr>
              <w:t xml:space="preserve"> </w:t>
            </w:r>
            <w:r>
              <w:rPr>
                <w:rFonts w:ascii="Verdana" w:hAnsi="Verdana" w:cs="宋体"/>
                <w:color w:val="000000"/>
                <w:kern w:val="0"/>
                <w:sz w:val="21"/>
                <w:szCs w:val="21"/>
              </w:rPr>
              <w:t xml:space="preserve">仟 </w:t>
            </w:r>
            <w:r>
              <w:rPr>
                <w:rFonts w:hint="eastAsia" w:ascii="Verdana" w:hAnsi="Verdana" w:cs="宋体"/>
                <w:color w:val="000000"/>
                <w:kern w:val="0"/>
                <w:sz w:val="21"/>
                <w:szCs w:val="21"/>
              </w:rPr>
              <w:t xml:space="preserve"> </w:t>
            </w:r>
            <w:r>
              <w:rPr>
                <w:rFonts w:ascii="Verdana" w:hAnsi="Verdana" w:cs="宋体"/>
                <w:color w:val="000000"/>
                <w:kern w:val="0"/>
                <w:sz w:val="21"/>
                <w:szCs w:val="21"/>
              </w:rPr>
              <w:t xml:space="preserve">佰 </w:t>
            </w:r>
            <w:r>
              <w:rPr>
                <w:rFonts w:hint="eastAsia" w:ascii="Verdana" w:hAnsi="Verdana" w:cs="宋体"/>
                <w:color w:val="000000"/>
                <w:kern w:val="0"/>
                <w:sz w:val="21"/>
                <w:szCs w:val="21"/>
              </w:rPr>
              <w:t xml:space="preserve"> </w:t>
            </w:r>
            <w:r>
              <w:rPr>
                <w:rFonts w:ascii="Verdana" w:hAnsi="Verdana" w:cs="宋体"/>
                <w:color w:val="000000"/>
                <w:kern w:val="0"/>
                <w:sz w:val="21"/>
                <w:szCs w:val="21"/>
              </w:rPr>
              <w:t xml:space="preserve">拾 </w:t>
            </w:r>
            <w:r>
              <w:rPr>
                <w:rFonts w:hint="eastAsia" w:ascii="Verdana" w:hAnsi="Verdana" w:cs="宋体"/>
                <w:color w:val="000000"/>
                <w:kern w:val="0"/>
                <w:sz w:val="21"/>
                <w:szCs w:val="21"/>
              </w:rPr>
              <w:t xml:space="preserve"> </w:t>
            </w:r>
            <w:r>
              <w:rPr>
                <w:rFonts w:ascii="Verdana" w:hAnsi="Verdana" w:cs="宋体"/>
                <w:color w:val="000000"/>
                <w:kern w:val="0"/>
                <w:sz w:val="21"/>
                <w:szCs w:val="21"/>
              </w:rPr>
              <w:t xml:space="preserve">万 </w:t>
            </w:r>
            <w:r>
              <w:rPr>
                <w:rFonts w:hint="eastAsia" w:ascii="Verdana" w:hAnsi="Verdana" w:cs="宋体"/>
                <w:color w:val="000000"/>
                <w:kern w:val="0"/>
                <w:sz w:val="21"/>
                <w:szCs w:val="21"/>
              </w:rPr>
              <w:t xml:space="preserve"> </w:t>
            </w:r>
            <w:r>
              <w:rPr>
                <w:rFonts w:ascii="Verdana" w:hAnsi="Verdana" w:cs="宋体"/>
                <w:color w:val="000000"/>
                <w:kern w:val="0"/>
                <w:sz w:val="21"/>
                <w:szCs w:val="21"/>
              </w:rPr>
              <w:t xml:space="preserve">仟 </w:t>
            </w:r>
            <w:r>
              <w:rPr>
                <w:rFonts w:hint="eastAsia" w:ascii="Verdana" w:hAnsi="Verdana" w:cs="宋体"/>
                <w:color w:val="000000"/>
                <w:kern w:val="0"/>
                <w:sz w:val="21"/>
                <w:szCs w:val="21"/>
              </w:rPr>
              <w:t xml:space="preserve"> </w:t>
            </w:r>
            <w:r>
              <w:rPr>
                <w:rFonts w:ascii="Verdana" w:hAnsi="Verdana" w:cs="宋体"/>
                <w:color w:val="000000"/>
                <w:kern w:val="0"/>
                <w:sz w:val="21"/>
                <w:szCs w:val="21"/>
              </w:rPr>
              <w:t xml:space="preserve">佰 </w:t>
            </w:r>
            <w:r>
              <w:rPr>
                <w:rFonts w:hint="eastAsia" w:ascii="Verdana" w:hAnsi="Verdana" w:cs="宋体"/>
                <w:color w:val="000000"/>
                <w:kern w:val="0"/>
                <w:sz w:val="21"/>
                <w:szCs w:val="21"/>
              </w:rPr>
              <w:t xml:space="preserve"> </w:t>
            </w:r>
            <w:r>
              <w:rPr>
                <w:rFonts w:ascii="Verdana" w:hAnsi="Verdana" w:cs="宋体"/>
                <w:color w:val="000000"/>
                <w:kern w:val="0"/>
                <w:sz w:val="21"/>
                <w:szCs w:val="21"/>
              </w:rPr>
              <w:t xml:space="preserve">拾 </w:t>
            </w:r>
            <w:r>
              <w:rPr>
                <w:rFonts w:hint="eastAsia" w:ascii="Verdana" w:hAnsi="Verdana" w:cs="宋体"/>
                <w:color w:val="000000"/>
                <w:kern w:val="0"/>
                <w:sz w:val="21"/>
                <w:szCs w:val="21"/>
              </w:rPr>
              <w:t xml:space="preserve"> </w:t>
            </w:r>
            <w:r>
              <w:rPr>
                <w:rFonts w:ascii="Verdana" w:hAnsi="Verdana" w:cs="宋体"/>
                <w:color w:val="000000"/>
                <w:kern w:val="0"/>
                <w:sz w:val="21"/>
                <w:szCs w:val="21"/>
              </w:rPr>
              <w:t>元</w:t>
            </w:r>
          </w:p>
        </w:tc>
      </w:tr>
      <w:tr>
        <w:tblPrEx>
          <w:tblLayout w:type="fixed"/>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noWrap w:val="0"/>
            <w:vAlign w:val="center"/>
          </w:tcPr>
          <w:p>
            <w:pPr>
              <w:widowControl/>
              <w:snapToGrid w:val="0"/>
              <w:spacing w:before="100" w:beforeAutospacing="1" w:after="100" w:afterAutospacing="1" w:line="320" w:lineRule="atLeast"/>
              <w:ind w:firstLine="2"/>
              <w:jc w:val="center"/>
              <w:rPr>
                <w:rFonts w:ascii="Verdana" w:hAnsi="Verdana" w:cs="宋体"/>
                <w:color w:val="000000"/>
                <w:kern w:val="0"/>
                <w:sz w:val="21"/>
                <w:szCs w:val="21"/>
              </w:rPr>
            </w:pPr>
            <w:r>
              <w:rPr>
                <w:rFonts w:ascii="Verdana" w:hAnsi="Verdana" w:cs="宋体"/>
                <w:color w:val="000000"/>
                <w:kern w:val="0"/>
                <w:sz w:val="21"/>
                <w:szCs w:val="21"/>
              </w:rPr>
              <w:t>实际供货日期</w:t>
            </w:r>
          </w:p>
        </w:tc>
        <w:tc>
          <w:tcPr>
            <w:tcW w:w="2421" w:type="dxa"/>
            <w:gridSpan w:val="2"/>
            <w:tcBorders>
              <w:top w:val="nil"/>
              <w:left w:val="nil"/>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000000"/>
                <w:kern w:val="0"/>
                <w:sz w:val="21"/>
                <w:szCs w:val="21"/>
              </w:rPr>
            </w:pPr>
          </w:p>
        </w:tc>
        <w:tc>
          <w:tcPr>
            <w:tcW w:w="2282" w:type="dxa"/>
            <w:gridSpan w:val="3"/>
            <w:tcBorders>
              <w:top w:val="nil"/>
              <w:left w:val="nil"/>
              <w:bottom w:val="single" w:color="auto" w:sz="8" w:space="0"/>
              <w:right w:val="single" w:color="auto" w:sz="8" w:space="0"/>
            </w:tcBorders>
            <w:noWrap w:val="0"/>
            <w:vAlign w:val="center"/>
          </w:tcPr>
          <w:p>
            <w:pPr>
              <w:widowControl/>
              <w:snapToGrid w:val="0"/>
              <w:spacing w:before="100" w:beforeAutospacing="1" w:after="100" w:afterAutospacing="1" w:line="320" w:lineRule="atLeast"/>
              <w:ind w:firstLine="46"/>
              <w:jc w:val="center"/>
              <w:rPr>
                <w:rFonts w:ascii="Verdana" w:hAnsi="Verdana" w:cs="宋体"/>
                <w:color w:val="000000"/>
                <w:kern w:val="0"/>
                <w:sz w:val="21"/>
                <w:szCs w:val="21"/>
              </w:rPr>
            </w:pPr>
            <w:r>
              <w:rPr>
                <w:rFonts w:ascii="Verdana" w:hAnsi="Verdana" w:cs="宋体"/>
                <w:color w:val="000000"/>
                <w:kern w:val="0"/>
                <w:sz w:val="21"/>
                <w:szCs w:val="21"/>
              </w:rPr>
              <w:t>合同交货验收日期</w:t>
            </w:r>
          </w:p>
        </w:tc>
        <w:tc>
          <w:tcPr>
            <w:tcW w:w="2113" w:type="dxa"/>
            <w:gridSpan w:val="2"/>
            <w:tcBorders>
              <w:top w:val="nil"/>
              <w:left w:val="nil"/>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000000"/>
                <w:kern w:val="0"/>
                <w:sz w:val="21"/>
                <w:szCs w:val="21"/>
              </w:rPr>
            </w:pPr>
          </w:p>
        </w:tc>
      </w:tr>
      <w:tr>
        <w:tblPrEx>
          <w:tblLayout w:type="fixed"/>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napToGrid w:val="0"/>
              <w:spacing w:before="100" w:beforeAutospacing="1" w:after="100" w:afterAutospacing="1" w:line="320" w:lineRule="atLeast"/>
              <w:jc w:val="left"/>
              <w:rPr>
                <w:rFonts w:ascii="Verdana" w:hAnsi="Verdana" w:cs="宋体"/>
                <w:color w:val="000000"/>
                <w:kern w:val="0"/>
                <w:sz w:val="21"/>
                <w:szCs w:val="21"/>
              </w:rPr>
            </w:pPr>
            <w:r>
              <w:rPr>
                <w:rFonts w:ascii="Verdana" w:hAnsi="Verdana" w:cs="宋体"/>
                <w:color w:val="000000"/>
                <w:kern w:val="0"/>
                <w:sz w:val="21"/>
                <w:szCs w:val="21"/>
              </w:rPr>
              <w:t>验收具体内容</w:t>
            </w:r>
          </w:p>
        </w:tc>
        <w:tc>
          <w:tcPr>
            <w:tcW w:w="6816"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napToGrid w:val="0"/>
              <w:spacing w:before="100" w:beforeAutospacing="1" w:after="100" w:afterAutospacing="1" w:line="320" w:lineRule="atLeast"/>
              <w:jc w:val="left"/>
              <w:rPr>
                <w:rFonts w:ascii="Verdana" w:hAnsi="Verdana" w:cs="宋体"/>
                <w:color w:val="000000"/>
                <w:kern w:val="0"/>
                <w:sz w:val="21"/>
                <w:szCs w:val="21"/>
              </w:rPr>
            </w:pPr>
            <w:r>
              <w:rPr>
                <w:rFonts w:ascii="Verdana" w:hAnsi="Verdana" w:cs="宋体"/>
                <w:color w:val="000000"/>
                <w:kern w:val="0"/>
                <w:sz w:val="21"/>
                <w:szCs w:val="21"/>
              </w:rPr>
              <w:t>（应按采购合同、竞争性磋商文件、竞标响应文件及验收方案等进行验收；并核对成交供应商在安装调试等方面是否违反合同约定或服务规范要求、提供的质量保证证明材料是否齐全、应有的配件及附件是否达到合同约定等。可附件)</w:t>
            </w:r>
          </w:p>
        </w:tc>
      </w:tr>
      <w:tr>
        <w:tblPrEx>
          <w:tblLayout w:type="fixed"/>
          <w:tblCellMar>
            <w:top w:w="0" w:type="dxa"/>
            <w:left w:w="0" w:type="dxa"/>
            <w:bottom w:w="0" w:type="dxa"/>
            <w:right w:w="0"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20" w:lineRule="atLeast"/>
              <w:jc w:val="left"/>
              <w:rPr>
                <w:rFonts w:ascii="Verdana" w:hAnsi="Verdana" w:cs="宋体"/>
                <w:color w:val="000000"/>
                <w:kern w:val="0"/>
                <w:sz w:val="21"/>
                <w:szCs w:val="21"/>
              </w:rPr>
            </w:pPr>
            <w:r>
              <w:rPr>
                <w:rFonts w:ascii="Verdana" w:hAnsi="Verdana" w:cs="宋体"/>
                <w:color w:val="000000"/>
                <w:kern w:val="0"/>
                <w:sz w:val="21"/>
                <w:szCs w:val="21"/>
              </w:rPr>
              <w:t>验收小组意见</w:t>
            </w:r>
          </w:p>
        </w:tc>
        <w:tc>
          <w:tcPr>
            <w:tcW w:w="6816" w:type="dxa"/>
            <w:gridSpan w:val="7"/>
            <w:tcBorders>
              <w:top w:val="nil"/>
              <w:left w:val="nil"/>
              <w:bottom w:val="single" w:color="auto" w:sz="8" w:space="0"/>
              <w:right w:val="single" w:color="auto" w:sz="8" w:space="0"/>
            </w:tcBorders>
            <w:noWrap w:val="0"/>
            <w:vAlign w:val="center"/>
          </w:tcPr>
          <w:p>
            <w:pPr>
              <w:widowControl/>
              <w:spacing w:before="100" w:beforeAutospacing="1" w:after="100" w:afterAutospacing="1" w:line="320" w:lineRule="atLeast"/>
              <w:ind w:firstLine="210" w:firstLineChars="100"/>
              <w:jc w:val="left"/>
              <w:rPr>
                <w:rFonts w:ascii="Verdana" w:hAnsi="Verdana" w:cs="宋体"/>
                <w:color w:val="000000"/>
                <w:kern w:val="0"/>
                <w:sz w:val="21"/>
                <w:szCs w:val="21"/>
              </w:rPr>
            </w:pPr>
            <w:r>
              <w:rPr>
                <w:rFonts w:ascii="Verdana" w:hAnsi="Verdana" w:cs="宋体"/>
                <w:color w:val="000000"/>
                <w:kern w:val="0"/>
                <w:sz w:val="21"/>
                <w:szCs w:val="21"/>
              </w:rPr>
              <w:t>验收结论性意见：</w:t>
            </w:r>
          </w:p>
        </w:tc>
      </w:tr>
      <w:tr>
        <w:tblPrEx>
          <w:tblLayout w:type="fixed"/>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noWrap w:val="0"/>
            <w:vAlign w:val="center"/>
          </w:tcPr>
          <w:p>
            <w:pPr>
              <w:widowControl/>
              <w:jc w:val="left"/>
              <w:rPr>
                <w:rFonts w:ascii="Verdana" w:hAnsi="Verdana" w:cs="宋体"/>
                <w:color w:val="000000"/>
                <w:kern w:val="0"/>
                <w:sz w:val="21"/>
                <w:szCs w:val="21"/>
              </w:rPr>
            </w:pPr>
          </w:p>
        </w:tc>
        <w:tc>
          <w:tcPr>
            <w:tcW w:w="6816" w:type="dxa"/>
            <w:gridSpan w:val="7"/>
            <w:tcBorders>
              <w:top w:val="nil"/>
              <w:left w:val="nil"/>
              <w:bottom w:val="single" w:color="auto" w:sz="8" w:space="0"/>
              <w:right w:val="single" w:color="auto" w:sz="8" w:space="0"/>
            </w:tcBorders>
            <w:noWrap w:val="0"/>
            <w:vAlign w:val="center"/>
          </w:tcPr>
          <w:p>
            <w:pPr>
              <w:widowControl/>
              <w:spacing w:before="100" w:beforeAutospacing="1" w:after="100" w:afterAutospacing="1" w:line="320" w:lineRule="atLeast"/>
              <w:ind w:firstLine="210" w:firstLineChars="100"/>
              <w:jc w:val="left"/>
              <w:rPr>
                <w:rFonts w:ascii="Verdana" w:hAnsi="Verdana" w:cs="宋体"/>
                <w:color w:val="000000"/>
                <w:kern w:val="0"/>
                <w:sz w:val="21"/>
                <w:szCs w:val="21"/>
              </w:rPr>
            </w:pPr>
            <w:r>
              <w:rPr>
                <w:rFonts w:ascii="Verdana" w:hAnsi="Verdana" w:cs="宋体"/>
                <w:color w:val="000000"/>
                <w:kern w:val="0"/>
                <w:sz w:val="21"/>
                <w:szCs w:val="21"/>
              </w:rPr>
              <w:t>有异议的意见和说明理由：</w:t>
            </w:r>
          </w:p>
          <w:p>
            <w:pPr>
              <w:widowControl/>
              <w:spacing w:before="100" w:beforeAutospacing="1" w:after="100" w:afterAutospacing="1" w:line="320" w:lineRule="atLeast"/>
              <w:ind w:firstLine="210" w:firstLineChars="100"/>
              <w:jc w:val="left"/>
              <w:rPr>
                <w:rFonts w:ascii="Verdana" w:hAnsi="Verdana" w:cs="宋体"/>
                <w:color w:val="000000"/>
                <w:kern w:val="0"/>
                <w:sz w:val="21"/>
                <w:szCs w:val="21"/>
              </w:rPr>
            </w:pPr>
            <w:r>
              <w:rPr>
                <w:rFonts w:ascii="Verdana" w:hAnsi="Verdana" w:cs="宋体"/>
                <w:color w:val="000000"/>
                <w:kern w:val="0"/>
                <w:sz w:val="21"/>
                <w:szCs w:val="21"/>
              </w:rPr>
              <w:t>签字：</w:t>
            </w:r>
          </w:p>
        </w:tc>
      </w:tr>
      <w:tr>
        <w:tblPrEx>
          <w:tblLayout w:type="fixed"/>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20" w:lineRule="atLeast"/>
              <w:jc w:val="left"/>
              <w:rPr>
                <w:rFonts w:ascii="Verdana" w:hAnsi="Verdana" w:cs="宋体"/>
                <w:color w:val="000000"/>
                <w:kern w:val="0"/>
                <w:sz w:val="21"/>
                <w:szCs w:val="21"/>
              </w:rPr>
            </w:pPr>
            <w:r>
              <w:rPr>
                <w:rFonts w:ascii="Verdana" w:hAnsi="Verdana" w:cs="宋体"/>
                <w:color w:val="000000"/>
                <w:kern w:val="0"/>
                <w:sz w:val="21"/>
                <w:szCs w:val="21"/>
              </w:rPr>
              <w:t>验收小组成员签字：</w:t>
            </w:r>
          </w:p>
        </w:tc>
      </w:tr>
      <w:tr>
        <w:tblPrEx>
          <w:tblLayout w:type="fixed"/>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20" w:lineRule="atLeast"/>
              <w:jc w:val="left"/>
              <w:rPr>
                <w:rFonts w:ascii="Verdana" w:hAnsi="Verdana" w:cs="宋体"/>
                <w:color w:val="000000"/>
                <w:kern w:val="0"/>
                <w:sz w:val="21"/>
                <w:szCs w:val="21"/>
              </w:rPr>
            </w:pPr>
            <w:r>
              <w:rPr>
                <w:rFonts w:ascii="Verdana" w:hAnsi="Verdana" w:cs="宋体"/>
                <w:color w:val="000000"/>
                <w:kern w:val="0"/>
                <w:sz w:val="21"/>
                <w:szCs w:val="21"/>
              </w:rPr>
              <w:t>监督人员或其他相关人员签字：</w:t>
            </w:r>
          </w:p>
          <w:p>
            <w:pPr>
              <w:widowControl/>
              <w:spacing w:before="100" w:beforeAutospacing="1" w:after="100" w:afterAutospacing="1" w:line="320" w:lineRule="atLeast"/>
              <w:ind w:firstLine="74"/>
              <w:jc w:val="left"/>
              <w:rPr>
                <w:rFonts w:ascii="Verdana" w:hAnsi="Verdana" w:cs="宋体"/>
                <w:color w:val="000000"/>
                <w:kern w:val="0"/>
                <w:sz w:val="21"/>
                <w:szCs w:val="21"/>
              </w:rPr>
            </w:pPr>
            <w:r>
              <w:rPr>
                <w:rFonts w:ascii="Verdana" w:hAnsi="Verdana" w:cs="宋体"/>
                <w:color w:val="000000"/>
                <w:kern w:val="0"/>
                <w:sz w:val="21"/>
                <w:szCs w:val="21"/>
              </w:rPr>
              <w:t>或受邀机构的意见（盖章）：</w:t>
            </w:r>
          </w:p>
        </w:tc>
      </w:tr>
      <w:tr>
        <w:tblPrEx>
          <w:tblLayout w:type="fixed"/>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nil"/>
            </w:tcBorders>
            <w:noWrap w:val="0"/>
            <w:tcMar>
              <w:top w:w="0" w:type="dxa"/>
              <w:left w:w="108" w:type="dxa"/>
              <w:bottom w:w="0" w:type="dxa"/>
              <w:right w:w="108" w:type="dxa"/>
            </w:tcMar>
            <w:vAlign w:val="center"/>
          </w:tcPr>
          <w:p>
            <w:pPr>
              <w:widowControl/>
              <w:spacing w:before="100" w:beforeAutospacing="1" w:after="100" w:afterAutospacing="1" w:line="320" w:lineRule="atLeast"/>
              <w:jc w:val="left"/>
              <w:rPr>
                <w:rFonts w:ascii="Verdana" w:hAnsi="Verdana" w:cs="宋体"/>
                <w:color w:val="000000"/>
                <w:kern w:val="0"/>
                <w:sz w:val="21"/>
                <w:szCs w:val="21"/>
              </w:rPr>
            </w:pPr>
            <w:r>
              <w:rPr>
                <w:rFonts w:ascii="Verdana" w:hAnsi="Verdana" w:cs="宋体"/>
                <w:color w:val="000000"/>
                <w:kern w:val="0"/>
                <w:sz w:val="21"/>
                <w:szCs w:val="21"/>
              </w:rPr>
              <w:t>成交供应商负责人签字或盖章：</w:t>
            </w:r>
          </w:p>
          <w:p>
            <w:pPr>
              <w:widowControl/>
              <w:spacing w:before="100" w:beforeAutospacing="1" w:after="100" w:afterAutospacing="1" w:line="320" w:lineRule="atLeast"/>
              <w:jc w:val="left"/>
              <w:rPr>
                <w:rFonts w:ascii="Verdana" w:hAnsi="Verdana" w:cs="宋体"/>
                <w:color w:val="000000"/>
                <w:kern w:val="0"/>
                <w:sz w:val="21"/>
                <w:szCs w:val="21"/>
              </w:rPr>
            </w:pPr>
          </w:p>
          <w:p>
            <w:pPr>
              <w:widowControl/>
              <w:spacing w:before="100" w:beforeAutospacing="1" w:after="100" w:afterAutospacing="1" w:line="320" w:lineRule="atLeast"/>
              <w:jc w:val="left"/>
              <w:rPr>
                <w:rFonts w:ascii="Verdana" w:hAnsi="Verdana" w:cs="宋体"/>
                <w:color w:val="000000"/>
                <w:kern w:val="0"/>
                <w:sz w:val="21"/>
                <w:szCs w:val="21"/>
              </w:rPr>
            </w:pPr>
            <w:r>
              <w:rPr>
                <w:rFonts w:ascii="Verdana" w:hAnsi="Verdana" w:cs="宋体"/>
                <w:color w:val="000000"/>
                <w:kern w:val="0"/>
                <w:sz w:val="21"/>
                <w:szCs w:val="21"/>
              </w:rPr>
              <w:t>联系电话：</w:t>
            </w:r>
            <w:r>
              <w:rPr>
                <w:rFonts w:hint="eastAsia" w:ascii="Verdana" w:hAnsi="Verdana" w:cs="宋体"/>
                <w:color w:val="000000"/>
                <w:kern w:val="0"/>
                <w:sz w:val="21"/>
                <w:szCs w:val="21"/>
              </w:rPr>
              <w:t xml:space="preserve">               </w:t>
            </w:r>
            <w:r>
              <w:rPr>
                <w:rFonts w:ascii="Verdana" w:hAnsi="Verdana" w:cs="宋体"/>
                <w:color w:val="000000"/>
                <w:kern w:val="0"/>
                <w:sz w:val="21"/>
                <w:szCs w:val="21"/>
              </w:rPr>
              <w:t xml:space="preserve"> 年</w:t>
            </w:r>
            <w:r>
              <w:rPr>
                <w:rFonts w:hint="eastAsia" w:ascii="Verdana" w:hAnsi="Verdana" w:cs="宋体"/>
                <w:color w:val="000000"/>
                <w:kern w:val="0"/>
                <w:sz w:val="21"/>
                <w:szCs w:val="21"/>
              </w:rPr>
              <w:t xml:space="preserve"> </w:t>
            </w:r>
            <w:r>
              <w:rPr>
                <w:rFonts w:ascii="Verdana" w:hAnsi="Verdana" w:cs="宋体"/>
                <w:color w:val="000000"/>
                <w:kern w:val="0"/>
                <w:sz w:val="21"/>
                <w:szCs w:val="21"/>
              </w:rPr>
              <w:t xml:space="preserve"> 月 </w:t>
            </w:r>
            <w:r>
              <w:rPr>
                <w:rFonts w:hint="eastAsia" w:ascii="Verdana" w:hAnsi="Verdana" w:cs="宋体"/>
                <w:color w:val="000000"/>
                <w:kern w:val="0"/>
                <w:sz w:val="21"/>
                <w:szCs w:val="21"/>
              </w:rPr>
              <w:t xml:space="preserve"> </w:t>
            </w:r>
            <w:r>
              <w:rPr>
                <w:rFonts w:ascii="Verdana" w:hAnsi="Verdana" w:cs="宋体"/>
                <w:color w:val="000000"/>
                <w:kern w:val="0"/>
                <w:sz w:val="21"/>
                <w:szCs w:val="21"/>
              </w:rPr>
              <w:t>日</w:t>
            </w:r>
          </w:p>
        </w:tc>
        <w:tc>
          <w:tcPr>
            <w:tcW w:w="4293" w:type="dxa"/>
            <w:gridSpan w:val="4"/>
            <w:tcBorders>
              <w:top w:val="nil"/>
              <w:left w:val="nil"/>
              <w:bottom w:val="single" w:color="auto" w:sz="8" w:space="0"/>
              <w:right w:val="single" w:color="auto" w:sz="8" w:space="0"/>
            </w:tcBorders>
            <w:noWrap w:val="0"/>
            <w:vAlign w:val="center"/>
          </w:tcPr>
          <w:p>
            <w:pPr>
              <w:widowControl/>
              <w:spacing w:before="100" w:beforeAutospacing="1" w:after="100" w:afterAutospacing="1" w:line="320" w:lineRule="atLeast"/>
              <w:ind w:firstLine="210" w:firstLineChars="100"/>
              <w:jc w:val="left"/>
              <w:rPr>
                <w:rFonts w:ascii="Verdana" w:hAnsi="Verdana" w:cs="宋体"/>
                <w:color w:val="000000"/>
                <w:kern w:val="0"/>
                <w:sz w:val="21"/>
                <w:szCs w:val="21"/>
              </w:rPr>
            </w:pPr>
            <w:r>
              <w:rPr>
                <w:rFonts w:ascii="Verdana" w:hAnsi="Verdana" w:cs="宋体"/>
                <w:color w:val="000000"/>
                <w:kern w:val="0"/>
                <w:sz w:val="21"/>
                <w:szCs w:val="21"/>
              </w:rPr>
              <w:t>采购人或受托机构的意见（盖章）：</w:t>
            </w:r>
          </w:p>
          <w:p>
            <w:pPr>
              <w:widowControl/>
              <w:spacing w:before="100" w:beforeAutospacing="1" w:after="100" w:afterAutospacing="1" w:line="320" w:lineRule="atLeast"/>
              <w:ind w:firstLine="210" w:firstLineChars="100"/>
              <w:jc w:val="left"/>
              <w:rPr>
                <w:rFonts w:ascii="Verdana" w:hAnsi="Verdana" w:cs="宋体"/>
                <w:color w:val="000000"/>
                <w:kern w:val="0"/>
                <w:sz w:val="21"/>
                <w:szCs w:val="21"/>
              </w:rPr>
            </w:pPr>
          </w:p>
          <w:p>
            <w:pPr>
              <w:widowControl/>
              <w:spacing w:before="100" w:beforeAutospacing="1" w:after="100" w:afterAutospacing="1" w:line="320" w:lineRule="atLeast"/>
              <w:ind w:firstLine="210" w:firstLineChars="100"/>
              <w:jc w:val="left"/>
              <w:rPr>
                <w:rFonts w:ascii="Verdana" w:hAnsi="Verdana" w:cs="宋体"/>
                <w:color w:val="000000"/>
                <w:kern w:val="0"/>
                <w:sz w:val="21"/>
                <w:szCs w:val="21"/>
              </w:rPr>
            </w:pPr>
            <w:r>
              <w:rPr>
                <w:rFonts w:ascii="Verdana" w:hAnsi="Verdana" w:cs="宋体"/>
                <w:color w:val="000000"/>
                <w:kern w:val="0"/>
                <w:sz w:val="21"/>
                <w:szCs w:val="21"/>
              </w:rPr>
              <w:t>联系电话：</w:t>
            </w:r>
            <w:r>
              <w:rPr>
                <w:rFonts w:hint="eastAsia" w:ascii="Verdana" w:hAnsi="Verdana" w:cs="宋体"/>
                <w:color w:val="000000"/>
                <w:kern w:val="0"/>
                <w:sz w:val="21"/>
                <w:szCs w:val="21"/>
              </w:rPr>
              <w:t xml:space="preserve">                  </w:t>
            </w:r>
            <w:r>
              <w:rPr>
                <w:rFonts w:ascii="Verdana" w:hAnsi="Verdana" w:cs="宋体"/>
                <w:color w:val="000000"/>
                <w:kern w:val="0"/>
                <w:sz w:val="21"/>
                <w:szCs w:val="21"/>
              </w:rPr>
              <w:t>年</w:t>
            </w:r>
            <w:r>
              <w:rPr>
                <w:rFonts w:hint="eastAsia" w:ascii="Verdana" w:hAnsi="Verdana" w:cs="宋体"/>
                <w:color w:val="000000"/>
                <w:kern w:val="0"/>
                <w:sz w:val="21"/>
                <w:szCs w:val="21"/>
              </w:rPr>
              <w:t xml:space="preserve"> </w:t>
            </w:r>
            <w:r>
              <w:rPr>
                <w:rFonts w:ascii="Verdana" w:hAnsi="Verdana" w:cs="宋体"/>
                <w:color w:val="000000"/>
                <w:kern w:val="0"/>
                <w:sz w:val="21"/>
                <w:szCs w:val="21"/>
              </w:rPr>
              <w:t xml:space="preserve"> 月</w:t>
            </w:r>
            <w:r>
              <w:rPr>
                <w:rFonts w:hint="eastAsia" w:ascii="Verdana" w:hAnsi="Verdana" w:cs="宋体"/>
                <w:color w:val="000000"/>
                <w:kern w:val="0"/>
                <w:sz w:val="21"/>
                <w:szCs w:val="21"/>
              </w:rPr>
              <w:t xml:space="preserve"> </w:t>
            </w:r>
            <w:r>
              <w:rPr>
                <w:rFonts w:ascii="Verdana" w:hAnsi="Verdana" w:cs="宋体"/>
                <w:color w:val="000000"/>
                <w:kern w:val="0"/>
                <w:sz w:val="21"/>
                <w:szCs w:val="21"/>
              </w:rPr>
              <w:t xml:space="preserve"> 日</w:t>
            </w:r>
          </w:p>
        </w:tc>
      </w:tr>
    </w:tbl>
    <w:p>
      <w:pPr>
        <w:pStyle w:val="19"/>
        <w:spacing w:line="360" w:lineRule="auto"/>
        <w:rPr>
          <w:rFonts w:hAnsi="宋体"/>
          <w:sz w:val="20"/>
          <w:szCs w:val="20"/>
        </w:rPr>
      </w:pPr>
      <w:bookmarkStart w:id="55" w:name="_Toc213206175"/>
      <w:bookmarkStart w:id="56" w:name="_Toc213325924"/>
    </w:p>
    <w:p>
      <w:pPr>
        <w:pStyle w:val="19"/>
        <w:spacing w:line="360" w:lineRule="auto"/>
        <w:rPr>
          <w:rFonts w:hAnsi="宋体"/>
          <w:sz w:val="20"/>
          <w:szCs w:val="20"/>
        </w:rPr>
      </w:pPr>
    </w:p>
    <w:p>
      <w:pPr>
        <w:pStyle w:val="19"/>
        <w:spacing w:line="360" w:lineRule="auto"/>
        <w:rPr>
          <w:rFonts w:hAnsi="宋体"/>
          <w:sz w:val="20"/>
          <w:szCs w:val="20"/>
        </w:rPr>
      </w:pPr>
    </w:p>
    <w:p>
      <w:pPr>
        <w:pStyle w:val="19"/>
        <w:spacing w:line="360" w:lineRule="auto"/>
        <w:rPr>
          <w:rFonts w:hAnsi="宋体"/>
          <w:sz w:val="20"/>
          <w:szCs w:val="20"/>
        </w:rPr>
      </w:pPr>
    </w:p>
    <w:p>
      <w:pPr>
        <w:pStyle w:val="2"/>
        <w:spacing w:before="4"/>
        <w:rPr>
          <w:sz w:val="21"/>
          <w:szCs w:val="21"/>
        </w:rPr>
      </w:pPr>
    </w:p>
    <w:p>
      <w:pPr>
        <w:pStyle w:val="2"/>
        <w:spacing w:before="63"/>
        <w:ind w:left="227"/>
        <w:rPr>
          <w:rFonts w:ascii="Times New Roman" w:hAnsi="Times New Roman" w:eastAsia="宋体" w:cs="Times New Roman"/>
          <w:b w:val="0"/>
          <w:spacing w:val="0"/>
          <w:kern w:val="2"/>
          <w:sz w:val="21"/>
          <w:szCs w:val="21"/>
          <w:lang w:val="en-US" w:eastAsia="zh-CN" w:bidi="ar-SA"/>
        </w:rPr>
      </w:pPr>
      <w:r>
        <w:rPr>
          <w:rFonts w:ascii="Times New Roman" w:hAnsi="Times New Roman" w:eastAsia="宋体" w:cs="Times New Roman"/>
          <w:b w:val="0"/>
          <w:spacing w:val="0"/>
          <w:kern w:val="2"/>
          <w:sz w:val="21"/>
          <w:szCs w:val="21"/>
          <w:lang w:val="en-US" w:eastAsia="zh-CN" w:bidi="ar-SA"/>
        </w:rPr>
        <w:t xml:space="preserve">附件 </w:t>
      </w:r>
      <w:r>
        <w:rPr>
          <w:rFonts w:hint="eastAsia" w:ascii="Times New Roman" w:hAnsi="Times New Roman" w:eastAsia="宋体" w:cs="Times New Roman"/>
          <w:b w:val="0"/>
          <w:spacing w:val="0"/>
          <w:kern w:val="2"/>
          <w:sz w:val="21"/>
          <w:szCs w:val="21"/>
          <w:lang w:val="en-US" w:eastAsia="zh-CN" w:bidi="ar-SA"/>
        </w:rPr>
        <w:t>三</w:t>
      </w:r>
      <w:r>
        <w:rPr>
          <w:rFonts w:ascii="Times New Roman" w:hAnsi="Times New Roman" w:eastAsia="宋体" w:cs="Times New Roman"/>
          <w:b w:val="0"/>
          <w:spacing w:val="0"/>
          <w:kern w:val="2"/>
          <w:sz w:val="21"/>
          <w:szCs w:val="21"/>
          <w:lang w:val="en-US" w:eastAsia="zh-CN" w:bidi="ar-SA"/>
        </w:rPr>
        <w:t>：</w:t>
      </w:r>
    </w:p>
    <w:p>
      <w:pPr>
        <w:spacing w:before="0"/>
        <w:ind w:left="228" w:right="0" w:firstLine="3150" w:firstLineChars="1500"/>
        <w:jc w:val="left"/>
        <w:rPr>
          <w:sz w:val="21"/>
          <w:szCs w:val="21"/>
        </w:rPr>
      </w:pPr>
      <w:r>
        <w:rPr>
          <w:sz w:val="21"/>
          <w:szCs w:val="21"/>
        </w:rPr>
        <w:t>政府采购项目履约保证金退付意见书（参考）</w:t>
      </w:r>
    </w:p>
    <w:p>
      <w:pPr>
        <w:pStyle w:val="19"/>
        <w:spacing w:line="360" w:lineRule="auto"/>
        <w:rPr>
          <w:rFonts w:hAnsi="宋体"/>
          <w:sz w:val="20"/>
          <w:szCs w:val="20"/>
        </w:rPr>
      </w:pPr>
    </w:p>
    <w:tbl>
      <w:tblPr>
        <w:tblStyle w:val="34"/>
        <w:tblW w:w="9464" w:type="dxa"/>
        <w:tblInd w:w="2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8"/>
        <w:gridCol w:w="84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5" w:hRule="atLeast"/>
        </w:trPr>
        <w:tc>
          <w:tcPr>
            <w:tcW w:w="1008" w:type="dxa"/>
            <w:vMerge w:val="restart"/>
          </w:tcPr>
          <w:p>
            <w:pPr>
              <w:pStyle w:val="209"/>
              <w:rPr>
                <w:sz w:val="21"/>
                <w:szCs w:val="21"/>
              </w:rPr>
            </w:pPr>
          </w:p>
          <w:p>
            <w:pPr>
              <w:pStyle w:val="209"/>
              <w:rPr>
                <w:sz w:val="21"/>
                <w:szCs w:val="21"/>
              </w:rPr>
            </w:pPr>
          </w:p>
          <w:p>
            <w:pPr>
              <w:pStyle w:val="209"/>
              <w:rPr>
                <w:sz w:val="21"/>
                <w:szCs w:val="21"/>
              </w:rPr>
            </w:pPr>
          </w:p>
          <w:p>
            <w:pPr>
              <w:pStyle w:val="209"/>
              <w:rPr>
                <w:sz w:val="21"/>
                <w:szCs w:val="21"/>
              </w:rPr>
            </w:pPr>
          </w:p>
          <w:p>
            <w:pPr>
              <w:pStyle w:val="209"/>
              <w:rPr>
                <w:sz w:val="21"/>
                <w:szCs w:val="21"/>
              </w:rPr>
            </w:pPr>
          </w:p>
          <w:p>
            <w:pPr>
              <w:pStyle w:val="209"/>
              <w:rPr>
                <w:sz w:val="21"/>
                <w:szCs w:val="21"/>
              </w:rPr>
            </w:pPr>
          </w:p>
          <w:p>
            <w:pPr>
              <w:pStyle w:val="209"/>
              <w:rPr>
                <w:sz w:val="21"/>
                <w:szCs w:val="21"/>
              </w:rPr>
            </w:pPr>
          </w:p>
          <w:p>
            <w:pPr>
              <w:pStyle w:val="209"/>
              <w:spacing w:before="4"/>
              <w:rPr>
                <w:sz w:val="21"/>
                <w:szCs w:val="21"/>
              </w:rPr>
            </w:pPr>
          </w:p>
          <w:p>
            <w:pPr>
              <w:pStyle w:val="209"/>
              <w:spacing w:line="242" w:lineRule="auto"/>
              <w:ind w:left="384" w:right="371"/>
              <w:jc w:val="both"/>
              <w:rPr>
                <w:sz w:val="21"/>
                <w:szCs w:val="21"/>
              </w:rPr>
            </w:pPr>
            <w:r>
              <w:rPr>
                <w:sz w:val="21"/>
                <w:szCs w:val="21"/>
              </w:rPr>
              <w:t>供应商申请</w:t>
            </w:r>
          </w:p>
        </w:tc>
        <w:tc>
          <w:tcPr>
            <w:tcW w:w="8456" w:type="dxa"/>
          </w:tcPr>
          <w:p>
            <w:pPr>
              <w:pStyle w:val="209"/>
              <w:spacing w:before="153"/>
              <w:ind w:left="108"/>
              <w:rPr>
                <w:sz w:val="21"/>
                <w:szCs w:val="21"/>
              </w:rPr>
            </w:pPr>
            <w:r>
              <w:rPr>
                <w:sz w:val="21"/>
                <w:szCs w:val="21"/>
              </w:rPr>
              <w:t>项目编号：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7" w:hRule="atLeast"/>
        </w:trPr>
        <w:tc>
          <w:tcPr>
            <w:tcW w:w="1008" w:type="dxa"/>
            <w:vMerge w:val="continue"/>
            <w:tcBorders>
              <w:top w:val="nil"/>
            </w:tcBorders>
          </w:tcPr>
          <w:p>
            <w:pPr>
              <w:rPr>
                <w:sz w:val="21"/>
                <w:szCs w:val="21"/>
              </w:rPr>
            </w:pPr>
          </w:p>
        </w:tc>
        <w:tc>
          <w:tcPr>
            <w:tcW w:w="8456" w:type="dxa"/>
          </w:tcPr>
          <w:p>
            <w:pPr>
              <w:pStyle w:val="209"/>
              <w:spacing w:before="150"/>
              <w:ind w:left="108"/>
              <w:rPr>
                <w:sz w:val="21"/>
                <w:szCs w:val="21"/>
              </w:rPr>
            </w:pPr>
            <w:r>
              <w:rPr>
                <w:sz w:val="21"/>
                <w:szCs w:val="21"/>
              </w:rPr>
              <w:t>项目名称：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16" w:hRule="atLeast"/>
        </w:trPr>
        <w:tc>
          <w:tcPr>
            <w:tcW w:w="1008" w:type="dxa"/>
            <w:vMerge w:val="continue"/>
            <w:tcBorders>
              <w:top w:val="nil"/>
            </w:tcBorders>
          </w:tcPr>
          <w:p>
            <w:pPr>
              <w:rPr>
                <w:sz w:val="21"/>
                <w:szCs w:val="21"/>
              </w:rPr>
            </w:pPr>
          </w:p>
        </w:tc>
        <w:tc>
          <w:tcPr>
            <w:tcW w:w="8456" w:type="dxa"/>
          </w:tcPr>
          <w:p>
            <w:pPr>
              <w:pStyle w:val="209"/>
              <w:spacing w:before="9"/>
              <w:rPr>
                <w:sz w:val="21"/>
                <w:szCs w:val="21"/>
              </w:rPr>
            </w:pPr>
          </w:p>
          <w:p>
            <w:pPr>
              <w:pStyle w:val="209"/>
              <w:tabs>
                <w:tab w:val="left" w:pos="2628"/>
                <w:tab w:val="left" w:pos="3864"/>
                <w:tab w:val="left" w:pos="4836"/>
                <w:tab w:val="left" w:pos="5931"/>
              </w:tabs>
              <w:spacing w:line="312" w:lineRule="auto"/>
              <w:ind w:left="108" w:right="96" w:firstLine="480"/>
              <w:jc w:val="both"/>
              <w:rPr>
                <w:sz w:val="21"/>
                <w:szCs w:val="21"/>
              </w:rPr>
            </w:pPr>
            <w:r>
              <w:rPr>
                <w:sz w:val="21"/>
                <w:szCs w:val="21"/>
              </w:rPr>
              <w:t>该项目已于</w:t>
            </w:r>
            <w:r>
              <w:rPr>
                <w:sz w:val="21"/>
                <w:szCs w:val="21"/>
                <w:u w:val="single"/>
              </w:rPr>
              <w:t xml:space="preserve"> </w:t>
            </w:r>
            <w:r>
              <w:rPr>
                <w:sz w:val="21"/>
                <w:szCs w:val="21"/>
                <w:u w:val="single"/>
              </w:rPr>
              <w:tab/>
            </w:r>
            <w:r>
              <w:rPr>
                <w:sz w:val="21"/>
                <w:szCs w:val="21"/>
              </w:rPr>
              <w:t>年</w:t>
            </w:r>
            <w:r>
              <w:rPr>
                <w:sz w:val="21"/>
                <w:szCs w:val="21"/>
                <w:u w:val="single"/>
              </w:rPr>
              <w:t xml:space="preserve">    </w:t>
            </w:r>
            <w:r>
              <w:rPr>
                <w:sz w:val="21"/>
                <w:szCs w:val="21"/>
              </w:rPr>
              <w:t>月</w:t>
            </w:r>
            <w:r>
              <w:rPr>
                <w:sz w:val="21"/>
                <w:szCs w:val="21"/>
                <w:u w:val="single"/>
              </w:rPr>
              <w:t xml:space="preserve">     </w:t>
            </w:r>
            <w:r>
              <w:rPr>
                <w:sz w:val="21"/>
                <w:szCs w:val="21"/>
              </w:rPr>
              <w:t>日验收并交付使用</w:t>
            </w:r>
            <w:r>
              <w:rPr>
                <w:spacing w:val="-22"/>
                <w:sz w:val="21"/>
                <w:szCs w:val="21"/>
              </w:rPr>
              <w:t>。</w:t>
            </w:r>
            <w:r>
              <w:rPr>
                <w:sz w:val="21"/>
                <w:szCs w:val="21"/>
              </w:rPr>
              <w:t>根据合同规定</w:t>
            </w:r>
            <w:r>
              <w:rPr>
                <w:spacing w:val="-20"/>
                <w:sz w:val="21"/>
                <w:szCs w:val="21"/>
              </w:rPr>
              <w:t>，</w:t>
            </w:r>
            <w:r>
              <w:rPr>
                <w:spacing w:val="-16"/>
                <w:sz w:val="21"/>
                <w:szCs w:val="21"/>
              </w:rPr>
              <w:t>该</w:t>
            </w:r>
            <w:r>
              <w:rPr>
                <w:sz w:val="21"/>
                <w:szCs w:val="21"/>
              </w:rPr>
              <w:t>项目的履约保证金期限于</w:t>
            </w:r>
            <w:r>
              <w:rPr>
                <w:sz w:val="21"/>
                <w:szCs w:val="21"/>
                <w:u w:val="single"/>
              </w:rPr>
              <w:t xml:space="preserve"> </w:t>
            </w:r>
            <w:r>
              <w:rPr>
                <w:sz w:val="21"/>
                <w:szCs w:val="21"/>
                <w:u w:val="single"/>
              </w:rPr>
              <w:tab/>
            </w:r>
            <w:r>
              <w:rPr>
                <w:sz w:val="21"/>
                <w:szCs w:val="21"/>
              </w:rPr>
              <w:t>年</w:t>
            </w:r>
            <w:r>
              <w:rPr>
                <w:sz w:val="21"/>
                <w:szCs w:val="21"/>
                <w:u w:val="single"/>
              </w:rPr>
              <w:t xml:space="preserve"> </w:t>
            </w:r>
            <w:r>
              <w:rPr>
                <w:sz w:val="21"/>
                <w:szCs w:val="21"/>
                <w:u w:val="single"/>
              </w:rPr>
              <w:tab/>
            </w:r>
            <w:r>
              <w:rPr>
                <w:sz w:val="21"/>
                <w:szCs w:val="21"/>
              </w:rPr>
              <w:t>月</w:t>
            </w:r>
            <w:r>
              <w:rPr>
                <w:sz w:val="21"/>
                <w:szCs w:val="21"/>
                <w:u w:val="single"/>
              </w:rPr>
              <w:t xml:space="preserve"> </w:t>
            </w:r>
            <w:r>
              <w:rPr>
                <w:sz w:val="21"/>
                <w:szCs w:val="21"/>
                <w:u w:val="single"/>
              </w:rPr>
              <w:tab/>
            </w:r>
            <w:r>
              <w:rPr>
                <w:sz w:val="21"/>
                <w:szCs w:val="21"/>
              </w:rPr>
              <w:t>日已满，请将履约保</w:t>
            </w:r>
            <w:r>
              <w:rPr>
                <w:spacing w:val="-15"/>
                <w:sz w:val="21"/>
                <w:szCs w:val="21"/>
              </w:rPr>
              <w:t>证</w:t>
            </w:r>
            <w:r>
              <w:rPr>
                <w:sz w:val="21"/>
                <w:szCs w:val="21"/>
              </w:rPr>
              <w:t>金</w:t>
            </w:r>
          </w:p>
          <w:p>
            <w:pPr>
              <w:pStyle w:val="209"/>
              <w:tabs>
                <w:tab w:val="left" w:pos="4908"/>
                <w:tab w:val="left" w:pos="7373"/>
              </w:tabs>
              <w:spacing w:before="1" w:line="312" w:lineRule="auto"/>
              <w:ind w:left="108" w:right="96"/>
              <w:rPr>
                <w:sz w:val="21"/>
                <w:szCs w:val="21"/>
              </w:rPr>
            </w:pPr>
            <w:r>
              <w:rPr>
                <w:rFonts w:ascii="Times New Roman" w:eastAsia="Times New Roman"/>
                <w:sz w:val="21"/>
                <w:szCs w:val="21"/>
                <w:u w:val="single"/>
              </w:rPr>
              <w:t xml:space="preserve"> </w:t>
            </w:r>
            <w:r>
              <w:rPr>
                <w:rFonts w:ascii="Times New Roman" w:eastAsia="Times New Roman"/>
                <w:sz w:val="21"/>
                <w:szCs w:val="21"/>
                <w:u w:val="single"/>
              </w:rPr>
              <w:tab/>
            </w:r>
            <w:r>
              <w:rPr>
                <w:spacing w:val="4"/>
                <w:sz w:val="21"/>
                <w:szCs w:val="21"/>
              </w:rPr>
              <w:t>（大写</w:t>
            </w:r>
            <w:r>
              <w:rPr>
                <w:spacing w:val="3"/>
                <w:sz w:val="21"/>
                <w:szCs w:val="21"/>
              </w:rPr>
              <w:t>）￥</w:t>
            </w:r>
            <w:r>
              <w:rPr>
                <w:spacing w:val="3"/>
                <w:sz w:val="21"/>
                <w:szCs w:val="21"/>
                <w:u w:val="single"/>
              </w:rPr>
              <w:t xml:space="preserve"> </w:t>
            </w:r>
            <w:r>
              <w:rPr>
                <w:spacing w:val="3"/>
                <w:sz w:val="21"/>
                <w:szCs w:val="21"/>
                <w:u w:val="single"/>
              </w:rPr>
              <w:tab/>
            </w:r>
            <w:r>
              <w:rPr>
                <w:spacing w:val="4"/>
                <w:sz w:val="21"/>
                <w:szCs w:val="21"/>
              </w:rPr>
              <w:t>（小写</w:t>
            </w:r>
            <w:r>
              <w:rPr>
                <w:spacing w:val="-15"/>
                <w:sz w:val="21"/>
                <w:szCs w:val="21"/>
              </w:rPr>
              <w:t xml:space="preserve">） </w:t>
            </w:r>
            <w:r>
              <w:rPr>
                <w:sz w:val="21"/>
                <w:szCs w:val="21"/>
              </w:rPr>
              <w:t>退付到达以下帐户。</w:t>
            </w:r>
          </w:p>
          <w:p>
            <w:pPr>
              <w:pStyle w:val="209"/>
              <w:spacing w:before="2" w:line="312" w:lineRule="auto"/>
              <w:ind w:left="811" w:right="6432"/>
              <w:jc w:val="both"/>
              <w:rPr>
                <w:sz w:val="21"/>
                <w:szCs w:val="21"/>
              </w:rPr>
            </w:pPr>
            <w:r>
              <w:rPr>
                <w:spacing w:val="-4"/>
                <w:sz w:val="21"/>
                <w:szCs w:val="21"/>
              </w:rPr>
              <w:t xml:space="preserve">单位名称： 开户银行： </w:t>
            </w:r>
            <w:r>
              <w:rPr>
                <w:sz w:val="21"/>
                <w:szCs w:val="21"/>
              </w:rPr>
              <w:t>帐 号 ：</w:t>
            </w:r>
          </w:p>
          <w:p>
            <w:pPr>
              <w:pStyle w:val="209"/>
              <w:spacing w:before="1"/>
              <w:ind w:left="108"/>
              <w:rPr>
                <w:sz w:val="21"/>
                <w:szCs w:val="21"/>
              </w:rPr>
            </w:pPr>
            <w:r>
              <w:rPr>
                <w:sz w:val="21"/>
                <w:szCs w:val="21"/>
              </w:rPr>
              <w:t>联系人及电话：</w:t>
            </w:r>
          </w:p>
          <w:p>
            <w:pPr>
              <w:pStyle w:val="209"/>
              <w:rPr>
                <w:sz w:val="21"/>
                <w:szCs w:val="21"/>
              </w:rPr>
            </w:pPr>
          </w:p>
          <w:p>
            <w:pPr>
              <w:pStyle w:val="209"/>
              <w:spacing w:before="11"/>
              <w:rPr>
                <w:sz w:val="21"/>
                <w:szCs w:val="21"/>
              </w:rPr>
            </w:pPr>
          </w:p>
          <w:p>
            <w:pPr>
              <w:pStyle w:val="209"/>
              <w:ind w:left="4027" w:right="2939"/>
              <w:jc w:val="center"/>
              <w:rPr>
                <w:sz w:val="21"/>
                <w:szCs w:val="21"/>
              </w:rPr>
            </w:pPr>
            <w:r>
              <w:rPr>
                <w:sz w:val="21"/>
                <w:szCs w:val="21"/>
              </w:rPr>
              <w:t>供应商签章：</w:t>
            </w:r>
          </w:p>
          <w:p>
            <w:pPr>
              <w:pStyle w:val="209"/>
              <w:tabs>
                <w:tab w:val="left" w:pos="5667"/>
                <w:tab w:val="left" w:pos="6507"/>
              </w:tabs>
              <w:spacing w:before="213"/>
              <w:ind w:left="4947"/>
              <w:rPr>
                <w:sz w:val="21"/>
                <w:szCs w:val="21"/>
              </w:rPr>
            </w:pPr>
            <w:r>
              <w:rPr>
                <w:sz w:val="21"/>
                <w:szCs w:val="21"/>
              </w:rPr>
              <w:t>年</w:t>
            </w:r>
            <w:r>
              <w:rPr>
                <w:sz w:val="21"/>
                <w:szCs w:val="21"/>
              </w:rPr>
              <w:tab/>
            </w:r>
            <w:r>
              <w:rPr>
                <w:sz w:val="21"/>
                <w:szCs w:val="21"/>
              </w:rPr>
              <w:t>月</w:t>
            </w:r>
            <w:r>
              <w:rPr>
                <w:sz w:val="21"/>
                <w:szCs w:val="21"/>
              </w:rPr>
              <w:tab/>
            </w:r>
            <w:r>
              <w:rPr>
                <w:sz w:val="21"/>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79" w:hRule="atLeast"/>
        </w:trPr>
        <w:tc>
          <w:tcPr>
            <w:tcW w:w="1008" w:type="dxa"/>
          </w:tcPr>
          <w:p>
            <w:pPr>
              <w:pStyle w:val="209"/>
              <w:rPr>
                <w:sz w:val="21"/>
                <w:szCs w:val="21"/>
              </w:rPr>
            </w:pPr>
          </w:p>
          <w:p>
            <w:pPr>
              <w:pStyle w:val="209"/>
              <w:rPr>
                <w:sz w:val="21"/>
                <w:szCs w:val="21"/>
              </w:rPr>
            </w:pPr>
          </w:p>
          <w:p>
            <w:pPr>
              <w:pStyle w:val="209"/>
              <w:rPr>
                <w:sz w:val="21"/>
                <w:szCs w:val="21"/>
              </w:rPr>
            </w:pPr>
          </w:p>
          <w:p>
            <w:pPr>
              <w:pStyle w:val="209"/>
              <w:spacing w:before="6"/>
              <w:rPr>
                <w:sz w:val="21"/>
                <w:szCs w:val="21"/>
              </w:rPr>
            </w:pPr>
          </w:p>
          <w:p>
            <w:pPr>
              <w:pStyle w:val="209"/>
              <w:spacing w:line="242" w:lineRule="auto"/>
              <w:ind w:left="384" w:right="371"/>
              <w:jc w:val="both"/>
              <w:rPr>
                <w:sz w:val="21"/>
                <w:szCs w:val="21"/>
              </w:rPr>
            </w:pPr>
            <w:r>
              <w:rPr>
                <w:sz w:val="21"/>
                <w:szCs w:val="21"/>
              </w:rPr>
              <w:t>采购人意见</w:t>
            </w:r>
          </w:p>
        </w:tc>
        <w:tc>
          <w:tcPr>
            <w:tcW w:w="8456" w:type="dxa"/>
          </w:tcPr>
          <w:p>
            <w:pPr>
              <w:pStyle w:val="209"/>
              <w:spacing w:before="9"/>
              <w:rPr>
                <w:sz w:val="21"/>
                <w:szCs w:val="21"/>
              </w:rPr>
            </w:pPr>
          </w:p>
          <w:p>
            <w:pPr>
              <w:pStyle w:val="209"/>
              <w:ind w:left="108"/>
              <w:rPr>
                <w:sz w:val="21"/>
                <w:szCs w:val="21"/>
              </w:rPr>
            </w:pPr>
            <w:r>
              <w:rPr>
                <w:sz w:val="21"/>
                <w:szCs w:val="21"/>
              </w:rPr>
              <w:t>退付意见：（是否同意退付履约保证金及退付金额）</w:t>
            </w:r>
          </w:p>
          <w:p>
            <w:pPr>
              <w:pStyle w:val="209"/>
              <w:rPr>
                <w:sz w:val="21"/>
                <w:szCs w:val="21"/>
              </w:rPr>
            </w:pPr>
          </w:p>
          <w:p>
            <w:pPr>
              <w:pStyle w:val="209"/>
              <w:rPr>
                <w:sz w:val="21"/>
                <w:szCs w:val="21"/>
              </w:rPr>
            </w:pPr>
          </w:p>
          <w:p>
            <w:pPr>
              <w:pStyle w:val="209"/>
              <w:rPr>
                <w:sz w:val="21"/>
                <w:szCs w:val="21"/>
              </w:rPr>
            </w:pPr>
          </w:p>
          <w:p>
            <w:pPr>
              <w:pStyle w:val="209"/>
              <w:rPr>
                <w:sz w:val="21"/>
                <w:szCs w:val="21"/>
              </w:rPr>
            </w:pPr>
          </w:p>
          <w:p>
            <w:pPr>
              <w:pStyle w:val="209"/>
              <w:rPr>
                <w:sz w:val="21"/>
                <w:szCs w:val="21"/>
              </w:rPr>
            </w:pPr>
          </w:p>
          <w:p>
            <w:pPr>
              <w:pStyle w:val="209"/>
              <w:rPr>
                <w:sz w:val="21"/>
                <w:szCs w:val="21"/>
              </w:rPr>
            </w:pPr>
          </w:p>
          <w:p>
            <w:pPr>
              <w:pStyle w:val="209"/>
              <w:spacing w:before="8"/>
              <w:rPr>
                <w:sz w:val="21"/>
                <w:szCs w:val="21"/>
              </w:rPr>
            </w:pPr>
          </w:p>
          <w:p>
            <w:pPr>
              <w:pStyle w:val="209"/>
              <w:tabs>
                <w:tab w:val="left" w:pos="4788"/>
              </w:tabs>
              <w:ind w:left="108"/>
              <w:rPr>
                <w:sz w:val="21"/>
                <w:szCs w:val="21"/>
              </w:rPr>
            </w:pPr>
            <w:r>
              <w:rPr>
                <w:sz w:val="21"/>
                <w:szCs w:val="21"/>
              </w:rPr>
              <w:t>联系人及电话：</w:t>
            </w:r>
            <w:r>
              <w:rPr>
                <w:sz w:val="21"/>
                <w:szCs w:val="21"/>
              </w:rPr>
              <w:tab/>
            </w:r>
            <w:r>
              <w:rPr>
                <w:sz w:val="21"/>
                <w:szCs w:val="21"/>
              </w:rPr>
              <w:t>采购人签章</w:t>
            </w:r>
          </w:p>
          <w:p>
            <w:pPr>
              <w:pStyle w:val="209"/>
              <w:tabs>
                <w:tab w:val="left" w:pos="719"/>
                <w:tab w:val="left" w:pos="1559"/>
              </w:tabs>
              <w:spacing w:before="213"/>
              <w:ind w:right="916"/>
              <w:jc w:val="right"/>
              <w:rPr>
                <w:sz w:val="21"/>
                <w:szCs w:val="21"/>
              </w:rPr>
            </w:pPr>
            <w:r>
              <w:rPr>
                <w:sz w:val="21"/>
                <w:szCs w:val="21"/>
              </w:rPr>
              <w:t>年</w:t>
            </w:r>
            <w:r>
              <w:rPr>
                <w:sz w:val="21"/>
                <w:szCs w:val="21"/>
              </w:rPr>
              <w:tab/>
            </w:r>
            <w:r>
              <w:rPr>
                <w:sz w:val="21"/>
                <w:szCs w:val="21"/>
              </w:rPr>
              <w:t>月</w:t>
            </w:r>
            <w:r>
              <w:rPr>
                <w:sz w:val="21"/>
                <w:szCs w:val="21"/>
              </w:rPr>
              <w:tab/>
            </w:r>
            <w:r>
              <w:rPr>
                <w:sz w:val="21"/>
                <w:szCs w:val="21"/>
              </w:rPr>
              <w:t>日</w:t>
            </w:r>
          </w:p>
        </w:tc>
      </w:tr>
    </w:tbl>
    <w:p>
      <w:pPr>
        <w:pStyle w:val="19"/>
        <w:spacing w:line="360" w:lineRule="auto"/>
        <w:rPr>
          <w:rFonts w:hAnsi="宋体"/>
          <w:sz w:val="20"/>
          <w:szCs w:val="20"/>
        </w:rPr>
      </w:pPr>
      <w:r>
        <w:rPr>
          <w:b/>
          <w:sz w:val="18"/>
        </w:rPr>
        <w:t>注：供应商凭经采购人审批的退付意见书到保证金收取单位办理履约保证金退付事宜。</w:t>
      </w:r>
    </w:p>
    <w:p>
      <w:pPr>
        <w:pStyle w:val="19"/>
        <w:spacing w:line="360" w:lineRule="auto"/>
        <w:rPr>
          <w:rFonts w:hAnsi="宋体"/>
          <w:sz w:val="20"/>
          <w:szCs w:val="20"/>
        </w:rPr>
      </w:pPr>
    </w:p>
    <w:p>
      <w:pPr>
        <w:pStyle w:val="19"/>
        <w:spacing w:line="360" w:lineRule="auto"/>
        <w:rPr>
          <w:rFonts w:hAnsi="宋体"/>
          <w:sz w:val="20"/>
          <w:szCs w:val="20"/>
        </w:rPr>
      </w:pPr>
    </w:p>
    <w:p>
      <w:pPr>
        <w:pStyle w:val="19"/>
        <w:spacing w:line="360" w:lineRule="auto"/>
        <w:rPr>
          <w:rFonts w:hAnsi="宋体"/>
          <w:sz w:val="20"/>
          <w:szCs w:val="20"/>
        </w:rPr>
      </w:pPr>
    </w:p>
    <w:p>
      <w:pPr>
        <w:pStyle w:val="19"/>
        <w:spacing w:line="360" w:lineRule="auto"/>
        <w:rPr>
          <w:rFonts w:hAnsi="宋体"/>
          <w:sz w:val="20"/>
          <w:szCs w:val="20"/>
        </w:rPr>
      </w:pPr>
    </w:p>
    <w:p>
      <w:pPr>
        <w:pStyle w:val="19"/>
        <w:spacing w:line="360" w:lineRule="auto"/>
        <w:rPr>
          <w:rFonts w:hAnsi="宋体"/>
        </w:rPr>
      </w:pPr>
    </w:p>
    <w:p>
      <w:pPr>
        <w:pStyle w:val="3"/>
        <w:ind w:firstLine="3855" w:firstLineChars="1200"/>
        <w:jc w:val="both"/>
        <w:rPr>
          <w:rFonts w:ascii="宋体" w:hAnsi="宋体"/>
        </w:rPr>
      </w:pPr>
      <w:bookmarkStart w:id="57" w:name="_Toc57749787"/>
      <w:r>
        <w:rPr>
          <w:rFonts w:hint="eastAsia" w:ascii="宋体" w:hAnsi="宋体"/>
        </w:rPr>
        <w:t>第五章投标文件格式</w:t>
      </w:r>
      <w:bookmarkEnd w:id="55"/>
      <w:bookmarkEnd w:id="56"/>
      <w:bookmarkEnd w:id="57"/>
      <w:bookmarkStart w:id="58" w:name="_Toc139966427"/>
      <w:bookmarkStart w:id="59" w:name="_Toc139967211"/>
    </w:p>
    <w:bookmarkEnd w:id="58"/>
    <w:bookmarkEnd w:id="59"/>
    <w:p>
      <w:pPr>
        <w:adjustRightInd/>
        <w:snapToGrid w:val="0"/>
        <w:spacing w:before="165" w:beforeLines="50" w:after="50" w:line="240" w:lineRule="auto"/>
        <w:jc w:val="left"/>
        <w:textAlignment w:val="auto"/>
        <w:rPr>
          <w:rFonts w:ascii="宋体" w:hAnsi="宋体"/>
          <w:b/>
          <w:sz w:val="24"/>
        </w:rPr>
      </w:pPr>
      <w:bookmarkStart w:id="60" w:name="_Toc495996916"/>
      <w:bookmarkStart w:id="61" w:name="_Toc12688"/>
      <w:r>
        <w:rPr>
          <w:rFonts w:hint="eastAsia" w:ascii="宋体" w:hAnsi="宋体"/>
          <w:b/>
          <w:sz w:val="24"/>
        </w:rPr>
        <w:t>投标文件外层包装封面格式</w:t>
      </w:r>
      <w:bookmarkEnd w:id="60"/>
      <w:bookmarkEnd w:id="61"/>
    </w:p>
    <w:p>
      <w:pPr>
        <w:adjustRightInd/>
        <w:snapToGrid w:val="0"/>
        <w:spacing w:before="165" w:beforeLines="50" w:after="50" w:line="240" w:lineRule="auto"/>
        <w:jc w:val="left"/>
        <w:textAlignment w:val="auto"/>
        <w:rPr>
          <w:rFonts w:ascii="宋体" w:hAnsi="宋体"/>
          <w:b/>
          <w:sz w:val="24"/>
          <w:szCs w:val="20"/>
        </w:rPr>
      </w:pPr>
      <w:r>
        <w:rPr>
          <w:rFonts w:hint="eastAsia" w:ascii="宋体" w:hAnsi="宋体"/>
          <w:b/>
          <w:sz w:val="24"/>
        </w:rPr>
        <w:t>所有投标文件的外包装封面格式：</w:t>
      </w:r>
    </w:p>
    <w:p>
      <w:pPr>
        <w:snapToGrid w:val="0"/>
        <w:spacing w:before="165" w:beforeLines="50" w:after="50"/>
        <w:rPr>
          <w:rFonts w:ascii="宋体" w:hAnsi="宋体"/>
          <w:sz w:val="24"/>
          <w:szCs w:val="20"/>
        </w:rPr>
      </w:pPr>
    </w:p>
    <w:p>
      <w:pPr>
        <w:snapToGrid w:val="0"/>
        <w:spacing w:before="165" w:beforeLines="50" w:after="50"/>
        <w:jc w:val="center"/>
        <w:rPr>
          <w:rFonts w:ascii="宋体" w:hAnsi="宋体"/>
          <w:bCs/>
          <w:sz w:val="24"/>
          <w:szCs w:val="20"/>
        </w:rPr>
      </w:pPr>
    </w:p>
    <w:p>
      <w:pPr>
        <w:snapToGrid w:val="0"/>
        <w:spacing w:before="165" w:beforeLines="50" w:after="50"/>
        <w:jc w:val="center"/>
        <w:rPr>
          <w:rFonts w:ascii="宋体" w:hAnsi="宋体"/>
          <w:bCs/>
          <w:sz w:val="32"/>
          <w:szCs w:val="32"/>
        </w:rPr>
      </w:pPr>
      <w:r>
        <w:rPr>
          <w:rFonts w:hint="eastAsia" w:ascii="宋体" w:hAnsi="宋体"/>
          <w:bCs/>
          <w:sz w:val="32"/>
          <w:szCs w:val="32"/>
        </w:rPr>
        <w:t>投标文件</w:t>
      </w:r>
    </w:p>
    <w:p>
      <w:pPr>
        <w:snapToGrid w:val="0"/>
        <w:spacing w:before="165" w:beforeLines="50" w:after="50"/>
        <w:rPr>
          <w:rFonts w:ascii="宋体" w:hAnsi="宋体"/>
          <w:bCs/>
          <w:sz w:val="24"/>
          <w:szCs w:val="20"/>
        </w:rPr>
      </w:pPr>
    </w:p>
    <w:p>
      <w:pPr>
        <w:snapToGrid w:val="0"/>
        <w:spacing w:before="165" w:beforeLines="50" w:after="50"/>
        <w:rPr>
          <w:rFonts w:ascii="宋体" w:hAnsi="宋体"/>
          <w:bCs/>
          <w:sz w:val="24"/>
          <w:szCs w:val="20"/>
        </w:rPr>
      </w:pPr>
    </w:p>
    <w:p>
      <w:pPr>
        <w:snapToGrid w:val="0"/>
        <w:spacing w:before="165" w:beforeLines="50" w:after="50"/>
        <w:rPr>
          <w:rFonts w:ascii="宋体" w:hAnsi="宋体"/>
          <w:bCs/>
          <w:sz w:val="24"/>
          <w:szCs w:val="20"/>
        </w:rPr>
      </w:pPr>
    </w:p>
    <w:p>
      <w:pPr>
        <w:snapToGrid w:val="0"/>
        <w:spacing w:before="165" w:beforeLines="50" w:after="50"/>
        <w:rPr>
          <w:rFonts w:ascii="宋体" w:hAnsi="宋体"/>
          <w:bCs/>
          <w:sz w:val="24"/>
          <w:szCs w:val="20"/>
        </w:rPr>
      </w:pPr>
    </w:p>
    <w:p>
      <w:pPr>
        <w:snapToGrid w:val="0"/>
        <w:spacing w:before="165" w:beforeLines="50" w:after="50"/>
        <w:rPr>
          <w:rFonts w:ascii="宋体" w:hAnsi="宋体"/>
          <w:bCs/>
          <w:sz w:val="24"/>
          <w:szCs w:val="20"/>
        </w:rPr>
      </w:pPr>
    </w:p>
    <w:p>
      <w:pPr>
        <w:pStyle w:val="2"/>
      </w:pPr>
    </w:p>
    <w:p>
      <w:pPr>
        <w:snapToGrid w:val="0"/>
        <w:spacing w:before="165" w:beforeLines="50" w:after="50"/>
        <w:ind w:firstLine="360" w:firstLineChars="150"/>
        <w:rPr>
          <w:rFonts w:ascii="宋体" w:hAnsi="宋体"/>
          <w:bCs/>
          <w:sz w:val="24"/>
        </w:rPr>
      </w:pPr>
      <w:r>
        <w:rPr>
          <w:rFonts w:hint="eastAsia" w:ascii="宋体" w:hAnsi="宋体"/>
          <w:bCs/>
          <w:sz w:val="24"/>
        </w:rPr>
        <w:t>项目名称：</w:t>
      </w:r>
    </w:p>
    <w:p>
      <w:pPr>
        <w:snapToGrid w:val="0"/>
        <w:spacing w:before="165" w:beforeLines="50" w:after="50"/>
        <w:ind w:firstLine="360" w:firstLineChars="150"/>
        <w:rPr>
          <w:rFonts w:ascii="宋体" w:hAnsi="宋体"/>
          <w:bCs/>
          <w:sz w:val="24"/>
          <w:szCs w:val="20"/>
        </w:rPr>
      </w:pPr>
    </w:p>
    <w:p>
      <w:pPr>
        <w:snapToGrid w:val="0"/>
        <w:spacing w:before="165" w:beforeLines="50" w:after="50"/>
        <w:ind w:firstLine="360" w:firstLineChars="150"/>
        <w:rPr>
          <w:rFonts w:hint="eastAsia" w:ascii="宋体" w:hAnsi="宋体"/>
          <w:bCs/>
          <w:sz w:val="24"/>
          <w:lang w:eastAsia="zh-CN"/>
        </w:rPr>
      </w:pPr>
      <w:r>
        <w:rPr>
          <w:rFonts w:hint="eastAsia" w:ascii="宋体" w:hAnsi="宋体"/>
          <w:bCs/>
          <w:sz w:val="24"/>
          <w:lang w:eastAsia="zh-CN"/>
        </w:rPr>
        <w:t>项目编号：</w:t>
      </w:r>
    </w:p>
    <w:p>
      <w:pPr>
        <w:pStyle w:val="2"/>
      </w:pPr>
    </w:p>
    <w:p>
      <w:pPr>
        <w:snapToGrid w:val="0"/>
        <w:spacing w:before="50" w:after="50"/>
        <w:ind w:firstLine="360" w:firstLineChars="150"/>
        <w:rPr>
          <w:rFonts w:ascii="宋体" w:hAnsi="宋体"/>
          <w:bCs/>
          <w:sz w:val="24"/>
        </w:rPr>
      </w:pPr>
      <w:r>
        <w:rPr>
          <w:rFonts w:hint="eastAsia" w:ascii="宋体" w:hAnsi="宋体"/>
          <w:bCs/>
          <w:sz w:val="24"/>
        </w:rPr>
        <w:t>投标文件名称：报价文件、资格文件、商务文件、技术文件</w:t>
      </w:r>
    </w:p>
    <w:p>
      <w:pPr>
        <w:snapToGrid w:val="0"/>
        <w:spacing w:before="50" w:after="50"/>
        <w:ind w:firstLine="360" w:firstLineChars="150"/>
        <w:rPr>
          <w:rFonts w:ascii="宋体" w:hAnsi="宋体"/>
          <w:bCs/>
          <w:sz w:val="24"/>
        </w:rPr>
      </w:pPr>
    </w:p>
    <w:p>
      <w:pPr>
        <w:snapToGrid w:val="0"/>
        <w:spacing w:before="50" w:after="50"/>
        <w:ind w:firstLine="360" w:firstLineChars="150"/>
        <w:rPr>
          <w:rFonts w:ascii="宋体" w:hAnsi="宋体"/>
          <w:bCs/>
          <w:sz w:val="24"/>
        </w:rPr>
      </w:pPr>
      <w:r>
        <w:rPr>
          <w:rFonts w:hint="eastAsia" w:ascii="宋体" w:hAnsi="宋体"/>
          <w:bCs/>
          <w:sz w:val="24"/>
        </w:rPr>
        <w:t>投标人名称：</w:t>
      </w:r>
    </w:p>
    <w:p>
      <w:pPr>
        <w:snapToGrid w:val="0"/>
        <w:spacing w:before="50" w:after="50"/>
        <w:ind w:firstLine="360" w:firstLineChars="150"/>
        <w:rPr>
          <w:rFonts w:ascii="宋体" w:hAnsi="宋体"/>
          <w:bCs/>
          <w:sz w:val="24"/>
        </w:rPr>
      </w:pPr>
    </w:p>
    <w:p>
      <w:pPr>
        <w:snapToGrid w:val="0"/>
        <w:spacing w:before="50" w:after="50"/>
        <w:ind w:firstLine="360" w:firstLineChars="150"/>
        <w:rPr>
          <w:rFonts w:ascii="宋体" w:hAnsi="宋体"/>
          <w:bCs/>
          <w:sz w:val="24"/>
        </w:rPr>
      </w:pPr>
      <w:r>
        <w:rPr>
          <w:rFonts w:hint="eastAsia" w:ascii="宋体" w:hAnsi="宋体"/>
          <w:bCs/>
          <w:sz w:val="24"/>
        </w:rPr>
        <w:t>投标人地址：</w:t>
      </w:r>
    </w:p>
    <w:p>
      <w:pPr>
        <w:snapToGrid w:val="0"/>
        <w:spacing w:before="50" w:after="50"/>
        <w:ind w:firstLine="360" w:firstLineChars="150"/>
        <w:rPr>
          <w:rFonts w:ascii="宋体" w:hAnsi="宋体"/>
          <w:bCs/>
          <w:sz w:val="24"/>
        </w:rPr>
      </w:pPr>
    </w:p>
    <w:p>
      <w:pPr>
        <w:snapToGrid w:val="0"/>
        <w:spacing w:before="50" w:after="50"/>
        <w:ind w:firstLine="360" w:firstLineChars="150"/>
        <w:rPr>
          <w:rFonts w:ascii="宋体" w:hAnsi="宋体"/>
          <w:bCs/>
          <w:sz w:val="24"/>
        </w:rPr>
      </w:pPr>
      <w:r>
        <w:rPr>
          <w:rFonts w:hint="eastAsia" w:ascii="宋体" w:hAnsi="宋体"/>
          <w:bCs/>
          <w:sz w:val="24"/>
        </w:rPr>
        <w:t>在年月日时分之前不得启封</w:t>
      </w:r>
    </w:p>
    <w:p>
      <w:pPr>
        <w:snapToGrid w:val="0"/>
        <w:spacing w:before="165" w:beforeLines="50" w:after="50"/>
        <w:ind w:firstLine="4080" w:firstLineChars="1700"/>
        <w:rPr>
          <w:rFonts w:ascii="宋体" w:hAnsi="宋体"/>
          <w:bCs/>
          <w:sz w:val="24"/>
          <w:szCs w:val="20"/>
        </w:rPr>
      </w:pPr>
    </w:p>
    <w:p>
      <w:pPr>
        <w:snapToGrid w:val="0"/>
        <w:spacing w:before="165" w:beforeLines="50" w:after="50"/>
        <w:ind w:firstLine="645"/>
        <w:jc w:val="center"/>
        <w:rPr>
          <w:rFonts w:ascii="宋体" w:hAnsi="宋体"/>
        </w:rPr>
      </w:pPr>
      <w:r>
        <w:rPr>
          <w:rFonts w:hint="eastAsia" w:ascii="宋体" w:hAnsi="宋体"/>
          <w:bCs/>
          <w:sz w:val="24"/>
        </w:rPr>
        <w:t>年月日</w:t>
      </w:r>
    </w:p>
    <w:p>
      <w:pPr>
        <w:pStyle w:val="2"/>
        <w:rPr>
          <w:rFonts w:ascii="宋体" w:hAnsi="宋体"/>
        </w:rPr>
      </w:pPr>
    </w:p>
    <w:p/>
    <w:p>
      <w:pPr>
        <w:pStyle w:val="19"/>
        <w:spacing w:line="500" w:lineRule="exact"/>
        <w:jc w:val="center"/>
        <w:rPr>
          <w:rFonts w:hAnsi="宋体"/>
          <w:sz w:val="32"/>
        </w:rPr>
      </w:pPr>
      <w:r>
        <w:rPr>
          <w:rFonts w:hint="eastAsia" w:hAnsi="宋体"/>
          <w:b/>
          <w:sz w:val="30"/>
          <w:szCs w:val="30"/>
        </w:rPr>
        <w:t>投标函（格式）</w:t>
      </w:r>
    </w:p>
    <w:p>
      <w:pPr>
        <w:pStyle w:val="19"/>
        <w:spacing w:line="400" w:lineRule="exact"/>
        <w:ind w:firstLine="435"/>
        <w:rPr>
          <w:rFonts w:hAnsi="宋体"/>
          <w:sz w:val="22"/>
          <w:szCs w:val="22"/>
        </w:rPr>
      </w:pPr>
      <w:r>
        <w:rPr>
          <w:rFonts w:hint="eastAsia" w:hAnsi="宋体"/>
          <w:sz w:val="22"/>
          <w:szCs w:val="22"/>
        </w:rPr>
        <w:t>致：（采购代理机构名称）</w:t>
      </w:r>
    </w:p>
    <w:p>
      <w:pPr>
        <w:pStyle w:val="19"/>
        <w:spacing w:line="400" w:lineRule="exact"/>
        <w:ind w:firstLine="435"/>
        <w:rPr>
          <w:rFonts w:hAnsi="宋体"/>
          <w:sz w:val="22"/>
          <w:szCs w:val="22"/>
        </w:rPr>
      </w:pPr>
    </w:p>
    <w:p>
      <w:pPr>
        <w:pStyle w:val="19"/>
        <w:spacing w:line="400" w:lineRule="exact"/>
        <w:ind w:firstLine="482"/>
        <w:rPr>
          <w:rFonts w:hAnsi="宋体"/>
          <w:sz w:val="22"/>
          <w:szCs w:val="22"/>
        </w:rPr>
      </w:pPr>
      <w:r>
        <w:rPr>
          <w:rFonts w:hint="eastAsia" w:hAnsi="宋体"/>
          <w:sz w:val="22"/>
          <w:szCs w:val="22"/>
        </w:rPr>
        <w:t>我方已仔细阅读了贵方组织的</w:t>
      </w:r>
      <w:r>
        <w:rPr>
          <w:rFonts w:hint="eastAsia" w:hAnsi="宋体"/>
          <w:sz w:val="22"/>
          <w:szCs w:val="22"/>
          <w:u w:val="single"/>
        </w:rPr>
        <w:t>（项目名称）</w:t>
      </w:r>
      <w:r>
        <w:rPr>
          <w:rFonts w:hint="eastAsia" w:hAnsi="宋体"/>
          <w:sz w:val="22"/>
          <w:szCs w:val="22"/>
        </w:rPr>
        <w:t>项目（</w:t>
      </w:r>
      <w:r>
        <w:rPr>
          <w:rFonts w:hint="eastAsia" w:hAnsi="宋体"/>
          <w:sz w:val="22"/>
          <w:szCs w:val="22"/>
          <w:lang w:eastAsia="zh-CN"/>
        </w:rPr>
        <w:t>项目编号：</w:t>
      </w:r>
      <w:r>
        <w:rPr>
          <w:rFonts w:hint="eastAsia" w:hAnsi="宋体"/>
          <w:sz w:val="22"/>
          <w:szCs w:val="22"/>
          <w:lang w:val="en-US" w:eastAsia="zh-CN"/>
        </w:rPr>
        <w:t xml:space="preserve">   </w:t>
      </w:r>
      <w:r>
        <w:rPr>
          <w:rFonts w:hint="eastAsia" w:hAnsi="宋体"/>
          <w:sz w:val="22"/>
          <w:szCs w:val="22"/>
        </w:rPr>
        <w:t>）的招标文件的全部内容，现正式递交下述文件参加贵方组织的本次政府采购活动：</w:t>
      </w:r>
    </w:p>
    <w:p>
      <w:pPr>
        <w:pStyle w:val="19"/>
        <w:spacing w:line="400" w:lineRule="exact"/>
        <w:ind w:firstLine="482"/>
        <w:rPr>
          <w:rFonts w:hAnsi="宋体"/>
          <w:sz w:val="22"/>
          <w:szCs w:val="22"/>
        </w:rPr>
      </w:pPr>
      <w:r>
        <w:rPr>
          <w:rFonts w:hint="eastAsia" w:hAnsi="宋体"/>
          <w:sz w:val="22"/>
          <w:szCs w:val="22"/>
        </w:rPr>
        <w:t>一、报价文件正本一份，副本份（包含按投标人须知第</w:t>
      </w:r>
      <w:r>
        <w:rPr>
          <w:rFonts w:hAnsi="宋体"/>
          <w:sz w:val="22"/>
          <w:szCs w:val="22"/>
        </w:rPr>
        <w:t>10.1.1</w:t>
      </w:r>
      <w:r>
        <w:rPr>
          <w:rFonts w:hint="eastAsia" w:hAnsi="宋体"/>
          <w:sz w:val="22"/>
          <w:szCs w:val="22"/>
        </w:rPr>
        <w:t>项要求提交的全部文件）；</w:t>
      </w:r>
    </w:p>
    <w:p>
      <w:pPr>
        <w:pStyle w:val="19"/>
        <w:spacing w:line="400" w:lineRule="exact"/>
        <w:ind w:firstLine="482"/>
        <w:rPr>
          <w:rFonts w:hAnsi="宋体"/>
          <w:sz w:val="22"/>
          <w:szCs w:val="22"/>
        </w:rPr>
      </w:pPr>
      <w:r>
        <w:rPr>
          <w:rFonts w:hint="eastAsia" w:hAnsi="宋体"/>
          <w:sz w:val="22"/>
          <w:szCs w:val="22"/>
        </w:rPr>
        <w:t>二、</w:t>
      </w:r>
      <w:r>
        <w:rPr>
          <w:rFonts w:hint="eastAsia" w:hAnsi="宋体" w:cs="宋体"/>
          <w:sz w:val="22"/>
          <w:szCs w:val="22"/>
        </w:rPr>
        <w:t>资格</w:t>
      </w:r>
      <w:r>
        <w:rPr>
          <w:rFonts w:hint="eastAsia" w:hAnsi="宋体"/>
          <w:sz w:val="22"/>
          <w:szCs w:val="22"/>
        </w:rPr>
        <w:t>文件正本一份，副本份（包含按投标人须知第</w:t>
      </w:r>
      <w:r>
        <w:rPr>
          <w:rFonts w:hAnsi="宋体"/>
          <w:sz w:val="22"/>
          <w:szCs w:val="22"/>
        </w:rPr>
        <w:t>10.1.2</w:t>
      </w:r>
      <w:r>
        <w:rPr>
          <w:rFonts w:hint="eastAsia" w:hAnsi="宋体"/>
          <w:sz w:val="22"/>
          <w:szCs w:val="22"/>
        </w:rPr>
        <w:t>项要求提交的全部文件）；</w:t>
      </w:r>
    </w:p>
    <w:p>
      <w:pPr>
        <w:pStyle w:val="19"/>
        <w:spacing w:line="400" w:lineRule="exact"/>
        <w:ind w:firstLine="482"/>
        <w:rPr>
          <w:rFonts w:hAnsi="宋体"/>
          <w:sz w:val="22"/>
          <w:szCs w:val="22"/>
        </w:rPr>
      </w:pPr>
      <w:r>
        <w:rPr>
          <w:rFonts w:hAnsi="宋体" w:cs="宋体"/>
          <w:sz w:val="22"/>
          <w:szCs w:val="22"/>
        </w:rPr>
        <w:t>三、</w:t>
      </w:r>
      <w:r>
        <w:rPr>
          <w:rFonts w:hint="eastAsia" w:hAnsi="宋体"/>
          <w:sz w:val="22"/>
          <w:szCs w:val="22"/>
        </w:rPr>
        <w:t>商务技</w:t>
      </w:r>
      <w:r>
        <w:rPr>
          <w:rFonts w:hAnsi="宋体" w:cs="宋体"/>
          <w:sz w:val="22"/>
          <w:szCs w:val="22"/>
        </w:rPr>
        <w:t>文件正本一份，副本份（包含按投标人须知第10.1.3项要求</w:t>
      </w:r>
      <w:r>
        <w:rPr>
          <w:rFonts w:hint="eastAsia" w:hAnsi="宋体"/>
          <w:sz w:val="22"/>
          <w:szCs w:val="22"/>
        </w:rPr>
        <w:t>提交的全部文件）。</w:t>
      </w:r>
    </w:p>
    <w:p>
      <w:pPr>
        <w:pStyle w:val="19"/>
        <w:spacing w:line="400" w:lineRule="exact"/>
        <w:ind w:firstLine="482"/>
        <w:rPr>
          <w:rFonts w:hAnsi="宋体"/>
          <w:sz w:val="22"/>
          <w:szCs w:val="22"/>
        </w:rPr>
      </w:pPr>
      <w:r>
        <w:rPr>
          <w:rFonts w:hint="eastAsia" w:hAnsi="宋体" w:cs="宋体"/>
          <w:sz w:val="22"/>
          <w:szCs w:val="22"/>
        </w:rPr>
        <w:t>四</w:t>
      </w:r>
      <w:r>
        <w:rPr>
          <w:rFonts w:hAnsi="宋体" w:cs="宋体"/>
          <w:sz w:val="22"/>
          <w:szCs w:val="22"/>
        </w:rPr>
        <w:t>、</w:t>
      </w:r>
      <w:r>
        <w:rPr>
          <w:rFonts w:hint="eastAsia" w:hAnsi="宋体"/>
          <w:sz w:val="22"/>
          <w:szCs w:val="22"/>
        </w:rPr>
        <w:t>技术</w:t>
      </w:r>
      <w:r>
        <w:rPr>
          <w:rFonts w:hAnsi="宋体" w:cs="宋体"/>
          <w:sz w:val="22"/>
          <w:szCs w:val="22"/>
        </w:rPr>
        <w:t>文件正本一份，副本份（包含按投标人须知第10.1.</w:t>
      </w:r>
      <w:r>
        <w:rPr>
          <w:rFonts w:hint="eastAsia" w:hAnsi="宋体" w:cs="宋体"/>
          <w:sz w:val="22"/>
          <w:szCs w:val="22"/>
        </w:rPr>
        <w:t>4</w:t>
      </w:r>
      <w:r>
        <w:rPr>
          <w:rFonts w:hAnsi="宋体" w:cs="宋体"/>
          <w:sz w:val="22"/>
          <w:szCs w:val="22"/>
        </w:rPr>
        <w:t>项要求</w:t>
      </w:r>
      <w:r>
        <w:rPr>
          <w:rFonts w:hint="eastAsia" w:hAnsi="宋体"/>
          <w:sz w:val="22"/>
          <w:szCs w:val="22"/>
        </w:rPr>
        <w:t>提交的全部文件）。</w:t>
      </w:r>
    </w:p>
    <w:p>
      <w:pPr>
        <w:pStyle w:val="19"/>
        <w:spacing w:line="400" w:lineRule="exact"/>
        <w:ind w:firstLine="482"/>
        <w:rPr>
          <w:rFonts w:hAnsi="宋体"/>
          <w:sz w:val="22"/>
          <w:szCs w:val="22"/>
        </w:rPr>
      </w:pPr>
      <w:r>
        <w:rPr>
          <w:rFonts w:hint="eastAsia" w:hAnsi="宋体"/>
          <w:sz w:val="22"/>
          <w:szCs w:val="22"/>
        </w:rPr>
        <w:t>据此函，签字人兹宣布：</w:t>
      </w:r>
    </w:p>
    <w:p>
      <w:pPr>
        <w:jc w:val="left"/>
        <w:rPr>
          <w:rFonts w:ascii="宋体" w:hAnsi="宋体"/>
          <w:sz w:val="22"/>
          <w:szCs w:val="22"/>
        </w:rPr>
      </w:pPr>
      <w:r>
        <w:rPr>
          <w:rFonts w:ascii="宋体" w:hAnsi="宋体"/>
          <w:sz w:val="22"/>
          <w:szCs w:val="22"/>
        </w:rPr>
        <w:t xml:space="preserve">    1</w:t>
      </w:r>
      <w:r>
        <w:rPr>
          <w:rFonts w:hint="eastAsia" w:ascii="宋体" w:hAnsi="宋体"/>
          <w:sz w:val="22"/>
          <w:szCs w:val="22"/>
        </w:rPr>
        <w:t>、我方愿意以（大写）人民币（￥元</w:t>
      </w:r>
      <w:r>
        <w:rPr>
          <w:rFonts w:ascii="宋体" w:hAnsi="宋体"/>
          <w:sz w:val="22"/>
          <w:szCs w:val="22"/>
        </w:rPr>
        <w:t>)</w:t>
      </w:r>
      <w:r>
        <w:rPr>
          <w:rFonts w:hint="eastAsia" w:ascii="宋体" w:hAnsi="宋体"/>
          <w:sz w:val="22"/>
          <w:szCs w:val="22"/>
        </w:rPr>
        <w:t>的投标总报价，交货时间（无分标时填写）：，提供本项目招标文件第二章“</w:t>
      </w:r>
      <w:r>
        <w:rPr>
          <w:rFonts w:ascii="宋体" w:hAnsi="宋体"/>
          <w:sz w:val="22"/>
          <w:szCs w:val="22"/>
        </w:rPr>
        <w:t>采购需求一览表</w:t>
      </w:r>
      <w:r>
        <w:rPr>
          <w:rFonts w:hint="eastAsia" w:ascii="宋体" w:hAnsi="宋体"/>
          <w:sz w:val="22"/>
          <w:szCs w:val="22"/>
        </w:rPr>
        <w:t>”中的采购内容。</w:t>
      </w:r>
    </w:p>
    <w:p>
      <w:pPr>
        <w:pStyle w:val="19"/>
        <w:spacing w:line="400" w:lineRule="exact"/>
        <w:ind w:firstLine="482"/>
        <w:rPr>
          <w:rFonts w:hAnsi="宋体"/>
          <w:sz w:val="22"/>
          <w:szCs w:val="22"/>
        </w:rPr>
      </w:pPr>
      <w:r>
        <w:rPr>
          <w:rFonts w:hint="eastAsia" w:hAnsi="宋体"/>
          <w:sz w:val="22"/>
          <w:szCs w:val="22"/>
        </w:rPr>
        <w:t>其中（有分标时填写）：</w:t>
      </w:r>
    </w:p>
    <w:p>
      <w:pPr>
        <w:pStyle w:val="19"/>
        <w:spacing w:line="400" w:lineRule="exact"/>
        <w:ind w:firstLine="440" w:firstLineChars="200"/>
        <w:rPr>
          <w:rFonts w:hAnsi="宋体"/>
          <w:sz w:val="22"/>
          <w:szCs w:val="22"/>
        </w:rPr>
      </w:pPr>
      <w:r>
        <w:rPr>
          <w:rFonts w:hint="eastAsia" w:hAnsi="宋体"/>
          <w:sz w:val="22"/>
          <w:szCs w:val="22"/>
        </w:rPr>
        <w:t>分标报价为（大写）人民币（￥元</w:t>
      </w:r>
      <w:r>
        <w:rPr>
          <w:rFonts w:hAnsi="宋体"/>
          <w:sz w:val="22"/>
          <w:szCs w:val="22"/>
        </w:rPr>
        <w:t>)</w:t>
      </w:r>
      <w:r>
        <w:rPr>
          <w:rFonts w:hint="eastAsia" w:hAnsi="宋体"/>
          <w:sz w:val="22"/>
          <w:szCs w:val="22"/>
        </w:rPr>
        <w:t>，交货时间：；</w:t>
      </w:r>
    </w:p>
    <w:p>
      <w:pPr>
        <w:pStyle w:val="19"/>
        <w:spacing w:line="400" w:lineRule="exact"/>
        <w:ind w:firstLine="482"/>
        <w:rPr>
          <w:rFonts w:hAnsi="宋体"/>
          <w:sz w:val="22"/>
          <w:szCs w:val="22"/>
        </w:rPr>
      </w:pPr>
      <w:r>
        <w:rPr>
          <w:rFonts w:hint="eastAsia" w:hAnsi="宋体"/>
          <w:sz w:val="22"/>
          <w:szCs w:val="22"/>
        </w:rPr>
        <w:t>分标报价为（大写）人民币（￥元</w:t>
      </w:r>
      <w:r>
        <w:rPr>
          <w:rFonts w:hAnsi="宋体"/>
          <w:sz w:val="22"/>
          <w:szCs w:val="22"/>
        </w:rPr>
        <w:t>)</w:t>
      </w:r>
      <w:r>
        <w:rPr>
          <w:rFonts w:hint="eastAsia" w:hAnsi="宋体"/>
          <w:sz w:val="22"/>
          <w:szCs w:val="22"/>
        </w:rPr>
        <w:t>，交货时间：；</w:t>
      </w:r>
    </w:p>
    <w:p>
      <w:pPr>
        <w:pStyle w:val="19"/>
        <w:spacing w:line="400" w:lineRule="exact"/>
        <w:ind w:firstLine="482"/>
        <w:rPr>
          <w:rFonts w:hAnsi="宋体"/>
          <w:sz w:val="22"/>
          <w:szCs w:val="22"/>
        </w:rPr>
      </w:pPr>
      <w:r>
        <w:rPr>
          <w:rFonts w:hAnsi="宋体"/>
          <w:sz w:val="22"/>
          <w:szCs w:val="22"/>
        </w:rPr>
        <w:t>......</w:t>
      </w:r>
    </w:p>
    <w:p>
      <w:pPr>
        <w:pStyle w:val="19"/>
        <w:spacing w:line="400" w:lineRule="exact"/>
        <w:ind w:firstLine="482"/>
        <w:rPr>
          <w:rFonts w:hAnsi="宋体"/>
          <w:sz w:val="22"/>
          <w:szCs w:val="22"/>
        </w:rPr>
      </w:pPr>
      <w:r>
        <w:rPr>
          <w:rFonts w:hAnsi="宋体"/>
          <w:sz w:val="22"/>
          <w:szCs w:val="22"/>
        </w:rPr>
        <w:t>2</w:t>
      </w:r>
      <w:r>
        <w:rPr>
          <w:rFonts w:hint="eastAsia" w:hAnsi="宋体"/>
          <w:sz w:val="22"/>
          <w:szCs w:val="22"/>
        </w:rPr>
        <w:t>、我方同意自本项目招标文件“投标人须知”第</w:t>
      </w:r>
      <w:r>
        <w:rPr>
          <w:rFonts w:hAnsi="宋体"/>
          <w:sz w:val="22"/>
          <w:szCs w:val="22"/>
        </w:rPr>
        <w:t>15.1</w:t>
      </w:r>
      <w:r>
        <w:rPr>
          <w:rFonts w:hint="eastAsia" w:hAnsi="宋体"/>
          <w:sz w:val="22"/>
          <w:szCs w:val="22"/>
        </w:rPr>
        <w:t>项规定的投标截止时间（开标时间）起遵循</w:t>
      </w:r>
      <w:r>
        <w:rPr>
          <w:rFonts w:hAnsi="宋体" w:cs="宋体"/>
          <w:sz w:val="22"/>
          <w:szCs w:val="22"/>
        </w:rPr>
        <w:t>本投标函</w:t>
      </w:r>
      <w:r>
        <w:rPr>
          <w:rFonts w:hint="eastAsia" w:hAnsi="宋体"/>
          <w:sz w:val="22"/>
          <w:szCs w:val="22"/>
        </w:rPr>
        <w:t>，并承诺在“投标人须知”第</w:t>
      </w:r>
      <w:r>
        <w:rPr>
          <w:rFonts w:hAnsi="宋体"/>
          <w:sz w:val="22"/>
          <w:szCs w:val="22"/>
        </w:rPr>
        <w:t>12.1</w:t>
      </w:r>
      <w:r>
        <w:rPr>
          <w:rFonts w:hint="eastAsia" w:hAnsi="宋体"/>
          <w:sz w:val="22"/>
          <w:szCs w:val="22"/>
        </w:rPr>
        <w:t>项规定的投标有效期内不修改、撤销投标文件。</w:t>
      </w:r>
    </w:p>
    <w:p>
      <w:pPr>
        <w:pStyle w:val="19"/>
        <w:spacing w:line="400" w:lineRule="exact"/>
        <w:ind w:firstLine="482"/>
        <w:rPr>
          <w:rFonts w:hAnsi="宋体"/>
          <w:sz w:val="22"/>
          <w:szCs w:val="22"/>
        </w:rPr>
      </w:pPr>
      <w:r>
        <w:rPr>
          <w:rFonts w:hAnsi="宋体"/>
          <w:sz w:val="22"/>
          <w:szCs w:val="22"/>
        </w:rPr>
        <w:t>3</w:t>
      </w:r>
      <w:r>
        <w:rPr>
          <w:rFonts w:hint="eastAsia" w:hAnsi="宋体"/>
          <w:sz w:val="22"/>
          <w:szCs w:val="22"/>
        </w:rPr>
        <w:t>、我方在此声明，所递交的投标文件及有关资料内容完整、真实和准确。</w:t>
      </w:r>
    </w:p>
    <w:p>
      <w:pPr>
        <w:pStyle w:val="19"/>
        <w:spacing w:line="400" w:lineRule="exact"/>
        <w:ind w:firstLine="482"/>
        <w:rPr>
          <w:rFonts w:hAnsi="宋体"/>
          <w:sz w:val="22"/>
          <w:szCs w:val="22"/>
        </w:rPr>
      </w:pPr>
      <w:r>
        <w:rPr>
          <w:rFonts w:hAnsi="宋体"/>
          <w:sz w:val="22"/>
          <w:szCs w:val="22"/>
        </w:rPr>
        <w:t>4</w:t>
      </w:r>
      <w:r>
        <w:rPr>
          <w:rFonts w:hint="eastAsia" w:hAnsi="宋体"/>
          <w:sz w:val="22"/>
          <w:szCs w:val="22"/>
        </w:rPr>
        <w:t>、我方承诺已经具备《中华人民共和国政府采购法》中规定的参加政府采购活动的供应商应当具备的条件：</w:t>
      </w:r>
    </w:p>
    <w:p>
      <w:pPr>
        <w:pStyle w:val="19"/>
        <w:numPr>
          <w:ilvl w:val="0"/>
          <w:numId w:val="14"/>
        </w:numPr>
        <w:tabs>
          <w:tab w:val="left" w:pos="1140"/>
        </w:tabs>
        <w:spacing w:line="400" w:lineRule="exact"/>
        <w:ind w:left="1140" w:hanging="720"/>
        <w:rPr>
          <w:rFonts w:hAnsi="宋体"/>
          <w:sz w:val="22"/>
          <w:szCs w:val="22"/>
        </w:rPr>
      </w:pPr>
      <w:r>
        <w:rPr>
          <w:rFonts w:hint="eastAsia" w:hAnsi="宋体"/>
          <w:sz w:val="22"/>
          <w:szCs w:val="22"/>
        </w:rPr>
        <w:t>具有独立承担民事责任的能力；</w:t>
      </w:r>
    </w:p>
    <w:p>
      <w:pPr>
        <w:pStyle w:val="19"/>
        <w:numPr>
          <w:ilvl w:val="0"/>
          <w:numId w:val="14"/>
        </w:numPr>
        <w:tabs>
          <w:tab w:val="left" w:pos="1140"/>
        </w:tabs>
        <w:spacing w:line="400" w:lineRule="exact"/>
        <w:ind w:left="1140" w:hanging="720"/>
        <w:rPr>
          <w:rFonts w:hAnsi="宋体"/>
          <w:sz w:val="22"/>
          <w:szCs w:val="22"/>
        </w:rPr>
      </w:pPr>
      <w:r>
        <w:rPr>
          <w:rFonts w:hint="eastAsia" w:hAnsi="宋体"/>
          <w:sz w:val="22"/>
          <w:szCs w:val="22"/>
        </w:rPr>
        <w:t>具有良好的商业信誉和健全的财务会计制度；</w:t>
      </w:r>
    </w:p>
    <w:p>
      <w:pPr>
        <w:pStyle w:val="19"/>
        <w:numPr>
          <w:ilvl w:val="0"/>
          <w:numId w:val="14"/>
        </w:numPr>
        <w:tabs>
          <w:tab w:val="left" w:pos="1140"/>
        </w:tabs>
        <w:spacing w:line="400" w:lineRule="exact"/>
        <w:ind w:left="1140" w:hanging="720"/>
        <w:rPr>
          <w:rFonts w:hAnsi="宋体"/>
          <w:sz w:val="22"/>
          <w:szCs w:val="22"/>
        </w:rPr>
      </w:pPr>
      <w:r>
        <w:rPr>
          <w:rFonts w:hint="eastAsia" w:hAnsi="宋体"/>
          <w:sz w:val="22"/>
          <w:szCs w:val="22"/>
        </w:rPr>
        <w:t>具有履行合同所必需的设备和专业技术能力；</w:t>
      </w:r>
    </w:p>
    <w:p>
      <w:pPr>
        <w:pStyle w:val="19"/>
        <w:numPr>
          <w:ilvl w:val="0"/>
          <w:numId w:val="14"/>
        </w:numPr>
        <w:tabs>
          <w:tab w:val="left" w:pos="1140"/>
        </w:tabs>
        <w:spacing w:line="400" w:lineRule="exact"/>
        <w:ind w:left="1140" w:hanging="720"/>
        <w:rPr>
          <w:rFonts w:hAnsi="宋体"/>
          <w:sz w:val="22"/>
          <w:szCs w:val="22"/>
        </w:rPr>
      </w:pPr>
      <w:r>
        <w:rPr>
          <w:rFonts w:hint="eastAsia" w:hAnsi="宋体"/>
          <w:sz w:val="22"/>
          <w:szCs w:val="22"/>
        </w:rPr>
        <w:t>有依法缴纳税收和社会保障资金的良好记录；</w:t>
      </w:r>
    </w:p>
    <w:p>
      <w:pPr>
        <w:pStyle w:val="19"/>
        <w:numPr>
          <w:ilvl w:val="0"/>
          <w:numId w:val="14"/>
        </w:numPr>
        <w:tabs>
          <w:tab w:val="left" w:pos="1140"/>
        </w:tabs>
        <w:spacing w:line="400" w:lineRule="exact"/>
        <w:ind w:left="1140" w:hanging="720"/>
        <w:rPr>
          <w:rFonts w:hAnsi="宋体"/>
          <w:sz w:val="22"/>
          <w:szCs w:val="22"/>
        </w:rPr>
      </w:pPr>
      <w:r>
        <w:rPr>
          <w:rFonts w:hint="eastAsia" w:hAnsi="宋体"/>
          <w:sz w:val="22"/>
          <w:szCs w:val="22"/>
        </w:rPr>
        <w:t>参加政府采购活动前三年内，在经营活动中没有重大违法记录；</w:t>
      </w:r>
    </w:p>
    <w:p>
      <w:pPr>
        <w:pStyle w:val="19"/>
        <w:numPr>
          <w:ilvl w:val="0"/>
          <w:numId w:val="14"/>
        </w:numPr>
        <w:tabs>
          <w:tab w:val="left" w:pos="1140"/>
        </w:tabs>
        <w:spacing w:line="400" w:lineRule="exact"/>
        <w:ind w:left="1140" w:hanging="720"/>
        <w:rPr>
          <w:rFonts w:hAnsi="宋体"/>
          <w:sz w:val="22"/>
          <w:szCs w:val="22"/>
        </w:rPr>
      </w:pPr>
      <w:r>
        <w:rPr>
          <w:rFonts w:hint="eastAsia" w:hAnsi="宋体"/>
          <w:sz w:val="22"/>
          <w:szCs w:val="22"/>
        </w:rPr>
        <w:t>法律、行政法规规定的其他条件。</w:t>
      </w:r>
    </w:p>
    <w:p>
      <w:pPr>
        <w:pStyle w:val="19"/>
        <w:spacing w:line="400" w:lineRule="exact"/>
        <w:ind w:firstLine="482"/>
        <w:rPr>
          <w:rFonts w:hAnsi="宋体"/>
          <w:sz w:val="22"/>
          <w:szCs w:val="22"/>
        </w:rPr>
      </w:pPr>
      <w:r>
        <w:rPr>
          <w:rFonts w:hAnsi="宋体"/>
          <w:sz w:val="22"/>
          <w:szCs w:val="22"/>
        </w:rPr>
        <w:t>5</w:t>
      </w:r>
      <w:r>
        <w:rPr>
          <w:rFonts w:hint="eastAsia" w:hAnsi="宋体"/>
          <w:sz w:val="22"/>
          <w:szCs w:val="22"/>
        </w:rPr>
        <w:t>、如本项目采购内容涉及须符合国家强制规定的，我方承诺我方本次投标（包括资格条件和所投产品）均符合国家有关强制规定。</w:t>
      </w:r>
    </w:p>
    <w:p>
      <w:pPr>
        <w:pStyle w:val="19"/>
        <w:spacing w:line="400" w:lineRule="exact"/>
        <w:ind w:firstLine="482"/>
        <w:rPr>
          <w:rFonts w:hAnsi="宋体"/>
          <w:sz w:val="22"/>
          <w:szCs w:val="22"/>
        </w:rPr>
      </w:pPr>
      <w:r>
        <w:rPr>
          <w:rFonts w:hAnsi="宋体"/>
          <w:sz w:val="22"/>
          <w:szCs w:val="22"/>
        </w:rPr>
        <w:t>6</w:t>
      </w:r>
      <w:r>
        <w:rPr>
          <w:rFonts w:hint="eastAsia" w:hAnsi="宋体"/>
          <w:sz w:val="22"/>
          <w:szCs w:val="22"/>
        </w:rPr>
        <w:t>、如我方中标，我方承诺在收到中标通知书后，在中标通知书规定的期限内，</w:t>
      </w:r>
      <w:r>
        <w:rPr>
          <w:rFonts w:hAnsi="宋体" w:cs="宋体"/>
          <w:sz w:val="22"/>
          <w:szCs w:val="22"/>
        </w:rPr>
        <w:t>根据招标文件、我方的投标文件及有关澄清承诺书的要求按第</w:t>
      </w:r>
      <w:r>
        <w:rPr>
          <w:rFonts w:hint="eastAsia" w:hAnsi="宋体" w:cs="宋体"/>
          <w:sz w:val="22"/>
          <w:szCs w:val="22"/>
        </w:rPr>
        <w:t>六</w:t>
      </w:r>
      <w:r>
        <w:rPr>
          <w:rFonts w:hAnsi="宋体" w:cs="宋体"/>
          <w:sz w:val="22"/>
          <w:szCs w:val="22"/>
        </w:rPr>
        <w:t>章“合同条款及格式”与采购人订立书面合同，并按照合同约定</w:t>
      </w:r>
      <w:r>
        <w:rPr>
          <w:rFonts w:hint="eastAsia" w:hAnsi="宋体"/>
          <w:sz w:val="22"/>
          <w:szCs w:val="22"/>
        </w:rPr>
        <w:t>承担完成合同的责任和义务。</w:t>
      </w:r>
    </w:p>
    <w:p>
      <w:pPr>
        <w:pStyle w:val="19"/>
        <w:spacing w:line="400" w:lineRule="exact"/>
        <w:ind w:firstLine="482"/>
        <w:rPr>
          <w:rFonts w:hAnsi="宋体"/>
          <w:sz w:val="22"/>
          <w:szCs w:val="22"/>
        </w:rPr>
      </w:pPr>
      <w:r>
        <w:rPr>
          <w:rFonts w:hAnsi="宋体"/>
          <w:sz w:val="22"/>
          <w:szCs w:val="22"/>
        </w:rPr>
        <w:t>7</w:t>
      </w:r>
      <w:r>
        <w:rPr>
          <w:rFonts w:hint="eastAsia" w:hAnsi="宋体"/>
          <w:sz w:val="22"/>
          <w:szCs w:val="22"/>
        </w:rPr>
        <w:t>、我方已详细审核招标文件，我方知道必须放弃提出含糊不清或误解问题的权利。</w:t>
      </w:r>
    </w:p>
    <w:p>
      <w:pPr>
        <w:pStyle w:val="19"/>
        <w:spacing w:line="400" w:lineRule="exact"/>
        <w:ind w:firstLine="482"/>
        <w:rPr>
          <w:rFonts w:hAnsi="宋体"/>
          <w:sz w:val="22"/>
          <w:szCs w:val="22"/>
        </w:rPr>
      </w:pPr>
      <w:r>
        <w:rPr>
          <w:rFonts w:hint="eastAsia" w:hAnsi="宋体"/>
          <w:sz w:val="22"/>
          <w:szCs w:val="22"/>
        </w:rPr>
        <w:t>8、我方同意应贵方要求提供与本投标有关的任何数据或资料。若贵方需要，我方愿意提供我方作出的一切承诺的证明材料。</w:t>
      </w:r>
    </w:p>
    <w:p>
      <w:pPr>
        <w:pStyle w:val="19"/>
        <w:spacing w:line="400" w:lineRule="exact"/>
        <w:ind w:firstLine="482"/>
        <w:rPr>
          <w:rFonts w:hAnsi="宋体"/>
          <w:sz w:val="22"/>
          <w:szCs w:val="22"/>
        </w:rPr>
      </w:pPr>
      <w:r>
        <w:rPr>
          <w:rFonts w:hint="eastAsia" w:hAnsi="宋体"/>
          <w:sz w:val="22"/>
          <w:szCs w:val="22"/>
        </w:rPr>
        <w:t>9、我方完全理解贵方不一定接受投标报价最低的投标人为中标供应商的行为。</w:t>
      </w:r>
    </w:p>
    <w:p>
      <w:pPr>
        <w:pStyle w:val="19"/>
        <w:spacing w:line="400" w:lineRule="exact"/>
        <w:ind w:firstLine="482"/>
        <w:rPr>
          <w:rFonts w:hAnsi="宋体"/>
          <w:sz w:val="22"/>
          <w:szCs w:val="22"/>
        </w:rPr>
      </w:pPr>
      <w:r>
        <w:rPr>
          <w:rFonts w:hAnsi="宋体"/>
          <w:sz w:val="22"/>
          <w:szCs w:val="22"/>
        </w:rPr>
        <w:t>1</w:t>
      </w:r>
      <w:r>
        <w:rPr>
          <w:rFonts w:hint="eastAsia" w:hAnsi="宋体"/>
          <w:sz w:val="22"/>
          <w:szCs w:val="22"/>
        </w:rPr>
        <w:t>0、我方将严格遵守《中华人民共和国政府采购法》第七十七条的规定，即供应商有下列情形之一的，处以采购金额千分之五以上千分之十</w:t>
      </w:r>
      <w:r>
        <w:rPr>
          <w:rFonts w:hAnsi="宋体" w:cs="宋体"/>
          <w:sz w:val="22"/>
          <w:szCs w:val="22"/>
        </w:rPr>
        <w:t>以下的罚款，列入不良行为记录名单，在一至三年内禁止参加政府采购活动，有违法所得的，并处没收违法所得，情节严重的，由工商行政管理机关吊销营业执照；构成犯罪的，依法追究刑事责任：</w:t>
      </w:r>
    </w:p>
    <w:p>
      <w:pPr>
        <w:pStyle w:val="19"/>
        <w:numPr>
          <w:ilvl w:val="0"/>
          <w:numId w:val="15"/>
        </w:numPr>
        <w:tabs>
          <w:tab w:val="left" w:pos="1140"/>
        </w:tabs>
        <w:spacing w:line="400" w:lineRule="exact"/>
        <w:ind w:left="1140" w:hanging="720"/>
        <w:rPr>
          <w:rFonts w:hAnsi="宋体" w:cs="宋体"/>
          <w:sz w:val="22"/>
          <w:szCs w:val="22"/>
        </w:rPr>
      </w:pPr>
      <w:r>
        <w:rPr>
          <w:rFonts w:hAnsi="宋体" w:cs="宋体"/>
          <w:sz w:val="22"/>
          <w:szCs w:val="22"/>
        </w:rPr>
        <w:t>提供虚假材料谋取中标、成交的；</w:t>
      </w:r>
    </w:p>
    <w:p>
      <w:pPr>
        <w:pStyle w:val="19"/>
        <w:numPr>
          <w:ilvl w:val="0"/>
          <w:numId w:val="15"/>
        </w:numPr>
        <w:tabs>
          <w:tab w:val="left" w:pos="1140"/>
        </w:tabs>
        <w:spacing w:line="400" w:lineRule="exact"/>
        <w:ind w:left="1140" w:hanging="720"/>
        <w:rPr>
          <w:rFonts w:hAnsi="宋体" w:cs="宋体"/>
          <w:sz w:val="22"/>
          <w:szCs w:val="22"/>
        </w:rPr>
      </w:pPr>
      <w:r>
        <w:rPr>
          <w:rFonts w:hAnsi="宋体" w:cs="宋体"/>
          <w:sz w:val="22"/>
          <w:szCs w:val="22"/>
        </w:rPr>
        <w:t>采取不正当手段诋毁、排挤其他供应商的；</w:t>
      </w:r>
    </w:p>
    <w:p>
      <w:pPr>
        <w:pStyle w:val="19"/>
        <w:numPr>
          <w:ilvl w:val="0"/>
          <w:numId w:val="15"/>
        </w:numPr>
        <w:tabs>
          <w:tab w:val="left" w:pos="1140"/>
        </w:tabs>
        <w:spacing w:line="400" w:lineRule="exact"/>
        <w:ind w:left="1140" w:hanging="720"/>
        <w:rPr>
          <w:rFonts w:hAnsi="宋体"/>
          <w:sz w:val="22"/>
          <w:szCs w:val="22"/>
        </w:rPr>
      </w:pPr>
      <w:r>
        <w:rPr>
          <w:rFonts w:hAnsi="宋体" w:cs="宋体"/>
          <w:sz w:val="22"/>
          <w:szCs w:val="22"/>
        </w:rPr>
        <w:t>与采购人、其他供应商或者采购代理机构恶意串通的；</w:t>
      </w:r>
    </w:p>
    <w:p>
      <w:pPr>
        <w:pStyle w:val="19"/>
        <w:numPr>
          <w:ilvl w:val="0"/>
          <w:numId w:val="15"/>
        </w:numPr>
        <w:tabs>
          <w:tab w:val="left" w:pos="1140"/>
        </w:tabs>
        <w:spacing w:line="400" w:lineRule="exact"/>
        <w:ind w:left="1140" w:hanging="720"/>
        <w:rPr>
          <w:rFonts w:hAnsi="宋体"/>
          <w:sz w:val="22"/>
          <w:szCs w:val="22"/>
        </w:rPr>
      </w:pPr>
      <w:r>
        <w:rPr>
          <w:rFonts w:hAnsi="宋体" w:cs="宋体"/>
          <w:sz w:val="22"/>
          <w:szCs w:val="22"/>
        </w:rPr>
        <w:t>向采购人、采购代理机构行贿或者提供其他不正当利益的；</w:t>
      </w:r>
    </w:p>
    <w:p>
      <w:pPr>
        <w:pStyle w:val="19"/>
        <w:numPr>
          <w:ilvl w:val="0"/>
          <w:numId w:val="15"/>
        </w:numPr>
        <w:tabs>
          <w:tab w:val="left" w:pos="1140"/>
        </w:tabs>
        <w:spacing w:line="400" w:lineRule="exact"/>
        <w:ind w:left="1140" w:hanging="720"/>
        <w:rPr>
          <w:rFonts w:hAnsi="宋体"/>
          <w:sz w:val="22"/>
          <w:szCs w:val="22"/>
        </w:rPr>
      </w:pPr>
      <w:r>
        <w:rPr>
          <w:rFonts w:hAnsi="宋体" w:cs="宋体"/>
          <w:sz w:val="22"/>
          <w:szCs w:val="22"/>
        </w:rPr>
        <w:t>在招标采购过程中与采购人进行协商谈判的；</w:t>
      </w:r>
    </w:p>
    <w:p>
      <w:pPr>
        <w:pStyle w:val="19"/>
        <w:spacing w:line="400" w:lineRule="exact"/>
        <w:ind w:firstLine="420"/>
        <w:rPr>
          <w:rFonts w:hAnsi="宋体" w:cs="宋体"/>
          <w:sz w:val="22"/>
          <w:szCs w:val="22"/>
        </w:rPr>
      </w:pPr>
      <w:r>
        <w:rPr>
          <w:rFonts w:hAnsi="宋体" w:cs="宋体"/>
          <w:sz w:val="22"/>
          <w:szCs w:val="22"/>
        </w:rPr>
        <w:t>（6）  拒绝有关部门监督检查或提供虚假情况的。</w:t>
      </w:r>
    </w:p>
    <w:p>
      <w:pPr>
        <w:pStyle w:val="19"/>
        <w:spacing w:line="400" w:lineRule="exact"/>
        <w:ind w:firstLine="482"/>
        <w:rPr>
          <w:rFonts w:hAnsi="宋体"/>
          <w:sz w:val="22"/>
          <w:szCs w:val="22"/>
        </w:rPr>
      </w:pPr>
      <w:r>
        <w:rPr>
          <w:rFonts w:hAnsi="宋体"/>
          <w:sz w:val="22"/>
          <w:szCs w:val="22"/>
        </w:rPr>
        <w:t>1</w:t>
      </w:r>
      <w:r>
        <w:rPr>
          <w:rFonts w:hint="eastAsia" w:hAnsi="宋体"/>
          <w:sz w:val="22"/>
          <w:szCs w:val="22"/>
        </w:rPr>
        <w:t>1、我方及由本人担任法定代表人的其他机构最近三年内被通报或者被处罚的违法行为有：</w:t>
      </w:r>
      <w:r>
        <w:rPr>
          <w:rFonts w:hAnsi="宋体"/>
          <w:sz w:val="22"/>
          <w:szCs w:val="22"/>
          <w:u w:val="single"/>
        </w:rPr>
        <w:t>__________________________________________________________________________</w:t>
      </w:r>
      <w:r>
        <w:rPr>
          <w:rFonts w:hint="eastAsia" w:hAnsi="宋体"/>
          <w:sz w:val="22"/>
          <w:szCs w:val="22"/>
        </w:rPr>
        <w:t>。</w:t>
      </w:r>
    </w:p>
    <w:p>
      <w:pPr>
        <w:pStyle w:val="19"/>
        <w:spacing w:line="400" w:lineRule="exact"/>
        <w:ind w:left="420"/>
        <w:rPr>
          <w:rFonts w:hAnsi="宋体"/>
          <w:sz w:val="22"/>
          <w:szCs w:val="22"/>
        </w:rPr>
      </w:pPr>
      <w:r>
        <w:rPr>
          <w:rFonts w:hAnsi="宋体"/>
          <w:sz w:val="22"/>
          <w:szCs w:val="22"/>
        </w:rPr>
        <w:t>1</w:t>
      </w:r>
      <w:r>
        <w:rPr>
          <w:rFonts w:hint="eastAsia" w:hAnsi="宋体"/>
          <w:sz w:val="22"/>
          <w:szCs w:val="22"/>
        </w:rPr>
        <w:t>2、以上事项如有虚假或隐瞒，我方愿意承担一切后果，并不再寻求任何旨在减轻或免除法律责任的辩解。</w:t>
      </w:r>
    </w:p>
    <w:p>
      <w:pPr>
        <w:pStyle w:val="19"/>
        <w:spacing w:line="400" w:lineRule="exact"/>
        <w:ind w:firstLine="420"/>
        <w:rPr>
          <w:rFonts w:hAnsi="宋体"/>
          <w:sz w:val="22"/>
          <w:szCs w:val="22"/>
          <w:u w:val="single"/>
        </w:rPr>
      </w:pPr>
      <w:r>
        <w:rPr>
          <w:rFonts w:hint="eastAsia" w:hAnsi="宋体"/>
          <w:sz w:val="22"/>
          <w:szCs w:val="22"/>
        </w:rPr>
        <w:t>投标人：</w:t>
      </w:r>
      <w:r>
        <w:rPr>
          <w:rFonts w:hint="eastAsia" w:hAnsi="宋体"/>
          <w:sz w:val="22"/>
          <w:szCs w:val="22"/>
          <w:u w:val="single"/>
        </w:rPr>
        <w:t>　　　　　　　　　</w:t>
      </w:r>
      <w:r>
        <w:rPr>
          <w:rFonts w:hint="eastAsia" w:hAnsi="宋体"/>
          <w:sz w:val="22"/>
          <w:szCs w:val="22"/>
        </w:rPr>
        <w:t>（盖单位公章）</w:t>
      </w:r>
    </w:p>
    <w:p>
      <w:pPr>
        <w:pStyle w:val="19"/>
        <w:spacing w:line="400" w:lineRule="exact"/>
        <w:ind w:firstLine="420"/>
        <w:rPr>
          <w:rFonts w:hAnsi="宋体"/>
          <w:sz w:val="22"/>
          <w:szCs w:val="22"/>
        </w:rPr>
      </w:pPr>
      <w:r>
        <w:rPr>
          <w:rFonts w:hint="eastAsia" w:hAnsi="宋体"/>
          <w:sz w:val="22"/>
          <w:szCs w:val="22"/>
        </w:rPr>
        <w:t>法定代表人或其委托代理人：</w:t>
      </w:r>
      <w:r>
        <w:rPr>
          <w:rFonts w:hint="eastAsia" w:hAnsi="宋体"/>
          <w:sz w:val="22"/>
          <w:szCs w:val="22"/>
          <w:u w:val="single"/>
        </w:rPr>
        <w:t>　　　　　　　　　</w:t>
      </w:r>
      <w:r>
        <w:rPr>
          <w:rFonts w:hint="eastAsia" w:hAnsi="宋体"/>
          <w:sz w:val="22"/>
          <w:szCs w:val="22"/>
        </w:rPr>
        <w:t>（签字或盖章）</w:t>
      </w:r>
    </w:p>
    <w:p>
      <w:pPr>
        <w:pStyle w:val="19"/>
        <w:spacing w:line="400" w:lineRule="exact"/>
        <w:ind w:firstLine="420"/>
        <w:rPr>
          <w:rFonts w:hAnsi="宋体"/>
          <w:sz w:val="22"/>
          <w:szCs w:val="22"/>
          <w:u w:val="single"/>
        </w:rPr>
      </w:pPr>
      <w:r>
        <w:rPr>
          <w:rFonts w:hint="eastAsia" w:hAnsi="宋体"/>
          <w:sz w:val="22"/>
          <w:szCs w:val="22"/>
        </w:rPr>
        <w:t>地址：</w:t>
      </w:r>
      <w:r>
        <w:rPr>
          <w:rFonts w:hint="eastAsia" w:hAnsi="宋体"/>
          <w:sz w:val="22"/>
          <w:szCs w:val="22"/>
          <w:u w:val="single"/>
        </w:rPr>
        <w:t>　　　　　　　　　</w:t>
      </w:r>
    </w:p>
    <w:p>
      <w:pPr>
        <w:pStyle w:val="19"/>
        <w:spacing w:line="400" w:lineRule="exact"/>
        <w:ind w:firstLine="420"/>
        <w:rPr>
          <w:rFonts w:hAnsi="宋体"/>
          <w:sz w:val="22"/>
          <w:szCs w:val="22"/>
          <w:u w:val="single"/>
        </w:rPr>
      </w:pPr>
      <w:r>
        <w:rPr>
          <w:rFonts w:hint="eastAsia" w:hAnsi="宋体"/>
          <w:sz w:val="22"/>
          <w:szCs w:val="22"/>
        </w:rPr>
        <w:t>电话：</w:t>
      </w:r>
      <w:r>
        <w:rPr>
          <w:rFonts w:hint="eastAsia" w:hAnsi="宋体"/>
          <w:sz w:val="22"/>
          <w:szCs w:val="22"/>
          <w:u w:val="single"/>
        </w:rPr>
        <w:t>　　　　　　　　　</w:t>
      </w:r>
    </w:p>
    <w:p>
      <w:pPr>
        <w:pStyle w:val="19"/>
        <w:spacing w:line="400" w:lineRule="exact"/>
        <w:ind w:firstLine="420"/>
        <w:rPr>
          <w:rFonts w:hAnsi="宋体"/>
          <w:sz w:val="22"/>
          <w:szCs w:val="22"/>
        </w:rPr>
      </w:pPr>
      <w:r>
        <w:rPr>
          <w:rFonts w:hint="eastAsia" w:hAnsi="宋体"/>
          <w:sz w:val="22"/>
          <w:szCs w:val="22"/>
        </w:rPr>
        <w:t>传真：</w:t>
      </w:r>
      <w:r>
        <w:rPr>
          <w:rFonts w:hint="eastAsia" w:hAnsi="宋体"/>
          <w:sz w:val="22"/>
          <w:szCs w:val="22"/>
          <w:u w:val="single"/>
        </w:rPr>
        <w:t>　　　　　　　　　　　　　　　　　　　　　　　　　　　　</w:t>
      </w:r>
    </w:p>
    <w:p>
      <w:pPr>
        <w:pStyle w:val="19"/>
        <w:spacing w:line="400" w:lineRule="exact"/>
        <w:ind w:firstLine="420"/>
        <w:rPr>
          <w:rFonts w:hAnsi="宋体"/>
          <w:sz w:val="22"/>
          <w:szCs w:val="22"/>
          <w:u w:val="single"/>
        </w:rPr>
      </w:pPr>
      <w:r>
        <w:rPr>
          <w:rFonts w:hint="eastAsia" w:hAnsi="宋体"/>
          <w:sz w:val="22"/>
          <w:szCs w:val="22"/>
        </w:rPr>
        <w:t>邮政编码：</w:t>
      </w:r>
      <w:r>
        <w:rPr>
          <w:rFonts w:hint="eastAsia" w:hAnsi="宋体"/>
          <w:sz w:val="22"/>
          <w:szCs w:val="22"/>
          <w:u w:val="single"/>
        </w:rPr>
        <w:t>　　　　　　　　　</w:t>
      </w:r>
    </w:p>
    <w:p>
      <w:pPr>
        <w:pStyle w:val="19"/>
        <w:spacing w:line="400" w:lineRule="exact"/>
        <w:ind w:firstLine="420"/>
        <w:rPr>
          <w:rFonts w:hAnsi="宋体"/>
          <w:sz w:val="22"/>
          <w:szCs w:val="22"/>
          <w:u w:val="single"/>
        </w:rPr>
      </w:pPr>
      <w:r>
        <w:rPr>
          <w:rFonts w:hint="eastAsia" w:hAnsi="宋体"/>
          <w:sz w:val="22"/>
          <w:szCs w:val="22"/>
        </w:rPr>
        <w:t xml:space="preserve">开户名称： </w:t>
      </w:r>
      <w:r>
        <w:rPr>
          <w:rFonts w:hint="eastAsia" w:hAnsi="宋体"/>
          <w:sz w:val="22"/>
          <w:szCs w:val="22"/>
          <w:u w:val="single"/>
        </w:rPr>
        <w:t>　　　　　　　　　</w:t>
      </w:r>
    </w:p>
    <w:p>
      <w:pPr>
        <w:pStyle w:val="19"/>
        <w:spacing w:line="400" w:lineRule="exact"/>
        <w:ind w:firstLine="420"/>
        <w:rPr>
          <w:rFonts w:hAnsi="宋体"/>
          <w:sz w:val="22"/>
          <w:szCs w:val="22"/>
          <w:u w:val="single"/>
        </w:rPr>
      </w:pPr>
      <w:r>
        <w:rPr>
          <w:rFonts w:hint="eastAsia" w:hAnsi="宋体"/>
          <w:sz w:val="22"/>
          <w:szCs w:val="22"/>
        </w:rPr>
        <w:t>开户银行：</w:t>
      </w:r>
      <w:r>
        <w:rPr>
          <w:rFonts w:hint="eastAsia" w:hAnsi="宋体"/>
          <w:sz w:val="22"/>
          <w:szCs w:val="22"/>
          <w:u w:val="single"/>
        </w:rPr>
        <w:t>　　　　　　　　　</w:t>
      </w:r>
    </w:p>
    <w:p>
      <w:pPr>
        <w:pStyle w:val="19"/>
        <w:spacing w:line="400" w:lineRule="exact"/>
        <w:ind w:firstLine="420"/>
        <w:rPr>
          <w:rFonts w:hAnsi="宋体"/>
          <w:sz w:val="22"/>
          <w:szCs w:val="22"/>
          <w:u w:val="single"/>
        </w:rPr>
      </w:pPr>
      <w:r>
        <w:rPr>
          <w:rFonts w:hint="eastAsia" w:hAnsi="宋体"/>
          <w:sz w:val="22"/>
          <w:szCs w:val="22"/>
        </w:rPr>
        <w:t>银行账号：</w:t>
      </w:r>
      <w:r>
        <w:rPr>
          <w:rFonts w:hint="eastAsia" w:hAnsi="宋体"/>
          <w:sz w:val="22"/>
          <w:szCs w:val="22"/>
          <w:u w:val="single"/>
        </w:rPr>
        <w:t>　　　　　　　　　</w:t>
      </w:r>
    </w:p>
    <w:p>
      <w:pPr>
        <w:pStyle w:val="19"/>
        <w:spacing w:line="400" w:lineRule="exact"/>
        <w:ind w:firstLine="424" w:firstLineChars="193"/>
        <w:rPr>
          <w:rFonts w:hAnsi="宋体"/>
          <w:szCs w:val="21"/>
        </w:rPr>
      </w:pPr>
      <w:r>
        <w:rPr>
          <w:rFonts w:hint="eastAsia" w:hAnsi="宋体"/>
          <w:sz w:val="22"/>
          <w:szCs w:val="22"/>
          <w:u w:val="single"/>
        </w:rPr>
        <w:t>　　</w:t>
      </w:r>
      <w:r>
        <w:rPr>
          <w:rFonts w:hint="eastAsia" w:hAnsi="宋体"/>
          <w:sz w:val="22"/>
          <w:szCs w:val="22"/>
        </w:rPr>
        <w:t xml:space="preserve">年 </w:t>
      </w:r>
      <w:r>
        <w:rPr>
          <w:rFonts w:hint="eastAsia" w:hAnsi="宋体"/>
          <w:sz w:val="22"/>
          <w:szCs w:val="22"/>
          <w:u w:val="single"/>
        </w:rPr>
        <w:t>　　</w:t>
      </w:r>
      <w:r>
        <w:rPr>
          <w:rFonts w:hint="eastAsia" w:hAnsi="宋体"/>
          <w:sz w:val="22"/>
          <w:szCs w:val="22"/>
        </w:rPr>
        <w:t xml:space="preserve">月 </w:t>
      </w:r>
      <w:r>
        <w:rPr>
          <w:rFonts w:hint="eastAsia" w:hAnsi="宋体"/>
          <w:sz w:val="22"/>
          <w:szCs w:val="22"/>
          <w:u w:val="single"/>
        </w:rPr>
        <w:t>　　</w:t>
      </w:r>
      <w:r>
        <w:rPr>
          <w:rFonts w:hint="eastAsia" w:hAnsi="宋体"/>
          <w:sz w:val="22"/>
          <w:szCs w:val="22"/>
        </w:rPr>
        <w:t>日</w:t>
      </w:r>
    </w:p>
    <w:p>
      <w:pPr>
        <w:pStyle w:val="19"/>
        <w:spacing w:line="360" w:lineRule="exact"/>
        <w:ind w:firstLine="420"/>
        <w:rPr>
          <w:rFonts w:hAnsi="宋体"/>
          <w:b/>
        </w:rPr>
      </w:pPr>
    </w:p>
    <w:p>
      <w:pPr>
        <w:pStyle w:val="19"/>
        <w:spacing w:line="360" w:lineRule="auto"/>
        <w:ind w:firstLine="420"/>
        <w:jc w:val="center"/>
        <w:rPr>
          <w:rFonts w:hAnsi="宋体"/>
          <w:b/>
          <w:bCs/>
          <w:sz w:val="30"/>
          <w:szCs w:val="30"/>
        </w:rPr>
      </w:pPr>
    </w:p>
    <w:p>
      <w:pPr>
        <w:pStyle w:val="19"/>
        <w:spacing w:line="360" w:lineRule="auto"/>
        <w:ind w:firstLine="420"/>
        <w:jc w:val="center"/>
        <w:rPr>
          <w:rFonts w:hAnsi="宋体"/>
          <w:b/>
          <w:bCs/>
          <w:sz w:val="30"/>
          <w:szCs w:val="30"/>
        </w:rPr>
      </w:pPr>
    </w:p>
    <w:p>
      <w:pPr>
        <w:pStyle w:val="19"/>
        <w:spacing w:line="360" w:lineRule="auto"/>
        <w:ind w:firstLine="420"/>
        <w:jc w:val="center"/>
        <w:rPr>
          <w:rFonts w:hAnsi="宋体"/>
          <w:b/>
          <w:bCs/>
          <w:sz w:val="30"/>
          <w:szCs w:val="30"/>
        </w:rPr>
      </w:pPr>
    </w:p>
    <w:p>
      <w:pPr>
        <w:pStyle w:val="19"/>
        <w:spacing w:line="360" w:lineRule="auto"/>
        <w:ind w:firstLine="420"/>
        <w:jc w:val="center"/>
        <w:rPr>
          <w:rFonts w:hAnsi="宋体"/>
          <w:b/>
          <w:bCs/>
          <w:sz w:val="30"/>
          <w:szCs w:val="30"/>
        </w:rPr>
      </w:pPr>
    </w:p>
    <w:p>
      <w:pPr>
        <w:pStyle w:val="19"/>
        <w:spacing w:line="360" w:lineRule="auto"/>
        <w:ind w:firstLine="420"/>
        <w:jc w:val="center"/>
        <w:rPr>
          <w:rFonts w:hAnsi="宋体"/>
          <w:b/>
          <w:bCs/>
          <w:sz w:val="30"/>
          <w:szCs w:val="30"/>
        </w:rPr>
      </w:pPr>
    </w:p>
    <w:p>
      <w:pPr>
        <w:pStyle w:val="19"/>
        <w:spacing w:line="360" w:lineRule="auto"/>
        <w:jc w:val="both"/>
        <w:rPr>
          <w:rFonts w:hAnsi="宋体"/>
          <w:b/>
          <w:bCs/>
          <w:sz w:val="30"/>
          <w:szCs w:val="30"/>
        </w:rPr>
      </w:pPr>
    </w:p>
    <w:p>
      <w:pPr>
        <w:pStyle w:val="19"/>
        <w:spacing w:line="360" w:lineRule="auto"/>
        <w:ind w:firstLine="420"/>
        <w:jc w:val="center"/>
        <w:rPr>
          <w:rFonts w:hAnsi="宋体"/>
          <w:b/>
          <w:bCs/>
          <w:sz w:val="30"/>
          <w:szCs w:val="30"/>
        </w:rPr>
      </w:pPr>
      <w:r>
        <w:rPr>
          <w:rFonts w:hint="eastAsia" w:hAnsi="宋体"/>
          <w:b/>
          <w:bCs/>
          <w:sz w:val="30"/>
          <w:szCs w:val="30"/>
        </w:rPr>
        <w:t>投标报价表（格式）</w:t>
      </w:r>
    </w:p>
    <w:p>
      <w:pPr>
        <w:pStyle w:val="19"/>
        <w:spacing w:line="360" w:lineRule="auto"/>
        <w:ind w:firstLine="420"/>
        <w:jc w:val="center"/>
        <w:rPr>
          <w:rFonts w:hAnsi="宋体"/>
          <w:b/>
          <w:sz w:val="24"/>
        </w:rPr>
      </w:pPr>
    </w:p>
    <w:tbl>
      <w:tblPr>
        <w:tblStyle w:val="34"/>
        <w:tblW w:w="96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081"/>
        <w:gridCol w:w="900"/>
        <w:gridCol w:w="1801"/>
        <w:gridCol w:w="1081"/>
        <w:gridCol w:w="1439"/>
        <w:gridCol w:w="1786"/>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3" w:hRule="atLeast"/>
          <w:jc w:val="center"/>
        </w:trPr>
        <w:tc>
          <w:tcPr>
            <w:tcW w:w="72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序号</w:t>
            </w:r>
          </w:p>
        </w:tc>
        <w:tc>
          <w:tcPr>
            <w:tcW w:w="1081"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货物名称</w:t>
            </w:r>
          </w:p>
        </w:tc>
        <w:tc>
          <w:tcPr>
            <w:tcW w:w="90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数量①</w:t>
            </w:r>
          </w:p>
        </w:tc>
        <w:tc>
          <w:tcPr>
            <w:tcW w:w="1801"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货物全称、品牌、生产厂家及国别</w:t>
            </w:r>
          </w:p>
        </w:tc>
        <w:tc>
          <w:tcPr>
            <w:tcW w:w="1081"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规格型号</w:t>
            </w:r>
          </w:p>
        </w:tc>
        <w:tc>
          <w:tcPr>
            <w:tcW w:w="1439"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单价(元)②</w:t>
            </w:r>
          </w:p>
        </w:tc>
        <w:tc>
          <w:tcPr>
            <w:tcW w:w="1786"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单项合价（元）</w:t>
            </w:r>
          </w:p>
          <w:p>
            <w:pPr>
              <w:rPr>
                <w:rFonts w:ascii="宋体" w:hAnsi="宋体"/>
                <w:szCs w:val="21"/>
              </w:rPr>
            </w:pPr>
            <w:r>
              <w:rPr>
                <w:rFonts w:hint="eastAsia" w:ascii="宋体" w:hAnsi="宋体"/>
                <w:szCs w:val="21"/>
              </w:rPr>
              <w:t>③＝①×②</w:t>
            </w:r>
          </w:p>
        </w:tc>
        <w:tc>
          <w:tcPr>
            <w:tcW w:w="84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jc w:val="center"/>
        </w:trPr>
        <w:tc>
          <w:tcPr>
            <w:tcW w:w="72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1</w:t>
            </w:r>
          </w:p>
        </w:tc>
        <w:tc>
          <w:tcPr>
            <w:tcW w:w="1081"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90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801"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081"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439"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786"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84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jc w:val="center"/>
        </w:trPr>
        <w:tc>
          <w:tcPr>
            <w:tcW w:w="72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2</w:t>
            </w:r>
          </w:p>
        </w:tc>
        <w:tc>
          <w:tcPr>
            <w:tcW w:w="1081"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90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801"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081"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439"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786"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84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jc w:val="center"/>
        </w:trPr>
        <w:tc>
          <w:tcPr>
            <w:tcW w:w="72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1081"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90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801"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081"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439"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786"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84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jc w:val="center"/>
        </w:trPr>
        <w:tc>
          <w:tcPr>
            <w:tcW w:w="9648" w:type="dxa"/>
            <w:gridSpan w:val="8"/>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szCs w:val="21"/>
              </w:rPr>
            </w:pPr>
            <w:r>
              <w:rPr>
                <w:rFonts w:hint="eastAsia" w:ascii="宋体" w:hAnsi="宋体"/>
                <w:szCs w:val="21"/>
              </w:rPr>
              <w:t>报价合计（包含装卸、运输等所有费用）：（大写）人民币</w:t>
            </w:r>
            <w:r>
              <w:rPr>
                <w:rFonts w:hint="eastAsia" w:ascii="宋体" w:hAnsi="宋体"/>
                <w:sz w:val="22"/>
                <w:szCs w:val="22"/>
                <w:u w:val="single"/>
              </w:rPr>
              <w:t>　　</w:t>
            </w:r>
            <w:r>
              <w:rPr>
                <w:rFonts w:hint="eastAsia" w:ascii="宋体" w:hAnsi="宋体"/>
                <w:szCs w:val="21"/>
              </w:rPr>
              <w:t xml:space="preserve">（￥ </w:t>
            </w:r>
            <w:r>
              <w:rPr>
                <w:rFonts w:hint="eastAsia" w:ascii="宋体" w:hAnsi="宋体"/>
                <w:sz w:val="22"/>
                <w:szCs w:val="22"/>
                <w:u w:val="single"/>
              </w:rPr>
              <w:t>　　</w:t>
            </w:r>
            <w:r>
              <w:rPr>
                <w:rFonts w:hint="eastAsia" w:ascii="宋体" w:hAnsi="宋体"/>
                <w:szCs w:val="21"/>
              </w:rPr>
              <w:t>元）</w:t>
            </w:r>
          </w:p>
          <w:p>
            <w:pPr>
              <w:rPr>
                <w:rFonts w:ascii="宋体" w:hAnsi="宋体"/>
                <w:szCs w:val="21"/>
              </w:rPr>
            </w:pPr>
            <w:r>
              <w:rPr>
                <w:rFonts w:hint="eastAsia" w:ascii="宋体" w:hAnsi="宋体"/>
                <w:szCs w:val="21"/>
              </w:rPr>
              <w:t xml:space="preserve">投标货物中，属于小微企业生产的产品总值为￥ </w:t>
            </w:r>
            <w:r>
              <w:rPr>
                <w:rFonts w:hint="eastAsia" w:ascii="宋体" w:hAnsi="宋体"/>
                <w:sz w:val="22"/>
                <w:szCs w:val="22"/>
                <w:u w:val="single"/>
              </w:rPr>
              <w:t>　　</w:t>
            </w:r>
            <w:r>
              <w:rPr>
                <w:rFonts w:hint="eastAsia" w:ascii="宋体" w:hAnsi="宋体"/>
                <w:szCs w:val="21"/>
              </w:rPr>
              <w:t>元，占本投标报价的比例为</w:t>
            </w:r>
            <w:r>
              <w:rPr>
                <w:rFonts w:hint="eastAsia" w:ascii="宋体" w:hAnsi="宋体"/>
                <w:sz w:val="22"/>
                <w:szCs w:val="22"/>
                <w:u w:val="single"/>
              </w:rPr>
              <w:t>　　</w:t>
            </w:r>
            <w:r>
              <w:rPr>
                <w:rFonts w:hint="eastAsia" w:ascii="宋体" w:hAnsi="宋体"/>
                <w:szCs w:val="21"/>
              </w:rPr>
              <w:t xml:space="preserve"> %；属于优先采购节能产品总值为￥</w:t>
            </w:r>
            <w:r>
              <w:rPr>
                <w:rFonts w:hint="eastAsia" w:ascii="宋体" w:hAnsi="宋体"/>
                <w:sz w:val="22"/>
                <w:szCs w:val="22"/>
                <w:u w:val="single"/>
              </w:rPr>
              <w:t>　　</w:t>
            </w:r>
            <w:r>
              <w:rPr>
                <w:rFonts w:hint="eastAsia" w:ascii="宋体" w:hAnsi="宋体"/>
                <w:szCs w:val="21"/>
              </w:rPr>
              <w:t>元，占本投标报价的比例为</w:t>
            </w:r>
            <w:r>
              <w:rPr>
                <w:rFonts w:hint="eastAsia" w:ascii="宋体" w:hAnsi="宋体"/>
                <w:sz w:val="22"/>
                <w:szCs w:val="22"/>
                <w:u w:val="single"/>
              </w:rPr>
              <w:t>　　</w:t>
            </w:r>
            <w:r>
              <w:rPr>
                <w:rFonts w:hint="eastAsia" w:ascii="宋体" w:hAnsi="宋体"/>
                <w:szCs w:val="21"/>
              </w:rPr>
              <w:t>%；属于优先采购环境标志产品总值为￥</w:t>
            </w:r>
            <w:r>
              <w:rPr>
                <w:rFonts w:hint="eastAsia" w:ascii="宋体" w:hAnsi="宋体"/>
                <w:sz w:val="22"/>
                <w:szCs w:val="22"/>
                <w:u w:val="single"/>
              </w:rPr>
              <w:t>　　</w:t>
            </w:r>
            <w:r>
              <w:rPr>
                <w:rFonts w:hint="eastAsia" w:ascii="宋体" w:hAnsi="宋体"/>
                <w:szCs w:val="21"/>
              </w:rPr>
              <w:t xml:space="preserve">元，占本投标报价的比例为 </w:t>
            </w:r>
            <w:r>
              <w:rPr>
                <w:rFonts w:hint="eastAsia" w:ascii="宋体" w:hAnsi="宋体"/>
                <w:sz w:val="22"/>
                <w:szCs w:val="22"/>
                <w:u w:val="single"/>
              </w:rPr>
              <w:t>　　</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jc w:val="center"/>
        </w:trPr>
        <w:tc>
          <w:tcPr>
            <w:tcW w:w="9648" w:type="dxa"/>
            <w:gridSpan w:val="8"/>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u w:val="single"/>
              </w:rPr>
              <w:t>　　</w:t>
            </w:r>
            <w:r>
              <w:rPr>
                <w:rFonts w:hint="eastAsia" w:ascii="宋体" w:hAnsi="宋体"/>
                <w:szCs w:val="21"/>
              </w:rPr>
              <w:t>分标（此处有分标时填写具体分标号，无分标时填写“无”）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jc w:val="center"/>
        </w:trPr>
        <w:tc>
          <w:tcPr>
            <w:tcW w:w="9648" w:type="dxa"/>
            <w:gridSpan w:val="8"/>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投标人（盖单位公章）：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jc w:val="center"/>
        </w:trPr>
        <w:tc>
          <w:tcPr>
            <w:tcW w:w="9648" w:type="dxa"/>
            <w:gridSpan w:val="8"/>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法定代表人或其委托代理人（签字或盖章）：</w:t>
            </w:r>
          </w:p>
        </w:tc>
      </w:tr>
    </w:tbl>
    <w:p>
      <w:pPr>
        <w:pStyle w:val="19"/>
        <w:rPr>
          <w:rFonts w:hAnsi="宋体"/>
        </w:rPr>
      </w:pPr>
      <w:r>
        <w:rPr>
          <w:rFonts w:hint="eastAsia" w:hAnsi="宋体"/>
        </w:rPr>
        <w:t>注：表格内容均需按要求填写并盖章，不得留空, 否则按投标无效处理。</w:t>
      </w:r>
    </w:p>
    <w:p>
      <w:pPr>
        <w:pStyle w:val="19"/>
        <w:jc w:val="center"/>
        <w:rPr>
          <w:rFonts w:hAnsi="宋体"/>
        </w:rPr>
      </w:pPr>
    </w:p>
    <w:p>
      <w:pPr>
        <w:pStyle w:val="19"/>
        <w:rPr>
          <w:rFonts w:hAnsi="宋体"/>
        </w:rPr>
      </w:pPr>
    </w:p>
    <w:p>
      <w:pPr>
        <w:pStyle w:val="19"/>
        <w:jc w:val="center"/>
        <w:rPr>
          <w:rFonts w:hAnsi="宋体"/>
          <w:b/>
          <w:sz w:val="30"/>
          <w:szCs w:val="30"/>
        </w:rPr>
      </w:pPr>
    </w:p>
    <w:p>
      <w:pPr>
        <w:pStyle w:val="19"/>
        <w:jc w:val="center"/>
        <w:rPr>
          <w:rFonts w:hAnsi="宋体"/>
          <w:b/>
          <w:sz w:val="30"/>
          <w:szCs w:val="30"/>
        </w:rPr>
      </w:pPr>
    </w:p>
    <w:p>
      <w:pPr>
        <w:pStyle w:val="19"/>
        <w:jc w:val="center"/>
        <w:rPr>
          <w:rFonts w:hAnsi="宋体"/>
          <w:b/>
          <w:sz w:val="30"/>
          <w:szCs w:val="30"/>
        </w:rPr>
      </w:pPr>
    </w:p>
    <w:p>
      <w:pPr>
        <w:pStyle w:val="19"/>
        <w:jc w:val="center"/>
        <w:rPr>
          <w:rFonts w:hAnsi="宋体"/>
          <w:b/>
          <w:sz w:val="30"/>
          <w:szCs w:val="30"/>
        </w:rPr>
      </w:pPr>
    </w:p>
    <w:p>
      <w:pPr>
        <w:pStyle w:val="19"/>
        <w:jc w:val="center"/>
        <w:rPr>
          <w:rFonts w:hAnsi="宋体"/>
          <w:b/>
          <w:sz w:val="30"/>
          <w:szCs w:val="30"/>
        </w:rPr>
      </w:pPr>
    </w:p>
    <w:p>
      <w:pPr>
        <w:pStyle w:val="19"/>
        <w:jc w:val="center"/>
        <w:rPr>
          <w:rFonts w:hAnsi="宋体"/>
          <w:b/>
          <w:sz w:val="30"/>
          <w:szCs w:val="30"/>
        </w:rPr>
      </w:pPr>
    </w:p>
    <w:p>
      <w:pPr>
        <w:pStyle w:val="19"/>
        <w:jc w:val="center"/>
        <w:rPr>
          <w:rFonts w:hAnsi="宋体"/>
          <w:b/>
          <w:sz w:val="30"/>
          <w:szCs w:val="30"/>
        </w:rPr>
      </w:pPr>
    </w:p>
    <w:p>
      <w:pPr>
        <w:pStyle w:val="19"/>
        <w:jc w:val="center"/>
        <w:rPr>
          <w:rFonts w:hAnsi="宋体"/>
          <w:b/>
          <w:sz w:val="30"/>
          <w:szCs w:val="30"/>
        </w:rPr>
      </w:pPr>
    </w:p>
    <w:p>
      <w:pPr>
        <w:pStyle w:val="19"/>
        <w:jc w:val="both"/>
        <w:rPr>
          <w:rFonts w:hAnsi="宋体"/>
          <w:b/>
          <w:sz w:val="30"/>
          <w:szCs w:val="30"/>
        </w:rPr>
      </w:pPr>
    </w:p>
    <w:p>
      <w:pPr>
        <w:pStyle w:val="19"/>
        <w:jc w:val="center"/>
        <w:rPr>
          <w:rFonts w:hAnsi="宋体"/>
          <w:b/>
          <w:sz w:val="30"/>
          <w:szCs w:val="30"/>
        </w:rPr>
      </w:pPr>
      <w:r>
        <w:rPr>
          <w:rFonts w:hint="eastAsia" w:hAnsi="宋体"/>
          <w:b/>
          <w:sz w:val="30"/>
          <w:szCs w:val="30"/>
        </w:rPr>
        <w:t>中小企业声明函（格式）</w:t>
      </w:r>
    </w:p>
    <w:p>
      <w:pPr>
        <w:pStyle w:val="15"/>
        <w:spacing w:line="240" w:lineRule="auto"/>
        <w:ind w:firstLine="0"/>
        <w:rPr>
          <w:rFonts w:hAnsi="宋体"/>
          <w:sz w:val="21"/>
          <w:szCs w:val="21"/>
        </w:rPr>
      </w:pPr>
      <w:r>
        <w:rPr>
          <w:rFonts w:hint="eastAsia" w:hAnsi="宋体"/>
          <w:sz w:val="21"/>
          <w:szCs w:val="21"/>
        </w:rPr>
        <w:t>说明：</w:t>
      </w:r>
    </w:p>
    <w:p>
      <w:pPr>
        <w:pStyle w:val="15"/>
        <w:spacing w:line="240" w:lineRule="auto"/>
        <w:ind w:firstLine="404" w:firstLineChars="200"/>
        <w:rPr>
          <w:rFonts w:hAnsi="宋体"/>
          <w:sz w:val="21"/>
          <w:szCs w:val="21"/>
        </w:rPr>
      </w:pPr>
      <w:r>
        <w:rPr>
          <w:rFonts w:hAnsi="宋体"/>
          <w:sz w:val="21"/>
          <w:szCs w:val="21"/>
        </w:rPr>
        <w:t>1</w:t>
      </w:r>
      <w:r>
        <w:rPr>
          <w:rFonts w:hint="eastAsia" w:hAnsi="宋体"/>
          <w:sz w:val="21"/>
          <w:szCs w:val="21"/>
        </w:rPr>
        <w:t>、本声明函主要供参加政府采购活动的中小企业填写，非中小企业无需填写。</w:t>
      </w:r>
    </w:p>
    <w:p>
      <w:pPr>
        <w:pStyle w:val="15"/>
        <w:spacing w:line="240" w:lineRule="auto"/>
        <w:ind w:firstLine="404" w:firstLineChars="200"/>
        <w:rPr>
          <w:rFonts w:hAnsi="宋体"/>
          <w:sz w:val="21"/>
          <w:szCs w:val="21"/>
        </w:rPr>
      </w:pPr>
      <w:r>
        <w:rPr>
          <w:rFonts w:hAnsi="宋体"/>
          <w:sz w:val="21"/>
          <w:szCs w:val="21"/>
        </w:rPr>
        <w:t>2</w:t>
      </w:r>
      <w:r>
        <w:rPr>
          <w:rFonts w:hint="eastAsia" w:hAnsi="宋体"/>
          <w:sz w:val="21"/>
          <w:szCs w:val="21"/>
        </w:rPr>
        <w:t>、小型、微型企业提供中型企业制造的货物的，视同为中型企业。</w:t>
      </w:r>
    </w:p>
    <w:p>
      <w:pPr>
        <w:pStyle w:val="15"/>
        <w:spacing w:line="360" w:lineRule="auto"/>
        <w:ind w:firstLine="404" w:firstLineChars="200"/>
        <w:rPr>
          <w:rFonts w:hAnsi="宋体"/>
          <w:sz w:val="21"/>
          <w:szCs w:val="21"/>
        </w:rPr>
      </w:pPr>
    </w:p>
    <w:p>
      <w:pPr>
        <w:pStyle w:val="19"/>
        <w:spacing w:line="360" w:lineRule="auto"/>
        <w:ind w:firstLine="420" w:firstLineChars="200"/>
        <w:rPr>
          <w:rFonts w:hAnsi="宋体"/>
          <w:szCs w:val="21"/>
        </w:rPr>
      </w:pPr>
      <w:r>
        <w:rPr>
          <w:rFonts w:hint="eastAsia" w:hAnsi="宋体"/>
          <w:szCs w:val="21"/>
        </w:rPr>
        <w:t>本公司郑重声明，根据《政府采购促进中小企业发展暂行办法》（财库〔</w:t>
      </w:r>
      <w:r>
        <w:rPr>
          <w:rFonts w:hAnsi="宋体"/>
          <w:szCs w:val="21"/>
        </w:rPr>
        <w:t>2011</w:t>
      </w:r>
      <w:r>
        <w:rPr>
          <w:rFonts w:hint="eastAsia" w:hAnsi="宋体"/>
          <w:szCs w:val="21"/>
        </w:rPr>
        <w:t>〕</w:t>
      </w:r>
      <w:r>
        <w:rPr>
          <w:rFonts w:hAnsi="宋体"/>
          <w:szCs w:val="21"/>
        </w:rPr>
        <w:t>181</w:t>
      </w:r>
      <w:r>
        <w:rPr>
          <w:rFonts w:hint="eastAsia" w:hAnsi="宋体"/>
          <w:szCs w:val="21"/>
        </w:rPr>
        <w:t>号）的规定，本公司为</w:t>
      </w:r>
      <w:r>
        <w:rPr>
          <w:rFonts w:hAnsi="宋体"/>
          <w:szCs w:val="21"/>
        </w:rPr>
        <w:t>______</w:t>
      </w:r>
      <w:r>
        <w:rPr>
          <w:rFonts w:hint="eastAsia" w:hAnsi="宋体"/>
          <w:szCs w:val="21"/>
        </w:rPr>
        <w:t>（请填写：中型、小型、微型）企业。即，本公司同时满足以下条件：</w:t>
      </w:r>
    </w:p>
    <w:p>
      <w:pPr>
        <w:pStyle w:val="19"/>
        <w:spacing w:line="360" w:lineRule="auto"/>
        <w:ind w:firstLine="420" w:firstLineChars="200"/>
        <w:rPr>
          <w:rFonts w:hAnsi="宋体"/>
          <w:szCs w:val="21"/>
        </w:rPr>
      </w:pPr>
      <w:r>
        <w:rPr>
          <w:rFonts w:hAnsi="宋体"/>
          <w:szCs w:val="21"/>
        </w:rPr>
        <w:t>1</w:t>
      </w:r>
      <w:r>
        <w:rPr>
          <w:rFonts w:hint="eastAsia" w:hAnsi="宋体"/>
          <w:szCs w:val="21"/>
        </w:rPr>
        <w:t>．根据《工业和信息化部、国家统计局、国家发展和改革委员会、财政部关于印发中小企业划型标准规定的通知》（工信部联企业〔</w:t>
      </w:r>
      <w:r>
        <w:rPr>
          <w:rFonts w:hAnsi="宋体"/>
          <w:szCs w:val="21"/>
        </w:rPr>
        <w:t>2011</w:t>
      </w:r>
      <w:r>
        <w:rPr>
          <w:rFonts w:hint="eastAsia" w:hAnsi="宋体"/>
          <w:szCs w:val="21"/>
        </w:rPr>
        <w:t>〕</w:t>
      </w:r>
      <w:r>
        <w:rPr>
          <w:rFonts w:hAnsi="宋体"/>
          <w:szCs w:val="21"/>
        </w:rPr>
        <w:t>300</w:t>
      </w:r>
      <w:r>
        <w:rPr>
          <w:rFonts w:hint="eastAsia" w:hAnsi="宋体"/>
          <w:szCs w:val="21"/>
        </w:rPr>
        <w:t>号）规定的划分标准，本公司为</w:t>
      </w:r>
      <w:r>
        <w:rPr>
          <w:rFonts w:hAnsi="宋体"/>
          <w:szCs w:val="21"/>
        </w:rPr>
        <w:t>______</w:t>
      </w:r>
      <w:r>
        <w:rPr>
          <w:rFonts w:hint="eastAsia" w:hAnsi="宋体"/>
          <w:szCs w:val="21"/>
        </w:rPr>
        <w:t>（请填写：中型、小型、微型）企业。</w:t>
      </w:r>
    </w:p>
    <w:p>
      <w:pPr>
        <w:pStyle w:val="19"/>
        <w:spacing w:line="360" w:lineRule="auto"/>
        <w:ind w:firstLine="420" w:firstLineChars="200"/>
        <w:rPr>
          <w:rFonts w:hAnsi="宋体"/>
          <w:szCs w:val="21"/>
        </w:rPr>
      </w:pPr>
      <w:r>
        <w:rPr>
          <w:rFonts w:hAnsi="宋体"/>
          <w:szCs w:val="21"/>
        </w:rPr>
        <w:t>2</w:t>
      </w:r>
      <w:r>
        <w:rPr>
          <w:rFonts w:hint="eastAsia" w:hAnsi="宋体"/>
          <w:szCs w:val="21"/>
        </w:rPr>
        <w:t>．本公司参加</w:t>
      </w:r>
      <w:r>
        <w:rPr>
          <w:rFonts w:hAnsi="宋体"/>
          <w:szCs w:val="21"/>
        </w:rPr>
        <w:t>______</w:t>
      </w:r>
      <w:r>
        <w:rPr>
          <w:rFonts w:hint="eastAsia" w:hAnsi="宋体"/>
          <w:szCs w:val="21"/>
        </w:rPr>
        <w:t>单位的</w:t>
      </w:r>
      <w:r>
        <w:rPr>
          <w:rFonts w:hAnsi="宋体"/>
          <w:szCs w:val="21"/>
        </w:rPr>
        <w:t>______</w:t>
      </w:r>
      <w:r>
        <w:rPr>
          <w:rFonts w:hint="eastAsia" w:hAnsi="宋体"/>
          <w:szCs w:val="21"/>
        </w:rPr>
        <w:t>项目采购活动提供本企业制造的货物，由本企业承担工程、提供服务，或者提供其他</w:t>
      </w:r>
      <w:r>
        <w:rPr>
          <w:rFonts w:hAnsi="宋体"/>
          <w:szCs w:val="21"/>
        </w:rPr>
        <w:t>______</w:t>
      </w:r>
      <w:r>
        <w:rPr>
          <w:rFonts w:hint="eastAsia" w:hAnsi="宋体"/>
          <w:szCs w:val="21"/>
        </w:rPr>
        <w:t>（请填写：中型、小型、微型）企业制造的货物。本条所称货物不包括使用大型企业注册商标的货物。</w:t>
      </w:r>
    </w:p>
    <w:p>
      <w:pPr>
        <w:pStyle w:val="19"/>
        <w:spacing w:line="360" w:lineRule="auto"/>
        <w:ind w:firstLine="420" w:firstLineChars="200"/>
        <w:rPr>
          <w:rFonts w:hAnsi="宋体"/>
          <w:szCs w:val="21"/>
        </w:rPr>
      </w:pPr>
      <w:r>
        <w:rPr>
          <w:rFonts w:hint="eastAsia" w:hAnsi="宋体"/>
          <w:szCs w:val="21"/>
        </w:rPr>
        <w:t>本公司对上述声明的真实性负责。如有虚假，将依法承担相应责任。</w:t>
      </w:r>
    </w:p>
    <w:p>
      <w:pPr>
        <w:pStyle w:val="19"/>
        <w:spacing w:line="360" w:lineRule="auto"/>
        <w:ind w:firstLine="420" w:firstLineChars="200"/>
        <w:rPr>
          <w:rFonts w:hAnsi="宋体"/>
          <w:szCs w:val="21"/>
        </w:rPr>
      </w:pPr>
    </w:p>
    <w:p>
      <w:pPr>
        <w:pStyle w:val="19"/>
        <w:spacing w:line="360" w:lineRule="auto"/>
        <w:ind w:firstLine="420" w:firstLineChars="200"/>
        <w:rPr>
          <w:rFonts w:hAnsi="宋体"/>
          <w:szCs w:val="21"/>
        </w:rPr>
      </w:pPr>
    </w:p>
    <w:p>
      <w:pPr>
        <w:pStyle w:val="19"/>
        <w:spacing w:line="360" w:lineRule="auto"/>
        <w:ind w:firstLine="420" w:firstLineChars="200"/>
        <w:rPr>
          <w:rFonts w:hAnsi="宋体"/>
        </w:rPr>
      </w:pPr>
    </w:p>
    <w:p>
      <w:pPr>
        <w:pStyle w:val="19"/>
        <w:spacing w:line="600" w:lineRule="exact"/>
        <w:rPr>
          <w:rFonts w:hAnsi="宋体"/>
          <w:u w:val="single"/>
        </w:rPr>
      </w:pPr>
      <w:r>
        <w:rPr>
          <w:rFonts w:hint="eastAsia" w:hAnsi="宋体"/>
        </w:rPr>
        <w:t>投标人（盖单位公章）：</w:t>
      </w:r>
    </w:p>
    <w:p>
      <w:pPr>
        <w:pStyle w:val="19"/>
        <w:spacing w:line="600" w:lineRule="exact"/>
        <w:rPr>
          <w:rFonts w:hAnsi="宋体"/>
          <w:u w:val="single"/>
        </w:rPr>
      </w:pPr>
    </w:p>
    <w:p>
      <w:pPr>
        <w:pStyle w:val="19"/>
        <w:spacing w:line="500" w:lineRule="exact"/>
        <w:rPr>
          <w:rFonts w:hAnsi="宋体"/>
          <w:u w:val="single"/>
        </w:rPr>
      </w:pPr>
      <w:r>
        <w:rPr>
          <w:rFonts w:hint="eastAsia" w:hAnsi="宋体"/>
        </w:rPr>
        <w:t>法定代表人或其委托代理人（签字或盖章）：</w:t>
      </w:r>
    </w:p>
    <w:p>
      <w:pPr>
        <w:pStyle w:val="19"/>
        <w:spacing w:line="360" w:lineRule="auto"/>
        <w:jc w:val="center"/>
        <w:rPr>
          <w:rFonts w:hAnsi="宋体"/>
          <w:b/>
          <w:sz w:val="30"/>
          <w:szCs w:val="30"/>
        </w:rPr>
      </w:pPr>
      <w:r>
        <w:rPr>
          <w:rFonts w:hAnsi="宋体"/>
        </w:rPr>
        <w:br w:type="page"/>
      </w:r>
      <w:r>
        <w:rPr>
          <w:rFonts w:hint="eastAsia" w:hAnsi="宋体"/>
          <w:b/>
          <w:sz w:val="30"/>
          <w:szCs w:val="30"/>
        </w:rPr>
        <w:t>残疾人福利性单位声明函（格式）</w:t>
      </w:r>
    </w:p>
    <w:p>
      <w:pPr>
        <w:pStyle w:val="19"/>
        <w:spacing w:line="360" w:lineRule="auto"/>
        <w:jc w:val="center"/>
        <w:rPr>
          <w:rFonts w:hAnsi="宋体"/>
          <w:b/>
          <w:sz w:val="30"/>
          <w:szCs w:val="30"/>
        </w:rPr>
      </w:pPr>
    </w:p>
    <w:p>
      <w:pPr>
        <w:pStyle w:val="19"/>
        <w:spacing w:line="360" w:lineRule="auto"/>
        <w:jc w:val="left"/>
        <w:rPr>
          <w:rFonts w:hAnsi="宋体"/>
          <w:b/>
          <w:szCs w:val="21"/>
        </w:rPr>
      </w:pPr>
      <w:r>
        <w:rPr>
          <w:rFonts w:hint="eastAsia" w:hAnsi="宋体"/>
          <w:b/>
          <w:szCs w:val="21"/>
        </w:rPr>
        <w:t>本公司郑重声明，根据《财政部民政部中国残疾人联合会关于促进残疾人就业政府采购政策的通知》（财库〔</w:t>
      </w:r>
      <w:r>
        <w:rPr>
          <w:rFonts w:hAnsi="宋体"/>
          <w:b/>
          <w:szCs w:val="21"/>
        </w:rPr>
        <w:t>2017</w:t>
      </w:r>
      <w:r>
        <w:rPr>
          <w:rFonts w:hint="eastAsia" w:hAnsi="宋体"/>
          <w:b/>
          <w:szCs w:val="21"/>
        </w:rPr>
        <w:t>〕</w:t>
      </w:r>
      <w:r>
        <w:rPr>
          <w:rFonts w:hAnsi="宋体"/>
          <w:b/>
          <w:szCs w:val="21"/>
        </w:rPr>
        <w:t xml:space="preserve"> 141</w:t>
      </w:r>
      <w:r>
        <w:rPr>
          <w:rFonts w:hint="eastAsia" w:hAnsi="宋体"/>
          <w:b/>
          <w:szCs w:val="21"/>
        </w:rPr>
        <w:t>号）的规定，本公司为符合条件的残疾人福利性单位，且本公司参加</w:t>
      </w:r>
      <w:r>
        <w:rPr>
          <w:rFonts w:hAnsi="宋体"/>
          <w:b/>
          <w:szCs w:val="21"/>
        </w:rPr>
        <w:t>______</w:t>
      </w:r>
      <w:r>
        <w:rPr>
          <w:rFonts w:hint="eastAsia" w:hAnsi="宋体"/>
          <w:b/>
          <w:szCs w:val="21"/>
        </w:rPr>
        <w:t>单位的</w:t>
      </w:r>
      <w:r>
        <w:rPr>
          <w:rFonts w:hAnsi="宋体"/>
          <w:b/>
          <w:szCs w:val="21"/>
        </w:rPr>
        <w:t>______</w:t>
      </w:r>
      <w:r>
        <w:rPr>
          <w:rFonts w:hint="eastAsia" w:hAnsi="宋体"/>
          <w:b/>
          <w:szCs w:val="21"/>
        </w:rPr>
        <w:t>项目采购活动提供本公司制造的货物（由本公司承担工程</w:t>
      </w:r>
      <w:r>
        <w:rPr>
          <w:rFonts w:hAnsi="宋体"/>
          <w:b/>
          <w:szCs w:val="21"/>
        </w:rPr>
        <w:t>/</w:t>
      </w:r>
      <w:r>
        <w:rPr>
          <w:rFonts w:hint="eastAsia" w:hAnsi="宋体"/>
          <w:b/>
          <w:szCs w:val="21"/>
        </w:rPr>
        <w:t>提供服务），或者提供其他残疾人福利性单位制造的货物（不包括使用非残疾人福利性单位注册商标的货物）。</w:t>
      </w:r>
    </w:p>
    <w:p>
      <w:pPr>
        <w:pStyle w:val="19"/>
        <w:spacing w:line="360" w:lineRule="auto"/>
        <w:jc w:val="left"/>
        <w:rPr>
          <w:rFonts w:hAnsi="宋体"/>
          <w:b/>
          <w:szCs w:val="21"/>
        </w:rPr>
      </w:pPr>
      <w:r>
        <w:rPr>
          <w:rFonts w:hint="eastAsia" w:hAnsi="宋体"/>
          <w:b/>
          <w:szCs w:val="21"/>
        </w:rPr>
        <w:t>本公司对上述声明的真实性负责。如有虚假，将依法承担相应责任。</w:t>
      </w:r>
    </w:p>
    <w:p>
      <w:pPr>
        <w:pStyle w:val="19"/>
        <w:spacing w:line="360" w:lineRule="auto"/>
        <w:jc w:val="left"/>
        <w:rPr>
          <w:rFonts w:hAnsi="宋体"/>
          <w:b/>
          <w:szCs w:val="21"/>
        </w:rPr>
      </w:pPr>
    </w:p>
    <w:p>
      <w:pPr>
        <w:pStyle w:val="19"/>
        <w:spacing w:line="360" w:lineRule="auto"/>
        <w:jc w:val="left"/>
        <w:rPr>
          <w:rFonts w:hAnsi="宋体"/>
          <w:b/>
          <w:szCs w:val="21"/>
        </w:rPr>
      </w:pPr>
    </w:p>
    <w:p>
      <w:pPr>
        <w:pStyle w:val="19"/>
        <w:spacing w:line="360" w:lineRule="auto"/>
        <w:jc w:val="left"/>
        <w:rPr>
          <w:rFonts w:hAnsi="宋体"/>
          <w:b/>
          <w:szCs w:val="21"/>
        </w:rPr>
      </w:pPr>
      <w:r>
        <w:rPr>
          <w:rFonts w:hint="eastAsia" w:hAnsi="宋体"/>
          <w:b/>
          <w:szCs w:val="21"/>
        </w:rPr>
        <w:t>投标人（盖单位公章）：</w:t>
      </w:r>
    </w:p>
    <w:p>
      <w:pPr>
        <w:pStyle w:val="19"/>
        <w:spacing w:line="360" w:lineRule="auto"/>
        <w:jc w:val="left"/>
        <w:rPr>
          <w:rFonts w:hAnsi="宋体"/>
          <w:b/>
          <w:szCs w:val="21"/>
        </w:rPr>
      </w:pPr>
    </w:p>
    <w:p>
      <w:pPr>
        <w:pStyle w:val="19"/>
        <w:spacing w:line="360" w:lineRule="auto"/>
        <w:jc w:val="left"/>
        <w:rPr>
          <w:rFonts w:hAnsi="宋体"/>
          <w:szCs w:val="21"/>
        </w:rPr>
      </w:pPr>
      <w:r>
        <w:rPr>
          <w:rFonts w:hint="eastAsia" w:hAnsi="宋体"/>
          <w:b/>
          <w:szCs w:val="21"/>
        </w:rPr>
        <w:t>法定代表人或其委托代理人（签字或盖章）：</w:t>
      </w:r>
      <w:r>
        <w:rPr>
          <w:rFonts w:hAnsi="宋体"/>
        </w:rPr>
        <w:br w:type="page"/>
      </w:r>
    </w:p>
    <w:p>
      <w:pPr>
        <w:pStyle w:val="19"/>
        <w:spacing w:line="500" w:lineRule="exact"/>
        <w:jc w:val="center"/>
        <w:rPr>
          <w:rFonts w:hAnsi="宋体"/>
          <w:b/>
          <w:bCs/>
          <w:sz w:val="30"/>
          <w:szCs w:val="30"/>
        </w:rPr>
      </w:pPr>
      <w:r>
        <w:rPr>
          <w:rFonts w:hint="eastAsia" w:hAnsi="宋体"/>
          <w:b/>
          <w:sz w:val="30"/>
          <w:szCs w:val="30"/>
        </w:rPr>
        <w:t>广西工业产品声明函</w:t>
      </w:r>
      <w:r>
        <w:rPr>
          <w:rFonts w:hint="eastAsia" w:hAnsi="宋体"/>
          <w:b/>
          <w:bCs/>
          <w:sz w:val="30"/>
          <w:szCs w:val="30"/>
        </w:rPr>
        <w:t>（格式）</w:t>
      </w:r>
    </w:p>
    <w:p>
      <w:pPr>
        <w:pStyle w:val="19"/>
        <w:rPr>
          <w:rFonts w:hAnsi="宋体"/>
          <w:b/>
          <w:sz w:val="24"/>
        </w:rPr>
      </w:pPr>
    </w:p>
    <w:p>
      <w:pPr>
        <w:pStyle w:val="15"/>
        <w:spacing w:line="240" w:lineRule="auto"/>
        <w:ind w:firstLine="0"/>
        <w:rPr>
          <w:rFonts w:hAnsi="宋体"/>
          <w:sz w:val="21"/>
          <w:szCs w:val="21"/>
        </w:rPr>
      </w:pPr>
      <w:r>
        <w:rPr>
          <w:rFonts w:hint="eastAsia" w:hAnsi="宋体"/>
          <w:sz w:val="21"/>
          <w:szCs w:val="21"/>
        </w:rPr>
        <w:t>说明：</w:t>
      </w:r>
    </w:p>
    <w:p>
      <w:pPr>
        <w:pStyle w:val="15"/>
        <w:spacing w:line="240" w:lineRule="auto"/>
        <w:rPr>
          <w:rFonts w:hAnsi="宋体"/>
          <w:sz w:val="21"/>
          <w:szCs w:val="21"/>
        </w:rPr>
      </w:pPr>
      <w:r>
        <w:rPr>
          <w:rFonts w:hAnsi="宋体"/>
          <w:sz w:val="21"/>
          <w:szCs w:val="21"/>
        </w:rPr>
        <w:t>1</w:t>
      </w:r>
      <w:r>
        <w:rPr>
          <w:rFonts w:hint="eastAsia" w:hAnsi="宋体"/>
          <w:sz w:val="21"/>
          <w:szCs w:val="21"/>
        </w:rPr>
        <w:t>、本文件所指广西工业产品，是指广西境内生产的工业产品，具体以生产企业的工商营业执照注册所在地为准。</w:t>
      </w:r>
    </w:p>
    <w:p>
      <w:pPr>
        <w:pStyle w:val="15"/>
        <w:spacing w:line="240" w:lineRule="auto"/>
        <w:rPr>
          <w:rFonts w:hAnsi="宋体"/>
          <w:sz w:val="21"/>
          <w:szCs w:val="21"/>
        </w:rPr>
      </w:pPr>
      <w:r>
        <w:rPr>
          <w:rFonts w:hAnsi="宋体"/>
          <w:sz w:val="21"/>
          <w:szCs w:val="21"/>
        </w:rPr>
        <w:t>2</w:t>
      </w:r>
      <w:r>
        <w:rPr>
          <w:rFonts w:hint="eastAsia" w:hAnsi="宋体"/>
          <w:sz w:val="21"/>
          <w:szCs w:val="21"/>
        </w:rPr>
        <w:t>、本细则所指使用广西工业产品</w:t>
      </w:r>
      <w:r>
        <w:rPr>
          <w:rFonts w:hAnsi="宋体"/>
          <w:sz w:val="21"/>
          <w:szCs w:val="21"/>
        </w:rPr>
        <w:t xml:space="preserve"> 80%</w:t>
      </w:r>
      <w:r>
        <w:rPr>
          <w:rFonts w:hint="eastAsia" w:hAnsi="宋体"/>
          <w:sz w:val="21"/>
          <w:szCs w:val="21"/>
        </w:rPr>
        <w:t>以上，是指参加政府采购项目或招标项目时供货范围中采用广西工业产品的金额占本次投标或竞标总金额的</w:t>
      </w:r>
      <w:r>
        <w:rPr>
          <w:rFonts w:hAnsi="宋体"/>
          <w:sz w:val="21"/>
          <w:szCs w:val="21"/>
        </w:rPr>
        <w:t>80%</w:t>
      </w:r>
      <w:r>
        <w:rPr>
          <w:rFonts w:hint="eastAsia" w:hAnsi="宋体"/>
          <w:sz w:val="21"/>
          <w:szCs w:val="21"/>
        </w:rPr>
        <w:t>以上（含）；或者工程建设使用广西工业产品占工程建设所需产品总金额的</w:t>
      </w:r>
      <w:r>
        <w:rPr>
          <w:rFonts w:hAnsi="宋体"/>
          <w:sz w:val="21"/>
          <w:szCs w:val="21"/>
        </w:rPr>
        <w:t>80%</w:t>
      </w:r>
      <w:r>
        <w:rPr>
          <w:rFonts w:hint="eastAsia" w:hAnsi="宋体"/>
          <w:sz w:val="21"/>
          <w:szCs w:val="21"/>
        </w:rPr>
        <w:t>以上（含）。</w:t>
      </w:r>
    </w:p>
    <w:p>
      <w:pPr>
        <w:pStyle w:val="15"/>
        <w:spacing w:line="240" w:lineRule="auto"/>
        <w:rPr>
          <w:rFonts w:hAnsi="宋体"/>
          <w:sz w:val="21"/>
          <w:szCs w:val="21"/>
        </w:rPr>
      </w:pPr>
      <w:r>
        <w:rPr>
          <w:rFonts w:hAnsi="宋体"/>
          <w:sz w:val="21"/>
          <w:szCs w:val="21"/>
        </w:rPr>
        <w:t>3</w:t>
      </w:r>
      <w:r>
        <w:rPr>
          <w:rFonts w:hint="eastAsia" w:hAnsi="宋体"/>
          <w:sz w:val="21"/>
          <w:szCs w:val="21"/>
        </w:rPr>
        <w:t>、发现投标人提供虚假材料、采购单位履约过程中中标供应商未按投标文件《广西工业产品声明函》中使用广西工业产品或者使用广西工业产品未达</w:t>
      </w:r>
      <w:r>
        <w:rPr>
          <w:rFonts w:hAnsi="宋体"/>
          <w:sz w:val="21"/>
          <w:szCs w:val="21"/>
        </w:rPr>
        <w:t>80%</w:t>
      </w:r>
      <w:r>
        <w:rPr>
          <w:rFonts w:hint="eastAsia" w:hAnsi="宋体"/>
          <w:sz w:val="21"/>
          <w:szCs w:val="21"/>
        </w:rPr>
        <w:t>以上的，按照有关法律法规追究其相关责任。</w:t>
      </w:r>
    </w:p>
    <w:p>
      <w:pPr>
        <w:pStyle w:val="15"/>
        <w:spacing w:line="240" w:lineRule="auto"/>
        <w:rPr>
          <w:rFonts w:hAnsi="宋体"/>
          <w:sz w:val="21"/>
          <w:szCs w:val="21"/>
        </w:rPr>
      </w:pPr>
    </w:p>
    <w:p>
      <w:pPr>
        <w:pStyle w:val="15"/>
        <w:spacing w:line="240" w:lineRule="auto"/>
        <w:ind w:firstLine="404" w:firstLineChars="200"/>
        <w:rPr>
          <w:rFonts w:hAnsi="宋体"/>
          <w:sz w:val="21"/>
          <w:szCs w:val="21"/>
        </w:rPr>
      </w:pPr>
      <w:r>
        <w:rPr>
          <w:rFonts w:hint="eastAsia" w:hAnsi="宋体"/>
          <w:sz w:val="21"/>
          <w:szCs w:val="21"/>
        </w:rPr>
        <w:t>我方郑重声明，根据《招标采购促进广西工业产品产销对接实施细则》的规定，我方在本次投标∕竞标中或者工程项目中提供的下述产品为广西工业产品，详情如下：</w:t>
      </w:r>
    </w:p>
    <w:p>
      <w:pPr>
        <w:pStyle w:val="19"/>
        <w:rPr>
          <w:rFonts w:hAnsi="宋体"/>
          <w:u w:val="single"/>
        </w:rPr>
      </w:pPr>
      <w:r>
        <w:rPr>
          <w:rFonts w:hint="eastAsia" w:hAnsi="宋体"/>
          <w:u w:val="single"/>
        </w:rPr>
        <w:t>　　分标（此处有分标时填写具体分标号，无分标时填写“无”）</w:t>
      </w:r>
    </w:p>
    <w:tbl>
      <w:tblPr>
        <w:tblStyle w:val="34"/>
        <w:tblW w:w="95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2164"/>
        <w:gridCol w:w="1417"/>
        <w:gridCol w:w="709"/>
        <w:gridCol w:w="2268"/>
        <w:gridCol w:w="1474"/>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654" w:type="dxa"/>
            <w:vAlign w:val="center"/>
          </w:tcPr>
          <w:p>
            <w:pPr>
              <w:pStyle w:val="19"/>
              <w:jc w:val="center"/>
              <w:rPr>
                <w:rFonts w:hAnsi="宋体"/>
                <w:u w:val="single"/>
              </w:rPr>
            </w:pPr>
            <w:r>
              <w:rPr>
                <w:rFonts w:hint="eastAsia" w:hAnsi="宋体"/>
                <w:u w:val="single"/>
              </w:rPr>
              <w:t>序号</w:t>
            </w:r>
          </w:p>
        </w:tc>
        <w:tc>
          <w:tcPr>
            <w:tcW w:w="2164" w:type="dxa"/>
            <w:vAlign w:val="center"/>
          </w:tcPr>
          <w:p>
            <w:pPr>
              <w:pStyle w:val="19"/>
              <w:jc w:val="center"/>
              <w:rPr>
                <w:rFonts w:hAnsi="宋体"/>
                <w:u w:val="single"/>
              </w:rPr>
            </w:pPr>
            <w:r>
              <w:rPr>
                <w:rFonts w:hint="eastAsia" w:hAnsi="宋体"/>
                <w:u w:val="single"/>
              </w:rPr>
              <w:t>产品名称</w:t>
            </w:r>
          </w:p>
        </w:tc>
        <w:tc>
          <w:tcPr>
            <w:tcW w:w="1417" w:type="dxa"/>
            <w:vAlign w:val="center"/>
          </w:tcPr>
          <w:p>
            <w:pPr>
              <w:pStyle w:val="19"/>
              <w:jc w:val="center"/>
              <w:rPr>
                <w:rFonts w:hAnsi="宋体"/>
                <w:u w:val="single"/>
              </w:rPr>
            </w:pPr>
            <w:r>
              <w:rPr>
                <w:rFonts w:hint="eastAsia" w:hAnsi="宋体"/>
                <w:u w:val="single"/>
              </w:rPr>
              <w:t>型号和规格</w:t>
            </w:r>
          </w:p>
        </w:tc>
        <w:tc>
          <w:tcPr>
            <w:tcW w:w="709" w:type="dxa"/>
            <w:vAlign w:val="center"/>
          </w:tcPr>
          <w:p>
            <w:pPr>
              <w:pStyle w:val="19"/>
              <w:jc w:val="center"/>
              <w:rPr>
                <w:rFonts w:hAnsi="宋体"/>
                <w:u w:val="single"/>
              </w:rPr>
            </w:pPr>
            <w:r>
              <w:rPr>
                <w:rFonts w:hint="eastAsia" w:hAnsi="宋体"/>
                <w:u w:val="single"/>
              </w:rPr>
              <w:t>数量</w:t>
            </w:r>
          </w:p>
        </w:tc>
        <w:tc>
          <w:tcPr>
            <w:tcW w:w="2268" w:type="dxa"/>
            <w:vAlign w:val="center"/>
          </w:tcPr>
          <w:p>
            <w:pPr>
              <w:pStyle w:val="19"/>
              <w:jc w:val="center"/>
              <w:rPr>
                <w:rFonts w:hAnsi="宋体"/>
                <w:u w:val="single"/>
              </w:rPr>
            </w:pPr>
            <w:r>
              <w:rPr>
                <w:rFonts w:hint="eastAsia" w:hAnsi="宋体"/>
                <w:u w:val="single"/>
              </w:rPr>
              <w:t>制造厂商及原产地</w:t>
            </w:r>
          </w:p>
        </w:tc>
        <w:tc>
          <w:tcPr>
            <w:tcW w:w="1474" w:type="dxa"/>
            <w:vAlign w:val="center"/>
          </w:tcPr>
          <w:p>
            <w:pPr>
              <w:pStyle w:val="19"/>
              <w:jc w:val="center"/>
              <w:rPr>
                <w:rFonts w:hAnsi="宋体"/>
                <w:u w:val="single"/>
              </w:rPr>
            </w:pPr>
            <w:r>
              <w:rPr>
                <w:rFonts w:hint="eastAsia" w:hAnsi="宋体"/>
                <w:u w:val="single"/>
              </w:rPr>
              <w:t>投标价</w:t>
            </w:r>
          </w:p>
        </w:tc>
        <w:tc>
          <w:tcPr>
            <w:tcW w:w="893" w:type="dxa"/>
            <w:vAlign w:val="center"/>
          </w:tcPr>
          <w:p>
            <w:pPr>
              <w:pStyle w:val="19"/>
              <w:jc w:val="center"/>
              <w:rPr>
                <w:rFonts w:hAnsi="宋体"/>
                <w:u w:val="single"/>
              </w:rPr>
            </w:pPr>
            <w:r>
              <w:rPr>
                <w:rFonts w:hint="eastAsia" w:hAnsi="宋体"/>
                <w:u w:val="singl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654" w:type="dxa"/>
            <w:vAlign w:val="center"/>
          </w:tcPr>
          <w:p>
            <w:pPr>
              <w:pStyle w:val="19"/>
              <w:jc w:val="center"/>
              <w:rPr>
                <w:rFonts w:hAnsi="宋体"/>
                <w:u w:val="single"/>
              </w:rPr>
            </w:pPr>
            <w:r>
              <w:rPr>
                <w:rFonts w:hAnsi="宋体"/>
                <w:u w:val="single"/>
              </w:rPr>
              <w:t>1</w:t>
            </w:r>
          </w:p>
        </w:tc>
        <w:tc>
          <w:tcPr>
            <w:tcW w:w="2164" w:type="dxa"/>
            <w:vAlign w:val="center"/>
          </w:tcPr>
          <w:p>
            <w:pPr>
              <w:pStyle w:val="19"/>
              <w:jc w:val="center"/>
              <w:rPr>
                <w:rFonts w:hAnsi="宋体"/>
                <w:u w:val="single"/>
              </w:rPr>
            </w:pPr>
          </w:p>
        </w:tc>
        <w:tc>
          <w:tcPr>
            <w:tcW w:w="1417" w:type="dxa"/>
            <w:vAlign w:val="center"/>
          </w:tcPr>
          <w:p>
            <w:pPr>
              <w:pStyle w:val="19"/>
              <w:jc w:val="center"/>
              <w:rPr>
                <w:rFonts w:hAnsi="宋体"/>
                <w:u w:val="single"/>
              </w:rPr>
            </w:pPr>
          </w:p>
        </w:tc>
        <w:tc>
          <w:tcPr>
            <w:tcW w:w="709" w:type="dxa"/>
            <w:vAlign w:val="center"/>
          </w:tcPr>
          <w:p>
            <w:pPr>
              <w:pStyle w:val="19"/>
              <w:jc w:val="center"/>
              <w:rPr>
                <w:rFonts w:hAnsi="宋体"/>
                <w:u w:val="single"/>
              </w:rPr>
            </w:pPr>
          </w:p>
        </w:tc>
        <w:tc>
          <w:tcPr>
            <w:tcW w:w="2268" w:type="dxa"/>
            <w:vAlign w:val="center"/>
          </w:tcPr>
          <w:p>
            <w:pPr>
              <w:pStyle w:val="19"/>
              <w:jc w:val="center"/>
              <w:rPr>
                <w:rFonts w:hAnsi="宋体"/>
                <w:u w:val="single"/>
              </w:rPr>
            </w:pPr>
          </w:p>
        </w:tc>
        <w:tc>
          <w:tcPr>
            <w:tcW w:w="1474" w:type="dxa"/>
            <w:vAlign w:val="center"/>
          </w:tcPr>
          <w:p>
            <w:pPr>
              <w:pStyle w:val="19"/>
              <w:jc w:val="center"/>
              <w:rPr>
                <w:rFonts w:hAnsi="宋体"/>
                <w:u w:val="single"/>
              </w:rPr>
            </w:pPr>
          </w:p>
        </w:tc>
        <w:tc>
          <w:tcPr>
            <w:tcW w:w="893" w:type="dxa"/>
            <w:vAlign w:val="center"/>
          </w:tcPr>
          <w:p>
            <w:pPr>
              <w:pStyle w:val="19"/>
              <w:jc w:val="center"/>
              <w:rPr>
                <w:rFonts w:hAnsi="宋体"/>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654" w:type="dxa"/>
            <w:vAlign w:val="center"/>
          </w:tcPr>
          <w:p>
            <w:pPr>
              <w:pStyle w:val="19"/>
              <w:jc w:val="center"/>
              <w:rPr>
                <w:rFonts w:hAnsi="宋体"/>
                <w:u w:val="single"/>
              </w:rPr>
            </w:pPr>
            <w:r>
              <w:rPr>
                <w:rFonts w:hAnsi="宋体"/>
                <w:u w:val="single"/>
              </w:rPr>
              <w:t>2</w:t>
            </w:r>
          </w:p>
        </w:tc>
        <w:tc>
          <w:tcPr>
            <w:tcW w:w="2164" w:type="dxa"/>
            <w:vAlign w:val="center"/>
          </w:tcPr>
          <w:p>
            <w:pPr>
              <w:pStyle w:val="19"/>
              <w:jc w:val="center"/>
              <w:rPr>
                <w:rFonts w:hAnsi="宋体"/>
                <w:u w:val="single"/>
              </w:rPr>
            </w:pPr>
          </w:p>
        </w:tc>
        <w:tc>
          <w:tcPr>
            <w:tcW w:w="1417" w:type="dxa"/>
            <w:vAlign w:val="center"/>
          </w:tcPr>
          <w:p>
            <w:pPr>
              <w:pStyle w:val="19"/>
              <w:jc w:val="center"/>
              <w:rPr>
                <w:rFonts w:hAnsi="宋体"/>
                <w:u w:val="single"/>
              </w:rPr>
            </w:pPr>
          </w:p>
        </w:tc>
        <w:tc>
          <w:tcPr>
            <w:tcW w:w="709" w:type="dxa"/>
            <w:vAlign w:val="center"/>
          </w:tcPr>
          <w:p>
            <w:pPr>
              <w:pStyle w:val="19"/>
              <w:jc w:val="center"/>
              <w:rPr>
                <w:rFonts w:hAnsi="宋体"/>
                <w:u w:val="single"/>
              </w:rPr>
            </w:pPr>
          </w:p>
        </w:tc>
        <w:tc>
          <w:tcPr>
            <w:tcW w:w="2268" w:type="dxa"/>
            <w:vAlign w:val="center"/>
          </w:tcPr>
          <w:p>
            <w:pPr>
              <w:pStyle w:val="19"/>
              <w:jc w:val="center"/>
              <w:rPr>
                <w:rFonts w:hAnsi="宋体"/>
                <w:u w:val="single"/>
              </w:rPr>
            </w:pPr>
          </w:p>
        </w:tc>
        <w:tc>
          <w:tcPr>
            <w:tcW w:w="1474" w:type="dxa"/>
            <w:vAlign w:val="center"/>
          </w:tcPr>
          <w:p>
            <w:pPr>
              <w:pStyle w:val="19"/>
              <w:jc w:val="center"/>
              <w:rPr>
                <w:rFonts w:hAnsi="宋体"/>
                <w:u w:val="single"/>
              </w:rPr>
            </w:pPr>
          </w:p>
        </w:tc>
        <w:tc>
          <w:tcPr>
            <w:tcW w:w="893" w:type="dxa"/>
            <w:vAlign w:val="center"/>
          </w:tcPr>
          <w:p>
            <w:pPr>
              <w:pStyle w:val="19"/>
              <w:jc w:val="center"/>
              <w:rPr>
                <w:rFonts w:hAnsi="宋体"/>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654" w:type="dxa"/>
            <w:vAlign w:val="center"/>
          </w:tcPr>
          <w:p>
            <w:pPr>
              <w:pStyle w:val="19"/>
              <w:jc w:val="center"/>
              <w:rPr>
                <w:rFonts w:hAnsi="宋体"/>
                <w:u w:val="single"/>
              </w:rPr>
            </w:pPr>
            <w:r>
              <w:rPr>
                <w:rFonts w:hint="eastAsia" w:hAnsi="宋体"/>
                <w:u w:val="single"/>
              </w:rPr>
              <w:t>……</w:t>
            </w:r>
          </w:p>
        </w:tc>
        <w:tc>
          <w:tcPr>
            <w:tcW w:w="2164" w:type="dxa"/>
            <w:vAlign w:val="center"/>
          </w:tcPr>
          <w:p>
            <w:pPr>
              <w:pStyle w:val="19"/>
              <w:jc w:val="center"/>
              <w:rPr>
                <w:rFonts w:hAnsi="宋体"/>
                <w:u w:val="single"/>
              </w:rPr>
            </w:pPr>
          </w:p>
        </w:tc>
        <w:tc>
          <w:tcPr>
            <w:tcW w:w="1417" w:type="dxa"/>
            <w:vAlign w:val="center"/>
          </w:tcPr>
          <w:p>
            <w:pPr>
              <w:pStyle w:val="19"/>
              <w:jc w:val="center"/>
              <w:rPr>
                <w:rFonts w:hAnsi="宋体"/>
                <w:u w:val="single"/>
              </w:rPr>
            </w:pPr>
          </w:p>
        </w:tc>
        <w:tc>
          <w:tcPr>
            <w:tcW w:w="709" w:type="dxa"/>
            <w:vAlign w:val="center"/>
          </w:tcPr>
          <w:p>
            <w:pPr>
              <w:pStyle w:val="19"/>
              <w:jc w:val="center"/>
              <w:rPr>
                <w:rFonts w:hAnsi="宋体"/>
                <w:u w:val="single"/>
              </w:rPr>
            </w:pPr>
          </w:p>
        </w:tc>
        <w:tc>
          <w:tcPr>
            <w:tcW w:w="2268" w:type="dxa"/>
            <w:vAlign w:val="center"/>
          </w:tcPr>
          <w:p>
            <w:pPr>
              <w:pStyle w:val="19"/>
              <w:jc w:val="center"/>
              <w:rPr>
                <w:rFonts w:hAnsi="宋体"/>
                <w:u w:val="single"/>
              </w:rPr>
            </w:pPr>
          </w:p>
        </w:tc>
        <w:tc>
          <w:tcPr>
            <w:tcW w:w="1474" w:type="dxa"/>
            <w:vAlign w:val="center"/>
          </w:tcPr>
          <w:p>
            <w:pPr>
              <w:pStyle w:val="19"/>
              <w:jc w:val="center"/>
              <w:rPr>
                <w:rFonts w:hAnsi="宋体"/>
                <w:u w:val="single"/>
              </w:rPr>
            </w:pPr>
          </w:p>
        </w:tc>
        <w:tc>
          <w:tcPr>
            <w:tcW w:w="893" w:type="dxa"/>
            <w:vAlign w:val="center"/>
          </w:tcPr>
          <w:p>
            <w:pPr>
              <w:pStyle w:val="19"/>
              <w:jc w:val="center"/>
              <w:rPr>
                <w:rFonts w:hAnsi="宋体"/>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4" w:type="dxa"/>
            <w:vAlign w:val="center"/>
          </w:tcPr>
          <w:p>
            <w:pPr>
              <w:pStyle w:val="19"/>
              <w:jc w:val="center"/>
              <w:rPr>
                <w:rFonts w:hAnsi="宋体"/>
                <w:u w:val="single"/>
              </w:rPr>
            </w:pPr>
          </w:p>
        </w:tc>
        <w:tc>
          <w:tcPr>
            <w:tcW w:w="2164" w:type="dxa"/>
            <w:vAlign w:val="center"/>
          </w:tcPr>
          <w:p>
            <w:pPr>
              <w:pStyle w:val="19"/>
              <w:jc w:val="center"/>
              <w:rPr>
                <w:rFonts w:hAnsi="宋体"/>
                <w:u w:val="single"/>
              </w:rPr>
            </w:pPr>
            <w:r>
              <w:rPr>
                <w:rFonts w:hint="eastAsia" w:hAnsi="宋体"/>
                <w:u w:val="single"/>
              </w:rPr>
              <w:t>广西工业产品</w:t>
            </w:r>
          </w:p>
          <w:p>
            <w:pPr>
              <w:pStyle w:val="19"/>
              <w:jc w:val="center"/>
              <w:rPr>
                <w:rFonts w:hAnsi="宋体"/>
                <w:u w:val="single"/>
              </w:rPr>
            </w:pPr>
            <w:r>
              <w:rPr>
                <w:rFonts w:hint="eastAsia" w:hAnsi="宋体"/>
                <w:u w:val="single"/>
              </w:rPr>
              <w:t>合计价格：</w:t>
            </w:r>
          </w:p>
        </w:tc>
        <w:tc>
          <w:tcPr>
            <w:tcW w:w="2126" w:type="dxa"/>
            <w:gridSpan w:val="2"/>
            <w:vAlign w:val="center"/>
          </w:tcPr>
          <w:p>
            <w:pPr>
              <w:pStyle w:val="19"/>
              <w:jc w:val="center"/>
              <w:rPr>
                <w:rFonts w:hAnsi="宋体"/>
                <w:u w:val="single"/>
              </w:rPr>
            </w:pPr>
          </w:p>
        </w:tc>
        <w:tc>
          <w:tcPr>
            <w:tcW w:w="2268" w:type="dxa"/>
            <w:vAlign w:val="center"/>
          </w:tcPr>
          <w:p>
            <w:pPr>
              <w:pStyle w:val="19"/>
              <w:jc w:val="center"/>
              <w:rPr>
                <w:rFonts w:hAnsi="宋体"/>
                <w:u w:val="single"/>
              </w:rPr>
            </w:pPr>
            <w:r>
              <w:rPr>
                <w:rFonts w:hint="eastAsia" w:hAnsi="宋体"/>
                <w:u w:val="single"/>
              </w:rPr>
              <w:t>占投标总价比例：</w:t>
            </w:r>
          </w:p>
        </w:tc>
        <w:tc>
          <w:tcPr>
            <w:tcW w:w="2367" w:type="dxa"/>
            <w:gridSpan w:val="2"/>
            <w:vAlign w:val="center"/>
          </w:tcPr>
          <w:p>
            <w:pPr>
              <w:pStyle w:val="19"/>
              <w:jc w:val="center"/>
              <w:rPr>
                <w:rFonts w:hAnsi="宋体"/>
                <w:u w:val="single"/>
              </w:rPr>
            </w:pPr>
          </w:p>
        </w:tc>
      </w:tr>
    </w:tbl>
    <w:p>
      <w:pPr>
        <w:pStyle w:val="19"/>
        <w:rPr>
          <w:rFonts w:hAnsi="宋体"/>
          <w:u w:val="single"/>
        </w:rPr>
      </w:pPr>
      <w:r>
        <w:rPr>
          <w:rFonts w:hint="eastAsia" w:hAnsi="宋体"/>
          <w:u w:val="single"/>
        </w:rPr>
        <w:t>　　分标（此处有分标时填写具体分标号，无分标时填写“无”）</w:t>
      </w:r>
    </w:p>
    <w:p>
      <w:pPr>
        <w:pStyle w:val="19"/>
        <w:rPr>
          <w:rFonts w:hAnsi="宋体"/>
          <w:u w:val="single"/>
        </w:rPr>
      </w:pPr>
      <w:r>
        <w:rPr>
          <w:rFonts w:hAnsi="宋体"/>
          <w:u w:val="single"/>
        </w:rPr>
        <w:t>......</w:t>
      </w:r>
    </w:p>
    <w:p>
      <w:pPr>
        <w:pStyle w:val="19"/>
        <w:ind w:firstLine="420"/>
        <w:rPr>
          <w:rFonts w:hAnsi="宋体"/>
          <w:szCs w:val="24"/>
        </w:rPr>
      </w:pPr>
      <w:r>
        <w:rPr>
          <w:rFonts w:hint="eastAsia" w:hAnsi="宋体"/>
          <w:szCs w:val="24"/>
        </w:rPr>
        <w:t>我方对上述声明的真实性负责。如有虚假，将依法承担相应责任。</w:t>
      </w:r>
    </w:p>
    <w:p>
      <w:pPr>
        <w:pStyle w:val="19"/>
        <w:rPr>
          <w:rFonts w:hAnsi="宋体" w:cs="Courier New"/>
        </w:rPr>
      </w:pPr>
    </w:p>
    <w:p>
      <w:pPr>
        <w:pStyle w:val="19"/>
        <w:rPr>
          <w:rFonts w:hAnsi="宋体"/>
          <w:szCs w:val="24"/>
        </w:rPr>
      </w:pPr>
    </w:p>
    <w:p>
      <w:pPr>
        <w:pStyle w:val="19"/>
        <w:rPr>
          <w:rFonts w:hAnsi="宋体"/>
          <w:szCs w:val="24"/>
        </w:rPr>
      </w:pPr>
    </w:p>
    <w:p>
      <w:pPr>
        <w:pStyle w:val="19"/>
        <w:spacing w:line="600" w:lineRule="exact"/>
        <w:rPr>
          <w:rFonts w:hAnsi="宋体"/>
          <w:u w:val="single"/>
        </w:rPr>
      </w:pPr>
      <w:r>
        <w:rPr>
          <w:rFonts w:hint="eastAsia" w:hAnsi="宋体"/>
        </w:rPr>
        <w:t>投标人（盖单位公章）：</w:t>
      </w:r>
    </w:p>
    <w:p>
      <w:pPr>
        <w:pStyle w:val="19"/>
        <w:spacing w:line="600" w:lineRule="exact"/>
        <w:rPr>
          <w:rFonts w:hAnsi="宋体"/>
          <w:u w:val="single"/>
        </w:rPr>
      </w:pPr>
    </w:p>
    <w:p>
      <w:pPr>
        <w:pStyle w:val="19"/>
        <w:spacing w:line="500" w:lineRule="exact"/>
        <w:rPr>
          <w:rFonts w:hAnsi="宋体"/>
          <w:u w:val="single"/>
        </w:rPr>
      </w:pPr>
      <w:r>
        <w:rPr>
          <w:rFonts w:hint="eastAsia" w:hAnsi="宋体"/>
        </w:rPr>
        <w:t>法定代表人或其委托代理人（签字或盖章）：</w:t>
      </w:r>
    </w:p>
    <w:p>
      <w:pPr>
        <w:pStyle w:val="19"/>
        <w:spacing w:line="600" w:lineRule="exact"/>
        <w:jc w:val="left"/>
        <w:rPr>
          <w:rFonts w:hAnsi="宋体"/>
          <w:u w:val="single"/>
        </w:rPr>
      </w:pPr>
    </w:p>
    <w:p>
      <w:pPr>
        <w:pStyle w:val="19"/>
        <w:spacing w:line="500" w:lineRule="exact"/>
        <w:rPr>
          <w:rFonts w:hAnsi="宋体"/>
          <w:b/>
        </w:rPr>
      </w:pPr>
      <w:r>
        <w:rPr>
          <w:rFonts w:hAnsi="宋体"/>
        </w:rPr>
        <w:br w:type="page"/>
      </w:r>
    </w:p>
    <w:p>
      <w:pPr>
        <w:pStyle w:val="19"/>
        <w:spacing w:line="500" w:lineRule="exact"/>
        <w:jc w:val="center"/>
        <w:rPr>
          <w:rFonts w:hAnsi="宋体"/>
          <w:b/>
          <w:bCs/>
          <w:sz w:val="30"/>
          <w:szCs w:val="30"/>
        </w:rPr>
      </w:pPr>
      <w:r>
        <w:rPr>
          <w:rFonts w:hint="eastAsia" w:hAnsi="宋体"/>
          <w:b/>
          <w:bCs/>
          <w:sz w:val="30"/>
          <w:szCs w:val="30"/>
        </w:rPr>
        <w:t>投标产品技术资料表（格式）</w:t>
      </w:r>
    </w:p>
    <w:p>
      <w:pPr>
        <w:pStyle w:val="19"/>
        <w:ind w:firstLine="210" w:firstLineChars="100"/>
        <w:rPr>
          <w:rFonts w:hAnsi="宋体"/>
        </w:rPr>
      </w:pPr>
    </w:p>
    <w:p>
      <w:pPr>
        <w:pStyle w:val="19"/>
        <w:rPr>
          <w:rFonts w:hAnsi="宋体"/>
          <w:u w:val="thick"/>
        </w:rPr>
      </w:pPr>
      <w:r>
        <w:rPr>
          <w:rFonts w:hint="eastAsia" w:hAnsi="宋体"/>
        </w:rPr>
        <w:t>　　请根据所投产品的实际技术参数，逐条对应本项目招标文件第二章“</w:t>
      </w:r>
      <w:r>
        <w:rPr>
          <w:rFonts w:hAnsi="宋体"/>
        </w:rPr>
        <w:t>采购需求一览表</w:t>
      </w:r>
      <w:r>
        <w:rPr>
          <w:rFonts w:hint="eastAsia" w:hAnsi="宋体"/>
        </w:rPr>
        <w:t>”中的技术参数要求详细填写相应的具体内容。“偏离说明”一栏应当选择“正偏离”、“负偏离”或“无偏离”进行填写。</w:t>
      </w:r>
    </w:p>
    <w:p>
      <w:pPr>
        <w:pStyle w:val="19"/>
        <w:ind w:firstLine="420"/>
        <w:rPr>
          <w:rFonts w:hAnsi="宋体"/>
        </w:rPr>
      </w:pPr>
    </w:p>
    <w:tbl>
      <w:tblPr>
        <w:tblStyle w:val="34"/>
        <w:tblW w:w="96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140"/>
        <w:gridCol w:w="735"/>
        <w:gridCol w:w="1575"/>
        <w:gridCol w:w="1139"/>
        <w:gridCol w:w="735"/>
        <w:gridCol w:w="1470"/>
        <w:gridCol w:w="1155"/>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8" w:hRule="atLeast"/>
          <w:jc w:val="center"/>
        </w:trPr>
        <w:tc>
          <w:tcPr>
            <w:tcW w:w="593" w:type="dxa"/>
            <w:vMerge w:val="restart"/>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项号</w:t>
            </w:r>
          </w:p>
        </w:tc>
        <w:tc>
          <w:tcPr>
            <w:tcW w:w="3450"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Cs w:val="21"/>
              </w:rPr>
            </w:pPr>
            <w:r>
              <w:rPr>
                <w:rFonts w:hint="eastAsia" w:ascii="宋体" w:hAnsi="宋体"/>
                <w:szCs w:val="21"/>
              </w:rPr>
              <w:t>招标文件需求</w:t>
            </w:r>
          </w:p>
        </w:tc>
        <w:tc>
          <w:tcPr>
            <w:tcW w:w="4499" w:type="dxa"/>
            <w:gridSpan w:val="4"/>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Cs w:val="21"/>
              </w:rPr>
            </w:pPr>
            <w:r>
              <w:rPr>
                <w:rFonts w:hint="eastAsia" w:ascii="宋体" w:hAnsi="宋体"/>
                <w:szCs w:val="21"/>
              </w:rPr>
              <w:t>投标文件承诺</w:t>
            </w:r>
          </w:p>
        </w:tc>
        <w:tc>
          <w:tcPr>
            <w:tcW w:w="1094" w:type="dxa"/>
            <w:vMerge w:val="restart"/>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1" w:hRule="atLeast"/>
          <w:jc w:val="center"/>
        </w:trPr>
        <w:tc>
          <w:tcPr>
            <w:tcW w:w="593"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szCs w:val="21"/>
              </w:rPr>
            </w:pPr>
          </w:p>
        </w:tc>
        <w:tc>
          <w:tcPr>
            <w:tcW w:w="114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货物名称</w:t>
            </w:r>
          </w:p>
        </w:tc>
        <w:tc>
          <w:tcPr>
            <w:tcW w:w="73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数量</w:t>
            </w:r>
          </w:p>
        </w:tc>
        <w:tc>
          <w:tcPr>
            <w:tcW w:w="157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技术参数要求</w:t>
            </w:r>
          </w:p>
        </w:tc>
        <w:tc>
          <w:tcPr>
            <w:tcW w:w="1139"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货物名称</w:t>
            </w:r>
          </w:p>
        </w:tc>
        <w:tc>
          <w:tcPr>
            <w:tcW w:w="73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数量</w:t>
            </w:r>
          </w:p>
        </w:tc>
        <w:tc>
          <w:tcPr>
            <w:tcW w:w="147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品牌、厂家、型号、规格</w:t>
            </w:r>
          </w:p>
        </w:tc>
        <w:tc>
          <w:tcPr>
            <w:tcW w:w="115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技术参数</w:t>
            </w:r>
          </w:p>
        </w:tc>
        <w:tc>
          <w:tcPr>
            <w:tcW w:w="1094"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3" w:hRule="atLeast"/>
          <w:jc w:val="center"/>
        </w:trPr>
        <w:tc>
          <w:tcPr>
            <w:tcW w:w="593"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1</w:t>
            </w:r>
          </w:p>
        </w:tc>
        <w:tc>
          <w:tcPr>
            <w:tcW w:w="114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73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157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1  ……</w:t>
            </w:r>
          </w:p>
          <w:p>
            <w:pPr>
              <w:rPr>
                <w:rFonts w:ascii="宋体" w:hAnsi="宋体"/>
                <w:szCs w:val="21"/>
              </w:rPr>
            </w:pPr>
            <w:r>
              <w:rPr>
                <w:rFonts w:hint="eastAsia" w:ascii="宋体" w:hAnsi="宋体"/>
                <w:szCs w:val="21"/>
              </w:rPr>
              <w:t>2  ……</w:t>
            </w:r>
          </w:p>
          <w:p>
            <w:pPr>
              <w:rPr>
                <w:rFonts w:ascii="宋体" w:hAnsi="宋体"/>
                <w:szCs w:val="21"/>
              </w:rPr>
            </w:pPr>
            <w:r>
              <w:rPr>
                <w:rFonts w:hint="eastAsia" w:ascii="宋体" w:hAnsi="宋体"/>
                <w:szCs w:val="21"/>
              </w:rPr>
              <w:t>3  ……</w:t>
            </w:r>
          </w:p>
          <w:p>
            <w:pPr>
              <w:rPr>
                <w:rFonts w:ascii="宋体" w:hAnsi="宋体"/>
                <w:szCs w:val="21"/>
              </w:rPr>
            </w:pPr>
            <w:r>
              <w:rPr>
                <w:rFonts w:hint="eastAsia" w:ascii="宋体" w:hAnsi="宋体"/>
                <w:szCs w:val="21"/>
              </w:rPr>
              <w:t>……</w:t>
            </w:r>
          </w:p>
        </w:tc>
        <w:tc>
          <w:tcPr>
            <w:tcW w:w="1139"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73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147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115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1  ……</w:t>
            </w:r>
          </w:p>
          <w:p>
            <w:pPr>
              <w:rPr>
                <w:rFonts w:ascii="宋体" w:hAnsi="宋体"/>
                <w:szCs w:val="21"/>
              </w:rPr>
            </w:pPr>
            <w:r>
              <w:rPr>
                <w:rFonts w:hint="eastAsia" w:ascii="宋体" w:hAnsi="宋体"/>
                <w:szCs w:val="21"/>
              </w:rPr>
              <w:t>2  ……</w:t>
            </w:r>
          </w:p>
          <w:p>
            <w:pPr>
              <w:rPr>
                <w:rFonts w:ascii="宋体" w:hAnsi="宋体"/>
                <w:szCs w:val="21"/>
              </w:rPr>
            </w:pPr>
            <w:r>
              <w:rPr>
                <w:rFonts w:hint="eastAsia" w:ascii="宋体" w:hAnsi="宋体"/>
                <w:szCs w:val="21"/>
              </w:rPr>
              <w:t>3  ……</w:t>
            </w:r>
          </w:p>
          <w:p>
            <w:pPr>
              <w:rPr>
                <w:rFonts w:ascii="宋体" w:hAnsi="宋体"/>
                <w:szCs w:val="21"/>
              </w:rPr>
            </w:pPr>
            <w:r>
              <w:rPr>
                <w:rFonts w:hint="eastAsia" w:ascii="宋体" w:hAnsi="宋体"/>
                <w:szCs w:val="21"/>
              </w:rPr>
              <w:t>……</w:t>
            </w:r>
          </w:p>
        </w:tc>
        <w:tc>
          <w:tcPr>
            <w:tcW w:w="1094"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1" w:hRule="atLeast"/>
          <w:jc w:val="center"/>
        </w:trPr>
        <w:tc>
          <w:tcPr>
            <w:tcW w:w="593"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2</w:t>
            </w:r>
          </w:p>
        </w:tc>
        <w:tc>
          <w:tcPr>
            <w:tcW w:w="114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73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157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1  ……</w:t>
            </w:r>
          </w:p>
          <w:p>
            <w:pPr>
              <w:rPr>
                <w:rFonts w:ascii="宋体" w:hAnsi="宋体"/>
                <w:szCs w:val="21"/>
              </w:rPr>
            </w:pPr>
            <w:r>
              <w:rPr>
                <w:rFonts w:hint="eastAsia" w:ascii="宋体" w:hAnsi="宋体"/>
                <w:szCs w:val="21"/>
              </w:rPr>
              <w:t>2  ……</w:t>
            </w:r>
          </w:p>
          <w:p>
            <w:pPr>
              <w:rPr>
                <w:rFonts w:ascii="宋体" w:hAnsi="宋体"/>
                <w:szCs w:val="21"/>
              </w:rPr>
            </w:pPr>
            <w:r>
              <w:rPr>
                <w:rFonts w:hint="eastAsia" w:ascii="宋体" w:hAnsi="宋体"/>
                <w:szCs w:val="21"/>
              </w:rPr>
              <w:t>3  ……</w:t>
            </w:r>
          </w:p>
          <w:p>
            <w:pPr>
              <w:rPr>
                <w:rFonts w:ascii="宋体" w:hAnsi="宋体"/>
                <w:szCs w:val="21"/>
              </w:rPr>
            </w:pPr>
            <w:r>
              <w:rPr>
                <w:rFonts w:hint="eastAsia" w:ascii="宋体" w:hAnsi="宋体"/>
                <w:szCs w:val="21"/>
              </w:rPr>
              <w:t>……</w:t>
            </w:r>
          </w:p>
        </w:tc>
        <w:tc>
          <w:tcPr>
            <w:tcW w:w="1139"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73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147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115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1  ……</w:t>
            </w:r>
          </w:p>
          <w:p>
            <w:pPr>
              <w:rPr>
                <w:rFonts w:ascii="宋体" w:hAnsi="宋体"/>
                <w:szCs w:val="21"/>
              </w:rPr>
            </w:pPr>
            <w:r>
              <w:rPr>
                <w:rFonts w:hint="eastAsia" w:ascii="宋体" w:hAnsi="宋体"/>
                <w:szCs w:val="21"/>
              </w:rPr>
              <w:t>2  ……</w:t>
            </w:r>
          </w:p>
          <w:p>
            <w:pPr>
              <w:rPr>
                <w:rFonts w:ascii="宋体" w:hAnsi="宋体"/>
                <w:szCs w:val="21"/>
              </w:rPr>
            </w:pPr>
            <w:r>
              <w:rPr>
                <w:rFonts w:hint="eastAsia" w:ascii="宋体" w:hAnsi="宋体"/>
                <w:szCs w:val="21"/>
              </w:rPr>
              <w:t>3  ……</w:t>
            </w:r>
          </w:p>
          <w:p>
            <w:pPr>
              <w:rPr>
                <w:rFonts w:ascii="宋体" w:hAnsi="宋体"/>
                <w:szCs w:val="21"/>
              </w:rPr>
            </w:pPr>
            <w:r>
              <w:rPr>
                <w:rFonts w:hint="eastAsia" w:ascii="宋体" w:hAnsi="宋体"/>
                <w:szCs w:val="21"/>
              </w:rPr>
              <w:t>……</w:t>
            </w:r>
          </w:p>
        </w:tc>
        <w:tc>
          <w:tcPr>
            <w:tcW w:w="1094"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593"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114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73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57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139"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73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47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15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094"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9" w:hRule="atLeast"/>
          <w:jc w:val="center"/>
        </w:trPr>
        <w:tc>
          <w:tcPr>
            <w:tcW w:w="9636" w:type="dxa"/>
            <w:gridSpan w:val="9"/>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u w:val="single"/>
              </w:rPr>
              <w:t>　　</w:t>
            </w:r>
            <w:r>
              <w:rPr>
                <w:rFonts w:hint="eastAsia" w:ascii="宋体" w:hAnsi="宋体"/>
                <w:szCs w:val="21"/>
              </w:rPr>
              <w:t>分标（此处有分标时填写具体分标号，无分标时填写“无”）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7" w:hRule="atLeast"/>
          <w:jc w:val="center"/>
        </w:trPr>
        <w:tc>
          <w:tcPr>
            <w:tcW w:w="9636" w:type="dxa"/>
            <w:gridSpan w:val="9"/>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投标人（盖单位公章）：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jc w:val="center"/>
        </w:trPr>
        <w:tc>
          <w:tcPr>
            <w:tcW w:w="9636" w:type="dxa"/>
            <w:gridSpan w:val="9"/>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法定代表人或其委托代理人（签字或盖章）：</w:t>
            </w:r>
          </w:p>
        </w:tc>
      </w:tr>
    </w:tbl>
    <w:p>
      <w:pPr>
        <w:pStyle w:val="19"/>
        <w:ind w:firstLine="420"/>
        <w:rPr>
          <w:rFonts w:hAnsi="宋体"/>
        </w:rPr>
      </w:pPr>
    </w:p>
    <w:p>
      <w:pPr>
        <w:pStyle w:val="19"/>
        <w:rPr>
          <w:rFonts w:hAnsi="宋体"/>
        </w:rPr>
      </w:pPr>
      <w:r>
        <w:rPr>
          <w:rFonts w:hint="eastAsia" w:hAnsi="宋体"/>
        </w:rPr>
        <w:t>注：⑴表格内容均需按要求填写并盖章，不得留空，否则按投标无效处理。</w:t>
      </w:r>
    </w:p>
    <w:p>
      <w:pPr>
        <w:pStyle w:val="19"/>
        <w:rPr>
          <w:rFonts w:hAnsi="宋体"/>
          <w:bCs/>
          <w:szCs w:val="21"/>
        </w:rPr>
      </w:pPr>
      <w:r>
        <w:rPr>
          <w:rFonts w:hint="eastAsia" w:hAnsi="宋体"/>
        </w:rPr>
        <w:t>⑵</w:t>
      </w:r>
      <w:r>
        <w:rPr>
          <w:rFonts w:hint="eastAsia" w:hAnsi="宋体"/>
          <w:bCs/>
          <w:szCs w:val="21"/>
        </w:rPr>
        <w:t>如果采购需求为小于、小于等于、大于或大于等于某个数值标准时，投标文件承诺不得直接复制采购需求，投标文件承诺内容应当写明投标货物具体参数或商务响应承诺的具体数值，否则按投标无效处理。如该采购需求属于不能明确具体数值的，采购人应在此采购需求的数值后标注◆号，对标注◆号的采购需求不适用上述“投标无效”条款。</w:t>
      </w:r>
    </w:p>
    <w:p>
      <w:pPr>
        <w:pStyle w:val="19"/>
        <w:rPr>
          <w:rFonts w:hAnsi="宋体"/>
        </w:rPr>
      </w:pPr>
      <w:r>
        <w:rPr>
          <w:rFonts w:hint="eastAsia" w:hAnsi="宋体"/>
        </w:rPr>
        <w:t>⑶当投标文件的技术参数低于招标文件要求时，投标人应当如实写明“负偏离”，否则视为虚假应标。</w:t>
      </w:r>
    </w:p>
    <w:p>
      <w:pPr>
        <w:pStyle w:val="19"/>
        <w:spacing w:line="600" w:lineRule="exact"/>
        <w:jc w:val="center"/>
        <w:rPr>
          <w:rFonts w:hAnsi="宋体"/>
          <w:b/>
          <w:bCs/>
          <w:sz w:val="30"/>
          <w:szCs w:val="30"/>
        </w:rPr>
      </w:pPr>
      <w:r>
        <w:rPr>
          <w:rFonts w:hint="eastAsia" w:hAnsi="宋体"/>
        </w:rPr>
        <w:br w:type="page"/>
      </w:r>
      <w:r>
        <w:rPr>
          <w:rFonts w:hint="eastAsia" w:hAnsi="宋体"/>
          <w:b/>
          <w:bCs/>
          <w:sz w:val="30"/>
          <w:szCs w:val="30"/>
        </w:rPr>
        <w:t>售后服务承诺书（格式）</w:t>
      </w:r>
    </w:p>
    <w:p>
      <w:pPr>
        <w:pStyle w:val="19"/>
        <w:jc w:val="center"/>
        <w:rPr>
          <w:rFonts w:hAnsi="宋体"/>
        </w:rPr>
      </w:pPr>
    </w:p>
    <w:p>
      <w:pPr>
        <w:pStyle w:val="19"/>
        <w:jc w:val="center"/>
        <w:rPr>
          <w:rFonts w:hAnsi="宋体"/>
        </w:rPr>
      </w:pPr>
      <w:r>
        <w:rPr>
          <w:rFonts w:hint="eastAsia" w:hAnsi="宋体"/>
        </w:rPr>
        <w:t>(由投标人按本项目招标文件第二章“</w:t>
      </w:r>
      <w:r>
        <w:rPr>
          <w:rFonts w:hAnsi="宋体"/>
        </w:rPr>
        <w:t>采购需求一览表</w:t>
      </w:r>
      <w:r>
        <w:rPr>
          <w:rFonts w:hint="eastAsia" w:hAnsi="宋体"/>
        </w:rPr>
        <w:t>”中“二、商务要求表”的售后服务要求自行填写。)</w:t>
      </w: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spacing w:line="600" w:lineRule="exact"/>
        <w:rPr>
          <w:rFonts w:hAnsi="宋体"/>
          <w:u w:val="single"/>
        </w:rPr>
      </w:pPr>
      <w:r>
        <w:rPr>
          <w:rFonts w:hint="eastAsia" w:hAnsi="宋体"/>
        </w:rPr>
        <w:t>投标人（盖单位公章）：</w:t>
      </w:r>
    </w:p>
    <w:p>
      <w:pPr>
        <w:pStyle w:val="19"/>
        <w:spacing w:line="600" w:lineRule="exact"/>
        <w:rPr>
          <w:rFonts w:hAnsi="宋体"/>
          <w:u w:val="single"/>
        </w:rPr>
      </w:pPr>
    </w:p>
    <w:p>
      <w:pPr>
        <w:pStyle w:val="19"/>
        <w:spacing w:line="600" w:lineRule="exact"/>
        <w:rPr>
          <w:rFonts w:hAnsi="宋体"/>
          <w:u w:val="single"/>
        </w:rPr>
      </w:pPr>
      <w:r>
        <w:rPr>
          <w:rFonts w:hint="eastAsia" w:hAnsi="宋体"/>
        </w:rPr>
        <w:t>法定代表人或其委托代理人（签字或盖章）：</w:t>
      </w:r>
    </w:p>
    <w:p>
      <w:pPr>
        <w:pStyle w:val="19"/>
        <w:spacing w:line="600" w:lineRule="exact"/>
        <w:jc w:val="center"/>
        <w:rPr>
          <w:rFonts w:hAnsi="宋体"/>
          <w:b/>
          <w:bCs/>
          <w:sz w:val="30"/>
          <w:szCs w:val="30"/>
        </w:rPr>
      </w:pPr>
      <w:r>
        <w:rPr>
          <w:rFonts w:hint="eastAsia" w:hAnsi="宋体"/>
          <w:b/>
          <w:bCs/>
          <w:sz w:val="30"/>
        </w:rPr>
        <w:br w:type="page"/>
      </w:r>
      <w:r>
        <w:rPr>
          <w:rFonts w:hint="eastAsia" w:hAnsi="宋体"/>
          <w:b/>
          <w:bCs/>
          <w:sz w:val="30"/>
          <w:szCs w:val="30"/>
        </w:rPr>
        <w:t>商务条款偏离表（格式）</w:t>
      </w:r>
    </w:p>
    <w:p>
      <w:pPr>
        <w:pStyle w:val="19"/>
        <w:spacing w:line="400" w:lineRule="exact"/>
        <w:rPr>
          <w:rFonts w:hAnsi="宋体"/>
          <w:u w:val="thick"/>
        </w:rPr>
      </w:pPr>
    </w:p>
    <w:p>
      <w:pPr>
        <w:pStyle w:val="19"/>
        <w:rPr>
          <w:rFonts w:hAnsi="宋体"/>
        </w:rPr>
      </w:pPr>
      <w:r>
        <w:rPr>
          <w:rFonts w:hint="eastAsia" w:hAnsi="宋体"/>
        </w:rPr>
        <w:t>　　请逐条对应本项目招标文件第二章“</w:t>
      </w:r>
      <w:r>
        <w:rPr>
          <w:rFonts w:hAnsi="宋体"/>
        </w:rPr>
        <w:t>采购需求一览表</w:t>
      </w:r>
      <w:r>
        <w:rPr>
          <w:rFonts w:hint="eastAsia" w:hAnsi="宋体"/>
        </w:rPr>
        <w:t>”中“商务条款”的要求，详细填写相应的具体内容。“偏离说明”一栏应当选择“正偏离”、“负偏离”或“无偏离”进行填写。</w:t>
      </w:r>
    </w:p>
    <w:tbl>
      <w:tblPr>
        <w:tblStyle w:val="34"/>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ign w:val="center"/>
          </w:tcPr>
          <w:p>
            <w:pPr>
              <w:spacing w:line="340" w:lineRule="exact"/>
              <w:jc w:val="center"/>
              <w:rPr>
                <w:rFonts w:ascii="宋体" w:hAnsi="宋体"/>
                <w:szCs w:val="21"/>
              </w:rPr>
            </w:pPr>
            <w:r>
              <w:rPr>
                <w:rFonts w:hint="eastAsia" w:ascii="宋体" w:hAnsi="宋体"/>
                <w:szCs w:val="21"/>
              </w:rPr>
              <w:t>项号</w:t>
            </w:r>
          </w:p>
        </w:tc>
        <w:tc>
          <w:tcPr>
            <w:tcW w:w="3926" w:type="dxa"/>
            <w:tcBorders>
              <w:top w:val="single" w:color="auto" w:sz="4" w:space="0"/>
              <w:left w:val="single" w:color="auto" w:sz="4" w:space="0"/>
              <w:bottom w:val="single" w:color="auto" w:sz="4" w:space="0"/>
              <w:right w:val="single" w:color="auto" w:sz="4" w:space="0"/>
            </w:tcBorders>
            <w:noWrap/>
            <w:vAlign w:val="center"/>
          </w:tcPr>
          <w:p>
            <w:pPr>
              <w:spacing w:line="340" w:lineRule="exact"/>
              <w:jc w:val="center"/>
              <w:rPr>
                <w:rFonts w:ascii="宋体" w:hAnsi="宋体"/>
                <w:szCs w:val="21"/>
              </w:rPr>
            </w:pPr>
            <w:r>
              <w:rPr>
                <w:rFonts w:hint="eastAsia" w:ascii="宋体" w:hAnsi="宋体"/>
                <w:szCs w:val="21"/>
              </w:rPr>
              <w:t>招标文件的商务需求</w:t>
            </w:r>
          </w:p>
        </w:tc>
        <w:tc>
          <w:tcPr>
            <w:tcW w:w="3589" w:type="dxa"/>
            <w:tcBorders>
              <w:top w:val="single" w:color="auto" w:sz="4" w:space="0"/>
              <w:left w:val="single" w:color="auto" w:sz="4" w:space="0"/>
              <w:bottom w:val="single" w:color="auto" w:sz="4" w:space="0"/>
              <w:right w:val="single" w:color="auto" w:sz="4" w:space="0"/>
            </w:tcBorders>
            <w:noWrap/>
            <w:vAlign w:val="center"/>
          </w:tcPr>
          <w:p>
            <w:pPr>
              <w:spacing w:line="340" w:lineRule="exact"/>
              <w:jc w:val="center"/>
              <w:rPr>
                <w:rFonts w:ascii="宋体" w:hAnsi="宋体"/>
                <w:szCs w:val="21"/>
              </w:rPr>
            </w:pPr>
            <w:r>
              <w:rPr>
                <w:rFonts w:hint="eastAsia" w:ascii="宋体" w:hAnsi="宋体"/>
                <w:szCs w:val="21"/>
              </w:rPr>
              <w:t>投标文件承诺的商务条款</w:t>
            </w:r>
          </w:p>
        </w:tc>
        <w:tc>
          <w:tcPr>
            <w:tcW w:w="1274" w:type="dxa"/>
            <w:tcBorders>
              <w:top w:val="single" w:color="auto" w:sz="4" w:space="0"/>
              <w:left w:val="single" w:color="auto" w:sz="4" w:space="0"/>
              <w:bottom w:val="single" w:color="auto" w:sz="4" w:space="0"/>
              <w:right w:val="single" w:color="auto" w:sz="4" w:space="0"/>
            </w:tcBorders>
            <w:noWrap/>
            <w:vAlign w:val="center"/>
          </w:tcPr>
          <w:p>
            <w:pPr>
              <w:spacing w:line="340" w:lineRule="exact"/>
              <w:jc w:val="center"/>
              <w:rPr>
                <w:rFonts w:ascii="宋体" w:hAnsi="宋体"/>
                <w:szCs w:val="21"/>
              </w:rPr>
            </w:pPr>
            <w:r>
              <w:rPr>
                <w:rFonts w:hint="eastAsia" w:ascii="宋体" w:hAnsi="宋体"/>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rPr>
              <w:t>一</w:t>
            </w:r>
          </w:p>
        </w:tc>
        <w:tc>
          <w:tcPr>
            <w:tcW w:w="3926" w:type="dxa"/>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rPr>
              <w:t>1  ……</w:t>
            </w:r>
          </w:p>
          <w:p>
            <w:pPr>
              <w:spacing w:line="340" w:lineRule="exact"/>
              <w:rPr>
                <w:rFonts w:ascii="宋体" w:hAnsi="宋体"/>
                <w:szCs w:val="21"/>
              </w:rPr>
            </w:pPr>
            <w:r>
              <w:rPr>
                <w:rFonts w:hint="eastAsia" w:ascii="宋体" w:hAnsi="宋体"/>
                <w:szCs w:val="21"/>
              </w:rPr>
              <w:t>2  ……</w:t>
            </w:r>
          </w:p>
          <w:p>
            <w:pPr>
              <w:spacing w:line="340" w:lineRule="exact"/>
              <w:rPr>
                <w:rFonts w:ascii="宋体" w:hAnsi="宋体"/>
                <w:szCs w:val="21"/>
              </w:rPr>
            </w:pPr>
            <w:r>
              <w:rPr>
                <w:rFonts w:hint="eastAsia" w:ascii="宋体" w:hAnsi="宋体"/>
                <w:szCs w:val="21"/>
              </w:rPr>
              <w:t>3  ……</w:t>
            </w:r>
          </w:p>
          <w:p>
            <w:pPr>
              <w:spacing w:line="340" w:lineRule="exact"/>
              <w:rPr>
                <w:rFonts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rPr>
              <w:t>1  ……</w:t>
            </w:r>
          </w:p>
          <w:p>
            <w:pPr>
              <w:spacing w:line="340" w:lineRule="exact"/>
              <w:rPr>
                <w:rFonts w:ascii="宋体" w:hAnsi="宋体"/>
                <w:szCs w:val="21"/>
              </w:rPr>
            </w:pPr>
            <w:r>
              <w:rPr>
                <w:rFonts w:hint="eastAsia" w:ascii="宋体" w:hAnsi="宋体"/>
                <w:szCs w:val="21"/>
              </w:rPr>
              <w:t>2  ……</w:t>
            </w:r>
          </w:p>
          <w:p>
            <w:pPr>
              <w:spacing w:line="340" w:lineRule="exact"/>
              <w:rPr>
                <w:rFonts w:ascii="宋体" w:hAnsi="宋体"/>
                <w:szCs w:val="21"/>
              </w:rPr>
            </w:pPr>
            <w:r>
              <w:rPr>
                <w:rFonts w:hint="eastAsia" w:ascii="宋体" w:hAnsi="宋体"/>
                <w:szCs w:val="21"/>
              </w:rPr>
              <w:t>3  ……</w:t>
            </w:r>
          </w:p>
          <w:p>
            <w:pPr>
              <w:spacing w:line="340" w:lineRule="exact"/>
              <w:rPr>
                <w:rFonts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noWrap/>
          </w:tcPr>
          <w:p>
            <w:pPr>
              <w:spacing w:line="300" w:lineRule="exact"/>
              <w:rPr>
                <w:rFonts w:ascii="宋体" w:hAnsi="宋体"/>
                <w:szCs w:val="21"/>
              </w:rPr>
            </w:pPr>
            <w:r>
              <w:rPr>
                <w:rFonts w:hint="eastAsia" w:ascii="宋体" w:hAnsi="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rPr>
              <w:t>二</w:t>
            </w:r>
          </w:p>
        </w:tc>
        <w:tc>
          <w:tcPr>
            <w:tcW w:w="3926" w:type="dxa"/>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rPr>
              <w:t>1  ……</w:t>
            </w:r>
          </w:p>
          <w:p>
            <w:pPr>
              <w:spacing w:line="340" w:lineRule="exact"/>
              <w:rPr>
                <w:rFonts w:ascii="宋体" w:hAnsi="宋体"/>
                <w:szCs w:val="21"/>
              </w:rPr>
            </w:pPr>
            <w:r>
              <w:rPr>
                <w:rFonts w:hint="eastAsia" w:ascii="宋体" w:hAnsi="宋体"/>
                <w:szCs w:val="21"/>
              </w:rPr>
              <w:t>2  ……</w:t>
            </w:r>
          </w:p>
          <w:p>
            <w:pPr>
              <w:spacing w:line="340" w:lineRule="exact"/>
              <w:rPr>
                <w:rFonts w:ascii="宋体" w:hAnsi="宋体"/>
                <w:szCs w:val="21"/>
              </w:rPr>
            </w:pPr>
            <w:r>
              <w:rPr>
                <w:rFonts w:hint="eastAsia" w:ascii="宋体" w:hAnsi="宋体"/>
                <w:szCs w:val="21"/>
              </w:rPr>
              <w:t>3  ……</w:t>
            </w:r>
          </w:p>
          <w:p>
            <w:pPr>
              <w:spacing w:line="340" w:lineRule="exact"/>
              <w:rPr>
                <w:rFonts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rPr>
              <w:t>1  ……</w:t>
            </w:r>
          </w:p>
          <w:p>
            <w:pPr>
              <w:spacing w:line="340" w:lineRule="exact"/>
              <w:rPr>
                <w:rFonts w:ascii="宋体" w:hAnsi="宋体"/>
                <w:szCs w:val="21"/>
              </w:rPr>
            </w:pPr>
            <w:r>
              <w:rPr>
                <w:rFonts w:hint="eastAsia" w:ascii="宋体" w:hAnsi="宋体"/>
                <w:szCs w:val="21"/>
              </w:rPr>
              <w:t>2  ……</w:t>
            </w:r>
          </w:p>
          <w:p>
            <w:pPr>
              <w:spacing w:line="340" w:lineRule="exact"/>
              <w:rPr>
                <w:rFonts w:ascii="宋体" w:hAnsi="宋体"/>
                <w:szCs w:val="21"/>
              </w:rPr>
            </w:pPr>
            <w:r>
              <w:rPr>
                <w:rFonts w:hint="eastAsia" w:ascii="宋体" w:hAnsi="宋体"/>
                <w:szCs w:val="21"/>
              </w:rPr>
              <w:t>3  ……</w:t>
            </w:r>
          </w:p>
          <w:p>
            <w:pPr>
              <w:spacing w:line="340" w:lineRule="exact"/>
              <w:rPr>
                <w:rFonts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noWrap/>
          </w:tcPr>
          <w:p>
            <w:pPr>
              <w:spacing w:line="300" w:lineRule="exact"/>
              <w:rPr>
                <w:rFonts w:ascii="宋体" w:hAnsi="宋体"/>
                <w:szCs w:val="21"/>
              </w:rPr>
            </w:pPr>
            <w:r>
              <w:rPr>
                <w:rFonts w:hint="eastAsia" w:ascii="宋体" w:hAnsi="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rPr>
              <w:t>...</w:t>
            </w:r>
          </w:p>
        </w:tc>
        <w:tc>
          <w:tcPr>
            <w:tcW w:w="3926" w:type="dxa"/>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rPr>
              <w:t>1  ……</w:t>
            </w:r>
          </w:p>
          <w:p>
            <w:pPr>
              <w:spacing w:line="340" w:lineRule="exact"/>
              <w:rPr>
                <w:rFonts w:ascii="宋体" w:hAnsi="宋体"/>
                <w:szCs w:val="21"/>
              </w:rPr>
            </w:pPr>
            <w:r>
              <w:rPr>
                <w:rFonts w:hint="eastAsia" w:ascii="宋体" w:hAnsi="宋体"/>
                <w:szCs w:val="21"/>
              </w:rPr>
              <w:t>2  ……</w:t>
            </w:r>
          </w:p>
          <w:p>
            <w:pPr>
              <w:spacing w:line="340" w:lineRule="exact"/>
              <w:rPr>
                <w:rFonts w:ascii="宋体" w:hAnsi="宋体"/>
                <w:szCs w:val="21"/>
              </w:rPr>
            </w:pPr>
            <w:r>
              <w:rPr>
                <w:rFonts w:hint="eastAsia" w:ascii="宋体" w:hAnsi="宋体"/>
                <w:szCs w:val="21"/>
              </w:rPr>
              <w:t>3  ……</w:t>
            </w:r>
          </w:p>
          <w:p>
            <w:pPr>
              <w:spacing w:line="340" w:lineRule="exact"/>
              <w:rPr>
                <w:rFonts w:ascii="宋体" w:hAnsi="宋体"/>
                <w:szCs w:val="21"/>
              </w:rPr>
            </w:pPr>
          </w:p>
          <w:p>
            <w:pPr>
              <w:spacing w:line="340" w:lineRule="exact"/>
              <w:rPr>
                <w:rFonts w:ascii="宋体" w:hAnsi="宋体"/>
                <w:szCs w:val="21"/>
              </w:rPr>
            </w:pPr>
            <w:r>
              <w:rPr>
                <w:rFonts w:hint="eastAsia" w:ascii="宋体" w:hAnsi="宋体"/>
                <w:szCs w:val="21"/>
              </w:rPr>
              <w:t xml:space="preserve"> ……</w:t>
            </w:r>
          </w:p>
        </w:tc>
        <w:tc>
          <w:tcPr>
            <w:tcW w:w="3589" w:type="dxa"/>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rPr>
              <w:t>1  ……</w:t>
            </w:r>
          </w:p>
          <w:p>
            <w:pPr>
              <w:spacing w:line="340" w:lineRule="exact"/>
              <w:rPr>
                <w:rFonts w:ascii="宋体" w:hAnsi="宋体"/>
                <w:szCs w:val="21"/>
              </w:rPr>
            </w:pPr>
            <w:r>
              <w:rPr>
                <w:rFonts w:hint="eastAsia" w:ascii="宋体" w:hAnsi="宋体"/>
                <w:szCs w:val="21"/>
              </w:rPr>
              <w:t>2  ……</w:t>
            </w:r>
          </w:p>
          <w:p>
            <w:pPr>
              <w:spacing w:line="340" w:lineRule="exact"/>
              <w:rPr>
                <w:rFonts w:ascii="宋体" w:hAnsi="宋体"/>
                <w:szCs w:val="21"/>
              </w:rPr>
            </w:pPr>
            <w:r>
              <w:rPr>
                <w:rFonts w:hint="eastAsia" w:ascii="宋体" w:hAnsi="宋体"/>
                <w:szCs w:val="21"/>
              </w:rPr>
              <w:t>3  ……</w:t>
            </w:r>
          </w:p>
          <w:p>
            <w:pPr>
              <w:spacing w:line="340" w:lineRule="exact"/>
              <w:rPr>
                <w:rFonts w:ascii="宋体" w:hAnsi="宋体"/>
                <w:szCs w:val="21"/>
              </w:rPr>
            </w:pPr>
          </w:p>
          <w:p>
            <w:pPr>
              <w:spacing w:line="340" w:lineRule="exact"/>
              <w:rPr>
                <w:rFonts w:ascii="宋体" w:hAnsi="宋体"/>
                <w:szCs w:val="21"/>
              </w:rPr>
            </w:pPr>
            <w:r>
              <w:rPr>
                <w:rFonts w:hint="eastAsia" w:ascii="宋体" w:hAnsi="宋体"/>
                <w:szCs w:val="21"/>
              </w:rPr>
              <w:t xml:space="preserve"> ……</w:t>
            </w:r>
          </w:p>
        </w:tc>
        <w:tc>
          <w:tcPr>
            <w:tcW w:w="1274" w:type="dxa"/>
            <w:tcBorders>
              <w:top w:val="single" w:color="auto" w:sz="4" w:space="0"/>
              <w:left w:val="single" w:color="auto" w:sz="4" w:space="0"/>
              <w:bottom w:val="single" w:color="auto" w:sz="4" w:space="0"/>
              <w:right w:val="single" w:color="auto" w:sz="4" w:space="0"/>
            </w:tcBorders>
            <w:noWrap/>
          </w:tcPr>
          <w:p>
            <w:pPr>
              <w:spacing w:line="300" w:lineRule="exact"/>
              <w:rPr>
                <w:rFonts w:ascii="宋体" w:hAnsi="宋体"/>
                <w:szCs w:val="21"/>
              </w:rPr>
            </w:pPr>
            <w:r>
              <w:rPr>
                <w:rFonts w:hint="eastAsia" w:ascii="宋体" w:hAnsi="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u w:val="single"/>
              </w:rPr>
              <w:t>　　</w:t>
            </w:r>
            <w:r>
              <w:rPr>
                <w:rFonts w:hint="eastAsia" w:ascii="宋体" w:hAnsi="宋体"/>
                <w:szCs w:val="21"/>
              </w:rPr>
              <w:t>分标（此处有分标时填写具体分标号，无分标时填写“无”）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rPr>
              <w:t>投标人（盖单位公章）：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trPr>
        <w:tc>
          <w:tcPr>
            <w:tcW w:w="9480" w:type="dxa"/>
            <w:gridSpan w:val="4"/>
            <w:tcBorders>
              <w:top w:val="single" w:color="auto" w:sz="4" w:space="0"/>
              <w:left w:val="single" w:color="auto" w:sz="4" w:space="0"/>
              <w:bottom w:val="single" w:color="auto" w:sz="4" w:space="0"/>
              <w:right w:val="single" w:color="auto" w:sz="4" w:space="0"/>
            </w:tcBorders>
            <w:noWrap/>
          </w:tcPr>
          <w:p>
            <w:pPr>
              <w:spacing w:line="360" w:lineRule="exact"/>
              <w:rPr>
                <w:rFonts w:ascii="宋体" w:hAnsi="宋体"/>
                <w:szCs w:val="21"/>
              </w:rPr>
            </w:pPr>
            <w:r>
              <w:rPr>
                <w:rFonts w:hint="eastAsia" w:ascii="宋体" w:hAnsi="宋体"/>
                <w:szCs w:val="21"/>
              </w:rPr>
              <w:t>法定代表人或其委托代理人（签字或盖章）：</w:t>
            </w:r>
          </w:p>
        </w:tc>
      </w:tr>
    </w:tbl>
    <w:p>
      <w:pPr>
        <w:pStyle w:val="19"/>
        <w:rPr>
          <w:rFonts w:hAnsi="宋体"/>
          <w:u w:val="single"/>
        </w:rPr>
      </w:pPr>
    </w:p>
    <w:p>
      <w:pPr>
        <w:pStyle w:val="19"/>
        <w:rPr>
          <w:rFonts w:hAnsi="宋体"/>
          <w:u w:val="single"/>
        </w:rPr>
      </w:pPr>
      <w:r>
        <w:rPr>
          <w:rFonts w:hint="eastAsia" w:hAnsi="宋体"/>
          <w:u w:val="single"/>
        </w:rPr>
        <w:t>注：⑴表格内容均需按要求填写并盖章，不得留空，否则按投标无效处理。</w:t>
      </w:r>
    </w:p>
    <w:p>
      <w:pPr>
        <w:pStyle w:val="19"/>
        <w:rPr>
          <w:rFonts w:hAnsi="宋体"/>
          <w:bCs/>
          <w:szCs w:val="21"/>
        </w:rPr>
      </w:pPr>
      <w:r>
        <w:rPr>
          <w:rFonts w:hint="eastAsia" w:hAnsi="宋体"/>
          <w:u w:val="single"/>
        </w:rPr>
        <w:t>⑵</w:t>
      </w:r>
      <w:r>
        <w:rPr>
          <w:rFonts w:hint="eastAsia" w:hAnsi="宋体"/>
          <w:bCs/>
          <w:szCs w:val="21"/>
        </w:rPr>
        <w:t>如果采购需求为小于、小于等于、大于或大于等于某个数值标准时，投标文件承诺不得直接复制采购需求，投标文件承诺内容应当写明投标货物具体参数或商务响应承诺的具体数值，否则按投标无效处理。如该采购需求属于不能明确具体数值的，采购人应在此采购需求的数值后标注◆号，对标注◆号的采购需求不适用上述“投标无效”条款。</w:t>
      </w:r>
    </w:p>
    <w:p>
      <w:pPr>
        <w:pStyle w:val="19"/>
        <w:rPr>
          <w:rFonts w:hAnsi="宋体"/>
        </w:rPr>
      </w:pPr>
      <w:r>
        <w:rPr>
          <w:rFonts w:hint="eastAsia" w:hAnsi="宋体"/>
          <w:u w:val="single"/>
        </w:rPr>
        <w:t>⑶当投标文件的商务内容低于招标文件要求时，投标人应当如实写明“负偏离”，否则视为虚假应标。</w:t>
      </w:r>
    </w:p>
    <w:p>
      <w:pPr>
        <w:pStyle w:val="19"/>
        <w:spacing w:line="600" w:lineRule="exact"/>
        <w:jc w:val="center"/>
        <w:rPr>
          <w:rFonts w:hAnsi="宋体"/>
          <w:sz w:val="28"/>
          <w:szCs w:val="28"/>
        </w:rPr>
      </w:pPr>
      <w:r>
        <w:rPr>
          <w:rFonts w:hint="eastAsia" w:hAnsi="宋体"/>
          <w:b/>
          <w:sz w:val="32"/>
        </w:rPr>
        <w:br w:type="page"/>
      </w:r>
      <w:r>
        <w:rPr>
          <w:rFonts w:hint="eastAsia" w:hAnsi="宋体"/>
          <w:b/>
          <w:sz w:val="32"/>
          <w:szCs w:val="32"/>
        </w:rPr>
        <w:t>法定代表人身份证明书</w:t>
      </w:r>
      <w:r>
        <w:rPr>
          <w:rFonts w:hint="eastAsia" w:hAnsi="宋体"/>
          <w:b/>
          <w:bCs/>
          <w:sz w:val="30"/>
          <w:szCs w:val="30"/>
        </w:rPr>
        <w:t>（格式）</w:t>
      </w:r>
    </w:p>
    <w:p>
      <w:pPr>
        <w:spacing w:line="500" w:lineRule="exact"/>
        <w:ind w:left="540"/>
        <w:rPr>
          <w:rFonts w:ascii="宋体" w:hAnsi="宋体"/>
          <w:sz w:val="24"/>
        </w:rPr>
      </w:pPr>
    </w:p>
    <w:p>
      <w:pPr>
        <w:spacing w:line="500" w:lineRule="exact"/>
        <w:ind w:left="540"/>
        <w:rPr>
          <w:rFonts w:ascii="宋体" w:hAnsi="宋体"/>
          <w:sz w:val="24"/>
        </w:rPr>
      </w:pPr>
      <w:r>
        <w:rPr>
          <w:rFonts w:hint="eastAsia" w:ascii="宋体" w:hAnsi="宋体"/>
          <w:sz w:val="24"/>
        </w:rPr>
        <w:t>投标人：</w:t>
      </w:r>
    </w:p>
    <w:p>
      <w:pPr>
        <w:spacing w:line="500" w:lineRule="exact"/>
        <w:ind w:left="540"/>
        <w:rPr>
          <w:rFonts w:ascii="宋体" w:hAnsi="宋体"/>
          <w:sz w:val="24"/>
        </w:rPr>
      </w:pPr>
      <w:r>
        <w:rPr>
          <w:rFonts w:hint="eastAsia" w:ascii="宋体" w:hAnsi="宋体"/>
          <w:sz w:val="24"/>
        </w:rPr>
        <w:t>单位性质：</w:t>
      </w:r>
    </w:p>
    <w:p>
      <w:pPr>
        <w:spacing w:line="500" w:lineRule="exact"/>
        <w:ind w:left="540"/>
        <w:rPr>
          <w:rFonts w:ascii="宋体" w:hAnsi="宋体"/>
          <w:sz w:val="24"/>
        </w:rPr>
      </w:pPr>
      <w:r>
        <w:rPr>
          <w:rFonts w:hint="eastAsia" w:ascii="宋体" w:hAnsi="宋体"/>
          <w:sz w:val="24"/>
        </w:rPr>
        <w:t>地址：</w:t>
      </w:r>
    </w:p>
    <w:p>
      <w:pPr>
        <w:spacing w:line="500" w:lineRule="exact"/>
        <w:ind w:left="540"/>
        <w:rPr>
          <w:rFonts w:ascii="宋体" w:hAnsi="宋体"/>
          <w:sz w:val="24"/>
        </w:rPr>
      </w:pPr>
      <w:r>
        <w:rPr>
          <w:rFonts w:hint="eastAsia" w:ascii="宋体" w:hAnsi="宋体"/>
          <w:sz w:val="24"/>
        </w:rPr>
        <w:t>成立时间：年月日</w:t>
      </w:r>
    </w:p>
    <w:p>
      <w:pPr>
        <w:spacing w:line="500" w:lineRule="exact"/>
        <w:ind w:left="540"/>
        <w:rPr>
          <w:rFonts w:ascii="宋体" w:hAnsi="宋体"/>
          <w:sz w:val="24"/>
        </w:rPr>
      </w:pPr>
      <w:r>
        <w:rPr>
          <w:rFonts w:hint="eastAsia" w:ascii="宋体" w:hAnsi="宋体"/>
          <w:sz w:val="24"/>
        </w:rPr>
        <w:t>经营期限：</w:t>
      </w:r>
    </w:p>
    <w:p>
      <w:pPr>
        <w:spacing w:line="500" w:lineRule="exact"/>
        <w:ind w:left="540"/>
        <w:rPr>
          <w:rFonts w:ascii="宋体" w:hAnsi="宋体"/>
          <w:sz w:val="24"/>
        </w:rPr>
      </w:pPr>
      <w:r>
        <w:rPr>
          <w:rFonts w:hint="eastAsia" w:ascii="宋体" w:hAnsi="宋体"/>
          <w:sz w:val="24"/>
        </w:rPr>
        <w:t>姓名：性别：</w:t>
      </w:r>
    </w:p>
    <w:p>
      <w:pPr>
        <w:spacing w:line="500" w:lineRule="exact"/>
        <w:ind w:left="540"/>
        <w:rPr>
          <w:rFonts w:ascii="宋体" w:hAnsi="宋体"/>
          <w:sz w:val="24"/>
          <w:u w:val="single"/>
        </w:rPr>
      </w:pPr>
      <w:r>
        <w:rPr>
          <w:rFonts w:hint="eastAsia" w:ascii="宋体" w:hAnsi="宋体"/>
          <w:sz w:val="24"/>
        </w:rPr>
        <w:t>年龄：职务：</w:t>
      </w:r>
    </w:p>
    <w:p>
      <w:pPr>
        <w:spacing w:line="500" w:lineRule="exact"/>
        <w:ind w:left="540"/>
        <w:rPr>
          <w:rFonts w:ascii="宋体" w:hAnsi="宋体"/>
          <w:sz w:val="24"/>
        </w:rPr>
      </w:pPr>
      <w:r>
        <w:rPr>
          <w:rFonts w:hint="eastAsia" w:ascii="宋体" w:hAnsi="宋体"/>
          <w:sz w:val="24"/>
        </w:rPr>
        <w:t>身份证号码：</w:t>
      </w:r>
    </w:p>
    <w:p>
      <w:pPr>
        <w:spacing w:line="500" w:lineRule="exact"/>
        <w:ind w:left="540"/>
        <w:rPr>
          <w:rFonts w:ascii="宋体" w:hAnsi="宋体"/>
          <w:sz w:val="24"/>
        </w:rPr>
      </w:pPr>
      <w:r>
        <w:rPr>
          <w:rFonts w:hint="eastAsia" w:ascii="宋体" w:hAnsi="宋体"/>
          <w:sz w:val="24"/>
        </w:rPr>
        <w:t>系（投标人名称）的法定代表人。</w:t>
      </w:r>
    </w:p>
    <w:p>
      <w:pPr>
        <w:spacing w:line="500" w:lineRule="exact"/>
        <w:ind w:left="540"/>
        <w:rPr>
          <w:rFonts w:ascii="宋体" w:hAnsi="宋体"/>
          <w:sz w:val="24"/>
        </w:rPr>
      </w:pPr>
      <w:r>
        <w:rPr>
          <w:rFonts w:hint="eastAsia" w:ascii="宋体" w:hAnsi="宋体"/>
          <w:sz w:val="24"/>
        </w:rPr>
        <w:t>特此证明。</w:t>
      </w:r>
    </w:p>
    <w:p>
      <w:pPr>
        <w:spacing w:line="500" w:lineRule="exact"/>
        <w:ind w:left="540"/>
        <w:rPr>
          <w:rFonts w:ascii="宋体" w:hAnsi="宋体"/>
          <w:sz w:val="24"/>
        </w:rPr>
      </w:pPr>
      <w:r>
        <w:rPr>
          <w:rFonts w:hint="eastAsia" w:ascii="宋体" w:hAnsi="宋体"/>
          <w:sz w:val="24"/>
        </w:rPr>
        <w:t>附件：法定代表人有效身份证正反面复印件</w:t>
      </w:r>
    </w:p>
    <w:p>
      <w:pPr>
        <w:spacing w:line="500" w:lineRule="exact"/>
        <w:ind w:left="540"/>
        <w:rPr>
          <w:rFonts w:ascii="宋体" w:hAnsi="宋体"/>
          <w:sz w:val="24"/>
        </w:rPr>
      </w:pPr>
    </w:p>
    <w:p>
      <w:pPr>
        <w:spacing w:line="500" w:lineRule="exact"/>
        <w:ind w:left="540"/>
        <w:rPr>
          <w:rFonts w:ascii="宋体" w:hAnsi="宋体"/>
          <w:sz w:val="24"/>
        </w:rPr>
      </w:pPr>
    </w:p>
    <w:p>
      <w:pPr>
        <w:spacing w:line="500" w:lineRule="exact"/>
        <w:ind w:left="540"/>
        <w:rPr>
          <w:rFonts w:ascii="宋体" w:hAnsi="宋体"/>
          <w:sz w:val="24"/>
        </w:rPr>
      </w:pPr>
    </w:p>
    <w:p>
      <w:pPr>
        <w:wordWrap w:val="0"/>
        <w:spacing w:line="500" w:lineRule="exact"/>
        <w:ind w:left="540"/>
        <w:jc w:val="right"/>
        <w:rPr>
          <w:rFonts w:ascii="宋体" w:hAnsi="宋体"/>
          <w:sz w:val="24"/>
        </w:rPr>
      </w:pPr>
      <w:r>
        <w:rPr>
          <w:rFonts w:hint="eastAsia" w:ascii="宋体" w:hAnsi="宋体"/>
          <w:sz w:val="24"/>
        </w:rPr>
        <w:t>投标人：（盖单位章）</w:t>
      </w:r>
    </w:p>
    <w:p>
      <w:pPr>
        <w:spacing w:line="500" w:lineRule="exact"/>
        <w:ind w:left="540"/>
        <w:jc w:val="right"/>
        <w:rPr>
          <w:rFonts w:ascii="宋体" w:hAnsi="宋体"/>
          <w:sz w:val="24"/>
        </w:rPr>
      </w:pPr>
    </w:p>
    <w:p>
      <w:pPr>
        <w:pStyle w:val="19"/>
        <w:spacing w:line="600" w:lineRule="exact"/>
        <w:jc w:val="right"/>
        <w:rPr>
          <w:rFonts w:hAnsi="宋体"/>
          <w:b/>
        </w:rPr>
      </w:pPr>
      <w:r>
        <w:rPr>
          <w:rFonts w:hint="eastAsia" w:hAnsi="宋体"/>
          <w:sz w:val="24"/>
        </w:rPr>
        <w:t>年月日</w:t>
      </w:r>
    </w:p>
    <w:p>
      <w:pPr>
        <w:pStyle w:val="19"/>
        <w:spacing w:line="500" w:lineRule="exact"/>
        <w:jc w:val="center"/>
        <w:rPr>
          <w:rFonts w:hAnsi="宋体"/>
          <w:b/>
          <w:bCs/>
          <w:sz w:val="30"/>
          <w:szCs w:val="30"/>
        </w:rPr>
      </w:pPr>
      <w:r>
        <w:rPr>
          <w:rFonts w:hAnsi="宋体"/>
          <w:b/>
          <w:bCs/>
          <w:sz w:val="30"/>
          <w:szCs w:val="30"/>
        </w:rPr>
        <w:br w:type="page"/>
      </w:r>
      <w:r>
        <w:rPr>
          <w:rFonts w:hint="eastAsia" w:hAnsi="宋体"/>
          <w:b/>
          <w:bCs/>
          <w:sz w:val="30"/>
          <w:szCs w:val="30"/>
        </w:rPr>
        <w:t>法定代表人授权委托书（格式）</w:t>
      </w:r>
    </w:p>
    <w:p>
      <w:pPr>
        <w:pStyle w:val="19"/>
        <w:spacing w:line="500" w:lineRule="exact"/>
        <w:ind w:firstLine="420" w:firstLineChars="200"/>
        <w:rPr>
          <w:rFonts w:hAnsi="宋体"/>
          <w:u w:val="single"/>
        </w:rPr>
      </w:pPr>
    </w:p>
    <w:p>
      <w:pPr>
        <w:pStyle w:val="19"/>
        <w:spacing w:line="360" w:lineRule="auto"/>
        <w:ind w:firstLine="435"/>
        <w:rPr>
          <w:rFonts w:hAnsi="宋体"/>
        </w:rPr>
      </w:pPr>
      <w:r>
        <w:rPr>
          <w:rFonts w:hint="eastAsia" w:hAnsi="宋体"/>
        </w:rPr>
        <w:t>致：（采购代理机构名称）</w:t>
      </w:r>
    </w:p>
    <w:p>
      <w:pPr>
        <w:pStyle w:val="19"/>
        <w:spacing w:line="360" w:lineRule="auto"/>
        <w:ind w:firstLine="435"/>
        <w:rPr>
          <w:rFonts w:hAnsi="宋体"/>
        </w:rPr>
      </w:pPr>
    </w:p>
    <w:p>
      <w:pPr>
        <w:pStyle w:val="19"/>
        <w:spacing w:line="360" w:lineRule="auto"/>
        <w:ind w:firstLine="435"/>
        <w:rPr>
          <w:rFonts w:hAnsi="宋体"/>
        </w:rPr>
      </w:pPr>
      <w:r>
        <w:rPr>
          <w:rFonts w:hint="eastAsia" w:hAnsi="宋体"/>
        </w:rPr>
        <w:t>本人</w:t>
      </w:r>
      <w:r>
        <w:rPr>
          <w:rFonts w:hint="eastAsia" w:hAnsi="宋体"/>
          <w:u w:val="single"/>
        </w:rPr>
        <w:t>（姓名）</w:t>
      </w:r>
      <w:r>
        <w:rPr>
          <w:rFonts w:hint="eastAsia" w:hAnsi="宋体"/>
        </w:rPr>
        <w:t>系</w:t>
      </w:r>
      <w:r>
        <w:rPr>
          <w:rFonts w:hint="eastAsia" w:hAnsi="宋体"/>
          <w:u w:val="single"/>
        </w:rPr>
        <w:t>（投标人名称）</w:t>
      </w:r>
      <w:r>
        <w:rPr>
          <w:rFonts w:hint="eastAsia" w:hAnsi="宋体"/>
        </w:rPr>
        <w:t>的法定代表人，现授权我单位在职正式员工</w:t>
      </w:r>
      <w:r>
        <w:rPr>
          <w:rFonts w:hint="eastAsia" w:hAnsi="宋体"/>
          <w:u w:val="single"/>
        </w:rPr>
        <w:t>（姓名和职务）</w:t>
      </w:r>
      <w:r>
        <w:rPr>
          <w:rFonts w:hint="eastAsia" w:hAnsi="宋体"/>
        </w:rPr>
        <w:t>为我方代理人。代理人根据授权，以我方名义签署、澄清、说明、补正、递交、撤回、修改贵方组织的</w:t>
      </w:r>
      <w:r>
        <w:rPr>
          <w:rFonts w:hint="eastAsia" w:hAnsi="宋体"/>
          <w:u w:val="single"/>
        </w:rPr>
        <w:t>（项目名称）</w:t>
      </w:r>
      <w:r>
        <w:rPr>
          <w:rFonts w:hint="eastAsia" w:hAnsi="宋体"/>
        </w:rPr>
        <w:t>（</w:t>
      </w:r>
      <w:r>
        <w:rPr>
          <w:rFonts w:hint="eastAsia" w:hAnsi="宋体"/>
          <w:u w:val="single"/>
          <w:lang w:eastAsia="zh-CN"/>
        </w:rPr>
        <w:t>项目编号：</w:t>
      </w:r>
      <w:r>
        <w:rPr>
          <w:rFonts w:hint="eastAsia" w:hAnsi="宋体"/>
        </w:rPr>
        <w:t>）项目的投标文件、签订合同和处理一切有关事宜，其法律后果由我方承担。</w:t>
      </w:r>
    </w:p>
    <w:p>
      <w:pPr>
        <w:pStyle w:val="19"/>
        <w:spacing w:line="360" w:lineRule="auto"/>
        <w:ind w:firstLine="435"/>
        <w:rPr>
          <w:rFonts w:hAnsi="宋体"/>
        </w:rPr>
      </w:pPr>
      <w:r>
        <w:rPr>
          <w:rFonts w:hint="eastAsia" w:hAnsi="宋体"/>
        </w:rPr>
        <w:t>本授权书于年月日签字生效，委托期限：。</w:t>
      </w:r>
    </w:p>
    <w:p>
      <w:pPr>
        <w:pStyle w:val="19"/>
        <w:spacing w:line="360" w:lineRule="auto"/>
        <w:ind w:firstLine="420"/>
        <w:rPr>
          <w:rFonts w:hAnsi="宋体"/>
        </w:rPr>
      </w:pPr>
      <w:r>
        <w:rPr>
          <w:rFonts w:hint="eastAsia" w:hAnsi="宋体"/>
        </w:rPr>
        <w:t>代理人无转委托权。</w:t>
      </w:r>
    </w:p>
    <w:p>
      <w:pPr>
        <w:pStyle w:val="19"/>
        <w:spacing w:line="360" w:lineRule="auto"/>
        <w:ind w:firstLine="420"/>
        <w:rPr>
          <w:rFonts w:hAnsi="宋体"/>
        </w:rPr>
      </w:pPr>
    </w:p>
    <w:p>
      <w:pPr>
        <w:pStyle w:val="19"/>
        <w:spacing w:line="360" w:lineRule="auto"/>
        <w:ind w:firstLine="420"/>
        <w:rPr>
          <w:rFonts w:hAnsi="宋体"/>
          <w:u w:val="single"/>
        </w:rPr>
      </w:pPr>
      <w:r>
        <w:rPr>
          <w:rFonts w:hint="eastAsia" w:hAnsi="宋体"/>
        </w:rPr>
        <w:t>投标人（盖单位公章）：</w:t>
      </w:r>
    </w:p>
    <w:p>
      <w:pPr>
        <w:pStyle w:val="19"/>
        <w:spacing w:line="360" w:lineRule="auto"/>
        <w:ind w:firstLine="420"/>
        <w:rPr>
          <w:rFonts w:hAnsi="宋体"/>
          <w:u w:val="single"/>
        </w:rPr>
      </w:pPr>
      <w:r>
        <w:rPr>
          <w:rFonts w:hint="eastAsia" w:hAnsi="宋体"/>
        </w:rPr>
        <w:t>法定代表人（签字）：</w:t>
      </w:r>
    </w:p>
    <w:p>
      <w:pPr>
        <w:pStyle w:val="19"/>
        <w:spacing w:line="360" w:lineRule="auto"/>
        <w:ind w:firstLine="420"/>
        <w:rPr>
          <w:rFonts w:hAnsi="宋体"/>
          <w:u w:val="single"/>
        </w:rPr>
      </w:pPr>
      <w:r>
        <w:rPr>
          <w:rFonts w:hint="eastAsia" w:hAnsi="宋体"/>
        </w:rPr>
        <w:t>法定代表人身份证号码：</w:t>
      </w:r>
    </w:p>
    <w:p>
      <w:pPr>
        <w:pStyle w:val="19"/>
        <w:spacing w:line="360" w:lineRule="auto"/>
        <w:ind w:firstLine="420" w:firstLineChars="200"/>
        <w:rPr>
          <w:rFonts w:hAnsi="宋体"/>
        </w:rPr>
      </w:pPr>
      <w:r>
        <w:rPr>
          <w:rFonts w:hint="eastAsia" w:hAnsi="宋体"/>
        </w:rPr>
        <w:t>委托代理人（签字）：</w:t>
      </w:r>
    </w:p>
    <w:p>
      <w:pPr>
        <w:pStyle w:val="19"/>
        <w:spacing w:line="360" w:lineRule="auto"/>
        <w:ind w:firstLine="420"/>
        <w:rPr>
          <w:rFonts w:hAnsi="宋体"/>
          <w:u w:val="single"/>
        </w:rPr>
      </w:pPr>
      <w:r>
        <w:rPr>
          <w:rFonts w:hint="eastAsia" w:hAnsi="宋体"/>
        </w:rPr>
        <w:t>委托代理人身份证号码：</w:t>
      </w:r>
    </w:p>
    <w:p>
      <w:pPr>
        <w:spacing w:before="165" w:after="50"/>
        <w:jc w:val="center"/>
        <w:rPr>
          <w:rFonts w:ascii="宋体" w:hAnsi="宋体"/>
          <w:b/>
          <w:bCs/>
          <w:kern w:val="1"/>
          <w:sz w:val="30"/>
          <w:szCs w:val="30"/>
        </w:rPr>
      </w:pPr>
      <w:r>
        <w:rPr>
          <w:rFonts w:ascii="宋体" w:hAnsi="宋体"/>
        </w:rPr>
        <w:br w:type="page"/>
      </w:r>
      <w:r>
        <w:rPr>
          <w:rFonts w:hint="eastAsia" w:ascii="宋体" w:hAnsi="宋体"/>
          <w:b/>
          <w:bCs/>
          <w:kern w:val="1"/>
          <w:sz w:val="30"/>
          <w:szCs w:val="30"/>
        </w:rPr>
        <w:t>投标声明书（格式）</w:t>
      </w:r>
    </w:p>
    <w:p>
      <w:pPr>
        <w:spacing w:before="165" w:after="50"/>
        <w:rPr>
          <w:rFonts w:ascii="宋体" w:hAnsi="宋体" w:cs="宋体"/>
          <w:kern w:val="1"/>
          <w:sz w:val="24"/>
        </w:rPr>
      </w:pPr>
    </w:p>
    <w:p>
      <w:pPr>
        <w:spacing w:before="165" w:after="50" w:line="340" w:lineRule="exact"/>
        <w:rPr>
          <w:rFonts w:ascii="宋体" w:hAnsi="宋体" w:cs="宋体"/>
          <w:kern w:val="1"/>
          <w:szCs w:val="21"/>
        </w:rPr>
      </w:pPr>
      <w:r>
        <w:rPr>
          <w:rFonts w:hint="eastAsia" w:ascii="宋体" w:hAnsi="宋体" w:cs="宋体"/>
          <w:kern w:val="1"/>
          <w:szCs w:val="21"/>
        </w:rPr>
        <w:t>致：</w:t>
      </w:r>
      <w:r>
        <w:rPr>
          <w:rFonts w:ascii="宋体" w:hAnsi="宋体" w:cs="宋体"/>
          <w:kern w:val="1"/>
          <w:szCs w:val="21"/>
          <w:u w:val="single"/>
        </w:rPr>
        <w:t>_______     __</w:t>
      </w:r>
      <w:r>
        <w:rPr>
          <w:rFonts w:hint="eastAsia" w:ascii="宋体" w:hAnsi="宋体" w:cs="宋体"/>
          <w:kern w:val="1"/>
          <w:szCs w:val="21"/>
        </w:rPr>
        <w:t>（招标采购单位名称）：</w:t>
      </w:r>
    </w:p>
    <w:p>
      <w:pPr>
        <w:spacing w:before="165" w:after="50" w:line="340" w:lineRule="exact"/>
        <w:ind w:firstLine="630"/>
        <w:rPr>
          <w:rFonts w:ascii="宋体" w:hAnsi="宋体" w:cs="宋体"/>
          <w:kern w:val="1"/>
          <w:szCs w:val="21"/>
        </w:rPr>
      </w:pPr>
      <w:r>
        <w:rPr>
          <w:rFonts w:ascii="宋体" w:hAnsi="宋体" w:cs="宋体"/>
          <w:kern w:val="1"/>
          <w:szCs w:val="21"/>
          <w:u w:val="single"/>
        </w:rPr>
        <w:t>_______     __</w:t>
      </w:r>
      <w:r>
        <w:rPr>
          <w:rFonts w:hint="eastAsia" w:ascii="宋体" w:hAnsi="宋体" w:cs="宋体"/>
          <w:kern w:val="1"/>
          <w:szCs w:val="21"/>
        </w:rPr>
        <w:t>（投标人名称）系中华人民共和国合法企业，经营地址。</w:t>
      </w:r>
    </w:p>
    <w:p>
      <w:pPr>
        <w:spacing w:before="165" w:line="340" w:lineRule="exact"/>
        <w:ind w:firstLine="420"/>
        <w:rPr>
          <w:rFonts w:ascii="宋体" w:hAnsi="宋体" w:cs="宋体"/>
          <w:kern w:val="1"/>
          <w:szCs w:val="21"/>
        </w:rPr>
      </w:pPr>
      <w:r>
        <w:rPr>
          <w:rFonts w:hint="eastAsia" w:ascii="宋体" w:hAnsi="宋体" w:cs="宋体"/>
          <w:kern w:val="1"/>
          <w:szCs w:val="21"/>
        </w:rPr>
        <w:t>我</w:t>
      </w:r>
      <w:r>
        <w:rPr>
          <w:rFonts w:ascii="宋体" w:hAnsi="宋体" w:cs="宋体"/>
          <w:kern w:val="1"/>
          <w:szCs w:val="21"/>
          <w:u w:val="single"/>
        </w:rPr>
        <w:t>___    __</w:t>
      </w:r>
      <w:r>
        <w:rPr>
          <w:rFonts w:hint="eastAsia" w:ascii="宋体" w:hAnsi="宋体" w:cs="宋体"/>
          <w:kern w:val="1"/>
          <w:szCs w:val="21"/>
        </w:rPr>
        <w:t>（姓名）系</w:t>
      </w:r>
      <w:r>
        <w:rPr>
          <w:rFonts w:ascii="宋体" w:hAnsi="宋体" w:cs="宋体"/>
          <w:kern w:val="1"/>
          <w:szCs w:val="21"/>
          <w:u w:val="single"/>
        </w:rPr>
        <w:t>_______     __</w:t>
      </w:r>
      <w:r>
        <w:rPr>
          <w:rFonts w:hint="eastAsia" w:ascii="宋体" w:hAnsi="宋体" w:cs="宋体"/>
          <w:kern w:val="1"/>
          <w:szCs w:val="21"/>
        </w:rPr>
        <w:t>（投标人名称）的法定代表人，我方愿意参加贵方组织的</w:t>
      </w:r>
      <w:r>
        <w:rPr>
          <w:rFonts w:ascii="宋体" w:hAnsi="宋体" w:cs="宋体"/>
          <w:kern w:val="1"/>
          <w:szCs w:val="21"/>
        </w:rPr>
        <w:t>_____</w:t>
      </w:r>
      <w:r>
        <w:rPr>
          <w:rFonts w:ascii="宋体" w:hAnsi="宋体" w:cs="宋体"/>
          <w:kern w:val="1"/>
          <w:szCs w:val="21"/>
          <w:u w:val="single"/>
        </w:rPr>
        <w:t>_              _     _</w:t>
      </w:r>
      <w:r>
        <w:rPr>
          <w:rFonts w:ascii="宋体" w:hAnsi="宋体" w:cs="宋体"/>
          <w:kern w:val="1"/>
          <w:szCs w:val="21"/>
        </w:rPr>
        <w:t>_</w:t>
      </w:r>
      <w:r>
        <w:rPr>
          <w:rFonts w:hint="eastAsia" w:ascii="宋体" w:hAnsi="宋体" w:cs="宋体"/>
          <w:kern w:val="1"/>
          <w:szCs w:val="21"/>
        </w:rPr>
        <w:t>项目的投标，为便于贵方公正、择优地确定中标人及其投标产品和服务，我方就本次投标有关事项郑重声明如下：</w:t>
      </w:r>
    </w:p>
    <w:p>
      <w:pPr>
        <w:spacing w:line="340" w:lineRule="exact"/>
        <w:ind w:firstLine="420"/>
        <w:rPr>
          <w:rFonts w:ascii="宋体" w:hAnsi="宋体" w:cs="宋体"/>
          <w:kern w:val="1"/>
          <w:szCs w:val="21"/>
        </w:rPr>
      </w:pPr>
      <w:r>
        <w:rPr>
          <w:rFonts w:ascii="宋体" w:hAnsi="宋体" w:cs="宋体"/>
          <w:kern w:val="1"/>
          <w:szCs w:val="21"/>
        </w:rPr>
        <w:t>1.</w:t>
      </w:r>
      <w:r>
        <w:rPr>
          <w:rFonts w:hint="eastAsia" w:ascii="宋体" w:hAnsi="宋体" w:cs="宋体"/>
          <w:kern w:val="1"/>
          <w:szCs w:val="21"/>
        </w:rPr>
        <w:t>我方向贵方提交的所有投标文件、资料都是准确的和真实的。</w:t>
      </w:r>
    </w:p>
    <w:p>
      <w:pPr>
        <w:spacing w:before="165" w:line="340" w:lineRule="exact"/>
        <w:ind w:firstLine="420"/>
        <w:rPr>
          <w:rFonts w:ascii="宋体" w:hAnsi="宋体" w:cs="宋体"/>
          <w:kern w:val="1"/>
          <w:szCs w:val="21"/>
        </w:rPr>
      </w:pPr>
      <w:r>
        <w:rPr>
          <w:rFonts w:ascii="宋体" w:hAnsi="宋体" w:cs="宋体"/>
          <w:kern w:val="1"/>
          <w:szCs w:val="21"/>
        </w:rPr>
        <w:t>2.</w:t>
      </w:r>
      <w:r>
        <w:rPr>
          <w:rFonts w:hint="eastAsia" w:ascii="宋体" w:hAnsi="宋体" w:cs="宋体"/>
          <w:kern w:val="1"/>
          <w:szCs w:val="21"/>
        </w:rPr>
        <w:t>我方不是采购人的附属机构；在获知本项目采购信息后，与采购人聘请的为此项目提供咨询服务的公司及其附属机构没有任何联系。</w:t>
      </w:r>
    </w:p>
    <w:p>
      <w:pPr>
        <w:spacing w:before="165" w:line="340" w:lineRule="exact"/>
        <w:ind w:firstLine="420"/>
        <w:rPr>
          <w:rFonts w:ascii="宋体" w:hAnsi="宋体" w:cs="宋体"/>
          <w:kern w:val="1"/>
          <w:szCs w:val="21"/>
        </w:rPr>
      </w:pPr>
      <w:r>
        <w:rPr>
          <w:rFonts w:ascii="宋体" w:hAnsi="宋体" w:cs="宋体"/>
          <w:kern w:val="1"/>
          <w:szCs w:val="21"/>
        </w:rPr>
        <w:t>3.</w:t>
      </w:r>
      <w:r>
        <w:rPr>
          <w:rFonts w:hint="eastAsia" w:ascii="宋体" w:hAnsi="宋体" w:cs="宋体"/>
          <w:kern w:val="1"/>
          <w:szCs w:val="21"/>
        </w:rPr>
        <w:t>我方此次向贵方提供的产品名称为：；规格型号：；该型号产品我方有现货可供，并已于年月生产完工或向</w:t>
      </w:r>
      <w:r>
        <w:rPr>
          <w:rFonts w:hint="eastAsia" w:ascii="宋体" w:hAnsi="宋体" w:cs="宋体"/>
          <w:kern w:val="1"/>
          <w:szCs w:val="21"/>
          <w:u w:val="single"/>
        </w:rPr>
        <w:t>　　</w:t>
      </w:r>
      <w:r>
        <w:rPr>
          <w:rFonts w:hint="eastAsia" w:ascii="宋体" w:hAnsi="宋体" w:cs="宋体"/>
          <w:kern w:val="1"/>
          <w:szCs w:val="21"/>
        </w:rPr>
        <w:t>（原厂商名称）购进［</w:t>
      </w:r>
      <w:r>
        <w:rPr>
          <w:rFonts w:hint="eastAsia" w:ascii="宋体" w:hAnsi="宋体" w:cs="宋体"/>
          <w:b/>
          <w:bCs/>
          <w:kern w:val="1"/>
          <w:szCs w:val="21"/>
        </w:rPr>
        <w:t>或</w:t>
      </w:r>
      <w:r>
        <w:rPr>
          <w:rFonts w:hint="eastAsia" w:ascii="宋体" w:hAnsi="宋体" w:cs="宋体"/>
          <w:kern w:val="1"/>
          <w:szCs w:val="21"/>
        </w:rPr>
        <w:t>需在中标后向订购］。</w:t>
      </w:r>
    </w:p>
    <w:p>
      <w:pPr>
        <w:spacing w:before="165" w:line="340" w:lineRule="exact"/>
        <w:ind w:firstLine="420"/>
        <w:rPr>
          <w:rFonts w:ascii="宋体" w:hAnsi="宋体" w:cs="宋体"/>
          <w:kern w:val="1"/>
          <w:szCs w:val="21"/>
        </w:rPr>
      </w:pPr>
      <w:r>
        <w:rPr>
          <w:rFonts w:ascii="宋体" w:hAnsi="宋体" w:cs="宋体"/>
          <w:kern w:val="1"/>
          <w:szCs w:val="21"/>
        </w:rPr>
        <w:t>4.</w:t>
      </w:r>
      <w:r>
        <w:rPr>
          <w:rFonts w:hint="eastAsia" w:ascii="宋体" w:hAnsi="宋体" w:cs="宋体"/>
          <w:kern w:val="1"/>
          <w:szCs w:val="21"/>
        </w:rPr>
        <w:t>我方诚意提请贵方关注：近期有关该型号产品的生产、供货、售后服务以及性能等方面的重大决策和事项有：</w:t>
      </w:r>
    </w:p>
    <w:p>
      <w:pPr>
        <w:spacing w:before="165" w:line="340" w:lineRule="exact"/>
        <w:ind w:firstLine="420"/>
        <w:rPr>
          <w:rFonts w:ascii="宋体" w:hAnsi="宋体" w:cs="宋体"/>
          <w:kern w:val="1"/>
          <w:szCs w:val="21"/>
          <w:u w:val="single"/>
        </w:rPr>
      </w:pPr>
      <w:r>
        <w:rPr>
          <w:rFonts w:hint="eastAsia" w:ascii="宋体" w:hAnsi="宋体" w:cs="宋体"/>
          <w:kern w:val="1"/>
          <w:szCs w:val="21"/>
          <w:u w:val="single"/>
        </w:rPr>
        <w:t>　　　　　　　　　　　　　　　　　　　　　　　　　　　</w:t>
      </w:r>
    </w:p>
    <w:p>
      <w:pPr>
        <w:spacing w:before="165" w:line="340" w:lineRule="exact"/>
        <w:ind w:firstLine="420"/>
        <w:rPr>
          <w:rFonts w:ascii="宋体" w:hAnsi="宋体" w:cs="宋体"/>
          <w:kern w:val="1"/>
          <w:szCs w:val="21"/>
        </w:rPr>
      </w:pPr>
      <w:r>
        <w:rPr>
          <w:rFonts w:hint="eastAsia" w:ascii="宋体" w:hAnsi="宋体" w:cs="宋体"/>
          <w:kern w:val="1"/>
          <w:szCs w:val="21"/>
          <w:u w:val="single"/>
        </w:rPr>
        <w:t>　　　　　　　　　　　　　　　　　　　　　　　　　　　</w:t>
      </w:r>
    </w:p>
    <w:p>
      <w:pPr>
        <w:pStyle w:val="15"/>
        <w:spacing w:line="340" w:lineRule="exact"/>
        <w:ind w:firstLine="404"/>
        <w:rPr>
          <w:rFonts w:hAnsi="宋体" w:cs="宋体"/>
          <w:szCs w:val="21"/>
          <w:u w:val="single"/>
        </w:rPr>
      </w:pPr>
      <w:r>
        <w:rPr>
          <w:rFonts w:hAnsi="宋体" w:cs="宋体"/>
          <w:szCs w:val="21"/>
        </w:rPr>
        <w:t xml:space="preserve">5. </w:t>
      </w:r>
      <w:r>
        <w:rPr>
          <w:rFonts w:hint="eastAsia" w:hAnsi="宋体" w:cs="宋体"/>
          <w:szCs w:val="21"/>
        </w:rPr>
        <w:t>上事项如有虚假或隐瞒，我方愿意承担一切后果，并不再寻求任何旨在减轻或免除法律责任的辩解。</w:t>
      </w:r>
    </w:p>
    <w:p>
      <w:pPr>
        <w:spacing w:line="340" w:lineRule="exact"/>
        <w:ind w:firstLine="420"/>
        <w:rPr>
          <w:rFonts w:ascii="宋体" w:hAnsi="宋体" w:cs="宋体"/>
          <w:kern w:val="1"/>
          <w:szCs w:val="21"/>
        </w:rPr>
      </w:pPr>
      <w:r>
        <w:rPr>
          <w:rFonts w:ascii="宋体" w:hAnsi="宋体" w:cs="宋体"/>
          <w:kern w:val="1"/>
          <w:szCs w:val="21"/>
        </w:rPr>
        <w:t xml:space="preserve">6. </w:t>
      </w:r>
      <w:r>
        <w:rPr>
          <w:rFonts w:hint="eastAsia" w:ascii="宋体" w:hAnsi="宋体" w:cs="宋体"/>
          <w:kern w:val="1"/>
          <w:szCs w:val="21"/>
        </w:rPr>
        <w:t>参照《中华人民共和国政府采购法实施条例》第五十条要求对采购合同进行公告，但采购合同中涉及国家秘密、商业秘密的内容除外。我方就对本次投标文件进行注明如下：（两项内容中必须选择一项）</w:t>
      </w:r>
    </w:p>
    <w:p>
      <w:pPr>
        <w:spacing w:line="340" w:lineRule="exact"/>
        <w:ind w:firstLine="420"/>
        <w:rPr>
          <w:rFonts w:ascii="宋体" w:hAnsi="宋体" w:cs="宋体"/>
          <w:kern w:val="1"/>
          <w:szCs w:val="21"/>
        </w:rPr>
      </w:pPr>
      <w:r>
        <w:rPr>
          <w:rFonts w:hint="eastAsia" w:ascii="宋体" w:hAnsi="宋体" w:cs="宋体"/>
          <w:kern w:val="1"/>
          <w:szCs w:val="21"/>
        </w:rPr>
        <w:t>□我方本次投标文件</w:t>
      </w:r>
      <w:r>
        <w:rPr>
          <w:rFonts w:hint="eastAsia" w:ascii="宋体" w:hAnsi="宋体" w:cs="宋体"/>
          <w:szCs w:val="21"/>
        </w:rPr>
        <w:t>内容中</w:t>
      </w:r>
      <w:r>
        <w:rPr>
          <w:rFonts w:hint="eastAsia" w:ascii="宋体" w:hAnsi="宋体" w:cs="宋体"/>
          <w:kern w:val="1"/>
          <w:szCs w:val="21"/>
        </w:rPr>
        <w:t>未</w:t>
      </w:r>
      <w:r>
        <w:rPr>
          <w:rFonts w:hint="eastAsia" w:ascii="宋体" w:hAnsi="宋体" w:cs="宋体"/>
          <w:szCs w:val="21"/>
        </w:rPr>
        <w:t>涉及商业秘密；</w:t>
      </w:r>
    </w:p>
    <w:p>
      <w:pPr>
        <w:spacing w:line="340" w:lineRule="exact"/>
        <w:ind w:firstLine="420"/>
        <w:rPr>
          <w:rFonts w:ascii="宋体" w:hAnsi="宋体" w:cs="宋体"/>
          <w:kern w:val="1"/>
          <w:szCs w:val="21"/>
          <w:u w:val="single"/>
        </w:rPr>
      </w:pPr>
      <w:r>
        <w:rPr>
          <w:rFonts w:hint="eastAsia" w:ascii="宋体" w:hAnsi="宋体" w:cs="宋体"/>
          <w:kern w:val="1"/>
          <w:szCs w:val="21"/>
        </w:rPr>
        <w:t>□我方本次投标文件</w:t>
      </w:r>
      <w:r>
        <w:rPr>
          <w:rFonts w:hint="eastAsia" w:ascii="宋体" w:hAnsi="宋体" w:cs="宋体"/>
          <w:szCs w:val="21"/>
        </w:rPr>
        <w:t>涉及商业秘密的内容有：；</w:t>
      </w:r>
    </w:p>
    <w:p>
      <w:pPr>
        <w:spacing w:line="340" w:lineRule="exact"/>
        <w:ind w:firstLine="420"/>
        <w:rPr>
          <w:rFonts w:ascii="宋体" w:hAnsi="宋体" w:cs="宋体"/>
          <w:kern w:val="1"/>
          <w:szCs w:val="21"/>
        </w:rPr>
      </w:pPr>
      <w:r>
        <w:rPr>
          <w:rFonts w:ascii="宋体" w:hAnsi="宋体" w:cs="宋体"/>
          <w:kern w:val="1"/>
          <w:szCs w:val="21"/>
        </w:rPr>
        <w:t xml:space="preserve">7. </w:t>
      </w:r>
      <w:r>
        <w:rPr>
          <w:rFonts w:hint="eastAsia" w:ascii="宋体" w:hAnsi="宋体" w:cs="宋体"/>
          <w:kern w:val="1"/>
          <w:szCs w:val="21"/>
        </w:rPr>
        <w:t>我方在此声明，我方及由本人担任法定代表人的其他机构在参加本项目的采购活动前三年内，在经营活动中没有重大违法记录，参照《中华人民共和国政府采购法》及《中华人民共和国政府采购实施条例》相关法律规定，符合供应商条件，我方对此声明负全部法律责任。</w:t>
      </w:r>
    </w:p>
    <w:p>
      <w:pPr>
        <w:spacing w:line="340" w:lineRule="exact"/>
        <w:ind w:firstLine="420"/>
        <w:rPr>
          <w:rFonts w:ascii="宋体" w:hAnsi="宋体" w:cs="宋体"/>
          <w:kern w:val="1"/>
          <w:szCs w:val="21"/>
        </w:rPr>
      </w:pPr>
    </w:p>
    <w:p>
      <w:pPr>
        <w:spacing w:line="340" w:lineRule="exact"/>
        <w:ind w:firstLine="420"/>
        <w:rPr>
          <w:rFonts w:ascii="宋体" w:hAnsi="宋体" w:cs="宋体"/>
          <w:kern w:val="1"/>
          <w:szCs w:val="21"/>
        </w:rPr>
      </w:pPr>
    </w:p>
    <w:p>
      <w:pPr>
        <w:pStyle w:val="16"/>
        <w:tabs>
          <w:tab w:val="left" w:pos="939"/>
        </w:tabs>
        <w:spacing w:line="340" w:lineRule="exact"/>
        <w:ind w:left="840" w:hanging="420"/>
        <w:rPr>
          <w:rFonts w:ascii="宋体" w:hAnsi="宋体" w:cs="宋体"/>
          <w:sz w:val="21"/>
          <w:szCs w:val="21"/>
        </w:rPr>
      </w:pPr>
    </w:p>
    <w:p>
      <w:pPr>
        <w:spacing w:before="165" w:line="340" w:lineRule="exact"/>
        <w:ind w:right="480" w:firstLine="4792"/>
        <w:rPr>
          <w:rFonts w:ascii="宋体" w:hAnsi="宋体" w:cs="宋体"/>
          <w:kern w:val="1"/>
          <w:szCs w:val="21"/>
          <w:u w:val="single"/>
        </w:rPr>
      </w:pPr>
      <w:r>
        <w:rPr>
          <w:rFonts w:hint="eastAsia" w:ascii="宋体" w:hAnsi="宋体" w:cs="宋体"/>
          <w:kern w:val="1"/>
          <w:szCs w:val="21"/>
        </w:rPr>
        <w:t>法定代表人签字：</w:t>
      </w:r>
    </w:p>
    <w:p>
      <w:pPr>
        <w:spacing w:before="165" w:after="50" w:line="340" w:lineRule="exact"/>
        <w:ind w:right="480" w:firstLine="4830"/>
        <w:rPr>
          <w:rFonts w:ascii="宋体" w:hAnsi="宋体" w:cs="宋体"/>
          <w:kern w:val="1"/>
          <w:szCs w:val="21"/>
        </w:rPr>
      </w:pPr>
      <w:r>
        <w:rPr>
          <w:rFonts w:hint="eastAsia" w:ascii="宋体" w:hAnsi="宋体" w:cs="宋体"/>
          <w:kern w:val="1"/>
          <w:szCs w:val="21"/>
        </w:rPr>
        <w:t>投标人公章：</w:t>
      </w:r>
    </w:p>
    <w:p>
      <w:pPr>
        <w:pStyle w:val="19"/>
        <w:spacing w:line="500" w:lineRule="exact"/>
        <w:ind w:firstLine="5040" w:firstLineChars="2400"/>
        <w:rPr>
          <w:rFonts w:hAnsi="宋体" w:cs="宋体"/>
          <w:szCs w:val="21"/>
        </w:rPr>
      </w:pPr>
      <w:r>
        <w:rPr>
          <w:rFonts w:hint="eastAsia" w:hAnsi="宋体" w:cs="宋体"/>
          <w:szCs w:val="21"/>
        </w:rPr>
        <w:t>年月日</w:t>
      </w:r>
    </w:p>
    <w:p>
      <w:pPr>
        <w:pStyle w:val="19"/>
        <w:spacing w:line="500" w:lineRule="exact"/>
        <w:rPr>
          <w:rFonts w:hAnsi="宋体" w:cs="宋体"/>
          <w:szCs w:val="21"/>
        </w:rPr>
      </w:pPr>
    </w:p>
    <w:p>
      <w:pPr>
        <w:pStyle w:val="19"/>
        <w:spacing w:line="500" w:lineRule="exact"/>
        <w:rPr>
          <w:rFonts w:hAnsi="宋体" w:cs="宋体"/>
          <w:szCs w:val="21"/>
        </w:rPr>
      </w:pPr>
    </w:p>
    <w:p>
      <w:pPr>
        <w:tabs>
          <w:tab w:val="left" w:pos="7200"/>
        </w:tabs>
        <w:spacing w:line="360" w:lineRule="auto"/>
        <w:ind w:firstLine="839" w:firstLineChars="398"/>
        <w:rPr>
          <w:rFonts w:ascii="宋体" w:hAnsi="宋体"/>
          <w:b/>
        </w:rPr>
      </w:pPr>
    </w:p>
    <w:p>
      <w:pPr>
        <w:snapToGrid w:val="0"/>
        <w:spacing w:before="50" w:after="165" w:afterLines="50"/>
        <w:jc w:val="left"/>
        <w:rPr>
          <w:rFonts w:ascii="宋体" w:hAnsi="宋体"/>
          <w:b/>
          <w:szCs w:val="21"/>
        </w:rPr>
      </w:pPr>
    </w:p>
    <w:p>
      <w:pPr>
        <w:snapToGrid w:val="0"/>
        <w:spacing w:before="50" w:after="165" w:afterLines="50"/>
        <w:jc w:val="left"/>
        <w:rPr>
          <w:rFonts w:ascii="宋体" w:hAnsi="宋体"/>
          <w:b/>
          <w:szCs w:val="21"/>
        </w:rPr>
      </w:pPr>
      <w:r>
        <w:rPr>
          <w:rFonts w:hint="eastAsia" w:ascii="宋体" w:hAnsi="宋体"/>
          <w:b/>
          <w:szCs w:val="21"/>
        </w:rPr>
        <w:t>参加政府采购活动前三年内在经营活动中没有重大违法记录的书面声明（格式）</w:t>
      </w:r>
    </w:p>
    <w:p>
      <w:pPr>
        <w:pStyle w:val="19"/>
        <w:spacing w:line="360" w:lineRule="auto"/>
        <w:rPr>
          <w:rFonts w:hAnsi="宋体"/>
          <w:b/>
        </w:rPr>
      </w:pPr>
    </w:p>
    <w:p>
      <w:pPr>
        <w:ind w:firstLine="360" w:firstLineChars="100"/>
        <w:jc w:val="center"/>
        <w:rPr>
          <w:rStyle w:val="195"/>
          <w:rFonts w:ascii="宋体" w:hAnsi="宋体"/>
          <w:sz w:val="36"/>
          <w:szCs w:val="36"/>
        </w:rPr>
      </w:pPr>
      <w:r>
        <w:rPr>
          <w:rFonts w:hint="eastAsia" w:ascii="宋体" w:hAnsi="宋体"/>
          <w:sz w:val="36"/>
          <w:szCs w:val="36"/>
        </w:rPr>
        <w:t>无重大违法记录声明书</w:t>
      </w:r>
    </w:p>
    <w:p>
      <w:pPr>
        <w:ind w:firstLine="210" w:firstLineChars="100"/>
        <w:rPr>
          <w:rStyle w:val="195"/>
          <w:rFonts w:ascii="宋体" w:hAnsi="宋体"/>
          <w:szCs w:val="21"/>
        </w:rPr>
      </w:pPr>
    </w:p>
    <w:p>
      <w:pPr>
        <w:spacing w:line="640" w:lineRule="exact"/>
        <w:rPr>
          <w:rFonts w:ascii="宋体" w:hAnsi="宋体"/>
          <w:sz w:val="30"/>
          <w:szCs w:val="30"/>
        </w:rPr>
      </w:pPr>
      <w:r>
        <w:rPr>
          <w:rStyle w:val="195"/>
          <w:rFonts w:hint="eastAsia" w:ascii="宋体" w:hAnsi="宋体"/>
          <w:sz w:val="30"/>
          <w:szCs w:val="30"/>
        </w:rPr>
        <w:t>（采购单位名称）：</w:t>
      </w:r>
    </w:p>
    <w:p>
      <w:pPr>
        <w:spacing w:line="640" w:lineRule="exact"/>
        <w:ind w:firstLine="600" w:firstLineChars="200"/>
        <w:rPr>
          <w:rFonts w:ascii="宋体" w:hAnsi="宋体"/>
          <w:sz w:val="30"/>
          <w:szCs w:val="30"/>
        </w:rPr>
      </w:pPr>
      <w:r>
        <w:rPr>
          <w:rStyle w:val="195"/>
          <w:rFonts w:hint="eastAsia" w:ascii="宋体" w:hAnsi="宋体"/>
          <w:sz w:val="30"/>
          <w:szCs w:val="30"/>
        </w:rPr>
        <w:t>我公司参加贵公司组织项目的政府采购活动。我公司在此郑重声明，我公司参加本项目的政府采购活动前三年内在经营活动中没有重大违法记录，符合《中华人民共和国政府采购法》及《中华人民共和国政府采购实施条例》规定的供应商条件，我公司对此声明负全部法律责任。</w:t>
      </w:r>
    </w:p>
    <w:p>
      <w:pPr>
        <w:spacing w:line="640" w:lineRule="exact"/>
        <w:ind w:firstLine="600" w:firstLineChars="200"/>
        <w:rPr>
          <w:rFonts w:ascii="宋体" w:hAnsi="宋体"/>
          <w:sz w:val="30"/>
          <w:szCs w:val="30"/>
        </w:rPr>
      </w:pPr>
      <w:r>
        <w:rPr>
          <w:rStyle w:val="195"/>
          <w:rFonts w:hint="eastAsia" w:ascii="宋体" w:hAnsi="宋体"/>
          <w:sz w:val="30"/>
          <w:szCs w:val="30"/>
        </w:rPr>
        <w:t>特此承诺。</w:t>
      </w:r>
    </w:p>
    <w:p>
      <w:pPr>
        <w:spacing w:line="640" w:lineRule="exact"/>
        <w:ind w:firstLine="600" w:firstLineChars="200"/>
        <w:rPr>
          <w:rFonts w:ascii="宋体" w:hAnsi="宋体"/>
          <w:sz w:val="30"/>
          <w:szCs w:val="30"/>
        </w:rPr>
      </w:pPr>
    </w:p>
    <w:p>
      <w:pPr>
        <w:spacing w:line="640" w:lineRule="exact"/>
        <w:ind w:firstLine="600" w:firstLineChars="200"/>
        <w:rPr>
          <w:rFonts w:ascii="宋体" w:hAnsi="宋体"/>
          <w:sz w:val="30"/>
          <w:szCs w:val="30"/>
        </w:rPr>
      </w:pPr>
    </w:p>
    <w:p>
      <w:pPr>
        <w:spacing w:line="640" w:lineRule="exact"/>
        <w:ind w:firstLine="600" w:firstLineChars="200"/>
        <w:rPr>
          <w:rStyle w:val="195"/>
          <w:rFonts w:ascii="宋体" w:hAnsi="宋体"/>
          <w:sz w:val="30"/>
          <w:szCs w:val="30"/>
        </w:rPr>
      </w:pPr>
      <w:r>
        <w:rPr>
          <w:rStyle w:val="195"/>
          <w:rFonts w:hint="eastAsia" w:ascii="宋体" w:hAnsi="宋体"/>
          <w:sz w:val="30"/>
          <w:szCs w:val="30"/>
        </w:rPr>
        <w:t>供应商公章：</w:t>
      </w:r>
    </w:p>
    <w:p>
      <w:pPr>
        <w:spacing w:line="640" w:lineRule="exact"/>
        <w:ind w:firstLine="600" w:firstLineChars="200"/>
        <w:rPr>
          <w:rStyle w:val="195"/>
          <w:rFonts w:ascii="宋体" w:hAnsi="宋体"/>
          <w:sz w:val="30"/>
          <w:szCs w:val="30"/>
        </w:rPr>
      </w:pPr>
      <w:r>
        <w:rPr>
          <w:rStyle w:val="195"/>
          <w:rFonts w:hint="eastAsia" w:ascii="宋体" w:hAnsi="宋体"/>
          <w:sz w:val="30"/>
          <w:szCs w:val="30"/>
        </w:rPr>
        <w:t>法定代表人或委托代理人签字：</w:t>
      </w:r>
      <w:r>
        <w:rPr>
          <w:rStyle w:val="195"/>
          <w:rFonts w:ascii="宋体" w:hAnsi="宋体"/>
          <w:sz w:val="30"/>
          <w:szCs w:val="30"/>
        </w:rPr>
        <w:t>   </w:t>
      </w:r>
    </w:p>
    <w:p>
      <w:pPr>
        <w:spacing w:line="640" w:lineRule="exact"/>
        <w:ind w:firstLine="600" w:firstLineChars="200"/>
        <w:rPr>
          <w:rFonts w:ascii="宋体" w:hAnsi="宋体"/>
          <w:sz w:val="30"/>
          <w:szCs w:val="30"/>
        </w:rPr>
      </w:pPr>
      <w:r>
        <w:rPr>
          <w:rStyle w:val="195"/>
          <w:rFonts w:hint="eastAsia" w:ascii="宋体" w:hAnsi="宋体"/>
          <w:sz w:val="30"/>
          <w:szCs w:val="30"/>
        </w:rPr>
        <w:t>日期：</w:t>
      </w:r>
      <w:r>
        <w:rPr>
          <w:rStyle w:val="195"/>
          <w:rFonts w:ascii="宋体" w:hAnsi="宋体"/>
          <w:sz w:val="30"/>
          <w:szCs w:val="30"/>
        </w:rPr>
        <w:t>     </w:t>
      </w:r>
      <w:r>
        <w:rPr>
          <w:rStyle w:val="195"/>
          <w:rFonts w:hint="eastAsia" w:ascii="宋体" w:hAnsi="宋体"/>
          <w:sz w:val="30"/>
          <w:szCs w:val="30"/>
        </w:rPr>
        <w:t>年</w:t>
      </w:r>
      <w:r>
        <w:rPr>
          <w:rStyle w:val="195"/>
          <w:rFonts w:ascii="宋体" w:hAnsi="宋体"/>
          <w:sz w:val="30"/>
          <w:szCs w:val="30"/>
        </w:rPr>
        <w:t>     </w:t>
      </w:r>
      <w:r>
        <w:rPr>
          <w:rStyle w:val="195"/>
          <w:rFonts w:hint="eastAsia" w:ascii="宋体" w:hAnsi="宋体"/>
          <w:sz w:val="30"/>
          <w:szCs w:val="30"/>
        </w:rPr>
        <w:t>月</w:t>
      </w:r>
      <w:r>
        <w:rPr>
          <w:rStyle w:val="195"/>
          <w:rFonts w:ascii="宋体" w:hAnsi="宋体"/>
          <w:sz w:val="30"/>
          <w:szCs w:val="30"/>
        </w:rPr>
        <w:t>     </w:t>
      </w:r>
      <w:r>
        <w:rPr>
          <w:rStyle w:val="195"/>
          <w:rFonts w:hint="eastAsia" w:ascii="宋体" w:hAnsi="宋体"/>
          <w:sz w:val="30"/>
          <w:szCs w:val="30"/>
        </w:rPr>
        <w:t>日</w:t>
      </w:r>
    </w:p>
    <w:p>
      <w:pPr>
        <w:rPr>
          <w:rFonts w:ascii="宋体" w:hAnsi="宋体"/>
        </w:rPr>
      </w:pPr>
      <w:r>
        <w:rPr>
          <w:rFonts w:ascii="宋体" w:hAnsi="宋体"/>
        </w:rPr>
        <w:br w:type="page"/>
      </w:r>
      <w:bookmarkStart w:id="62" w:name="_Toc213325925"/>
      <w:bookmarkStart w:id="63" w:name="_Toc213206176"/>
      <w:bookmarkStart w:id="64" w:name="_Toc57749788"/>
    </w:p>
    <w:p>
      <w:pPr>
        <w:pStyle w:val="3"/>
        <w:rPr>
          <w:rFonts w:ascii="宋体" w:hAnsi="宋体"/>
          <w:u w:val="single"/>
        </w:rPr>
      </w:pPr>
      <w:r>
        <w:rPr>
          <w:rFonts w:hint="eastAsia" w:ascii="宋体" w:hAnsi="宋体"/>
        </w:rPr>
        <w:t>第六章合同条款及格式</w:t>
      </w:r>
      <w:bookmarkEnd w:id="62"/>
      <w:bookmarkEnd w:id="63"/>
      <w:bookmarkEnd w:id="64"/>
    </w:p>
    <w:p>
      <w:pPr>
        <w:spacing w:line="360" w:lineRule="auto"/>
        <w:ind w:firstLine="880" w:firstLineChars="200"/>
        <w:rPr>
          <w:rFonts w:ascii="宋体" w:hAnsi="宋体"/>
          <w:sz w:val="44"/>
        </w:rPr>
      </w:pPr>
    </w:p>
    <w:p>
      <w:pPr>
        <w:pStyle w:val="19"/>
        <w:spacing w:line="340" w:lineRule="exact"/>
        <w:rPr>
          <w:rFonts w:hAnsi="宋体"/>
          <w:b/>
        </w:rPr>
      </w:pPr>
      <w:r>
        <w:rPr>
          <w:rFonts w:hint="eastAsia" w:hAnsi="宋体"/>
          <w:b/>
        </w:rPr>
        <w:t>说明：</w:t>
      </w:r>
    </w:p>
    <w:p>
      <w:pPr>
        <w:spacing w:line="360" w:lineRule="auto"/>
        <w:rPr>
          <w:rFonts w:ascii="宋体" w:hAnsi="宋体"/>
          <w:b/>
        </w:rPr>
      </w:pPr>
      <w:r>
        <w:rPr>
          <w:rFonts w:ascii="宋体" w:hAnsi="宋体"/>
          <w:b/>
        </w:rPr>
        <w:t>1</w:t>
      </w:r>
      <w:r>
        <w:rPr>
          <w:rFonts w:hint="eastAsia" w:ascii="宋体" w:hAnsi="宋体"/>
          <w:b/>
        </w:rPr>
        <w:t>、以下合同书仅供签订正式合同时参考用，正式合同书应包括此参考格式之内容。</w:t>
      </w:r>
    </w:p>
    <w:p>
      <w:pPr>
        <w:pStyle w:val="19"/>
        <w:spacing w:line="340" w:lineRule="exact"/>
        <w:rPr>
          <w:rFonts w:hAnsi="宋体"/>
          <w:b/>
        </w:rPr>
      </w:pPr>
      <w:r>
        <w:rPr>
          <w:rFonts w:hAnsi="宋体"/>
          <w:b/>
        </w:rPr>
        <w:t>2</w:t>
      </w:r>
      <w:r>
        <w:rPr>
          <w:rFonts w:hint="eastAsia" w:hAnsi="宋体"/>
          <w:b/>
        </w:rPr>
        <w:t>、合同签订双方可根据项目的具体要求进行修订，但合同条款不得与招标文件和中标供应商投标文件有实质性偏离。</w:t>
      </w:r>
    </w:p>
    <w:p>
      <w:pPr>
        <w:spacing w:line="360" w:lineRule="auto"/>
        <w:ind w:firstLine="880" w:firstLineChars="200"/>
        <w:rPr>
          <w:rFonts w:ascii="宋体" w:hAnsi="宋体"/>
          <w:sz w:val="44"/>
        </w:rPr>
      </w:pPr>
    </w:p>
    <w:p>
      <w:pPr>
        <w:pStyle w:val="25"/>
        <w:rPr>
          <w:rFonts w:ascii="宋体" w:hAnsi="宋体"/>
          <w:sz w:val="44"/>
        </w:rPr>
      </w:pPr>
    </w:p>
    <w:p>
      <w:pPr>
        <w:rPr>
          <w:rFonts w:ascii="宋体" w:hAnsi="宋体"/>
          <w:sz w:val="44"/>
        </w:rPr>
      </w:pPr>
    </w:p>
    <w:p>
      <w:pPr>
        <w:pStyle w:val="25"/>
        <w:rPr>
          <w:rFonts w:ascii="宋体" w:hAnsi="宋体"/>
          <w:sz w:val="44"/>
        </w:rPr>
      </w:pPr>
    </w:p>
    <w:p>
      <w:pPr>
        <w:rPr>
          <w:rFonts w:ascii="宋体" w:hAnsi="宋体"/>
          <w:sz w:val="44"/>
        </w:rPr>
      </w:pPr>
    </w:p>
    <w:p>
      <w:pPr>
        <w:pStyle w:val="25"/>
        <w:rPr>
          <w:rFonts w:ascii="宋体" w:hAnsi="宋体"/>
          <w:sz w:val="44"/>
        </w:rPr>
      </w:pPr>
    </w:p>
    <w:p>
      <w:pPr>
        <w:rPr>
          <w:rFonts w:ascii="宋体" w:hAnsi="宋体"/>
          <w:sz w:val="44"/>
        </w:rPr>
      </w:pPr>
    </w:p>
    <w:p>
      <w:pPr>
        <w:pStyle w:val="25"/>
        <w:rPr>
          <w:rFonts w:ascii="宋体" w:hAnsi="宋体"/>
          <w:sz w:val="44"/>
        </w:rPr>
      </w:pPr>
    </w:p>
    <w:p>
      <w:pPr>
        <w:rPr>
          <w:rFonts w:ascii="宋体" w:hAnsi="宋体"/>
        </w:rPr>
      </w:pPr>
    </w:p>
    <w:p>
      <w:pPr>
        <w:pStyle w:val="19"/>
        <w:spacing w:line="600" w:lineRule="exact"/>
        <w:jc w:val="center"/>
        <w:outlineLvl w:val="0"/>
        <w:rPr>
          <w:rFonts w:hAnsi="宋体"/>
          <w:b/>
          <w:sz w:val="36"/>
          <w:szCs w:val="36"/>
        </w:rPr>
      </w:pPr>
      <w:bookmarkStart w:id="65" w:name="_Toc2236704"/>
      <w:bookmarkStart w:id="66" w:name="_Toc2236875"/>
    </w:p>
    <w:p>
      <w:pPr>
        <w:pStyle w:val="19"/>
        <w:spacing w:line="600" w:lineRule="exact"/>
        <w:jc w:val="center"/>
        <w:outlineLvl w:val="0"/>
        <w:rPr>
          <w:rFonts w:hAnsi="宋体"/>
          <w:b/>
          <w:sz w:val="36"/>
          <w:szCs w:val="36"/>
        </w:rPr>
      </w:pPr>
    </w:p>
    <w:p>
      <w:pPr>
        <w:pStyle w:val="19"/>
        <w:spacing w:line="600" w:lineRule="exact"/>
        <w:jc w:val="center"/>
        <w:outlineLvl w:val="0"/>
        <w:rPr>
          <w:rFonts w:hAnsi="宋体"/>
          <w:b/>
          <w:sz w:val="36"/>
          <w:szCs w:val="36"/>
        </w:rPr>
      </w:pPr>
    </w:p>
    <w:p>
      <w:pPr>
        <w:pStyle w:val="19"/>
        <w:spacing w:line="600" w:lineRule="exact"/>
        <w:jc w:val="center"/>
        <w:outlineLvl w:val="0"/>
        <w:rPr>
          <w:rFonts w:hAnsi="宋体"/>
          <w:b/>
          <w:sz w:val="36"/>
          <w:szCs w:val="36"/>
        </w:rPr>
      </w:pPr>
    </w:p>
    <w:p>
      <w:pPr>
        <w:pStyle w:val="19"/>
        <w:spacing w:line="600" w:lineRule="exact"/>
        <w:jc w:val="center"/>
        <w:outlineLvl w:val="0"/>
        <w:rPr>
          <w:rFonts w:hAnsi="宋体"/>
          <w:b/>
          <w:sz w:val="36"/>
          <w:szCs w:val="36"/>
        </w:rPr>
      </w:pPr>
    </w:p>
    <w:p>
      <w:pPr>
        <w:pStyle w:val="19"/>
        <w:spacing w:line="600" w:lineRule="exact"/>
        <w:jc w:val="center"/>
        <w:outlineLvl w:val="0"/>
        <w:rPr>
          <w:rFonts w:hAnsi="宋体"/>
          <w:b/>
          <w:sz w:val="36"/>
          <w:szCs w:val="36"/>
        </w:rPr>
      </w:pPr>
    </w:p>
    <w:p>
      <w:pPr>
        <w:pStyle w:val="19"/>
        <w:spacing w:line="600" w:lineRule="exact"/>
        <w:jc w:val="center"/>
        <w:outlineLvl w:val="0"/>
        <w:rPr>
          <w:rFonts w:hAnsi="宋体"/>
          <w:b/>
          <w:sz w:val="36"/>
          <w:szCs w:val="36"/>
        </w:rPr>
      </w:pPr>
    </w:p>
    <w:p>
      <w:pPr>
        <w:pStyle w:val="19"/>
        <w:spacing w:line="600" w:lineRule="exact"/>
        <w:jc w:val="center"/>
        <w:outlineLvl w:val="0"/>
        <w:rPr>
          <w:rFonts w:hAnsi="宋体"/>
          <w:b/>
          <w:sz w:val="36"/>
          <w:szCs w:val="36"/>
        </w:rPr>
      </w:pPr>
    </w:p>
    <w:p>
      <w:pPr>
        <w:jc w:val="center"/>
        <w:rPr>
          <w:rFonts w:ascii="宋体" w:hAnsi="宋体"/>
          <w:b/>
          <w:sz w:val="36"/>
          <w:szCs w:val="30"/>
        </w:rPr>
      </w:pPr>
      <w:r>
        <w:rPr>
          <w:rFonts w:hint="eastAsia" w:ascii="宋体" w:hAnsi="宋体"/>
          <w:b/>
          <w:sz w:val="36"/>
          <w:szCs w:val="30"/>
        </w:rPr>
        <w:t>合同条款及格式</w:t>
      </w:r>
    </w:p>
    <w:p>
      <w:pPr>
        <w:spacing w:line="360" w:lineRule="auto"/>
        <w:ind w:firstLine="880" w:firstLineChars="200"/>
        <w:rPr>
          <w:rFonts w:ascii="宋体" w:hAnsi="宋体"/>
          <w:sz w:val="44"/>
        </w:rPr>
      </w:pPr>
    </w:p>
    <w:p>
      <w:pPr>
        <w:spacing w:line="360" w:lineRule="auto"/>
        <w:ind w:firstLine="880" w:firstLineChars="200"/>
        <w:rPr>
          <w:rFonts w:ascii="宋体" w:hAnsi="宋体"/>
          <w:sz w:val="44"/>
        </w:rPr>
      </w:pPr>
    </w:p>
    <w:p>
      <w:pPr>
        <w:spacing w:line="360" w:lineRule="auto"/>
        <w:ind w:firstLine="880" w:firstLineChars="200"/>
        <w:rPr>
          <w:rFonts w:ascii="宋体" w:hAnsi="宋体"/>
          <w:sz w:val="44"/>
        </w:rPr>
      </w:pPr>
    </w:p>
    <w:p>
      <w:pPr>
        <w:spacing w:line="360" w:lineRule="auto"/>
        <w:ind w:firstLine="880" w:firstLineChars="200"/>
        <w:rPr>
          <w:rFonts w:ascii="宋体" w:hAnsi="宋体"/>
          <w:sz w:val="44"/>
        </w:rPr>
      </w:pPr>
    </w:p>
    <w:p>
      <w:pPr>
        <w:spacing w:line="360" w:lineRule="auto"/>
        <w:ind w:firstLine="420" w:firstLineChars="200"/>
        <w:rPr>
          <w:rFonts w:ascii="宋体" w:hAnsi="宋体"/>
        </w:rPr>
      </w:pPr>
    </w:p>
    <w:p>
      <w:pPr>
        <w:spacing w:line="360" w:lineRule="auto"/>
        <w:ind w:firstLine="420" w:firstLineChars="200"/>
        <w:rPr>
          <w:rFonts w:ascii="宋体" w:hAnsi="宋体"/>
        </w:rPr>
      </w:pPr>
    </w:p>
    <w:p>
      <w:pPr>
        <w:spacing w:line="360" w:lineRule="auto"/>
        <w:jc w:val="center"/>
        <w:rPr>
          <w:rFonts w:ascii="宋体" w:hAnsi="宋体"/>
          <w:b/>
          <w:bCs/>
          <w:sz w:val="44"/>
        </w:rPr>
      </w:pPr>
      <w:r>
        <w:rPr>
          <w:rFonts w:hint="eastAsia" w:ascii="宋体" w:hAnsi="宋体"/>
          <w:b/>
          <w:bCs/>
          <w:sz w:val="44"/>
          <w:u w:val="single"/>
        </w:rPr>
        <w:t xml:space="preserve">         （项目名称）         </w:t>
      </w:r>
      <w:r>
        <w:rPr>
          <w:rFonts w:hint="eastAsia" w:ascii="宋体" w:hAnsi="宋体"/>
          <w:b/>
          <w:bCs/>
          <w:sz w:val="44"/>
        </w:rPr>
        <w:t>合同</w:t>
      </w:r>
    </w:p>
    <w:p>
      <w:pPr>
        <w:spacing w:line="360" w:lineRule="auto"/>
        <w:ind w:firstLine="420" w:firstLineChars="200"/>
        <w:rPr>
          <w:rFonts w:ascii="宋体" w:hAnsi="宋体"/>
        </w:rPr>
      </w:pPr>
    </w:p>
    <w:p>
      <w:pPr>
        <w:spacing w:line="360" w:lineRule="auto"/>
        <w:ind w:firstLine="3507" w:firstLineChars="794"/>
        <w:rPr>
          <w:rFonts w:ascii="宋体" w:hAnsi="宋体"/>
          <w:b/>
          <w:bCs/>
          <w:sz w:val="44"/>
        </w:rPr>
      </w:pPr>
    </w:p>
    <w:p>
      <w:pPr>
        <w:spacing w:line="360" w:lineRule="auto"/>
        <w:ind w:firstLine="3507" w:firstLineChars="794"/>
        <w:rPr>
          <w:rFonts w:ascii="宋体" w:hAnsi="宋体"/>
          <w:b/>
          <w:bCs/>
          <w:sz w:val="44"/>
        </w:rPr>
      </w:pPr>
    </w:p>
    <w:p>
      <w:pPr>
        <w:spacing w:line="360" w:lineRule="auto"/>
        <w:jc w:val="center"/>
        <w:rPr>
          <w:rFonts w:ascii="宋体" w:hAnsi="宋体"/>
          <w:b/>
          <w:bCs/>
          <w:sz w:val="44"/>
        </w:rPr>
      </w:pPr>
    </w:p>
    <w:p>
      <w:pPr>
        <w:rPr>
          <w:rFonts w:hint="eastAsia" w:ascii="宋体" w:hAnsi="宋体"/>
          <w:b/>
          <w:sz w:val="36"/>
          <w:szCs w:val="36"/>
        </w:rPr>
      </w:pPr>
      <w:r>
        <w:rPr>
          <w:rFonts w:hint="eastAsia" w:ascii="宋体" w:hAnsi="宋体"/>
          <w:b/>
          <w:sz w:val="36"/>
          <w:szCs w:val="36"/>
        </w:rPr>
        <w:t xml:space="preserve">             </w:t>
      </w:r>
      <w:r>
        <w:rPr>
          <w:rFonts w:hint="eastAsia" w:ascii="宋体" w:hAnsi="宋体"/>
          <w:b/>
          <w:sz w:val="36"/>
          <w:szCs w:val="36"/>
          <w:lang w:val="en-US" w:eastAsia="zh-CN"/>
        </w:rPr>
        <w:t xml:space="preserve"> </w:t>
      </w:r>
      <w:r>
        <w:rPr>
          <w:rFonts w:hint="eastAsia" w:ascii="宋体" w:hAnsi="宋体"/>
          <w:b/>
          <w:sz w:val="36"/>
          <w:szCs w:val="36"/>
          <w:lang w:eastAsia="zh-CN"/>
        </w:rPr>
        <w:t>项目编号：</w:t>
      </w:r>
      <w:r>
        <w:rPr>
          <w:rFonts w:hint="eastAsia" w:ascii="宋体" w:hAnsi="宋体"/>
          <w:b/>
          <w:sz w:val="36"/>
          <w:szCs w:val="36"/>
        </w:rPr>
        <w:t xml:space="preserve">             </w:t>
      </w:r>
    </w:p>
    <w:p>
      <w:pPr>
        <w:ind w:firstLine="2530" w:firstLineChars="700"/>
        <w:rPr>
          <w:rFonts w:hint="eastAsia" w:ascii="宋体" w:hAnsi="宋体" w:eastAsia="宋体"/>
          <w:b/>
          <w:sz w:val="36"/>
          <w:szCs w:val="36"/>
          <w:u w:val="single"/>
          <w:lang w:eastAsia="zh-CN"/>
        </w:rPr>
      </w:pPr>
      <w:r>
        <w:rPr>
          <w:rFonts w:hint="eastAsia" w:ascii="宋体" w:hAnsi="宋体"/>
          <w:b/>
          <w:sz w:val="36"/>
          <w:szCs w:val="36"/>
          <w:lang w:eastAsia="zh-CN"/>
        </w:rPr>
        <w:t>采购计划文号：</w:t>
      </w:r>
    </w:p>
    <w:p>
      <w:pPr>
        <w:spacing w:line="360" w:lineRule="auto"/>
        <w:ind w:firstLine="880" w:firstLineChars="200"/>
        <w:rPr>
          <w:rFonts w:ascii="宋体" w:hAnsi="宋体"/>
          <w:sz w:val="44"/>
        </w:rPr>
      </w:pPr>
    </w:p>
    <w:p>
      <w:pPr>
        <w:spacing w:line="360" w:lineRule="auto"/>
        <w:ind w:firstLine="880" w:firstLineChars="200"/>
        <w:rPr>
          <w:rFonts w:ascii="宋体" w:hAnsi="宋体"/>
          <w:sz w:val="44"/>
        </w:rPr>
      </w:pPr>
    </w:p>
    <w:p>
      <w:pPr>
        <w:spacing w:line="360" w:lineRule="auto"/>
        <w:ind w:firstLine="880" w:firstLineChars="200"/>
        <w:rPr>
          <w:rFonts w:ascii="宋体" w:hAnsi="宋体"/>
          <w:sz w:val="44"/>
        </w:rPr>
      </w:pPr>
    </w:p>
    <w:p>
      <w:pPr>
        <w:tabs>
          <w:tab w:val="left" w:pos="7200"/>
        </w:tabs>
        <w:spacing w:line="360" w:lineRule="auto"/>
        <w:ind w:firstLine="1438" w:firstLineChars="398"/>
        <w:rPr>
          <w:rFonts w:ascii="宋体" w:hAnsi="宋体"/>
          <w:b/>
          <w:sz w:val="36"/>
          <w:szCs w:val="36"/>
          <w:u w:val="single"/>
        </w:rPr>
      </w:pPr>
      <w:r>
        <w:rPr>
          <w:rFonts w:hint="eastAsia" w:ascii="宋体" w:hAnsi="宋体"/>
          <w:b/>
          <w:sz w:val="36"/>
          <w:szCs w:val="36"/>
        </w:rPr>
        <w:t xml:space="preserve">     采购人：</w:t>
      </w:r>
    </w:p>
    <w:p>
      <w:pPr>
        <w:tabs>
          <w:tab w:val="left" w:pos="7380"/>
        </w:tabs>
        <w:spacing w:line="360" w:lineRule="auto"/>
        <w:ind w:firstLine="1438" w:firstLineChars="398"/>
        <w:rPr>
          <w:rFonts w:ascii="宋体" w:hAnsi="宋体"/>
          <w:b/>
          <w:bCs/>
          <w:sz w:val="44"/>
        </w:rPr>
      </w:pPr>
      <w:r>
        <w:rPr>
          <w:rFonts w:hint="eastAsia" w:ascii="宋体" w:hAnsi="宋体"/>
          <w:b/>
          <w:sz w:val="36"/>
          <w:szCs w:val="36"/>
        </w:rPr>
        <w:t xml:space="preserve">     中标供应商：</w:t>
      </w:r>
    </w:p>
    <w:p>
      <w:pPr>
        <w:spacing w:line="360" w:lineRule="auto"/>
        <w:ind w:firstLine="420" w:firstLineChars="200"/>
        <w:rPr>
          <w:rFonts w:ascii="宋体" w:hAnsi="宋体"/>
        </w:rPr>
      </w:pPr>
    </w:p>
    <w:p>
      <w:pPr>
        <w:spacing w:line="360" w:lineRule="auto"/>
        <w:ind w:firstLine="420" w:firstLineChars="200"/>
        <w:rPr>
          <w:rFonts w:ascii="宋体" w:hAnsi="宋体"/>
        </w:rPr>
      </w:pPr>
    </w:p>
    <w:p>
      <w:pPr>
        <w:spacing w:line="360" w:lineRule="auto"/>
        <w:ind w:firstLine="420" w:firstLineChars="200"/>
        <w:rPr>
          <w:rFonts w:ascii="宋体" w:hAnsi="宋体"/>
        </w:rPr>
      </w:pPr>
    </w:p>
    <w:p>
      <w:pPr>
        <w:spacing w:line="360" w:lineRule="auto"/>
        <w:ind w:left="359" w:leftChars="171" w:firstLine="198" w:firstLineChars="71"/>
        <w:rPr>
          <w:rFonts w:ascii="宋体" w:hAnsi="宋体"/>
          <w:sz w:val="28"/>
        </w:rPr>
      </w:pPr>
    </w:p>
    <w:p>
      <w:pPr>
        <w:jc w:val="center"/>
        <w:rPr>
          <w:rFonts w:ascii="宋体" w:hAnsi="宋体"/>
          <w:b/>
          <w:sz w:val="36"/>
          <w:szCs w:val="36"/>
        </w:rPr>
      </w:pPr>
      <w:r>
        <w:rPr>
          <w:rFonts w:hint="eastAsia" w:ascii="宋体" w:hAnsi="宋体"/>
          <w:b/>
          <w:sz w:val="36"/>
          <w:szCs w:val="36"/>
        </w:rPr>
        <w:t>目录</w:t>
      </w:r>
    </w:p>
    <w:p>
      <w:pPr>
        <w:tabs>
          <w:tab w:val="left" w:pos="1170"/>
        </w:tabs>
        <w:spacing w:line="360" w:lineRule="auto"/>
        <w:ind w:left="359" w:leftChars="171" w:firstLine="198" w:firstLineChars="71"/>
        <w:rPr>
          <w:rFonts w:ascii="宋体" w:hAnsi="宋体"/>
          <w:sz w:val="28"/>
        </w:rPr>
      </w:pPr>
      <w:r>
        <w:rPr>
          <w:rFonts w:hint="eastAsia" w:ascii="宋体" w:hAnsi="宋体"/>
          <w:sz w:val="28"/>
        </w:rPr>
        <w:tab/>
      </w:r>
    </w:p>
    <w:p>
      <w:pPr>
        <w:rPr>
          <w:rFonts w:ascii="宋体" w:hAnsi="宋体"/>
          <w:b/>
          <w:sz w:val="30"/>
          <w:szCs w:val="30"/>
        </w:rPr>
      </w:pPr>
      <w:r>
        <w:rPr>
          <w:rFonts w:hint="eastAsia" w:ascii="宋体" w:hAnsi="宋体"/>
          <w:b/>
          <w:sz w:val="30"/>
          <w:szCs w:val="30"/>
        </w:rPr>
        <w:t>一、政府采购合同书</w:t>
      </w:r>
    </w:p>
    <w:p>
      <w:pPr>
        <w:rPr>
          <w:rFonts w:ascii="宋体" w:hAnsi="宋体"/>
          <w:b/>
          <w:sz w:val="30"/>
          <w:szCs w:val="30"/>
        </w:rPr>
      </w:pPr>
      <w:r>
        <w:rPr>
          <w:rFonts w:hint="eastAsia" w:ascii="宋体" w:hAnsi="宋体"/>
          <w:b/>
          <w:sz w:val="30"/>
          <w:szCs w:val="30"/>
        </w:rPr>
        <w:t>二、合同附件</w:t>
      </w:r>
    </w:p>
    <w:p>
      <w:pPr>
        <w:numPr>
          <w:ilvl w:val="0"/>
          <w:numId w:val="16"/>
        </w:numPr>
        <w:tabs>
          <w:tab w:val="left" w:pos="1140"/>
        </w:tabs>
        <w:rPr>
          <w:rFonts w:ascii="宋体" w:hAnsi="宋体"/>
          <w:sz w:val="28"/>
        </w:rPr>
      </w:pPr>
      <w:r>
        <w:rPr>
          <w:rFonts w:hint="eastAsia" w:ascii="宋体" w:hAnsi="宋体"/>
          <w:sz w:val="28"/>
        </w:rPr>
        <w:t>中标通知书</w:t>
      </w:r>
    </w:p>
    <w:p>
      <w:pPr>
        <w:numPr>
          <w:ilvl w:val="0"/>
          <w:numId w:val="16"/>
        </w:numPr>
        <w:tabs>
          <w:tab w:val="left" w:pos="1140"/>
        </w:tabs>
        <w:rPr>
          <w:rFonts w:ascii="宋体" w:hAnsi="宋体"/>
          <w:sz w:val="28"/>
        </w:rPr>
      </w:pPr>
      <w:r>
        <w:rPr>
          <w:rFonts w:hint="eastAsia" w:ascii="宋体" w:hAnsi="宋体"/>
          <w:sz w:val="28"/>
        </w:rPr>
        <w:t>招标文件采购需求一览表</w:t>
      </w:r>
    </w:p>
    <w:p>
      <w:pPr>
        <w:numPr>
          <w:ilvl w:val="0"/>
          <w:numId w:val="16"/>
        </w:numPr>
        <w:tabs>
          <w:tab w:val="left" w:pos="1140"/>
        </w:tabs>
        <w:rPr>
          <w:rFonts w:ascii="宋体" w:hAnsi="宋体"/>
          <w:sz w:val="28"/>
        </w:rPr>
      </w:pPr>
      <w:r>
        <w:rPr>
          <w:rFonts w:hint="eastAsia" w:ascii="宋体" w:hAnsi="宋体"/>
          <w:sz w:val="28"/>
        </w:rPr>
        <w:t>招标文件的更改通知（如有）</w:t>
      </w:r>
    </w:p>
    <w:p>
      <w:pPr>
        <w:numPr>
          <w:ilvl w:val="0"/>
          <w:numId w:val="16"/>
        </w:numPr>
        <w:tabs>
          <w:tab w:val="left" w:pos="1140"/>
        </w:tabs>
        <w:rPr>
          <w:rFonts w:ascii="宋体" w:hAnsi="宋体"/>
          <w:sz w:val="28"/>
        </w:rPr>
      </w:pPr>
      <w:r>
        <w:rPr>
          <w:rFonts w:hint="eastAsia" w:ascii="宋体" w:hAnsi="宋体"/>
          <w:sz w:val="28"/>
        </w:rPr>
        <w:t>投标函</w:t>
      </w:r>
    </w:p>
    <w:p>
      <w:pPr>
        <w:numPr>
          <w:ilvl w:val="0"/>
          <w:numId w:val="16"/>
        </w:numPr>
        <w:tabs>
          <w:tab w:val="left" w:pos="1140"/>
        </w:tabs>
        <w:rPr>
          <w:rFonts w:ascii="宋体" w:hAnsi="宋体"/>
          <w:sz w:val="28"/>
        </w:rPr>
      </w:pPr>
      <w:r>
        <w:rPr>
          <w:rFonts w:hint="eastAsia" w:ascii="宋体" w:hAnsi="宋体"/>
          <w:sz w:val="28"/>
        </w:rPr>
        <w:t>投标报价表</w:t>
      </w:r>
    </w:p>
    <w:p>
      <w:pPr>
        <w:numPr>
          <w:ilvl w:val="0"/>
          <w:numId w:val="16"/>
        </w:numPr>
        <w:tabs>
          <w:tab w:val="left" w:pos="1140"/>
        </w:tabs>
        <w:rPr>
          <w:rFonts w:ascii="宋体" w:hAnsi="宋体"/>
          <w:sz w:val="28"/>
        </w:rPr>
      </w:pPr>
      <w:r>
        <w:rPr>
          <w:rFonts w:hint="eastAsia" w:ascii="宋体" w:hAnsi="宋体"/>
          <w:sz w:val="28"/>
        </w:rPr>
        <w:t>投标产品技术资料表、商务条款偏离表</w:t>
      </w:r>
    </w:p>
    <w:p>
      <w:pPr>
        <w:numPr>
          <w:ilvl w:val="0"/>
          <w:numId w:val="16"/>
        </w:numPr>
        <w:tabs>
          <w:tab w:val="left" w:pos="1140"/>
        </w:tabs>
        <w:rPr>
          <w:rFonts w:ascii="宋体" w:hAnsi="宋体"/>
          <w:sz w:val="28"/>
        </w:rPr>
      </w:pPr>
      <w:r>
        <w:rPr>
          <w:rFonts w:hint="eastAsia" w:ascii="宋体" w:hAnsi="宋体"/>
          <w:sz w:val="28"/>
        </w:rPr>
        <w:t>中标供应商澄清函</w:t>
      </w:r>
    </w:p>
    <w:p>
      <w:pPr>
        <w:rPr>
          <w:rFonts w:ascii="宋体" w:hAnsi="宋体"/>
          <w:b/>
          <w:sz w:val="30"/>
          <w:szCs w:val="30"/>
        </w:rPr>
      </w:pPr>
    </w:p>
    <w:p>
      <w:pPr>
        <w:spacing w:line="360" w:lineRule="auto"/>
        <w:jc w:val="center"/>
        <w:rPr>
          <w:rFonts w:ascii="宋体" w:hAnsi="宋体"/>
          <w:b/>
          <w:bCs/>
          <w:sz w:val="28"/>
        </w:rPr>
      </w:pPr>
    </w:p>
    <w:p>
      <w:pPr>
        <w:spacing w:line="360" w:lineRule="auto"/>
        <w:jc w:val="center"/>
        <w:rPr>
          <w:rFonts w:ascii="宋体" w:hAnsi="宋体"/>
          <w:b/>
          <w:bCs/>
          <w:sz w:val="30"/>
          <w:szCs w:val="30"/>
        </w:rPr>
      </w:pPr>
      <w:r>
        <w:rPr>
          <w:rFonts w:hint="eastAsia" w:ascii="宋体" w:hAnsi="宋体"/>
          <w:bCs/>
          <w:sz w:val="28"/>
        </w:rPr>
        <w:br w:type="page"/>
      </w:r>
      <w:r>
        <w:rPr>
          <w:rFonts w:hint="eastAsia" w:ascii="宋体" w:hAnsi="宋体"/>
          <w:b/>
          <w:sz w:val="30"/>
          <w:szCs w:val="30"/>
        </w:rPr>
        <w:t>政府采购合同书</w:t>
      </w:r>
    </w:p>
    <w:p>
      <w:pPr>
        <w:pStyle w:val="19"/>
        <w:spacing w:line="360" w:lineRule="auto"/>
        <w:ind w:firstLine="4200" w:firstLineChars="2000"/>
        <w:rPr>
          <w:rFonts w:hint="eastAsia" w:hAnsi="宋体" w:eastAsia="宋体"/>
          <w:lang w:eastAsia="zh-CN"/>
        </w:rPr>
      </w:pPr>
      <w:r>
        <w:rPr>
          <w:rFonts w:hint="eastAsia" w:hAnsi="宋体"/>
        </w:rPr>
        <w:t>合同编号：</w:t>
      </w:r>
      <w:r>
        <w:rPr>
          <w:rFonts w:hint="eastAsia" w:hAnsi="宋体"/>
          <w:lang w:eastAsia="zh-CN"/>
        </w:rPr>
        <w:t>采购计划文号：</w:t>
      </w:r>
    </w:p>
    <w:p>
      <w:pPr>
        <w:pStyle w:val="19"/>
        <w:spacing w:line="360" w:lineRule="auto"/>
        <w:rPr>
          <w:rFonts w:hAnsi="宋体"/>
        </w:rPr>
      </w:pPr>
      <w:r>
        <w:rPr>
          <w:rFonts w:hint="eastAsia" w:hAnsi="宋体"/>
        </w:rPr>
        <w:t>项目名称：</w:t>
      </w:r>
    </w:p>
    <w:p>
      <w:pPr>
        <w:pStyle w:val="19"/>
        <w:spacing w:line="360" w:lineRule="auto"/>
        <w:rPr>
          <w:rFonts w:hint="eastAsia" w:hAnsi="宋体" w:eastAsia="宋体"/>
          <w:lang w:eastAsia="zh-CN"/>
        </w:rPr>
      </w:pPr>
      <w:r>
        <w:rPr>
          <w:rFonts w:hint="eastAsia" w:hAnsi="宋体"/>
          <w:lang w:eastAsia="zh-CN"/>
        </w:rPr>
        <w:t>项目编号：</w:t>
      </w:r>
    </w:p>
    <w:p>
      <w:pPr>
        <w:pStyle w:val="19"/>
        <w:spacing w:line="360" w:lineRule="auto"/>
        <w:rPr>
          <w:rFonts w:hAnsi="宋体"/>
        </w:rPr>
      </w:pPr>
      <w:r>
        <w:rPr>
          <w:rFonts w:hint="eastAsia" w:hAnsi="宋体"/>
        </w:rPr>
        <w:t>分标号（有分标时填写）：</w:t>
      </w:r>
    </w:p>
    <w:p>
      <w:pPr>
        <w:pStyle w:val="19"/>
        <w:spacing w:line="360" w:lineRule="auto"/>
        <w:rPr>
          <w:rFonts w:hAnsi="宋体"/>
        </w:rPr>
      </w:pPr>
    </w:p>
    <w:p>
      <w:pPr>
        <w:pStyle w:val="19"/>
        <w:spacing w:line="360" w:lineRule="auto"/>
        <w:rPr>
          <w:rFonts w:hAnsi="宋体"/>
        </w:rPr>
      </w:pPr>
      <w:r>
        <w:rPr>
          <w:rFonts w:hint="eastAsia" w:hAnsi="宋体"/>
        </w:rPr>
        <w:t>甲方（买方）：</w:t>
      </w:r>
    </w:p>
    <w:p>
      <w:pPr>
        <w:pStyle w:val="19"/>
        <w:spacing w:line="360" w:lineRule="auto"/>
        <w:rPr>
          <w:rFonts w:hAnsi="宋体"/>
        </w:rPr>
      </w:pPr>
      <w:r>
        <w:rPr>
          <w:rFonts w:hint="eastAsia" w:hAnsi="宋体"/>
        </w:rPr>
        <w:t>乙方（卖方）：</w:t>
      </w:r>
    </w:p>
    <w:p>
      <w:pPr>
        <w:pStyle w:val="19"/>
        <w:spacing w:line="360" w:lineRule="auto"/>
        <w:rPr>
          <w:rFonts w:hAnsi="宋体"/>
          <w:b/>
        </w:rPr>
      </w:pPr>
    </w:p>
    <w:p>
      <w:pPr>
        <w:pStyle w:val="19"/>
        <w:spacing w:line="360" w:lineRule="auto"/>
        <w:rPr>
          <w:rFonts w:hAnsi="宋体"/>
          <w:b/>
        </w:rPr>
      </w:pPr>
      <w:r>
        <w:rPr>
          <w:rFonts w:hint="eastAsia" w:hAnsi="宋体"/>
        </w:rPr>
        <w:t xml:space="preserve">    根据年月日政府采购项目的采购结果，甲方接受乙方对本项目的投标，甲、乙双方同意签署本合同（以下简称合同）。</w:t>
      </w:r>
    </w:p>
    <w:p>
      <w:pPr>
        <w:pStyle w:val="19"/>
        <w:spacing w:line="360" w:lineRule="auto"/>
        <w:rPr>
          <w:rFonts w:hAnsi="宋体"/>
          <w:b/>
        </w:rPr>
      </w:pPr>
    </w:p>
    <w:p>
      <w:pPr>
        <w:pStyle w:val="19"/>
        <w:spacing w:line="360" w:lineRule="auto"/>
        <w:rPr>
          <w:rFonts w:hAnsi="宋体"/>
          <w:b/>
          <w:bCs/>
          <w:sz w:val="24"/>
        </w:rPr>
      </w:pPr>
      <w:r>
        <w:rPr>
          <w:rFonts w:hint="eastAsia" w:hAnsi="宋体"/>
          <w:b/>
          <w:bCs/>
          <w:sz w:val="24"/>
        </w:rPr>
        <w:t>1.  采购内容</w:t>
      </w:r>
    </w:p>
    <w:p>
      <w:pPr>
        <w:pStyle w:val="19"/>
        <w:tabs>
          <w:tab w:val="left" w:pos="5220"/>
        </w:tabs>
        <w:spacing w:line="360" w:lineRule="auto"/>
        <w:ind w:firstLine="360"/>
        <w:rPr>
          <w:rFonts w:hAnsi="宋体"/>
        </w:rPr>
      </w:pPr>
      <w:r>
        <w:rPr>
          <w:rFonts w:hint="eastAsia" w:hAnsi="宋体"/>
        </w:rPr>
        <w:t>1.1 货物名称：</w:t>
      </w:r>
      <w:r>
        <w:rPr>
          <w:rFonts w:hint="eastAsia" w:hAnsi="宋体"/>
          <w:u w:val="single"/>
        </w:rPr>
        <w:t>详见合同附件中投标报价表</w:t>
      </w:r>
    </w:p>
    <w:p>
      <w:pPr>
        <w:pStyle w:val="85"/>
        <w:spacing w:line="360" w:lineRule="auto"/>
        <w:ind w:firstLine="315" w:firstLineChars="150"/>
        <w:rPr>
          <w:rFonts w:ascii="宋体" w:hAnsi="宋体"/>
        </w:rPr>
      </w:pPr>
      <w:r>
        <w:rPr>
          <w:rFonts w:ascii="宋体" w:hAnsi="宋体"/>
        </w:rPr>
        <w:t xml:space="preserve">1.2 </w:t>
      </w:r>
      <w:r>
        <w:rPr>
          <w:rFonts w:hint="eastAsia" w:ascii="宋体" w:hAnsi="宋体"/>
        </w:rPr>
        <w:t>数量（单位）：</w:t>
      </w:r>
      <w:r>
        <w:rPr>
          <w:rFonts w:hint="eastAsia" w:ascii="宋体" w:hAnsi="宋体" w:cs="宋体"/>
          <w:u w:val="single"/>
        </w:rPr>
        <w:t>详见合同附件中投标报价表</w:t>
      </w:r>
    </w:p>
    <w:p>
      <w:pPr>
        <w:pStyle w:val="85"/>
        <w:spacing w:line="360" w:lineRule="auto"/>
        <w:ind w:firstLine="315" w:firstLineChars="150"/>
        <w:rPr>
          <w:rFonts w:ascii="宋体" w:hAnsi="宋体"/>
        </w:rPr>
      </w:pPr>
      <w:r>
        <w:rPr>
          <w:rFonts w:ascii="宋体" w:hAnsi="宋体"/>
        </w:rPr>
        <w:t xml:space="preserve">1.3 </w:t>
      </w:r>
      <w:r>
        <w:rPr>
          <w:rFonts w:hint="eastAsia" w:ascii="宋体" w:hAnsi="宋体"/>
        </w:rPr>
        <w:t>品牌、厂家、型号、规格、配置：</w:t>
      </w:r>
      <w:r>
        <w:rPr>
          <w:rFonts w:hint="eastAsia" w:ascii="宋体" w:hAnsi="宋体"/>
          <w:u w:val="single"/>
        </w:rPr>
        <w:t>详见合同附件中投标产品技术资料表（投标产品技术资料表与澄清函不一致的以澄清函为准）</w:t>
      </w:r>
    </w:p>
    <w:p>
      <w:pPr>
        <w:pStyle w:val="85"/>
        <w:spacing w:line="360" w:lineRule="auto"/>
        <w:rPr>
          <w:rFonts w:ascii="宋体" w:hAnsi="宋体"/>
        </w:rPr>
      </w:pPr>
      <w:r>
        <w:rPr>
          <w:rFonts w:ascii="宋体" w:hAnsi="宋体"/>
        </w:rPr>
        <w:t xml:space="preserve">   1.4 </w:t>
      </w:r>
      <w:r>
        <w:rPr>
          <w:rFonts w:hint="eastAsia" w:ascii="宋体" w:hAnsi="宋体"/>
        </w:rPr>
        <w:t>技术参数：</w:t>
      </w:r>
      <w:r>
        <w:rPr>
          <w:rFonts w:hint="eastAsia" w:ascii="宋体" w:hAnsi="宋体"/>
          <w:u w:val="single"/>
        </w:rPr>
        <w:t>详见合同附件中投标产品技术资料表</w:t>
      </w:r>
    </w:p>
    <w:p>
      <w:pPr>
        <w:pStyle w:val="19"/>
        <w:spacing w:line="360" w:lineRule="auto"/>
        <w:ind w:firstLine="360"/>
        <w:rPr>
          <w:rFonts w:hAnsi="宋体"/>
          <w:b/>
          <w:bCs/>
          <w:sz w:val="24"/>
        </w:rPr>
      </w:pPr>
      <w:r>
        <w:rPr>
          <w:rFonts w:hint="eastAsia" w:hAnsi="宋体"/>
          <w:b/>
          <w:bCs/>
          <w:sz w:val="24"/>
        </w:rPr>
        <w:t>2.  合同金额</w:t>
      </w:r>
    </w:p>
    <w:p>
      <w:pPr>
        <w:pStyle w:val="19"/>
        <w:spacing w:line="360" w:lineRule="auto"/>
        <w:ind w:left="2" w:firstLine="359" w:firstLineChars="171"/>
        <w:rPr>
          <w:rFonts w:hAnsi="宋体"/>
        </w:rPr>
      </w:pPr>
      <w:r>
        <w:rPr>
          <w:rFonts w:hint="eastAsia" w:hAnsi="宋体"/>
        </w:rPr>
        <w:t>2.1 本合同金额为（大写）人民币</w:t>
      </w:r>
      <w:r>
        <w:rPr>
          <w:rFonts w:hint="eastAsia" w:hAnsi="宋体"/>
          <w:u w:val="single"/>
        </w:rPr>
        <w:t>　　　　　　</w:t>
      </w:r>
      <w:r>
        <w:rPr>
          <w:rFonts w:hint="eastAsia" w:hAnsi="宋体"/>
        </w:rPr>
        <w:t>（￥</w:t>
      </w:r>
      <w:r>
        <w:rPr>
          <w:rFonts w:hint="eastAsia" w:hAnsi="宋体"/>
          <w:u w:val="single"/>
        </w:rPr>
        <w:t>　　　　　　</w:t>
      </w:r>
      <w:r>
        <w:rPr>
          <w:rFonts w:hint="eastAsia" w:hAnsi="宋体"/>
        </w:rPr>
        <w:t>）。（详见合同附件中投标报价表）</w:t>
      </w:r>
    </w:p>
    <w:p>
      <w:pPr>
        <w:pStyle w:val="19"/>
        <w:tabs>
          <w:tab w:val="left" w:pos="5940"/>
        </w:tabs>
        <w:spacing w:line="360" w:lineRule="auto"/>
        <w:rPr>
          <w:rFonts w:hAnsi="宋体"/>
          <w:b/>
          <w:bCs/>
          <w:sz w:val="24"/>
        </w:rPr>
      </w:pPr>
      <w:r>
        <w:rPr>
          <w:rFonts w:hint="eastAsia" w:hAnsi="宋体"/>
          <w:b/>
          <w:bCs/>
          <w:sz w:val="24"/>
        </w:rPr>
        <w:t>3.  交货要求</w:t>
      </w:r>
    </w:p>
    <w:p>
      <w:pPr>
        <w:pStyle w:val="19"/>
        <w:tabs>
          <w:tab w:val="left" w:pos="5220"/>
        </w:tabs>
        <w:spacing w:line="360" w:lineRule="auto"/>
        <w:ind w:firstLine="360"/>
        <w:rPr>
          <w:rFonts w:hAnsi="宋体"/>
          <w:bCs/>
          <w:u w:val="single"/>
        </w:rPr>
      </w:pPr>
      <w:r>
        <w:rPr>
          <w:rFonts w:hint="eastAsia" w:hAnsi="宋体"/>
          <w:bCs/>
        </w:rPr>
        <w:t>3.1 交货期：</w:t>
      </w:r>
    </w:p>
    <w:p>
      <w:pPr>
        <w:pStyle w:val="19"/>
        <w:spacing w:line="360" w:lineRule="auto"/>
        <w:ind w:firstLine="360"/>
        <w:rPr>
          <w:rFonts w:hAnsi="宋体"/>
          <w:bCs/>
        </w:rPr>
      </w:pPr>
      <w:r>
        <w:rPr>
          <w:rFonts w:hint="eastAsia" w:hAnsi="宋体"/>
          <w:bCs/>
        </w:rPr>
        <w:t>3.2 交货地点：</w:t>
      </w:r>
    </w:p>
    <w:p>
      <w:pPr>
        <w:pStyle w:val="19"/>
        <w:tabs>
          <w:tab w:val="left" w:pos="5220"/>
          <w:tab w:val="left" w:pos="6120"/>
        </w:tabs>
        <w:spacing w:line="360" w:lineRule="auto"/>
        <w:ind w:firstLine="360"/>
        <w:rPr>
          <w:rFonts w:hAnsi="宋体"/>
          <w:bCs/>
        </w:rPr>
      </w:pPr>
      <w:r>
        <w:rPr>
          <w:rFonts w:hint="eastAsia" w:hAnsi="宋体"/>
          <w:bCs/>
        </w:rPr>
        <w:t>3.3 交货方式：</w:t>
      </w:r>
    </w:p>
    <w:p>
      <w:pPr>
        <w:pStyle w:val="19"/>
        <w:spacing w:line="360" w:lineRule="auto"/>
        <w:ind w:firstLine="360"/>
        <w:rPr>
          <w:rFonts w:hAnsi="宋体"/>
          <w:b/>
        </w:rPr>
      </w:pPr>
      <w:r>
        <w:rPr>
          <w:rFonts w:hint="eastAsia" w:hAnsi="宋体"/>
          <w:bCs/>
        </w:rPr>
        <w:t xml:space="preserve">3.4 </w:t>
      </w:r>
      <w:r>
        <w:rPr>
          <w:rFonts w:hint="eastAsia" w:hAnsi="宋体"/>
        </w:rPr>
        <w:t>乙方必须按投标文件承诺的技术参数、性能要求、质量标准等向甲方提供全新、完整、未经使用的货物。</w:t>
      </w:r>
    </w:p>
    <w:p>
      <w:pPr>
        <w:pStyle w:val="19"/>
        <w:spacing w:line="360" w:lineRule="auto"/>
        <w:ind w:left="410" w:hanging="410" w:hangingChars="170"/>
        <w:rPr>
          <w:rFonts w:hAnsi="宋体"/>
          <w:b/>
        </w:rPr>
      </w:pPr>
      <w:r>
        <w:rPr>
          <w:rFonts w:hint="eastAsia" w:hAnsi="宋体"/>
          <w:b/>
          <w:bCs/>
          <w:sz w:val="24"/>
        </w:rPr>
        <w:t>4.  履约保证金</w:t>
      </w:r>
    </w:p>
    <w:p>
      <w:pPr>
        <w:pStyle w:val="19"/>
        <w:spacing w:line="360" w:lineRule="auto"/>
        <w:ind w:firstLine="420" w:firstLineChars="200"/>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4.1按中标金额的 3%</w:t>
      </w:r>
      <w:r>
        <w:rPr>
          <w:rFonts w:hint="eastAsia" w:hAnsi="宋体" w:cs="宋体"/>
          <w:kern w:val="0"/>
          <w:sz w:val="21"/>
          <w:szCs w:val="21"/>
          <w:lang w:val="en-US" w:eastAsia="zh-CN" w:bidi="ar-SA"/>
        </w:rPr>
        <w:t>.</w:t>
      </w:r>
    </w:p>
    <w:p>
      <w:pPr>
        <w:pStyle w:val="19"/>
        <w:spacing w:line="360" w:lineRule="auto"/>
        <w:rPr>
          <w:rFonts w:hAnsi="宋体"/>
          <w:b/>
          <w:bCs/>
          <w:sz w:val="24"/>
        </w:rPr>
      </w:pPr>
      <w:r>
        <w:rPr>
          <w:rFonts w:hint="eastAsia" w:hAnsi="宋体"/>
          <w:b/>
          <w:bCs/>
          <w:sz w:val="24"/>
        </w:rPr>
        <w:t>5.  质量保证及售后服务</w:t>
      </w:r>
    </w:p>
    <w:p>
      <w:pPr>
        <w:pStyle w:val="19"/>
        <w:spacing w:line="360" w:lineRule="auto"/>
        <w:ind w:left="2" w:firstLine="359" w:firstLineChars="171"/>
        <w:rPr>
          <w:rFonts w:hAnsi="宋体"/>
        </w:rPr>
      </w:pPr>
      <w:r>
        <w:rPr>
          <w:rFonts w:hint="eastAsia" w:hAnsi="宋体"/>
        </w:rPr>
        <w:t>5.1 质量保证期年（自交货验收合格之日起计）。</w:t>
      </w:r>
    </w:p>
    <w:p>
      <w:pPr>
        <w:pStyle w:val="19"/>
        <w:spacing w:line="360" w:lineRule="auto"/>
        <w:ind w:firstLine="359" w:firstLineChars="171"/>
        <w:rPr>
          <w:rFonts w:hAnsi="宋体"/>
        </w:rPr>
      </w:pPr>
      <w:r>
        <w:rPr>
          <w:rFonts w:hint="eastAsia" w:hAnsi="宋体"/>
        </w:rPr>
        <w:t>5.2 如乙方提供的货物在使用过程中发生质量问题，乙方接到甲方故障通知后应在小时内到达甲方指定现场，按国家及行业标准对故障进行及时处理。</w:t>
      </w:r>
    </w:p>
    <w:p>
      <w:pPr>
        <w:pStyle w:val="19"/>
        <w:spacing w:line="360" w:lineRule="auto"/>
        <w:ind w:firstLine="359" w:firstLineChars="171"/>
        <w:rPr>
          <w:rFonts w:hAnsi="宋体"/>
        </w:rPr>
      </w:pPr>
      <w:r>
        <w:rPr>
          <w:rFonts w:hint="eastAsia" w:hAnsi="宋体"/>
        </w:rPr>
        <w:t>5.3 乙方提供的货物在质量保证期内因货物本身的质量问题发生故障，乙方应负责免费更换。对达不到技术要求者，根据实际情况，经双方协商，可按以下办法处理：</w:t>
      </w:r>
    </w:p>
    <w:p>
      <w:pPr>
        <w:pStyle w:val="19"/>
        <w:spacing w:line="360" w:lineRule="auto"/>
        <w:ind w:firstLine="359" w:firstLineChars="171"/>
        <w:rPr>
          <w:rFonts w:hAnsi="宋体"/>
        </w:rPr>
      </w:pPr>
      <w:r>
        <w:rPr>
          <w:rFonts w:hint="eastAsia" w:hAnsi="宋体"/>
        </w:rPr>
        <w:t>（1）更换：由乙方承担所发生的全部费用；</w:t>
      </w:r>
    </w:p>
    <w:p>
      <w:pPr>
        <w:pStyle w:val="19"/>
        <w:spacing w:line="360" w:lineRule="auto"/>
        <w:ind w:firstLine="359" w:firstLineChars="171"/>
        <w:rPr>
          <w:rFonts w:hAnsi="宋体"/>
        </w:rPr>
      </w:pPr>
      <w:r>
        <w:rPr>
          <w:rFonts w:hint="eastAsia" w:hAnsi="宋体"/>
        </w:rPr>
        <w:t>（2）贬值处理：由甲乙双方合议定价；</w:t>
      </w:r>
    </w:p>
    <w:p>
      <w:pPr>
        <w:pStyle w:val="19"/>
        <w:spacing w:line="360" w:lineRule="auto"/>
        <w:ind w:firstLine="359" w:firstLineChars="171"/>
        <w:rPr>
          <w:rFonts w:hAnsi="宋体"/>
        </w:rPr>
      </w:pPr>
      <w:r>
        <w:rPr>
          <w:rFonts w:hint="eastAsia" w:hAnsi="宋体"/>
        </w:rPr>
        <w:t>（3）退货处理：乙方应退还甲方支付的合同款，同时应承担与该货物相关的直接费用（运输、保险、检验、合同款利息及银行手续费等）。</w:t>
      </w:r>
    </w:p>
    <w:p>
      <w:pPr>
        <w:pStyle w:val="19"/>
        <w:spacing w:line="360" w:lineRule="auto"/>
        <w:ind w:left="2" w:firstLine="360"/>
        <w:rPr>
          <w:rFonts w:hAnsi="宋体"/>
        </w:rPr>
      </w:pPr>
      <w:r>
        <w:rPr>
          <w:rFonts w:hint="eastAsia" w:hAnsi="宋体"/>
        </w:rPr>
        <w:t>5.4 在质量保证期内，乙方负责处理解决货物出现的质量及安全问题并承担一切费用，所有非故意性损坏以及正常使用范围内造成的损坏均要免费维修，因人为因素出现的故障不在免费保修范围内，但乙方也要积极帮助采购人修理，并提供优惠价格的配件和服务。</w:t>
      </w:r>
    </w:p>
    <w:p>
      <w:pPr>
        <w:pStyle w:val="19"/>
        <w:spacing w:line="360" w:lineRule="auto"/>
        <w:ind w:left="2" w:firstLine="360"/>
        <w:rPr>
          <w:rFonts w:hAnsi="宋体"/>
        </w:rPr>
      </w:pPr>
      <w:r>
        <w:rPr>
          <w:rFonts w:hint="eastAsia" w:hAnsi="宋体"/>
        </w:rPr>
        <w:t>5.5 超过质量保证期的货物，乙方提供终生维修、保养服务，维修时只收部件成本费。</w:t>
      </w:r>
    </w:p>
    <w:p>
      <w:pPr>
        <w:pStyle w:val="19"/>
        <w:spacing w:line="360" w:lineRule="auto"/>
        <w:ind w:left="2" w:firstLine="360"/>
        <w:rPr>
          <w:rFonts w:hAnsi="宋体"/>
        </w:rPr>
      </w:pPr>
      <w:r>
        <w:rPr>
          <w:rFonts w:hint="eastAsia" w:hAnsi="宋体"/>
        </w:rPr>
        <w:t>5.6 乙方随时优惠提供备品备件，优惠提供产品更新、改造服务。</w:t>
      </w:r>
    </w:p>
    <w:p>
      <w:pPr>
        <w:pStyle w:val="19"/>
        <w:spacing w:line="360" w:lineRule="auto"/>
        <w:ind w:left="2" w:firstLine="360"/>
        <w:rPr>
          <w:rFonts w:hAnsi="宋体"/>
        </w:rPr>
      </w:pPr>
      <w:r>
        <w:rPr>
          <w:rFonts w:hint="eastAsia" w:hAnsi="宋体"/>
        </w:rPr>
        <w:t xml:space="preserve">5.7 其他售后服务要求：   </w:t>
      </w:r>
      <w:r>
        <w:rPr>
          <w:rFonts w:hint="eastAsia" w:hAnsi="宋体"/>
          <w:u w:val="single"/>
        </w:rPr>
        <w:t>按投标文件商务条款偏离表及澄清函（商务条款偏离表与澄清函不一致的以澄清函为准）内容执行。</w:t>
      </w:r>
    </w:p>
    <w:p>
      <w:pPr>
        <w:pStyle w:val="19"/>
        <w:spacing w:line="360" w:lineRule="auto"/>
        <w:rPr>
          <w:rFonts w:hAnsi="宋体"/>
          <w:b/>
          <w:bCs/>
          <w:sz w:val="24"/>
        </w:rPr>
      </w:pPr>
      <w:r>
        <w:rPr>
          <w:rFonts w:hint="eastAsia" w:hAnsi="宋体"/>
          <w:b/>
          <w:bCs/>
          <w:sz w:val="24"/>
        </w:rPr>
        <w:t>6.  合同款支付</w:t>
      </w:r>
    </w:p>
    <w:p>
      <w:pPr>
        <w:pStyle w:val="19"/>
        <w:spacing w:line="360" w:lineRule="auto"/>
        <w:ind w:firstLine="360"/>
        <w:rPr>
          <w:rFonts w:hint="eastAsia" w:hAnsi="宋体"/>
          <w:u w:val="none"/>
        </w:rPr>
      </w:pPr>
      <w:r>
        <w:rPr>
          <w:rFonts w:hint="eastAsia" w:hAnsi="宋体"/>
          <w:bCs/>
        </w:rPr>
        <w:t>6.1 付款方式：</w:t>
      </w:r>
      <w:r>
        <w:rPr>
          <w:rFonts w:hint="eastAsia" w:hAnsi="宋体"/>
          <w:u w:val="none"/>
        </w:rPr>
        <w:t>甲方在签订合同后五个工作日内支付给乙方30%的预付款（乙方需同时提供相应发票）。在项目设备到场安装、调试、验收合格后十个工作日内甲方一次性付清尾款。（乙方需同时开具发票给甲方）质量保证金为合同金额3%，履约保证金自成交供应商按合同约定交货验收合格之日起自动转为质量保证金，质保期为一年，质保金在质保期满一年后无息退还给乙方。</w:t>
      </w:r>
    </w:p>
    <w:p>
      <w:pPr>
        <w:pStyle w:val="19"/>
        <w:spacing w:line="360" w:lineRule="auto"/>
        <w:ind w:left="412" w:hanging="412" w:hangingChars="171"/>
        <w:rPr>
          <w:rFonts w:hAnsi="宋体"/>
          <w:b/>
        </w:rPr>
      </w:pPr>
      <w:r>
        <w:rPr>
          <w:rFonts w:hint="eastAsia" w:hAnsi="宋体"/>
          <w:b/>
          <w:bCs/>
          <w:sz w:val="24"/>
        </w:rPr>
        <w:t>7.  产权</w:t>
      </w:r>
    </w:p>
    <w:p>
      <w:pPr>
        <w:pStyle w:val="19"/>
        <w:spacing w:line="360" w:lineRule="auto"/>
        <w:ind w:left="2" w:firstLine="359" w:firstLineChars="171"/>
        <w:rPr>
          <w:rFonts w:hAnsi="宋体"/>
          <w:bCs/>
        </w:rPr>
      </w:pPr>
      <w:r>
        <w:rPr>
          <w:rFonts w:hint="eastAsia" w:hAnsi="宋体"/>
        </w:rPr>
        <w:t>7.1 乙方保证所提供的货物或其任何一部分均不会侵犯任何第三方的专利权、商标权或著作权</w:t>
      </w:r>
      <w:r>
        <w:rPr>
          <w:rFonts w:hint="eastAsia" w:hAnsi="宋体"/>
          <w:bCs/>
        </w:rPr>
        <w:t>。</w:t>
      </w:r>
    </w:p>
    <w:p>
      <w:pPr>
        <w:pStyle w:val="19"/>
        <w:spacing w:line="360" w:lineRule="auto"/>
        <w:ind w:left="2" w:firstLine="359" w:firstLineChars="171"/>
        <w:rPr>
          <w:rFonts w:hAnsi="宋体"/>
          <w:b/>
          <w:bCs/>
        </w:rPr>
      </w:pPr>
      <w:r>
        <w:rPr>
          <w:rFonts w:hint="eastAsia" w:hAnsi="宋体"/>
        </w:rPr>
        <w:t>7.2 乙方保证所交付货物的所有权完全属于乙方且无任何抵押、查封等产权瑕疵。如乙方所交付货物有产权瑕疵的，视为乙方违约，按照本合同第11.3项的约定处理。但在已经全部支付完合同款后才发现有产权瑕疵的，乙方除了支付违约金还应负担甲方由此产生的一切损失。</w:t>
      </w:r>
    </w:p>
    <w:p>
      <w:pPr>
        <w:pStyle w:val="19"/>
        <w:spacing w:line="360" w:lineRule="auto"/>
        <w:rPr>
          <w:rFonts w:hAnsi="宋体"/>
          <w:b/>
        </w:rPr>
      </w:pPr>
      <w:r>
        <w:rPr>
          <w:rFonts w:hint="eastAsia" w:hAnsi="宋体"/>
          <w:b/>
          <w:bCs/>
          <w:sz w:val="24"/>
        </w:rPr>
        <w:t>8.  技术资料</w:t>
      </w:r>
    </w:p>
    <w:p>
      <w:pPr>
        <w:pStyle w:val="19"/>
        <w:spacing w:line="360" w:lineRule="auto"/>
        <w:ind w:firstLine="360"/>
        <w:rPr>
          <w:rFonts w:hAnsi="宋体"/>
        </w:rPr>
      </w:pPr>
      <w:r>
        <w:rPr>
          <w:rFonts w:hint="eastAsia" w:hAnsi="宋体"/>
        </w:rPr>
        <w:t>8.1 甲方向乙方提供采购货物的有关技术要求。</w:t>
      </w:r>
    </w:p>
    <w:p>
      <w:pPr>
        <w:pStyle w:val="19"/>
        <w:spacing w:line="360" w:lineRule="auto"/>
        <w:ind w:firstLine="360"/>
        <w:rPr>
          <w:rFonts w:hAnsi="宋体"/>
        </w:rPr>
      </w:pPr>
      <w:r>
        <w:rPr>
          <w:rFonts w:hint="eastAsia" w:hAnsi="宋体"/>
        </w:rPr>
        <w:t>8.2 乙方应在采购文件规定的时间向甲方提供使用货物的有关技术资料。</w:t>
      </w:r>
    </w:p>
    <w:p>
      <w:pPr>
        <w:pStyle w:val="19"/>
        <w:spacing w:line="360" w:lineRule="auto"/>
        <w:ind w:firstLine="360"/>
        <w:rPr>
          <w:rFonts w:hAnsi="宋体"/>
        </w:rPr>
      </w:pPr>
      <w:r>
        <w:rPr>
          <w:rFonts w:hint="eastAsia" w:hAnsi="宋体"/>
        </w:rPr>
        <w:t>8.3 没有甲方事先书面同意，乙方不得将甲方提供的有关合同或任何合同条文、规格、计划、图纸、样品或资料提供给与履行本合同无关的其他任何人。即使向与履行本合同有关的人员提供，也应注意保密并限于履行合同的必需范围。</w:t>
      </w:r>
    </w:p>
    <w:p>
      <w:pPr>
        <w:pStyle w:val="19"/>
        <w:spacing w:line="360" w:lineRule="auto"/>
        <w:rPr>
          <w:rFonts w:hAnsi="宋体"/>
          <w:b/>
          <w:bCs/>
          <w:sz w:val="24"/>
        </w:rPr>
      </w:pPr>
      <w:r>
        <w:rPr>
          <w:rFonts w:hint="eastAsia" w:hAnsi="宋体"/>
          <w:b/>
          <w:bCs/>
          <w:sz w:val="24"/>
        </w:rPr>
        <w:t>9.  货物包装、发运及运输</w:t>
      </w:r>
    </w:p>
    <w:p>
      <w:pPr>
        <w:pStyle w:val="19"/>
        <w:tabs>
          <w:tab w:val="left" w:pos="0"/>
        </w:tabs>
        <w:spacing w:line="360" w:lineRule="auto"/>
        <w:ind w:firstLine="360"/>
        <w:rPr>
          <w:rFonts w:hAnsi="宋体"/>
        </w:rPr>
      </w:pPr>
      <w:r>
        <w:rPr>
          <w:rFonts w:hint="eastAsia" w:hAnsi="宋体"/>
        </w:rPr>
        <w:t>9.1 乙方应在货物发运前对其进行满足运输距离、防潮、防震、防锈和防破损装卸等要求包装，以保证货物安全运达甲方指定地点。</w:t>
      </w:r>
    </w:p>
    <w:p>
      <w:pPr>
        <w:pStyle w:val="19"/>
        <w:tabs>
          <w:tab w:val="left" w:pos="0"/>
        </w:tabs>
        <w:spacing w:line="360" w:lineRule="auto"/>
        <w:ind w:firstLine="360"/>
        <w:rPr>
          <w:rFonts w:hAnsi="宋体"/>
        </w:rPr>
      </w:pPr>
      <w:r>
        <w:rPr>
          <w:rFonts w:hint="eastAsia" w:hAnsi="宋体"/>
        </w:rPr>
        <w:t>9.2 使用说明书、质量检验证明书、保修单据、随配附件和工具以及清单一并附于货物内。</w:t>
      </w:r>
    </w:p>
    <w:p>
      <w:pPr>
        <w:pStyle w:val="19"/>
        <w:tabs>
          <w:tab w:val="left" w:pos="0"/>
        </w:tabs>
        <w:spacing w:line="360" w:lineRule="auto"/>
        <w:ind w:firstLine="360"/>
        <w:rPr>
          <w:rFonts w:hAnsi="宋体"/>
        </w:rPr>
      </w:pPr>
      <w:r>
        <w:rPr>
          <w:rFonts w:hint="eastAsia" w:hAnsi="宋体"/>
        </w:rPr>
        <w:t>9.3 乙方在货物发运手续办理完毕后24小时内或货到甲方48小时前通知甲方，以准备接货。</w:t>
      </w:r>
    </w:p>
    <w:p>
      <w:pPr>
        <w:pStyle w:val="19"/>
        <w:tabs>
          <w:tab w:val="left" w:pos="0"/>
        </w:tabs>
        <w:spacing w:line="360" w:lineRule="auto"/>
        <w:ind w:firstLine="360"/>
        <w:rPr>
          <w:rFonts w:hAnsi="宋体"/>
        </w:rPr>
      </w:pPr>
      <w:r>
        <w:rPr>
          <w:rFonts w:hint="eastAsia" w:hAnsi="宋体"/>
        </w:rPr>
        <w:t>9.4 货物在交付甲方前发生的风险均由乙方负责。</w:t>
      </w:r>
    </w:p>
    <w:p>
      <w:pPr>
        <w:pStyle w:val="19"/>
        <w:tabs>
          <w:tab w:val="left" w:pos="0"/>
        </w:tabs>
        <w:spacing w:line="360" w:lineRule="auto"/>
        <w:ind w:firstLine="360"/>
        <w:rPr>
          <w:rFonts w:hAnsi="宋体"/>
        </w:rPr>
      </w:pPr>
      <w:r>
        <w:rPr>
          <w:rFonts w:hint="eastAsia" w:hAnsi="宋体"/>
        </w:rPr>
        <w:t>9.5 货物在规定的交付期限内由乙方送达甲方指定的地点视为交付，乙方同时需通知甲方货物已送达。</w:t>
      </w:r>
    </w:p>
    <w:p>
      <w:pPr>
        <w:pStyle w:val="19"/>
        <w:spacing w:line="360" w:lineRule="auto"/>
        <w:rPr>
          <w:rFonts w:hAnsi="宋体"/>
          <w:b/>
          <w:bCs/>
          <w:sz w:val="24"/>
        </w:rPr>
      </w:pPr>
      <w:r>
        <w:rPr>
          <w:rFonts w:hint="eastAsia" w:hAnsi="宋体"/>
          <w:b/>
          <w:bCs/>
          <w:sz w:val="24"/>
        </w:rPr>
        <w:t>10.  调试和验收</w:t>
      </w:r>
    </w:p>
    <w:p>
      <w:pPr>
        <w:pStyle w:val="19"/>
        <w:spacing w:line="360" w:lineRule="auto"/>
        <w:ind w:firstLine="359" w:firstLineChars="171"/>
        <w:rPr>
          <w:rFonts w:hAnsi="宋体"/>
        </w:rPr>
      </w:pPr>
      <w:r>
        <w:rPr>
          <w:rFonts w:hint="eastAsia" w:hAnsi="宋体"/>
        </w:rPr>
        <w:t>10.1 乙方将货物运达约定的交货地点后，甲方应在5个工作日内对乙方提交的货物依据招标文件的要求、投标文件的承诺和国家标准或行业标准进行现场初步验收。对外观、说明书符合要求的，给予签收；对不符合要求或有质量问题的货物不予签收，可立即要求退换，乙方不得拒绝和延误。</w:t>
      </w:r>
    </w:p>
    <w:p>
      <w:pPr>
        <w:pStyle w:val="19"/>
        <w:spacing w:line="360" w:lineRule="auto"/>
        <w:ind w:firstLine="359" w:firstLineChars="171"/>
        <w:rPr>
          <w:rFonts w:hAnsi="宋体"/>
        </w:rPr>
      </w:pPr>
      <w:r>
        <w:rPr>
          <w:rFonts w:hint="eastAsia" w:hAnsi="宋体"/>
        </w:rPr>
        <w:t>10.2 乙方交货前应对产品作出全面检查和对验收文件进行整理，并列出清单，作为甲方收货验收和使用的技术条件依据，检验的结果应随货物交甲方。</w:t>
      </w:r>
    </w:p>
    <w:p>
      <w:pPr>
        <w:pStyle w:val="19"/>
        <w:spacing w:line="360" w:lineRule="auto"/>
        <w:ind w:firstLine="359" w:firstLineChars="171"/>
        <w:rPr>
          <w:rFonts w:hAnsi="宋体"/>
        </w:rPr>
      </w:pPr>
      <w:r>
        <w:rPr>
          <w:rFonts w:hint="eastAsia" w:hAnsi="宋体"/>
        </w:rPr>
        <w:t>10.3 甲方对乙方提供的货物在使用前进行调试时，乙方需负责安装并培训甲方的使用操作人员，并协助甲方一起调试，直到符合技术要求，甲方才做最终验收。</w:t>
      </w:r>
    </w:p>
    <w:p>
      <w:pPr>
        <w:pStyle w:val="19"/>
        <w:spacing w:line="360" w:lineRule="auto"/>
        <w:ind w:firstLine="359" w:firstLineChars="171"/>
        <w:rPr>
          <w:rFonts w:hAnsi="宋体"/>
        </w:rPr>
      </w:pPr>
      <w:r>
        <w:rPr>
          <w:rFonts w:hint="eastAsia" w:hAnsi="宋体"/>
        </w:rPr>
        <w:t>10.4 验收时乙方必须在现场，验收完毕后作出验收结果报告。</w:t>
      </w:r>
    </w:p>
    <w:p>
      <w:pPr>
        <w:pStyle w:val="19"/>
        <w:spacing w:line="360" w:lineRule="auto"/>
        <w:ind w:firstLine="359" w:firstLineChars="171"/>
        <w:rPr>
          <w:rFonts w:hAnsi="宋体"/>
        </w:rPr>
      </w:pPr>
      <w:r>
        <w:rPr>
          <w:rFonts w:hint="eastAsia" w:hAnsi="宋体"/>
        </w:rPr>
        <w:t>10.5 对技术复杂的货物，甲方可请国家认可的专业检测机构参与验收，并由其出具质量检测报告，相关费用由甲方承担。</w:t>
      </w:r>
    </w:p>
    <w:p>
      <w:pPr>
        <w:pStyle w:val="19"/>
        <w:spacing w:line="360" w:lineRule="auto"/>
        <w:rPr>
          <w:rFonts w:hAnsi="宋体"/>
          <w:b/>
          <w:bCs/>
          <w:sz w:val="24"/>
        </w:rPr>
      </w:pPr>
      <w:r>
        <w:rPr>
          <w:rFonts w:hint="eastAsia" w:hAnsi="宋体"/>
          <w:b/>
          <w:bCs/>
          <w:sz w:val="24"/>
        </w:rPr>
        <w:t>11.  违约责任</w:t>
      </w:r>
    </w:p>
    <w:p>
      <w:pPr>
        <w:pStyle w:val="19"/>
        <w:spacing w:line="360" w:lineRule="auto"/>
        <w:ind w:left="2" w:firstLine="360"/>
        <w:rPr>
          <w:rFonts w:hAnsi="宋体"/>
        </w:rPr>
      </w:pPr>
      <w:r>
        <w:rPr>
          <w:rFonts w:hint="eastAsia" w:hAnsi="宋体"/>
        </w:rPr>
        <w:t>11.1 甲方无正当理由拒收货物的，甲方向乙方偿付拒收合同款总值的百分之五违约金。</w:t>
      </w:r>
    </w:p>
    <w:p>
      <w:pPr>
        <w:pStyle w:val="19"/>
        <w:spacing w:line="360" w:lineRule="auto"/>
        <w:ind w:left="2" w:firstLine="360"/>
        <w:rPr>
          <w:rFonts w:hAnsi="宋体"/>
        </w:rPr>
      </w:pPr>
      <w:r>
        <w:rPr>
          <w:rFonts w:hint="eastAsia" w:hAnsi="宋体"/>
        </w:rPr>
        <w:t>11.2 甲方无故逾期验收或办理合同款支付手续的，甲方应按逾期付款总额每日万分之五向乙方支付违约金。</w:t>
      </w:r>
    </w:p>
    <w:p>
      <w:pPr>
        <w:pStyle w:val="19"/>
        <w:spacing w:line="360" w:lineRule="auto"/>
        <w:ind w:left="2" w:firstLine="360"/>
        <w:rPr>
          <w:rFonts w:hAnsi="宋体"/>
        </w:rPr>
      </w:pPr>
      <w:r>
        <w:rPr>
          <w:rFonts w:hint="eastAsia" w:hAnsi="宋体"/>
        </w:rPr>
        <w:t>11.3 乙方逾期交付货物的，乙方应按逾期交货总额每日万分之五向甲方支付违约金，由甲方从待付合同款中扣除。乙方逾期超过本合同约定交货日期10个工作日不能交货的，甲方可解除本合同。乙方因逾期交货或因其他违约行为导致甲方解除合同的，乙方应向甲方支付合同总值百分之五的违约金，如造成甲方损失超过违约金的，超出部分由乙方继续承担赔偿责任。</w:t>
      </w:r>
    </w:p>
    <w:p>
      <w:pPr>
        <w:pStyle w:val="19"/>
        <w:spacing w:line="360" w:lineRule="auto"/>
        <w:ind w:left="2" w:firstLine="360"/>
        <w:rPr>
          <w:rFonts w:hAnsi="宋体"/>
        </w:rPr>
      </w:pPr>
      <w:r>
        <w:rPr>
          <w:rFonts w:hint="eastAsia" w:hAnsi="宋体"/>
        </w:rPr>
        <w:t>11.4 乙方所交的货物品种、型号、规格、技术参数、质量不符合合同规定及采购文件规定标准的，甲方有权拒收该货物，乙方愿意更换货物但逾期交货的，按乙方逾期交货处理。乙方拒绝更换货物的，甲方可单方面解除合同。</w:t>
      </w:r>
    </w:p>
    <w:p>
      <w:pPr>
        <w:pStyle w:val="19"/>
        <w:spacing w:line="360" w:lineRule="auto"/>
        <w:rPr>
          <w:rFonts w:hAnsi="宋体"/>
          <w:b/>
          <w:bCs/>
          <w:sz w:val="24"/>
        </w:rPr>
      </w:pPr>
      <w:r>
        <w:rPr>
          <w:rFonts w:hint="eastAsia" w:hAnsi="宋体"/>
          <w:b/>
          <w:bCs/>
          <w:sz w:val="24"/>
        </w:rPr>
        <w:t>12.  不可抗力事件处理</w:t>
      </w:r>
    </w:p>
    <w:p>
      <w:pPr>
        <w:pStyle w:val="19"/>
        <w:spacing w:line="360" w:lineRule="auto"/>
        <w:ind w:firstLine="359" w:firstLineChars="171"/>
        <w:rPr>
          <w:rFonts w:hAnsi="宋体"/>
        </w:rPr>
      </w:pPr>
      <w:r>
        <w:rPr>
          <w:rFonts w:hint="eastAsia" w:hAnsi="宋体"/>
        </w:rPr>
        <w:t>12.1 在合同有效期内，任何一方因不可抗力事件导致不能履行合同，则合同履行期可延长，其延长期与不可抗力影响期相同。</w:t>
      </w:r>
    </w:p>
    <w:p>
      <w:pPr>
        <w:pStyle w:val="19"/>
        <w:spacing w:line="360" w:lineRule="auto"/>
        <w:ind w:firstLine="359" w:firstLineChars="171"/>
        <w:rPr>
          <w:rFonts w:hAnsi="宋体"/>
        </w:rPr>
      </w:pPr>
      <w:r>
        <w:rPr>
          <w:rFonts w:hint="eastAsia" w:hAnsi="宋体"/>
        </w:rPr>
        <w:t>12.2 不可抗力事件发生后，应立即通知对方，并寄送有关权威机构出具的证明。</w:t>
      </w:r>
    </w:p>
    <w:p>
      <w:pPr>
        <w:pStyle w:val="19"/>
        <w:spacing w:line="360" w:lineRule="auto"/>
        <w:ind w:firstLine="359" w:firstLineChars="171"/>
        <w:rPr>
          <w:rFonts w:hAnsi="宋体"/>
        </w:rPr>
      </w:pPr>
      <w:r>
        <w:rPr>
          <w:rFonts w:hint="eastAsia" w:hAnsi="宋体"/>
        </w:rPr>
        <w:t>12.3 不可抗力事件延续120天以上，双方应通过友好协商，确定是否继续履行合同。</w:t>
      </w:r>
    </w:p>
    <w:p>
      <w:pPr>
        <w:pStyle w:val="19"/>
        <w:spacing w:line="360" w:lineRule="auto"/>
        <w:rPr>
          <w:rFonts w:hAnsi="宋体"/>
          <w:b/>
          <w:bCs/>
          <w:sz w:val="24"/>
        </w:rPr>
      </w:pPr>
      <w:r>
        <w:rPr>
          <w:rFonts w:hint="eastAsia" w:hAnsi="宋体"/>
          <w:b/>
          <w:bCs/>
          <w:sz w:val="24"/>
        </w:rPr>
        <w:t>13.  诉讼</w:t>
      </w:r>
    </w:p>
    <w:p>
      <w:pPr>
        <w:pStyle w:val="19"/>
        <w:tabs>
          <w:tab w:val="left" w:pos="0"/>
        </w:tabs>
        <w:spacing w:line="360" w:lineRule="auto"/>
        <w:ind w:firstLine="359" w:firstLineChars="171"/>
        <w:rPr>
          <w:rFonts w:hAnsi="宋体"/>
        </w:rPr>
      </w:pPr>
      <w:r>
        <w:rPr>
          <w:rFonts w:hint="eastAsia" w:hAnsi="宋体"/>
        </w:rPr>
        <w:t>13.1 双方在执行合同中所发生的一切争议，应通过协商解决。如协商不成，可向合同签订地法院起诉，合同签订地在此约定为广西</w:t>
      </w:r>
      <w:r>
        <w:rPr>
          <w:rFonts w:hint="eastAsia" w:hAnsi="宋体"/>
          <w:lang w:val="en-US" w:eastAsia="zh-CN"/>
        </w:rPr>
        <w:t>龙州</w:t>
      </w:r>
      <w:r>
        <w:rPr>
          <w:rFonts w:hint="eastAsia" w:hAnsi="宋体"/>
        </w:rPr>
        <w:t>县。</w:t>
      </w:r>
    </w:p>
    <w:p>
      <w:pPr>
        <w:pStyle w:val="19"/>
        <w:spacing w:line="360" w:lineRule="auto"/>
        <w:rPr>
          <w:rFonts w:hAnsi="宋体"/>
          <w:b/>
          <w:bCs/>
          <w:sz w:val="24"/>
        </w:rPr>
      </w:pPr>
      <w:r>
        <w:rPr>
          <w:rFonts w:hint="eastAsia" w:hAnsi="宋体"/>
          <w:b/>
          <w:bCs/>
          <w:sz w:val="24"/>
        </w:rPr>
        <w:t>14.  合同生效及其它</w:t>
      </w:r>
    </w:p>
    <w:p>
      <w:pPr>
        <w:pStyle w:val="19"/>
        <w:spacing w:line="360" w:lineRule="auto"/>
        <w:ind w:firstLine="360"/>
        <w:rPr>
          <w:rFonts w:hAnsi="宋体"/>
        </w:rPr>
      </w:pPr>
      <w:r>
        <w:rPr>
          <w:rFonts w:hint="eastAsia" w:hAnsi="宋体"/>
        </w:rPr>
        <w:t>14.1 合同经双方法定代表人或授权委托代理人签字并加盖单位公章后生效。</w:t>
      </w:r>
    </w:p>
    <w:p>
      <w:pPr>
        <w:pStyle w:val="19"/>
        <w:spacing w:line="360" w:lineRule="auto"/>
        <w:ind w:firstLine="360"/>
        <w:rPr>
          <w:rFonts w:hint="eastAsia" w:hAnsi="宋体"/>
        </w:rPr>
      </w:pPr>
      <w:r>
        <w:rPr>
          <w:rFonts w:hint="eastAsia" w:hAnsi="宋体"/>
        </w:rPr>
        <w:t xml:space="preserve">14.2 </w:t>
      </w:r>
      <w:r>
        <w:rPr>
          <w:rFonts w:hint="eastAsia" w:hAnsi="宋体"/>
          <w:szCs w:val="21"/>
        </w:rPr>
        <w:t>合同执行中涉及采购资金和采购内容修改或补充的，须经市财政部门审批，并签书面补充协议报</w:t>
      </w:r>
      <w:r>
        <w:rPr>
          <w:rFonts w:hint="eastAsia" w:ascii="宋体" w:hAnsi="宋体" w:cs="宋体"/>
          <w:color w:val="000000"/>
          <w:kern w:val="0"/>
          <w:sz w:val="24"/>
        </w:rPr>
        <w:t>：</w:t>
      </w:r>
      <w:r>
        <w:rPr>
          <w:rFonts w:hint="eastAsia" w:hAnsi="宋体"/>
          <w:lang w:val="en-US" w:eastAsia="zh-CN"/>
        </w:rPr>
        <w:t>龙州县财政局政府采购监督股</w:t>
      </w:r>
      <w:r>
        <w:rPr>
          <w:rFonts w:hint="eastAsia" w:hAnsi="宋体"/>
        </w:rPr>
        <w:t>管理部门备案，方可作为主合同不可分割的一部分。</w:t>
      </w:r>
    </w:p>
    <w:p>
      <w:pPr>
        <w:pStyle w:val="19"/>
        <w:spacing w:line="360" w:lineRule="auto"/>
        <w:ind w:firstLine="360"/>
        <w:rPr>
          <w:rFonts w:hAnsi="宋体"/>
        </w:rPr>
      </w:pPr>
      <w:r>
        <w:rPr>
          <w:rFonts w:hint="eastAsia" w:hAnsi="宋体"/>
        </w:rPr>
        <w:t>14.3 下述合同附件为本合同不可分割的部分并与本合同具有同等效力：</w:t>
      </w:r>
    </w:p>
    <w:p>
      <w:pPr>
        <w:pStyle w:val="19"/>
        <w:spacing w:line="360" w:lineRule="auto"/>
        <w:ind w:firstLine="360"/>
        <w:rPr>
          <w:rFonts w:hAnsi="宋体"/>
        </w:rPr>
      </w:pPr>
      <w:r>
        <w:rPr>
          <w:rFonts w:hint="eastAsia" w:hAnsi="宋体"/>
        </w:rPr>
        <w:t>（1）中标通知书；</w:t>
      </w:r>
    </w:p>
    <w:p>
      <w:pPr>
        <w:pStyle w:val="19"/>
        <w:spacing w:line="360" w:lineRule="auto"/>
        <w:ind w:firstLine="360"/>
        <w:rPr>
          <w:rFonts w:hAnsi="宋体"/>
        </w:rPr>
      </w:pPr>
      <w:r>
        <w:rPr>
          <w:rFonts w:hint="eastAsia" w:hAnsi="宋体"/>
        </w:rPr>
        <w:t>（2）招标文件</w:t>
      </w:r>
      <w:r>
        <w:rPr>
          <w:rFonts w:hAnsi="宋体"/>
        </w:rPr>
        <w:t>采购需求一览表</w:t>
      </w:r>
      <w:r>
        <w:rPr>
          <w:rFonts w:hint="eastAsia" w:hAnsi="宋体"/>
        </w:rPr>
        <w:t>；</w:t>
      </w:r>
    </w:p>
    <w:p>
      <w:pPr>
        <w:pStyle w:val="19"/>
        <w:spacing w:line="360" w:lineRule="auto"/>
        <w:ind w:firstLine="360"/>
        <w:rPr>
          <w:rFonts w:hAnsi="宋体"/>
        </w:rPr>
      </w:pPr>
      <w:r>
        <w:rPr>
          <w:rFonts w:hint="eastAsia" w:hAnsi="宋体"/>
        </w:rPr>
        <w:t>（3）招标文件的澄清和修改；</w:t>
      </w:r>
    </w:p>
    <w:p>
      <w:pPr>
        <w:pStyle w:val="19"/>
        <w:spacing w:line="360" w:lineRule="auto"/>
        <w:ind w:firstLine="360"/>
        <w:rPr>
          <w:rFonts w:hAnsi="宋体"/>
        </w:rPr>
      </w:pPr>
      <w:r>
        <w:rPr>
          <w:rFonts w:hint="eastAsia" w:hAnsi="宋体"/>
        </w:rPr>
        <w:t>（4）投标报价表；</w:t>
      </w:r>
    </w:p>
    <w:p>
      <w:pPr>
        <w:pStyle w:val="19"/>
        <w:spacing w:line="360" w:lineRule="auto"/>
        <w:ind w:firstLine="360"/>
        <w:rPr>
          <w:rFonts w:hAnsi="宋体"/>
        </w:rPr>
      </w:pPr>
      <w:r>
        <w:rPr>
          <w:rFonts w:hint="eastAsia" w:hAnsi="宋体"/>
        </w:rPr>
        <w:t>（5）投标产品技术资料表、商务条款偏离表；</w:t>
      </w:r>
    </w:p>
    <w:p>
      <w:pPr>
        <w:pStyle w:val="19"/>
        <w:spacing w:line="360" w:lineRule="auto"/>
        <w:ind w:firstLine="360"/>
        <w:rPr>
          <w:rFonts w:hAnsi="宋体"/>
        </w:rPr>
      </w:pPr>
      <w:r>
        <w:rPr>
          <w:rFonts w:hint="eastAsia" w:hAnsi="宋体"/>
        </w:rPr>
        <w:t>（6）中标供应商澄清函；</w:t>
      </w:r>
    </w:p>
    <w:p>
      <w:pPr>
        <w:pStyle w:val="19"/>
        <w:spacing w:line="360" w:lineRule="auto"/>
        <w:ind w:firstLine="360"/>
        <w:rPr>
          <w:rFonts w:hAnsi="宋体"/>
        </w:rPr>
      </w:pPr>
      <w:r>
        <w:rPr>
          <w:rFonts w:hint="eastAsia" w:hAnsi="宋体"/>
        </w:rPr>
        <w:t>（7）其他与本合同相关的资料。</w:t>
      </w:r>
    </w:p>
    <w:p>
      <w:pPr>
        <w:pStyle w:val="19"/>
        <w:spacing w:line="360" w:lineRule="auto"/>
        <w:ind w:firstLine="360"/>
        <w:rPr>
          <w:rFonts w:hAnsi="宋体"/>
        </w:rPr>
      </w:pPr>
      <w:r>
        <w:rPr>
          <w:rFonts w:hint="eastAsia" w:hAnsi="宋体"/>
        </w:rPr>
        <w:t>14.4 本合同未尽事宜，遵照《中华人民共和国合同法》有关条文执行。</w:t>
      </w:r>
    </w:p>
    <w:p>
      <w:pPr>
        <w:pStyle w:val="19"/>
        <w:spacing w:line="360" w:lineRule="auto"/>
        <w:ind w:firstLine="360"/>
        <w:rPr>
          <w:rFonts w:hAnsi="宋体"/>
        </w:rPr>
      </w:pPr>
      <w:r>
        <w:rPr>
          <w:rFonts w:hint="eastAsia" w:hAnsi="宋体"/>
        </w:rPr>
        <w:t>14.5 本合同正本一式两份，具有同等法律效力，甲乙双方各执一份；副本一份。</w:t>
      </w:r>
    </w:p>
    <w:p>
      <w:pPr>
        <w:pStyle w:val="19"/>
        <w:spacing w:line="360" w:lineRule="auto"/>
        <w:ind w:firstLine="360"/>
        <w:rPr>
          <w:rFonts w:hAnsi="宋体"/>
        </w:rPr>
      </w:pPr>
    </w:p>
    <w:p>
      <w:pPr>
        <w:pStyle w:val="19"/>
        <w:spacing w:line="360" w:lineRule="auto"/>
        <w:ind w:firstLine="360"/>
        <w:rPr>
          <w:rFonts w:hAnsi="宋体"/>
        </w:rPr>
      </w:pPr>
    </w:p>
    <w:p>
      <w:pPr>
        <w:pStyle w:val="19"/>
        <w:spacing w:line="360" w:lineRule="auto"/>
        <w:ind w:firstLine="360"/>
        <w:rPr>
          <w:rFonts w:hAnsi="宋体"/>
        </w:rPr>
      </w:pPr>
    </w:p>
    <w:p>
      <w:pPr>
        <w:pStyle w:val="19"/>
        <w:spacing w:line="360" w:lineRule="auto"/>
        <w:rPr>
          <w:rFonts w:hAnsi="宋体"/>
          <w:u w:val="single"/>
        </w:rPr>
      </w:pPr>
      <w:r>
        <w:rPr>
          <w:rFonts w:hint="eastAsia" w:hAnsi="宋体"/>
        </w:rPr>
        <w:t>甲方：    乙方：</w:t>
      </w:r>
    </w:p>
    <w:p>
      <w:pPr>
        <w:pStyle w:val="19"/>
        <w:spacing w:line="360" w:lineRule="auto"/>
        <w:rPr>
          <w:rFonts w:hAnsi="宋体"/>
        </w:rPr>
      </w:pPr>
      <w:r>
        <w:rPr>
          <w:rFonts w:hint="eastAsia" w:hAnsi="宋体"/>
        </w:rPr>
        <w:t>地址：    地址：</w:t>
      </w:r>
    </w:p>
    <w:p>
      <w:pPr>
        <w:pStyle w:val="19"/>
        <w:spacing w:line="360" w:lineRule="auto"/>
        <w:rPr>
          <w:rFonts w:hAnsi="宋体"/>
        </w:rPr>
      </w:pPr>
      <w:r>
        <w:rPr>
          <w:rFonts w:hint="eastAsia" w:hAnsi="宋体"/>
        </w:rPr>
        <w:t>法定代表人：    法定代表人：</w:t>
      </w:r>
    </w:p>
    <w:p>
      <w:pPr>
        <w:pStyle w:val="19"/>
        <w:spacing w:line="360" w:lineRule="auto"/>
        <w:rPr>
          <w:rFonts w:hAnsi="宋体"/>
        </w:rPr>
      </w:pPr>
      <w:r>
        <w:rPr>
          <w:rFonts w:hint="eastAsia" w:hAnsi="宋体"/>
        </w:rPr>
        <w:t>委托代理人：    委托代理人：</w:t>
      </w:r>
    </w:p>
    <w:p>
      <w:pPr>
        <w:pStyle w:val="19"/>
        <w:spacing w:line="360" w:lineRule="auto"/>
        <w:rPr>
          <w:rFonts w:hAnsi="宋体"/>
        </w:rPr>
      </w:pPr>
      <w:r>
        <w:rPr>
          <w:rFonts w:hint="eastAsia" w:hAnsi="宋体"/>
        </w:rPr>
        <w:t>电话：    电话：</w:t>
      </w:r>
    </w:p>
    <w:p>
      <w:pPr>
        <w:pStyle w:val="19"/>
        <w:spacing w:line="360" w:lineRule="auto"/>
        <w:rPr>
          <w:rFonts w:hAnsi="宋体"/>
        </w:rPr>
      </w:pPr>
      <w:r>
        <w:rPr>
          <w:rFonts w:hint="eastAsia" w:hAnsi="宋体"/>
        </w:rPr>
        <w:t>传真：    传真：</w:t>
      </w:r>
    </w:p>
    <w:p>
      <w:pPr>
        <w:pStyle w:val="19"/>
        <w:spacing w:line="360" w:lineRule="auto"/>
        <w:rPr>
          <w:rFonts w:hAnsi="宋体"/>
          <w:u w:val="single"/>
        </w:rPr>
      </w:pPr>
      <w:r>
        <w:rPr>
          <w:rFonts w:hint="eastAsia" w:hAnsi="宋体"/>
        </w:rPr>
        <w:t>邮政编码：    邮政编码：</w:t>
      </w:r>
    </w:p>
    <w:p>
      <w:pPr>
        <w:pStyle w:val="19"/>
        <w:spacing w:line="360" w:lineRule="auto"/>
        <w:rPr>
          <w:rFonts w:hAnsi="宋体"/>
        </w:rPr>
      </w:pPr>
      <w:r>
        <w:rPr>
          <w:rFonts w:hint="eastAsia" w:hAnsi="宋体"/>
        </w:rPr>
        <w:t>统一社会代码：</w:t>
      </w:r>
    </w:p>
    <w:p>
      <w:pPr>
        <w:pStyle w:val="19"/>
        <w:spacing w:line="360" w:lineRule="auto"/>
        <w:rPr>
          <w:rFonts w:hAnsi="宋体"/>
          <w:u w:val="single"/>
        </w:rPr>
      </w:pPr>
      <w:r>
        <w:rPr>
          <w:rFonts w:hint="eastAsia" w:hAnsi="宋体"/>
        </w:rPr>
        <w:t xml:space="preserve">                                              开户银行：</w:t>
      </w:r>
    </w:p>
    <w:p>
      <w:pPr>
        <w:pStyle w:val="19"/>
        <w:spacing w:line="360" w:lineRule="auto"/>
        <w:rPr>
          <w:rFonts w:hAnsi="宋体"/>
          <w:u w:val="single"/>
        </w:rPr>
      </w:pPr>
      <w:r>
        <w:rPr>
          <w:rFonts w:hint="eastAsia" w:hAnsi="宋体"/>
        </w:rPr>
        <w:t xml:space="preserve">                                              开户名称：</w:t>
      </w:r>
    </w:p>
    <w:p>
      <w:pPr>
        <w:pStyle w:val="19"/>
        <w:spacing w:line="360" w:lineRule="auto"/>
        <w:rPr>
          <w:rFonts w:hAnsi="宋体"/>
          <w:u w:val="single"/>
        </w:rPr>
      </w:pPr>
      <w:r>
        <w:rPr>
          <w:rFonts w:hint="eastAsia" w:hAnsi="宋体"/>
        </w:rPr>
        <w:t xml:space="preserve">                                              银行账号：</w:t>
      </w:r>
    </w:p>
    <w:p>
      <w:pPr>
        <w:pStyle w:val="19"/>
        <w:spacing w:line="360" w:lineRule="auto"/>
        <w:ind w:left="178" w:leftChars="85"/>
        <w:rPr>
          <w:rFonts w:hAnsi="宋体"/>
        </w:rPr>
      </w:pPr>
    </w:p>
    <w:p>
      <w:pPr>
        <w:pStyle w:val="19"/>
        <w:spacing w:line="360" w:lineRule="auto"/>
        <w:ind w:left="178" w:leftChars="85"/>
        <w:rPr>
          <w:rFonts w:hAnsi="宋体"/>
        </w:rPr>
      </w:pPr>
    </w:p>
    <w:p>
      <w:pPr>
        <w:pStyle w:val="19"/>
        <w:spacing w:line="360" w:lineRule="auto"/>
        <w:rPr>
          <w:rFonts w:hAnsi="宋体"/>
        </w:rPr>
      </w:pPr>
      <w:r>
        <w:rPr>
          <w:rFonts w:hint="eastAsia" w:hAnsi="宋体"/>
        </w:rPr>
        <w:t>合同签订地点：广西</w:t>
      </w:r>
      <w:r>
        <w:rPr>
          <w:rFonts w:hint="eastAsia" w:hAnsi="宋体"/>
          <w:lang w:val="en-US" w:eastAsia="zh-CN"/>
        </w:rPr>
        <w:t>龙州</w:t>
      </w:r>
      <w:r>
        <w:rPr>
          <w:rFonts w:hint="eastAsia" w:hAnsi="宋体"/>
        </w:rPr>
        <w:t xml:space="preserve">县 </w:t>
      </w:r>
    </w:p>
    <w:p>
      <w:pPr>
        <w:pStyle w:val="19"/>
        <w:spacing w:line="360" w:lineRule="auto"/>
        <w:rPr>
          <w:rFonts w:hAnsi="宋体"/>
        </w:rPr>
      </w:pPr>
      <w:r>
        <w:rPr>
          <w:rFonts w:hint="eastAsia" w:hAnsi="宋体"/>
        </w:rPr>
        <w:t>合同签订日期：年月日</w:t>
      </w:r>
    </w:p>
    <w:p>
      <w:pPr>
        <w:pStyle w:val="19"/>
        <w:spacing w:line="360" w:lineRule="auto"/>
        <w:rPr>
          <w:rFonts w:hAnsi="宋体"/>
        </w:rPr>
      </w:pPr>
    </w:p>
    <w:p>
      <w:pPr>
        <w:pStyle w:val="19"/>
        <w:spacing w:line="360" w:lineRule="auto"/>
        <w:rPr>
          <w:rFonts w:hAnsi="宋体"/>
        </w:rPr>
      </w:pPr>
    </w:p>
    <w:p>
      <w:pPr>
        <w:pStyle w:val="19"/>
        <w:spacing w:line="360" w:lineRule="auto"/>
        <w:rPr>
          <w:rFonts w:hAnsi="宋体"/>
        </w:rPr>
      </w:pPr>
    </w:p>
    <w:p>
      <w:pPr>
        <w:snapToGrid w:val="0"/>
        <w:rPr>
          <w:rFonts w:hAnsi="宋体"/>
        </w:rPr>
      </w:pPr>
    </w:p>
    <w:p>
      <w:pPr>
        <w:pStyle w:val="19"/>
        <w:spacing w:line="360" w:lineRule="auto"/>
        <w:rPr>
          <w:rFonts w:hAnsi="宋体"/>
        </w:rPr>
      </w:pPr>
    </w:p>
    <w:p>
      <w:pPr>
        <w:pStyle w:val="19"/>
        <w:ind w:firstLine="400"/>
        <w:jc w:val="center"/>
        <w:outlineLvl w:val="0"/>
        <w:rPr>
          <w:rFonts w:hAnsi="宋体"/>
          <w:b/>
          <w:sz w:val="32"/>
          <w:szCs w:val="32"/>
        </w:rPr>
      </w:pPr>
    </w:p>
    <w:p>
      <w:pPr>
        <w:pStyle w:val="19"/>
        <w:ind w:firstLine="400"/>
        <w:jc w:val="both"/>
        <w:outlineLvl w:val="0"/>
        <w:rPr>
          <w:rFonts w:hAnsi="宋体"/>
          <w:b/>
          <w:sz w:val="32"/>
          <w:szCs w:val="32"/>
        </w:rPr>
      </w:pPr>
    </w:p>
    <w:p>
      <w:pPr>
        <w:pStyle w:val="19"/>
        <w:ind w:firstLine="400"/>
        <w:jc w:val="both"/>
        <w:outlineLvl w:val="0"/>
        <w:rPr>
          <w:rFonts w:hAnsi="宋体"/>
          <w:b/>
          <w:sz w:val="32"/>
          <w:szCs w:val="32"/>
        </w:rPr>
      </w:pPr>
    </w:p>
    <w:p>
      <w:pPr>
        <w:pStyle w:val="19"/>
        <w:ind w:firstLine="400"/>
        <w:jc w:val="both"/>
        <w:outlineLvl w:val="0"/>
        <w:rPr>
          <w:rFonts w:hAnsi="宋体"/>
          <w:b/>
          <w:sz w:val="32"/>
          <w:szCs w:val="32"/>
        </w:rPr>
      </w:pPr>
    </w:p>
    <w:p>
      <w:pPr>
        <w:pStyle w:val="19"/>
        <w:ind w:firstLine="400"/>
        <w:jc w:val="both"/>
        <w:outlineLvl w:val="0"/>
        <w:rPr>
          <w:rFonts w:hAnsi="宋体"/>
          <w:b/>
          <w:sz w:val="32"/>
          <w:szCs w:val="32"/>
        </w:rPr>
      </w:pPr>
    </w:p>
    <w:p>
      <w:pPr>
        <w:pStyle w:val="19"/>
        <w:ind w:firstLine="400"/>
        <w:jc w:val="both"/>
        <w:outlineLvl w:val="0"/>
        <w:rPr>
          <w:rFonts w:hAnsi="宋体"/>
          <w:b/>
          <w:sz w:val="32"/>
          <w:szCs w:val="32"/>
        </w:rPr>
      </w:pPr>
    </w:p>
    <w:p>
      <w:pPr>
        <w:pStyle w:val="19"/>
        <w:ind w:firstLine="400"/>
        <w:jc w:val="center"/>
        <w:outlineLvl w:val="0"/>
        <w:rPr>
          <w:rFonts w:hAnsi="宋体"/>
          <w:b/>
          <w:sz w:val="32"/>
          <w:szCs w:val="32"/>
        </w:rPr>
      </w:pPr>
    </w:p>
    <w:bookmarkEnd w:id="65"/>
    <w:bookmarkEnd w:id="66"/>
    <w:p>
      <w:pPr>
        <w:pStyle w:val="3"/>
        <w:rPr>
          <w:rFonts w:ascii="宋体" w:hAnsi="宋体"/>
        </w:rPr>
      </w:pPr>
      <w:bookmarkStart w:id="67" w:name="_Toc532542992"/>
      <w:bookmarkStart w:id="68" w:name="_Toc57749789"/>
      <w:r>
        <w:rPr>
          <w:rFonts w:hint="eastAsia" w:ascii="宋体" w:hAnsi="宋体"/>
        </w:rPr>
        <w:t>第七章  质疑材料格式</w:t>
      </w:r>
      <w:bookmarkEnd w:id="67"/>
      <w:bookmarkEnd w:id="68"/>
    </w:p>
    <w:p>
      <w:pPr>
        <w:jc w:val="center"/>
        <w:rPr>
          <w:rFonts w:ascii="宋体" w:hAnsi="宋体"/>
          <w:b/>
          <w:sz w:val="27"/>
        </w:rPr>
      </w:pPr>
      <w:bookmarkStart w:id="69" w:name="_Toc532542993"/>
      <w:r>
        <w:rPr>
          <w:rFonts w:hint="eastAsia" w:ascii="宋体" w:hAnsi="宋体"/>
          <w:b/>
          <w:sz w:val="36"/>
          <w:szCs w:val="30"/>
        </w:rPr>
        <w:t>一</w:t>
      </w:r>
      <w:r>
        <w:rPr>
          <w:rFonts w:ascii="宋体" w:hAnsi="宋体"/>
          <w:b/>
          <w:sz w:val="27"/>
        </w:rPr>
        <w:t>质疑函（格式）</w:t>
      </w:r>
      <w:bookmarkEnd w:id="69"/>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一、被质疑人：                           （采购人、采购代理机构2选1）</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二、质疑环节：                  （采购需求、资格审查、中标或者成交结果、采购执行程序4选 1）</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三、</w:t>
      </w:r>
      <w:r>
        <w:rPr>
          <w:rFonts w:hint="eastAsia" w:ascii="宋体" w:hAnsi="宋体"/>
          <w:szCs w:val="21"/>
        </w:rPr>
        <w:t>质疑供应商基本信息</w:t>
      </w:r>
    </w:p>
    <w:p>
      <w:pPr>
        <w:widowControl/>
        <w:shd w:val="clear" w:color="auto" w:fill="FFFFFF"/>
        <w:spacing w:line="260" w:lineRule="exact"/>
        <w:jc w:val="left"/>
        <w:rPr>
          <w:rFonts w:ascii="宋体" w:hAnsi="宋体" w:cs="宋体"/>
          <w:kern w:val="0"/>
          <w:szCs w:val="21"/>
        </w:rPr>
      </w:pPr>
      <w:r>
        <w:rPr>
          <w:rFonts w:ascii="宋体" w:hAnsi="宋体" w:cs="宋体"/>
          <w:bCs/>
          <w:kern w:val="0"/>
          <w:szCs w:val="21"/>
        </w:rPr>
        <w:t>1.</w:t>
      </w:r>
      <w:r>
        <w:rPr>
          <w:rFonts w:hint="eastAsia" w:ascii="宋体" w:hAnsi="宋体" w:cs="宋体"/>
          <w:bCs/>
          <w:kern w:val="0"/>
          <w:szCs w:val="21"/>
        </w:rPr>
        <w:t>质疑供应商名称：</w:t>
      </w:r>
      <w:r>
        <w:rPr>
          <w:rFonts w:ascii="宋体" w:hAnsi="宋体" w:cs="宋体"/>
          <w:bCs/>
          <w:kern w:val="0"/>
          <w:szCs w:val="21"/>
          <w:u w:val="single"/>
        </w:rPr>
        <w:t>                                </w:t>
      </w:r>
    </w:p>
    <w:p>
      <w:pPr>
        <w:widowControl/>
        <w:shd w:val="clear" w:color="auto" w:fill="FFFFFF"/>
        <w:spacing w:line="260" w:lineRule="exact"/>
        <w:jc w:val="left"/>
        <w:rPr>
          <w:rFonts w:ascii="宋体" w:hAnsi="宋体" w:cs="宋体"/>
          <w:kern w:val="0"/>
          <w:szCs w:val="21"/>
          <w:u w:val="single"/>
        </w:rPr>
      </w:pPr>
      <w:r>
        <w:rPr>
          <w:rFonts w:hint="eastAsia" w:ascii="宋体" w:hAnsi="宋体" w:cs="宋体"/>
          <w:kern w:val="0"/>
          <w:szCs w:val="21"/>
        </w:rPr>
        <w:t>地址：</w:t>
      </w:r>
      <w:r>
        <w:rPr>
          <w:rFonts w:ascii="宋体" w:hAnsi="宋体" w:cs="宋体"/>
          <w:kern w:val="0"/>
          <w:szCs w:val="21"/>
          <w:u w:val="single"/>
        </w:rPr>
        <w:t>                                     </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邮政编码：</w:t>
      </w:r>
      <w:r>
        <w:rPr>
          <w:rFonts w:ascii="宋体" w:hAnsi="宋体" w:cs="宋体"/>
          <w:kern w:val="0"/>
          <w:szCs w:val="21"/>
          <w:u w:val="single"/>
        </w:rPr>
        <w:t>                 </w:t>
      </w:r>
      <w:r>
        <w:rPr>
          <w:rFonts w:ascii="宋体" w:hAnsi="宋体" w:cs="宋体"/>
          <w:kern w:val="0"/>
          <w:szCs w:val="21"/>
        </w:rPr>
        <w:t> </w:t>
      </w:r>
    </w:p>
    <w:p>
      <w:pPr>
        <w:widowControl/>
        <w:shd w:val="clear" w:color="auto" w:fill="FFFFFF"/>
        <w:spacing w:line="260" w:lineRule="exact"/>
        <w:jc w:val="left"/>
        <w:rPr>
          <w:rFonts w:ascii="宋体" w:hAnsi="宋体" w:cs="宋体"/>
          <w:bCs/>
          <w:kern w:val="0"/>
          <w:szCs w:val="21"/>
        </w:rPr>
      </w:pPr>
      <w:r>
        <w:rPr>
          <w:rFonts w:hint="eastAsia" w:ascii="宋体" w:hAnsi="宋体" w:cs="宋体"/>
          <w:bCs/>
          <w:kern w:val="0"/>
          <w:szCs w:val="21"/>
        </w:rPr>
        <w:t>联系人：</w:t>
      </w:r>
      <w:r>
        <w:rPr>
          <w:rFonts w:ascii="宋体" w:hAnsi="宋体" w:cs="宋体"/>
          <w:kern w:val="0"/>
          <w:szCs w:val="21"/>
          <w:u w:val="single"/>
        </w:rPr>
        <w:t>               </w:t>
      </w:r>
    </w:p>
    <w:p>
      <w:pPr>
        <w:widowControl/>
        <w:shd w:val="clear" w:color="auto" w:fill="FFFFFF"/>
        <w:spacing w:line="260" w:lineRule="exact"/>
        <w:jc w:val="left"/>
        <w:rPr>
          <w:rFonts w:ascii="宋体" w:hAnsi="宋体" w:cs="宋体"/>
          <w:kern w:val="0"/>
          <w:szCs w:val="21"/>
          <w:u w:val="single"/>
        </w:rPr>
      </w:pPr>
      <w:r>
        <w:rPr>
          <w:rFonts w:hint="eastAsia" w:ascii="宋体" w:hAnsi="宋体" w:cs="宋体"/>
          <w:kern w:val="0"/>
          <w:szCs w:val="21"/>
        </w:rPr>
        <w:t>联系电话：</w:t>
      </w:r>
      <w:r>
        <w:rPr>
          <w:rFonts w:ascii="宋体" w:hAnsi="宋体" w:cs="宋体"/>
          <w:kern w:val="0"/>
          <w:szCs w:val="21"/>
          <w:u w:val="single"/>
        </w:rPr>
        <w:t>                      </w:t>
      </w:r>
    </w:p>
    <w:p>
      <w:pPr>
        <w:widowControl/>
        <w:shd w:val="clear" w:color="auto" w:fill="FFFFFF"/>
        <w:spacing w:line="260" w:lineRule="exact"/>
        <w:jc w:val="left"/>
        <w:rPr>
          <w:rFonts w:ascii="宋体" w:hAnsi="宋体" w:cs="宋体"/>
          <w:kern w:val="0"/>
          <w:szCs w:val="21"/>
        </w:rPr>
      </w:pPr>
    </w:p>
    <w:p>
      <w:pPr>
        <w:widowControl/>
        <w:shd w:val="clear" w:color="auto" w:fill="FFFFFF"/>
        <w:spacing w:line="260" w:lineRule="exact"/>
        <w:jc w:val="left"/>
        <w:rPr>
          <w:rFonts w:ascii="宋体" w:hAnsi="宋体" w:cs="黑体"/>
          <w:sz w:val="32"/>
          <w:szCs w:val="32"/>
        </w:rPr>
      </w:pPr>
      <w:r>
        <w:rPr>
          <w:rFonts w:hint="eastAsia" w:ascii="宋体" w:hAnsi="宋体" w:cs="宋体"/>
          <w:kern w:val="0"/>
          <w:szCs w:val="21"/>
        </w:rPr>
        <w:t>四、质疑项目基本情况</w:t>
      </w:r>
    </w:p>
    <w:p>
      <w:pPr>
        <w:widowControl/>
        <w:shd w:val="clear" w:color="auto" w:fill="FFFFFF"/>
        <w:spacing w:line="260" w:lineRule="exact"/>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质疑项目的名称</w:t>
      </w:r>
      <w:r>
        <w:rPr>
          <w:rFonts w:ascii="宋体" w:hAnsi="宋体" w:cs="宋体"/>
          <w:b/>
          <w:bCs/>
          <w:kern w:val="0"/>
          <w:szCs w:val="21"/>
          <w:u w:val="single"/>
        </w:rPr>
        <w:t> </w:t>
      </w:r>
      <w:r>
        <w:rPr>
          <w:rFonts w:hint="eastAsia" w:ascii="宋体" w:hAnsi="宋体" w:cs="宋体"/>
          <w:b/>
          <w:bCs/>
          <w:kern w:val="0"/>
          <w:szCs w:val="21"/>
          <w:u w:val="single"/>
        </w:rPr>
        <w:t>：</w:t>
      </w:r>
      <w:r>
        <w:rPr>
          <w:rFonts w:ascii="宋体" w:hAnsi="宋体" w:cs="宋体"/>
          <w:b/>
          <w:bCs/>
          <w:kern w:val="0"/>
          <w:szCs w:val="21"/>
          <w:u w:val="single"/>
        </w:rPr>
        <w:t>                               </w:t>
      </w:r>
    </w:p>
    <w:p>
      <w:pPr>
        <w:widowControl/>
        <w:shd w:val="clear" w:color="auto" w:fill="FFFFFF"/>
        <w:spacing w:line="260" w:lineRule="exact"/>
        <w:jc w:val="left"/>
        <w:rPr>
          <w:rFonts w:ascii="宋体" w:hAnsi="宋体" w:cs="宋体"/>
          <w:b/>
          <w:bCs/>
          <w:kern w:val="0"/>
          <w:szCs w:val="21"/>
          <w:u w:val="single"/>
        </w:rPr>
      </w:pPr>
      <w:r>
        <w:rPr>
          <w:rFonts w:ascii="宋体" w:hAnsi="宋体" w:cs="宋体"/>
          <w:kern w:val="0"/>
          <w:szCs w:val="21"/>
        </w:rPr>
        <w:t>2.</w:t>
      </w:r>
      <w:r>
        <w:rPr>
          <w:rFonts w:hint="eastAsia" w:ascii="宋体" w:hAnsi="宋体" w:cs="宋体"/>
          <w:kern w:val="0"/>
          <w:szCs w:val="21"/>
        </w:rPr>
        <w:t>质疑项目的编号：</w:t>
      </w:r>
      <w:r>
        <w:rPr>
          <w:rFonts w:ascii="宋体" w:hAnsi="宋体" w:cs="宋体"/>
          <w:b/>
          <w:bCs/>
          <w:kern w:val="0"/>
          <w:szCs w:val="21"/>
          <w:u w:val="single"/>
        </w:rPr>
        <w:t>                                </w:t>
      </w:r>
    </w:p>
    <w:p>
      <w:pPr>
        <w:widowControl/>
        <w:shd w:val="clear" w:color="auto" w:fill="FFFFFF"/>
        <w:spacing w:line="260" w:lineRule="exact"/>
        <w:jc w:val="left"/>
        <w:rPr>
          <w:rFonts w:ascii="宋体" w:hAnsi="宋体" w:cs="宋体"/>
          <w:kern w:val="0"/>
          <w:szCs w:val="21"/>
        </w:rPr>
      </w:pPr>
      <w:r>
        <w:rPr>
          <w:rFonts w:ascii="宋体" w:hAnsi="宋体" w:cs="宋体"/>
          <w:bCs/>
          <w:kern w:val="0"/>
          <w:szCs w:val="21"/>
        </w:rPr>
        <w:t>3.</w:t>
      </w:r>
      <w:r>
        <w:rPr>
          <w:rFonts w:hint="eastAsia" w:ascii="宋体" w:hAnsi="宋体" w:cs="宋体"/>
          <w:kern w:val="0"/>
          <w:szCs w:val="21"/>
        </w:rPr>
        <w:t>质疑项目的分标号：</w:t>
      </w:r>
      <w:r>
        <w:rPr>
          <w:rFonts w:ascii="宋体" w:hAnsi="宋体" w:cs="宋体"/>
          <w:b/>
          <w:bCs/>
          <w:kern w:val="0"/>
          <w:szCs w:val="21"/>
          <w:u w:val="single"/>
        </w:rPr>
        <w:t>                               </w:t>
      </w:r>
    </w:p>
    <w:p>
      <w:pPr>
        <w:snapToGrid w:val="0"/>
        <w:spacing w:line="260" w:lineRule="exact"/>
        <w:outlineLvl w:val="0"/>
        <w:rPr>
          <w:rFonts w:ascii="宋体" w:hAnsi="宋体" w:cs="宋体"/>
          <w:kern w:val="0"/>
          <w:szCs w:val="21"/>
        </w:rPr>
      </w:pPr>
    </w:p>
    <w:p>
      <w:pPr>
        <w:rPr>
          <w:rFonts w:ascii="宋体" w:hAnsi="宋体"/>
        </w:rPr>
      </w:pPr>
      <w:r>
        <w:rPr>
          <w:rFonts w:hint="eastAsia" w:ascii="宋体" w:hAnsi="宋体"/>
        </w:rPr>
        <w:t>五、质疑事项具体内容</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质疑事项</w:t>
      </w:r>
      <w:r>
        <w:rPr>
          <w:rFonts w:ascii="宋体" w:hAnsi="宋体" w:cs="宋体"/>
          <w:kern w:val="0"/>
          <w:szCs w:val="21"/>
        </w:rPr>
        <w:t>1</w:t>
      </w:r>
      <w:r>
        <w:rPr>
          <w:rFonts w:hint="eastAsia" w:ascii="宋体" w:hAnsi="宋体" w:cs="宋体"/>
          <w:kern w:val="0"/>
          <w:szCs w:val="21"/>
        </w:rPr>
        <w:t>：</w:t>
      </w:r>
      <w:r>
        <w:rPr>
          <w:rFonts w:ascii="宋体" w:hAnsi="宋体" w:cs="宋体"/>
          <w:bCs/>
          <w:kern w:val="0"/>
          <w:szCs w:val="21"/>
          <w:u w:val="single"/>
        </w:rPr>
        <w:t>                                                                                    </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质疑事项</w:t>
      </w:r>
      <w:r>
        <w:rPr>
          <w:rFonts w:ascii="宋体" w:hAnsi="宋体" w:cs="宋体"/>
          <w:kern w:val="0"/>
          <w:szCs w:val="21"/>
        </w:rPr>
        <w:t>1</w:t>
      </w:r>
      <w:r>
        <w:rPr>
          <w:rFonts w:hint="eastAsia" w:ascii="宋体" w:hAnsi="宋体" w:cs="宋体"/>
          <w:kern w:val="0"/>
          <w:szCs w:val="21"/>
        </w:rPr>
        <w:t>的事实依据：</w:t>
      </w:r>
      <w:r>
        <w:rPr>
          <w:rFonts w:ascii="宋体" w:hAnsi="宋体" w:cs="宋体"/>
          <w:bCs/>
          <w:kern w:val="0"/>
          <w:szCs w:val="21"/>
          <w:u w:val="single"/>
        </w:rPr>
        <w:t xml:space="preserve">                                                                  </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质疑事项</w:t>
      </w:r>
      <w:r>
        <w:rPr>
          <w:rFonts w:ascii="宋体" w:hAnsi="宋体" w:cs="宋体"/>
          <w:kern w:val="0"/>
          <w:szCs w:val="21"/>
        </w:rPr>
        <w:t>1</w:t>
      </w:r>
      <w:r>
        <w:rPr>
          <w:rFonts w:hint="eastAsia" w:ascii="宋体" w:hAnsi="宋体" w:cs="宋体"/>
          <w:kern w:val="0"/>
          <w:szCs w:val="21"/>
        </w:rPr>
        <w:t>的法律依据：</w:t>
      </w:r>
      <w:r>
        <w:rPr>
          <w:rFonts w:ascii="宋体" w:hAnsi="宋体" w:cs="宋体"/>
          <w:bCs/>
          <w:kern w:val="0"/>
          <w:szCs w:val="21"/>
          <w:u w:val="single"/>
        </w:rPr>
        <w:t xml:space="preserve">                                                               </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质疑事项</w:t>
      </w:r>
      <w:r>
        <w:rPr>
          <w:rFonts w:ascii="宋体" w:hAnsi="宋体" w:cs="宋体"/>
          <w:kern w:val="0"/>
          <w:szCs w:val="21"/>
        </w:rPr>
        <w:t>1</w:t>
      </w:r>
      <w:r>
        <w:rPr>
          <w:rFonts w:hint="eastAsia" w:ascii="宋体" w:hAnsi="宋体" w:cs="宋体"/>
          <w:kern w:val="0"/>
          <w:szCs w:val="21"/>
        </w:rPr>
        <w:t>的相关请求：</w:t>
      </w:r>
      <w:r>
        <w:rPr>
          <w:rFonts w:ascii="宋体" w:hAnsi="宋体" w:cs="宋体"/>
          <w:bCs/>
          <w:kern w:val="0"/>
          <w:szCs w:val="21"/>
          <w:u w:val="single"/>
        </w:rPr>
        <w:t xml:space="preserve">                                                                  </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质疑事项</w:t>
      </w:r>
      <w:r>
        <w:rPr>
          <w:rFonts w:ascii="宋体" w:hAnsi="宋体" w:cs="宋体"/>
          <w:kern w:val="0"/>
          <w:szCs w:val="21"/>
        </w:rPr>
        <w:t>2</w:t>
      </w:r>
      <w:r>
        <w:rPr>
          <w:rFonts w:hint="eastAsia" w:ascii="宋体" w:hAnsi="宋体" w:cs="宋体"/>
          <w:kern w:val="0"/>
          <w:szCs w:val="21"/>
        </w:rPr>
        <w:t>：</w:t>
      </w:r>
      <w:r>
        <w:rPr>
          <w:rFonts w:ascii="宋体" w:hAnsi="宋体" w:cs="宋体"/>
          <w:bCs/>
          <w:kern w:val="0"/>
          <w:szCs w:val="21"/>
          <w:u w:val="single"/>
        </w:rPr>
        <w:t>                                                                                    </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质疑事项</w:t>
      </w:r>
      <w:r>
        <w:rPr>
          <w:rFonts w:ascii="宋体" w:hAnsi="宋体" w:cs="宋体"/>
          <w:kern w:val="0"/>
          <w:szCs w:val="21"/>
        </w:rPr>
        <w:t>2</w:t>
      </w:r>
      <w:r>
        <w:rPr>
          <w:rFonts w:hint="eastAsia" w:ascii="宋体" w:hAnsi="宋体" w:cs="宋体"/>
          <w:kern w:val="0"/>
          <w:szCs w:val="21"/>
        </w:rPr>
        <w:t>的事实依据：</w:t>
      </w:r>
      <w:r>
        <w:rPr>
          <w:rFonts w:ascii="宋体" w:hAnsi="宋体" w:cs="宋体"/>
          <w:bCs/>
          <w:kern w:val="0"/>
          <w:szCs w:val="21"/>
          <w:u w:val="single"/>
        </w:rPr>
        <w:t xml:space="preserve">                                                                  </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质疑事项</w:t>
      </w:r>
      <w:r>
        <w:rPr>
          <w:rFonts w:ascii="宋体" w:hAnsi="宋体" w:cs="宋体"/>
          <w:kern w:val="0"/>
          <w:szCs w:val="21"/>
        </w:rPr>
        <w:t>2</w:t>
      </w:r>
      <w:r>
        <w:rPr>
          <w:rFonts w:hint="eastAsia" w:ascii="宋体" w:hAnsi="宋体" w:cs="宋体"/>
          <w:kern w:val="0"/>
          <w:szCs w:val="21"/>
        </w:rPr>
        <w:t>的法律依据：</w:t>
      </w:r>
      <w:r>
        <w:rPr>
          <w:rFonts w:ascii="宋体" w:hAnsi="宋体" w:cs="宋体"/>
          <w:bCs/>
          <w:kern w:val="0"/>
          <w:szCs w:val="21"/>
          <w:u w:val="single"/>
        </w:rPr>
        <w:t xml:space="preserve">                                                               </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质疑事项</w:t>
      </w:r>
      <w:r>
        <w:rPr>
          <w:rFonts w:ascii="宋体" w:hAnsi="宋体" w:cs="宋体"/>
          <w:kern w:val="0"/>
          <w:szCs w:val="21"/>
        </w:rPr>
        <w:t>2</w:t>
      </w:r>
      <w:r>
        <w:rPr>
          <w:rFonts w:hint="eastAsia" w:ascii="宋体" w:hAnsi="宋体" w:cs="宋体"/>
          <w:kern w:val="0"/>
          <w:szCs w:val="21"/>
        </w:rPr>
        <w:t>的相关请求：</w:t>
      </w:r>
      <w:r>
        <w:rPr>
          <w:rFonts w:ascii="宋体" w:hAnsi="宋体" w:cs="宋体"/>
          <w:bCs/>
          <w:kern w:val="0"/>
          <w:szCs w:val="21"/>
          <w:u w:val="single"/>
        </w:rPr>
        <w:t xml:space="preserve">                                                                  </w:t>
      </w:r>
    </w:p>
    <w:p>
      <w:pPr>
        <w:shd w:val="clear" w:color="auto" w:fill="FFFFFF"/>
        <w:spacing w:line="260" w:lineRule="exact"/>
        <w:rPr>
          <w:rFonts w:ascii="宋体" w:hAnsi="宋体" w:cs="宋体"/>
          <w:kern w:val="0"/>
          <w:szCs w:val="21"/>
        </w:rPr>
      </w:pPr>
      <w:r>
        <w:rPr>
          <w:rFonts w:hint="eastAsia" w:ascii="宋体" w:hAnsi="宋体" w:cs="宋体"/>
          <w:kern w:val="0"/>
          <w:szCs w:val="21"/>
        </w:rPr>
        <w:t>……</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六、附件材料目录（材料附后）</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营业执照副本内页复印件（要求证件有效并清晰反映企业法人经营范围）</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2</w:t>
      </w:r>
      <w:r>
        <w:rPr>
          <w:rFonts w:ascii="宋体" w:hAnsi="宋体" w:cs="宋体"/>
          <w:kern w:val="0"/>
          <w:szCs w:val="21"/>
        </w:rPr>
        <w:t>.</w:t>
      </w:r>
      <w:r>
        <w:rPr>
          <w:rFonts w:hint="eastAsia" w:ascii="宋体" w:hAnsi="宋体" w:cs="宋体"/>
          <w:kern w:val="0"/>
          <w:szCs w:val="21"/>
        </w:rPr>
        <w:t>近期连续三个月依法缴纳税收证明材料（复印件）</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近期连续三个月在职职工依法缴纳社会保障资金证明材料（复印件）</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七、委托代理时还应提交的材料目录（材料附后）</w:t>
      </w:r>
    </w:p>
    <w:p>
      <w:pPr>
        <w:widowControl/>
        <w:shd w:val="clear" w:color="auto" w:fill="FFFFFF"/>
        <w:spacing w:line="260" w:lineRule="exact"/>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质疑供应商的授权委托书原件</w:t>
      </w:r>
      <w:r>
        <w:rPr>
          <w:rFonts w:ascii="宋体" w:hAnsi="宋体" w:cs="宋体"/>
          <w:kern w:val="0"/>
          <w:szCs w:val="21"/>
        </w:rPr>
        <w:t>1</w:t>
      </w:r>
      <w:r>
        <w:rPr>
          <w:rFonts w:hint="eastAsia" w:ascii="宋体" w:hAnsi="宋体" w:cs="宋体"/>
          <w:kern w:val="0"/>
          <w:szCs w:val="21"/>
        </w:rPr>
        <w:t>份</w:t>
      </w:r>
    </w:p>
    <w:p>
      <w:pPr>
        <w:widowControl/>
        <w:shd w:val="clear" w:color="auto" w:fill="FFFFFF"/>
        <w:spacing w:line="260" w:lineRule="exact"/>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委托代理人身份证明复印件</w:t>
      </w:r>
      <w:r>
        <w:rPr>
          <w:rFonts w:ascii="宋体" w:hAnsi="宋体" w:cs="宋体"/>
          <w:kern w:val="0"/>
          <w:szCs w:val="21"/>
        </w:rPr>
        <w:t>1</w:t>
      </w:r>
      <w:r>
        <w:rPr>
          <w:rFonts w:hint="eastAsia" w:ascii="宋体" w:hAnsi="宋体" w:cs="宋体"/>
          <w:kern w:val="0"/>
          <w:szCs w:val="21"/>
        </w:rPr>
        <w:t>份</w:t>
      </w:r>
    </w:p>
    <w:p>
      <w:pPr>
        <w:widowControl/>
        <w:shd w:val="clear" w:color="auto" w:fill="FFFFFF"/>
        <w:spacing w:line="260" w:lineRule="exact"/>
        <w:jc w:val="left"/>
        <w:rPr>
          <w:rFonts w:ascii="宋体" w:hAnsi="宋体" w:cs="宋体"/>
          <w:kern w:val="0"/>
          <w:szCs w:val="21"/>
        </w:rPr>
      </w:pPr>
      <w:r>
        <w:rPr>
          <w:rFonts w:ascii="宋体" w:hAnsi="宋体" w:cs="宋体"/>
          <w:kern w:val="0"/>
          <w:szCs w:val="21"/>
        </w:rPr>
        <w:t>3.</w:t>
      </w:r>
      <w:r>
        <w:rPr>
          <w:rFonts w:hint="eastAsia" w:ascii="宋体" w:hAnsi="宋体" w:cs="宋体"/>
          <w:kern w:val="0"/>
          <w:szCs w:val="21"/>
        </w:rPr>
        <w:t>委托代理人近期三个月社保缴费证明复印件</w:t>
      </w:r>
      <w:r>
        <w:rPr>
          <w:rFonts w:ascii="宋体" w:hAnsi="宋体" w:cs="宋体"/>
          <w:kern w:val="0"/>
          <w:szCs w:val="21"/>
        </w:rPr>
        <w:t>1</w:t>
      </w:r>
      <w:r>
        <w:rPr>
          <w:rFonts w:hint="eastAsia" w:ascii="宋体" w:hAnsi="宋体" w:cs="宋体"/>
          <w:kern w:val="0"/>
          <w:szCs w:val="21"/>
        </w:rPr>
        <w:t>份</w:t>
      </w:r>
    </w:p>
    <w:p>
      <w:pPr>
        <w:widowControl/>
        <w:shd w:val="clear" w:color="auto" w:fill="FFFFFF"/>
        <w:spacing w:line="260" w:lineRule="exact"/>
        <w:jc w:val="center"/>
        <w:rPr>
          <w:rFonts w:ascii="宋体" w:hAnsi="宋体" w:cs="宋体"/>
          <w:kern w:val="0"/>
          <w:szCs w:val="21"/>
        </w:rPr>
      </w:pPr>
    </w:p>
    <w:p>
      <w:pPr>
        <w:widowControl/>
        <w:shd w:val="clear" w:color="auto" w:fill="FFFFFF"/>
        <w:spacing w:line="260" w:lineRule="exact"/>
        <w:jc w:val="center"/>
        <w:rPr>
          <w:rFonts w:ascii="宋体" w:hAnsi="宋体" w:cs="宋体"/>
          <w:kern w:val="0"/>
          <w:szCs w:val="21"/>
        </w:rPr>
      </w:pPr>
      <w:r>
        <w:rPr>
          <w:rFonts w:hint="eastAsia" w:ascii="宋体" w:hAnsi="宋体" w:cs="宋体"/>
          <w:kern w:val="0"/>
          <w:szCs w:val="21"/>
        </w:rPr>
        <w:t>质疑供应商（公章）：</w:t>
      </w:r>
      <w:r>
        <w:rPr>
          <w:rFonts w:ascii="宋体" w:hAnsi="宋体" w:cs="宋体"/>
          <w:kern w:val="0"/>
          <w:szCs w:val="21"/>
        </w:rPr>
        <w:t>          </w:t>
      </w:r>
    </w:p>
    <w:p>
      <w:pPr>
        <w:widowControl/>
        <w:shd w:val="clear" w:color="auto" w:fill="FFFFFF"/>
        <w:spacing w:line="260" w:lineRule="exact"/>
        <w:jc w:val="center"/>
        <w:rPr>
          <w:rFonts w:ascii="宋体" w:hAnsi="宋体" w:cs="宋体"/>
          <w:kern w:val="0"/>
          <w:szCs w:val="21"/>
        </w:rPr>
      </w:pPr>
      <w:r>
        <w:rPr>
          <w:rFonts w:ascii="宋体" w:hAnsi="宋体" w:cs="宋体"/>
          <w:kern w:val="0"/>
          <w:szCs w:val="21"/>
        </w:rPr>
        <w:t> </w:t>
      </w:r>
    </w:p>
    <w:p>
      <w:pPr>
        <w:widowControl/>
        <w:shd w:val="clear" w:color="auto" w:fill="FFFFFF"/>
        <w:spacing w:line="260" w:lineRule="exact"/>
        <w:jc w:val="center"/>
        <w:rPr>
          <w:rFonts w:ascii="宋体" w:hAnsi="宋体" w:cs="宋体"/>
          <w:kern w:val="0"/>
          <w:szCs w:val="21"/>
        </w:rPr>
      </w:pPr>
      <w:r>
        <w:rPr>
          <w:rFonts w:hint="eastAsia" w:ascii="宋体" w:hAnsi="宋体" w:cs="宋体"/>
          <w:kern w:val="0"/>
          <w:szCs w:val="21"/>
        </w:rPr>
        <w:t>法定代表人或其委托代理人签字：</w:t>
      </w:r>
    </w:p>
    <w:p>
      <w:pPr>
        <w:widowControl/>
        <w:shd w:val="clear" w:color="auto" w:fill="FFFFFF"/>
        <w:spacing w:line="260" w:lineRule="exact"/>
        <w:jc w:val="center"/>
        <w:rPr>
          <w:rFonts w:ascii="宋体" w:hAnsi="宋体" w:cs="宋体"/>
          <w:kern w:val="0"/>
          <w:szCs w:val="21"/>
        </w:rPr>
      </w:pPr>
    </w:p>
    <w:p>
      <w:pPr>
        <w:widowControl/>
        <w:shd w:val="clear" w:color="auto" w:fill="FFFFFF"/>
        <w:spacing w:line="260" w:lineRule="exact"/>
        <w:ind w:firstLine="3885" w:firstLineChars="1850"/>
        <w:jc w:val="left"/>
        <w:rPr>
          <w:rFonts w:ascii="宋体" w:hAnsi="宋体" w:cs="宋体"/>
          <w:kern w:val="0"/>
          <w:szCs w:val="21"/>
        </w:rPr>
      </w:pPr>
      <w:r>
        <w:rPr>
          <w:rFonts w:hint="eastAsia" w:ascii="宋体" w:hAnsi="宋体" w:cs="宋体"/>
          <w:kern w:val="0"/>
          <w:szCs w:val="21"/>
        </w:rPr>
        <w:t>提起质疑的日期：年月日</w:t>
      </w:r>
    </w:p>
    <w:p>
      <w:pPr>
        <w:widowControl/>
        <w:shd w:val="clear" w:color="auto" w:fill="FFFFFF"/>
        <w:spacing w:line="260" w:lineRule="exact"/>
        <w:rPr>
          <w:rFonts w:ascii="宋体" w:hAnsi="宋体" w:cs="宋体"/>
          <w:kern w:val="0"/>
          <w:szCs w:val="21"/>
        </w:rPr>
      </w:pPr>
    </w:p>
    <w:p>
      <w:pPr>
        <w:widowControl/>
        <w:shd w:val="clear" w:color="auto" w:fill="FFFFFF"/>
        <w:spacing w:line="260" w:lineRule="exact"/>
        <w:ind w:left="630" w:hanging="630" w:hangingChars="300"/>
        <w:rPr>
          <w:rFonts w:ascii="宋体" w:hAnsi="宋体" w:cs="宋体"/>
          <w:kern w:val="0"/>
          <w:szCs w:val="21"/>
        </w:rPr>
      </w:pPr>
      <w:r>
        <w:rPr>
          <w:rFonts w:hint="eastAsia" w:ascii="宋体" w:hAnsi="宋体" w:cs="宋体"/>
          <w:kern w:val="0"/>
          <w:szCs w:val="21"/>
        </w:rPr>
        <w:t>说明：1.根据质疑环节填写“被质疑人：”。对采购文件中的采购需求（含资格要求、采购预算和评分办法）、采购过程中的资格审查，以及中标或者成交结果的质疑，“被质疑人：”处填写采购人名称；对采购文件中的采购执行程序、采购过程中的采购执行程序的质疑，“被质疑人：”处填写采购代理机构名称。</w:t>
      </w:r>
    </w:p>
    <w:p>
      <w:pPr>
        <w:widowControl/>
        <w:shd w:val="clear" w:color="auto" w:fill="FFFFFF"/>
        <w:spacing w:line="260" w:lineRule="exact"/>
        <w:ind w:firstLine="630" w:firstLineChars="300"/>
        <w:rPr>
          <w:rFonts w:ascii="宋体" w:hAnsi="宋体"/>
          <w:szCs w:val="21"/>
        </w:rPr>
      </w:pPr>
      <w:r>
        <w:rPr>
          <w:rFonts w:hint="eastAsia" w:ascii="宋体" w:hAnsi="宋体" w:cs="宋体"/>
          <w:kern w:val="0"/>
          <w:szCs w:val="21"/>
        </w:rPr>
        <w:t>2</w:t>
      </w:r>
      <w:r>
        <w:rPr>
          <w:rFonts w:ascii="宋体" w:hAnsi="宋体" w:cs="宋体"/>
          <w:kern w:val="0"/>
          <w:szCs w:val="21"/>
        </w:rPr>
        <w:t>.</w:t>
      </w:r>
      <w:r>
        <w:rPr>
          <w:rFonts w:hint="eastAsia" w:ascii="宋体" w:hAnsi="宋体" w:cs="宋体"/>
          <w:kern w:val="0"/>
          <w:szCs w:val="21"/>
        </w:rPr>
        <w:t>质疑事项的事实依据应</w:t>
      </w:r>
      <w:r>
        <w:rPr>
          <w:rFonts w:hint="eastAsia" w:ascii="宋体" w:hAnsi="宋体"/>
          <w:szCs w:val="21"/>
        </w:rPr>
        <w:t>列明权益受到损害的事实和理由；</w:t>
      </w:r>
    </w:p>
    <w:p>
      <w:pPr>
        <w:widowControl/>
        <w:shd w:val="clear" w:color="auto" w:fill="FFFFFF"/>
        <w:spacing w:line="260" w:lineRule="exact"/>
        <w:ind w:firstLine="630" w:firstLineChars="300"/>
        <w:rPr>
          <w:rFonts w:ascii="宋体" w:hAnsi="宋体" w:cs="宋体"/>
          <w:kern w:val="0"/>
          <w:szCs w:val="21"/>
        </w:rPr>
      </w:pPr>
      <w:r>
        <w:rPr>
          <w:rFonts w:hint="eastAsia" w:ascii="宋体" w:hAnsi="宋体"/>
          <w:szCs w:val="21"/>
        </w:rPr>
        <w:t>3</w:t>
      </w:r>
      <w:r>
        <w:rPr>
          <w:rFonts w:ascii="宋体" w:hAnsi="宋体"/>
          <w:szCs w:val="21"/>
        </w:rPr>
        <w:t>.</w:t>
      </w:r>
      <w:r>
        <w:rPr>
          <w:rFonts w:hint="eastAsia" w:ascii="宋体" w:hAnsi="宋体" w:cs="宋体"/>
          <w:kern w:val="0"/>
          <w:szCs w:val="21"/>
        </w:rPr>
        <w:t>质疑事项的法律依据应列明质疑事项违反法律法规的具体条款及内容。</w:t>
      </w:r>
    </w:p>
    <w:p>
      <w:pPr>
        <w:widowControl/>
        <w:adjustRightInd/>
        <w:spacing w:line="240" w:lineRule="auto"/>
        <w:jc w:val="left"/>
        <w:textAlignment w:val="auto"/>
        <w:rPr>
          <w:rFonts w:ascii="宋体" w:hAnsi="宋体"/>
          <w:b/>
          <w:sz w:val="36"/>
          <w:szCs w:val="30"/>
        </w:rPr>
      </w:pPr>
      <w:bookmarkStart w:id="70" w:name="_Toc532542994"/>
      <w:r>
        <w:rPr>
          <w:rFonts w:ascii="宋体" w:hAnsi="宋体"/>
          <w:b/>
          <w:sz w:val="36"/>
          <w:szCs w:val="30"/>
        </w:rPr>
        <w:br w:type="page"/>
      </w:r>
    </w:p>
    <w:p>
      <w:pPr>
        <w:jc w:val="center"/>
        <w:rPr>
          <w:rFonts w:ascii="宋体" w:hAnsi="宋体"/>
          <w:b/>
          <w:sz w:val="36"/>
          <w:szCs w:val="30"/>
        </w:rPr>
      </w:pPr>
      <w:r>
        <w:rPr>
          <w:rFonts w:hint="eastAsia" w:ascii="宋体" w:hAnsi="宋体"/>
          <w:b/>
          <w:sz w:val="36"/>
          <w:szCs w:val="30"/>
        </w:rPr>
        <w:t xml:space="preserve">二  </w:t>
      </w:r>
      <w:r>
        <w:rPr>
          <w:rFonts w:ascii="宋体" w:hAnsi="宋体"/>
          <w:b/>
          <w:sz w:val="36"/>
          <w:szCs w:val="30"/>
        </w:rPr>
        <w:t>质疑证明材料（格式）</w:t>
      </w:r>
      <w:bookmarkEnd w:id="70"/>
    </w:p>
    <w:p>
      <w:pPr>
        <w:widowControl/>
        <w:shd w:val="clear" w:color="auto" w:fill="FFFFFF"/>
        <w:spacing w:line="260" w:lineRule="exact"/>
        <w:jc w:val="left"/>
        <w:rPr>
          <w:rFonts w:ascii="宋体" w:hAnsi="宋体" w:cs="宋体"/>
          <w:kern w:val="0"/>
          <w:szCs w:val="21"/>
        </w:rPr>
      </w:pP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质疑项目的名称</w:t>
      </w:r>
      <w:r>
        <w:rPr>
          <w:rFonts w:hint="eastAsia" w:ascii="宋体" w:hAnsi="宋体" w:cs="宋体"/>
          <w:b/>
          <w:bCs/>
          <w:kern w:val="0"/>
          <w:szCs w:val="21"/>
          <w:u w:val="single"/>
        </w:rPr>
        <w:t>：</w:t>
      </w:r>
      <w:r>
        <w:rPr>
          <w:rFonts w:ascii="宋体" w:hAnsi="宋体" w:cs="宋体"/>
          <w:b/>
          <w:bCs/>
          <w:kern w:val="0"/>
          <w:szCs w:val="21"/>
          <w:u w:val="single"/>
        </w:rPr>
        <w:t>                               </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lang w:eastAsia="zh-CN"/>
        </w:rPr>
        <w:t>项目编号：</w:t>
      </w:r>
      <w:r>
        <w:rPr>
          <w:rFonts w:ascii="宋体" w:hAnsi="宋体" w:cs="宋体"/>
          <w:b/>
          <w:bCs/>
          <w:kern w:val="0"/>
          <w:szCs w:val="21"/>
          <w:u w:val="single"/>
        </w:rPr>
        <w:t>                                </w:t>
      </w:r>
    </w:p>
    <w:p>
      <w:pPr>
        <w:widowControl/>
        <w:shd w:val="clear" w:color="auto" w:fill="FFFFFF"/>
        <w:spacing w:line="260" w:lineRule="exact"/>
        <w:jc w:val="left"/>
        <w:rPr>
          <w:rFonts w:ascii="宋体" w:hAnsi="宋体" w:cs="宋体"/>
          <w:kern w:val="0"/>
          <w:szCs w:val="21"/>
        </w:rPr>
      </w:pP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一、质疑事项</w:t>
      </w:r>
      <w:r>
        <w:rPr>
          <w:rFonts w:ascii="宋体" w:hAnsi="宋体" w:cs="宋体"/>
          <w:kern w:val="0"/>
          <w:szCs w:val="21"/>
        </w:rPr>
        <w:t>1</w:t>
      </w:r>
      <w:r>
        <w:rPr>
          <w:rFonts w:hint="eastAsia" w:ascii="宋体" w:hAnsi="宋体" w:cs="宋体"/>
          <w:kern w:val="0"/>
          <w:szCs w:val="21"/>
        </w:rPr>
        <w:t>证明材料目录（证明材料附后，共</w:t>
      </w:r>
      <w:r>
        <w:rPr>
          <w:rFonts w:ascii="宋体" w:hAnsi="宋体" w:cs="宋体"/>
          <w:b/>
          <w:bCs/>
          <w:kern w:val="0"/>
          <w:szCs w:val="21"/>
          <w:u w:val="single"/>
        </w:rPr>
        <w:t>     </w:t>
      </w:r>
      <w:r>
        <w:rPr>
          <w:rFonts w:hint="eastAsia" w:ascii="宋体" w:hAnsi="宋体" w:cs="宋体"/>
          <w:kern w:val="0"/>
          <w:szCs w:val="21"/>
        </w:rPr>
        <w:t>页）</w:t>
      </w:r>
    </w:p>
    <w:p>
      <w:pPr>
        <w:widowControl/>
        <w:shd w:val="clear" w:color="auto" w:fill="FFFFFF"/>
        <w:spacing w:line="260" w:lineRule="exact"/>
        <w:jc w:val="left"/>
        <w:rPr>
          <w:rFonts w:ascii="宋体" w:hAnsi="宋体" w:cs="宋体"/>
          <w:kern w:val="0"/>
          <w:szCs w:val="21"/>
        </w:rPr>
      </w:pPr>
      <w:r>
        <w:rPr>
          <w:rFonts w:ascii="宋体" w:hAnsi="宋体" w:cs="宋体"/>
          <w:kern w:val="0"/>
          <w:szCs w:val="21"/>
        </w:rPr>
        <w:t>1.</w:t>
      </w:r>
      <w:r>
        <w:rPr>
          <w:rFonts w:ascii="宋体" w:hAnsi="宋体" w:cs="宋体"/>
          <w:b/>
          <w:bCs/>
          <w:kern w:val="0"/>
          <w:szCs w:val="21"/>
        </w:rPr>
        <w:t>……</w:t>
      </w:r>
    </w:p>
    <w:p>
      <w:pPr>
        <w:widowControl/>
        <w:shd w:val="clear" w:color="auto" w:fill="FFFFFF"/>
        <w:spacing w:line="260" w:lineRule="exact"/>
        <w:jc w:val="left"/>
        <w:rPr>
          <w:rFonts w:ascii="宋体" w:hAnsi="宋体" w:cs="宋体"/>
          <w:kern w:val="0"/>
          <w:szCs w:val="21"/>
        </w:rPr>
      </w:pPr>
      <w:r>
        <w:rPr>
          <w:rFonts w:ascii="宋体" w:hAnsi="宋体" w:cs="宋体"/>
          <w:kern w:val="0"/>
          <w:szCs w:val="21"/>
        </w:rPr>
        <w:t>2.</w:t>
      </w:r>
      <w:r>
        <w:rPr>
          <w:rFonts w:ascii="宋体" w:hAnsi="宋体" w:cs="宋体"/>
          <w:b/>
          <w:bCs/>
          <w:kern w:val="0"/>
          <w:szCs w:val="21"/>
        </w:rPr>
        <w:t>……</w:t>
      </w:r>
    </w:p>
    <w:p>
      <w:pPr>
        <w:widowControl/>
        <w:shd w:val="clear" w:color="auto" w:fill="FFFFFF"/>
        <w:spacing w:line="260" w:lineRule="exact"/>
        <w:jc w:val="left"/>
        <w:rPr>
          <w:rFonts w:ascii="宋体" w:hAnsi="宋体" w:cs="宋体"/>
          <w:b/>
          <w:bCs/>
          <w:kern w:val="0"/>
          <w:szCs w:val="21"/>
        </w:rPr>
      </w:pPr>
      <w:r>
        <w:rPr>
          <w:rFonts w:ascii="宋体" w:hAnsi="宋体" w:cs="宋体"/>
          <w:b/>
          <w:bCs/>
          <w:kern w:val="0"/>
          <w:szCs w:val="21"/>
        </w:rPr>
        <w:t>……</w:t>
      </w:r>
    </w:p>
    <w:p>
      <w:pPr>
        <w:widowControl/>
        <w:shd w:val="clear" w:color="auto" w:fill="FFFFFF"/>
        <w:spacing w:line="260" w:lineRule="exact"/>
        <w:jc w:val="left"/>
        <w:rPr>
          <w:rFonts w:ascii="宋体" w:hAnsi="宋体" w:cs="宋体"/>
          <w:kern w:val="0"/>
          <w:szCs w:val="21"/>
        </w:rPr>
      </w:pP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二、质疑事项</w:t>
      </w:r>
      <w:r>
        <w:rPr>
          <w:rFonts w:ascii="宋体" w:hAnsi="宋体" w:cs="宋体"/>
          <w:kern w:val="0"/>
          <w:szCs w:val="21"/>
        </w:rPr>
        <w:t>2</w:t>
      </w:r>
      <w:r>
        <w:rPr>
          <w:rFonts w:hint="eastAsia" w:ascii="宋体" w:hAnsi="宋体" w:cs="宋体"/>
          <w:kern w:val="0"/>
          <w:szCs w:val="21"/>
        </w:rPr>
        <w:t>证明材料目录（证明材料附后，共</w:t>
      </w:r>
      <w:r>
        <w:rPr>
          <w:rFonts w:ascii="宋体" w:hAnsi="宋体" w:cs="宋体"/>
          <w:b/>
          <w:bCs/>
          <w:kern w:val="0"/>
          <w:szCs w:val="21"/>
          <w:u w:val="single"/>
        </w:rPr>
        <w:t>     </w:t>
      </w:r>
      <w:r>
        <w:rPr>
          <w:rFonts w:hint="eastAsia" w:ascii="宋体" w:hAnsi="宋体" w:cs="宋体"/>
          <w:kern w:val="0"/>
          <w:szCs w:val="21"/>
        </w:rPr>
        <w:t>页）</w:t>
      </w:r>
    </w:p>
    <w:p>
      <w:pPr>
        <w:widowControl/>
        <w:shd w:val="clear" w:color="auto" w:fill="FFFFFF"/>
        <w:spacing w:line="260" w:lineRule="exact"/>
        <w:jc w:val="left"/>
        <w:rPr>
          <w:rFonts w:ascii="宋体" w:hAnsi="宋体" w:cs="宋体"/>
          <w:kern w:val="0"/>
          <w:szCs w:val="21"/>
        </w:rPr>
      </w:pPr>
      <w:r>
        <w:rPr>
          <w:rFonts w:ascii="宋体" w:hAnsi="宋体" w:cs="宋体"/>
          <w:kern w:val="0"/>
          <w:szCs w:val="21"/>
        </w:rPr>
        <w:t>1.</w:t>
      </w:r>
      <w:r>
        <w:rPr>
          <w:rFonts w:ascii="宋体" w:hAnsi="宋体" w:cs="宋体"/>
          <w:b/>
          <w:bCs/>
          <w:kern w:val="0"/>
          <w:szCs w:val="21"/>
        </w:rPr>
        <w:t>……</w:t>
      </w:r>
    </w:p>
    <w:p>
      <w:pPr>
        <w:widowControl/>
        <w:shd w:val="clear" w:color="auto" w:fill="FFFFFF"/>
        <w:spacing w:line="260" w:lineRule="exact"/>
        <w:jc w:val="left"/>
        <w:rPr>
          <w:rFonts w:ascii="宋体" w:hAnsi="宋体" w:cs="宋体"/>
          <w:kern w:val="0"/>
          <w:szCs w:val="21"/>
        </w:rPr>
      </w:pPr>
      <w:r>
        <w:rPr>
          <w:rFonts w:ascii="宋体" w:hAnsi="宋体" w:cs="宋体"/>
          <w:kern w:val="0"/>
          <w:szCs w:val="21"/>
        </w:rPr>
        <w:t>2.</w:t>
      </w:r>
      <w:r>
        <w:rPr>
          <w:rFonts w:ascii="宋体" w:hAnsi="宋体" w:cs="宋体"/>
          <w:b/>
          <w:bCs/>
          <w:kern w:val="0"/>
          <w:szCs w:val="21"/>
        </w:rPr>
        <w:t>……</w:t>
      </w:r>
    </w:p>
    <w:p>
      <w:pPr>
        <w:shd w:val="clear" w:color="auto" w:fill="FFFFFF"/>
        <w:spacing w:line="260" w:lineRule="exact"/>
        <w:rPr>
          <w:rFonts w:ascii="宋体" w:hAnsi="宋体" w:cs="宋体"/>
          <w:kern w:val="0"/>
          <w:szCs w:val="21"/>
        </w:rPr>
      </w:pPr>
      <w:r>
        <w:rPr>
          <w:rFonts w:ascii="宋体" w:hAnsi="宋体" w:cs="宋体"/>
          <w:b/>
          <w:bCs/>
          <w:kern w:val="0"/>
          <w:szCs w:val="21"/>
        </w:rPr>
        <w:t>……</w:t>
      </w:r>
    </w:p>
    <w:p>
      <w:pPr>
        <w:widowControl/>
        <w:shd w:val="clear" w:color="auto" w:fill="FFFFFF"/>
        <w:spacing w:line="260" w:lineRule="exact"/>
        <w:jc w:val="left"/>
        <w:rPr>
          <w:rFonts w:ascii="宋体" w:hAnsi="宋体"/>
        </w:rPr>
      </w:pPr>
      <w:r>
        <w:rPr>
          <w:rFonts w:hint="eastAsia" w:ascii="宋体" w:hAnsi="宋体"/>
        </w:rPr>
        <w:t>三、……</w:t>
      </w:r>
    </w:p>
    <w:p>
      <w:pPr>
        <w:widowControl/>
        <w:shd w:val="clear" w:color="auto" w:fill="FFFFFF"/>
        <w:spacing w:line="260" w:lineRule="exact"/>
        <w:rPr>
          <w:rFonts w:ascii="宋体" w:hAnsi="宋体" w:cs="宋体"/>
          <w:kern w:val="0"/>
          <w:szCs w:val="21"/>
        </w:rPr>
      </w:pPr>
    </w:p>
    <w:p>
      <w:pPr>
        <w:widowControl/>
        <w:shd w:val="clear" w:color="auto" w:fill="FFFFFF"/>
        <w:spacing w:line="260" w:lineRule="exact"/>
        <w:ind w:firstLine="3418" w:firstLineChars="1628"/>
        <w:rPr>
          <w:rFonts w:ascii="宋体" w:hAnsi="宋体" w:cs="宋体"/>
          <w:kern w:val="0"/>
          <w:szCs w:val="21"/>
        </w:rPr>
      </w:pPr>
      <w:r>
        <w:rPr>
          <w:rFonts w:hint="eastAsia" w:ascii="宋体" w:hAnsi="宋体" w:cs="宋体"/>
          <w:kern w:val="0"/>
          <w:szCs w:val="21"/>
        </w:rPr>
        <w:t>质疑供应商（公章）：</w:t>
      </w:r>
      <w:r>
        <w:rPr>
          <w:rFonts w:ascii="宋体" w:hAnsi="宋体" w:cs="宋体"/>
          <w:kern w:val="0"/>
          <w:szCs w:val="21"/>
        </w:rPr>
        <w:t>           </w:t>
      </w:r>
    </w:p>
    <w:p>
      <w:pPr>
        <w:widowControl/>
        <w:shd w:val="clear" w:color="auto" w:fill="FFFFFF"/>
        <w:spacing w:line="260" w:lineRule="exact"/>
        <w:ind w:firstLine="3418" w:firstLineChars="1628"/>
        <w:rPr>
          <w:rFonts w:ascii="宋体" w:hAnsi="宋体" w:cs="宋体"/>
          <w:kern w:val="0"/>
          <w:szCs w:val="21"/>
        </w:rPr>
      </w:pPr>
    </w:p>
    <w:p>
      <w:pPr>
        <w:widowControl/>
        <w:shd w:val="clear" w:color="auto" w:fill="FFFFFF"/>
        <w:spacing w:line="260" w:lineRule="exact"/>
        <w:ind w:firstLine="3418" w:firstLineChars="1628"/>
        <w:rPr>
          <w:rFonts w:ascii="宋体" w:hAnsi="宋体" w:cs="宋体"/>
          <w:kern w:val="0"/>
          <w:szCs w:val="21"/>
        </w:rPr>
      </w:pPr>
      <w:r>
        <w:rPr>
          <w:rFonts w:hint="eastAsia" w:ascii="宋体" w:hAnsi="宋体" w:cs="宋体"/>
          <w:kern w:val="0"/>
          <w:szCs w:val="21"/>
        </w:rPr>
        <w:t>提起质疑的日期：年月日</w:t>
      </w:r>
    </w:p>
    <w:p>
      <w:pPr>
        <w:widowControl/>
        <w:shd w:val="clear" w:color="auto" w:fill="FFFFFF"/>
        <w:spacing w:line="260" w:lineRule="exact"/>
        <w:jc w:val="left"/>
        <w:rPr>
          <w:rFonts w:ascii="宋体" w:hAnsi="宋体"/>
        </w:rPr>
      </w:pPr>
    </w:p>
    <w:p>
      <w:pPr>
        <w:widowControl/>
        <w:shd w:val="clear" w:color="auto" w:fill="FFFFFF"/>
        <w:spacing w:line="260" w:lineRule="exact"/>
        <w:jc w:val="left"/>
        <w:rPr>
          <w:rFonts w:ascii="宋体" w:hAnsi="宋体"/>
        </w:rPr>
      </w:pPr>
      <w:r>
        <w:rPr>
          <w:rFonts w:hint="eastAsia" w:ascii="宋体" w:hAnsi="宋体"/>
        </w:rPr>
        <w:t>（后附</w:t>
      </w:r>
      <w:r>
        <w:rPr>
          <w:rFonts w:hint="eastAsia" w:ascii="宋体" w:hAnsi="宋体" w:cs="宋体"/>
          <w:kern w:val="0"/>
          <w:szCs w:val="21"/>
        </w:rPr>
        <w:t>质疑事项</w:t>
      </w:r>
      <w:r>
        <w:rPr>
          <w:rFonts w:hint="eastAsia" w:ascii="宋体" w:hAnsi="宋体"/>
        </w:rPr>
        <w:t>证明材料的具体文件）</w:t>
      </w:r>
    </w:p>
    <w:p>
      <w:pPr>
        <w:rPr>
          <w:rFonts w:ascii="宋体" w:hAnsi="宋体"/>
        </w:rPr>
      </w:pPr>
    </w:p>
    <w:p>
      <w:pPr>
        <w:pStyle w:val="19"/>
        <w:spacing w:line="360" w:lineRule="auto"/>
        <w:rPr>
          <w:rFonts w:hAnsi="宋体"/>
        </w:rPr>
      </w:pPr>
    </w:p>
    <w:p>
      <w:pPr>
        <w:snapToGrid w:val="0"/>
        <w:spacing w:line="400" w:lineRule="exact"/>
        <w:rPr>
          <w:rFonts w:ascii="宋体" w:hAnsi="宋体"/>
          <w:sz w:val="24"/>
        </w:rPr>
      </w:pPr>
    </w:p>
    <w:sectPr>
      <w:footerReference r:id="rId10" w:type="default"/>
      <w:pgSz w:w="11906" w:h="16838"/>
      <w:pgMar w:top="1134" w:right="1134" w:bottom="851" w:left="1134" w:header="720" w:footer="720" w:gutter="0"/>
      <w:pgNumType w:fmt="decimal"/>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15CADE4-5E97-40C5-88C2-F95B90FF8FF2}"/>
  </w:font>
  <w:font w:name="Arial">
    <w:panose1 w:val="020B0604020202020204"/>
    <w:charset w:val="01"/>
    <w:family w:val="swiss"/>
    <w:pitch w:val="default"/>
    <w:sig w:usb0="E0002EFF" w:usb1="C0007843" w:usb2="00000009" w:usb3="00000000" w:csb0="400001FF" w:csb1="FFFF0000"/>
    <w:embedRegular r:id="rId2" w:fontKey="{B0E937A1-9EC3-4459-ABD9-75EBDD27DEDA}"/>
  </w:font>
  <w:font w:name="黑体">
    <w:panose1 w:val="02010609060101010101"/>
    <w:charset w:val="86"/>
    <w:family w:val="auto"/>
    <w:pitch w:val="default"/>
    <w:sig w:usb0="800002BF" w:usb1="38CF7CFA" w:usb2="00000016" w:usb3="00000000" w:csb0="00040001" w:csb1="00000000"/>
    <w:embedRegular r:id="rId3" w:fontKey="{7D543804-E78E-4C9B-850B-D2AD5483162C}"/>
  </w:font>
  <w:font w:name="Courier New">
    <w:panose1 w:val="02070309020205020404"/>
    <w:charset w:val="01"/>
    <w:family w:val="modern"/>
    <w:pitch w:val="default"/>
    <w:sig w:usb0="E0002EFF" w:usb1="C0007843" w:usb2="00000009" w:usb3="00000000" w:csb0="400001FF" w:csb1="FFFF0000"/>
    <w:embedRegular r:id="rId4" w:fontKey="{254298C2-A660-4165-9CF2-B76AF2A7F36E}"/>
  </w:font>
  <w:font w:name="Symbol">
    <w:panose1 w:val="05050102010706020507"/>
    <w:charset w:val="02"/>
    <w:family w:val="roman"/>
    <w:pitch w:val="default"/>
    <w:sig w:usb0="00000000" w:usb1="00000000" w:usb2="00000000" w:usb3="00000000" w:csb0="80000000" w:csb1="00000000"/>
    <w:embedRegular r:id="rId5" w:fontKey="{D56FCDA6-C07A-4702-A17E-5A47177376D4}"/>
  </w:font>
  <w:font w:name="Calibri">
    <w:panose1 w:val="020F0502020204030204"/>
    <w:charset w:val="00"/>
    <w:family w:val="swiss"/>
    <w:pitch w:val="default"/>
    <w:sig w:usb0="E0002AFF" w:usb1="C000247B" w:usb2="00000009" w:usb3="00000000" w:csb0="200001FF" w:csb1="00000000"/>
    <w:embedRegular r:id="rId6" w:fontKey="{5398DFA4-DB36-4C56-8C2C-EB329E682B9C}"/>
  </w:font>
  <w:font w:name="?????">
    <w:altName w:val="Courier New"/>
    <w:panose1 w:val="00000000000000000000"/>
    <w:charset w:val="00"/>
    <w:family w:val="moder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embedRegular r:id="rId7" w:fontKey="{754955E9-A23F-471A-88A1-3B499D0268F4}"/>
  </w:font>
  <w:font w:name="Tahoma">
    <w:panose1 w:val="020B0604030504040204"/>
    <w:charset w:val="00"/>
    <w:family w:val="swiss"/>
    <w:pitch w:val="default"/>
    <w:sig w:usb0="E1002EFF" w:usb1="C000605B" w:usb2="00000029" w:usb3="00000000" w:csb0="200101FF" w:csb1="20280000"/>
    <w:embedRegular r:id="rId8" w:fontKey="{FE06245C-E27F-4516-BE76-5EF036F6CB46}"/>
  </w:font>
  <w:font w:name="Arial Unicode MS">
    <w:altName w:val="宋体"/>
    <w:panose1 w:val="020B0604020202020204"/>
    <w:charset w:val="86"/>
    <w:family w:val="swiss"/>
    <w:pitch w:val="default"/>
    <w:sig w:usb0="00000000" w:usb1="00000000" w:usb2="0000003F" w:usb3="00000000" w:csb0="603F01FF" w:csb1="FFFF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CF3C50" w:usb2="00000016" w:usb3="00000000" w:csb0="0004001F" w:csb1="00000000"/>
    <w:embedRegular r:id="rId9" w:fontKey="{39745F3B-FFEB-4A02-A24B-BC961E83852F}"/>
  </w:font>
  <w:font w:name="仿宋">
    <w:panose1 w:val="02010609060101010101"/>
    <w:charset w:val="86"/>
    <w:family w:val="modern"/>
    <w:pitch w:val="default"/>
    <w:sig w:usb0="800002BF" w:usb1="38CF7CFA" w:usb2="00000016" w:usb3="00000000" w:csb0="00040001" w:csb1="00000000"/>
    <w:embedRegular r:id="rId10" w:fontKey="{D1E26A75-B995-4403-B630-EF8AAF60AD48}"/>
  </w:font>
  <w:font w:name="Helvetica">
    <w:altName w:val="Arial"/>
    <w:panose1 w:val="020B0604020202020204"/>
    <w:charset w:val="00"/>
    <w:family w:val="swiss"/>
    <w:pitch w:val="default"/>
    <w:sig w:usb0="00000000" w:usb1="00000000" w:usb2="00000000" w:usb3="00000000" w:csb0="00000001" w:csb1="00000000"/>
    <w:embedRegular r:id="rId11" w:fontKey="{27AA81D3-70FB-4090-8140-A11171BCA071}"/>
  </w:font>
  <w:font w:name="Verdana">
    <w:panose1 w:val="020B0604030504040204"/>
    <w:charset w:val="00"/>
    <w:family w:val="swiss"/>
    <w:pitch w:val="default"/>
    <w:sig w:usb0="A10006FF" w:usb1="4000205B" w:usb2="00000010" w:usb3="00000000" w:csb0="2000019F" w:csb1="00000000"/>
    <w:embedRegular r:id="rId12" w:fontKey="{BB04DE12-1383-4F12-A2BD-70DBDB2180FC}"/>
  </w:font>
  <w:font w:name="Wingdings 2">
    <w:altName w:val="Wingdings"/>
    <w:panose1 w:val="05020102010507070707"/>
    <w:charset w:val="02"/>
    <w:family w:val="roman"/>
    <w:pitch w:val="default"/>
    <w:sig w:usb0="00000000" w:usb1="00000000" w:usb2="00000000" w:usb3="00000000" w:csb0="80000000" w:csb1="00000000"/>
    <w:embedRegular r:id="rId13" w:fontKey="{8495FA62-5C0A-463C-9F7D-ABB42ECE489D}"/>
  </w:font>
  <w:font w:name="Courier New">
    <w:panose1 w:val="02070309020205020404"/>
    <w:charset w:val="00"/>
    <w:family w:val="modern"/>
    <w:pitch w:val="default"/>
    <w:sig w:usb0="E0002EFF" w:usb1="C0007843" w:usb2="00000009" w:usb3="00000000" w:csb0="400001FF" w:csb1="FFFF0000"/>
    <w:embedRegular r:id="rId14" w:fontKey="{986DCC48-24EB-4CFB-AEFA-F98A5C1472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3"/>
                            <w:rPr>
                              <w:rFonts w:hint="eastAsia"/>
                            </w:rPr>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d85RhbIB&#10;AABZAwAADgAAAAAAAAABACAAAAAeAQAAZHJzL2Uyb0RvYy54bWxQSwUGAAAAAAYABgBZAQAAQgUA&#10;AAAA&#10;">
              <v:fill on="f" focussize="0,0"/>
              <v:stroke on="f"/>
              <v:imagedata o:title=""/>
              <o:lock v:ext="edit" aspectratio="f"/>
              <v:textbox inset="0mm,0mm,0mm,0mm" style="mso-fit-shape-to-text:t;">
                <w:txbxContent>
                  <w:p>
                    <w:pPr>
                      <w:pStyle w:val="23"/>
                      <w:rPr>
                        <w:rFonts w:hint="eastAsia"/>
                      </w:rPr>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3"/>
                            <w:rPr>
                              <w:rFonts w:hint="eastAsia"/>
                            </w:rPr>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Bmo4MrgEAAEsD&#10;AAAOAAAAAAAAAAEAIAAAAB4BAABkcnMvZTJvRG9jLnhtbFBLBQYAAAAABgAGAFkBAAA+BQAAAAA=&#10;">
              <v:fill on="f" focussize="0,0"/>
              <v:stroke on="f"/>
              <v:imagedata o:title=""/>
              <o:lock v:ext="edit" aspectratio="f"/>
              <v:textbox inset="0mm,0mm,0mm,0mm" style="mso-fit-shape-to-text:t;">
                <w:txbxContent>
                  <w:p>
                    <w:pPr>
                      <w:pStyle w:val="23"/>
                      <w:rPr>
                        <w:rFonts w:hint="eastAsia"/>
                      </w:rPr>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14935" cy="228600"/>
              <wp:effectExtent l="0" t="0" r="0" b="0"/>
              <wp:wrapNone/>
              <wp:docPr id="2" name="文本框 1029"/>
              <wp:cNvGraphicFramePr/>
              <a:graphic xmlns:a="http://schemas.openxmlformats.org/drawingml/2006/main">
                <a:graphicData uri="http://schemas.microsoft.com/office/word/2010/wordprocessingShape">
                  <wps:wsp>
                    <wps:cNvSpPr txBox="1"/>
                    <wps:spPr>
                      <a:xfrm>
                        <a:off x="0" y="0"/>
                        <a:ext cx="114935" cy="228600"/>
                      </a:xfrm>
                      <a:prstGeom prst="rect">
                        <a:avLst/>
                      </a:prstGeom>
                      <a:noFill/>
                      <a:ln w="15875">
                        <a:noFill/>
                      </a:ln>
                      <a:effectLst/>
                    </wps:spPr>
                    <wps:txbx>
                      <w:txbxContent>
                        <w:p>
                          <w:pPr>
                            <w:pStyle w:val="23"/>
                            <w:rPr>
                              <w:rStyle w:val="37"/>
                            </w:rPr>
                          </w:pPr>
                          <w:r>
                            <w:rPr>
                              <w:rStyle w:val="37"/>
                            </w:rPr>
                            <w:fldChar w:fldCharType="begin"/>
                          </w:r>
                          <w:r>
                            <w:rPr>
                              <w:rStyle w:val="37"/>
                            </w:rPr>
                            <w:instrText xml:space="preserve">PAGE  </w:instrText>
                          </w:r>
                          <w:r>
                            <w:rPr>
                              <w:rStyle w:val="37"/>
                            </w:rPr>
                            <w:fldChar w:fldCharType="separate"/>
                          </w:r>
                          <w:r>
                            <w:rPr>
                              <w:rStyle w:val="37"/>
                            </w:rPr>
                            <w:t>5</w:t>
                          </w:r>
                          <w:r>
                            <w:rPr>
                              <w:rStyle w:val="37"/>
                            </w:rPr>
                            <w:fldChar w:fldCharType="end"/>
                          </w:r>
                        </w:p>
                      </w:txbxContent>
                    </wps:txbx>
                    <wps:bodyPr wrap="none" lIns="0" tIns="0" rIns="0" bIns="0">
                      <a:spAutoFit/>
                    </wps:bodyPr>
                  </wps:wsp>
                </a:graphicData>
              </a:graphic>
            </wp:anchor>
          </w:drawing>
        </mc:Choice>
        <mc:Fallback>
          <w:pict>
            <v:shape id="文本框 1029" o:spid="_x0000_s1026" o:spt="202" type="#_x0000_t202" style="position:absolute;left:0pt;margin-top:0pt;height:18pt;width:9.05pt;mso-position-horizontal:center;mso-position-horizontal-relative:margin;mso-wrap-style:none;z-index:251658240;mso-width-relative:page;mso-height-relative:page;" filled="f" stroked="f" coordsize="21600,21600" o:gfxdata="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CZANHUAAAAAwEAAA8AAAAAAAAAAQAgAAAAIgAAAGRycy9kb3ducmV2LnhtbFBLAQIU&#10;ABQAAAAIAIdO4kA5mBBtvgEAAFgDAAAOAAAAAAAAAAEAIAAAACMBAABkcnMvZTJvRG9jLnhtbFBL&#10;BQYAAAAABgAGAFkBAABTBQAAAAA=&#10;">
              <v:fill on="f" focussize="0,0"/>
              <v:stroke on="f" weight="1.25pt"/>
              <v:imagedata o:title=""/>
              <o:lock v:ext="edit" aspectratio="f"/>
              <v:textbox inset="0mm,0mm,0mm,0mm" style="mso-fit-shape-to-text:t;">
                <w:txbxContent>
                  <w:p>
                    <w:pPr>
                      <w:pStyle w:val="23"/>
                      <w:rPr>
                        <w:rStyle w:val="37"/>
                      </w:rPr>
                    </w:pPr>
                    <w:r>
                      <w:rPr>
                        <w:rStyle w:val="37"/>
                      </w:rPr>
                      <w:fldChar w:fldCharType="begin"/>
                    </w:r>
                    <w:r>
                      <w:rPr>
                        <w:rStyle w:val="37"/>
                      </w:rPr>
                      <w:instrText xml:space="preserve">PAGE  </w:instrText>
                    </w:r>
                    <w:r>
                      <w:rPr>
                        <w:rStyle w:val="37"/>
                      </w:rPr>
                      <w:fldChar w:fldCharType="separate"/>
                    </w:r>
                    <w:r>
                      <w:rPr>
                        <w:rStyle w:val="37"/>
                      </w:rPr>
                      <w:t>5</w:t>
                    </w:r>
                    <w:r>
                      <w:rPr>
                        <w:rStyle w:val="37"/>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auto"/>
      <w:jc w:val="left"/>
      <w:rPr>
        <w:sz w:val="15"/>
        <w:szCs w:val="15"/>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475E3BD"/>
    <w:multiLevelType w:val="singleLevel"/>
    <w:tmpl w:val="F475E3BD"/>
    <w:lvl w:ilvl="0" w:tentative="0">
      <w:start w:val="1"/>
      <w:numFmt w:val="decimal"/>
      <w:suff w:val="nothing"/>
      <w:lvlText w:val="%1、"/>
      <w:lvlJc w:val="left"/>
    </w:lvl>
  </w:abstractNum>
  <w:abstractNum w:abstractNumId="1">
    <w:nsid w:val="FAB76134"/>
    <w:multiLevelType w:val="singleLevel"/>
    <w:tmpl w:val="FAB76134"/>
    <w:lvl w:ilvl="0" w:tentative="0">
      <w:start w:val="1"/>
      <w:numFmt w:val="decimal"/>
      <w:lvlText w:val="%1."/>
      <w:lvlJc w:val="left"/>
      <w:pPr>
        <w:tabs>
          <w:tab w:val="left" w:pos="312"/>
        </w:tabs>
      </w:pPr>
    </w:lvl>
  </w:abstractNum>
  <w:abstractNum w:abstractNumId="2">
    <w:nsid w:val="FFFFFF89"/>
    <w:multiLevelType w:val="singleLevel"/>
    <w:tmpl w:val="FFFFFF89"/>
    <w:lvl w:ilvl="0" w:tentative="0">
      <w:start w:val="1"/>
      <w:numFmt w:val="bullet"/>
      <w:pStyle w:val="105"/>
      <w:lvlText w:val=""/>
      <w:lvlJc w:val="left"/>
      <w:pPr>
        <w:tabs>
          <w:tab w:val="left" w:pos="360"/>
        </w:tabs>
        <w:ind w:left="360" w:hanging="360"/>
      </w:pPr>
      <w:rPr>
        <w:rFonts w:hint="default" w:ascii="Wingdings" w:hAnsi="Wingdings"/>
      </w:rPr>
    </w:lvl>
  </w:abstractNum>
  <w:abstractNum w:abstractNumId="3">
    <w:nsid w:val="00000001"/>
    <w:multiLevelType w:val="multilevel"/>
    <w:tmpl w:val="00000001"/>
    <w:lvl w:ilvl="0" w:tentative="0">
      <w:start w:val="1"/>
      <w:numFmt w:val="decimal"/>
      <w:lvlText w:val="（%1）"/>
      <w:lvlJc w:val="left"/>
      <w:pPr>
        <w:ind w:firstLine="0"/>
      </w:pPr>
      <w:rPr>
        <w:rFonts w:ascii="宋体" w:hAnsi="宋体"/>
      </w:rPr>
    </w:lvl>
    <w:lvl w:ilvl="1" w:tentative="0">
      <w:start w:val="1"/>
      <w:numFmt w:val="lowerLetter"/>
      <w:lvlText w:val="%2)"/>
      <w:lvlJc w:val="left"/>
      <w:pPr>
        <w:ind w:firstLine="0"/>
      </w:pPr>
    </w:lvl>
    <w:lvl w:ilvl="2" w:tentative="0">
      <w:start w:val="1"/>
      <w:numFmt w:val="lowerRoman"/>
      <w:lvlText w:val="%3."/>
      <w:lvlJc w:val="left"/>
      <w:pPr>
        <w:ind w:firstLine="0"/>
      </w:pPr>
    </w:lvl>
    <w:lvl w:ilvl="3" w:tentative="0">
      <w:start w:val="1"/>
      <w:numFmt w:val="decimal"/>
      <w:lvlText w:val="%4."/>
      <w:lvlJc w:val="left"/>
      <w:pPr>
        <w:ind w:firstLine="0"/>
      </w:pPr>
    </w:lvl>
    <w:lvl w:ilvl="4" w:tentative="0">
      <w:start w:val="1"/>
      <w:numFmt w:val="lowerLetter"/>
      <w:lvlText w:val="%5)"/>
      <w:lvlJc w:val="left"/>
      <w:pPr>
        <w:ind w:firstLine="0"/>
      </w:pPr>
    </w:lvl>
    <w:lvl w:ilvl="5" w:tentative="0">
      <w:start w:val="1"/>
      <w:numFmt w:val="lowerRoman"/>
      <w:lvlText w:val="%6."/>
      <w:lvlJc w:val="left"/>
      <w:pPr>
        <w:ind w:firstLine="0"/>
      </w:pPr>
    </w:lvl>
    <w:lvl w:ilvl="6" w:tentative="0">
      <w:start w:val="1"/>
      <w:numFmt w:val="decimal"/>
      <w:lvlText w:val="%7."/>
      <w:lvlJc w:val="left"/>
      <w:pPr>
        <w:ind w:firstLine="0"/>
      </w:pPr>
    </w:lvl>
    <w:lvl w:ilvl="7" w:tentative="0">
      <w:start w:val="1"/>
      <w:numFmt w:val="lowerLetter"/>
      <w:lvlText w:val="%8)"/>
      <w:lvlJc w:val="left"/>
      <w:pPr>
        <w:ind w:firstLine="0"/>
      </w:pPr>
    </w:lvl>
    <w:lvl w:ilvl="8" w:tentative="0">
      <w:start w:val="1"/>
      <w:numFmt w:val="lowerRoman"/>
      <w:lvlText w:val="%9."/>
      <w:lvlJc w:val="left"/>
      <w:pPr>
        <w:ind w:firstLine="0"/>
      </w:pPr>
    </w:lvl>
  </w:abstractNum>
  <w:abstractNum w:abstractNumId="4">
    <w:nsid w:val="00000002"/>
    <w:multiLevelType w:val="multilevel"/>
    <w:tmpl w:val="00000002"/>
    <w:lvl w:ilvl="0" w:tentative="0">
      <w:start w:val="1"/>
      <w:numFmt w:val="decimal"/>
      <w:lvlText w:val="（%1）"/>
      <w:lvlJc w:val="left"/>
      <w:pPr>
        <w:ind w:firstLine="0"/>
      </w:pPr>
    </w:lvl>
    <w:lvl w:ilvl="1" w:tentative="0">
      <w:start w:val="1"/>
      <w:numFmt w:val="lowerLetter"/>
      <w:lvlText w:val="%2)"/>
      <w:lvlJc w:val="left"/>
      <w:pPr>
        <w:ind w:firstLine="0"/>
      </w:pPr>
    </w:lvl>
    <w:lvl w:ilvl="2" w:tentative="0">
      <w:start w:val="1"/>
      <w:numFmt w:val="lowerRoman"/>
      <w:lvlText w:val="%3."/>
      <w:lvlJc w:val="left"/>
      <w:pPr>
        <w:ind w:firstLine="0"/>
      </w:pPr>
    </w:lvl>
    <w:lvl w:ilvl="3" w:tentative="0">
      <w:start w:val="1"/>
      <w:numFmt w:val="decimal"/>
      <w:lvlText w:val="%4."/>
      <w:lvlJc w:val="left"/>
      <w:pPr>
        <w:ind w:firstLine="0"/>
      </w:pPr>
    </w:lvl>
    <w:lvl w:ilvl="4" w:tentative="0">
      <w:start w:val="1"/>
      <w:numFmt w:val="lowerLetter"/>
      <w:lvlText w:val="%5)"/>
      <w:lvlJc w:val="left"/>
      <w:pPr>
        <w:ind w:firstLine="0"/>
      </w:pPr>
    </w:lvl>
    <w:lvl w:ilvl="5" w:tentative="0">
      <w:start w:val="1"/>
      <w:numFmt w:val="lowerRoman"/>
      <w:lvlText w:val="%6."/>
      <w:lvlJc w:val="left"/>
      <w:pPr>
        <w:ind w:firstLine="0"/>
      </w:pPr>
    </w:lvl>
    <w:lvl w:ilvl="6" w:tentative="0">
      <w:start w:val="1"/>
      <w:numFmt w:val="decimal"/>
      <w:lvlText w:val="%7."/>
      <w:lvlJc w:val="left"/>
      <w:pPr>
        <w:ind w:firstLine="0"/>
      </w:pPr>
    </w:lvl>
    <w:lvl w:ilvl="7" w:tentative="0">
      <w:start w:val="1"/>
      <w:numFmt w:val="lowerLetter"/>
      <w:lvlText w:val="%8)"/>
      <w:lvlJc w:val="left"/>
      <w:pPr>
        <w:ind w:firstLine="0"/>
      </w:pPr>
    </w:lvl>
    <w:lvl w:ilvl="8" w:tentative="0">
      <w:start w:val="1"/>
      <w:numFmt w:val="lowerRoman"/>
      <w:lvlText w:val="%9."/>
      <w:lvlJc w:val="left"/>
      <w:pPr>
        <w:ind w:firstLine="0"/>
      </w:pPr>
    </w:lvl>
  </w:abstractNum>
  <w:abstractNum w:abstractNumId="5">
    <w:nsid w:val="0000000A"/>
    <w:multiLevelType w:val="multilevel"/>
    <w:tmpl w:val="0000000A"/>
    <w:lvl w:ilvl="0" w:tentative="0">
      <w:start w:val="1"/>
      <w:numFmt w:val="decimal"/>
      <w:pStyle w:val="118"/>
      <w:lvlText w:val="（%1）"/>
      <w:lvlJc w:val="left"/>
      <w:pPr>
        <w:tabs>
          <w:tab w:val="left" w:pos="1140"/>
        </w:tabs>
        <w:ind w:left="1140" w:hanging="720"/>
      </w:pPr>
      <w:rPr>
        <w:rFonts w:ascii="宋体" w:hAnsi="宋体" w:eastAsia="宋体" w:cs="Times New Roman"/>
      </w:rPr>
    </w:lvl>
    <w:lvl w:ilvl="1" w:tentative="0">
      <w:start w:val="1"/>
      <w:numFmt w:val="lowerLetter"/>
      <w:pStyle w:val="79"/>
      <w:lvlText w:val="%2)"/>
      <w:lvlJc w:val="left"/>
      <w:pPr>
        <w:tabs>
          <w:tab w:val="left" w:pos="1260"/>
        </w:tabs>
        <w:ind w:left="1260" w:hanging="420"/>
      </w:pPr>
      <w:rPr>
        <w:rFonts w:cs="Times New Roman"/>
      </w:rPr>
    </w:lvl>
    <w:lvl w:ilvl="2" w:tentative="0">
      <w:start w:val="1"/>
      <w:numFmt w:val="lowerRoman"/>
      <w:lvlText w:val="%3."/>
      <w:lvlJc w:val="right"/>
      <w:pPr>
        <w:tabs>
          <w:tab w:val="left" w:pos="1680"/>
        </w:tabs>
        <w:ind w:left="1680" w:hanging="420"/>
      </w:pPr>
      <w:rPr>
        <w:rFonts w:cs="Times New Roman"/>
      </w:rPr>
    </w:lvl>
    <w:lvl w:ilvl="3" w:tentative="0">
      <w:start w:val="1"/>
      <w:numFmt w:val="decimal"/>
      <w:pStyle w:val="77"/>
      <w:lvlText w:val="%4."/>
      <w:lvlJc w:val="left"/>
      <w:pPr>
        <w:tabs>
          <w:tab w:val="left" w:pos="2100"/>
        </w:tabs>
        <w:ind w:left="2100" w:hanging="420"/>
      </w:pPr>
      <w:rPr>
        <w:rFonts w:cs="Times New Roman"/>
      </w:rPr>
    </w:lvl>
    <w:lvl w:ilvl="4" w:tentative="0">
      <w:start w:val="1"/>
      <w:numFmt w:val="lowerLetter"/>
      <w:pStyle w:val="76"/>
      <w:lvlText w:val="%5)"/>
      <w:lvlJc w:val="left"/>
      <w:pPr>
        <w:tabs>
          <w:tab w:val="left" w:pos="2520"/>
        </w:tabs>
        <w:ind w:left="2520" w:hanging="420"/>
      </w:pPr>
      <w:rPr>
        <w:rFonts w:cs="Times New Roman"/>
      </w:rPr>
    </w:lvl>
    <w:lvl w:ilvl="5" w:tentative="0">
      <w:start w:val="1"/>
      <w:numFmt w:val="lowerRoman"/>
      <w:pStyle w:val="94"/>
      <w:lvlText w:val="%6."/>
      <w:lvlJc w:val="right"/>
      <w:pPr>
        <w:tabs>
          <w:tab w:val="left" w:pos="2940"/>
        </w:tabs>
        <w:ind w:left="2940" w:hanging="420"/>
      </w:pPr>
      <w:rPr>
        <w:rFonts w:cs="Times New Roman"/>
      </w:rPr>
    </w:lvl>
    <w:lvl w:ilvl="6" w:tentative="0">
      <w:start w:val="1"/>
      <w:numFmt w:val="decimal"/>
      <w:lvlText w:val="%7."/>
      <w:lvlJc w:val="left"/>
      <w:pPr>
        <w:tabs>
          <w:tab w:val="left" w:pos="3360"/>
        </w:tabs>
        <w:ind w:left="3360" w:hanging="420"/>
      </w:pPr>
      <w:rPr>
        <w:rFonts w:cs="Times New Roman"/>
      </w:rPr>
    </w:lvl>
    <w:lvl w:ilvl="7" w:tentative="0">
      <w:start w:val="1"/>
      <w:numFmt w:val="lowerLetter"/>
      <w:lvlText w:val="%8)"/>
      <w:lvlJc w:val="left"/>
      <w:pPr>
        <w:tabs>
          <w:tab w:val="left" w:pos="3780"/>
        </w:tabs>
        <w:ind w:left="3780" w:hanging="420"/>
      </w:pPr>
      <w:rPr>
        <w:rFonts w:cs="Times New Roman"/>
      </w:rPr>
    </w:lvl>
    <w:lvl w:ilvl="8" w:tentative="0">
      <w:start w:val="1"/>
      <w:numFmt w:val="lowerRoman"/>
      <w:lvlText w:val="%9."/>
      <w:lvlJc w:val="right"/>
      <w:pPr>
        <w:tabs>
          <w:tab w:val="left" w:pos="4200"/>
        </w:tabs>
        <w:ind w:left="4200" w:hanging="420"/>
      </w:pPr>
      <w:rPr>
        <w:rFonts w:cs="Times New Roman"/>
      </w:rPr>
    </w:lvl>
  </w:abstractNum>
  <w:abstractNum w:abstractNumId="6">
    <w:nsid w:val="0000000B"/>
    <w:multiLevelType w:val="multilevel"/>
    <w:tmpl w:val="0000000B"/>
    <w:lvl w:ilvl="0" w:tentative="0">
      <w:start w:val="1"/>
      <w:numFmt w:val="decimal"/>
      <w:pStyle w:val="113"/>
      <w:lvlText w:val="（%1）"/>
      <w:lvlJc w:val="left"/>
      <w:pPr>
        <w:tabs>
          <w:tab w:val="left" w:pos="1140"/>
        </w:tabs>
        <w:ind w:left="1140" w:hanging="720"/>
      </w:pPr>
      <w:rPr>
        <w:rFonts w:hint="eastAsia" w:cs="Times New Roman"/>
      </w:rPr>
    </w:lvl>
    <w:lvl w:ilvl="1" w:tentative="0">
      <w:start w:val="1"/>
      <w:numFmt w:val="lowerLetter"/>
      <w:lvlText w:val="%2)"/>
      <w:lvlJc w:val="left"/>
      <w:pPr>
        <w:tabs>
          <w:tab w:val="left" w:pos="1260"/>
        </w:tabs>
        <w:ind w:left="1260" w:hanging="420"/>
      </w:pPr>
      <w:rPr>
        <w:rFonts w:cs="Times New Roman"/>
      </w:rPr>
    </w:lvl>
    <w:lvl w:ilvl="2" w:tentative="0">
      <w:start w:val="1"/>
      <w:numFmt w:val="lowerRoman"/>
      <w:lvlText w:val="%3."/>
      <w:lvlJc w:val="right"/>
      <w:pPr>
        <w:tabs>
          <w:tab w:val="left" w:pos="1680"/>
        </w:tabs>
        <w:ind w:left="1680" w:hanging="420"/>
      </w:pPr>
      <w:rPr>
        <w:rFonts w:cs="Times New Roman"/>
      </w:rPr>
    </w:lvl>
    <w:lvl w:ilvl="3" w:tentative="0">
      <w:start w:val="1"/>
      <w:numFmt w:val="decimal"/>
      <w:lvlText w:val="%4."/>
      <w:lvlJc w:val="left"/>
      <w:pPr>
        <w:tabs>
          <w:tab w:val="left" w:pos="2100"/>
        </w:tabs>
        <w:ind w:left="2100" w:hanging="420"/>
      </w:pPr>
      <w:rPr>
        <w:rFonts w:cs="Times New Roman"/>
      </w:rPr>
    </w:lvl>
    <w:lvl w:ilvl="4" w:tentative="0">
      <w:start w:val="1"/>
      <w:numFmt w:val="lowerLetter"/>
      <w:lvlText w:val="%5)"/>
      <w:lvlJc w:val="left"/>
      <w:pPr>
        <w:tabs>
          <w:tab w:val="left" w:pos="2520"/>
        </w:tabs>
        <w:ind w:left="2520" w:hanging="420"/>
      </w:pPr>
      <w:rPr>
        <w:rFonts w:cs="Times New Roman"/>
      </w:rPr>
    </w:lvl>
    <w:lvl w:ilvl="5" w:tentative="0">
      <w:start w:val="1"/>
      <w:numFmt w:val="lowerRoman"/>
      <w:lvlText w:val="%6."/>
      <w:lvlJc w:val="right"/>
      <w:pPr>
        <w:tabs>
          <w:tab w:val="left" w:pos="2940"/>
        </w:tabs>
        <w:ind w:left="2940" w:hanging="420"/>
      </w:pPr>
      <w:rPr>
        <w:rFonts w:cs="Times New Roman"/>
      </w:rPr>
    </w:lvl>
    <w:lvl w:ilvl="6" w:tentative="0">
      <w:start w:val="1"/>
      <w:numFmt w:val="decimal"/>
      <w:lvlText w:val="%7."/>
      <w:lvlJc w:val="left"/>
      <w:pPr>
        <w:tabs>
          <w:tab w:val="left" w:pos="3360"/>
        </w:tabs>
        <w:ind w:left="3360" w:hanging="420"/>
      </w:pPr>
      <w:rPr>
        <w:rFonts w:cs="Times New Roman"/>
      </w:rPr>
    </w:lvl>
    <w:lvl w:ilvl="7" w:tentative="0">
      <w:start w:val="1"/>
      <w:numFmt w:val="lowerLetter"/>
      <w:lvlText w:val="%8)"/>
      <w:lvlJc w:val="left"/>
      <w:pPr>
        <w:tabs>
          <w:tab w:val="left" w:pos="3780"/>
        </w:tabs>
        <w:ind w:left="3780" w:hanging="420"/>
      </w:pPr>
      <w:rPr>
        <w:rFonts w:cs="Times New Roman"/>
      </w:rPr>
    </w:lvl>
    <w:lvl w:ilvl="8" w:tentative="0">
      <w:start w:val="1"/>
      <w:numFmt w:val="lowerRoman"/>
      <w:lvlText w:val="%9."/>
      <w:lvlJc w:val="right"/>
      <w:pPr>
        <w:tabs>
          <w:tab w:val="left" w:pos="4200"/>
        </w:tabs>
        <w:ind w:left="4200" w:hanging="420"/>
      </w:pPr>
      <w:rPr>
        <w:rFonts w:cs="Times New Roman"/>
      </w:rPr>
    </w:lvl>
  </w:abstractNum>
  <w:abstractNum w:abstractNumId="7">
    <w:nsid w:val="0000000C"/>
    <w:multiLevelType w:val="multilevel"/>
    <w:tmpl w:val="0000000C"/>
    <w:lvl w:ilvl="0" w:tentative="0">
      <w:start w:val="1"/>
      <w:numFmt w:val="decimal"/>
      <w:pStyle w:val="92"/>
      <w:lvlText w:val="%1、"/>
      <w:lvlJc w:val="left"/>
      <w:pPr>
        <w:tabs>
          <w:tab w:val="left" w:pos="972"/>
        </w:tabs>
        <w:ind w:left="1320" w:hanging="564"/>
      </w:pPr>
      <w:rPr>
        <w:rFonts w:hint="eastAsia" w:cs="Times New Roman"/>
      </w:rPr>
    </w:lvl>
    <w:lvl w:ilvl="1" w:tentative="0">
      <w:start w:val="1"/>
      <w:numFmt w:val="lowerLetter"/>
      <w:pStyle w:val="90"/>
      <w:lvlText w:val="%2."/>
      <w:lvlJc w:val="left"/>
      <w:pPr>
        <w:tabs>
          <w:tab w:val="left" w:pos="1980"/>
        </w:tabs>
        <w:ind w:left="1980" w:hanging="360"/>
      </w:pPr>
      <w:rPr>
        <w:rFonts w:cs="Times New Roman"/>
      </w:rPr>
    </w:lvl>
    <w:lvl w:ilvl="2" w:tentative="0">
      <w:start w:val="1"/>
      <w:numFmt w:val="lowerRoman"/>
      <w:pStyle w:val="89"/>
      <w:lvlText w:val="%3."/>
      <w:lvlJc w:val="right"/>
      <w:pPr>
        <w:tabs>
          <w:tab w:val="left" w:pos="2700"/>
        </w:tabs>
        <w:ind w:left="2700" w:hanging="180"/>
      </w:pPr>
      <w:rPr>
        <w:rFonts w:cs="Times New Roman"/>
      </w:rPr>
    </w:lvl>
    <w:lvl w:ilvl="3" w:tentative="0">
      <w:start w:val="1"/>
      <w:numFmt w:val="decimal"/>
      <w:pStyle w:val="88"/>
      <w:lvlText w:val="%4."/>
      <w:lvlJc w:val="left"/>
      <w:pPr>
        <w:tabs>
          <w:tab w:val="left" w:pos="3420"/>
        </w:tabs>
        <w:ind w:left="3420" w:hanging="360"/>
      </w:pPr>
      <w:rPr>
        <w:rFonts w:cs="Times New Roman"/>
      </w:rPr>
    </w:lvl>
    <w:lvl w:ilvl="4" w:tentative="0">
      <w:start w:val="1"/>
      <w:numFmt w:val="lowerLetter"/>
      <w:pStyle w:val="87"/>
      <w:lvlText w:val="%5."/>
      <w:lvlJc w:val="left"/>
      <w:pPr>
        <w:tabs>
          <w:tab w:val="left" w:pos="4140"/>
        </w:tabs>
        <w:ind w:left="4140" w:hanging="360"/>
      </w:pPr>
      <w:rPr>
        <w:rFonts w:cs="Times New Roman"/>
      </w:rPr>
    </w:lvl>
    <w:lvl w:ilvl="5" w:tentative="0">
      <w:start w:val="1"/>
      <w:numFmt w:val="lowerRoman"/>
      <w:pStyle w:val="86"/>
      <w:lvlText w:val="%6."/>
      <w:lvlJc w:val="right"/>
      <w:pPr>
        <w:tabs>
          <w:tab w:val="left" w:pos="4860"/>
        </w:tabs>
        <w:ind w:left="4860" w:hanging="180"/>
      </w:pPr>
      <w:rPr>
        <w:rFonts w:cs="Times New Roman"/>
      </w:rPr>
    </w:lvl>
    <w:lvl w:ilvl="6" w:tentative="0">
      <w:start w:val="1"/>
      <w:numFmt w:val="decimal"/>
      <w:pStyle w:val="130"/>
      <w:lvlText w:val="%7."/>
      <w:lvlJc w:val="left"/>
      <w:pPr>
        <w:tabs>
          <w:tab w:val="left" w:pos="5580"/>
        </w:tabs>
        <w:ind w:left="5580" w:hanging="360"/>
      </w:pPr>
      <w:rPr>
        <w:rFonts w:cs="Times New Roman"/>
      </w:rPr>
    </w:lvl>
    <w:lvl w:ilvl="7" w:tentative="0">
      <w:start w:val="1"/>
      <w:numFmt w:val="lowerLetter"/>
      <w:lvlText w:val="%8."/>
      <w:lvlJc w:val="left"/>
      <w:pPr>
        <w:tabs>
          <w:tab w:val="left" w:pos="6300"/>
        </w:tabs>
        <w:ind w:left="6300" w:hanging="360"/>
      </w:pPr>
      <w:rPr>
        <w:rFonts w:cs="Times New Roman"/>
      </w:rPr>
    </w:lvl>
    <w:lvl w:ilvl="8" w:tentative="0">
      <w:start w:val="1"/>
      <w:numFmt w:val="lowerRoman"/>
      <w:lvlText w:val="%9."/>
      <w:lvlJc w:val="right"/>
      <w:pPr>
        <w:tabs>
          <w:tab w:val="left" w:pos="7020"/>
        </w:tabs>
        <w:ind w:left="7020" w:hanging="180"/>
      </w:pPr>
      <w:rPr>
        <w:rFonts w:cs="Times New Roman"/>
      </w:rPr>
    </w:lvl>
  </w:abstractNum>
  <w:abstractNum w:abstractNumId="8">
    <w:nsid w:val="23813970"/>
    <w:multiLevelType w:val="multilevel"/>
    <w:tmpl w:val="23813970"/>
    <w:lvl w:ilvl="0" w:tentative="0">
      <w:start w:val="1"/>
      <w:numFmt w:val="decimal"/>
      <w:pStyle w:val="96"/>
      <w:lvlText w:val="%1)"/>
      <w:lvlJc w:val="left"/>
      <w:pPr>
        <w:ind w:left="360"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9">
    <w:nsid w:val="41551737"/>
    <w:multiLevelType w:val="multilevel"/>
    <w:tmpl w:val="41551737"/>
    <w:lvl w:ilvl="0" w:tentative="0">
      <w:start w:val="1"/>
      <w:numFmt w:val="japaneseCounting"/>
      <w:pStyle w:val="132"/>
      <w:lvlText w:val="%1、"/>
      <w:lvlJc w:val="left"/>
      <w:pPr>
        <w:ind w:left="420" w:hanging="4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0">
    <w:nsid w:val="4AD1D84F"/>
    <w:multiLevelType w:val="multilevel"/>
    <w:tmpl w:val="4AD1D84F"/>
    <w:lvl w:ilvl="0" w:tentative="0">
      <w:start w:val="1"/>
      <w:numFmt w:val="decimal"/>
      <w:lvlText w:val="（%1）"/>
      <w:lvlJc w:val="left"/>
      <w:pPr>
        <w:ind w:left="220" w:hanging="529"/>
        <w:textAlignment w:val="baseline"/>
      </w:pPr>
      <w:rPr>
        <w:rFonts w:ascii="宋体" w:hAnsi="宋体" w:eastAsia="宋体"/>
        <w:spacing w:val="-3"/>
        <w:sz w:val="19"/>
        <w:szCs w:val="19"/>
        <w:lang w:val="zh-CN" w:eastAsia="zh-CN" w:bidi="zh-CN"/>
      </w:rPr>
    </w:lvl>
    <w:lvl w:ilvl="1" w:tentative="0">
      <w:start w:val="0"/>
      <w:numFmt w:val="bullet"/>
      <w:lvlText w:val="•"/>
      <w:lvlJc w:val="left"/>
      <w:pPr>
        <w:ind w:left="1246" w:hanging="529"/>
        <w:textAlignment w:val="baseline"/>
      </w:pPr>
      <w:rPr>
        <w:lang w:val="zh-CN" w:eastAsia="zh-CN" w:bidi="zh-CN"/>
      </w:rPr>
    </w:lvl>
    <w:lvl w:ilvl="2" w:tentative="0">
      <w:start w:val="0"/>
      <w:numFmt w:val="bullet"/>
      <w:lvlText w:val="•"/>
      <w:lvlJc w:val="left"/>
      <w:pPr>
        <w:ind w:left="2273" w:hanging="529"/>
        <w:textAlignment w:val="baseline"/>
      </w:pPr>
      <w:rPr>
        <w:lang w:val="zh-CN" w:eastAsia="zh-CN" w:bidi="zh-CN"/>
      </w:rPr>
    </w:lvl>
    <w:lvl w:ilvl="3" w:tentative="0">
      <w:start w:val="0"/>
      <w:numFmt w:val="bullet"/>
      <w:lvlText w:val="•"/>
      <w:lvlJc w:val="left"/>
      <w:pPr>
        <w:ind w:left="3299" w:hanging="529"/>
        <w:textAlignment w:val="baseline"/>
      </w:pPr>
      <w:rPr>
        <w:lang w:val="zh-CN" w:eastAsia="zh-CN" w:bidi="zh-CN"/>
      </w:rPr>
    </w:lvl>
    <w:lvl w:ilvl="4" w:tentative="0">
      <w:start w:val="0"/>
      <w:numFmt w:val="bullet"/>
      <w:lvlText w:val="•"/>
      <w:lvlJc w:val="left"/>
      <w:pPr>
        <w:ind w:left="4326" w:hanging="529"/>
        <w:textAlignment w:val="baseline"/>
      </w:pPr>
      <w:rPr>
        <w:lang w:val="zh-CN" w:eastAsia="zh-CN" w:bidi="zh-CN"/>
      </w:rPr>
    </w:lvl>
    <w:lvl w:ilvl="5" w:tentative="0">
      <w:start w:val="0"/>
      <w:numFmt w:val="bullet"/>
      <w:lvlText w:val="•"/>
      <w:lvlJc w:val="left"/>
      <w:pPr>
        <w:ind w:left="5353" w:hanging="529"/>
        <w:textAlignment w:val="baseline"/>
      </w:pPr>
      <w:rPr>
        <w:lang w:val="zh-CN" w:eastAsia="zh-CN" w:bidi="zh-CN"/>
      </w:rPr>
    </w:lvl>
    <w:lvl w:ilvl="6" w:tentative="0">
      <w:start w:val="0"/>
      <w:numFmt w:val="bullet"/>
      <w:lvlText w:val="•"/>
      <w:lvlJc w:val="left"/>
      <w:pPr>
        <w:ind w:left="6379" w:hanging="529"/>
        <w:textAlignment w:val="baseline"/>
      </w:pPr>
      <w:rPr>
        <w:lang w:val="zh-CN" w:eastAsia="zh-CN" w:bidi="zh-CN"/>
      </w:rPr>
    </w:lvl>
    <w:lvl w:ilvl="7" w:tentative="0">
      <w:start w:val="0"/>
      <w:numFmt w:val="bullet"/>
      <w:lvlText w:val="•"/>
      <w:lvlJc w:val="left"/>
      <w:pPr>
        <w:ind w:left="7406" w:hanging="529"/>
        <w:textAlignment w:val="baseline"/>
      </w:pPr>
      <w:rPr>
        <w:lang w:val="zh-CN" w:eastAsia="zh-CN" w:bidi="zh-CN"/>
      </w:rPr>
    </w:lvl>
    <w:lvl w:ilvl="8" w:tentative="0">
      <w:start w:val="0"/>
      <w:numFmt w:val="bullet"/>
      <w:lvlText w:val="•"/>
      <w:lvlJc w:val="left"/>
      <w:pPr>
        <w:ind w:left="8433" w:hanging="529"/>
        <w:textAlignment w:val="baseline"/>
      </w:pPr>
      <w:rPr>
        <w:lang w:val="zh-CN" w:eastAsia="zh-CN" w:bidi="zh-CN"/>
      </w:rPr>
    </w:lvl>
  </w:abstractNum>
  <w:abstractNum w:abstractNumId="11">
    <w:nsid w:val="4CC26843"/>
    <w:multiLevelType w:val="multilevel"/>
    <w:tmpl w:val="4CC26843"/>
    <w:lvl w:ilvl="0" w:tentative="0">
      <w:start w:val="10"/>
      <w:numFmt w:val="decimal"/>
      <w:pStyle w:val="146"/>
      <w:lvlText w:val="%1、"/>
      <w:lvlJc w:val="left"/>
      <w:pPr>
        <w:tabs>
          <w:tab w:val="left" w:pos="420"/>
        </w:tabs>
        <w:ind w:left="420" w:hanging="42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12">
    <w:nsid w:val="503A0AE7"/>
    <w:multiLevelType w:val="multilevel"/>
    <w:tmpl w:val="503A0AE7"/>
    <w:lvl w:ilvl="0" w:tentative="0">
      <w:start w:val="2"/>
      <w:numFmt w:val="decimal"/>
      <w:pStyle w:val="145"/>
      <w:lvlText w:val="%1、"/>
      <w:lvlJc w:val="left"/>
      <w:pPr>
        <w:tabs>
          <w:tab w:val="left" w:pos="360"/>
        </w:tabs>
        <w:ind w:left="360" w:hanging="36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3">
    <w:nsid w:val="5767656C"/>
    <w:multiLevelType w:val="multilevel"/>
    <w:tmpl w:val="5767656C"/>
    <w:lvl w:ilvl="0" w:tentative="0">
      <w:start w:val="1"/>
      <w:numFmt w:val="decimal"/>
      <w:pStyle w:val="121"/>
      <w:lvlText w:val="%1、"/>
      <w:lvlJc w:val="left"/>
      <w:pPr>
        <w:tabs>
          <w:tab w:val="left" w:pos="360"/>
        </w:tabs>
        <w:ind w:left="360"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14">
    <w:nsid w:val="732D5169"/>
    <w:multiLevelType w:val="multilevel"/>
    <w:tmpl w:val="732D5169"/>
    <w:lvl w:ilvl="0" w:tentative="0">
      <w:start w:val="1"/>
      <w:numFmt w:val="decimal"/>
      <w:pStyle w:val="102"/>
      <w:lvlText w:val="%1、"/>
      <w:lvlJc w:val="left"/>
      <w:pPr>
        <w:ind w:left="720" w:hanging="72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num w:numId="1">
    <w:abstractNumId w:val="5"/>
  </w:num>
  <w:num w:numId="2">
    <w:abstractNumId w:val="7"/>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6"/>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2"/>
  </w:num>
  <w:num w:numId="10">
    <w:abstractNumId w:val="1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
  </w:num>
  <w:num w:numId="13">
    <w:abstractNumId w:val="10"/>
  </w:num>
  <w:num w:numId="14">
    <w:abstractNumId w:val="4"/>
  </w:num>
  <w:num w:numId="15">
    <w:abstractNumId w:val="3"/>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0"/>
  <w:drawingGridHorizontalSpacing w:val="105"/>
  <w:drawingGridVerticalSpacing w:val="16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4C6"/>
    <w:rsid w:val="00001337"/>
    <w:rsid w:val="000013B7"/>
    <w:rsid w:val="000018B6"/>
    <w:rsid w:val="00002DFE"/>
    <w:rsid w:val="00003EDF"/>
    <w:rsid w:val="000044CD"/>
    <w:rsid w:val="00004A95"/>
    <w:rsid w:val="00005B70"/>
    <w:rsid w:val="00007F46"/>
    <w:rsid w:val="000101DB"/>
    <w:rsid w:val="00010919"/>
    <w:rsid w:val="00010B94"/>
    <w:rsid w:val="00011A0B"/>
    <w:rsid w:val="00011DE5"/>
    <w:rsid w:val="000129F1"/>
    <w:rsid w:val="00012D92"/>
    <w:rsid w:val="00012F89"/>
    <w:rsid w:val="0001387D"/>
    <w:rsid w:val="0001441D"/>
    <w:rsid w:val="00014556"/>
    <w:rsid w:val="000159B2"/>
    <w:rsid w:val="00015DA0"/>
    <w:rsid w:val="00016269"/>
    <w:rsid w:val="0001672C"/>
    <w:rsid w:val="000168BB"/>
    <w:rsid w:val="00020DE9"/>
    <w:rsid w:val="000213CB"/>
    <w:rsid w:val="00021874"/>
    <w:rsid w:val="000223D4"/>
    <w:rsid w:val="00023890"/>
    <w:rsid w:val="00023F78"/>
    <w:rsid w:val="00025312"/>
    <w:rsid w:val="00025D36"/>
    <w:rsid w:val="000262D5"/>
    <w:rsid w:val="000263F7"/>
    <w:rsid w:val="0002689B"/>
    <w:rsid w:val="00026A1C"/>
    <w:rsid w:val="00026D67"/>
    <w:rsid w:val="00027219"/>
    <w:rsid w:val="0002780C"/>
    <w:rsid w:val="0002783E"/>
    <w:rsid w:val="00027DB0"/>
    <w:rsid w:val="00027F18"/>
    <w:rsid w:val="00031CC2"/>
    <w:rsid w:val="00032799"/>
    <w:rsid w:val="0003289C"/>
    <w:rsid w:val="00032B3C"/>
    <w:rsid w:val="00033223"/>
    <w:rsid w:val="00033326"/>
    <w:rsid w:val="000347EB"/>
    <w:rsid w:val="000348F6"/>
    <w:rsid w:val="000351EA"/>
    <w:rsid w:val="00035299"/>
    <w:rsid w:val="00035429"/>
    <w:rsid w:val="00035F4B"/>
    <w:rsid w:val="0003699E"/>
    <w:rsid w:val="00037635"/>
    <w:rsid w:val="00037BA4"/>
    <w:rsid w:val="0004011B"/>
    <w:rsid w:val="0004063A"/>
    <w:rsid w:val="00041153"/>
    <w:rsid w:val="00042879"/>
    <w:rsid w:val="00042EF1"/>
    <w:rsid w:val="000437E9"/>
    <w:rsid w:val="00044929"/>
    <w:rsid w:val="00044B38"/>
    <w:rsid w:val="00044CE5"/>
    <w:rsid w:val="000450D9"/>
    <w:rsid w:val="000453BE"/>
    <w:rsid w:val="00046197"/>
    <w:rsid w:val="00046AF6"/>
    <w:rsid w:val="00047469"/>
    <w:rsid w:val="000475E7"/>
    <w:rsid w:val="000477D8"/>
    <w:rsid w:val="000479CE"/>
    <w:rsid w:val="00050694"/>
    <w:rsid w:val="00051EEB"/>
    <w:rsid w:val="00052196"/>
    <w:rsid w:val="00052223"/>
    <w:rsid w:val="00052760"/>
    <w:rsid w:val="00053534"/>
    <w:rsid w:val="000537AD"/>
    <w:rsid w:val="0005392D"/>
    <w:rsid w:val="00054898"/>
    <w:rsid w:val="000548CF"/>
    <w:rsid w:val="00054B73"/>
    <w:rsid w:val="00054F3A"/>
    <w:rsid w:val="00055C4B"/>
    <w:rsid w:val="00055CC5"/>
    <w:rsid w:val="0005658A"/>
    <w:rsid w:val="000565EA"/>
    <w:rsid w:val="000566E1"/>
    <w:rsid w:val="00056E07"/>
    <w:rsid w:val="000576D6"/>
    <w:rsid w:val="0006007A"/>
    <w:rsid w:val="0006032D"/>
    <w:rsid w:val="00060C6D"/>
    <w:rsid w:val="00060E23"/>
    <w:rsid w:val="00060F20"/>
    <w:rsid w:val="0006125A"/>
    <w:rsid w:val="00061670"/>
    <w:rsid w:val="00061804"/>
    <w:rsid w:val="00062015"/>
    <w:rsid w:val="00062389"/>
    <w:rsid w:val="000624A6"/>
    <w:rsid w:val="0006567D"/>
    <w:rsid w:val="00066BD9"/>
    <w:rsid w:val="0006727F"/>
    <w:rsid w:val="000676ED"/>
    <w:rsid w:val="00067BAC"/>
    <w:rsid w:val="00067F20"/>
    <w:rsid w:val="00070924"/>
    <w:rsid w:val="00070B43"/>
    <w:rsid w:val="00070B9E"/>
    <w:rsid w:val="00071167"/>
    <w:rsid w:val="000718CC"/>
    <w:rsid w:val="00071C8B"/>
    <w:rsid w:val="000729CC"/>
    <w:rsid w:val="00072F77"/>
    <w:rsid w:val="00073761"/>
    <w:rsid w:val="00073D3F"/>
    <w:rsid w:val="00074225"/>
    <w:rsid w:val="0007428A"/>
    <w:rsid w:val="0007579D"/>
    <w:rsid w:val="00075BF0"/>
    <w:rsid w:val="00076CCB"/>
    <w:rsid w:val="0008063C"/>
    <w:rsid w:val="0008194C"/>
    <w:rsid w:val="00082875"/>
    <w:rsid w:val="00082D23"/>
    <w:rsid w:val="00082D8D"/>
    <w:rsid w:val="000833C7"/>
    <w:rsid w:val="00083515"/>
    <w:rsid w:val="0008405F"/>
    <w:rsid w:val="000846EF"/>
    <w:rsid w:val="0008517A"/>
    <w:rsid w:val="0008557B"/>
    <w:rsid w:val="000857B8"/>
    <w:rsid w:val="00085847"/>
    <w:rsid w:val="00085F22"/>
    <w:rsid w:val="00087225"/>
    <w:rsid w:val="000874E4"/>
    <w:rsid w:val="000875D3"/>
    <w:rsid w:val="00087C5C"/>
    <w:rsid w:val="00087F83"/>
    <w:rsid w:val="0009032F"/>
    <w:rsid w:val="00091A8C"/>
    <w:rsid w:val="00091ED5"/>
    <w:rsid w:val="00092A03"/>
    <w:rsid w:val="00093A4F"/>
    <w:rsid w:val="000948FA"/>
    <w:rsid w:val="00094E6F"/>
    <w:rsid w:val="0009514D"/>
    <w:rsid w:val="000954C3"/>
    <w:rsid w:val="000958B3"/>
    <w:rsid w:val="000963D1"/>
    <w:rsid w:val="0009656D"/>
    <w:rsid w:val="00097AE5"/>
    <w:rsid w:val="00097C86"/>
    <w:rsid w:val="000A11B3"/>
    <w:rsid w:val="000A1412"/>
    <w:rsid w:val="000A15B2"/>
    <w:rsid w:val="000A1CAE"/>
    <w:rsid w:val="000A2779"/>
    <w:rsid w:val="000A2FFC"/>
    <w:rsid w:val="000A3ADC"/>
    <w:rsid w:val="000A41F6"/>
    <w:rsid w:val="000A433E"/>
    <w:rsid w:val="000A46C1"/>
    <w:rsid w:val="000A5613"/>
    <w:rsid w:val="000A572F"/>
    <w:rsid w:val="000A5E58"/>
    <w:rsid w:val="000A75A9"/>
    <w:rsid w:val="000A7F90"/>
    <w:rsid w:val="000A7FE5"/>
    <w:rsid w:val="000B0ECF"/>
    <w:rsid w:val="000B1A5B"/>
    <w:rsid w:val="000B1C5D"/>
    <w:rsid w:val="000B2558"/>
    <w:rsid w:val="000B2D68"/>
    <w:rsid w:val="000B374E"/>
    <w:rsid w:val="000B413E"/>
    <w:rsid w:val="000B4529"/>
    <w:rsid w:val="000B47CC"/>
    <w:rsid w:val="000B4879"/>
    <w:rsid w:val="000B4F6D"/>
    <w:rsid w:val="000B507F"/>
    <w:rsid w:val="000B5537"/>
    <w:rsid w:val="000B5721"/>
    <w:rsid w:val="000B5CC8"/>
    <w:rsid w:val="000B696D"/>
    <w:rsid w:val="000B71F6"/>
    <w:rsid w:val="000B73A2"/>
    <w:rsid w:val="000C0540"/>
    <w:rsid w:val="000C0C34"/>
    <w:rsid w:val="000C1117"/>
    <w:rsid w:val="000C1F6B"/>
    <w:rsid w:val="000C2495"/>
    <w:rsid w:val="000C28E0"/>
    <w:rsid w:val="000C2C8A"/>
    <w:rsid w:val="000C2ECC"/>
    <w:rsid w:val="000C3E78"/>
    <w:rsid w:val="000C3EF8"/>
    <w:rsid w:val="000C420D"/>
    <w:rsid w:val="000C44A5"/>
    <w:rsid w:val="000C536C"/>
    <w:rsid w:val="000C57EC"/>
    <w:rsid w:val="000C5F19"/>
    <w:rsid w:val="000C6008"/>
    <w:rsid w:val="000C6653"/>
    <w:rsid w:val="000C66DB"/>
    <w:rsid w:val="000C6A0B"/>
    <w:rsid w:val="000C7066"/>
    <w:rsid w:val="000C7558"/>
    <w:rsid w:val="000D0C1B"/>
    <w:rsid w:val="000D0C43"/>
    <w:rsid w:val="000D0EE3"/>
    <w:rsid w:val="000D25FF"/>
    <w:rsid w:val="000D277E"/>
    <w:rsid w:val="000D2BFC"/>
    <w:rsid w:val="000D2E21"/>
    <w:rsid w:val="000D3976"/>
    <w:rsid w:val="000D4F6B"/>
    <w:rsid w:val="000D5121"/>
    <w:rsid w:val="000D62C6"/>
    <w:rsid w:val="000D75A9"/>
    <w:rsid w:val="000D7A0B"/>
    <w:rsid w:val="000D7C07"/>
    <w:rsid w:val="000E0B96"/>
    <w:rsid w:val="000E0D40"/>
    <w:rsid w:val="000E15E8"/>
    <w:rsid w:val="000E177D"/>
    <w:rsid w:val="000E2879"/>
    <w:rsid w:val="000E305D"/>
    <w:rsid w:val="000E3DD4"/>
    <w:rsid w:val="000E576C"/>
    <w:rsid w:val="000E6255"/>
    <w:rsid w:val="000E6DB6"/>
    <w:rsid w:val="000E6E47"/>
    <w:rsid w:val="000E7614"/>
    <w:rsid w:val="000E7968"/>
    <w:rsid w:val="000E7FEB"/>
    <w:rsid w:val="000F04CA"/>
    <w:rsid w:val="000F11F8"/>
    <w:rsid w:val="000F1B73"/>
    <w:rsid w:val="000F1C1A"/>
    <w:rsid w:val="000F23E5"/>
    <w:rsid w:val="000F29C5"/>
    <w:rsid w:val="000F2DA3"/>
    <w:rsid w:val="000F2E9B"/>
    <w:rsid w:val="000F2F07"/>
    <w:rsid w:val="000F2F7A"/>
    <w:rsid w:val="000F3ACE"/>
    <w:rsid w:val="000F43EB"/>
    <w:rsid w:val="000F4B46"/>
    <w:rsid w:val="000F61AE"/>
    <w:rsid w:val="000F61EC"/>
    <w:rsid w:val="000F73F9"/>
    <w:rsid w:val="000F788E"/>
    <w:rsid w:val="001005DB"/>
    <w:rsid w:val="00100DA8"/>
    <w:rsid w:val="0010113D"/>
    <w:rsid w:val="001014B3"/>
    <w:rsid w:val="00102B28"/>
    <w:rsid w:val="001032A8"/>
    <w:rsid w:val="001038BF"/>
    <w:rsid w:val="0010431C"/>
    <w:rsid w:val="00105815"/>
    <w:rsid w:val="00107BEA"/>
    <w:rsid w:val="00110003"/>
    <w:rsid w:val="00110205"/>
    <w:rsid w:val="001107BB"/>
    <w:rsid w:val="00110A48"/>
    <w:rsid w:val="00110D20"/>
    <w:rsid w:val="00110D65"/>
    <w:rsid w:val="00111E6E"/>
    <w:rsid w:val="00113592"/>
    <w:rsid w:val="00113AB4"/>
    <w:rsid w:val="00113B89"/>
    <w:rsid w:val="001144B5"/>
    <w:rsid w:val="00116D9A"/>
    <w:rsid w:val="00116F77"/>
    <w:rsid w:val="0011762B"/>
    <w:rsid w:val="00117941"/>
    <w:rsid w:val="00120585"/>
    <w:rsid w:val="00120F2C"/>
    <w:rsid w:val="0012153E"/>
    <w:rsid w:val="00121F93"/>
    <w:rsid w:val="0012277F"/>
    <w:rsid w:val="00122D79"/>
    <w:rsid w:val="001235FB"/>
    <w:rsid w:val="00123765"/>
    <w:rsid w:val="00124C95"/>
    <w:rsid w:val="001263BA"/>
    <w:rsid w:val="001266EB"/>
    <w:rsid w:val="00126FE5"/>
    <w:rsid w:val="00127370"/>
    <w:rsid w:val="00130558"/>
    <w:rsid w:val="00130CF3"/>
    <w:rsid w:val="00130ED4"/>
    <w:rsid w:val="001311B3"/>
    <w:rsid w:val="001314F6"/>
    <w:rsid w:val="001322F0"/>
    <w:rsid w:val="00132834"/>
    <w:rsid w:val="00132DB9"/>
    <w:rsid w:val="0013310F"/>
    <w:rsid w:val="00134470"/>
    <w:rsid w:val="00135D45"/>
    <w:rsid w:val="001362C4"/>
    <w:rsid w:val="00136313"/>
    <w:rsid w:val="00137E7E"/>
    <w:rsid w:val="00140143"/>
    <w:rsid w:val="00140ACA"/>
    <w:rsid w:val="00141335"/>
    <w:rsid w:val="001416E8"/>
    <w:rsid w:val="00141E6D"/>
    <w:rsid w:val="00142438"/>
    <w:rsid w:val="001425A1"/>
    <w:rsid w:val="001435AC"/>
    <w:rsid w:val="00143D59"/>
    <w:rsid w:val="00145FB0"/>
    <w:rsid w:val="001469CA"/>
    <w:rsid w:val="00146B82"/>
    <w:rsid w:val="001471F2"/>
    <w:rsid w:val="00147B8A"/>
    <w:rsid w:val="00147BE5"/>
    <w:rsid w:val="00150525"/>
    <w:rsid w:val="0015094A"/>
    <w:rsid w:val="00150DF7"/>
    <w:rsid w:val="001510D1"/>
    <w:rsid w:val="001516C3"/>
    <w:rsid w:val="00151D2D"/>
    <w:rsid w:val="00152D96"/>
    <w:rsid w:val="00152F7C"/>
    <w:rsid w:val="001542F8"/>
    <w:rsid w:val="0015455A"/>
    <w:rsid w:val="00155066"/>
    <w:rsid w:val="00155D38"/>
    <w:rsid w:val="00156396"/>
    <w:rsid w:val="0015671F"/>
    <w:rsid w:val="0015681B"/>
    <w:rsid w:val="001570D0"/>
    <w:rsid w:val="00157924"/>
    <w:rsid w:val="00157B76"/>
    <w:rsid w:val="00157E18"/>
    <w:rsid w:val="001602B0"/>
    <w:rsid w:val="00160C6A"/>
    <w:rsid w:val="00161707"/>
    <w:rsid w:val="0016248D"/>
    <w:rsid w:val="00162566"/>
    <w:rsid w:val="00162B46"/>
    <w:rsid w:val="00163DC1"/>
    <w:rsid w:val="001645D1"/>
    <w:rsid w:val="001646BE"/>
    <w:rsid w:val="00164773"/>
    <w:rsid w:val="00165766"/>
    <w:rsid w:val="00165878"/>
    <w:rsid w:val="00166002"/>
    <w:rsid w:val="00166373"/>
    <w:rsid w:val="00166F4E"/>
    <w:rsid w:val="0016726A"/>
    <w:rsid w:val="001674CC"/>
    <w:rsid w:val="00167668"/>
    <w:rsid w:val="00167E54"/>
    <w:rsid w:val="00171117"/>
    <w:rsid w:val="00171480"/>
    <w:rsid w:val="0017165F"/>
    <w:rsid w:val="00171C74"/>
    <w:rsid w:val="00172A27"/>
    <w:rsid w:val="00172A6B"/>
    <w:rsid w:val="00173107"/>
    <w:rsid w:val="00173A8C"/>
    <w:rsid w:val="001744D1"/>
    <w:rsid w:val="001744E5"/>
    <w:rsid w:val="001749DC"/>
    <w:rsid w:val="00175F34"/>
    <w:rsid w:val="001769D7"/>
    <w:rsid w:val="00176D4F"/>
    <w:rsid w:val="001778D0"/>
    <w:rsid w:val="001802D3"/>
    <w:rsid w:val="00182485"/>
    <w:rsid w:val="00183173"/>
    <w:rsid w:val="001835A1"/>
    <w:rsid w:val="00183711"/>
    <w:rsid w:val="00183E10"/>
    <w:rsid w:val="00184E96"/>
    <w:rsid w:val="00185DC2"/>
    <w:rsid w:val="0018691E"/>
    <w:rsid w:val="00187C2D"/>
    <w:rsid w:val="00187DDD"/>
    <w:rsid w:val="00190852"/>
    <w:rsid w:val="001915EF"/>
    <w:rsid w:val="0019191E"/>
    <w:rsid w:val="001919A2"/>
    <w:rsid w:val="00192145"/>
    <w:rsid w:val="00192A99"/>
    <w:rsid w:val="00192CAD"/>
    <w:rsid w:val="00193759"/>
    <w:rsid w:val="001940C1"/>
    <w:rsid w:val="0019499B"/>
    <w:rsid w:val="00195599"/>
    <w:rsid w:val="0019638D"/>
    <w:rsid w:val="00197536"/>
    <w:rsid w:val="00197DBA"/>
    <w:rsid w:val="001A0305"/>
    <w:rsid w:val="001A0655"/>
    <w:rsid w:val="001A0C7C"/>
    <w:rsid w:val="001A2AF4"/>
    <w:rsid w:val="001A2B0E"/>
    <w:rsid w:val="001A4DFB"/>
    <w:rsid w:val="001A54BF"/>
    <w:rsid w:val="001A618D"/>
    <w:rsid w:val="001A6194"/>
    <w:rsid w:val="001A730C"/>
    <w:rsid w:val="001A753D"/>
    <w:rsid w:val="001A7793"/>
    <w:rsid w:val="001A7AFA"/>
    <w:rsid w:val="001B05FD"/>
    <w:rsid w:val="001B075E"/>
    <w:rsid w:val="001B0BFB"/>
    <w:rsid w:val="001B0E17"/>
    <w:rsid w:val="001B2088"/>
    <w:rsid w:val="001B2486"/>
    <w:rsid w:val="001B27AA"/>
    <w:rsid w:val="001B31A8"/>
    <w:rsid w:val="001B3929"/>
    <w:rsid w:val="001B3D9D"/>
    <w:rsid w:val="001B4228"/>
    <w:rsid w:val="001B430D"/>
    <w:rsid w:val="001B491B"/>
    <w:rsid w:val="001B4B63"/>
    <w:rsid w:val="001B4E72"/>
    <w:rsid w:val="001B50ED"/>
    <w:rsid w:val="001B58DA"/>
    <w:rsid w:val="001C00E9"/>
    <w:rsid w:val="001C08F0"/>
    <w:rsid w:val="001C155B"/>
    <w:rsid w:val="001C15EA"/>
    <w:rsid w:val="001C1789"/>
    <w:rsid w:val="001C1DFF"/>
    <w:rsid w:val="001C2376"/>
    <w:rsid w:val="001C2DE2"/>
    <w:rsid w:val="001C36AD"/>
    <w:rsid w:val="001C3A5B"/>
    <w:rsid w:val="001C3F2D"/>
    <w:rsid w:val="001C445D"/>
    <w:rsid w:val="001C4E38"/>
    <w:rsid w:val="001C5864"/>
    <w:rsid w:val="001C5B56"/>
    <w:rsid w:val="001C5DA3"/>
    <w:rsid w:val="001C60E8"/>
    <w:rsid w:val="001C6E61"/>
    <w:rsid w:val="001C7716"/>
    <w:rsid w:val="001D0A40"/>
    <w:rsid w:val="001D10F9"/>
    <w:rsid w:val="001D197C"/>
    <w:rsid w:val="001D1A98"/>
    <w:rsid w:val="001D1ED0"/>
    <w:rsid w:val="001D1ED4"/>
    <w:rsid w:val="001D1EDB"/>
    <w:rsid w:val="001D2873"/>
    <w:rsid w:val="001D34F8"/>
    <w:rsid w:val="001D36DD"/>
    <w:rsid w:val="001D4CC4"/>
    <w:rsid w:val="001D4D59"/>
    <w:rsid w:val="001D4F38"/>
    <w:rsid w:val="001D53A1"/>
    <w:rsid w:val="001D5991"/>
    <w:rsid w:val="001D5B5B"/>
    <w:rsid w:val="001D685B"/>
    <w:rsid w:val="001D69FF"/>
    <w:rsid w:val="001D7AD4"/>
    <w:rsid w:val="001E063D"/>
    <w:rsid w:val="001E0AF7"/>
    <w:rsid w:val="001E0E8A"/>
    <w:rsid w:val="001E12DF"/>
    <w:rsid w:val="001E1667"/>
    <w:rsid w:val="001E17B0"/>
    <w:rsid w:val="001E1912"/>
    <w:rsid w:val="001E23C5"/>
    <w:rsid w:val="001E2BFA"/>
    <w:rsid w:val="001E2C7D"/>
    <w:rsid w:val="001E2E48"/>
    <w:rsid w:val="001E39CE"/>
    <w:rsid w:val="001E4437"/>
    <w:rsid w:val="001E4CB8"/>
    <w:rsid w:val="001E5AEF"/>
    <w:rsid w:val="001E5F56"/>
    <w:rsid w:val="001E658D"/>
    <w:rsid w:val="001E68BD"/>
    <w:rsid w:val="001F0697"/>
    <w:rsid w:val="001F0885"/>
    <w:rsid w:val="001F09C1"/>
    <w:rsid w:val="001F0ECA"/>
    <w:rsid w:val="001F1F51"/>
    <w:rsid w:val="001F212E"/>
    <w:rsid w:val="001F225A"/>
    <w:rsid w:val="001F227A"/>
    <w:rsid w:val="001F2FD9"/>
    <w:rsid w:val="001F32B8"/>
    <w:rsid w:val="001F3672"/>
    <w:rsid w:val="001F488F"/>
    <w:rsid w:val="001F549B"/>
    <w:rsid w:val="001F561F"/>
    <w:rsid w:val="001F5AAC"/>
    <w:rsid w:val="001F6A66"/>
    <w:rsid w:val="001F7361"/>
    <w:rsid w:val="001F753B"/>
    <w:rsid w:val="00200261"/>
    <w:rsid w:val="00200714"/>
    <w:rsid w:val="00201F27"/>
    <w:rsid w:val="00201F3E"/>
    <w:rsid w:val="00201F42"/>
    <w:rsid w:val="0020368C"/>
    <w:rsid w:val="00204AE2"/>
    <w:rsid w:val="00204C17"/>
    <w:rsid w:val="00204F22"/>
    <w:rsid w:val="0020523F"/>
    <w:rsid w:val="00205296"/>
    <w:rsid w:val="00205869"/>
    <w:rsid w:val="00206F16"/>
    <w:rsid w:val="00207832"/>
    <w:rsid w:val="00207E05"/>
    <w:rsid w:val="002104D4"/>
    <w:rsid w:val="0021053B"/>
    <w:rsid w:val="002119EA"/>
    <w:rsid w:val="002120CB"/>
    <w:rsid w:val="002123D9"/>
    <w:rsid w:val="00214A1E"/>
    <w:rsid w:val="00214F53"/>
    <w:rsid w:val="00214F55"/>
    <w:rsid w:val="00214F5D"/>
    <w:rsid w:val="00215415"/>
    <w:rsid w:val="002157B0"/>
    <w:rsid w:val="00215924"/>
    <w:rsid w:val="00216BAD"/>
    <w:rsid w:val="00220644"/>
    <w:rsid w:val="00220760"/>
    <w:rsid w:val="002208D5"/>
    <w:rsid w:val="00221957"/>
    <w:rsid w:val="0022251B"/>
    <w:rsid w:val="002232F0"/>
    <w:rsid w:val="00223EFA"/>
    <w:rsid w:val="002242D1"/>
    <w:rsid w:val="00224ADC"/>
    <w:rsid w:val="00224D1C"/>
    <w:rsid w:val="00225003"/>
    <w:rsid w:val="00225A75"/>
    <w:rsid w:val="00225F3D"/>
    <w:rsid w:val="002260F6"/>
    <w:rsid w:val="0022623E"/>
    <w:rsid w:val="00226C52"/>
    <w:rsid w:val="00226D59"/>
    <w:rsid w:val="00227130"/>
    <w:rsid w:val="00227253"/>
    <w:rsid w:val="0022747E"/>
    <w:rsid w:val="00230A93"/>
    <w:rsid w:val="002319A7"/>
    <w:rsid w:val="00231C28"/>
    <w:rsid w:val="0023222B"/>
    <w:rsid w:val="00232580"/>
    <w:rsid w:val="002328D0"/>
    <w:rsid w:val="00233005"/>
    <w:rsid w:val="0023399F"/>
    <w:rsid w:val="00233DDE"/>
    <w:rsid w:val="00233EBD"/>
    <w:rsid w:val="00235600"/>
    <w:rsid w:val="002357CC"/>
    <w:rsid w:val="00235D04"/>
    <w:rsid w:val="00235E96"/>
    <w:rsid w:val="00236046"/>
    <w:rsid w:val="002367BD"/>
    <w:rsid w:val="00236842"/>
    <w:rsid w:val="0023698E"/>
    <w:rsid w:val="002375CA"/>
    <w:rsid w:val="0023796E"/>
    <w:rsid w:val="00237FCB"/>
    <w:rsid w:val="0024035D"/>
    <w:rsid w:val="00240D3C"/>
    <w:rsid w:val="00241081"/>
    <w:rsid w:val="002412FE"/>
    <w:rsid w:val="00241589"/>
    <w:rsid w:val="00241F1B"/>
    <w:rsid w:val="002431C1"/>
    <w:rsid w:val="00243B00"/>
    <w:rsid w:val="00243C55"/>
    <w:rsid w:val="00243FF3"/>
    <w:rsid w:val="00244362"/>
    <w:rsid w:val="00244DCF"/>
    <w:rsid w:val="00245966"/>
    <w:rsid w:val="00247462"/>
    <w:rsid w:val="00247BB2"/>
    <w:rsid w:val="00247BBB"/>
    <w:rsid w:val="002505BF"/>
    <w:rsid w:val="00250A84"/>
    <w:rsid w:val="00250E32"/>
    <w:rsid w:val="0025153B"/>
    <w:rsid w:val="00251CEE"/>
    <w:rsid w:val="00251F00"/>
    <w:rsid w:val="00252568"/>
    <w:rsid w:val="002526A7"/>
    <w:rsid w:val="00252CDE"/>
    <w:rsid w:val="00252F54"/>
    <w:rsid w:val="00253F18"/>
    <w:rsid w:val="002541B3"/>
    <w:rsid w:val="00254A0B"/>
    <w:rsid w:val="00254EAE"/>
    <w:rsid w:val="00255867"/>
    <w:rsid w:val="00256919"/>
    <w:rsid w:val="00256BC0"/>
    <w:rsid w:val="00256D99"/>
    <w:rsid w:val="00257249"/>
    <w:rsid w:val="00257D12"/>
    <w:rsid w:val="00260D72"/>
    <w:rsid w:val="00261571"/>
    <w:rsid w:val="002622FF"/>
    <w:rsid w:val="0026235F"/>
    <w:rsid w:val="0026252E"/>
    <w:rsid w:val="00262D17"/>
    <w:rsid w:val="00262D8E"/>
    <w:rsid w:val="00263EBA"/>
    <w:rsid w:val="0026435E"/>
    <w:rsid w:val="002645C6"/>
    <w:rsid w:val="002646C8"/>
    <w:rsid w:val="00264AC3"/>
    <w:rsid w:val="00264D0E"/>
    <w:rsid w:val="0026593A"/>
    <w:rsid w:val="002667F5"/>
    <w:rsid w:val="002670BA"/>
    <w:rsid w:val="00270A3B"/>
    <w:rsid w:val="00270E2C"/>
    <w:rsid w:val="00271214"/>
    <w:rsid w:val="002712B8"/>
    <w:rsid w:val="00271811"/>
    <w:rsid w:val="00271E79"/>
    <w:rsid w:val="00271FE8"/>
    <w:rsid w:val="00272BD6"/>
    <w:rsid w:val="00274915"/>
    <w:rsid w:val="00274931"/>
    <w:rsid w:val="00275040"/>
    <w:rsid w:val="002752BF"/>
    <w:rsid w:val="002753DE"/>
    <w:rsid w:val="002756E5"/>
    <w:rsid w:val="00276026"/>
    <w:rsid w:val="0027678A"/>
    <w:rsid w:val="00276E00"/>
    <w:rsid w:val="00276FA7"/>
    <w:rsid w:val="00277A10"/>
    <w:rsid w:val="002804E0"/>
    <w:rsid w:val="0028080B"/>
    <w:rsid w:val="00280C3A"/>
    <w:rsid w:val="00280C83"/>
    <w:rsid w:val="00282328"/>
    <w:rsid w:val="00282C09"/>
    <w:rsid w:val="00282F8A"/>
    <w:rsid w:val="00283148"/>
    <w:rsid w:val="002838FC"/>
    <w:rsid w:val="00284129"/>
    <w:rsid w:val="00284B97"/>
    <w:rsid w:val="00285335"/>
    <w:rsid w:val="002867C3"/>
    <w:rsid w:val="0028690A"/>
    <w:rsid w:val="002876C2"/>
    <w:rsid w:val="002877A9"/>
    <w:rsid w:val="002877D8"/>
    <w:rsid w:val="00287C40"/>
    <w:rsid w:val="00290D88"/>
    <w:rsid w:val="00291055"/>
    <w:rsid w:val="0029107F"/>
    <w:rsid w:val="002925E9"/>
    <w:rsid w:val="0029273C"/>
    <w:rsid w:val="00293049"/>
    <w:rsid w:val="0029344E"/>
    <w:rsid w:val="00293CF0"/>
    <w:rsid w:val="00294E2B"/>
    <w:rsid w:val="00295FD3"/>
    <w:rsid w:val="00296D24"/>
    <w:rsid w:val="0029723E"/>
    <w:rsid w:val="0029750A"/>
    <w:rsid w:val="002975D9"/>
    <w:rsid w:val="0029775F"/>
    <w:rsid w:val="0029782B"/>
    <w:rsid w:val="00297DFB"/>
    <w:rsid w:val="002A02C3"/>
    <w:rsid w:val="002A03C3"/>
    <w:rsid w:val="002A0E23"/>
    <w:rsid w:val="002A1884"/>
    <w:rsid w:val="002A2818"/>
    <w:rsid w:val="002A354A"/>
    <w:rsid w:val="002A386E"/>
    <w:rsid w:val="002A39C0"/>
    <w:rsid w:val="002A4859"/>
    <w:rsid w:val="002A51BC"/>
    <w:rsid w:val="002A56EE"/>
    <w:rsid w:val="002A594B"/>
    <w:rsid w:val="002A5D3D"/>
    <w:rsid w:val="002A63AF"/>
    <w:rsid w:val="002A76D5"/>
    <w:rsid w:val="002B006B"/>
    <w:rsid w:val="002B06E4"/>
    <w:rsid w:val="002B0DC9"/>
    <w:rsid w:val="002B0FA1"/>
    <w:rsid w:val="002B23DA"/>
    <w:rsid w:val="002B24ED"/>
    <w:rsid w:val="002B2508"/>
    <w:rsid w:val="002B33CB"/>
    <w:rsid w:val="002B37B2"/>
    <w:rsid w:val="002B384D"/>
    <w:rsid w:val="002B414D"/>
    <w:rsid w:val="002B5325"/>
    <w:rsid w:val="002B6522"/>
    <w:rsid w:val="002B6B8E"/>
    <w:rsid w:val="002B786C"/>
    <w:rsid w:val="002C0072"/>
    <w:rsid w:val="002C0DB1"/>
    <w:rsid w:val="002C17B1"/>
    <w:rsid w:val="002C1F1A"/>
    <w:rsid w:val="002C24D3"/>
    <w:rsid w:val="002C2C8C"/>
    <w:rsid w:val="002C33CF"/>
    <w:rsid w:val="002C3CF8"/>
    <w:rsid w:val="002C4464"/>
    <w:rsid w:val="002C469D"/>
    <w:rsid w:val="002C48C1"/>
    <w:rsid w:val="002C5442"/>
    <w:rsid w:val="002C6385"/>
    <w:rsid w:val="002C6C63"/>
    <w:rsid w:val="002D0BB7"/>
    <w:rsid w:val="002D0FD8"/>
    <w:rsid w:val="002D2775"/>
    <w:rsid w:val="002D3364"/>
    <w:rsid w:val="002D3446"/>
    <w:rsid w:val="002D363F"/>
    <w:rsid w:val="002D3B24"/>
    <w:rsid w:val="002D409E"/>
    <w:rsid w:val="002D494E"/>
    <w:rsid w:val="002D4A59"/>
    <w:rsid w:val="002D4B89"/>
    <w:rsid w:val="002D53A6"/>
    <w:rsid w:val="002D54AD"/>
    <w:rsid w:val="002D55C0"/>
    <w:rsid w:val="002D634B"/>
    <w:rsid w:val="002D6EA7"/>
    <w:rsid w:val="002E0157"/>
    <w:rsid w:val="002E02CC"/>
    <w:rsid w:val="002E0E5C"/>
    <w:rsid w:val="002E0F20"/>
    <w:rsid w:val="002E0F78"/>
    <w:rsid w:val="002E140B"/>
    <w:rsid w:val="002E24DF"/>
    <w:rsid w:val="002E25CC"/>
    <w:rsid w:val="002E2695"/>
    <w:rsid w:val="002E30FC"/>
    <w:rsid w:val="002E341F"/>
    <w:rsid w:val="002E3506"/>
    <w:rsid w:val="002E37D8"/>
    <w:rsid w:val="002E3D47"/>
    <w:rsid w:val="002E4593"/>
    <w:rsid w:val="002E464A"/>
    <w:rsid w:val="002E4AB6"/>
    <w:rsid w:val="002E5526"/>
    <w:rsid w:val="002E633E"/>
    <w:rsid w:val="002E64C5"/>
    <w:rsid w:val="002E66FF"/>
    <w:rsid w:val="002E7160"/>
    <w:rsid w:val="002E7200"/>
    <w:rsid w:val="002F0763"/>
    <w:rsid w:val="002F131E"/>
    <w:rsid w:val="002F22DF"/>
    <w:rsid w:val="002F31F7"/>
    <w:rsid w:val="002F3850"/>
    <w:rsid w:val="002F3F27"/>
    <w:rsid w:val="002F425E"/>
    <w:rsid w:val="002F5B55"/>
    <w:rsid w:val="002F5D9E"/>
    <w:rsid w:val="002F5FCC"/>
    <w:rsid w:val="002F642B"/>
    <w:rsid w:val="002F65D8"/>
    <w:rsid w:val="002F6B58"/>
    <w:rsid w:val="002F6CFA"/>
    <w:rsid w:val="002F7585"/>
    <w:rsid w:val="002F7811"/>
    <w:rsid w:val="002F79A9"/>
    <w:rsid w:val="002F7C2D"/>
    <w:rsid w:val="002F7E7A"/>
    <w:rsid w:val="00300AA6"/>
    <w:rsid w:val="00300EAC"/>
    <w:rsid w:val="00301313"/>
    <w:rsid w:val="00301E6D"/>
    <w:rsid w:val="00302CA2"/>
    <w:rsid w:val="00303505"/>
    <w:rsid w:val="0030368F"/>
    <w:rsid w:val="0030426C"/>
    <w:rsid w:val="00305D6F"/>
    <w:rsid w:val="00305E4F"/>
    <w:rsid w:val="0030677B"/>
    <w:rsid w:val="00306850"/>
    <w:rsid w:val="003069F3"/>
    <w:rsid w:val="003075AB"/>
    <w:rsid w:val="00307EC5"/>
    <w:rsid w:val="0031071F"/>
    <w:rsid w:val="00311747"/>
    <w:rsid w:val="0031186C"/>
    <w:rsid w:val="00312481"/>
    <w:rsid w:val="00312600"/>
    <w:rsid w:val="003135E7"/>
    <w:rsid w:val="003139AD"/>
    <w:rsid w:val="00314524"/>
    <w:rsid w:val="00315260"/>
    <w:rsid w:val="003159D2"/>
    <w:rsid w:val="00316D17"/>
    <w:rsid w:val="00317200"/>
    <w:rsid w:val="00317284"/>
    <w:rsid w:val="003224B8"/>
    <w:rsid w:val="00322829"/>
    <w:rsid w:val="00322973"/>
    <w:rsid w:val="00322AFB"/>
    <w:rsid w:val="0032519A"/>
    <w:rsid w:val="003257DD"/>
    <w:rsid w:val="00325888"/>
    <w:rsid w:val="00325A26"/>
    <w:rsid w:val="00326D5D"/>
    <w:rsid w:val="00326FAC"/>
    <w:rsid w:val="00330B1C"/>
    <w:rsid w:val="0033149C"/>
    <w:rsid w:val="003318B6"/>
    <w:rsid w:val="00331C1D"/>
    <w:rsid w:val="0033279C"/>
    <w:rsid w:val="00332956"/>
    <w:rsid w:val="00333B85"/>
    <w:rsid w:val="003349C9"/>
    <w:rsid w:val="0033500D"/>
    <w:rsid w:val="003355F5"/>
    <w:rsid w:val="00336A25"/>
    <w:rsid w:val="00337218"/>
    <w:rsid w:val="0033753E"/>
    <w:rsid w:val="003376DE"/>
    <w:rsid w:val="0034067E"/>
    <w:rsid w:val="00340D00"/>
    <w:rsid w:val="00340D9C"/>
    <w:rsid w:val="003415C5"/>
    <w:rsid w:val="00341AC4"/>
    <w:rsid w:val="00342B21"/>
    <w:rsid w:val="00343472"/>
    <w:rsid w:val="003443B3"/>
    <w:rsid w:val="00344471"/>
    <w:rsid w:val="00344592"/>
    <w:rsid w:val="00344B2A"/>
    <w:rsid w:val="003452AE"/>
    <w:rsid w:val="00345549"/>
    <w:rsid w:val="003463F2"/>
    <w:rsid w:val="00346460"/>
    <w:rsid w:val="00346821"/>
    <w:rsid w:val="00346F61"/>
    <w:rsid w:val="0034753D"/>
    <w:rsid w:val="003521FC"/>
    <w:rsid w:val="00352217"/>
    <w:rsid w:val="003531D2"/>
    <w:rsid w:val="003538F1"/>
    <w:rsid w:val="00353CE1"/>
    <w:rsid w:val="00353D7D"/>
    <w:rsid w:val="00353DCF"/>
    <w:rsid w:val="00354149"/>
    <w:rsid w:val="003542AA"/>
    <w:rsid w:val="00354F0F"/>
    <w:rsid w:val="003551A6"/>
    <w:rsid w:val="00355277"/>
    <w:rsid w:val="003552AB"/>
    <w:rsid w:val="003553F2"/>
    <w:rsid w:val="00355596"/>
    <w:rsid w:val="00355677"/>
    <w:rsid w:val="0035569F"/>
    <w:rsid w:val="00355AA8"/>
    <w:rsid w:val="00355F5B"/>
    <w:rsid w:val="00356832"/>
    <w:rsid w:val="00356DF3"/>
    <w:rsid w:val="00357417"/>
    <w:rsid w:val="00360858"/>
    <w:rsid w:val="003608FB"/>
    <w:rsid w:val="003609AF"/>
    <w:rsid w:val="00361138"/>
    <w:rsid w:val="003623AE"/>
    <w:rsid w:val="00364466"/>
    <w:rsid w:val="00365501"/>
    <w:rsid w:val="00365E4E"/>
    <w:rsid w:val="00365ED8"/>
    <w:rsid w:val="00366486"/>
    <w:rsid w:val="00366B47"/>
    <w:rsid w:val="003670F7"/>
    <w:rsid w:val="00367890"/>
    <w:rsid w:val="00367DFB"/>
    <w:rsid w:val="0037000D"/>
    <w:rsid w:val="00370D7D"/>
    <w:rsid w:val="00373DDB"/>
    <w:rsid w:val="0037414F"/>
    <w:rsid w:val="00375CA0"/>
    <w:rsid w:val="00376755"/>
    <w:rsid w:val="0037754E"/>
    <w:rsid w:val="00377A8D"/>
    <w:rsid w:val="00377ED8"/>
    <w:rsid w:val="003802B3"/>
    <w:rsid w:val="003806E5"/>
    <w:rsid w:val="0038228C"/>
    <w:rsid w:val="00382A8A"/>
    <w:rsid w:val="003830DA"/>
    <w:rsid w:val="003855A5"/>
    <w:rsid w:val="00385DBE"/>
    <w:rsid w:val="0038603B"/>
    <w:rsid w:val="003862AA"/>
    <w:rsid w:val="003875CA"/>
    <w:rsid w:val="00387761"/>
    <w:rsid w:val="003878F7"/>
    <w:rsid w:val="00387F5A"/>
    <w:rsid w:val="00390130"/>
    <w:rsid w:val="00391016"/>
    <w:rsid w:val="00391368"/>
    <w:rsid w:val="0039142E"/>
    <w:rsid w:val="00391BBF"/>
    <w:rsid w:val="003921C5"/>
    <w:rsid w:val="00393FE0"/>
    <w:rsid w:val="003943E0"/>
    <w:rsid w:val="0039446C"/>
    <w:rsid w:val="00394F8B"/>
    <w:rsid w:val="00395998"/>
    <w:rsid w:val="00395EC7"/>
    <w:rsid w:val="0039660D"/>
    <w:rsid w:val="00396995"/>
    <w:rsid w:val="00396C01"/>
    <w:rsid w:val="00396FD8"/>
    <w:rsid w:val="0039794D"/>
    <w:rsid w:val="00397A67"/>
    <w:rsid w:val="00397BAD"/>
    <w:rsid w:val="00397D00"/>
    <w:rsid w:val="003A10A8"/>
    <w:rsid w:val="003A1DF5"/>
    <w:rsid w:val="003A2027"/>
    <w:rsid w:val="003A385A"/>
    <w:rsid w:val="003A3AAC"/>
    <w:rsid w:val="003A4681"/>
    <w:rsid w:val="003A46F7"/>
    <w:rsid w:val="003A4C9B"/>
    <w:rsid w:val="003A55C4"/>
    <w:rsid w:val="003A57B4"/>
    <w:rsid w:val="003A5874"/>
    <w:rsid w:val="003A61BA"/>
    <w:rsid w:val="003A62E2"/>
    <w:rsid w:val="003A641E"/>
    <w:rsid w:val="003A682A"/>
    <w:rsid w:val="003A6BE5"/>
    <w:rsid w:val="003A6E33"/>
    <w:rsid w:val="003A7D94"/>
    <w:rsid w:val="003B0372"/>
    <w:rsid w:val="003B077C"/>
    <w:rsid w:val="003B084C"/>
    <w:rsid w:val="003B0C88"/>
    <w:rsid w:val="003B0E73"/>
    <w:rsid w:val="003B2A22"/>
    <w:rsid w:val="003B2C5F"/>
    <w:rsid w:val="003B2EA4"/>
    <w:rsid w:val="003B3E15"/>
    <w:rsid w:val="003B421B"/>
    <w:rsid w:val="003B46D9"/>
    <w:rsid w:val="003B4E76"/>
    <w:rsid w:val="003B50DF"/>
    <w:rsid w:val="003B5B6C"/>
    <w:rsid w:val="003B5CE7"/>
    <w:rsid w:val="003B5CFB"/>
    <w:rsid w:val="003B6177"/>
    <w:rsid w:val="003B63E1"/>
    <w:rsid w:val="003B670B"/>
    <w:rsid w:val="003C0F17"/>
    <w:rsid w:val="003C114A"/>
    <w:rsid w:val="003C13E1"/>
    <w:rsid w:val="003C2235"/>
    <w:rsid w:val="003C2FB0"/>
    <w:rsid w:val="003C48AB"/>
    <w:rsid w:val="003C54CB"/>
    <w:rsid w:val="003C65A9"/>
    <w:rsid w:val="003C7666"/>
    <w:rsid w:val="003D009C"/>
    <w:rsid w:val="003D00CA"/>
    <w:rsid w:val="003D0655"/>
    <w:rsid w:val="003D0D38"/>
    <w:rsid w:val="003D13C7"/>
    <w:rsid w:val="003D25F8"/>
    <w:rsid w:val="003D2A67"/>
    <w:rsid w:val="003D2C97"/>
    <w:rsid w:val="003D2DEA"/>
    <w:rsid w:val="003D31BA"/>
    <w:rsid w:val="003D4F0B"/>
    <w:rsid w:val="003D52BF"/>
    <w:rsid w:val="003D74FF"/>
    <w:rsid w:val="003D7B1E"/>
    <w:rsid w:val="003D7CDD"/>
    <w:rsid w:val="003D7E5B"/>
    <w:rsid w:val="003E02A5"/>
    <w:rsid w:val="003E0BE7"/>
    <w:rsid w:val="003E0C4B"/>
    <w:rsid w:val="003E1568"/>
    <w:rsid w:val="003E18DA"/>
    <w:rsid w:val="003E1C40"/>
    <w:rsid w:val="003E2125"/>
    <w:rsid w:val="003E21D9"/>
    <w:rsid w:val="003E2307"/>
    <w:rsid w:val="003E2D43"/>
    <w:rsid w:val="003E32C7"/>
    <w:rsid w:val="003E3314"/>
    <w:rsid w:val="003E3C54"/>
    <w:rsid w:val="003E4DAC"/>
    <w:rsid w:val="003E51FA"/>
    <w:rsid w:val="003E7662"/>
    <w:rsid w:val="003E7883"/>
    <w:rsid w:val="003F017D"/>
    <w:rsid w:val="003F01FA"/>
    <w:rsid w:val="003F0E48"/>
    <w:rsid w:val="003F11FF"/>
    <w:rsid w:val="003F2063"/>
    <w:rsid w:val="003F215E"/>
    <w:rsid w:val="003F237B"/>
    <w:rsid w:val="003F2D71"/>
    <w:rsid w:val="003F51A0"/>
    <w:rsid w:val="003F51CC"/>
    <w:rsid w:val="003F60BA"/>
    <w:rsid w:val="003F683C"/>
    <w:rsid w:val="003F6F84"/>
    <w:rsid w:val="003F723A"/>
    <w:rsid w:val="003F7460"/>
    <w:rsid w:val="003F7792"/>
    <w:rsid w:val="003F7927"/>
    <w:rsid w:val="003F7F9D"/>
    <w:rsid w:val="004001A1"/>
    <w:rsid w:val="00401638"/>
    <w:rsid w:val="00402738"/>
    <w:rsid w:val="00402A9A"/>
    <w:rsid w:val="00402C3C"/>
    <w:rsid w:val="004032B9"/>
    <w:rsid w:val="00403728"/>
    <w:rsid w:val="00403925"/>
    <w:rsid w:val="00403B4A"/>
    <w:rsid w:val="00404F1A"/>
    <w:rsid w:val="00405414"/>
    <w:rsid w:val="004057D6"/>
    <w:rsid w:val="00405D1E"/>
    <w:rsid w:val="00406442"/>
    <w:rsid w:val="004065FC"/>
    <w:rsid w:val="00406728"/>
    <w:rsid w:val="00406DDE"/>
    <w:rsid w:val="00406F4F"/>
    <w:rsid w:val="00407253"/>
    <w:rsid w:val="00410650"/>
    <w:rsid w:val="00410EAB"/>
    <w:rsid w:val="0041154F"/>
    <w:rsid w:val="0041158E"/>
    <w:rsid w:val="00411DC2"/>
    <w:rsid w:val="00411DCE"/>
    <w:rsid w:val="00412BFF"/>
    <w:rsid w:val="004132CC"/>
    <w:rsid w:val="00413600"/>
    <w:rsid w:val="00413D9F"/>
    <w:rsid w:val="004146E9"/>
    <w:rsid w:val="00414D0D"/>
    <w:rsid w:val="00414DE8"/>
    <w:rsid w:val="0041577C"/>
    <w:rsid w:val="00415990"/>
    <w:rsid w:val="004159FF"/>
    <w:rsid w:val="00416203"/>
    <w:rsid w:val="004200A1"/>
    <w:rsid w:val="0042031A"/>
    <w:rsid w:val="00420588"/>
    <w:rsid w:val="0042058D"/>
    <w:rsid w:val="00420B80"/>
    <w:rsid w:val="004214E1"/>
    <w:rsid w:val="00421BC0"/>
    <w:rsid w:val="00422126"/>
    <w:rsid w:val="00422528"/>
    <w:rsid w:val="00423C0C"/>
    <w:rsid w:val="00424326"/>
    <w:rsid w:val="004243B9"/>
    <w:rsid w:val="00425319"/>
    <w:rsid w:val="0042539B"/>
    <w:rsid w:val="004254F0"/>
    <w:rsid w:val="00426A46"/>
    <w:rsid w:val="00426D73"/>
    <w:rsid w:val="00426EB3"/>
    <w:rsid w:val="00426F1F"/>
    <w:rsid w:val="004278D2"/>
    <w:rsid w:val="004306E4"/>
    <w:rsid w:val="00430733"/>
    <w:rsid w:val="00430916"/>
    <w:rsid w:val="0043156E"/>
    <w:rsid w:val="004321C1"/>
    <w:rsid w:val="00432726"/>
    <w:rsid w:val="004332AF"/>
    <w:rsid w:val="00433FBA"/>
    <w:rsid w:val="0043432A"/>
    <w:rsid w:val="004356C0"/>
    <w:rsid w:val="00435C5B"/>
    <w:rsid w:val="0043621C"/>
    <w:rsid w:val="00436516"/>
    <w:rsid w:val="00437335"/>
    <w:rsid w:val="0043753A"/>
    <w:rsid w:val="00437CD0"/>
    <w:rsid w:val="0044050E"/>
    <w:rsid w:val="00440A59"/>
    <w:rsid w:val="004413FC"/>
    <w:rsid w:val="00441A84"/>
    <w:rsid w:val="00442AFB"/>
    <w:rsid w:val="00442B1F"/>
    <w:rsid w:val="00442EE8"/>
    <w:rsid w:val="004433A0"/>
    <w:rsid w:val="00443A71"/>
    <w:rsid w:val="00443D43"/>
    <w:rsid w:val="00443EB1"/>
    <w:rsid w:val="00444FB2"/>
    <w:rsid w:val="0044508E"/>
    <w:rsid w:val="004451CB"/>
    <w:rsid w:val="00445C11"/>
    <w:rsid w:val="004462AA"/>
    <w:rsid w:val="004462ED"/>
    <w:rsid w:val="00446B08"/>
    <w:rsid w:val="004479B4"/>
    <w:rsid w:val="00450563"/>
    <w:rsid w:val="004505C5"/>
    <w:rsid w:val="00450EAE"/>
    <w:rsid w:val="0045112B"/>
    <w:rsid w:val="0045202C"/>
    <w:rsid w:val="004521C7"/>
    <w:rsid w:val="0045236B"/>
    <w:rsid w:val="00452EA3"/>
    <w:rsid w:val="00454748"/>
    <w:rsid w:val="004550D3"/>
    <w:rsid w:val="0045579F"/>
    <w:rsid w:val="00455830"/>
    <w:rsid w:val="00456A93"/>
    <w:rsid w:val="00456CB1"/>
    <w:rsid w:val="004571F0"/>
    <w:rsid w:val="004578B8"/>
    <w:rsid w:val="00457F4C"/>
    <w:rsid w:val="004600C3"/>
    <w:rsid w:val="004603F8"/>
    <w:rsid w:val="0046099B"/>
    <w:rsid w:val="004619F8"/>
    <w:rsid w:val="00462822"/>
    <w:rsid w:val="00462972"/>
    <w:rsid w:val="00462E0A"/>
    <w:rsid w:val="00462E40"/>
    <w:rsid w:val="00462F33"/>
    <w:rsid w:val="0046305F"/>
    <w:rsid w:val="004637C8"/>
    <w:rsid w:val="00464087"/>
    <w:rsid w:val="0046431A"/>
    <w:rsid w:val="004657FB"/>
    <w:rsid w:val="004667F4"/>
    <w:rsid w:val="004670CF"/>
    <w:rsid w:val="00467129"/>
    <w:rsid w:val="00467DCB"/>
    <w:rsid w:val="00467F1F"/>
    <w:rsid w:val="00471B20"/>
    <w:rsid w:val="004727D6"/>
    <w:rsid w:val="00472867"/>
    <w:rsid w:val="004731F1"/>
    <w:rsid w:val="00473AC5"/>
    <w:rsid w:val="00473C26"/>
    <w:rsid w:val="004744D5"/>
    <w:rsid w:val="004745EC"/>
    <w:rsid w:val="004759C2"/>
    <w:rsid w:val="00475D2A"/>
    <w:rsid w:val="00475EC4"/>
    <w:rsid w:val="00476321"/>
    <w:rsid w:val="00476547"/>
    <w:rsid w:val="004772B4"/>
    <w:rsid w:val="00480EEA"/>
    <w:rsid w:val="00481AC9"/>
    <w:rsid w:val="004820AA"/>
    <w:rsid w:val="0048394B"/>
    <w:rsid w:val="00483CE6"/>
    <w:rsid w:val="00484CB5"/>
    <w:rsid w:val="00484FA1"/>
    <w:rsid w:val="00485352"/>
    <w:rsid w:val="00485C19"/>
    <w:rsid w:val="00486183"/>
    <w:rsid w:val="004903EB"/>
    <w:rsid w:val="0049202E"/>
    <w:rsid w:val="00492DF2"/>
    <w:rsid w:val="00492E60"/>
    <w:rsid w:val="00493224"/>
    <w:rsid w:val="004932A7"/>
    <w:rsid w:val="0049384A"/>
    <w:rsid w:val="00493948"/>
    <w:rsid w:val="00494013"/>
    <w:rsid w:val="0049469B"/>
    <w:rsid w:val="004946D9"/>
    <w:rsid w:val="00494990"/>
    <w:rsid w:val="0049537D"/>
    <w:rsid w:val="0049625F"/>
    <w:rsid w:val="00496AFA"/>
    <w:rsid w:val="004A1290"/>
    <w:rsid w:val="004A19BE"/>
    <w:rsid w:val="004A27C1"/>
    <w:rsid w:val="004A2BC1"/>
    <w:rsid w:val="004A33EE"/>
    <w:rsid w:val="004A3580"/>
    <w:rsid w:val="004A3FD6"/>
    <w:rsid w:val="004A4208"/>
    <w:rsid w:val="004A4597"/>
    <w:rsid w:val="004A5911"/>
    <w:rsid w:val="004A59D3"/>
    <w:rsid w:val="004A62EC"/>
    <w:rsid w:val="004A671F"/>
    <w:rsid w:val="004B0760"/>
    <w:rsid w:val="004B1061"/>
    <w:rsid w:val="004B1516"/>
    <w:rsid w:val="004B22D7"/>
    <w:rsid w:val="004B2755"/>
    <w:rsid w:val="004B286A"/>
    <w:rsid w:val="004B2EA9"/>
    <w:rsid w:val="004B3F00"/>
    <w:rsid w:val="004B42D9"/>
    <w:rsid w:val="004B53C1"/>
    <w:rsid w:val="004B62AA"/>
    <w:rsid w:val="004B633F"/>
    <w:rsid w:val="004B6383"/>
    <w:rsid w:val="004B67E4"/>
    <w:rsid w:val="004B727A"/>
    <w:rsid w:val="004B76B1"/>
    <w:rsid w:val="004B7760"/>
    <w:rsid w:val="004B790B"/>
    <w:rsid w:val="004B7C65"/>
    <w:rsid w:val="004B7F71"/>
    <w:rsid w:val="004C0B43"/>
    <w:rsid w:val="004C1B0B"/>
    <w:rsid w:val="004C2A53"/>
    <w:rsid w:val="004C2F6E"/>
    <w:rsid w:val="004C38A0"/>
    <w:rsid w:val="004C4A5F"/>
    <w:rsid w:val="004C5395"/>
    <w:rsid w:val="004C6C13"/>
    <w:rsid w:val="004C7C0A"/>
    <w:rsid w:val="004C7C1A"/>
    <w:rsid w:val="004C7C3F"/>
    <w:rsid w:val="004D0501"/>
    <w:rsid w:val="004D1B10"/>
    <w:rsid w:val="004D1B33"/>
    <w:rsid w:val="004D1DBF"/>
    <w:rsid w:val="004D1E85"/>
    <w:rsid w:val="004D1FB7"/>
    <w:rsid w:val="004D2190"/>
    <w:rsid w:val="004D2673"/>
    <w:rsid w:val="004D2F43"/>
    <w:rsid w:val="004D3FC3"/>
    <w:rsid w:val="004D6A0C"/>
    <w:rsid w:val="004D72D3"/>
    <w:rsid w:val="004D74AF"/>
    <w:rsid w:val="004D7636"/>
    <w:rsid w:val="004E00C5"/>
    <w:rsid w:val="004E08E9"/>
    <w:rsid w:val="004E0DD3"/>
    <w:rsid w:val="004E0E34"/>
    <w:rsid w:val="004E10B5"/>
    <w:rsid w:val="004E1207"/>
    <w:rsid w:val="004E180D"/>
    <w:rsid w:val="004E1CF7"/>
    <w:rsid w:val="004E38B2"/>
    <w:rsid w:val="004E397D"/>
    <w:rsid w:val="004E39DF"/>
    <w:rsid w:val="004E3A51"/>
    <w:rsid w:val="004E5334"/>
    <w:rsid w:val="004E65BF"/>
    <w:rsid w:val="004E674F"/>
    <w:rsid w:val="004E680E"/>
    <w:rsid w:val="004E7559"/>
    <w:rsid w:val="004E7F67"/>
    <w:rsid w:val="004F03B0"/>
    <w:rsid w:val="004F0740"/>
    <w:rsid w:val="004F0881"/>
    <w:rsid w:val="004F1010"/>
    <w:rsid w:val="004F18E0"/>
    <w:rsid w:val="004F3776"/>
    <w:rsid w:val="004F48F5"/>
    <w:rsid w:val="004F50C1"/>
    <w:rsid w:val="004F54ED"/>
    <w:rsid w:val="004F56C9"/>
    <w:rsid w:val="004F6EC5"/>
    <w:rsid w:val="004F700A"/>
    <w:rsid w:val="004F743C"/>
    <w:rsid w:val="004F7D9C"/>
    <w:rsid w:val="005007EB"/>
    <w:rsid w:val="00501530"/>
    <w:rsid w:val="00501553"/>
    <w:rsid w:val="00501569"/>
    <w:rsid w:val="00502CCE"/>
    <w:rsid w:val="0050451A"/>
    <w:rsid w:val="00505491"/>
    <w:rsid w:val="00505502"/>
    <w:rsid w:val="00505985"/>
    <w:rsid w:val="00505FC6"/>
    <w:rsid w:val="00506402"/>
    <w:rsid w:val="00506721"/>
    <w:rsid w:val="005072C2"/>
    <w:rsid w:val="005077C0"/>
    <w:rsid w:val="005102DE"/>
    <w:rsid w:val="0051046F"/>
    <w:rsid w:val="00510CF8"/>
    <w:rsid w:val="00510DEF"/>
    <w:rsid w:val="005110D0"/>
    <w:rsid w:val="00511529"/>
    <w:rsid w:val="0051162F"/>
    <w:rsid w:val="00511C27"/>
    <w:rsid w:val="005125BF"/>
    <w:rsid w:val="00512ABC"/>
    <w:rsid w:val="00512C7A"/>
    <w:rsid w:val="005140C1"/>
    <w:rsid w:val="0051437D"/>
    <w:rsid w:val="00514759"/>
    <w:rsid w:val="00515911"/>
    <w:rsid w:val="00516517"/>
    <w:rsid w:val="005166B9"/>
    <w:rsid w:val="00517F73"/>
    <w:rsid w:val="00521AD4"/>
    <w:rsid w:val="00521DD5"/>
    <w:rsid w:val="005221FA"/>
    <w:rsid w:val="00522773"/>
    <w:rsid w:val="00522B29"/>
    <w:rsid w:val="00522C1F"/>
    <w:rsid w:val="00523564"/>
    <w:rsid w:val="00524332"/>
    <w:rsid w:val="00524FB0"/>
    <w:rsid w:val="00525094"/>
    <w:rsid w:val="00525CAA"/>
    <w:rsid w:val="005263C1"/>
    <w:rsid w:val="005266D2"/>
    <w:rsid w:val="00526815"/>
    <w:rsid w:val="00526859"/>
    <w:rsid w:val="00526EA9"/>
    <w:rsid w:val="005275AD"/>
    <w:rsid w:val="005279B2"/>
    <w:rsid w:val="00527D45"/>
    <w:rsid w:val="00527F4E"/>
    <w:rsid w:val="00530652"/>
    <w:rsid w:val="00530939"/>
    <w:rsid w:val="00530C49"/>
    <w:rsid w:val="00531B68"/>
    <w:rsid w:val="005332B5"/>
    <w:rsid w:val="00533721"/>
    <w:rsid w:val="00534279"/>
    <w:rsid w:val="00535FDF"/>
    <w:rsid w:val="0053659A"/>
    <w:rsid w:val="00537686"/>
    <w:rsid w:val="00537D11"/>
    <w:rsid w:val="0054138B"/>
    <w:rsid w:val="00541726"/>
    <w:rsid w:val="005417B4"/>
    <w:rsid w:val="00542130"/>
    <w:rsid w:val="00543506"/>
    <w:rsid w:val="005435CF"/>
    <w:rsid w:val="00543E74"/>
    <w:rsid w:val="00543F55"/>
    <w:rsid w:val="00544B47"/>
    <w:rsid w:val="005450E5"/>
    <w:rsid w:val="00545883"/>
    <w:rsid w:val="00545EE1"/>
    <w:rsid w:val="0054644C"/>
    <w:rsid w:val="0054785F"/>
    <w:rsid w:val="00547B08"/>
    <w:rsid w:val="00550FB6"/>
    <w:rsid w:val="00551027"/>
    <w:rsid w:val="00551605"/>
    <w:rsid w:val="005526AE"/>
    <w:rsid w:val="00553E6B"/>
    <w:rsid w:val="005544C4"/>
    <w:rsid w:val="00554B0D"/>
    <w:rsid w:val="005555FA"/>
    <w:rsid w:val="00555BF0"/>
    <w:rsid w:val="00557468"/>
    <w:rsid w:val="0055758C"/>
    <w:rsid w:val="00561589"/>
    <w:rsid w:val="005616D4"/>
    <w:rsid w:val="00562194"/>
    <w:rsid w:val="00562B22"/>
    <w:rsid w:val="005631B7"/>
    <w:rsid w:val="0056324E"/>
    <w:rsid w:val="005635DA"/>
    <w:rsid w:val="00563783"/>
    <w:rsid w:val="005638E1"/>
    <w:rsid w:val="00563B5F"/>
    <w:rsid w:val="005651B3"/>
    <w:rsid w:val="005657B9"/>
    <w:rsid w:val="005662AB"/>
    <w:rsid w:val="005672CF"/>
    <w:rsid w:val="00567FA9"/>
    <w:rsid w:val="00570532"/>
    <w:rsid w:val="00570F5C"/>
    <w:rsid w:val="005718E9"/>
    <w:rsid w:val="00571CE3"/>
    <w:rsid w:val="00571EDE"/>
    <w:rsid w:val="00573248"/>
    <w:rsid w:val="005733F0"/>
    <w:rsid w:val="00573CD8"/>
    <w:rsid w:val="00573E9B"/>
    <w:rsid w:val="00574806"/>
    <w:rsid w:val="005748A2"/>
    <w:rsid w:val="0057509A"/>
    <w:rsid w:val="00575D43"/>
    <w:rsid w:val="00576A60"/>
    <w:rsid w:val="0057726F"/>
    <w:rsid w:val="00577D31"/>
    <w:rsid w:val="0058085F"/>
    <w:rsid w:val="005809F9"/>
    <w:rsid w:val="00580D67"/>
    <w:rsid w:val="00581048"/>
    <w:rsid w:val="0058135D"/>
    <w:rsid w:val="00581882"/>
    <w:rsid w:val="0058276F"/>
    <w:rsid w:val="00584977"/>
    <w:rsid w:val="00584E20"/>
    <w:rsid w:val="0058502B"/>
    <w:rsid w:val="005855A0"/>
    <w:rsid w:val="005858AD"/>
    <w:rsid w:val="005865A2"/>
    <w:rsid w:val="005866D3"/>
    <w:rsid w:val="00586AAD"/>
    <w:rsid w:val="0058732F"/>
    <w:rsid w:val="005875D4"/>
    <w:rsid w:val="00587748"/>
    <w:rsid w:val="00587B7D"/>
    <w:rsid w:val="00590362"/>
    <w:rsid w:val="0059082D"/>
    <w:rsid w:val="00590A1C"/>
    <w:rsid w:val="00590F29"/>
    <w:rsid w:val="00591B53"/>
    <w:rsid w:val="00591FD9"/>
    <w:rsid w:val="0059218C"/>
    <w:rsid w:val="0059232E"/>
    <w:rsid w:val="005923E2"/>
    <w:rsid w:val="00592DCA"/>
    <w:rsid w:val="00593E5E"/>
    <w:rsid w:val="0059506C"/>
    <w:rsid w:val="00596057"/>
    <w:rsid w:val="00596BC7"/>
    <w:rsid w:val="00596D69"/>
    <w:rsid w:val="00597198"/>
    <w:rsid w:val="0059730A"/>
    <w:rsid w:val="005976BC"/>
    <w:rsid w:val="005A0AFB"/>
    <w:rsid w:val="005A0FDF"/>
    <w:rsid w:val="005A1155"/>
    <w:rsid w:val="005A158F"/>
    <w:rsid w:val="005A2697"/>
    <w:rsid w:val="005A26B4"/>
    <w:rsid w:val="005A36A7"/>
    <w:rsid w:val="005A40D2"/>
    <w:rsid w:val="005A48FF"/>
    <w:rsid w:val="005A499C"/>
    <w:rsid w:val="005A4EEF"/>
    <w:rsid w:val="005A6AF7"/>
    <w:rsid w:val="005A6D16"/>
    <w:rsid w:val="005A7207"/>
    <w:rsid w:val="005A7506"/>
    <w:rsid w:val="005B04D7"/>
    <w:rsid w:val="005B1172"/>
    <w:rsid w:val="005B3024"/>
    <w:rsid w:val="005B46BC"/>
    <w:rsid w:val="005B4B4C"/>
    <w:rsid w:val="005B4B4D"/>
    <w:rsid w:val="005B5198"/>
    <w:rsid w:val="005B65E3"/>
    <w:rsid w:val="005B6966"/>
    <w:rsid w:val="005B69DB"/>
    <w:rsid w:val="005C2019"/>
    <w:rsid w:val="005C2117"/>
    <w:rsid w:val="005C24B5"/>
    <w:rsid w:val="005C27CC"/>
    <w:rsid w:val="005C280A"/>
    <w:rsid w:val="005C41E1"/>
    <w:rsid w:val="005C4F5C"/>
    <w:rsid w:val="005C635C"/>
    <w:rsid w:val="005C727D"/>
    <w:rsid w:val="005C7641"/>
    <w:rsid w:val="005C7AD2"/>
    <w:rsid w:val="005C7B74"/>
    <w:rsid w:val="005D0051"/>
    <w:rsid w:val="005D03AB"/>
    <w:rsid w:val="005D0A37"/>
    <w:rsid w:val="005D0C6B"/>
    <w:rsid w:val="005D1DB1"/>
    <w:rsid w:val="005D3010"/>
    <w:rsid w:val="005D348E"/>
    <w:rsid w:val="005D3E91"/>
    <w:rsid w:val="005D4311"/>
    <w:rsid w:val="005D479C"/>
    <w:rsid w:val="005D4BF5"/>
    <w:rsid w:val="005D4F64"/>
    <w:rsid w:val="005D5CA5"/>
    <w:rsid w:val="005D63B3"/>
    <w:rsid w:val="005D652F"/>
    <w:rsid w:val="005D695D"/>
    <w:rsid w:val="005D7080"/>
    <w:rsid w:val="005D7A2F"/>
    <w:rsid w:val="005E0774"/>
    <w:rsid w:val="005E0D57"/>
    <w:rsid w:val="005E1931"/>
    <w:rsid w:val="005E237E"/>
    <w:rsid w:val="005E299E"/>
    <w:rsid w:val="005E3589"/>
    <w:rsid w:val="005E37AB"/>
    <w:rsid w:val="005E3A99"/>
    <w:rsid w:val="005E400A"/>
    <w:rsid w:val="005E455D"/>
    <w:rsid w:val="005E4853"/>
    <w:rsid w:val="005E49D3"/>
    <w:rsid w:val="005E4C25"/>
    <w:rsid w:val="005E4CA8"/>
    <w:rsid w:val="005E5990"/>
    <w:rsid w:val="005E7279"/>
    <w:rsid w:val="005E7410"/>
    <w:rsid w:val="005E7655"/>
    <w:rsid w:val="005E76BE"/>
    <w:rsid w:val="005F0F7D"/>
    <w:rsid w:val="005F189A"/>
    <w:rsid w:val="005F1974"/>
    <w:rsid w:val="005F21F3"/>
    <w:rsid w:val="005F3278"/>
    <w:rsid w:val="005F3281"/>
    <w:rsid w:val="005F38EF"/>
    <w:rsid w:val="005F3A45"/>
    <w:rsid w:val="005F4432"/>
    <w:rsid w:val="005F6ACC"/>
    <w:rsid w:val="005F7A33"/>
    <w:rsid w:val="005F7A4B"/>
    <w:rsid w:val="006002E4"/>
    <w:rsid w:val="0060056C"/>
    <w:rsid w:val="006009D0"/>
    <w:rsid w:val="006010F9"/>
    <w:rsid w:val="00601AF6"/>
    <w:rsid w:val="00601CC8"/>
    <w:rsid w:val="00602349"/>
    <w:rsid w:val="00602485"/>
    <w:rsid w:val="006031CD"/>
    <w:rsid w:val="006037A4"/>
    <w:rsid w:val="006039AF"/>
    <w:rsid w:val="00603FCB"/>
    <w:rsid w:val="0060440C"/>
    <w:rsid w:val="00604E93"/>
    <w:rsid w:val="006055ED"/>
    <w:rsid w:val="0060670F"/>
    <w:rsid w:val="00606788"/>
    <w:rsid w:val="00606867"/>
    <w:rsid w:val="00606CCA"/>
    <w:rsid w:val="0060743E"/>
    <w:rsid w:val="0060748E"/>
    <w:rsid w:val="006077B7"/>
    <w:rsid w:val="00607B89"/>
    <w:rsid w:val="0061105C"/>
    <w:rsid w:val="00611B70"/>
    <w:rsid w:val="00612872"/>
    <w:rsid w:val="006129D3"/>
    <w:rsid w:val="006132BA"/>
    <w:rsid w:val="00613A0B"/>
    <w:rsid w:val="00613C2B"/>
    <w:rsid w:val="00614117"/>
    <w:rsid w:val="0061594B"/>
    <w:rsid w:val="00615E5D"/>
    <w:rsid w:val="00616400"/>
    <w:rsid w:val="0061669B"/>
    <w:rsid w:val="006166D0"/>
    <w:rsid w:val="006168E8"/>
    <w:rsid w:val="0061733A"/>
    <w:rsid w:val="00617BDF"/>
    <w:rsid w:val="00620404"/>
    <w:rsid w:val="00620E29"/>
    <w:rsid w:val="0062123A"/>
    <w:rsid w:val="0062178D"/>
    <w:rsid w:val="00621D4F"/>
    <w:rsid w:val="006220F4"/>
    <w:rsid w:val="00622219"/>
    <w:rsid w:val="006223D0"/>
    <w:rsid w:val="006226BD"/>
    <w:rsid w:val="00622C1F"/>
    <w:rsid w:val="006231F6"/>
    <w:rsid w:val="0062333E"/>
    <w:rsid w:val="0062374C"/>
    <w:rsid w:val="006242F5"/>
    <w:rsid w:val="006245AF"/>
    <w:rsid w:val="00627072"/>
    <w:rsid w:val="006302D2"/>
    <w:rsid w:val="006306E2"/>
    <w:rsid w:val="00630E4A"/>
    <w:rsid w:val="00631469"/>
    <w:rsid w:val="006319FB"/>
    <w:rsid w:val="00632534"/>
    <w:rsid w:val="006333D4"/>
    <w:rsid w:val="00633827"/>
    <w:rsid w:val="00634302"/>
    <w:rsid w:val="00634EC5"/>
    <w:rsid w:val="006355AF"/>
    <w:rsid w:val="006363AF"/>
    <w:rsid w:val="006365DD"/>
    <w:rsid w:val="00636BA1"/>
    <w:rsid w:val="00636D9A"/>
    <w:rsid w:val="0063745B"/>
    <w:rsid w:val="00640D52"/>
    <w:rsid w:val="006411A0"/>
    <w:rsid w:val="006412D7"/>
    <w:rsid w:val="006415A6"/>
    <w:rsid w:val="0064185F"/>
    <w:rsid w:val="00642A5A"/>
    <w:rsid w:val="006439A6"/>
    <w:rsid w:val="00644F5C"/>
    <w:rsid w:val="00645287"/>
    <w:rsid w:val="00645EE1"/>
    <w:rsid w:val="00646823"/>
    <w:rsid w:val="006473D9"/>
    <w:rsid w:val="00650340"/>
    <w:rsid w:val="0065157D"/>
    <w:rsid w:val="00651645"/>
    <w:rsid w:val="00651EB2"/>
    <w:rsid w:val="0065215A"/>
    <w:rsid w:val="006524B7"/>
    <w:rsid w:val="006525DE"/>
    <w:rsid w:val="006526FC"/>
    <w:rsid w:val="0065275C"/>
    <w:rsid w:val="00652CB9"/>
    <w:rsid w:val="006533C2"/>
    <w:rsid w:val="00653DFD"/>
    <w:rsid w:val="006543A1"/>
    <w:rsid w:val="00654502"/>
    <w:rsid w:val="00655F9C"/>
    <w:rsid w:val="00655FF1"/>
    <w:rsid w:val="00656126"/>
    <w:rsid w:val="00656416"/>
    <w:rsid w:val="00656FC5"/>
    <w:rsid w:val="00657217"/>
    <w:rsid w:val="0066006D"/>
    <w:rsid w:val="00660E47"/>
    <w:rsid w:val="006615AF"/>
    <w:rsid w:val="00661FC7"/>
    <w:rsid w:val="006620F8"/>
    <w:rsid w:val="0066218A"/>
    <w:rsid w:val="00662659"/>
    <w:rsid w:val="00663064"/>
    <w:rsid w:val="0066349C"/>
    <w:rsid w:val="00663B29"/>
    <w:rsid w:val="00664D3B"/>
    <w:rsid w:val="00665D81"/>
    <w:rsid w:val="00667339"/>
    <w:rsid w:val="00667586"/>
    <w:rsid w:val="006676C3"/>
    <w:rsid w:val="00667D90"/>
    <w:rsid w:val="00670D22"/>
    <w:rsid w:val="00670FA0"/>
    <w:rsid w:val="0067163F"/>
    <w:rsid w:val="006738A7"/>
    <w:rsid w:val="00673E60"/>
    <w:rsid w:val="00674430"/>
    <w:rsid w:val="0067495E"/>
    <w:rsid w:val="006754D8"/>
    <w:rsid w:val="006758E0"/>
    <w:rsid w:val="0067592D"/>
    <w:rsid w:val="00676901"/>
    <w:rsid w:val="006769B3"/>
    <w:rsid w:val="00677D65"/>
    <w:rsid w:val="006802A7"/>
    <w:rsid w:val="006803E6"/>
    <w:rsid w:val="00680AAE"/>
    <w:rsid w:val="00680C42"/>
    <w:rsid w:val="0068122A"/>
    <w:rsid w:val="00682BA7"/>
    <w:rsid w:val="006837B8"/>
    <w:rsid w:val="0068403F"/>
    <w:rsid w:val="006840E2"/>
    <w:rsid w:val="006845C2"/>
    <w:rsid w:val="00684790"/>
    <w:rsid w:val="00684E6B"/>
    <w:rsid w:val="00685114"/>
    <w:rsid w:val="00686BEC"/>
    <w:rsid w:val="006902E5"/>
    <w:rsid w:val="006913DE"/>
    <w:rsid w:val="00692021"/>
    <w:rsid w:val="00692DBF"/>
    <w:rsid w:val="00693A9C"/>
    <w:rsid w:val="00694B4A"/>
    <w:rsid w:val="006953E3"/>
    <w:rsid w:val="00695552"/>
    <w:rsid w:val="006958B0"/>
    <w:rsid w:val="00695BEA"/>
    <w:rsid w:val="006967F3"/>
    <w:rsid w:val="00697519"/>
    <w:rsid w:val="0069773D"/>
    <w:rsid w:val="0069788E"/>
    <w:rsid w:val="006A0E95"/>
    <w:rsid w:val="006A183F"/>
    <w:rsid w:val="006A19A8"/>
    <w:rsid w:val="006A1DC1"/>
    <w:rsid w:val="006A2AF8"/>
    <w:rsid w:val="006A2B4F"/>
    <w:rsid w:val="006A3365"/>
    <w:rsid w:val="006A37B6"/>
    <w:rsid w:val="006A3DA5"/>
    <w:rsid w:val="006A3DB6"/>
    <w:rsid w:val="006A536C"/>
    <w:rsid w:val="006A5ECC"/>
    <w:rsid w:val="006A60D2"/>
    <w:rsid w:val="006A634C"/>
    <w:rsid w:val="006A640F"/>
    <w:rsid w:val="006A643C"/>
    <w:rsid w:val="006A6862"/>
    <w:rsid w:val="006A6F84"/>
    <w:rsid w:val="006A73DF"/>
    <w:rsid w:val="006A7811"/>
    <w:rsid w:val="006A7924"/>
    <w:rsid w:val="006A7EFE"/>
    <w:rsid w:val="006B2B98"/>
    <w:rsid w:val="006B3BD6"/>
    <w:rsid w:val="006B3BDA"/>
    <w:rsid w:val="006B48D0"/>
    <w:rsid w:val="006B6A2B"/>
    <w:rsid w:val="006B6C49"/>
    <w:rsid w:val="006B6E00"/>
    <w:rsid w:val="006B70B9"/>
    <w:rsid w:val="006C0B5C"/>
    <w:rsid w:val="006C157C"/>
    <w:rsid w:val="006C1CD5"/>
    <w:rsid w:val="006C2BBD"/>
    <w:rsid w:val="006C2EEB"/>
    <w:rsid w:val="006C3E47"/>
    <w:rsid w:val="006C434D"/>
    <w:rsid w:val="006C586B"/>
    <w:rsid w:val="006C6682"/>
    <w:rsid w:val="006C6A9E"/>
    <w:rsid w:val="006C6E87"/>
    <w:rsid w:val="006C7716"/>
    <w:rsid w:val="006D01FA"/>
    <w:rsid w:val="006D032D"/>
    <w:rsid w:val="006D0BE9"/>
    <w:rsid w:val="006D12FC"/>
    <w:rsid w:val="006D163D"/>
    <w:rsid w:val="006D17E6"/>
    <w:rsid w:val="006D1DFB"/>
    <w:rsid w:val="006D26B8"/>
    <w:rsid w:val="006D26BC"/>
    <w:rsid w:val="006D2D06"/>
    <w:rsid w:val="006D2F56"/>
    <w:rsid w:val="006D316E"/>
    <w:rsid w:val="006D336D"/>
    <w:rsid w:val="006D3C20"/>
    <w:rsid w:val="006D48CD"/>
    <w:rsid w:val="006D5C6B"/>
    <w:rsid w:val="006D5D64"/>
    <w:rsid w:val="006D72FF"/>
    <w:rsid w:val="006D75EF"/>
    <w:rsid w:val="006D7BBA"/>
    <w:rsid w:val="006D7E0F"/>
    <w:rsid w:val="006E0305"/>
    <w:rsid w:val="006E0416"/>
    <w:rsid w:val="006E1234"/>
    <w:rsid w:val="006E1380"/>
    <w:rsid w:val="006E1CCD"/>
    <w:rsid w:val="006E2B28"/>
    <w:rsid w:val="006E2F73"/>
    <w:rsid w:val="006E3312"/>
    <w:rsid w:val="006E33E4"/>
    <w:rsid w:val="006E535A"/>
    <w:rsid w:val="006E57D5"/>
    <w:rsid w:val="006E5B39"/>
    <w:rsid w:val="006E5C20"/>
    <w:rsid w:val="006E738E"/>
    <w:rsid w:val="006E76CA"/>
    <w:rsid w:val="006E77ED"/>
    <w:rsid w:val="006F127C"/>
    <w:rsid w:val="006F13DA"/>
    <w:rsid w:val="006F199D"/>
    <w:rsid w:val="006F20D8"/>
    <w:rsid w:val="006F3078"/>
    <w:rsid w:val="006F3D86"/>
    <w:rsid w:val="006F3EBE"/>
    <w:rsid w:val="006F4314"/>
    <w:rsid w:val="006F43BD"/>
    <w:rsid w:val="006F54F7"/>
    <w:rsid w:val="006F642C"/>
    <w:rsid w:val="006F73C5"/>
    <w:rsid w:val="0070000B"/>
    <w:rsid w:val="00700F61"/>
    <w:rsid w:val="00701215"/>
    <w:rsid w:val="00701631"/>
    <w:rsid w:val="00702193"/>
    <w:rsid w:val="007022E4"/>
    <w:rsid w:val="00702579"/>
    <w:rsid w:val="007025F7"/>
    <w:rsid w:val="00702D0C"/>
    <w:rsid w:val="0070353D"/>
    <w:rsid w:val="00704302"/>
    <w:rsid w:val="0070456D"/>
    <w:rsid w:val="00705C7E"/>
    <w:rsid w:val="00706BF7"/>
    <w:rsid w:val="0070715A"/>
    <w:rsid w:val="00707D76"/>
    <w:rsid w:val="00710A76"/>
    <w:rsid w:val="007115EE"/>
    <w:rsid w:val="0071162D"/>
    <w:rsid w:val="007118FC"/>
    <w:rsid w:val="00711DB8"/>
    <w:rsid w:val="007123AB"/>
    <w:rsid w:val="00712F02"/>
    <w:rsid w:val="0071587D"/>
    <w:rsid w:val="00715CDE"/>
    <w:rsid w:val="007164CD"/>
    <w:rsid w:val="00716713"/>
    <w:rsid w:val="00716869"/>
    <w:rsid w:val="00717443"/>
    <w:rsid w:val="00717547"/>
    <w:rsid w:val="00717CB2"/>
    <w:rsid w:val="00721BEF"/>
    <w:rsid w:val="00723231"/>
    <w:rsid w:val="007235C5"/>
    <w:rsid w:val="0072367F"/>
    <w:rsid w:val="007236CC"/>
    <w:rsid w:val="0072380E"/>
    <w:rsid w:val="00723BB8"/>
    <w:rsid w:val="00724595"/>
    <w:rsid w:val="00724873"/>
    <w:rsid w:val="00726224"/>
    <w:rsid w:val="0072666A"/>
    <w:rsid w:val="00727516"/>
    <w:rsid w:val="00727922"/>
    <w:rsid w:val="007301FE"/>
    <w:rsid w:val="007305EB"/>
    <w:rsid w:val="00730AD0"/>
    <w:rsid w:val="00730BDF"/>
    <w:rsid w:val="00731140"/>
    <w:rsid w:val="007311D5"/>
    <w:rsid w:val="007313D9"/>
    <w:rsid w:val="00731BA6"/>
    <w:rsid w:val="00731EAC"/>
    <w:rsid w:val="00732A60"/>
    <w:rsid w:val="00732D07"/>
    <w:rsid w:val="007332AE"/>
    <w:rsid w:val="0073340B"/>
    <w:rsid w:val="00733873"/>
    <w:rsid w:val="00733958"/>
    <w:rsid w:val="00733F41"/>
    <w:rsid w:val="00733FFA"/>
    <w:rsid w:val="0073514F"/>
    <w:rsid w:val="007351BC"/>
    <w:rsid w:val="00735DC0"/>
    <w:rsid w:val="0073657C"/>
    <w:rsid w:val="007369E0"/>
    <w:rsid w:val="00736C06"/>
    <w:rsid w:val="00736D0B"/>
    <w:rsid w:val="007370DF"/>
    <w:rsid w:val="00737CCB"/>
    <w:rsid w:val="007403BF"/>
    <w:rsid w:val="007421C2"/>
    <w:rsid w:val="00742355"/>
    <w:rsid w:val="00743A4C"/>
    <w:rsid w:val="007442B7"/>
    <w:rsid w:val="00744C5A"/>
    <w:rsid w:val="007453B1"/>
    <w:rsid w:val="007464A6"/>
    <w:rsid w:val="007464BB"/>
    <w:rsid w:val="00746ACC"/>
    <w:rsid w:val="007501F0"/>
    <w:rsid w:val="00750945"/>
    <w:rsid w:val="007513CD"/>
    <w:rsid w:val="00751570"/>
    <w:rsid w:val="00751B75"/>
    <w:rsid w:val="00751B99"/>
    <w:rsid w:val="007523E1"/>
    <w:rsid w:val="007531FD"/>
    <w:rsid w:val="0075341A"/>
    <w:rsid w:val="00753674"/>
    <w:rsid w:val="0075372E"/>
    <w:rsid w:val="00754577"/>
    <w:rsid w:val="007547C7"/>
    <w:rsid w:val="00755080"/>
    <w:rsid w:val="00756098"/>
    <w:rsid w:val="007569E1"/>
    <w:rsid w:val="00756E6B"/>
    <w:rsid w:val="0076061B"/>
    <w:rsid w:val="00760B4D"/>
    <w:rsid w:val="00760D3F"/>
    <w:rsid w:val="007620FC"/>
    <w:rsid w:val="0076235F"/>
    <w:rsid w:val="00763AA0"/>
    <w:rsid w:val="00763B19"/>
    <w:rsid w:val="00763B57"/>
    <w:rsid w:val="00763D6C"/>
    <w:rsid w:val="00764C5D"/>
    <w:rsid w:val="007652C0"/>
    <w:rsid w:val="007655A0"/>
    <w:rsid w:val="00765CB9"/>
    <w:rsid w:val="00766625"/>
    <w:rsid w:val="0076689F"/>
    <w:rsid w:val="00766E26"/>
    <w:rsid w:val="00767259"/>
    <w:rsid w:val="00767465"/>
    <w:rsid w:val="00770FBA"/>
    <w:rsid w:val="007736A9"/>
    <w:rsid w:val="00775C27"/>
    <w:rsid w:val="00775ED4"/>
    <w:rsid w:val="00776EB4"/>
    <w:rsid w:val="00777694"/>
    <w:rsid w:val="0077776B"/>
    <w:rsid w:val="007807CC"/>
    <w:rsid w:val="00780E57"/>
    <w:rsid w:val="00780F7A"/>
    <w:rsid w:val="007816A3"/>
    <w:rsid w:val="00781BB6"/>
    <w:rsid w:val="00783789"/>
    <w:rsid w:val="00784526"/>
    <w:rsid w:val="007849E8"/>
    <w:rsid w:val="00784D41"/>
    <w:rsid w:val="007853C8"/>
    <w:rsid w:val="007854E2"/>
    <w:rsid w:val="00785999"/>
    <w:rsid w:val="00786D79"/>
    <w:rsid w:val="00786EE9"/>
    <w:rsid w:val="007875FF"/>
    <w:rsid w:val="00787B8C"/>
    <w:rsid w:val="00787EC7"/>
    <w:rsid w:val="00791836"/>
    <w:rsid w:val="00792786"/>
    <w:rsid w:val="00792A3A"/>
    <w:rsid w:val="007931F1"/>
    <w:rsid w:val="007932A7"/>
    <w:rsid w:val="007932F2"/>
    <w:rsid w:val="0079340B"/>
    <w:rsid w:val="00793E30"/>
    <w:rsid w:val="00794165"/>
    <w:rsid w:val="00794333"/>
    <w:rsid w:val="00794EC6"/>
    <w:rsid w:val="00795582"/>
    <w:rsid w:val="00795BAC"/>
    <w:rsid w:val="00795FC3"/>
    <w:rsid w:val="007961D1"/>
    <w:rsid w:val="00796CE0"/>
    <w:rsid w:val="00797035"/>
    <w:rsid w:val="00797076"/>
    <w:rsid w:val="00797A6F"/>
    <w:rsid w:val="007A0382"/>
    <w:rsid w:val="007A13A7"/>
    <w:rsid w:val="007A1AF8"/>
    <w:rsid w:val="007A2102"/>
    <w:rsid w:val="007A391F"/>
    <w:rsid w:val="007A4342"/>
    <w:rsid w:val="007A4510"/>
    <w:rsid w:val="007A4B97"/>
    <w:rsid w:val="007A4F3A"/>
    <w:rsid w:val="007A7621"/>
    <w:rsid w:val="007A7898"/>
    <w:rsid w:val="007A7F64"/>
    <w:rsid w:val="007B011E"/>
    <w:rsid w:val="007B0991"/>
    <w:rsid w:val="007B0A17"/>
    <w:rsid w:val="007B1752"/>
    <w:rsid w:val="007B1D3E"/>
    <w:rsid w:val="007B1ED6"/>
    <w:rsid w:val="007B2240"/>
    <w:rsid w:val="007B2815"/>
    <w:rsid w:val="007B2EEA"/>
    <w:rsid w:val="007B3720"/>
    <w:rsid w:val="007B44B7"/>
    <w:rsid w:val="007B54F1"/>
    <w:rsid w:val="007B586A"/>
    <w:rsid w:val="007B7B69"/>
    <w:rsid w:val="007B7BFE"/>
    <w:rsid w:val="007C0252"/>
    <w:rsid w:val="007C062A"/>
    <w:rsid w:val="007C0EF3"/>
    <w:rsid w:val="007C25F6"/>
    <w:rsid w:val="007C2B4F"/>
    <w:rsid w:val="007C2FB4"/>
    <w:rsid w:val="007C35AA"/>
    <w:rsid w:val="007C360F"/>
    <w:rsid w:val="007C391C"/>
    <w:rsid w:val="007C3A15"/>
    <w:rsid w:val="007C4F85"/>
    <w:rsid w:val="007C4FB2"/>
    <w:rsid w:val="007C50FA"/>
    <w:rsid w:val="007C5400"/>
    <w:rsid w:val="007C5E93"/>
    <w:rsid w:val="007C5FDB"/>
    <w:rsid w:val="007C60B6"/>
    <w:rsid w:val="007C60CF"/>
    <w:rsid w:val="007C612E"/>
    <w:rsid w:val="007C61A9"/>
    <w:rsid w:val="007C69D4"/>
    <w:rsid w:val="007C7658"/>
    <w:rsid w:val="007C7796"/>
    <w:rsid w:val="007D0157"/>
    <w:rsid w:val="007D01D2"/>
    <w:rsid w:val="007D04F6"/>
    <w:rsid w:val="007D09B7"/>
    <w:rsid w:val="007D0C3B"/>
    <w:rsid w:val="007D0DA4"/>
    <w:rsid w:val="007D1240"/>
    <w:rsid w:val="007D19E5"/>
    <w:rsid w:val="007D238D"/>
    <w:rsid w:val="007D2F2D"/>
    <w:rsid w:val="007D32BE"/>
    <w:rsid w:val="007D37F8"/>
    <w:rsid w:val="007D394D"/>
    <w:rsid w:val="007D499E"/>
    <w:rsid w:val="007D4EA8"/>
    <w:rsid w:val="007D505C"/>
    <w:rsid w:val="007D569F"/>
    <w:rsid w:val="007D57F6"/>
    <w:rsid w:val="007D682E"/>
    <w:rsid w:val="007D68E7"/>
    <w:rsid w:val="007D74BD"/>
    <w:rsid w:val="007E0017"/>
    <w:rsid w:val="007E02C5"/>
    <w:rsid w:val="007E0583"/>
    <w:rsid w:val="007E0C6B"/>
    <w:rsid w:val="007E0D7D"/>
    <w:rsid w:val="007E4057"/>
    <w:rsid w:val="007E4B8C"/>
    <w:rsid w:val="007E4E7A"/>
    <w:rsid w:val="007E54E3"/>
    <w:rsid w:val="007E5640"/>
    <w:rsid w:val="007E6605"/>
    <w:rsid w:val="007E6E64"/>
    <w:rsid w:val="007E7C32"/>
    <w:rsid w:val="007E7FBF"/>
    <w:rsid w:val="007E7FC3"/>
    <w:rsid w:val="007F03F8"/>
    <w:rsid w:val="007F12A1"/>
    <w:rsid w:val="007F1B66"/>
    <w:rsid w:val="007F29CB"/>
    <w:rsid w:val="007F3B8B"/>
    <w:rsid w:val="007F4C8C"/>
    <w:rsid w:val="007F521F"/>
    <w:rsid w:val="007F5AE5"/>
    <w:rsid w:val="007F614B"/>
    <w:rsid w:val="007F65AD"/>
    <w:rsid w:val="008016E7"/>
    <w:rsid w:val="008033A6"/>
    <w:rsid w:val="00803469"/>
    <w:rsid w:val="0080365E"/>
    <w:rsid w:val="00803A31"/>
    <w:rsid w:val="008040C7"/>
    <w:rsid w:val="008041A5"/>
    <w:rsid w:val="00804DF2"/>
    <w:rsid w:val="00805377"/>
    <w:rsid w:val="008055B1"/>
    <w:rsid w:val="008057F4"/>
    <w:rsid w:val="00805A50"/>
    <w:rsid w:val="00805F8F"/>
    <w:rsid w:val="008060C7"/>
    <w:rsid w:val="0080655B"/>
    <w:rsid w:val="00807EF5"/>
    <w:rsid w:val="00810A81"/>
    <w:rsid w:val="00810D59"/>
    <w:rsid w:val="0081115D"/>
    <w:rsid w:val="008111A0"/>
    <w:rsid w:val="0081164D"/>
    <w:rsid w:val="00811CB7"/>
    <w:rsid w:val="00811DA0"/>
    <w:rsid w:val="008125C1"/>
    <w:rsid w:val="008145C2"/>
    <w:rsid w:val="0081488A"/>
    <w:rsid w:val="00814AA8"/>
    <w:rsid w:val="008156AF"/>
    <w:rsid w:val="008161AD"/>
    <w:rsid w:val="00816C77"/>
    <w:rsid w:val="00816E09"/>
    <w:rsid w:val="008178BD"/>
    <w:rsid w:val="008178CC"/>
    <w:rsid w:val="00820099"/>
    <w:rsid w:val="00820DE6"/>
    <w:rsid w:val="00821198"/>
    <w:rsid w:val="00821A93"/>
    <w:rsid w:val="00821E9F"/>
    <w:rsid w:val="008222D2"/>
    <w:rsid w:val="008223A8"/>
    <w:rsid w:val="008237C6"/>
    <w:rsid w:val="00825FA7"/>
    <w:rsid w:val="008260E0"/>
    <w:rsid w:val="00826482"/>
    <w:rsid w:val="00826BC4"/>
    <w:rsid w:val="0082718B"/>
    <w:rsid w:val="00827443"/>
    <w:rsid w:val="00827752"/>
    <w:rsid w:val="008305A1"/>
    <w:rsid w:val="00831493"/>
    <w:rsid w:val="00831642"/>
    <w:rsid w:val="00831749"/>
    <w:rsid w:val="008322BF"/>
    <w:rsid w:val="008323E5"/>
    <w:rsid w:val="008326B2"/>
    <w:rsid w:val="008331AD"/>
    <w:rsid w:val="00833313"/>
    <w:rsid w:val="00834718"/>
    <w:rsid w:val="00834E60"/>
    <w:rsid w:val="00835A07"/>
    <w:rsid w:val="00836353"/>
    <w:rsid w:val="008364B6"/>
    <w:rsid w:val="00837879"/>
    <w:rsid w:val="008434EE"/>
    <w:rsid w:val="0084357A"/>
    <w:rsid w:val="00845033"/>
    <w:rsid w:val="008450C5"/>
    <w:rsid w:val="0084519A"/>
    <w:rsid w:val="00845CFE"/>
    <w:rsid w:val="00845F86"/>
    <w:rsid w:val="008462EB"/>
    <w:rsid w:val="00846C20"/>
    <w:rsid w:val="00846FD3"/>
    <w:rsid w:val="00847B14"/>
    <w:rsid w:val="00850DC3"/>
    <w:rsid w:val="00851189"/>
    <w:rsid w:val="0085157D"/>
    <w:rsid w:val="0085208D"/>
    <w:rsid w:val="008521D2"/>
    <w:rsid w:val="00852B7C"/>
    <w:rsid w:val="00852C97"/>
    <w:rsid w:val="00853614"/>
    <w:rsid w:val="0085372E"/>
    <w:rsid w:val="008543BE"/>
    <w:rsid w:val="00854748"/>
    <w:rsid w:val="0085521C"/>
    <w:rsid w:val="00855B37"/>
    <w:rsid w:val="00856372"/>
    <w:rsid w:val="00856AE8"/>
    <w:rsid w:val="0085703E"/>
    <w:rsid w:val="0085790F"/>
    <w:rsid w:val="00857C31"/>
    <w:rsid w:val="00857F9E"/>
    <w:rsid w:val="008600D1"/>
    <w:rsid w:val="008601B1"/>
    <w:rsid w:val="0086123E"/>
    <w:rsid w:val="00861593"/>
    <w:rsid w:val="00861CEA"/>
    <w:rsid w:val="00861F43"/>
    <w:rsid w:val="00862419"/>
    <w:rsid w:val="0086262F"/>
    <w:rsid w:val="00862CCB"/>
    <w:rsid w:val="00863215"/>
    <w:rsid w:val="00863377"/>
    <w:rsid w:val="008645A6"/>
    <w:rsid w:val="008647B0"/>
    <w:rsid w:val="00865D87"/>
    <w:rsid w:val="008663B5"/>
    <w:rsid w:val="008665EA"/>
    <w:rsid w:val="0086666B"/>
    <w:rsid w:val="00866E70"/>
    <w:rsid w:val="00870484"/>
    <w:rsid w:val="00872696"/>
    <w:rsid w:val="00872902"/>
    <w:rsid w:val="0087291A"/>
    <w:rsid w:val="00873613"/>
    <w:rsid w:val="00873CE2"/>
    <w:rsid w:val="00873EC8"/>
    <w:rsid w:val="008757C4"/>
    <w:rsid w:val="00875831"/>
    <w:rsid w:val="00875CE2"/>
    <w:rsid w:val="00875E2A"/>
    <w:rsid w:val="00875F29"/>
    <w:rsid w:val="00875FCE"/>
    <w:rsid w:val="00876302"/>
    <w:rsid w:val="00876A5B"/>
    <w:rsid w:val="00877B3B"/>
    <w:rsid w:val="00877E7D"/>
    <w:rsid w:val="00877ED4"/>
    <w:rsid w:val="008811DC"/>
    <w:rsid w:val="00881619"/>
    <w:rsid w:val="008816E6"/>
    <w:rsid w:val="00881D4A"/>
    <w:rsid w:val="00882341"/>
    <w:rsid w:val="008824F5"/>
    <w:rsid w:val="00882678"/>
    <w:rsid w:val="0088328F"/>
    <w:rsid w:val="0088446B"/>
    <w:rsid w:val="00884783"/>
    <w:rsid w:val="00884AF3"/>
    <w:rsid w:val="00884EC1"/>
    <w:rsid w:val="008865DF"/>
    <w:rsid w:val="00886681"/>
    <w:rsid w:val="00887544"/>
    <w:rsid w:val="008875AE"/>
    <w:rsid w:val="00887924"/>
    <w:rsid w:val="00887C10"/>
    <w:rsid w:val="0089048C"/>
    <w:rsid w:val="00891628"/>
    <w:rsid w:val="00891C29"/>
    <w:rsid w:val="00892625"/>
    <w:rsid w:val="00892E8B"/>
    <w:rsid w:val="00893D18"/>
    <w:rsid w:val="00894696"/>
    <w:rsid w:val="008946D6"/>
    <w:rsid w:val="00894CC0"/>
    <w:rsid w:val="00895048"/>
    <w:rsid w:val="008954E6"/>
    <w:rsid w:val="00895984"/>
    <w:rsid w:val="00895DC2"/>
    <w:rsid w:val="00896112"/>
    <w:rsid w:val="008961E3"/>
    <w:rsid w:val="00896772"/>
    <w:rsid w:val="00896EFA"/>
    <w:rsid w:val="0089728E"/>
    <w:rsid w:val="0089763F"/>
    <w:rsid w:val="008976AC"/>
    <w:rsid w:val="00897A7D"/>
    <w:rsid w:val="008A009A"/>
    <w:rsid w:val="008A027C"/>
    <w:rsid w:val="008A0356"/>
    <w:rsid w:val="008A156D"/>
    <w:rsid w:val="008A1B30"/>
    <w:rsid w:val="008A1FD3"/>
    <w:rsid w:val="008A2268"/>
    <w:rsid w:val="008A2437"/>
    <w:rsid w:val="008A2649"/>
    <w:rsid w:val="008A3BF6"/>
    <w:rsid w:val="008A3E3F"/>
    <w:rsid w:val="008A4427"/>
    <w:rsid w:val="008A5CA5"/>
    <w:rsid w:val="008A5DF7"/>
    <w:rsid w:val="008A66C1"/>
    <w:rsid w:val="008A6732"/>
    <w:rsid w:val="008A6CF2"/>
    <w:rsid w:val="008A7446"/>
    <w:rsid w:val="008A79FF"/>
    <w:rsid w:val="008B00A8"/>
    <w:rsid w:val="008B0398"/>
    <w:rsid w:val="008B03BB"/>
    <w:rsid w:val="008B0798"/>
    <w:rsid w:val="008B09EC"/>
    <w:rsid w:val="008B0BAD"/>
    <w:rsid w:val="008B2D9D"/>
    <w:rsid w:val="008B324E"/>
    <w:rsid w:val="008B421D"/>
    <w:rsid w:val="008B4B09"/>
    <w:rsid w:val="008B50F9"/>
    <w:rsid w:val="008B51C4"/>
    <w:rsid w:val="008B5342"/>
    <w:rsid w:val="008B5A6C"/>
    <w:rsid w:val="008B5CCD"/>
    <w:rsid w:val="008B5EDD"/>
    <w:rsid w:val="008B6286"/>
    <w:rsid w:val="008B6CB7"/>
    <w:rsid w:val="008B713D"/>
    <w:rsid w:val="008B7B01"/>
    <w:rsid w:val="008B7FA2"/>
    <w:rsid w:val="008C010E"/>
    <w:rsid w:val="008C0E2F"/>
    <w:rsid w:val="008C287D"/>
    <w:rsid w:val="008C38C2"/>
    <w:rsid w:val="008C3DA8"/>
    <w:rsid w:val="008C50CE"/>
    <w:rsid w:val="008C560F"/>
    <w:rsid w:val="008C5EF3"/>
    <w:rsid w:val="008C6226"/>
    <w:rsid w:val="008C6645"/>
    <w:rsid w:val="008C683A"/>
    <w:rsid w:val="008D078C"/>
    <w:rsid w:val="008D2E0E"/>
    <w:rsid w:val="008D2FA5"/>
    <w:rsid w:val="008D3497"/>
    <w:rsid w:val="008D4B36"/>
    <w:rsid w:val="008D4C28"/>
    <w:rsid w:val="008D5A43"/>
    <w:rsid w:val="008D5C60"/>
    <w:rsid w:val="008D5C6C"/>
    <w:rsid w:val="008D6BAD"/>
    <w:rsid w:val="008D6FB1"/>
    <w:rsid w:val="008E0707"/>
    <w:rsid w:val="008E0F5C"/>
    <w:rsid w:val="008E14F5"/>
    <w:rsid w:val="008E16E9"/>
    <w:rsid w:val="008E20E5"/>
    <w:rsid w:val="008E2FA6"/>
    <w:rsid w:val="008E381A"/>
    <w:rsid w:val="008E5688"/>
    <w:rsid w:val="008E63EF"/>
    <w:rsid w:val="008E6902"/>
    <w:rsid w:val="008E75E4"/>
    <w:rsid w:val="008E7745"/>
    <w:rsid w:val="008E798A"/>
    <w:rsid w:val="008E7F0F"/>
    <w:rsid w:val="008F0D5B"/>
    <w:rsid w:val="008F1785"/>
    <w:rsid w:val="008F186E"/>
    <w:rsid w:val="008F234C"/>
    <w:rsid w:val="008F26A2"/>
    <w:rsid w:val="008F2B3E"/>
    <w:rsid w:val="008F2EDC"/>
    <w:rsid w:val="008F330F"/>
    <w:rsid w:val="008F39BC"/>
    <w:rsid w:val="008F3A5F"/>
    <w:rsid w:val="008F3EE5"/>
    <w:rsid w:val="008F4309"/>
    <w:rsid w:val="008F58A9"/>
    <w:rsid w:val="008F5C15"/>
    <w:rsid w:val="008F5EB4"/>
    <w:rsid w:val="008F630E"/>
    <w:rsid w:val="008F657D"/>
    <w:rsid w:val="008F6BF7"/>
    <w:rsid w:val="008F7259"/>
    <w:rsid w:val="008F74EA"/>
    <w:rsid w:val="008F7D4E"/>
    <w:rsid w:val="009013AB"/>
    <w:rsid w:val="00901FA0"/>
    <w:rsid w:val="00902506"/>
    <w:rsid w:val="00902571"/>
    <w:rsid w:val="00904552"/>
    <w:rsid w:val="00905BF7"/>
    <w:rsid w:val="00905E64"/>
    <w:rsid w:val="00906342"/>
    <w:rsid w:val="00906823"/>
    <w:rsid w:val="00906A6F"/>
    <w:rsid w:val="00907422"/>
    <w:rsid w:val="009075A4"/>
    <w:rsid w:val="0091036A"/>
    <w:rsid w:val="009105E2"/>
    <w:rsid w:val="00911206"/>
    <w:rsid w:val="009116B8"/>
    <w:rsid w:val="00911AB1"/>
    <w:rsid w:val="00912F6B"/>
    <w:rsid w:val="00913436"/>
    <w:rsid w:val="0091361C"/>
    <w:rsid w:val="009142C7"/>
    <w:rsid w:val="0091505F"/>
    <w:rsid w:val="00915354"/>
    <w:rsid w:val="009159D9"/>
    <w:rsid w:val="00915B49"/>
    <w:rsid w:val="009163A7"/>
    <w:rsid w:val="0091682D"/>
    <w:rsid w:val="009168F4"/>
    <w:rsid w:val="00916CD8"/>
    <w:rsid w:val="00916F7B"/>
    <w:rsid w:val="0091723C"/>
    <w:rsid w:val="00917829"/>
    <w:rsid w:val="00917B6E"/>
    <w:rsid w:val="009205AA"/>
    <w:rsid w:val="00920869"/>
    <w:rsid w:val="00920D6B"/>
    <w:rsid w:val="00922AF8"/>
    <w:rsid w:val="00922B60"/>
    <w:rsid w:val="00922E07"/>
    <w:rsid w:val="00922EBB"/>
    <w:rsid w:val="00923473"/>
    <w:rsid w:val="00923FF6"/>
    <w:rsid w:val="009258ED"/>
    <w:rsid w:val="00926250"/>
    <w:rsid w:val="0092695E"/>
    <w:rsid w:val="00926BC6"/>
    <w:rsid w:val="009307FC"/>
    <w:rsid w:val="009308C2"/>
    <w:rsid w:val="0093206E"/>
    <w:rsid w:val="00932F28"/>
    <w:rsid w:val="00933F2B"/>
    <w:rsid w:val="00933FB5"/>
    <w:rsid w:val="0093491D"/>
    <w:rsid w:val="00934ED1"/>
    <w:rsid w:val="00934F77"/>
    <w:rsid w:val="00935A59"/>
    <w:rsid w:val="0093614C"/>
    <w:rsid w:val="009374DB"/>
    <w:rsid w:val="00937DA0"/>
    <w:rsid w:val="00940B75"/>
    <w:rsid w:val="00941684"/>
    <w:rsid w:val="00943016"/>
    <w:rsid w:val="0094396E"/>
    <w:rsid w:val="00943FC9"/>
    <w:rsid w:val="00945746"/>
    <w:rsid w:val="009463C2"/>
    <w:rsid w:val="0094645B"/>
    <w:rsid w:val="0094653C"/>
    <w:rsid w:val="009467C6"/>
    <w:rsid w:val="00946B7C"/>
    <w:rsid w:val="00947EC9"/>
    <w:rsid w:val="00950066"/>
    <w:rsid w:val="00950620"/>
    <w:rsid w:val="00950FD9"/>
    <w:rsid w:val="009512A8"/>
    <w:rsid w:val="00951C95"/>
    <w:rsid w:val="009526CC"/>
    <w:rsid w:val="00952C4C"/>
    <w:rsid w:val="00953316"/>
    <w:rsid w:val="00953750"/>
    <w:rsid w:val="00953CB2"/>
    <w:rsid w:val="00953CFA"/>
    <w:rsid w:val="0095452F"/>
    <w:rsid w:val="0095472E"/>
    <w:rsid w:val="00954894"/>
    <w:rsid w:val="00955214"/>
    <w:rsid w:val="00955B1D"/>
    <w:rsid w:val="009561D2"/>
    <w:rsid w:val="009565D9"/>
    <w:rsid w:val="00956A8F"/>
    <w:rsid w:val="00957712"/>
    <w:rsid w:val="009577A0"/>
    <w:rsid w:val="00957F7B"/>
    <w:rsid w:val="009603DA"/>
    <w:rsid w:val="009604FF"/>
    <w:rsid w:val="00961392"/>
    <w:rsid w:val="00961C7F"/>
    <w:rsid w:val="00961D40"/>
    <w:rsid w:val="009620A5"/>
    <w:rsid w:val="0096446D"/>
    <w:rsid w:val="00964516"/>
    <w:rsid w:val="009647B1"/>
    <w:rsid w:val="00964BBB"/>
    <w:rsid w:val="00965544"/>
    <w:rsid w:val="00965826"/>
    <w:rsid w:val="00965B72"/>
    <w:rsid w:val="00965CA2"/>
    <w:rsid w:val="00965CBB"/>
    <w:rsid w:val="0096766A"/>
    <w:rsid w:val="009705E8"/>
    <w:rsid w:val="009729D0"/>
    <w:rsid w:val="0097388C"/>
    <w:rsid w:val="00974115"/>
    <w:rsid w:val="009745B8"/>
    <w:rsid w:val="00974810"/>
    <w:rsid w:val="009753A5"/>
    <w:rsid w:val="009760AD"/>
    <w:rsid w:val="009760B3"/>
    <w:rsid w:val="00977106"/>
    <w:rsid w:val="009777D6"/>
    <w:rsid w:val="0097783E"/>
    <w:rsid w:val="00977EA1"/>
    <w:rsid w:val="00980252"/>
    <w:rsid w:val="0098161A"/>
    <w:rsid w:val="0098179E"/>
    <w:rsid w:val="00981B11"/>
    <w:rsid w:val="00982C35"/>
    <w:rsid w:val="00982F08"/>
    <w:rsid w:val="0098307E"/>
    <w:rsid w:val="0098407A"/>
    <w:rsid w:val="00984E14"/>
    <w:rsid w:val="00985B8D"/>
    <w:rsid w:val="00987DAE"/>
    <w:rsid w:val="0099037D"/>
    <w:rsid w:val="00990C73"/>
    <w:rsid w:val="009924E2"/>
    <w:rsid w:val="009929CD"/>
    <w:rsid w:val="00992F13"/>
    <w:rsid w:val="00994C28"/>
    <w:rsid w:val="00994DFD"/>
    <w:rsid w:val="009953B1"/>
    <w:rsid w:val="009953CC"/>
    <w:rsid w:val="00995BE9"/>
    <w:rsid w:val="009963C5"/>
    <w:rsid w:val="0099695D"/>
    <w:rsid w:val="00996BA5"/>
    <w:rsid w:val="009975E9"/>
    <w:rsid w:val="009A1801"/>
    <w:rsid w:val="009A3323"/>
    <w:rsid w:val="009A39E5"/>
    <w:rsid w:val="009A39F0"/>
    <w:rsid w:val="009A3D70"/>
    <w:rsid w:val="009A4FB8"/>
    <w:rsid w:val="009A54EF"/>
    <w:rsid w:val="009A6247"/>
    <w:rsid w:val="009A6409"/>
    <w:rsid w:val="009A7299"/>
    <w:rsid w:val="009B04FE"/>
    <w:rsid w:val="009B12AB"/>
    <w:rsid w:val="009B22D2"/>
    <w:rsid w:val="009B2B14"/>
    <w:rsid w:val="009B2FE4"/>
    <w:rsid w:val="009B32D1"/>
    <w:rsid w:val="009B33EB"/>
    <w:rsid w:val="009B3AB0"/>
    <w:rsid w:val="009B3C9A"/>
    <w:rsid w:val="009B4C27"/>
    <w:rsid w:val="009B583D"/>
    <w:rsid w:val="009B60C9"/>
    <w:rsid w:val="009B6CEF"/>
    <w:rsid w:val="009B7C74"/>
    <w:rsid w:val="009C15E0"/>
    <w:rsid w:val="009C2004"/>
    <w:rsid w:val="009C22EF"/>
    <w:rsid w:val="009C2B50"/>
    <w:rsid w:val="009C2C4A"/>
    <w:rsid w:val="009C2FEF"/>
    <w:rsid w:val="009C3558"/>
    <w:rsid w:val="009C4585"/>
    <w:rsid w:val="009C5348"/>
    <w:rsid w:val="009C56F8"/>
    <w:rsid w:val="009C57C9"/>
    <w:rsid w:val="009C62C1"/>
    <w:rsid w:val="009C693D"/>
    <w:rsid w:val="009C6D55"/>
    <w:rsid w:val="009C7914"/>
    <w:rsid w:val="009C7A8E"/>
    <w:rsid w:val="009C7FD2"/>
    <w:rsid w:val="009D0E35"/>
    <w:rsid w:val="009D1089"/>
    <w:rsid w:val="009D134F"/>
    <w:rsid w:val="009D1530"/>
    <w:rsid w:val="009D320F"/>
    <w:rsid w:val="009D5AD4"/>
    <w:rsid w:val="009D6EC4"/>
    <w:rsid w:val="009D7334"/>
    <w:rsid w:val="009D73CE"/>
    <w:rsid w:val="009D7B46"/>
    <w:rsid w:val="009E0D7B"/>
    <w:rsid w:val="009E29AE"/>
    <w:rsid w:val="009E29C7"/>
    <w:rsid w:val="009E2BA0"/>
    <w:rsid w:val="009E306F"/>
    <w:rsid w:val="009E3231"/>
    <w:rsid w:val="009E334C"/>
    <w:rsid w:val="009E3615"/>
    <w:rsid w:val="009E38B1"/>
    <w:rsid w:val="009E4CFF"/>
    <w:rsid w:val="009E4D84"/>
    <w:rsid w:val="009E5562"/>
    <w:rsid w:val="009E5766"/>
    <w:rsid w:val="009E5C0D"/>
    <w:rsid w:val="009E5EF2"/>
    <w:rsid w:val="009E614C"/>
    <w:rsid w:val="009E6893"/>
    <w:rsid w:val="009E784D"/>
    <w:rsid w:val="009F0353"/>
    <w:rsid w:val="009F1113"/>
    <w:rsid w:val="009F1A91"/>
    <w:rsid w:val="009F1CEC"/>
    <w:rsid w:val="009F3156"/>
    <w:rsid w:val="009F36CD"/>
    <w:rsid w:val="009F3A3A"/>
    <w:rsid w:val="009F3B91"/>
    <w:rsid w:val="009F4D13"/>
    <w:rsid w:val="009F4D8A"/>
    <w:rsid w:val="009F4F56"/>
    <w:rsid w:val="009F50A7"/>
    <w:rsid w:val="009F5713"/>
    <w:rsid w:val="009F6144"/>
    <w:rsid w:val="009F6CF2"/>
    <w:rsid w:val="009F70F1"/>
    <w:rsid w:val="009F7390"/>
    <w:rsid w:val="009F77F2"/>
    <w:rsid w:val="009F7945"/>
    <w:rsid w:val="009F7DF4"/>
    <w:rsid w:val="00A0033C"/>
    <w:rsid w:val="00A00666"/>
    <w:rsid w:val="00A00AE9"/>
    <w:rsid w:val="00A00CFC"/>
    <w:rsid w:val="00A00D14"/>
    <w:rsid w:val="00A00DAE"/>
    <w:rsid w:val="00A03CD7"/>
    <w:rsid w:val="00A03EFA"/>
    <w:rsid w:val="00A04835"/>
    <w:rsid w:val="00A04AAF"/>
    <w:rsid w:val="00A04B39"/>
    <w:rsid w:val="00A06ADD"/>
    <w:rsid w:val="00A07087"/>
    <w:rsid w:val="00A07863"/>
    <w:rsid w:val="00A11022"/>
    <w:rsid w:val="00A1199B"/>
    <w:rsid w:val="00A123D8"/>
    <w:rsid w:val="00A12B1D"/>
    <w:rsid w:val="00A12D9A"/>
    <w:rsid w:val="00A12F5C"/>
    <w:rsid w:val="00A1315A"/>
    <w:rsid w:val="00A1345C"/>
    <w:rsid w:val="00A13F1B"/>
    <w:rsid w:val="00A149E7"/>
    <w:rsid w:val="00A1615E"/>
    <w:rsid w:val="00A17385"/>
    <w:rsid w:val="00A213C6"/>
    <w:rsid w:val="00A21B91"/>
    <w:rsid w:val="00A22175"/>
    <w:rsid w:val="00A225C0"/>
    <w:rsid w:val="00A2263D"/>
    <w:rsid w:val="00A22C52"/>
    <w:rsid w:val="00A23022"/>
    <w:rsid w:val="00A237AC"/>
    <w:rsid w:val="00A23A8D"/>
    <w:rsid w:val="00A23EBE"/>
    <w:rsid w:val="00A24689"/>
    <w:rsid w:val="00A24825"/>
    <w:rsid w:val="00A25103"/>
    <w:rsid w:val="00A257C2"/>
    <w:rsid w:val="00A26016"/>
    <w:rsid w:val="00A2654E"/>
    <w:rsid w:val="00A276D4"/>
    <w:rsid w:val="00A277E3"/>
    <w:rsid w:val="00A27A44"/>
    <w:rsid w:val="00A31337"/>
    <w:rsid w:val="00A314A2"/>
    <w:rsid w:val="00A326C9"/>
    <w:rsid w:val="00A32C91"/>
    <w:rsid w:val="00A366F4"/>
    <w:rsid w:val="00A36967"/>
    <w:rsid w:val="00A372CC"/>
    <w:rsid w:val="00A3761A"/>
    <w:rsid w:val="00A40762"/>
    <w:rsid w:val="00A41A26"/>
    <w:rsid w:val="00A41CF0"/>
    <w:rsid w:val="00A41E9B"/>
    <w:rsid w:val="00A42356"/>
    <w:rsid w:val="00A431E9"/>
    <w:rsid w:val="00A43774"/>
    <w:rsid w:val="00A43E25"/>
    <w:rsid w:val="00A44B44"/>
    <w:rsid w:val="00A44C61"/>
    <w:rsid w:val="00A45266"/>
    <w:rsid w:val="00A467A7"/>
    <w:rsid w:val="00A467D1"/>
    <w:rsid w:val="00A46830"/>
    <w:rsid w:val="00A468FA"/>
    <w:rsid w:val="00A47269"/>
    <w:rsid w:val="00A47776"/>
    <w:rsid w:val="00A47832"/>
    <w:rsid w:val="00A5003A"/>
    <w:rsid w:val="00A50F7A"/>
    <w:rsid w:val="00A518A3"/>
    <w:rsid w:val="00A52045"/>
    <w:rsid w:val="00A5225F"/>
    <w:rsid w:val="00A52D2F"/>
    <w:rsid w:val="00A54149"/>
    <w:rsid w:val="00A544F1"/>
    <w:rsid w:val="00A54E46"/>
    <w:rsid w:val="00A553FE"/>
    <w:rsid w:val="00A5572F"/>
    <w:rsid w:val="00A55877"/>
    <w:rsid w:val="00A55E7A"/>
    <w:rsid w:val="00A567AB"/>
    <w:rsid w:val="00A56C2A"/>
    <w:rsid w:val="00A6021C"/>
    <w:rsid w:val="00A60272"/>
    <w:rsid w:val="00A60688"/>
    <w:rsid w:val="00A6076E"/>
    <w:rsid w:val="00A60C94"/>
    <w:rsid w:val="00A60D9F"/>
    <w:rsid w:val="00A6125C"/>
    <w:rsid w:val="00A61912"/>
    <w:rsid w:val="00A62229"/>
    <w:rsid w:val="00A62304"/>
    <w:rsid w:val="00A62A68"/>
    <w:rsid w:val="00A62E0C"/>
    <w:rsid w:val="00A6305A"/>
    <w:rsid w:val="00A635F8"/>
    <w:rsid w:val="00A63848"/>
    <w:rsid w:val="00A63CD9"/>
    <w:rsid w:val="00A640D9"/>
    <w:rsid w:val="00A6440C"/>
    <w:rsid w:val="00A64F64"/>
    <w:rsid w:val="00A652DE"/>
    <w:rsid w:val="00A65567"/>
    <w:rsid w:val="00A656CF"/>
    <w:rsid w:val="00A6615A"/>
    <w:rsid w:val="00A70997"/>
    <w:rsid w:val="00A709A8"/>
    <w:rsid w:val="00A70A8B"/>
    <w:rsid w:val="00A70E3F"/>
    <w:rsid w:val="00A714A8"/>
    <w:rsid w:val="00A71F4E"/>
    <w:rsid w:val="00A72C45"/>
    <w:rsid w:val="00A733B5"/>
    <w:rsid w:val="00A733F1"/>
    <w:rsid w:val="00A736AC"/>
    <w:rsid w:val="00A74BB9"/>
    <w:rsid w:val="00A74D31"/>
    <w:rsid w:val="00A755B6"/>
    <w:rsid w:val="00A75C8F"/>
    <w:rsid w:val="00A75F57"/>
    <w:rsid w:val="00A7699B"/>
    <w:rsid w:val="00A801AD"/>
    <w:rsid w:val="00A808B7"/>
    <w:rsid w:val="00A80B2E"/>
    <w:rsid w:val="00A80B54"/>
    <w:rsid w:val="00A810C9"/>
    <w:rsid w:val="00A8153A"/>
    <w:rsid w:val="00A8177B"/>
    <w:rsid w:val="00A82AF5"/>
    <w:rsid w:val="00A83B7C"/>
    <w:rsid w:val="00A84353"/>
    <w:rsid w:val="00A84453"/>
    <w:rsid w:val="00A844CF"/>
    <w:rsid w:val="00A853D5"/>
    <w:rsid w:val="00A864C5"/>
    <w:rsid w:val="00A86735"/>
    <w:rsid w:val="00A86771"/>
    <w:rsid w:val="00A870D7"/>
    <w:rsid w:val="00A87994"/>
    <w:rsid w:val="00A87CCB"/>
    <w:rsid w:val="00A90497"/>
    <w:rsid w:val="00A90A23"/>
    <w:rsid w:val="00A91722"/>
    <w:rsid w:val="00A9198A"/>
    <w:rsid w:val="00A923FE"/>
    <w:rsid w:val="00A92722"/>
    <w:rsid w:val="00A92746"/>
    <w:rsid w:val="00A9284F"/>
    <w:rsid w:val="00A929BC"/>
    <w:rsid w:val="00A93933"/>
    <w:rsid w:val="00A939FC"/>
    <w:rsid w:val="00A953D5"/>
    <w:rsid w:val="00A95AC3"/>
    <w:rsid w:val="00A960E8"/>
    <w:rsid w:val="00A966E6"/>
    <w:rsid w:val="00A96741"/>
    <w:rsid w:val="00A968F4"/>
    <w:rsid w:val="00A96C19"/>
    <w:rsid w:val="00AA04CD"/>
    <w:rsid w:val="00AA0A30"/>
    <w:rsid w:val="00AA1C40"/>
    <w:rsid w:val="00AA1DDE"/>
    <w:rsid w:val="00AA20DC"/>
    <w:rsid w:val="00AA2258"/>
    <w:rsid w:val="00AA2B5C"/>
    <w:rsid w:val="00AA3D9B"/>
    <w:rsid w:val="00AA4CCE"/>
    <w:rsid w:val="00AA4F57"/>
    <w:rsid w:val="00AA56E6"/>
    <w:rsid w:val="00AA5B75"/>
    <w:rsid w:val="00AA71CF"/>
    <w:rsid w:val="00AA7AF0"/>
    <w:rsid w:val="00AA7CCE"/>
    <w:rsid w:val="00AB005B"/>
    <w:rsid w:val="00AB0359"/>
    <w:rsid w:val="00AB0553"/>
    <w:rsid w:val="00AB06C7"/>
    <w:rsid w:val="00AB098D"/>
    <w:rsid w:val="00AB0FE8"/>
    <w:rsid w:val="00AB171E"/>
    <w:rsid w:val="00AB2495"/>
    <w:rsid w:val="00AB249D"/>
    <w:rsid w:val="00AB2A56"/>
    <w:rsid w:val="00AB2B6A"/>
    <w:rsid w:val="00AB2BCF"/>
    <w:rsid w:val="00AB303C"/>
    <w:rsid w:val="00AB3341"/>
    <w:rsid w:val="00AB3C60"/>
    <w:rsid w:val="00AB54B8"/>
    <w:rsid w:val="00AB5878"/>
    <w:rsid w:val="00AB59CC"/>
    <w:rsid w:val="00AB69A9"/>
    <w:rsid w:val="00AB6B9D"/>
    <w:rsid w:val="00AB70A8"/>
    <w:rsid w:val="00AB7895"/>
    <w:rsid w:val="00AB7BA3"/>
    <w:rsid w:val="00AB7FF3"/>
    <w:rsid w:val="00AC023D"/>
    <w:rsid w:val="00AC046D"/>
    <w:rsid w:val="00AC0953"/>
    <w:rsid w:val="00AC1066"/>
    <w:rsid w:val="00AC1D3E"/>
    <w:rsid w:val="00AC2E52"/>
    <w:rsid w:val="00AC577B"/>
    <w:rsid w:val="00AC6DE9"/>
    <w:rsid w:val="00AC73B9"/>
    <w:rsid w:val="00AC7507"/>
    <w:rsid w:val="00AC7D2B"/>
    <w:rsid w:val="00AD17C0"/>
    <w:rsid w:val="00AD1BBB"/>
    <w:rsid w:val="00AD1E11"/>
    <w:rsid w:val="00AD2D0E"/>
    <w:rsid w:val="00AD37BA"/>
    <w:rsid w:val="00AD4454"/>
    <w:rsid w:val="00AD51AA"/>
    <w:rsid w:val="00AD5940"/>
    <w:rsid w:val="00AD5ADD"/>
    <w:rsid w:val="00AD5AE2"/>
    <w:rsid w:val="00AD5CBE"/>
    <w:rsid w:val="00AD5DFB"/>
    <w:rsid w:val="00AD6451"/>
    <w:rsid w:val="00AD6651"/>
    <w:rsid w:val="00AD677E"/>
    <w:rsid w:val="00AD6E55"/>
    <w:rsid w:val="00AD78A7"/>
    <w:rsid w:val="00AE0003"/>
    <w:rsid w:val="00AE051E"/>
    <w:rsid w:val="00AE07B5"/>
    <w:rsid w:val="00AE1514"/>
    <w:rsid w:val="00AE2CF5"/>
    <w:rsid w:val="00AE2DC4"/>
    <w:rsid w:val="00AE3419"/>
    <w:rsid w:val="00AE3CF7"/>
    <w:rsid w:val="00AE4640"/>
    <w:rsid w:val="00AE46E1"/>
    <w:rsid w:val="00AE5300"/>
    <w:rsid w:val="00AE5EAC"/>
    <w:rsid w:val="00AE7624"/>
    <w:rsid w:val="00AE7E11"/>
    <w:rsid w:val="00AF028E"/>
    <w:rsid w:val="00AF113B"/>
    <w:rsid w:val="00AF1313"/>
    <w:rsid w:val="00AF2630"/>
    <w:rsid w:val="00AF271A"/>
    <w:rsid w:val="00AF29B0"/>
    <w:rsid w:val="00AF327C"/>
    <w:rsid w:val="00AF3F76"/>
    <w:rsid w:val="00AF49A3"/>
    <w:rsid w:val="00AF4CC4"/>
    <w:rsid w:val="00AF4DB2"/>
    <w:rsid w:val="00AF4E04"/>
    <w:rsid w:val="00AF5219"/>
    <w:rsid w:val="00AF543F"/>
    <w:rsid w:val="00AF5FDD"/>
    <w:rsid w:val="00AF6E06"/>
    <w:rsid w:val="00B001A7"/>
    <w:rsid w:val="00B007C7"/>
    <w:rsid w:val="00B01879"/>
    <w:rsid w:val="00B01B1A"/>
    <w:rsid w:val="00B03430"/>
    <w:rsid w:val="00B04788"/>
    <w:rsid w:val="00B04D91"/>
    <w:rsid w:val="00B06276"/>
    <w:rsid w:val="00B06D81"/>
    <w:rsid w:val="00B0764E"/>
    <w:rsid w:val="00B07C47"/>
    <w:rsid w:val="00B10932"/>
    <w:rsid w:val="00B10ED5"/>
    <w:rsid w:val="00B10F55"/>
    <w:rsid w:val="00B11B2B"/>
    <w:rsid w:val="00B11C8D"/>
    <w:rsid w:val="00B11DDB"/>
    <w:rsid w:val="00B127EF"/>
    <w:rsid w:val="00B1288A"/>
    <w:rsid w:val="00B12B40"/>
    <w:rsid w:val="00B14DAF"/>
    <w:rsid w:val="00B14F1B"/>
    <w:rsid w:val="00B152EA"/>
    <w:rsid w:val="00B15AC4"/>
    <w:rsid w:val="00B16179"/>
    <w:rsid w:val="00B16F60"/>
    <w:rsid w:val="00B1728C"/>
    <w:rsid w:val="00B172ED"/>
    <w:rsid w:val="00B17398"/>
    <w:rsid w:val="00B200E6"/>
    <w:rsid w:val="00B20467"/>
    <w:rsid w:val="00B20688"/>
    <w:rsid w:val="00B20A44"/>
    <w:rsid w:val="00B221BD"/>
    <w:rsid w:val="00B2297F"/>
    <w:rsid w:val="00B23652"/>
    <w:rsid w:val="00B23B09"/>
    <w:rsid w:val="00B23BB8"/>
    <w:rsid w:val="00B24728"/>
    <w:rsid w:val="00B24F5A"/>
    <w:rsid w:val="00B259B5"/>
    <w:rsid w:val="00B26002"/>
    <w:rsid w:val="00B266D1"/>
    <w:rsid w:val="00B269B6"/>
    <w:rsid w:val="00B26F5D"/>
    <w:rsid w:val="00B27124"/>
    <w:rsid w:val="00B27293"/>
    <w:rsid w:val="00B30C33"/>
    <w:rsid w:val="00B31BB3"/>
    <w:rsid w:val="00B3365F"/>
    <w:rsid w:val="00B33FD1"/>
    <w:rsid w:val="00B34119"/>
    <w:rsid w:val="00B350EA"/>
    <w:rsid w:val="00B35D0D"/>
    <w:rsid w:val="00B35F58"/>
    <w:rsid w:val="00B36B5E"/>
    <w:rsid w:val="00B3795E"/>
    <w:rsid w:val="00B40145"/>
    <w:rsid w:val="00B40A86"/>
    <w:rsid w:val="00B40F1E"/>
    <w:rsid w:val="00B40F49"/>
    <w:rsid w:val="00B418E2"/>
    <w:rsid w:val="00B41BC8"/>
    <w:rsid w:val="00B42AEF"/>
    <w:rsid w:val="00B43CD6"/>
    <w:rsid w:val="00B44A92"/>
    <w:rsid w:val="00B44C60"/>
    <w:rsid w:val="00B45DD9"/>
    <w:rsid w:val="00B465F2"/>
    <w:rsid w:val="00B46DA8"/>
    <w:rsid w:val="00B46F53"/>
    <w:rsid w:val="00B47AAA"/>
    <w:rsid w:val="00B47BE8"/>
    <w:rsid w:val="00B50235"/>
    <w:rsid w:val="00B50440"/>
    <w:rsid w:val="00B504BD"/>
    <w:rsid w:val="00B50B2C"/>
    <w:rsid w:val="00B50E58"/>
    <w:rsid w:val="00B52809"/>
    <w:rsid w:val="00B5380B"/>
    <w:rsid w:val="00B53856"/>
    <w:rsid w:val="00B53B0F"/>
    <w:rsid w:val="00B549CF"/>
    <w:rsid w:val="00B54EFB"/>
    <w:rsid w:val="00B56BB1"/>
    <w:rsid w:val="00B572C9"/>
    <w:rsid w:val="00B57BA9"/>
    <w:rsid w:val="00B57E7F"/>
    <w:rsid w:val="00B600AA"/>
    <w:rsid w:val="00B602C4"/>
    <w:rsid w:val="00B606C9"/>
    <w:rsid w:val="00B61A37"/>
    <w:rsid w:val="00B61DA9"/>
    <w:rsid w:val="00B623F3"/>
    <w:rsid w:val="00B6307F"/>
    <w:rsid w:val="00B639C1"/>
    <w:rsid w:val="00B64BE4"/>
    <w:rsid w:val="00B64F7A"/>
    <w:rsid w:val="00B65DBC"/>
    <w:rsid w:val="00B66E83"/>
    <w:rsid w:val="00B6710E"/>
    <w:rsid w:val="00B67B23"/>
    <w:rsid w:val="00B67BED"/>
    <w:rsid w:val="00B67F02"/>
    <w:rsid w:val="00B7073E"/>
    <w:rsid w:val="00B709C1"/>
    <w:rsid w:val="00B732A9"/>
    <w:rsid w:val="00B74240"/>
    <w:rsid w:val="00B7433A"/>
    <w:rsid w:val="00B7588F"/>
    <w:rsid w:val="00B76BA0"/>
    <w:rsid w:val="00B778F8"/>
    <w:rsid w:val="00B77F4E"/>
    <w:rsid w:val="00B80CE8"/>
    <w:rsid w:val="00B81B73"/>
    <w:rsid w:val="00B82797"/>
    <w:rsid w:val="00B8304E"/>
    <w:rsid w:val="00B8342B"/>
    <w:rsid w:val="00B83AF5"/>
    <w:rsid w:val="00B83ED6"/>
    <w:rsid w:val="00B84835"/>
    <w:rsid w:val="00B849F0"/>
    <w:rsid w:val="00B85D6E"/>
    <w:rsid w:val="00B85F0A"/>
    <w:rsid w:val="00B862DF"/>
    <w:rsid w:val="00B867A3"/>
    <w:rsid w:val="00B87E3B"/>
    <w:rsid w:val="00B902FB"/>
    <w:rsid w:val="00B90B28"/>
    <w:rsid w:val="00B91E5B"/>
    <w:rsid w:val="00B92FAD"/>
    <w:rsid w:val="00B9325D"/>
    <w:rsid w:val="00B93297"/>
    <w:rsid w:val="00B9373D"/>
    <w:rsid w:val="00B93FC6"/>
    <w:rsid w:val="00B9418E"/>
    <w:rsid w:val="00B94543"/>
    <w:rsid w:val="00B9459E"/>
    <w:rsid w:val="00B94D94"/>
    <w:rsid w:val="00B95DD5"/>
    <w:rsid w:val="00B9684B"/>
    <w:rsid w:val="00B96F09"/>
    <w:rsid w:val="00B96FDD"/>
    <w:rsid w:val="00B97265"/>
    <w:rsid w:val="00B97537"/>
    <w:rsid w:val="00B97890"/>
    <w:rsid w:val="00B9791D"/>
    <w:rsid w:val="00B97B5B"/>
    <w:rsid w:val="00BA1409"/>
    <w:rsid w:val="00BA1562"/>
    <w:rsid w:val="00BA1760"/>
    <w:rsid w:val="00BA176B"/>
    <w:rsid w:val="00BA247C"/>
    <w:rsid w:val="00BA2B1E"/>
    <w:rsid w:val="00BA33A7"/>
    <w:rsid w:val="00BA3C96"/>
    <w:rsid w:val="00BA3F8D"/>
    <w:rsid w:val="00BA4751"/>
    <w:rsid w:val="00BA48B7"/>
    <w:rsid w:val="00BA52EC"/>
    <w:rsid w:val="00BA6527"/>
    <w:rsid w:val="00BA67B9"/>
    <w:rsid w:val="00BA6F03"/>
    <w:rsid w:val="00BA7096"/>
    <w:rsid w:val="00BA7152"/>
    <w:rsid w:val="00BA7788"/>
    <w:rsid w:val="00BB0039"/>
    <w:rsid w:val="00BB0578"/>
    <w:rsid w:val="00BB0B92"/>
    <w:rsid w:val="00BB133E"/>
    <w:rsid w:val="00BB1569"/>
    <w:rsid w:val="00BB1B6A"/>
    <w:rsid w:val="00BB1D7D"/>
    <w:rsid w:val="00BB35D3"/>
    <w:rsid w:val="00BB36A2"/>
    <w:rsid w:val="00BB3C9C"/>
    <w:rsid w:val="00BB472B"/>
    <w:rsid w:val="00BB49A9"/>
    <w:rsid w:val="00BB4B8D"/>
    <w:rsid w:val="00BB5306"/>
    <w:rsid w:val="00BB62C5"/>
    <w:rsid w:val="00BB68B7"/>
    <w:rsid w:val="00BB6EFE"/>
    <w:rsid w:val="00BB6F5E"/>
    <w:rsid w:val="00BC0D4B"/>
    <w:rsid w:val="00BC0D84"/>
    <w:rsid w:val="00BC26C4"/>
    <w:rsid w:val="00BC2C18"/>
    <w:rsid w:val="00BC2C3D"/>
    <w:rsid w:val="00BC3095"/>
    <w:rsid w:val="00BC446F"/>
    <w:rsid w:val="00BC4847"/>
    <w:rsid w:val="00BC4C47"/>
    <w:rsid w:val="00BC57DB"/>
    <w:rsid w:val="00BC5A0C"/>
    <w:rsid w:val="00BC5E3B"/>
    <w:rsid w:val="00BC6258"/>
    <w:rsid w:val="00BC65D6"/>
    <w:rsid w:val="00BC6788"/>
    <w:rsid w:val="00BC6CD2"/>
    <w:rsid w:val="00BC782A"/>
    <w:rsid w:val="00BD0157"/>
    <w:rsid w:val="00BD09BC"/>
    <w:rsid w:val="00BD0ECD"/>
    <w:rsid w:val="00BD0F6D"/>
    <w:rsid w:val="00BD0F8C"/>
    <w:rsid w:val="00BD1450"/>
    <w:rsid w:val="00BD1641"/>
    <w:rsid w:val="00BD1D2B"/>
    <w:rsid w:val="00BD24F1"/>
    <w:rsid w:val="00BD2C1B"/>
    <w:rsid w:val="00BD2C9D"/>
    <w:rsid w:val="00BD3790"/>
    <w:rsid w:val="00BD39D8"/>
    <w:rsid w:val="00BD4DF1"/>
    <w:rsid w:val="00BD717B"/>
    <w:rsid w:val="00BE041C"/>
    <w:rsid w:val="00BE061C"/>
    <w:rsid w:val="00BE08A8"/>
    <w:rsid w:val="00BE1870"/>
    <w:rsid w:val="00BE1AC4"/>
    <w:rsid w:val="00BE26D8"/>
    <w:rsid w:val="00BE3126"/>
    <w:rsid w:val="00BE3D71"/>
    <w:rsid w:val="00BE4899"/>
    <w:rsid w:val="00BE503A"/>
    <w:rsid w:val="00BE5430"/>
    <w:rsid w:val="00BE5A24"/>
    <w:rsid w:val="00BE5B5A"/>
    <w:rsid w:val="00BE600D"/>
    <w:rsid w:val="00BE612D"/>
    <w:rsid w:val="00BE6446"/>
    <w:rsid w:val="00BE684B"/>
    <w:rsid w:val="00BF0C2F"/>
    <w:rsid w:val="00BF12D0"/>
    <w:rsid w:val="00BF1E6C"/>
    <w:rsid w:val="00BF227F"/>
    <w:rsid w:val="00BF2331"/>
    <w:rsid w:val="00BF2697"/>
    <w:rsid w:val="00BF333E"/>
    <w:rsid w:val="00BF3465"/>
    <w:rsid w:val="00BF359D"/>
    <w:rsid w:val="00BF3664"/>
    <w:rsid w:val="00BF4AC1"/>
    <w:rsid w:val="00BF5025"/>
    <w:rsid w:val="00BF6555"/>
    <w:rsid w:val="00BF681B"/>
    <w:rsid w:val="00BF6870"/>
    <w:rsid w:val="00BF6C3C"/>
    <w:rsid w:val="00BF705E"/>
    <w:rsid w:val="00BF7796"/>
    <w:rsid w:val="00BF77CE"/>
    <w:rsid w:val="00C000D5"/>
    <w:rsid w:val="00C0084C"/>
    <w:rsid w:val="00C00A0F"/>
    <w:rsid w:val="00C01419"/>
    <w:rsid w:val="00C0149C"/>
    <w:rsid w:val="00C0154D"/>
    <w:rsid w:val="00C015B9"/>
    <w:rsid w:val="00C02809"/>
    <w:rsid w:val="00C02A7D"/>
    <w:rsid w:val="00C02F2A"/>
    <w:rsid w:val="00C0345D"/>
    <w:rsid w:val="00C035B7"/>
    <w:rsid w:val="00C035F1"/>
    <w:rsid w:val="00C0362E"/>
    <w:rsid w:val="00C03D8C"/>
    <w:rsid w:val="00C04011"/>
    <w:rsid w:val="00C040F0"/>
    <w:rsid w:val="00C0443B"/>
    <w:rsid w:val="00C04463"/>
    <w:rsid w:val="00C0543D"/>
    <w:rsid w:val="00C05C9F"/>
    <w:rsid w:val="00C05E37"/>
    <w:rsid w:val="00C060E5"/>
    <w:rsid w:val="00C06AC6"/>
    <w:rsid w:val="00C07F72"/>
    <w:rsid w:val="00C10438"/>
    <w:rsid w:val="00C10AA5"/>
    <w:rsid w:val="00C11146"/>
    <w:rsid w:val="00C11369"/>
    <w:rsid w:val="00C118DB"/>
    <w:rsid w:val="00C11F30"/>
    <w:rsid w:val="00C12EDC"/>
    <w:rsid w:val="00C12F33"/>
    <w:rsid w:val="00C140FE"/>
    <w:rsid w:val="00C14E07"/>
    <w:rsid w:val="00C14E9C"/>
    <w:rsid w:val="00C15284"/>
    <w:rsid w:val="00C1603B"/>
    <w:rsid w:val="00C16BD1"/>
    <w:rsid w:val="00C16D9A"/>
    <w:rsid w:val="00C173FC"/>
    <w:rsid w:val="00C17454"/>
    <w:rsid w:val="00C21105"/>
    <w:rsid w:val="00C2130B"/>
    <w:rsid w:val="00C218B1"/>
    <w:rsid w:val="00C21DFB"/>
    <w:rsid w:val="00C224FB"/>
    <w:rsid w:val="00C22640"/>
    <w:rsid w:val="00C227B4"/>
    <w:rsid w:val="00C22B6A"/>
    <w:rsid w:val="00C23083"/>
    <w:rsid w:val="00C23260"/>
    <w:rsid w:val="00C23F8E"/>
    <w:rsid w:val="00C24029"/>
    <w:rsid w:val="00C241A8"/>
    <w:rsid w:val="00C24396"/>
    <w:rsid w:val="00C24742"/>
    <w:rsid w:val="00C25096"/>
    <w:rsid w:val="00C250AA"/>
    <w:rsid w:val="00C257F5"/>
    <w:rsid w:val="00C260E3"/>
    <w:rsid w:val="00C2637D"/>
    <w:rsid w:val="00C302F6"/>
    <w:rsid w:val="00C3084E"/>
    <w:rsid w:val="00C314C5"/>
    <w:rsid w:val="00C31B4D"/>
    <w:rsid w:val="00C31FEB"/>
    <w:rsid w:val="00C32DCF"/>
    <w:rsid w:val="00C33098"/>
    <w:rsid w:val="00C334E1"/>
    <w:rsid w:val="00C33B2D"/>
    <w:rsid w:val="00C341D9"/>
    <w:rsid w:val="00C342B5"/>
    <w:rsid w:val="00C34447"/>
    <w:rsid w:val="00C34547"/>
    <w:rsid w:val="00C3532B"/>
    <w:rsid w:val="00C354AC"/>
    <w:rsid w:val="00C36ACD"/>
    <w:rsid w:val="00C36CC0"/>
    <w:rsid w:val="00C37083"/>
    <w:rsid w:val="00C372FE"/>
    <w:rsid w:val="00C407EA"/>
    <w:rsid w:val="00C408F6"/>
    <w:rsid w:val="00C40F2A"/>
    <w:rsid w:val="00C41480"/>
    <w:rsid w:val="00C4182A"/>
    <w:rsid w:val="00C41D9E"/>
    <w:rsid w:val="00C41FE2"/>
    <w:rsid w:val="00C42B8A"/>
    <w:rsid w:val="00C42E96"/>
    <w:rsid w:val="00C4345D"/>
    <w:rsid w:val="00C43ACA"/>
    <w:rsid w:val="00C44134"/>
    <w:rsid w:val="00C444D3"/>
    <w:rsid w:val="00C445E4"/>
    <w:rsid w:val="00C448D1"/>
    <w:rsid w:val="00C452EF"/>
    <w:rsid w:val="00C46912"/>
    <w:rsid w:val="00C46E55"/>
    <w:rsid w:val="00C471B5"/>
    <w:rsid w:val="00C47A79"/>
    <w:rsid w:val="00C50833"/>
    <w:rsid w:val="00C51E41"/>
    <w:rsid w:val="00C523E0"/>
    <w:rsid w:val="00C53AF7"/>
    <w:rsid w:val="00C53CCE"/>
    <w:rsid w:val="00C54353"/>
    <w:rsid w:val="00C54A7A"/>
    <w:rsid w:val="00C54D2F"/>
    <w:rsid w:val="00C55212"/>
    <w:rsid w:val="00C5546E"/>
    <w:rsid w:val="00C55E9D"/>
    <w:rsid w:val="00C56CE3"/>
    <w:rsid w:val="00C5782D"/>
    <w:rsid w:val="00C604DF"/>
    <w:rsid w:val="00C6057E"/>
    <w:rsid w:val="00C60626"/>
    <w:rsid w:val="00C6063F"/>
    <w:rsid w:val="00C60B7D"/>
    <w:rsid w:val="00C6180B"/>
    <w:rsid w:val="00C61BA4"/>
    <w:rsid w:val="00C62583"/>
    <w:rsid w:val="00C64566"/>
    <w:rsid w:val="00C64E8B"/>
    <w:rsid w:val="00C655B9"/>
    <w:rsid w:val="00C661AD"/>
    <w:rsid w:val="00C66828"/>
    <w:rsid w:val="00C66871"/>
    <w:rsid w:val="00C66DB1"/>
    <w:rsid w:val="00C671A3"/>
    <w:rsid w:val="00C6765C"/>
    <w:rsid w:val="00C67FD4"/>
    <w:rsid w:val="00C7015D"/>
    <w:rsid w:val="00C701F0"/>
    <w:rsid w:val="00C7063B"/>
    <w:rsid w:val="00C72F45"/>
    <w:rsid w:val="00C75C1A"/>
    <w:rsid w:val="00C7665A"/>
    <w:rsid w:val="00C76B5A"/>
    <w:rsid w:val="00C76F43"/>
    <w:rsid w:val="00C77BE2"/>
    <w:rsid w:val="00C80BFF"/>
    <w:rsid w:val="00C81849"/>
    <w:rsid w:val="00C81BD5"/>
    <w:rsid w:val="00C82BCF"/>
    <w:rsid w:val="00C84042"/>
    <w:rsid w:val="00C841FE"/>
    <w:rsid w:val="00C842F0"/>
    <w:rsid w:val="00C8494D"/>
    <w:rsid w:val="00C84A04"/>
    <w:rsid w:val="00C855A9"/>
    <w:rsid w:val="00C85E3A"/>
    <w:rsid w:val="00C8621E"/>
    <w:rsid w:val="00C878B7"/>
    <w:rsid w:val="00C90E34"/>
    <w:rsid w:val="00C9114E"/>
    <w:rsid w:val="00C91DEF"/>
    <w:rsid w:val="00C91FAC"/>
    <w:rsid w:val="00C91FFE"/>
    <w:rsid w:val="00C92AB1"/>
    <w:rsid w:val="00C92B9A"/>
    <w:rsid w:val="00C92BC1"/>
    <w:rsid w:val="00C93D5C"/>
    <w:rsid w:val="00C93FC4"/>
    <w:rsid w:val="00C940A9"/>
    <w:rsid w:val="00C9418A"/>
    <w:rsid w:val="00C951F2"/>
    <w:rsid w:val="00C95272"/>
    <w:rsid w:val="00C95341"/>
    <w:rsid w:val="00C9623F"/>
    <w:rsid w:val="00C96717"/>
    <w:rsid w:val="00C96DAD"/>
    <w:rsid w:val="00C9762C"/>
    <w:rsid w:val="00C97BB4"/>
    <w:rsid w:val="00C97CB1"/>
    <w:rsid w:val="00C97FDD"/>
    <w:rsid w:val="00CA05E7"/>
    <w:rsid w:val="00CA1776"/>
    <w:rsid w:val="00CA29F6"/>
    <w:rsid w:val="00CA329A"/>
    <w:rsid w:val="00CA32B3"/>
    <w:rsid w:val="00CA3B7D"/>
    <w:rsid w:val="00CA4165"/>
    <w:rsid w:val="00CA485F"/>
    <w:rsid w:val="00CA494C"/>
    <w:rsid w:val="00CA4B58"/>
    <w:rsid w:val="00CA4F7C"/>
    <w:rsid w:val="00CA57BB"/>
    <w:rsid w:val="00CA5E3F"/>
    <w:rsid w:val="00CA5EBD"/>
    <w:rsid w:val="00CA5EBF"/>
    <w:rsid w:val="00CA693C"/>
    <w:rsid w:val="00CA7274"/>
    <w:rsid w:val="00CB099A"/>
    <w:rsid w:val="00CB0B4A"/>
    <w:rsid w:val="00CB151A"/>
    <w:rsid w:val="00CB1DCB"/>
    <w:rsid w:val="00CB2814"/>
    <w:rsid w:val="00CB2F2F"/>
    <w:rsid w:val="00CB35D1"/>
    <w:rsid w:val="00CB3FA8"/>
    <w:rsid w:val="00CB4609"/>
    <w:rsid w:val="00CB4D69"/>
    <w:rsid w:val="00CB661B"/>
    <w:rsid w:val="00CB68D8"/>
    <w:rsid w:val="00CB6A6C"/>
    <w:rsid w:val="00CB6E0A"/>
    <w:rsid w:val="00CB7D13"/>
    <w:rsid w:val="00CC05C3"/>
    <w:rsid w:val="00CC1C08"/>
    <w:rsid w:val="00CC1D87"/>
    <w:rsid w:val="00CC22B7"/>
    <w:rsid w:val="00CC26A2"/>
    <w:rsid w:val="00CC2C14"/>
    <w:rsid w:val="00CC3010"/>
    <w:rsid w:val="00CC41AC"/>
    <w:rsid w:val="00CC49A4"/>
    <w:rsid w:val="00CC72EB"/>
    <w:rsid w:val="00CC783F"/>
    <w:rsid w:val="00CC7D27"/>
    <w:rsid w:val="00CD09B7"/>
    <w:rsid w:val="00CD0E19"/>
    <w:rsid w:val="00CD1BE0"/>
    <w:rsid w:val="00CD28F4"/>
    <w:rsid w:val="00CD2B27"/>
    <w:rsid w:val="00CD666B"/>
    <w:rsid w:val="00CD7695"/>
    <w:rsid w:val="00CE0D79"/>
    <w:rsid w:val="00CE0DCA"/>
    <w:rsid w:val="00CE169A"/>
    <w:rsid w:val="00CE16F6"/>
    <w:rsid w:val="00CE1D93"/>
    <w:rsid w:val="00CE2655"/>
    <w:rsid w:val="00CE2EDE"/>
    <w:rsid w:val="00CE368E"/>
    <w:rsid w:val="00CE3722"/>
    <w:rsid w:val="00CE3946"/>
    <w:rsid w:val="00CE4794"/>
    <w:rsid w:val="00CE4D58"/>
    <w:rsid w:val="00CE604D"/>
    <w:rsid w:val="00CE64D7"/>
    <w:rsid w:val="00CE69AD"/>
    <w:rsid w:val="00CE73D0"/>
    <w:rsid w:val="00CE7CCD"/>
    <w:rsid w:val="00CF008A"/>
    <w:rsid w:val="00CF1254"/>
    <w:rsid w:val="00CF2CBF"/>
    <w:rsid w:val="00CF342B"/>
    <w:rsid w:val="00CF4184"/>
    <w:rsid w:val="00CF4656"/>
    <w:rsid w:val="00CF4A0D"/>
    <w:rsid w:val="00CF5109"/>
    <w:rsid w:val="00CF577D"/>
    <w:rsid w:val="00CF633D"/>
    <w:rsid w:val="00CF6937"/>
    <w:rsid w:val="00CF7304"/>
    <w:rsid w:val="00CF74BA"/>
    <w:rsid w:val="00CF7C86"/>
    <w:rsid w:val="00D005D9"/>
    <w:rsid w:val="00D00CBB"/>
    <w:rsid w:val="00D00E29"/>
    <w:rsid w:val="00D011F5"/>
    <w:rsid w:val="00D015EF"/>
    <w:rsid w:val="00D0181E"/>
    <w:rsid w:val="00D0192E"/>
    <w:rsid w:val="00D019E3"/>
    <w:rsid w:val="00D01AB7"/>
    <w:rsid w:val="00D02B47"/>
    <w:rsid w:val="00D02B8D"/>
    <w:rsid w:val="00D02E21"/>
    <w:rsid w:val="00D039E8"/>
    <w:rsid w:val="00D03BFD"/>
    <w:rsid w:val="00D03F72"/>
    <w:rsid w:val="00D0431B"/>
    <w:rsid w:val="00D04AB6"/>
    <w:rsid w:val="00D06534"/>
    <w:rsid w:val="00D07C1F"/>
    <w:rsid w:val="00D07E9B"/>
    <w:rsid w:val="00D10401"/>
    <w:rsid w:val="00D1095C"/>
    <w:rsid w:val="00D11A09"/>
    <w:rsid w:val="00D12974"/>
    <w:rsid w:val="00D12D67"/>
    <w:rsid w:val="00D1313E"/>
    <w:rsid w:val="00D1355E"/>
    <w:rsid w:val="00D1361E"/>
    <w:rsid w:val="00D138D3"/>
    <w:rsid w:val="00D1396F"/>
    <w:rsid w:val="00D14AE5"/>
    <w:rsid w:val="00D1520B"/>
    <w:rsid w:val="00D165FD"/>
    <w:rsid w:val="00D16DBC"/>
    <w:rsid w:val="00D16E12"/>
    <w:rsid w:val="00D175B3"/>
    <w:rsid w:val="00D17847"/>
    <w:rsid w:val="00D2023C"/>
    <w:rsid w:val="00D20E5F"/>
    <w:rsid w:val="00D210FF"/>
    <w:rsid w:val="00D215BA"/>
    <w:rsid w:val="00D228DC"/>
    <w:rsid w:val="00D24C01"/>
    <w:rsid w:val="00D2570E"/>
    <w:rsid w:val="00D2598B"/>
    <w:rsid w:val="00D25C87"/>
    <w:rsid w:val="00D26106"/>
    <w:rsid w:val="00D2610A"/>
    <w:rsid w:val="00D26399"/>
    <w:rsid w:val="00D26417"/>
    <w:rsid w:val="00D269A2"/>
    <w:rsid w:val="00D26DAD"/>
    <w:rsid w:val="00D26EEE"/>
    <w:rsid w:val="00D27594"/>
    <w:rsid w:val="00D27CFB"/>
    <w:rsid w:val="00D27D66"/>
    <w:rsid w:val="00D30A8B"/>
    <w:rsid w:val="00D30F74"/>
    <w:rsid w:val="00D30F81"/>
    <w:rsid w:val="00D3138F"/>
    <w:rsid w:val="00D31B2A"/>
    <w:rsid w:val="00D3203A"/>
    <w:rsid w:val="00D32846"/>
    <w:rsid w:val="00D3423A"/>
    <w:rsid w:val="00D3423E"/>
    <w:rsid w:val="00D34771"/>
    <w:rsid w:val="00D365D5"/>
    <w:rsid w:val="00D36B27"/>
    <w:rsid w:val="00D36C8F"/>
    <w:rsid w:val="00D37321"/>
    <w:rsid w:val="00D37497"/>
    <w:rsid w:val="00D40663"/>
    <w:rsid w:val="00D41914"/>
    <w:rsid w:val="00D43464"/>
    <w:rsid w:val="00D440EA"/>
    <w:rsid w:val="00D44DDA"/>
    <w:rsid w:val="00D44FCD"/>
    <w:rsid w:val="00D4500F"/>
    <w:rsid w:val="00D458A7"/>
    <w:rsid w:val="00D46A64"/>
    <w:rsid w:val="00D46DDE"/>
    <w:rsid w:val="00D50C24"/>
    <w:rsid w:val="00D52D4D"/>
    <w:rsid w:val="00D52E6D"/>
    <w:rsid w:val="00D534DD"/>
    <w:rsid w:val="00D54D1C"/>
    <w:rsid w:val="00D54E64"/>
    <w:rsid w:val="00D55545"/>
    <w:rsid w:val="00D56059"/>
    <w:rsid w:val="00D5654C"/>
    <w:rsid w:val="00D56E07"/>
    <w:rsid w:val="00D60188"/>
    <w:rsid w:val="00D606D5"/>
    <w:rsid w:val="00D61F07"/>
    <w:rsid w:val="00D61F43"/>
    <w:rsid w:val="00D623C9"/>
    <w:rsid w:val="00D625C0"/>
    <w:rsid w:val="00D63C64"/>
    <w:rsid w:val="00D646D1"/>
    <w:rsid w:val="00D65DD1"/>
    <w:rsid w:val="00D662C6"/>
    <w:rsid w:val="00D6633E"/>
    <w:rsid w:val="00D67A10"/>
    <w:rsid w:val="00D67A59"/>
    <w:rsid w:val="00D70658"/>
    <w:rsid w:val="00D707E8"/>
    <w:rsid w:val="00D71965"/>
    <w:rsid w:val="00D71A7C"/>
    <w:rsid w:val="00D71D25"/>
    <w:rsid w:val="00D72960"/>
    <w:rsid w:val="00D72E84"/>
    <w:rsid w:val="00D73301"/>
    <w:rsid w:val="00D734A0"/>
    <w:rsid w:val="00D73D4A"/>
    <w:rsid w:val="00D73F68"/>
    <w:rsid w:val="00D741A7"/>
    <w:rsid w:val="00D75456"/>
    <w:rsid w:val="00D75467"/>
    <w:rsid w:val="00D765FA"/>
    <w:rsid w:val="00D7696A"/>
    <w:rsid w:val="00D777DB"/>
    <w:rsid w:val="00D77E23"/>
    <w:rsid w:val="00D80A5E"/>
    <w:rsid w:val="00D8172D"/>
    <w:rsid w:val="00D81BC0"/>
    <w:rsid w:val="00D81C50"/>
    <w:rsid w:val="00D82117"/>
    <w:rsid w:val="00D82316"/>
    <w:rsid w:val="00D82A05"/>
    <w:rsid w:val="00D830F2"/>
    <w:rsid w:val="00D836C9"/>
    <w:rsid w:val="00D83906"/>
    <w:rsid w:val="00D8393C"/>
    <w:rsid w:val="00D83DB6"/>
    <w:rsid w:val="00D851B8"/>
    <w:rsid w:val="00D86369"/>
    <w:rsid w:val="00D86AE6"/>
    <w:rsid w:val="00D872FB"/>
    <w:rsid w:val="00D8780D"/>
    <w:rsid w:val="00D9054F"/>
    <w:rsid w:val="00D91E0C"/>
    <w:rsid w:val="00D922AF"/>
    <w:rsid w:val="00D92471"/>
    <w:rsid w:val="00D92A44"/>
    <w:rsid w:val="00D93121"/>
    <w:rsid w:val="00D93401"/>
    <w:rsid w:val="00D93974"/>
    <w:rsid w:val="00D941DC"/>
    <w:rsid w:val="00D9442F"/>
    <w:rsid w:val="00D944E6"/>
    <w:rsid w:val="00D94BAE"/>
    <w:rsid w:val="00D958A7"/>
    <w:rsid w:val="00D968B1"/>
    <w:rsid w:val="00D977F5"/>
    <w:rsid w:val="00D97885"/>
    <w:rsid w:val="00D9788B"/>
    <w:rsid w:val="00DA1A81"/>
    <w:rsid w:val="00DA2250"/>
    <w:rsid w:val="00DA46CA"/>
    <w:rsid w:val="00DA54FA"/>
    <w:rsid w:val="00DA6548"/>
    <w:rsid w:val="00DA65CB"/>
    <w:rsid w:val="00DA6C37"/>
    <w:rsid w:val="00DA6CBD"/>
    <w:rsid w:val="00DA6F3F"/>
    <w:rsid w:val="00DA715F"/>
    <w:rsid w:val="00DA75D8"/>
    <w:rsid w:val="00DB0AD1"/>
    <w:rsid w:val="00DB10A7"/>
    <w:rsid w:val="00DB17FA"/>
    <w:rsid w:val="00DB189B"/>
    <w:rsid w:val="00DB2AD6"/>
    <w:rsid w:val="00DB2E09"/>
    <w:rsid w:val="00DB4683"/>
    <w:rsid w:val="00DB4DAB"/>
    <w:rsid w:val="00DB5F09"/>
    <w:rsid w:val="00DC008D"/>
    <w:rsid w:val="00DC031E"/>
    <w:rsid w:val="00DC0581"/>
    <w:rsid w:val="00DC0C7B"/>
    <w:rsid w:val="00DC1655"/>
    <w:rsid w:val="00DC1B5C"/>
    <w:rsid w:val="00DC1CC0"/>
    <w:rsid w:val="00DC1E99"/>
    <w:rsid w:val="00DC2191"/>
    <w:rsid w:val="00DC2270"/>
    <w:rsid w:val="00DC2353"/>
    <w:rsid w:val="00DC28AC"/>
    <w:rsid w:val="00DC2CAD"/>
    <w:rsid w:val="00DC2D6D"/>
    <w:rsid w:val="00DC3423"/>
    <w:rsid w:val="00DC3A5B"/>
    <w:rsid w:val="00DC413C"/>
    <w:rsid w:val="00DC475C"/>
    <w:rsid w:val="00DC497D"/>
    <w:rsid w:val="00DC4CBF"/>
    <w:rsid w:val="00DC5239"/>
    <w:rsid w:val="00DC58A3"/>
    <w:rsid w:val="00DC5C3B"/>
    <w:rsid w:val="00DC601C"/>
    <w:rsid w:val="00DC7287"/>
    <w:rsid w:val="00DC7566"/>
    <w:rsid w:val="00DC78AA"/>
    <w:rsid w:val="00DC78AD"/>
    <w:rsid w:val="00DD00CE"/>
    <w:rsid w:val="00DD1ACB"/>
    <w:rsid w:val="00DD1C8F"/>
    <w:rsid w:val="00DD1CE5"/>
    <w:rsid w:val="00DD2760"/>
    <w:rsid w:val="00DD3453"/>
    <w:rsid w:val="00DD5006"/>
    <w:rsid w:val="00DD5D28"/>
    <w:rsid w:val="00DD6A32"/>
    <w:rsid w:val="00DE0393"/>
    <w:rsid w:val="00DE08B6"/>
    <w:rsid w:val="00DE1999"/>
    <w:rsid w:val="00DE270A"/>
    <w:rsid w:val="00DE2A2C"/>
    <w:rsid w:val="00DE3626"/>
    <w:rsid w:val="00DE3F8C"/>
    <w:rsid w:val="00DE4E2D"/>
    <w:rsid w:val="00DE5660"/>
    <w:rsid w:val="00DE5CA3"/>
    <w:rsid w:val="00DE6571"/>
    <w:rsid w:val="00DE6821"/>
    <w:rsid w:val="00DE6F84"/>
    <w:rsid w:val="00DE7049"/>
    <w:rsid w:val="00DE7553"/>
    <w:rsid w:val="00DE78BB"/>
    <w:rsid w:val="00DF03C6"/>
    <w:rsid w:val="00DF04E9"/>
    <w:rsid w:val="00DF0976"/>
    <w:rsid w:val="00DF09D5"/>
    <w:rsid w:val="00DF0CEE"/>
    <w:rsid w:val="00DF1177"/>
    <w:rsid w:val="00DF12A5"/>
    <w:rsid w:val="00DF1BDA"/>
    <w:rsid w:val="00DF2A4B"/>
    <w:rsid w:val="00DF2E57"/>
    <w:rsid w:val="00DF4270"/>
    <w:rsid w:val="00DF45D3"/>
    <w:rsid w:val="00DF463A"/>
    <w:rsid w:val="00DF52CE"/>
    <w:rsid w:val="00DF543E"/>
    <w:rsid w:val="00DF566D"/>
    <w:rsid w:val="00DF5EE7"/>
    <w:rsid w:val="00E00358"/>
    <w:rsid w:val="00E005F0"/>
    <w:rsid w:val="00E0064E"/>
    <w:rsid w:val="00E00BBF"/>
    <w:rsid w:val="00E0117D"/>
    <w:rsid w:val="00E01EB3"/>
    <w:rsid w:val="00E02788"/>
    <w:rsid w:val="00E028D6"/>
    <w:rsid w:val="00E0318A"/>
    <w:rsid w:val="00E03422"/>
    <w:rsid w:val="00E0461E"/>
    <w:rsid w:val="00E04EFB"/>
    <w:rsid w:val="00E06A34"/>
    <w:rsid w:val="00E079F4"/>
    <w:rsid w:val="00E1059B"/>
    <w:rsid w:val="00E1066C"/>
    <w:rsid w:val="00E10DF9"/>
    <w:rsid w:val="00E11AF0"/>
    <w:rsid w:val="00E12362"/>
    <w:rsid w:val="00E13134"/>
    <w:rsid w:val="00E1372C"/>
    <w:rsid w:val="00E13AFD"/>
    <w:rsid w:val="00E13D3D"/>
    <w:rsid w:val="00E148ED"/>
    <w:rsid w:val="00E155A4"/>
    <w:rsid w:val="00E164F6"/>
    <w:rsid w:val="00E16F63"/>
    <w:rsid w:val="00E17271"/>
    <w:rsid w:val="00E211C1"/>
    <w:rsid w:val="00E21BFC"/>
    <w:rsid w:val="00E22FD1"/>
    <w:rsid w:val="00E2359B"/>
    <w:rsid w:val="00E2359E"/>
    <w:rsid w:val="00E23607"/>
    <w:rsid w:val="00E252E5"/>
    <w:rsid w:val="00E25A55"/>
    <w:rsid w:val="00E25B46"/>
    <w:rsid w:val="00E25D92"/>
    <w:rsid w:val="00E271D8"/>
    <w:rsid w:val="00E2747B"/>
    <w:rsid w:val="00E27617"/>
    <w:rsid w:val="00E2768D"/>
    <w:rsid w:val="00E30994"/>
    <w:rsid w:val="00E30E8A"/>
    <w:rsid w:val="00E3118A"/>
    <w:rsid w:val="00E32532"/>
    <w:rsid w:val="00E33525"/>
    <w:rsid w:val="00E33855"/>
    <w:rsid w:val="00E33978"/>
    <w:rsid w:val="00E33A50"/>
    <w:rsid w:val="00E34638"/>
    <w:rsid w:val="00E34EDD"/>
    <w:rsid w:val="00E3576A"/>
    <w:rsid w:val="00E373D4"/>
    <w:rsid w:val="00E3777E"/>
    <w:rsid w:val="00E379CD"/>
    <w:rsid w:val="00E37B38"/>
    <w:rsid w:val="00E41541"/>
    <w:rsid w:val="00E41A56"/>
    <w:rsid w:val="00E4371B"/>
    <w:rsid w:val="00E4401B"/>
    <w:rsid w:val="00E447F7"/>
    <w:rsid w:val="00E46BF4"/>
    <w:rsid w:val="00E47202"/>
    <w:rsid w:val="00E50CDF"/>
    <w:rsid w:val="00E510E6"/>
    <w:rsid w:val="00E51636"/>
    <w:rsid w:val="00E527F2"/>
    <w:rsid w:val="00E53126"/>
    <w:rsid w:val="00E5359A"/>
    <w:rsid w:val="00E5385C"/>
    <w:rsid w:val="00E53D83"/>
    <w:rsid w:val="00E545AE"/>
    <w:rsid w:val="00E54ACC"/>
    <w:rsid w:val="00E54EF6"/>
    <w:rsid w:val="00E5618A"/>
    <w:rsid w:val="00E561CF"/>
    <w:rsid w:val="00E56851"/>
    <w:rsid w:val="00E56A52"/>
    <w:rsid w:val="00E57128"/>
    <w:rsid w:val="00E57163"/>
    <w:rsid w:val="00E57186"/>
    <w:rsid w:val="00E573FD"/>
    <w:rsid w:val="00E57479"/>
    <w:rsid w:val="00E57495"/>
    <w:rsid w:val="00E57C67"/>
    <w:rsid w:val="00E606A6"/>
    <w:rsid w:val="00E60848"/>
    <w:rsid w:val="00E60A4B"/>
    <w:rsid w:val="00E615FB"/>
    <w:rsid w:val="00E62302"/>
    <w:rsid w:val="00E630D9"/>
    <w:rsid w:val="00E639B0"/>
    <w:rsid w:val="00E63B37"/>
    <w:rsid w:val="00E63BE4"/>
    <w:rsid w:val="00E63DBA"/>
    <w:rsid w:val="00E64119"/>
    <w:rsid w:val="00E64C5B"/>
    <w:rsid w:val="00E65045"/>
    <w:rsid w:val="00E664AC"/>
    <w:rsid w:val="00E669DA"/>
    <w:rsid w:val="00E66BF2"/>
    <w:rsid w:val="00E670ED"/>
    <w:rsid w:val="00E677E0"/>
    <w:rsid w:val="00E67A2B"/>
    <w:rsid w:val="00E67B19"/>
    <w:rsid w:val="00E67DD5"/>
    <w:rsid w:val="00E7000C"/>
    <w:rsid w:val="00E700EB"/>
    <w:rsid w:val="00E70B00"/>
    <w:rsid w:val="00E70B2F"/>
    <w:rsid w:val="00E70B3B"/>
    <w:rsid w:val="00E70DE1"/>
    <w:rsid w:val="00E71925"/>
    <w:rsid w:val="00E71E27"/>
    <w:rsid w:val="00E72AE4"/>
    <w:rsid w:val="00E73C98"/>
    <w:rsid w:val="00E74030"/>
    <w:rsid w:val="00E757D9"/>
    <w:rsid w:val="00E75DFA"/>
    <w:rsid w:val="00E7655D"/>
    <w:rsid w:val="00E769CB"/>
    <w:rsid w:val="00E76DE0"/>
    <w:rsid w:val="00E774E4"/>
    <w:rsid w:val="00E77D66"/>
    <w:rsid w:val="00E77F96"/>
    <w:rsid w:val="00E77FE6"/>
    <w:rsid w:val="00E80EBA"/>
    <w:rsid w:val="00E81527"/>
    <w:rsid w:val="00E81ADA"/>
    <w:rsid w:val="00E82E34"/>
    <w:rsid w:val="00E841C7"/>
    <w:rsid w:val="00E84D2D"/>
    <w:rsid w:val="00E85BEA"/>
    <w:rsid w:val="00E85F7C"/>
    <w:rsid w:val="00E864CC"/>
    <w:rsid w:val="00E8729C"/>
    <w:rsid w:val="00E873A5"/>
    <w:rsid w:val="00E90F01"/>
    <w:rsid w:val="00E92404"/>
    <w:rsid w:val="00E92929"/>
    <w:rsid w:val="00E929AA"/>
    <w:rsid w:val="00E92C24"/>
    <w:rsid w:val="00E932E5"/>
    <w:rsid w:val="00E950B5"/>
    <w:rsid w:val="00E95CA4"/>
    <w:rsid w:val="00E96514"/>
    <w:rsid w:val="00E96634"/>
    <w:rsid w:val="00E96B57"/>
    <w:rsid w:val="00E96B5A"/>
    <w:rsid w:val="00E97346"/>
    <w:rsid w:val="00E975D6"/>
    <w:rsid w:val="00E97B10"/>
    <w:rsid w:val="00E97B8D"/>
    <w:rsid w:val="00E97DD0"/>
    <w:rsid w:val="00EA07EC"/>
    <w:rsid w:val="00EA0F34"/>
    <w:rsid w:val="00EA145A"/>
    <w:rsid w:val="00EA17D5"/>
    <w:rsid w:val="00EA1A64"/>
    <w:rsid w:val="00EA2558"/>
    <w:rsid w:val="00EA2891"/>
    <w:rsid w:val="00EA2A89"/>
    <w:rsid w:val="00EA2C63"/>
    <w:rsid w:val="00EA3789"/>
    <w:rsid w:val="00EA4B07"/>
    <w:rsid w:val="00EA6621"/>
    <w:rsid w:val="00EA7151"/>
    <w:rsid w:val="00EA7389"/>
    <w:rsid w:val="00EB3E29"/>
    <w:rsid w:val="00EB548A"/>
    <w:rsid w:val="00EB5EB4"/>
    <w:rsid w:val="00EB6752"/>
    <w:rsid w:val="00EB67E5"/>
    <w:rsid w:val="00EB791A"/>
    <w:rsid w:val="00EB7F35"/>
    <w:rsid w:val="00EC07CE"/>
    <w:rsid w:val="00EC251F"/>
    <w:rsid w:val="00EC304D"/>
    <w:rsid w:val="00EC470D"/>
    <w:rsid w:val="00EC4F83"/>
    <w:rsid w:val="00EC5C6B"/>
    <w:rsid w:val="00EC5D5D"/>
    <w:rsid w:val="00EC712B"/>
    <w:rsid w:val="00ED01B3"/>
    <w:rsid w:val="00ED0BE4"/>
    <w:rsid w:val="00ED230E"/>
    <w:rsid w:val="00ED23D7"/>
    <w:rsid w:val="00ED2567"/>
    <w:rsid w:val="00ED2E0C"/>
    <w:rsid w:val="00ED2E44"/>
    <w:rsid w:val="00ED3195"/>
    <w:rsid w:val="00ED582D"/>
    <w:rsid w:val="00ED5834"/>
    <w:rsid w:val="00ED5AD5"/>
    <w:rsid w:val="00ED60D4"/>
    <w:rsid w:val="00ED6BD7"/>
    <w:rsid w:val="00ED7347"/>
    <w:rsid w:val="00ED7B2B"/>
    <w:rsid w:val="00EE19E9"/>
    <w:rsid w:val="00EE1DAA"/>
    <w:rsid w:val="00EE1F35"/>
    <w:rsid w:val="00EE2CFD"/>
    <w:rsid w:val="00EE3241"/>
    <w:rsid w:val="00EE404D"/>
    <w:rsid w:val="00EE4756"/>
    <w:rsid w:val="00EE4788"/>
    <w:rsid w:val="00EE5455"/>
    <w:rsid w:val="00EE58B7"/>
    <w:rsid w:val="00EE5F04"/>
    <w:rsid w:val="00EE6912"/>
    <w:rsid w:val="00EE6B49"/>
    <w:rsid w:val="00EE6ECA"/>
    <w:rsid w:val="00EE7433"/>
    <w:rsid w:val="00EE7EE2"/>
    <w:rsid w:val="00EF017B"/>
    <w:rsid w:val="00EF01C7"/>
    <w:rsid w:val="00EF07A0"/>
    <w:rsid w:val="00EF07B8"/>
    <w:rsid w:val="00EF0D05"/>
    <w:rsid w:val="00EF1C1F"/>
    <w:rsid w:val="00EF1FF5"/>
    <w:rsid w:val="00EF2714"/>
    <w:rsid w:val="00EF4423"/>
    <w:rsid w:val="00EF483B"/>
    <w:rsid w:val="00EF5738"/>
    <w:rsid w:val="00EF5EA7"/>
    <w:rsid w:val="00EF5EDC"/>
    <w:rsid w:val="00EF644C"/>
    <w:rsid w:val="00EF6461"/>
    <w:rsid w:val="00EF73EB"/>
    <w:rsid w:val="00F006FF"/>
    <w:rsid w:val="00F01DFF"/>
    <w:rsid w:val="00F02044"/>
    <w:rsid w:val="00F023E9"/>
    <w:rsid w:val="00F02407"/>
    <w:rsid w:val="00F02B0A"/>
    <w:rsid w:val="00F0346B"/>
    <w:rsid w:val="00F03C0B"/>
    <w:rsid w:val="00F04088"/>
    <w:rsid w:val="00F04CA1"/>
    <w:rsid w:val="00F059FF"/>
    <w:rsid w:val="00F060C5"/>
    <w:rsid w:val="00F069E0"/>
    <w:rsid w:val="00F06B3F"/>
    <w:rsid w:val="00F07240"/>
    <w:rsid w:val="00F073CB"/>
    <w:rsid w:val="00F07488"/>
    <w:rsid w:val="00F07645"/>
    <w:rsid w:val="00F077BD"/>
    <w:rsid w:val="00F11062"/>
    <w:rsid w:val="00F122AA"/>
    <w:rsid w:val="00F1313B"/>
    <w:rsid w:val="00F13277"/>
    <w:rsid w:val="00F139C4"/>
    <w:rsid w:val="00F14080"/>
    <w:rsid w:val="00F144AC"/>
    <w:rsid w:val="00F15068"/>
    <w:rsid w:val="00F155C1"/>
    <w:rsid w:val="00F16525"/>
    <w:rsid w:val="00F17995"/>
    <w:rsid w:val="00F20073"/>
    <w:rsid w:val="00F20976"/>
    <w:rsid w:val="00F20B98"/>
    <w:rsid w:val="00F20D4C"/>
    <w:rsid w:val="00F232D3"/>
    <w:rsid w:val="00F232FE"/>
    <w:rsid w:val="00F237FC"/>
    <w:rsid w:val="00F247D7"/>
    <w:rsid w:val="00F24884"/>
    <w:rsid w:val="00F255F6"/>
    <w:rsid w:val="00F3074F"/>
    <w:rsid w:val="00F30782"/>
    <w:rsid w:val="00F30967"/>
    <w:rsid w:val="00F3165C"/>
    <w:rsid w:val="00F31E8B"/>
    <w:rsid w:val="00F323ED"/>
    <w:rsid w:val="00F3247B"/>
    <w:rsid w:val="00F32507"/>
    <w:rsid w:val="00F3254D"/>
    <w:rsid w:val="00F32D13"/>
    <w:rsid w:val="00F32DA9"/>
    <w:rsid w:val="00F32EC4"/>
    <w:rsid w:val="00F341E9"/>
    <w:rsid w:val="00F3426D"/>
    <w:rsid w:val="00F347D6"/>
    <w:rsid w:val="00F34849"/>
    <w:rsid w:val="00F34BB2"/>
    <w:rsid w:val="00F34FFE"/>
    <w:rsid w:val="00F35499"/>
    <w:rsid w:val="00F35C73"/>
    <w:rsid w:val="00F36184"/>
    <w:rsid w:val="00F36261"/>
    <w:rsid w:val="00F36F1E"/>
    <w:rsid w:val="00F36FEC"/>
    <w:rsid w:val="00F37648"/>
    <w:rsid w:val="00F37A05"/>
    <w:rsid w:val="00F40130"/>
    <w:rsid w:val="00F4051F"/>
    <w:rsid w:val="00F40DAA"/>
    <w:rsid w:val="00F40DF7"/>
    <w:rsid w:val="00F412AB"/>
    <w:rsid w:val="00F41C50"/>
    <w:rsid w:val="00F41CDF"/>
    <w:rsid w:val="00F4338C"/>
    <w:rsid w:val="00F44125"/>
    <w:rsid w:val="00F4459C"/>
    <w:rsid w:val="00F44B35"/>
    <w:rsid w:val="00F44CBC"/>
    <w:rsid w:val="00F44D72"/>
    <w:rsid w:val="00F44D82"/>
    <w:rsid w:val="00F45A58"/>
    <w:rsid w:val="00F4761B"/>
    <w:rsid w:val="00F47BD3"/>
    <w:rsid w:val="00F5058E"/>
    <w:rsid w:val="00F5165A"/>
    <w:rsid w:val="00F5213F"/>
    <w:rsid w:val="00F52943"/>
    <w:rsid w:val="00F53981"/>
    <w:rsid w:val="00F54A64"/>
    <w:rsid w:val="00F557EF"/>
    <w:rsid w:val="00F55D58"/>
    <w:rsid w:val="00F56B83"/>
    <w:rsid w:val="00F577AC"/>
    <w:rsid w:val="00F6021D"/>
    <w:rsid w:val="00F60438"/>
    <w:rsid w:val="00F60B97"/>
    <w:rsid w:val="00F60C7F"/>
    <w:rsid w:val="00F6181C"/>
    <w:rsid w:val="00F61CB2"/>
    <w:rsid w:val="00F61D43"/>
    <w:rsid w:val="00F624E9"/>
    <w:rsid w:val="00F6296C"/>
    <w:rsid w:val="00F62BB4"/>
    <w:rsid w:val="00F64159"/>
    <w:rsid w:val="00F64F77"/>
    <w:rsid w:val="00F6552D"/>
    <w:rsid w:val="00F6555D"/>
    <w:rsid w:val="00F65D49"/>
    <w:rsid w:val="00F669C0"/>
    <w:rsid w:val="00F70C51"/>
    <w:rsid w:val="00F70C5C"/>
    <w:rsid w:val="00F70DE5"/>
    <w:rsid w:val="00F733F1"/>
    <w:rsid w:val="00F73CBE"/>
    <w:rsid w:val="00F7566E"/>
    <w:rsid w:val="00F756F3"/>
    <w:rsid w:val="00F75D25"/>
    <w:rsid w:val="00F75F2C"/>
    <w:rsid w:val="00F75FAA"/>
    <w:rsid w:val="00F765D4"/>
    <w:rsid w:val="00F769C1"/>
    <w:rsid w:val="00F76D0C"/>
    <w:rsid w:val="00F76E18"/>
    <w:rsid w:val="00F8052F"/>
    <w:rsid w:val="00F80B3C"/>
    <w:rsid w:val="00F80B6B"/>
    <w:rsid w:val="00F80BD2"/>
    <w:rsid w:val="00F80E1E"/>
    <w:rsid w:val="00F81438"/>
    <w:rsid w:val="00F81661"/>
    <w:rsid w:val="00F81C66"/>
    <w:rsid w:val="00F81D0B"/>
    <w:rsid w:val="00F82104"/>
    <w:rsid w:val="00F82CFA"/>
    <w:rsid w:val="00F83259"/>
    <w:rsid w:val="00F84200"/>
    <w:rsid w:val="00F84CEE"/>
    <w:rsid w:val="00F85A5E"/>
    <w:rsid w:val="00F860C8"/>
    <w:rsid w:val="00F8644B"/>
    <w:rsid w:val="00F86B7F"/>
    <w:rsid w:val="00F86C5F"/>
    <w:rsid w:val="00F90773"/>
    <w:rsid w:val="00F914CE"/>
    <w:rsid w:val="00F91AF1"/>
    <w:rsid w:val="00F91D05"/>
    <w:rsid w:val="00F91F61"/>
    <w:rsid w:val="00F921CE"/>
    <w:rsid w:val="00F930B9"/>
    <w:rsid w:val="00F93329"/>
    <w:rsid w:val="00F93B58"/>
    <w:rsid w:val="00F93E45"/>
    <w:rsid w:val="00F9457C"/>
    <w:rsid w:val="00F946D1"/>
    <w:rsid w:val="00F94D32"/>
    <w:rsid w:val="00F95023"/>
    <w:rsid w:val="00F9522A"/>
    <w:rsid w:val="00F955C1"/>
    <w:rsid w:val="00F95A31"/>
    <w:rsid w:val="00F95A7B"/>
    <w:rsid w:val="00F95DCE"/>
    <w:rsid w:val="00F962BF"/>
    <w:rsid w:val="00F96740"/>
    <w:rsid w:val="00F96D81"/>
    <w:rsid w:val="00F96E7E"/>
    <w:rsid w:val="00F97725"/>
    <w:rsid w:val="00F97842"/>
    <w:rsid w:val="00FA006E"/>
    <w:rsid w:val="00FA0B17"/>
    <w:rsid w:val="00FA1717"/>
    <w:rsid w:val="00FA1BE3"/>
    <w:rsid w:val="00FA1E26"/>
    <w:rsid w:val="00FA2D6E"/>
    <w:rsid w:val="00FA2E69"/>
    <w:rsid w:val="00FA3189"/>
    <w:rsid w:val="00FA34BD"/>
    <w:rsid w:val="00FA386D"/>
    <w:rsid w:val="00FA4D0B"/>
    <w:rsid w:val="00FA4FD0"/>
    <w:rsid w:val="00FA57C1"/>
    <w:rsid w:val="00FA68AA"/>
    <w:rsid w:val="00FA6F5C"/>
    <w:rsid w:val="00FA7AA4"/>
    <w:rsid w:val="00FB00D5"/>
    <w:rsid w:val="00FB03CB"/>
    <w:rsid w:val="00FB149D"/>
    <w:rsid w:val="00FB206D"/>
    <w:rsid w:val="00FB22F9"/>
    <w:rsid w:val="00FB26FC"/>
    <w:rsid w:val="00FB36CC"/>
    <w:rsid w:val="00FB4F3F"/>
    <w:rsid w:val="00FB53F8"/>
    <w:rsid w:val="00FB5A88"/>
    <w:rsid w:val="00FB5F40"/>
    <w:rsid w:val="00FB6B78"/>
    <w:rsid w:val="00FB78EF"/>
    <w:rsid w:val="00FB79E6"/>
    <w:rsid w:val="00FB7C8A"/>
    <w:rsid w:val="00FC00B5"/>
    <w:rsid w:val="00FC0B28"/>
    <w:rsid w:val="00FC0BE3"/>
    <w:rsid w:val="00FC0C5C"/>
    <w:rsid w:val="00FC1365"/>
    <w:rsid w:val="00FC1944"/>
    <w:rsid w:val="00FC1C68"/>
    <w:rsid w:val="00FC2E21"/>
    <w:rsid w:val="00FC4941"/>
    <w:rsid w:val="00FC639D"/>
    <w:rsid w:val="00FC713E"/>
    <w:rsid w:val="00FC760C"/>
    <w:rsid w:val="00FC79C9"/>
    <w:rsid w:val="00FD00B2"/>
    <w:rsid w:val="00FD087D"/>
    <w:rsid w:val="00FD0F42"/>
    <w:rsid w:val="00FD1A3F"/>
    <w:rsid w:val="00FD1B6F"/>
    <w:rsid w:val="00FD1B8A"/>
    <w:rsid w:val="00FD2716"/>
    <w:rsid w:val="00FD2A10"/>
    <w:rsid w:val="00FD3AFB"/>
    <w:rsid w:val="00FD4462"/>
    <w:rsid w:val="00FD4551"/>
    <w:rsid w:val="00FD4C92"/>
    <w:rsid w:val="00FD5860"/>
    <w:rsid w:val="00FD6173"/>
    <w:rsid w:val="00FD65D6"/>
    <w:rsid w:val="00FD6DC3"/>
    <w:rsid w:val="00FD7C4A"/>
    <w:rsid w:val="00FE0B39"/>
    <w:rsid w:val="00FE0DE0"/>
    <w:rsid w:val="00FE0F55"/>
    <w:rsid w:val="00FE1027"/>
    <w:rsid w:val="00FE197F"/>
    <w:rsid w:val="00FE1F3B"/>
    <w:rsid w:val="00FE2185"/>
    <w:rsid w:val="00FE2DF4"/>
    <w:rsid w:val="00FE36E3"/>
    <w:rsid w:val="00FE3AE1"/>
    <w:rsid w:val="00FE4C54"/>
    <w:rsid w:val="00FE4DF1"/>
    <w:rsid w:val="00FE57E0"/>
    <w:rsid w:val="00FE6286"/>
    <w:rsid w:val="00FE7356"/>
    <w:rsid w:val="00FE7D56"/>
    <w:rsid w:val="00FF0198"/>
    <w:rsid w:val="00FF0FFC"/>
    <w:rsid w:val="00FF14E7"/>
    <w:rsid w:val="00FF1811"/>
    <w:rsid w:val="00FF18B0"/>
    <w:rsid w:val="00FF2BB6"/>
    <w:rsid w:val="00FF2EED"/>
    <w:rsid w:val="00FF3C19"/>
    <w:rsid w:val="00FF46AE"/>
    <w:rsid w:val="00FF5A4D"/>
    <w:rsid w:val="00FF5B9E"/>
    <w:rsid w:val="00FF5FD7"/>
    <w:rsid w:val="00FF6B02"/>
    <w:rsid w:val="00FF704E"/>
    <w:rsid w:val="00FF7D9E"/>
    <w:rsid w:val="011155C2"/>
    <w:rsid w:val="01A003FB"/>
    <w:rsid w:val="01A01CE8"/>
    <w:rsid w:val="02011395"/>
    <w:rsid w:val="020675DE"/>
    <w:rsid w:val="022C700B"/>
    <w:rsid w:val="0238791D"/>
    <w:rsid w:val="026B3BF7"/>
    <w:rsid w:val="030D36B5"/>
    <w:rsid w:val="040F7D06"/>
    <w:rsid w:val="04340223"/>
    <w:rsid w:val="052C409D"/>
    <w:rsid w:val="054142C8"/>
    <w:rsid w:val="05584712"/>
    <w:rsid w:val="05596B16"/>
    <w:rsid w:val="057A1CBF"/>
    <w:rsid w:val="05971D90"/>
    <w:rsid w:val="05BC6962"/>
    <w:rsid w:val="05C315E7"/>
    <w:rsid w:val="05E24494"/>
    <w:rsid w:val="05EC37A1"/>
    <w:rsid w:val="060403E2"/>
    <w:rsid w:val="066A75F6"/>
    <w:rsid w:val="069E7DCE"/>
    <w:rsid w:val="06B31EC9"/>
    <w:rsid w:val="06CC53AE"/>
    <w:rsid w:val="06CD4D31"/>
    <w:rsid w:val="06E44EF4"/>
    <w:rsid w:val="06E86E82"/>
    <w:rsid w:val="077D4D01"/>
    <w:rsid w:val="07F46A83"/>
    <w:rsid w:val="080E1430"/>
    <w:rsid w:val="082B6B4C"/>
    <w:rsid w:val="08661C68"/>
    <w:rsid w:val="0868336B"/>
    <w:rsid w:val="087153AF"/>
    <w:rsid w:val="0887746B"/>
    <w:rsid w:val="08AB2B56"/>
    <w:rsid w:val="08CA0C48"/>
    <w:rsid w:val="09B83391"/>
    <w:rsid w:val="09D743BB"/>
    <w:rsid w:val="09E52067"/>
    <w:rsid w:val="0A353948"/>
    <w:rsid w:val="0A3D4238"/>
    <w:rsid w:val="0AA00567"/>
    <w:rsid w:val="0AA61273"/>
    <w:rsid w:val="0B7619A9"/>
    <w:rsid w:val="0B766B97"/>
    <w:rsid w:val="0B7E4DA5"/>
    <w:rsid w:val="0BAD61EB"/>
    <w:rsid w:val="0BBB0654"/>
    <w:rsid w:val="0C5C7D09"/>
    <w:rsid w:val="0CAA3EE0"/>
    <w:rsid w:val="0CE64125"/>
    <w:rsid w:val="0D136771"/>
    <w:rsid w:val="0D145C26"/>
    <w:rsid w:val="0D2F4441"/>
    <w:rsid w:val="0D7B3CC8"/>
    <w:rsid w:val="0DB20189"/>
    <w:rsid w:val="0DC9620B"/>
    <w:rsid w:val="0DE251C7"/>
    <w:rsid w:val="0E097AD9"/>
    <w:rsid w:val="0E133D79"/>
    <w:rsid w:val="0E91008C"/>
    <w:rsid w:val="0E9652C7"/>
    <w:rsid w:val="0ED362D5"/>
    <w:rsid w:val="0ED76FCC"/>
    <w:rsid w:val="0EEA4C92"/>
    <w:rsid w:val="0EFB3E3B"/>
    <w:rsid w:val="0F0B70F3"/>
    <w:rsid w:val="0FB71D20"/>
    <w:rsid w:val="0FC93710"/>
    <w:rsid w:val="0FDE04D0"/>
    <w:rsid w:val="0FE44761"/>
    <w:rsid w:val="100722A4"/>
    <w:rsid w:val="101079EA"/>
    <w:rsid w:val="103C7916"/>
    <w:rsid w:val="10684412"/>
    <w:rsid w:val="10F851DA"/>
    <w:rsid w:val="113D5F31"/>
    <w:rsid w:val="117250F5"/>
    <w:rsid w:val="11E871E3"/>
    <w:rsid w:val="121279B0"/>
    <w:rsid w:val="12256FFB"/>
    <w:rsid w:val="122E6BA3"/>
    <w:rsid w:val="124E4C8F"/>
    <w:rsid w:val="127D7D91"/>
    <w:rsid w:val="128F5927"/>
    <w:rsid w:val="12C96A86"/>
    <w:rsid w:val="130229B8"/>
    <w:rsid w:val="130C739F"/>
    <w:rsid w:val="133E4CB7"/>
    <w:rsid w:val="13926750"/>
    <w:rsid w:val="13B52F80"/>
    <w:rsid w:val="13BE3D50"/>
    <w:rsid w:val="149E4804"/>
    <w:rsid w:val="15995C59"/>
    <w:rsid w:val="15BD2CCC"/>
    <w:rsid w:val="16D46AEB"/>
    <w:rsid w:val="16EE515D"/>
    <w:rsid w:val="1741003C"/>
    <w:rsid w:val="174C11B7"/>
    <w:rsid w:val="17D250B9"/>
    <w:rsid w:val="18337DE2"/>
    <w:rsid w:val="18C34B9C"/>
    <w:rsid w:val="18F643C9"/>
    <w:rsid w:val="190637E4"/>
    <w:rsid w:val="19476DAA"/>
    <w:rsid w:val="199953AD"/>
    <w:rsid w:val="19AD01CB"/>
    <w:rsid w:val="19D82F67"/>
    <w:rsid w:val="1A0A2F06"/>
    <w:rsid w:val="1A140021"/>
    <w:rsid w:val="1A202BE8"/>
    <w:rsid w:val="1A526F2A"/>
    <w:rsid w:val="1A5C4A42"/>
    <w:rsid w:val="1B095194"/>
    <w:rsid w:val="1B1E6461"/>
    <w:rsid w:val="1B2C04A0"/>
    <w:rsid w:val="1B737BF5"/>
    <w:rsid w:val="1B770253"/>
    <w:rsid w:val="1BA5471A"/>
    <w:rsid w:val="1C4402C2"/>
    <w:rsid w:val="1C5C72C8"/>
    <w:rsid w:val="1C7021D7"/>
    <w:rsid w:val="1C8D7AA4"/>
    <w:rsid w:val="1CA12DBA"/>
    <w:rsid w:val="1CEC4F21"/>
    <w:rsid w:val="1D1161AB"/>
    <w:rsid w:val="1D3D7228"/>
    <w:rsid w:val="1DFB31D0"/>
    <w:rsid w:val="1E0E54B5"/>
    <w:rsid w:val="1ECA29C0"/>
    <w:rsid w:val="1F005A03"/>
    <w:rsid w:val="1F171669"/>
    <w:rsid w:val="1F31012D"/>
    <w:rsid w:val="20020175"/>
    <w:rsid w:val="200461EA"/>
    <w:rsid w:val="20381DB9"/>
    <w:rsid w:val="208B3EBB"/>
    <w:rsid w:val="209A73B5"/>
    <w:rsid w:val="209F7D83"/>
    <w:rsid w:val="20CC75F8"/>
    <w:rsid w:val="210500BF"/>
    <w:rsid w:val="218F58A4"/>
    <w:rsid w:val="21962D28"/>
    <w:rsid w:val="21C42C58"/>
    <w:rsid w:val="21CB3F31"/>
    <w:rsid w:val="21DF41C5"/>
    <w:rsid w:val="21E33B04"/>
    <w:rsid w:val="223D45EE"/>
    <w:rsid w:val="229211C8"/>
    <w:rsid w:val="22FD6F09"/>
    <w:rsid w:val="22FF3DB9"/>
    <w:rsid w:val="23127B8A"/>
    <w:rsid w:val="233175AD"/>
    <w:rsid w:val="238E4757"/>
    <w:rsid w:val="23C44D91"/>
    <w:rsid w:val="23E347D8"/>
    <w:rsid w:val="24230A14"/>
    <w:rsid w:val="24887A28"/>
    <w:rsid w:val="24C2595E"/>
    <w:rsid w:val="24D714EC"/>
    <w:rsid w:val="24FD2B29"/>
    <w:rsid w:val="2518446B"/>
    <w:rsid w:val="25221C68"/>
    <w:rsid w:val="25487A38"/>
    <w:rsid w:val="256477DC"/>
    <w:rsid w:val="257C2AA8"/>
    <w:rsid w:val="25C27520"/>
    <w:rsid w:val="25CA0DE4"/>
    <w:rsid w:val="25D15F60"/>
    <w:rsid w:val="26872017"/>
    <w:rsid w:val="273F0AF7"/>
    <w:rsid w:val="27974CD5"/>
    <w:rsid w:val="27B04330"/>
    <w:rsid w:val="27ED7AC8"/>
    <w:rsid w:val="28123E8D"/>
    <w:rsid w:val="283E36F6"/>
    <w:rsid w:val="28582F41"/>
    <w:rsid w:val="294668FF"/>
    <w:rsid w:val="2951697A"/>
    <w:rsid w:val="29542DCB"/>
    <w:rsid w:val="29665CCE"/>
    <w:rsid w:val="29EA4283"/>
    <w:rsid w:val="2A2D312B"/>
    <w:rsid w:val="2A6766EF"/>
    <w:rsid w:val="2AE2121C"/>
    <w:rsid w:val="2B051658"/>
    <w:rsid w:val="2B265CB7"/>
    <w:rsid w:val="2B292C61"/>
    <w:rsid w:val="2B462374"/>
    <w:rsid w:val="2C0506A0"/>
    <w:rsid w:val="2C1F7C90"/>
    <w:rsid w:val="2C2A720D"/>
    <w:rsid w:val="2C41779E"/>
    <w:rsid w:val="2C4677B4"/>
    <w:rsid w:val="2C834DD4"/>
    <w:rsid w:val="2CB645CB"/>
    <w:rsid w:val="2D121EC2"/>
    <w:rsid w:val="2D141FF8"/>
    <w:rsid w:val="2D676279"/>
    <w:rsid w:val="2D7C4136"/>
    <w:rsid w:val="2D7D5F01"/>
    <w:rsid w:val="2D95604A"/>
    <w:rsid w:val="2DB87425"/>
    <w:rsid w:val="2DC470DD"/>
    <w:rsid w:val="2E19094C"/>
    <w:rsid w:val="2E414696"/>
    <w:rsid w:val="2E4F63A5"/>
    <w:rsid w:val="2E591FDB"/>
    <w:rsid w:val="2E5F24EA"/>
    <w:rsid w:val="2F2838E0"/>
    <w:rsid w:val="2F726DAF"/>
    <w:rsid w:val="30400C70"/>
    <w:rsid w:val="3055030F"/>
    <w:rsid w:val="30C2254E"/>
    <w:rsid w:val="30C42902"/>
    <w:rsid w:val="30D046EB"/>
    <w:rsid w:val="3128389C"/>
    <w:rsid w:val="313734F8"/>
    <w:rsid w:val="31832E75"/>
    <w:rsid w:val="3195140C"/>
    <w:rsid w:val="31F908B4"/>
    <w:rsid w:val="32064D46"/>
    <w:rsid w:val="320B730E"/>
    <w:rsid w:val="32202247"/>
    <w:rsid w:val="32457C94"/>
    <w:rsid w:val="327A26FE"/>
    <w:rsid w:val="328D680E"/>
    <w:rsid w:val="32F8638C"/>
    <w:rsid w:val="33514AE6"/>
    <w:rsid w:val="33E922CD"/>
    <w:rsid w:val="343C2722"/>
    <w:rsid w:val="348D76B3"/>
    <w:rsid w:val="34CB4536"/>
    <w:rsid w:val="3566701D"/>
    <w:rsid w:val="35994580"/>
    <w:rsid w:val="35DA294D"/>
    <w:rsid w:val="35E17350"/>
    <w:rsid w:val="35FF2156"/>
    <w:rsid w:val="360405FC"/>
    <w:rsid w:val="3643670E"/>
    <w:rsid w:val="366E4751"/>
    <w:rsid w:val="3670031A"/>
    <w:rsid w:val="36A54F92"/>
    <w:rsid w:val="36B021B3"/>
    <w:rsid w:val="37025D58"/>
    <w:rsid w:val="370774AD"/>
    <w:rsid w:val="371D7D53"/>
    <w:rsid w:val="375440B4"/>
    <w:rsid w:val="376B7F8B"/>
    <w:rsid w:val="376D36A6"/>
    <w:rsid w:val="381B1946"/>
    <w:rsid w:val="38396703"/>
    <w:rsid w:val="38505010"/>
    <w:rsid w:val="388D27C1"/>
    <w:rsid w:val="38A26044"/>
    <w:rsid w:val="38C215E0"/>
    <w:rsid w:val="38CC622C"/>
    <w:rsid w:val="38D83976"/>
    <w:rsid w:val="391D6734"/>
    <w:rsid w:val="395B1785"/>
    <w:rsid w:val="398462E7"/>
    <w:rsid w:val="39D876D7"/>
    <w:rsid w:val="3A1B7914"/>
    <w:rsid w:val="3A2C591D"/>
    <w:rsid w:val="3A7845FC"/>
    <w:rsid w:val="3A8118D2"/>
    <w:rsid w:val="3B3F1BED"/>
    <w:rsid w:val="3B5C39AB"/>
    <w:rsid w:val="3B6D671B"/>
    <w:rsid w:val="3B845472"/>
    <w:rsid w:val="3B9057F0"/>
    <w:rsid w:val="3BB03DD9"/>
    <w:rsid w:val="3C0108F5"/>
    <w:rsid w:val="3C0B6004"/>
    <w:rsid w:val="3C3E75D6"/>
    <w:rsid w:val="3CC937FA"/>
    <w:rsid w:val="3CF0293C"/>
    <w:rsid w:val="3CF92C1F"/>
    <w:rsid w:val="3D165BDF"/>
    <w:rsid w:val="3D3D711F"/>
    <w:rsid w:val="3DA833E2"/>
    <w:rsid w:val="3DBB314D"/>
    <w:rsid w:val="3DE07BEF"/>
    <w:rsid w:val="3DE541D5"/>
    <w:rsid w:val="3E074F1F"/>
    <w:rsid w:val="3E282555"/>
    <w:rsid w:val="3E5166F3"/>
    <w:rsid w:val="3E656A29"/>
    <w:rsid w:val="3E740F54"/>
    <w:rsid w:val="3E851C92"/>
    <w:rsid w:val="3ED75244"/>
    <w:rsid w:val="3F055823"/>
    <w:rsid w:val="3F260B34"/>
    <w:rsid w:val="3FAB597A"/>
    <w:rsid w:val="3FFD54CD"/>
    <w:rsid w:val="40403C64"/>
    <w:rsid w:val="40B66C86"/>
    <w:rsid w:val="40B710B2"/>
    <w:rsid w:val="40B96D03"/>
    <w:rsid w:val="4121061C"/>
    <w:rsid w:val="41252ECA"/>
    <w:rsid w:val="415E76B2"/>
    <w:rsid w:val="423A13E8"/>
    <w:rsid w:val="42550A25"/>
    <w:rsid w:val="42BA0BE0"/>
    <w:rsid w:val="42F42FA2"/>
    <w:rsid w:val="4344759E"/>
    <w:rsid w:val="43740B1C"/>
    <w:rsid w:val="44044603"/>
    <w:rsid w:val="44F7646E"/>
    <w:rsid w:val="451B027C"/>
    <w:rsid w:val="452D4F19"/>
    <w:rsid w:val="46234C93"/>
    <w:rsid w:val="46A569B6"/>
    <w:rsid w:val="46F36DA0"/>
    <w:rsid w:val="470F1A40"/>
    <w:rsid w:val="473B3601"/>
    <w:rsid w:val="47636F5B"/>
    <w:rsid w:val="48D94DD8"/>
    <w:rsid w:val="49051CC4"/>
    <w:rsid w:val="491E0205"/>
    <w:rsid w:val="49610290"/>
    <w:rsid w:val="4A121418"/>
    <w:rsid w:val="4A415D2F"/>
    <w:rsid w:val="4A4A4245"/>
    <w:rsid w:val="4A4F2044"/>
    <w:rsid w:val="4A7E1BD3"/>
    <w:rsid w:val="4AAF27BD"/>
    <w:rsid w:val="4B4705A8"/>
    <w:rsid w:val="4B5715AE"/>
    <w:rsid w:val="4B77353F"/>
    <w:rsid w:val="4B8D41D6"/>
    <w:rsid w:val="4BCD645A"/>
    <w:rsid w:val="4BE01751"/>
    <w:rsid w:val="4BFB2DD7"/>
    <w:rsid w:val="4C2740F6"/>
    <w:rsid w:val="4C4D3DB8"/>
    <w:rsid w:val="4C946B2A"/>
    <w:rsid w:val="4C97250C"/>
    <w:rsid w:val="4C9B4A8D"/>
    <w:rsid w:val="4CD834C3"/>
    <w:rsid w:val="4CDE2AD2"/>
    <w:rsid w:val="4D443FFA"/>
    <w:rsid w:val="4D4C76F1"/>
    <w:rsid w:val="4DC0067A"/>
    <w:rsid w:val="4DF8775B"/>
    <w:rsid w:val="4E320EB8"/>
    <w:rsid w:val="4E812CDB"/>
    <w:rsid w:val="4EC828FC"/>
    <w:rsid w:val="4F1231F5"/>
    <w:rsid w:val="4F6D31FB"/>
    <w:rsid w:val="4F7E387D"/>
    <w:rsid w:val="506E5B35"/>
    <w:rsid w:val="50A17192"/>
    <w:rsid w:val="50C432FA"/>
    <w:rsid w:val="50EF373E"/>
    <w:rsid w:val="511C36B9"/>
    <w:rsid w:val="51223E42"/>
    <w:rsid w:val="51E73935"/>
    <w:rsid w:val="521B46CE"/>
    <w:rsid w:val="528746C5"/>
    <w:rsid w:val="52BB0E80"/>
    <w:rsid w:val="52FC04CF"/>
    <w:rsid w:val="534F7755"/>
    <w:rsid w:val="53A846D4"/>
    <w:rsid w:val="53BF402D"/>
    <w:rsid w:val="53C25748"/>
    <w:rsid w:val="53EA0CAA"/>
    <w:rsid w:val="542268B5"/>
    <w:rsid w:val="54434881"/>
    <w:rsid w:val="54AB3C58"/>
    <w:rsid w:val="54C32FB5"/>
    <w:rsid w:val="54C961A0"/>
    <w:rsid w:val="54D57811"/>
    <w:rsid w:val="5534695D"/>
    <w:rsid w:val="554E5071"/>
    <w:rsid w:val="559176BF"/>
    <w:rsid w:val="560B37AA"/>
    <w:rsid w:val="56242B7F"/>
    <w:rsid w:val="56263B5B"/>
    <w:rsid w:val="563A0C44"/>
    <w:rsid w:val="573C0B2D"/>
    <w:rsid w:val="5745395F"/>
    <w:rsid w:val="57600207"/>
    <w:rsid w:val="57976D25"/>
    <w:rsid w:val="57A40682"/>
    <w:rsid w:val="580F4E68"/>
    <w:rsid w:val="5858105A"/>
    <w:rsid w:val="58615B91"/>
    <w:rsid w:val="587535CA"/>
    <w:rsid w:val="587C5656"/>
    <w:rsid w:val="588C5F2F"/>
    <w:rsid w:val="58E84452"/>
    <w:rsid w:val="59557CBF"/>
    <w:rsid w:val="596D0093"/>
    <w:rsid w:val="5A1B4637"/>
    <w:rsid w:val="5A236C56"/>
    <w:rsid w:val="5A5C1E19"/>
    <w:rsid w:val="5A8460C5"/>
    <w:rsid w:val="5AAD2CE0"/>
    <w:rsid w:val="5B2175E4"/>
    <w:rsid w:val="5B364A8E"/>
    <w:rsid w:val="5BA84593"/>
    <w:rsid w:val="5BE30259"/>
    <w:rsid w:val="5C2A047E"/>
    <w:rsid w:val="5C2F6B94"/>
    <w:rsid w:val="5C352344"/>
    <w:rsid w:val="5C376650"/>
    <w:rsid w:val="5C5A71FB"/>
    <w:rsid w:val="5C610246"/>
    <w:rsid w:val="5CEC2C10"/>
    <w:rsid w:val="5D9E5BBA"/>
    <w:rsid w:val="5DA730E4"/>
    <w:rsid w:val="5DD63763"/>
    <w:rsid w:val="5DEF0460"/>
    <w:rsid w:val="5DFF1BEB"/>
    <w:rsid w:val="5E0520AA"/>
    <w:rsid w:val="5E43509C"/>
    <w:rsid w:val="5EEB2157"/>
    <w:rsid w:val="5F02430B"/>
    <w:rsid w:val="5F0F7504"/>
    <w:rsid w:val="5F6B5B0B"/>
    <w:rsid w:val="5F87057A"/>
    <w:rsid w:val="5FAF440D"/>
    <w:rsid w:val="5FC17F16"/>
    <w:rsid w:val="5FC6267F"/>
    <w:rsid w:val="603322D9"/>
    <w:rsid w:val="61597DFD"/>
    <w:rsid w:val="618B1E00"/>
    <w:rsid w:val="61995F24"/>
    <w:rsid w:val="62205885"/>
    <w:rsid w:val="623A46EE"/>
    <w:rsid w:val="623D13EA"/>
    <w:rsid w:val="63111A3E"/>
    <w:rsid w:val="633C4BBB"/>
    <w:rsid w:val="63D43AFA"/>
    <w:rsid w:val="640D061C"/>
    <w:rsid w:val="64573C86"/>
    <w:rsid w:val="646C0022"/>
    <w:rsid w:val="64A913E6"/>
    <w:rsid w:val="65303A44"/>
    <w:rsid w:val="65535135"/>
    <w:rsid w:val="65C7133C"/>
    <w:rsid w:val="66091A2F"/>
    <w:rsid w:val="66514C6C"/>
    <w:rsid w:val="66C06D6D"/>
    <w:rsid w:val="6769673B"/>
    <w:rsid w:val="67A16DAF"/>
    <w:rsid w:val="67CC6215"/>
    <w:rsid w:val="67F56373"/>
    <w:rsid w:val="67FD1AB8"/>
    <w:rsid w:val="683878DA"/>
    <w:rsid w:val="687A09A0"/>
    <w:rsid w:val="68CF25BE"/>
    <w:rsid w:val="69167484"/>
    <w:rsid w:val="69642A5F"/>
    <w:rsid w:val="698A1918"/>
    <w:rsid w:val="69FE1827"/>
    <w:rsid w:val="6A7D1B74"/>
    <w:rsid w:val="6B013A6A"/>
    <w:rsid w:val="6B4F0661"/>
    <w:rsid w:val="6C5A17EE"/>
    <w:rsid w:val="6CD63935"/>
    <w:rsid w:val="6CE02708"/>
    <w:rsid w:val="6D1628C5"/>
    <w:rsid w:val="6D735B7B"/>
    <w:rsid w:val="6D8E6A04"/>
    <w:rsid w:val="6DA45032"/>
    <w:rsid w:val="6DC56614"/>
    <w:rsid w:val="6E0252B7"/>
    <w:rsid w:val="6E2B34C4"/>
    <w:rsid w:val="6E34225B"/>
    <w:rsid w:val="6E877FAE"/>
    <w:rsid w:val="6EE25D3A"/>
    <w:rsid w:val="6EE86220"/>
    <w:rsid w:val="6EE873FF"/>
    <w:rsid w:val="6F396939"/>
    <w:rsid w:val="6F423351"/>
    <w:rsid w:val="6F544091"/>
    <w:rsid w:val="6FC37BAE"/>
    <w:rsid w:val="701C1DC5"/>
    <w:rsid w:val="702E25F3"/>
    <w:rsid w:val="706E096C"/>
    <w:rsid w:val="70CA4A75"/>
    <w:rsid w:val="71590A8D"/>
    <w:rsid w:val="715C2AE3"/>
    <w:rsid w:val="71954437"/>
    <w:rsid w:val="719B56EF"/>
    <w:rsid w:val="71A926DB"/>
    <w:rsid w:val="71C43538"/>
    <w:rsid w:val="722C5153"/>
    <w:rsid w:val="72807F9E"/>
    <w:rsid w:val="72832021"/>
    <w:rsid w:val="72A96D3F"/>
    <w:rsid w:val="72AB3117"/>
    <w:rsid w:val="72B6170D"/>
    <w:rsid w:val="731676F0"/>
    <w:rsid w:val="731A26C7"/>
    <w:rsid w:val="73361474"/>
    <w:rsid w:val="73616AEF"/>
    <w:rsid w:val="73B04989"/>
    <w:rsid w:val="73C05431"/>
    <w:rsid w:val="73C56D5A"/>
    <w:rsid w:val="740136CB"/>
    <w:rsid w:val="75D229F9"/>
    <w:rsid w:val="75F53B5C"/>
    <w:rsid w:val="7719037B"/>
    <w:rsid w:val="77484B0E"/>
    <w:rsid w:val="7781645C"/>
    <w:rsid w:val="7815002C"/>
    <w:rsid w:val="782F0E4D"/>
    <w:rsid w:val="7833678A"/>
    <w:rsid w:val="78A41B79"/>
    <w:rsid w:val="78C96A89"/>
    <w:rsid w:val="78D36762"/>
    <w:rsid w:val="78FD2C70"/>
    <w:rsid w:val="791512D9"/>
    <w:rsid w:val="797C574D"/>
    <w:rsid w:val="79AA68B5"/>
    <w:rsid w:val="79B07954"/>
    <w:rsid w:val="7A366F71"/>
    <w:rsid w:val="7A542B84"/>
    <w:rsid w:val="7AA314D5"/>
    <w:rsid w:val="7AC86EEC"/>
    <w:rsid w:val="7B0503A9"/>
    <w:rsid w:val="7B2758A7"/>
    <w:rsid w:val="7B5A14C4"/>
    <w:rsid w:val="7B645180"/>
    <w:rsid w:val="7B9D6088"/>
    <w:rsid w:val="7BAE263C"/>
    <w:rsid w:val="7BEA6F4F"/>
    <w:rsid w:val="7BFF013D"/>
    <w:rsid w:val="7CBC20B9"/>
    <w:rsid w:val="7CD74C0B"/>
    <w:rsid w:val="7D4C5A73"/>
    <w:rsid w:val="7D5561A2"/>
    <w:rsid w:val="7D602031"/>
    <w:rsid w:val="7D787440"/>
    <w:rsid w:val="7DF97020"/>
    <w:rsid w:val="7E0E2CDC"/>
    <w:rsid w:val="7E25650F"/>
    <w:rsid w:val="7E760EB0"/>
    <w:rsid w:val="7E8248EF"/>
    <w:rsid w:val="7E8C2FC5"/>
    <w:rsid w:val="7ED82917"/>
    <w:rsid w:val="7EF77135"/>
    <w:rsid w:val="7EFB1FDA"/>
    <w:rsid w:val="7F0D288F"/>
    <w:rsid w:val="7F5409EE"/>
    <w:rsid w:val="7F8F4FA6"/>
    <w:rsid w:val="7FE75842"/>
    <w:rsid w:val="DCF71516"/>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qFormat="1" w:unhideWhenUsed="0"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qFormat="1" w:unhideWhenUsed="0" w:uiPriority="99" w:semiHidden="0" w:name="List 2"/>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uiPriority="99" w:name="Body Text Indent 3" w:locked="1"/>
    <w:lsdException w:qFormat="1" w:unhideWhenUsed="0" w:uiPriority="0" w:semiHidden="0" w:name="Block Text" w:locked="1"/>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20" w:semiHidden="0" w:name="Emphasis" w:locked="1"/>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qFormat="1" w:unhideWhenUsed="0" w:uiPriority="99" w:semiHidden="0" w:name="HTML Address"/>
    <w:lsdException w:uiPriority="99" w:name="HTML Cite" w:locked="1"/>
    <w:lsdException w:qFormat="1" w:unhideWhenUsed="0" w:uiPriority="99" w:semiHidden="0" w:name="HTML Code"/>
    <w:lsdException w:uiPriority="99" w:name="HTML Definition" w:locked="1"/>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3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60" w:lineRule="atLeast"/>
      <w:jc w:val="both"/>
      <w:textAlignment w:val="baseline"/>
    </w:pPr>
    <w:rPr>
      <w:rFonts w:ascii="Times New Roman" w:hAnsi="Times New Roman" w:eastAsia="宋体" w:cs="Times New Roman"/>
      <w:kern w:val="2"/>
      <w:sz w:val="21"/>
      <w:szCs w:val="24"/>
      <w:lang w:val="en-US" w:eastAsia="zh-CN" w:bidi="ar-SA"/>
    </w:rPr>
  </w:style>
  <w:style w:type="paragraph" w:styleId="3">
    <w:name w:val="heading 1"/>
    <w:basedOn w:val="1"/>
    <w:next w:val="1"/>
    <w:link w:val="46"/>
    <w:qFormat/>
    <w:uiPriority w:val="99"/>
    <w:pPr>
      <w:keepNext/>
      <w:keepLines/>
      <w:spacing w:line="360" w:lineRule="auto"/>
      <w:jc w:val="center"/>
      <w:outlineLvl w:val="0"/>
    </w:pPr>
    <w:rPr>
      <w:b/>
      <w:bCs/>
      <w:kern w:val="44"/>
      <w:sz w:val="32"/>
      <w:szCs w:val="44"/>
    </w:rPr>
  </w:style>
  <w:style w:type="paragraph" w:styleId="4">
    <w:name w:val="heading 2"/>
    <w:basedOn w:val="1"/>
    <w:next w:val="1"/>
    <w:link w:val="47"/>
    <w:qFormat/>
    <w:uiPriority w:val="99"/>
    <w:pPr>
      <w:keepNext/>
      <w:keepLines/>
      <w:spacing w:line="360" w:lineRule="auto"/>
      <w:jc w:val="center"/>
      <w:outlineLvl w:val="1"/>
    </w:pPr>
    <w:rPr>
      <w:rFonts w:ascii="Arial" w:hAnsi="Arial"/>
      <w:b/>
      <w:bCs/>
      <w:sz w:val="30"/>
      <w:szCs w:val="32"/>
    </w:rPr>
  </w:style>
  <w:style w:type="paragraph" w:styleId="5">
    <w:name w:val="heading 3"/>
    <w:basedOn w:val="1"/>
    <w:next w:val="1"/>
    <w:link w:val="48"/>
    <w:qFormat/>
    <w:uiPriority w:val="99"/>
    <w:pPr>
      <w:keepNext/>
      <w:keepLines/>
      <w:spacing w:line="600" w:lineRule="exact"/>
      <w:ind w:firstLine="643" w:firstLineChars="200"/>
      <w:outlineLvl w:val="2"/>
    </w:pPr>
    <w:rPr>
      <w:b/>
      <w:bCs/>
      <w:sz w:val="32"/>
      <w:szCs w:val="32"/>
    </w:rPr>
  </w:style>
  <w:style w:type="paragraph" w:styleId="6">
    <w:name w:val="heading 4"/>
    <w:basedOn w:val="1"/>
    <w:next w:val="1"/>
    <w:link w:val="49"/>
    <w:qFormat/>
    <w:uiPriority w:val="99"/>
    <w:pPr>
      <w:tabs>
        <w:tab w:val="left" w:pos="2155"/>
      </w:tabs>
      <w:spacing w:before="120" w:line="360" w:lineRule="auto"/>
      <w:ind w:left="2155" w:hanging="1078"/>
      <w:outlineLvl w:val="3"/>
    </w:pPr>
    <w:rPr>
      <w:rFonts w:ascii="Arial" w:eastAsia="黑体"/>
      <w:kern w:val="0"/>
      <w:sz w:val="28"/>
      <w:szCs w:val="20"/>
    </w:rPr>
  </w:style>
  <w:style w:type="paragraph" w:styleId="7">
    <w:name w:val="heading 5"/>
    <w:basedOn w:val="1"/>
    <w:next w:val="1"/>
    <w:link w:val="50"/>
    <w:qFormat/>
    <w:uiPriority w:val="99"/>
    <w:pPr>
      <w:keepNext/>
      <w:keepLines/>
      <w:spacing w:before="280" w:after="290" w:line="372" w:lineRule="auto"/>
      <w:outlineLvl w:val="4"/>
    </w:pPr>
    <w:rPr>
      <w:b/>
      <w:bCs/>
      <w:sz w:val="28"/>
      <w:szCs w:val="28"/>
    </w:rPr>
  </w:style>
  <w:style w:type="paragraph" w:styleId="8">
    <w:name w:val="heading 6"/>
    <w:basedOn w:val="1"/>
    <w:next w:val="1"/>
    <w:link w:val="51"/>
    <w:qFormat/>
    <w:uiPriority w:val="99"/>
    <w:pPr>
      <w:keepNext/>
      <w:keepLines/>
      <w:adjustRightInd/>
      <w:spacing w:before="240" w:after="64" w:line="316" w:lineRule="auto"/>
      <w:textAlignment w:val="auto"/>
      <w:outlineLvl w:val="5"/>
    </w:pPr>
    <w:rPr>
      <w:rFonts w:ascii="Arial" w:hAnsi="Arial" w:eastAsia="黑体"/>
      <w:b/>
      <w:bCs/>
      <w:sz w:val="24"/>
    </w:rPr>
  </w:style>
  <w:style w:type="paragraph" w:styleId="9">
    <w:name w:val="heading 7"/>
    <w:basedOn w:val="1"/>
    <w:next w:val="1"/>
    <w:link w:val="52"/>
    <w:qFormat/>
    <w:uiPriority w:val="99"/>
    <w:pPr>
      <w:keepNext/>
      <w:keepLines/>
      <w:adjustRightInd/>
      <w:spacing w:before="240" w:after="64" w:line="316" w:lineRule="auto"/>
      <w:textAlignment w:val="auto"/>
      <w:outlineLvl w:val="6"/>
    </w:pPr>
    <w:rPr>
      <w:b/>
      <w:bCs/>
      <w:sz w:val="24"/>
    </w:rPr>
  </w:style>
  <w:style w:type="paragraph" w:styleId="10">
    <w:name w:val="heading 8"/>
    <w:basedOn w:val="1"/>
    <w:next w:val="1"/>
    <w:link w:val="53"/>
    <w:qFormat/>
    <w:uiPriority w:val="99"/>
    <w:pPr>
      <w:keepNext/>
      <w:keepLines/>
      <w:adjustRightInd/>
      <w:spacing w:before="240" w:after="64" w:line="316" w:lineRule="auto"/>
      <w:textAlignment w:val="auto"/>
      <w:outlineLvl w:val="7"/>
    </w:pPr>
    <w:rPr>
      <w:rFonts w:ascii="Arial" w:hAnsi="Arial" w:eastAsia="黑体"/>
      <w:sz w:val="24"/>
    </w:rPr>
  </w:style>
  <w:style w:type="paragraph" w:styleId="11">
    <w:name w:val="heading 9"/>
    <w:basedOn w:val="1"/>
    <w:next w:val="1"/>
    <w:link w:val="54"/>
    <w:qFormat/>
    <w:uiPriority w:val="99"/>
    <w:pPr>
      <w:keepNext/>
      <w:keepLines/>
      <w:adjustRightInd/>
      <w:spacing w:before="240" w:after="64" w:line="316" w:lineRule="auto"/>
      <w:textAlignment w:val="auto"/>
      <w:outlineLvl w:val="8"/>
    </w:pPr>
    <w:rPr>
      <w:rFonts w:ascii="Arial" w:hAnsi="Arial" w:eastAsia="黑体"/>
      <w:szCs w:val="21"/>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55"/>
    <w:qFormat/>
    <w:uiPriority w:val="99"/>
    <w:rPr>
      <w:rFonts w:ascii="?????" w:hAnsi="Courier New" w:eastAsia="Times New Roman"/>
      <w:b/>
      <w:spacing w:val="-8"/>
      <w:kern w:val="0"/>
      <w:sz w:val="44"/>
      <w:szCs w:val="20"/>
    </w:rPr>
  </w:style>
  <w:style w:type="paragraph" w:styleId="12">
    <w:name w:val="Document Map"/>
    <w:basedOn w:val="1"/>
    <w:link w:val="56"/>
    <w:semiHidden/>
    <w:qFormat/>
    <w:uiPriority w:val="99"/>
    <w:pPr>
      <w:shd w:val="clear" w:color="auto" w:fill="000080"/>
    </w:pPr>
  </w:style>
  <w:style w:type="paragraph" w:styleId="13">
    <w:name w:val="annotation text"/>
    <w:basedOn w:val="1"/>
    <w:link w:val="57"/>
    <w:qFormat/>
    <w:uiPriority w:val="99"/>
    <w:pPr>
      <w:jc w:val="left"/>
    </w:pPr>
  </w:style>
  <w:style w:type="paragraph" w:styleId="14">
    <w:name w:val="Body Text 3"/>
    <w:basedOn w:val="1"/>
    <w:link w:val="58"/>
    <w:qFormat/>
    <w:uiPriority w:val="99"/>
    <w:pPr>
      <w:spacing w:line="500" w:lineRule="exact"/>
    </w:pPr>
    <w:rPr>
      <w:kern w:val="0"/>
      <w:sz w:val="28"/>
      <w:szCs w:val="20"/>
    </w:rPr>
  </w:style>
  <w:style w:type="paragraph" w:styleId="15">
    <w:name w:val="Body Text Indent"/>
    <w:basedOn w:val="1"/>
    <w:link w:val="59"/>
    <w:qFormat/>
    <w:uiPriority w:val="99"/>
    <w:pPr>
      <w:spacing w:line="200" w:lineRule="exact"/>
      <w:ind w:firstLine="301"/>
    </w:pPr>
    <w:rPr>
      <w:rFonts w:ascii="宋体" w:hAnsi="Courier New"/>
      <w:spacing w:val="-4"/>
      <w:sz w:val="18"/>
      <w:szCs w:val="20"/>
    </w:rPr>
  </w:style>
  <w:style w:type="paragraph" w:styleId="16">
    <w:name w:val="List 2"/>
    <w:basedOn w:val="1"/>
    <w:qFormat/>
    <w:uiPriority w:val="99"/>
    <w:pPr>
      <w:ind w:left="100" w:leftChars="200" w:hanging="200" w:hangingChars="200"/>
    </w:pPr>
    <w:rPr>
      <w:sz w:val="28"/>
    </w:rPr>
  </w:style>
  <w:style w:type="paragraph" w:styleId="17">
    <w:name w:val="Block Text"/>
    <w:basedOn w:val="1"/>
    <w:qFormat/>
    <w:locked/>
    <w:uiPriority w:val="0"/>
    <w:pPr>
      <w:spacing w:after="120"/>
      <w:ind w:left="1440" w:leftChars="700" w:right="1440" w:rightChars="700"/>
    </w:pPr>
  </w:style>
  <w:style w:type="paragraph" w:styleId="18">
    <w:name w:val="HTML Address"/>
    <w:basedOn w:val="1"/>
    <w:link w:val="164"/>
    <w:qFormat/>
    <w:uiPriority w:val="99"/>
    <w:pPr>
      <w:adjustRightInd/>
      <w:spacing w:line="240" w:lineRule="auto"/>
      <w:textAlignment w:val="auto"/>
    </w:pPr>
    <w:rPr>
      <w:rFonts w:ascii="宋体" w:hAnsi="宋体"/>
      <w:i/>
      <w:iCs/>
    </w:rPr>
  </w:style>
  <w:style w:type="paragraph" w:styleId="19">
    <w:name w:val="Plain Text"/>
    <w:basedOn w:val="1"/>
    <w:link w:val="61"/>
    <w:qFormat/>
    <w:uiPriority w:val="99"/>
    <w:rPr>
      <w:rFonts w:ascii="宋体" w:hAnsi="Courier New"/>
      <w:szCs w:val="20"/>
    </w:rPr>
  </w:style>
  <w:style w:type="paragraph" w:styleId="20">
    <w:name w:val="Date"/>
    <w:basedOn w:val="1"/>
    <w:next w:val="1"/>
    <w:link w:val="62"/>
    <w:qFormat/>
    <w:uiPriority w:val="99"/>
    <w:pPr>
      <w:ind w:left="100" w:leftChars="2500"/>
    </w:pPr>
  </w:style>
  <w:style w:type="paragraph" w:styleId="21">
    <w:name w:val="Body Text Indent 2"/>
    <w:basedOn w:val="1"/>
    <w:link w:val="63"/>
    <w:qFormat/>
    <w:uiPriority w:val="99"/>
    <w:pPr>
      <w:spacing w:after="120" w:line="480" w:lineRule="auto"/>
      <w:ind w:left="420" w:leftChars="200"/>
    </w:pPr>
  </w:style>
  <w:style w:type="paragraph" w:styleId="22">
    <w:name w:val="Balloon Text"/>
    <w:basedOn w:val="1"/>
    <w:link w:val="64"/>
    <w:qFormat/>
    <w:uiPriority w:val="99"/>
    <w:rPr>
      <w:sz w:val="18"/>
      <w:szCs w:val="18"/>
    </w:rPr>
  </w:style>
  <w:style w:type="paragraph" w:styleId="23">
    <w:name w:val="footer"/>
    <w:basedOn w:val="1"/>
    <w:link w:val="65"/>
    <w:qFormat/>
    <w:uiPriority w:val="99"/>
    <w:pPr>
      <w:tabs>
        <w:tab w:val="center" w:pos="4153"/>
        <w:tab w:val="right" w:pos="8306"/>
      </w:tabs>
      <w:snapToGrid w:val="0"/>
      <w:jc w:val="left"/>
    </w:pPr>
    <w:rPr>
      <w:sz w:val="18"/>
      <w:szCs w:val="18"/>
    </w:rPr>
  </w:style>
  <w:style w:type="paragraph" w:styleId="24">
    <w:name w:val="header"/>
    <w:basedOn w:val="1"/>
    <w:link w:val="66"/>
    <w:qFormat/>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1"/>
    <w:next w:val="1"/>
    <w:qFormat/>
    <w:uiPriority w:val="39"/>
    <w:pPr>
      <w:spacing w:before="120" w:after="120"/>
      <w:jc w:val="left"/>
    </w:pPr>
    <w:rPr>
      <w:b/>
      <w:bCs/>
      <w:caps/>
      <w:sz w:val="20"/>
      <w:szCs w:val="20"/>
    </w:rPr>
  </w:style>
  <w:style w:type="paragraph" w:styleId="26">
    <w:name w:val="Subtitle"/>
    <w:basedOn w:val="1"/>
    <w:next w:val="1"/>
    <w:link w:val="67"/>
    <w:qFormat/>
    <w:uiPriority w:val="11"/>
    <w:pPr>
      <w:spacing w:before="240" w:after="60" w:line="312" w:lineRule="auto"/>
      <w:jc w:val="center"/>
      <w:outlineLvl w:val="1"/>
    </w:pPr>
    <w:rPr>
      <w:rFonts w:ascii="Cambria" w:hAnsi="Cambria"/>
      <w:b/>
      <w:bCs/>
      <w:kern w:val="28"/>
      <w:sz w:val="32"/>
      <w:szCs w:val="32"/>
    </w:rPr>
  </w:style>
  <w:style w:type="paragraph" w:styleId="27">
    <w:name w:val="footnote text"/>
    <w:basedOn w:val="1"/>
    <w:link w:val="68"/>
    <w:semiHidden/>
    <w:qFormat/>
    <w:uiPriority w:val="99"/>
    <w:pPr>
      <w:snapToGrid w:val="0"/>
      <w:jc w:val="left"/>
    </w:pPr>
    <w:rPr>
      <w:sz w:val="18"/>
      <w:szCs w:val="18"/>
    </w:rPr>
  </w:style>
  <w:style w:type="paragraph" w:styleId="28">
    <w:name w:val="toc 2"/>
    <w:basedOn w:val="1"/>
    <w:next w:val="1"/>
    <w:qFormat/>
    <w:uiPriority w:val="39"/>
    <w:pPr>
      <w:tabs>
        <w:tab w:val="right" w:leader="dot" w:pos="9628"/>
      </w:tabs>
      <w:ind w:left="420" w:firstLine="120"/>
      <w:jc w:val="left"/>
    </w:pPr>
    <w:rPr>
      <w:smallCaps/>
      <w:sz w:val="20"/>
      <w:szCs w:val="20"/>
    </w:rPr>
  </w:style>
  <w:style w:type="paragraph" w:styleId="29">
    <w:name w:val="Body Text 2"/>
    <w:basedOn w:val="1"/>
    <w:link w:val="69"/>
    <w:qFormat/>
    <w:uiPriority w:val="99"/>
    <w:pPr>
      <w:jc w:val="center"/>
    </w:pPr>
    <w:rPr>
      <w:rFonts w:hAnsi="宋体"/>
      <w:kern w:val="0"/>
      <w:sz w:val="20"/>
    </w:rPr>
  </w:style>
  <w:style w:type="paragraph" w:styleId="30">
    <w:name w:val="HTML Preformatted"/>
    <w:basedOn w:val="1"/>
    <w:link w:val="70"/>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2">
    <w:name w:val="Title"/>
    <w:basedOn w:val="1"/>
    <w:link w:val="187"/>
    <w:qFormat/>
    <w:uiPriority w:val="99"/>
    <w:pPr>
      <w:adjustRightInd/>
      <w:spacing w:before="240" w:after="60" w:line="240" w:lineRule="auto"/>
      <w:jc w:val="center"/>
      <w:textAlignment w:val="auto"/>
      <w:outlineLvl w:val="0"/>
    </w:pPr>
    <w:rPr>
      <w:rFonts w:ascii="Arial" w:hAnsi="Arial" w:cs="Arial"/>
      <w:b/>
      <w:bCs/>
      <w:sz w:val="32"/>
      <w:szCs w:val="32"/>
    </w:rPr>
  </w:style>
  <w:style w:type="paragraph" w:styleId="33">
    <w:name w:val="annotation subject"/>
    <w:basedOn w:val="13"/>
    <w:next w:val="13"/>
    <w:link w:val="72"/>
    <w:qFormat/>
    <w:uiPriority w:val="99"/>
  </w:style>
  <w:style w:type="table" w:styleId="35">
    <w:name w:val="Table Grid"/>
    <w:basedOn w:val="3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7">
    <w:name w:val="page number"/>
    <w:basedOn w:val="36"/>
    <w:qFormat/>
    <w:uiPriority w:val="99"/>
    <w:rPr>
      <w:rFonts w:cs="Times New Roman"/>
    </w:rPr>
  </w:style>
  <w:style w:type="character" w:styleId="38">
    <w:name w:val="FollowedHyperlink"/>
    <w:basedOn w:val="36"/>
    <w:qFormat/>
    <w:uiPriority w:val="99"/>
    <w:rPr>
      <w:rFonts w:cs="Times New Roman"/>
      <w:color w:val="800080"/>
      <w:u w:val="single"/>
    </w:rPr>
  </w:style>
  <w:style w:type="character" w:styleId="39">
    <w:name w:val="HTML Typewriter"/>
    <w:basedOn w:val="36"/>
    <w:qFormat/>
    <w:uiPriority w:val="99"/>
    <w:rPr>
      <w:rFonts w:ascii="Courier New" w:hAnsi="Courier New" w:cs="Times New Roman"/>
      <w:sz w:val="24"/>
      <w:szCs w:val="24"/>
    </w:rPr>
  </w:style>
  <w:style w:type="character" w:styleId="40">
    <w:name w:val="Hyperlink"/>
    <w:basedOn w:val="36"/>
    <w:qFormat/>
    <w:uiPriority w:val="99"/>
    <w:rPr>
      <w:rFonts w:cs="Times New Roman"/>
      <w:color w:val="0000FF"/>
      <w:u w:val="single"/>
    </w:rPr>
  </w:style>
  <w:style w:type="character" w:styleId="41">
    <w:name w:val="HTML Code"/>
    <w:basedOn w:val="36"/>
    <w:qFormat/>
    <w:uiPriority w:val="99"/>
    <w:rPr>
      <w:rFonts w:ascii="Courier New" w:hAnsi="Courier New" w:cs="Times New Roman"/>
      <w:sz w:val="24"/>
      <w:szCs w:val="24"/>
    </w:rPr>
  </w:style>
  <w:style w:type="character" w:styleId="42">
    <w:name w:val="annotation reference"/>
    <w:basedOn w:val="36"/>
    <w:qFormat/>
    <w:uiPriority w:val="99"/>
    <w:rPr>
      <w:rFonts w:cs="Times New Roman"/>
      <w:sz w:val="21"/>
    </w:rPr>
  </w:style>
  <w:style w:type="character" w:styleId="43">
    <w:name w:val="HTML Keyboard"/>
    <w:basedOn w:val="36"/>
    <w:qFormat/>
    <w:uiPriority w:val="99"/>
    <w:rPr>
      <w:rFonts w:ascii="Courier New" w:hAnsi="Courier New" w:cs="Times New Roman"/>
      <w:sz w:val="24"/>
      <w:szCs w:val="24"/>
    </w:rPr>
  </w:style>
  <w:style w:type="character" w:styleId="44">
    <w:name w:val="HTML Sample"/>
    <w:basedOn w:val="36"/>
    <w:qFormat/>
    <w:uiPriority w:val="99"/>
    <w:rPr>
      <w:rFonts w:ascii="Courier New" w:hAnsi="Courier New" w:cs="Times New Roman"/>
    </w:rPr>
  </w:style>
  <w:style w:type="paragraph" w:customStyle="1" w:styleId="45">
    <w:name w:val="Default"/>
    <w:qFormat/>
    <w:uiPriority w:val="99"/>
    <w:pPr>
      <w:widowControl w:val="0"/>
      <w:autoSpaceDE w:val="0"/>
      <w:autoSpaceDN w:val="0"/>
      <w:adjustRightInd w:val="0"/>
      <w:spacing w:line="360" w:lineRule="exact"/>
      <w:jc w:val="center"/>
    </w:pPr>
    <w:rPr>
      <w:rFonts w:ascii="宋体" w:hAnsi="宋体" w:eastAsia="宋体" w:cs="宋体"/>
      <w:color w:val="000000"/>
      <w:sz w:val="24"/>
      <w:szCs w:val="24"/>
      <w:lang w:val="en-US" w:eastAsia="zh-CN" w:bidi="ar-SA"/>
    </w:rPr>
  </w:style>
  <w:style w:type="character" w:customStyle="1" w:styleId="46">
    <w:name w:val="标题 1 Char"/>
    <w:basedOn w:val="36"/>
    <w:link w:val="3"/>
    <w:qFormat/>
    <w:locked/>
    <w:uiPriority w:val="99"/>
    <w:rPr>
      <w:b/>
      <w:bCs/>
      <w:kern w:val="44"/>
      <w:sz w:val="32"/>
      <w:szCs w:val="44"/>
    </w:rPr>
  </w:style>
  <w:style w:type="character" w:customStyle="1" w:styleId="47">
    <w:name w:val="标题 2 Char"/>
    <w:basedOn w:val="36"/>
    <w:link w:val="4"/>
    <w:qFormat/>
    <w:locked/>
    <w:uiPriority w:val="99"/>
    <w:rPr>
      <w:rFonts w:ascii="Arial" w:hAnsi="Arial"/>
      <w:b/>
      <w:bCs/>
      <w:kern w:val="2"/>
      <w:sz w:val="30"/>
      <w:szCs w:val="32"/>
    </w:rPr>
  </w:style>
  <w:style w:type="character" w:customStyle="1" w:styleId="48">
    <w:name w:val="标题 3 Char"/>
    <w:basedOn w:val="36"/>
    <w:link w:val="5"/>
    <w:qFormat/>
    <w:locked/>
    <w:uiPriority w:val="99"/>
    <w:rPr>
      <w:rFonts w:eastAsia="宋体"/>
      <w:b/>
      <w:kern w:val="2"/>
      <w:sz w:val="32"/>
      <w:lang w:val="en-US" w:eastAsia="zh-CN"/>
    </w:rPr>
  </w:style>
  <w:style w:type="character" w:customStyle="1" w:styleId="49">
    <w:name w:val="标题 4 Char"/>
    <w:basedOn w:val="36"/>
    <w:link w:val="6"/>
    <w:qFormat/>
    <w:locked/>
    <w:uiPriority w:val="99"/>
    <w:rPr>
      <w:rFonts w:ascii="Arial" w:eastAsia="黑体"/>
      <w:sz w:val="28"/>
      <w:lang w:val="en-US" w:eastAsia="zh-CN"/>
    </w:rPr>
  </w:style>
  <w:style w:type="character" w:customStyle="1" w:styleId="50">
    <w:name w:val="标题 5 Char"/>
    <w:basedOn w:val="36"/>
    <w:link w:val="7"/>
    <w:qFormat/>
    <w:locked/>
    <w:uiPriority w:val="99"/>
    <w:rPr>
      <w:rFonts w:eastAsia="宋体"/>
      <w:b/>
      <w:kern w:val="2"/>
      <w:sz w:val="28"/>
      <w:lang w:val="en-US" w:eastAsia="zh-CN"/>
    </w:rPr>
  </w:style>
  <w:style w:type="character" w:customStyle="1" w:styleId="51">
    <w:name w:val="标题 6 Char"/>
    <w:basedOn w:val="36"/>
    <w:link w:val="8"/>
    <w:qFormat/>
    <w:locked/>
    <w:uiPriority w:val="99"/>
    <w:rPr>
      <w:rFonts w:ascii="Arial" w:hAnsi="Arial" w:eastAsia="黑体" w:cs="Times New Roman"/>
      <w:b/>
      <w:bCs/>
      <w:kern w:val="2"/>
      <w:sz w:val="24"/>
      <w:szCs w:val="24"/>
    </w:rPr>
  </w:style>
  <w:style w:type="character" w:customStyle="1" w:styleId="52">
    <w:name w:val="标题 7 Char"/>
    <w:basedOn w:val="36"/>
    <w:link w:val="9"/>
    <w:qFormat/>
    <w:locked/>
    <w:uiPriority w:val="99"/>
    <w:rPr>
      <w:rFonts w:cs="Times New Roman"/>
      <w:b/>
      <w:bCs/>
      <w:kern w:val="2"/>
      <w:sz w:val="24"/>
      <w:szCs w:val="24"/>
    </w:rPr>
  </w:style>
  <w:style w:type="character" w:customStyle="1" w:styleId="53">
    <w:name w:val="标题 8 Char"/>
    <w:basedOn w:val="36"/>
    <w:link w:val="10"/>
    <w:qFormat/>
    <w:locked/>
    <w:uiPriority w:val="99"/>
    <w:rPr>
      <w:rFonts w:ascii="Arial" w:hAnsi="Arial" w:eastAsia="黑体" w:cs="Times New Roman"/>
      <w:kern w:val="2"/>
      <w:sz w:val="24"/>
      <w:szCs w:val="24"/>
    </w:rPr>
  </w:style>
  <w:style w:type="character" w:customStyle="1" w:styleId="54">
    <w:name w:val="标题 9 Char"/>
    <w:basedOn w:val="36"/>
    <w:link w:val="11"/>
    <w:qFormat/>
    <w:locked/>
    <w:uiPriority w:val="99"/>
    <w:rPr>
      <w:rFonts w:ascii="Arial" w:hAnsi="Arial" w:eastAsia="黑体" w:cs="Times New Roman"/>
      <w:kern w:val="2"/>
      <w:sz w:val="21"/>
      <w:szCs w:val="21"/>
    </w:rPr>
  </w:style>
  <w:style w:type="character" w:customStyle="1" w:styleId="55">
    <w:name w:val="正文文本 Char"/>
    <w:basedOn w:val="36"/>
    <w:link w:val="2"/>
    <w:qFormat/>
    <w:locked/>
    <w:uiPriority w:val="99"/>
    <w:rPr>
      <w:rFonts w:ascii="?????" w:hAnsi="Courier New" w:eastAsia="Times New Roman"/>
      <w:b/>
      <w:spacing w:val="-8"/>
      <w:sz w:val="44"/>
    </w:rPr>
  </w:style>
  <w:style w:type="character" w:customStyle="1" w:styleId="56">
    <w:name w:val="文档结构图 Char"/>
    <w:basedOn w:val="36"/>
    <w:link w:val="12"/>
    <w:semiHidden/>
    <w:qFormat/>
    <w:locked/>
    <w:uiPriority w:val="99"/>
    <w:rPr>
      <w:rFonts w:cs="Times New Roman"/>
      <w:kern w:val="2"/>
      <w:sz w:val="24"/>
      <w:szCs w:val="24"/>
      <w:shd w:val="clear" w:color="auto" w:fill="000080"/>
    </w:rPr>
  </w:style>
  <w:style w:type="character" w:customStyle="1" w:styleId="57">
    <w:name w:val="批注文字 Char"/>
    <w:basedOn w:val="36"/>
    <w:link w:val="13"/>
    <w:qFormat/>
    <w:locked/>
    <w:uiPriority w:val="99"/>
    <w:rPr>
      <w:kern w:val="2"/>
      <w:sz w:val="24"/>
    </w:rPr>
  </w:style>
  <w:style w:type="character" w:customStyle="1" w:styleId="58">
    <w:name w:val="正文文本 3 Char"/>
    <w:basedOn w:val="36"/>
    <w:link w:val="14"/>
    <w:qFormat/>
    <w:locked/>
    <w:uiPriority w:val="99"/>
    <w:rPr>
      <w:rFonts w:eastAsia="Times New Roman"/>
      <w:sz w:val="28"/>
    </w:rPr>
  </w:style>
  <w:style w:type="character" w:customStyle="1" w:styleId="59">
    <w:name w:val="正文文本缩进 Char"/>
    <w:basedOn w:val="36"/>
    <w:link w:val="15"/>
    <w:qFormat/>
    <w:locked/>
    <w:uiPriority w:val="99"/>
    <w:rPr>
      <w:rFonts w:ascii="宋体" w:hAnsi="Courier New"/>
      <w:spacing w:val="-4"/>
      <w:kern w:val="2"/>
      <w:sz w:val="18"/>
    </w:rPr>
  </w:style>
  <w:style w:type="character" w:customStyle="1" w:styleId="60">
    <w:name w:val="HTML Address Char"/>
    <w:basedOn w:val="36"/>
    <w:qFormat/>
    <w:locked/>
    <w:uiPriority w:val="99"/>
    <w:rPr>
      <w:rFonts w:ascii="宋体" w:eastAsia="宋体" w:cs="Times New Roman"/>
      <w:i/>
      <w:iCs/>
      <w:kern w:val="2"/>
      <w:sz w:val="24"/>
      <w:szCs w:val="24"/>
    </w:rPr>
  </w:style>
  <w:style w:type="character" w:customStyle="1" w:styleId="61">
    <w:name w:val="纯文本 Char"/>
    <w:basedOn w:val="36"/>
    <w:link w:val="19"/>
    <w:qFormat/>
    <w:locked/>
    <w:uiPriority w:val="99"/>
    <w:rPr>
      <w:rFonts w:ascii="宋体" w:hAnsi="Courier New" w:eastAsia="宋体"/>
      <w:kern w:val="2"/>
      <w:sz w:val="21"/>
      <w:lang w:val="en-US" w:eastAsia="zh-CN"/>
    </w:rPr>
  </w:style>
  <w:style w:type="character" w:customStyle="1" w:styleId="62">
    <w:name w:val="日期 Char"/>
    <w:basedOn w:val="36"/>
    <w:link w:val="20"/>
    <w:qFormat/>
    <w:locked/>
    <w:uiPriority w:val="99"/>
    <w:rPr>
      <w:rFonts w:eastAsia="宋体"/>
      <w:kern w:val="2"/>
      <w:sz w:val="24"/>
      <w:lang w:val="en-US" w:eastAsia="zh-CN"/>
    </w:rPr>
  </w:style>
  <w:style w:type="character" w:customStyle="1" w:styleId="63">
    <w:name w:val="正文文本缩进 2 Char"/>
    <w:basedOn w:val="36"/>
    <w:link w:val="21"/>
    <w:qFormat/>
    <w:locked/>
    <w:uiPriority w:val="99"/>
    <w:rPr>
      <w:rFonts w:eastAsia="宋体"/>
      <w:kern w:val="2"/>
      <w:sz w:val="24"/>
      <w:lang w:val="en-US" w:eastAsia="zh-CN"/>
    </w:rPr>
  </w:style>
  <w:style w:type="character" w:customStyle="1" w:styleId="64">
    <w:name w:val="批注框文本 Char"/>
    <w:basedOn w:val="36"/>
    <w:link w:val="22"/>
    <w:qFormat/>
    <w:locked/>
    <w:uiPriority w:val="99"/>
    <w:rPr>
      <w:rFonts w:cs="Times New Roman"/>
      <w:kern w:val="2"/>
      <w:sz w:val="18"/>
      <w:szCs w:val="18"/>
    </w:rPr>
  </w:style>
  <w:style w:type="character" w:customStyle="1" w:styleId="65">
    <w:name w:val="页脚 Char"/>
    <w:basedOn w:val="36"/>
    <w:link w:val="23"/>
    <w:qFormat/>
    <w:locked/>
    <w:uiPriority w:val="99"/>
    <w:rPr>
      <w:rFonts w:eastAsia="宋体"/>
      <w:kern w:val="2"/>
      <w:sz w:val="18"/>
      <w:lang w:val="en-US" w:eastAsia="zh-CN"/>
    </w:rPr>
  </w:style>
  <w:style w:type="character" w:customStyle="1" w:styleId="66">
    <w:name w:val="页眉 Char"/>
    <w:basedOn w:val="36"/>
    <w:link w:val="24"/>
    <w:qFormat/>
    <w:locked/>
    <w:uiPriority w:val="99"/>
    <w:rPr>
      <w:rFonts w:eastAsia="宋体"/>
      <w:kern w:val="2"/>
      <w:sz w:val="18"/>
      <w:lang w:val="en-US" w:eastAsia="zh-CN"/>
    </w:rPr>
  </w:style>
  <w:style w:type="character" w:customStyle="1" w:styleId="67">
    <w:name w:val="副标题 Char"/>
    <w:basedOn w:val="36"/>
    <w:link w:val="26"/>
    <w:qFormat/>
    <w:locked/>
    <w:uiPriority w:val="11"/>
    <w:rPr>
      <w:rFonts w:ascii="Cambria" w:hAnsi="Cambria" w:eastAsia="宋体"/>
      <w:b/>
      <w:kern w:val="28"/>
      <w:sz w:val="32"/>
      <w:lang w:val="en-US" w:eastAsia="zh-CN"/>
    </w:rPr>
  </w:style>
  <w:style w:type="character" w:customStyle="1" w:styleId="68">
    <w:name w:val="脚注文本 Char"/>
    <w:basedOn w:val="36"/>
    <w:link w:val="27"/>
    <w:semiHidden/>
    <w:qFormat/>
    <w:locked/>
    <w:uiPriority w:val="99"/>
    <w:rPr>
      <w:rFonts w:cs="Times New Roman"/>
      <w:kern w:val="2"/>
      <w:sz w:val="18"/>
      <w:szCs w:val="18"/>
    </w:rPr>
  </w:style>
  <w:style w:type="character" w:customStyle="1" w:styleId="69">
    <w:name w:val="正文文本 2 Char"/>
    <w:basedOn w:val="36"/>
    <w:link w:val="29"/>
    <w:qFormat/>
    <w:locked/>
    <w:uiPriority w:val="99"/>
    <w:rPr>
      <w:rFonts w:hAnsi="宋体" w:eastAsia="宋体"/>
      <w:sz w:val="24"/>
    </w:rPr>
  </w:style>
  <w:style w:type="character" w:customStyle="1" w:styleId="70">
    <w:name w:val="HTML 预设格式 Char"/>
    <w:basedOn w:val="36"/>
    <w:link w:val="30"/>
    <w:qFormat/>
    <w:locked/>
    <w:uiPriority w:val="99"/>
    <w:rPr>
      <w:rFonts w:ascii="宋体" w:hAnsi="宋体" w:eastAsia="宋体"/>
      <w:sz w:val="24"/>
    </w:rPr>
  </w:style>
  <w:style w:type="character" w:customStyle="1" w:styleId="71">
    <w:name w:val="Title Char"/>
    <w:basedOn w:val="36"/>
    <w:qFormat/>
    <w:locked/>
    <w:uiPriority w:val="99"/>
    <w:rPr>
      <w:rFonts w:ascii="Arial" w:hAnsi="Arial" w:cs="Arial"/>
      <w:b/>
      <w:bCs/>
      <w:kern w:val="2"/>
      <w:sz w:val="32"/>
      <w:szCs w:val="32"/>
    </w:rPr>
  </w:style>
  <w:style w:type="character" w:customStyle="1" w:styleId="72">
    <w:name w:val="批注主题 Char"/>
    <w:basedOn w:val="57"/>
    <w:link w:val="33"/>
    <w:qFormat/>
    <w:locked/>
    <w:uiPriority w:val="99"/>
    <w:rPr>
      <w:rFonts w:cs="Times New Roman"/>
      <w:kern w:val="2"/>
      <w:sz w:val="24"/>
      <w:szCs w:val="24"/>
    </w:rPr>
  </w:style>
  <w:style w:type="paragraph" w:customStyle="1" w:styleId="73">
    <w:name w:val="封面标准代替信息"/>
    <w:basedOn w:val="74"/>
    <w:qFormat/>
    <w:uiPriority w:val="99"/>
    <w:pPr>
      <w:spacing w:before="57"/>
    </w:pPr>
    <w:rPr>
      <w:rFonts w:ascii="宋体"/>
      <w:sz w:val="21"/>
    </w:rPr>
  </w:style>
  <w:style w:type="paragraph" w:customStyle="1" w:styleId="74">
    <w:name w:val="封面标准号2"/>
    <w:basedOn w:val="75"/>
    <w:qFormat/>
    <w:uiPriority w:val="99"/>
    <w:pPr>
      <w:framePr w:w="9138" w:h="1244" w:wrap="around" w:vAnchor="page" w:hAnchor="margin" w:y="2908" w:anchorLock="1"/>
      <w:adjustRightInd w:val="0"/>
      <w:spacing w:before="357" w:line="280" w:lineRule="exact"/>
    </w:pPr>
  </w:style>
  <w:style w:type="paragraph" w:customStyle="1" w:styleId="75">
    <w:name w:val="封面标准号1"/>
    <w:qFormat/>
    <w:uiPriority w:val="99"/>
    <w:pPr>
      <w:widowControl w:val="0"/>
      <w:kinsoku w:val="0"/>
      <w:overflowPunct w:val="0"/>
      <w:autoSpaceDE w:val="0"/>
      <w:autoSpaceDN w:val="0"/>
      <w:spacing w:before="308"/>
      <w:jc w:val="right"/>
    </w:pPr>
    <w:rPr>
      <w:rFonts w:ascii="Times New Roman" w:hAnsi="Times New Roman" w:eastAsia="宋体" w:cs="Times New Roman"/>
      <w:sz w:val="28"/>
      <w:lang w:val="en-US" w:eastAsia="zh-CN" w:bidi="ar-SA"/>
    </w:rPr>
  </w:style>
  <w:style w:type="paragraph" w:customStyle="1" w:styleId="76">
    <w:name w:val="附录三级条标题"/>
    <w:basedOn w:val="77"/>
    <w:next w:val="80"/>
    <w:qFormat/>
    <w:uiPriority w:val="99"/>
    <w:pPr>
      <w:numPr>
        <w:ilvl w:val="4"/>
      </w:numPr>
      <w:tabs>
        <w:tab w:val="left" w:pos="1260"/>
      </w:tabs>
      <w:outlineLvl w:val="4"/>
    </w:pPr>
  </w:style>
  <w:style w:type="paragraph" w:customStyle="1" w:styleId="77">
    <w:name w:val="附录二级条标题"/>
    <w:basedOn w:val="78"/>
    <w:next w:val="80"/>
    <w:qFormat/>
    <w:uiPriority w:val="99"/>
    <w:pPr>
      <w:numPr>
        <w:ilvl w:val="3"/>
      </w:numPr>
      <w:tabs>
        <w:tab w:val="left" w:pos="1260"/>
      </w:tabs>
      <w:autoSpaceDN w:val="0"/>
      <w:spacing w:beforeLines="0"/>
      <w:outlineLvl w:val="3"/>
    </w:pPr>
  </w:style>
  <w:style w:type="paragraph" w:customStyle="1" w:styleId="78">
    <w:name w:val="附录一级条标题"/>
    <w:basedOn w:val="79"/>
    <w:next w:val="80"/>
    <w:qFormat/>
    <w:uiPriority w:val="99"/>
    <w:pPr>
      <w:tabs>
        <w:tab w:val="left" w:pos="1260"/>
      </w:tabs>
    </w:pPr>
  </w:style>
  <w:style w:type="paragraph" w:customStyle="1" w:styleId="79">
    <w:name w:val="附录章标题"/>
    <w:next w:val="80"/>
    <w:qFormat/>
    <w:uiPriority w:val="99"/>
    <w:pPr>
      <w:numPr>
        <w:ilvl w:val="1"/>
        <w:numId w:val="1"/>
      </w:numPr>
      <w:wordWrap w:val="0"/>
      <w:overflowPunct w:val="0"/>
      <w:autoSpaceDE w:val="0"/>
      <w:spacing w:beforeLines="50"/>
      <w:jc w:val="both"/>
      <w:outlineLvl w:val="1"/>
    </w:pPr>
    <w:rPr>
      <w:rFonts w:ascii="黑体" w:hAnsi="Times New Roman" w:eastAsia="黑体" w:cs="Times New Roman"/>
      <w:kern w:val="21"/>
      <w:sz w:val="21"/>
      <w:lang w:val="en-US" w:eastAsia="zh-CN" w:bidi="ar-SA"/>
    </w:rPr>
  </w:style>
  <w:style w:type="paragraph" w:customStyle="1" w:styleId="80">
    <w:name w:val="段"/>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81">
    <w:name w:val="封面标准文稿类别"/>
    <w:qFormat/>
    <w:uiPriority w:val="99"/>
    <w:pPr>
      <w:spacing w:before="440" w:line="400" w:lineRule="exact"/>
      <w:jc w:val="center"/>
    </w:pPr>
    <w:rPr>
      <w:rFonts w:ascii="宋体" w:hAnsi="Times New Roman" w:eastAsia="宋体" w:cs="Times New Roman"/>
      <w:sz w:val="24"/>
      <w:lang w:val="en-US" w:eastAsia="zh-CN" w:bidi="ar-SA"/>
    </w:rPr>
  </w:style>
  <w:style w:type="paragraph" w:customStyle="1" w:styleId="82">
    <w:name w:val="Formatvorlage layout_standard + 10 pt Zentriert"/>
    <w:basedOn w:val="83"/>
    <w:qFormat/>
    <w:uiPriority w:val="99"/>
    <w:pPr>
      <w:jc w:val="center"/>
    </w:pPr>
    <w:rPr>
      <w:bCs/>
      <w:sz w:val="22"/>
    </w:rPr>
  </w:style>
  <w:style w:type="paragraph" w:customStyle="1" w:styleId="83">
    <w:name w:val="layout_standard"/>
    <w:basedOn w:val="27"/>
    <w:qFormat/>
    <w:uiPriority w:val="99"/>
    <w:pPr>
      <w:widowControl/>
      <w:snapToGrid/>
    </w:pPr>
    <w:rPr>
      <w:rFonts w:ascii="Arial" w:hAnsi="Arial"/>
      <w:b/>
      <w:kern w:val="0"/>
      <w:sz w:val="36"/>
      <w:szCs w:val="20"/>
      <w:lang w:val="en-GB" w:eastAsia="de-DE"/>
    </w:rPr>
  </w:style>
  <w:style w:type="paragraph" w:customStyle="1" w:styleId="84">
    <w:name w:val="封面标准名称"/>
    <w:qFormat/>
    <w:uiPriority w:val="99"/>
    <w:pPr>
      <w:framePr w:w="9638" w:h="6917" w:wrap="around" w:vAnchor="margin" w:hAnchor="margin" w:xAlign="center" w:y="5955" w:anchorLock="1"/>
      <w:widowControl w:val="0"/>
      <w:spacing w:line="680" w:lineRule="exact"/>
      <w:jc w:val="center"/>
    </w:pPr>
    <w:rPr>
      <w:rFonts w:ascii="黑体" w:hAnsi="Times New Roman" w:eastAsia="黑体" w:cs="Times New Roman"/>
      <w:sz w:val="52"/>
      <w:lang w:val="en-US" w:eastAsia="zh-CN" w:bidi="ar-SA"/>
    </w:rPr>
  </w:style>
  <w:style w:type="paragraph" w:customStyle="1" w:styleId="85">
    <w:name w:val="p0"/>
    <w:basedOn w:val="1"/>
    <w:qFormat/>
    <w:uiPriority w:val="99"/>
    <w:pPr>
      <w:widowControl/>
    </w:pPr>
    <w:rPr>
      <w:kern w:val="0"/>
      <w:szCs w:val="21"/>
    </w:rPr>
  </w:style>
  <w:style w:type="paragraph" w:customStyle="1" w:styleId="86">
    <w:name w:val="四级条标题"/>
    <w:basedOn w:val="87"/>
    <w:next w:val="80"/>
    <w:qFormat/>
    <w:uiPriority w:val="99"/>
    <w:pPr>
      <w:numPr>
        <w:ilvl w:val="5"/>
      </w:numPr>
      <w:tabs>
        <w:tab w:val="left" w:pos="1980"/>
      </w:tabs>
      <w:outlineLvl w:val="5"/>
    </w:pPr>
  </w:style>
  <w:style w:type="paragraph" w:customStyle="1" w:styleId="87">
    <w:name w:val="三级条标题"/>
    <w:basedOn w:val="88"/>
    <w:next w:val="80"/>
    <w:qFormat/>
    <w:uiPriority w:val="99"/>
    <w:pPr>
      <w:numPr>
        <w:ilvl w:val="4"/>
      </w:numPr>
      <w:tabs>
        <w:tab w:val="left" w:pos="1980"/>
      </w:tabs>
      <w:outlineLvl w:val="4"/>
    </w:pPr>
  </w:style>
  <w:style w:type="paragraph" w:customStyle="1" w:styleId="88">
    <w:name w:val="二级条标题"/>
    <w:basedOn w:val="89"/>
    <w:next w:val="80"/>
    <w:qFormat/>
    <w:uiPriority w:val="99"/>
    <w:pPr>
      <w:numPr>
        <w:ilvl w:val="3"/>
      </w:numPr>
      <w:tabs>
        <w:tab w:val="left" w:pos="1980"/>
      </w:tabs>
      <w:outlineLvl w:val="3"/>
    </w:pPr>
  </w:style>
  <w:style w:type="paragraph" w:customStyle="1" w:styleId="89">
    <w:name w:val="一级条标题"/>
    <w:basedOn w:val="90"/>
    <w:next w:val="80"/>
    <w:qFormat/>
    <w:uiPriority w:val="99"/>
    <w:pPr>
      <w:numPr>
        <w:ilvl w:val="2"/>
      </w:numPr>
      <w:tabs>
        <w:tab w:val="left" w:pos="1980"/>
      </w:tabs>
      <w:spacing w:beforeLines="0"/>
      <w:outlineLvl w:val="2"/>
    </w:pPr>
  </w:style>
  <w:style w:type="paragraph" w:customStyle="1" w:styleId="90">
    <w:name w:val="章标题"/>
    <w:next w:val="80"/>
    <w:qFormat/>
    <w:uiPriority w:val="99"/>
    <w:pPr>
      <w:numPr>
        <w:ilvl w:val="1"/>
        <w:numId w:val="2"/>
      </w:numPr>
      <w:spacing w:beforeLines="50"/>
      <w:jc w:val="both"/>
      <w:outlineLvl w:val="1"/>
    </w:pPr>
    <w:rPr>
      <w:rFonts w:ascii="黑体" w:hAnsi="Times New Roman" w:eastAsia="黑体" w:cs="Times New Roman"/>
      <w:sz w:val="21"/>
      <w:lang w:val="en-US" w:eastAsia="zh-CN" w:bidi="ar-SA"/>
    </w:rPr>
  </w:style>
  <w:style w:type="paragraph" w:customStyle="1" w:styleId="91">
    <w:name w:val="Char Char Char1 Char Char Char Char Char Char Char"/>
    <w:basedOn w:val="1"/>
    <w:qFormat/>
    <w:uiPriority w:val="99"/>
    <w:pPr>
      <w:adjustRightInd/>
      <w:spacing w:line="240" w:lineRule="auto"/>
      <w:textAlignment w:val="auto"/>
    </w:pPr>
  </w:style>
  <w:style w:type="paragraph" w:customStyle="1" w:styleId="92">
    <w:name w:val="前言、引言标题"/>
    <w:next w:val="1"/>
    <w:qFormat/>
    <w:uiPriority w:val="99"/>
    <w:pPr>
      <w:numPr>
        <w:ilvl w:val="0"/>
        <w:numId w:val="2"/>
      </w:numPr>
      <w:shd w:val="clear" w:color="auto" w:fill="FFFFFF"/>
      <w:spacing w:before="640" w:after="560"/>
      <w:jc w:val="center"/>
      <w:outlineLvl w:val="0"/>
    </w:pPr>
    <w:rPr>
      <w:rFonts w:ascii="黑体" w:hAnsi="Times New Roman" w:eastAsia="黑体" w:cs="Times New Roman"/>
      <w:sz w:val="32"/>
      <w:lang w:val="en-US" w:eastAsia="zh-CN" w:bidi="ar-SA"/>
    </w:rPr>
  </w:style>
  <w:style w:type="paragraph" w:customStyle="1" w:styleId="93">
    <w:name w:val="无标题条"/>
    <w:next w:val="80"/>
    <w:qFormat/>
    <w:uiPriority w:val="99"/>
    <w:pPr>
      <w:jc w:val="both"/>
    </w:pPr>
    <w:rPr>
      <w:rFonts w:ascii="Times New Roman" w:hAnsi="Times New Roman" w:eastAsia="宋体" w:cs="Times New Roman"/>
      <w:sz w:val="21"/>
      <w:lang w:val="en-US" w:eastAsia="zh-CN" w:bidi="ar-SA"/>
    </w:rPr>
  </w:style>
  <w:style w:type="paragraph" w:customStyle="1" w:styleId="94">
    <w:name w:val="附录四级条标题"/>
    <w:basedOn w:val="76"/>
    <w:next w:val="80"/>
    <w:qFormat/>
    <w:uiPriority w:val="99"/>
    <w:pPr>
      <w:numPr>
        <w:ilvl w:val="5"/>
      </w:numPr>
      <w:outlineLvl w:val="5"/>
    </w:pPr>
  </w:style>
  <w:style w:type="paragraph" w:customStyle="1" w:styleId="95">
    <w:name w:val="Char"/>
    <w:basedOn w:val="1"/>
    <w:qFormat/>
    <w:uiPriority w:val="99"/>
    <w:pPr>
      <w:adjustRightInd/>
      <w:spacing w:line="240" w:lineRule="auto"/>
      <w:textAlignment w:val="auto"/>
    </w:pPr>
    <w:rPr>
      <w:rFonts w:ascii="Tahoma" w:hAnsi="Tahoma"/>
      <w:sz w:val="24"/>
      <w:szCs w:val="20"/>
    </w:rPr>
  </w:style>
  <w:style w:type="paragraph" w:customStyle="1" w:styleId="96">
    <w:name w:val="列项——"/>
    <w:qFormat/>
    <w:uiPriority w:val="99"/>
    <w:pPr>
      <w:widowControl w:val="0"/>
      <w:numPr>
        <w:ilvl w:val="0"/>
        <w:numId w:val="3"/>
      </w:numPr>
      <w:tabs>
        <w:tab w:val="left" w:pos="854"/>
        <w:tab w:val="left" w:pos="1140"/>
      </w:tabs>
      <w:ind w:left="200" w:leftChars="200" w:hanging="200" w:hangingChars="200"/>
      <w:jc w:val="both"/>
    </w:pPr>
    <w:rPr>
      <w:rFonts w:ascii="宋体" w:hAnsi="Times New Roman" w:eastAsia="宋体" w:cs="Times New Roman"/>
      <w:sz w:val="21"/>
      <w:lang w:val="en-US" w:eastAsia="zh-CN" w:bidi="ar-SA"/>
    </w:rPr>
  </w:style>
  <w:style w:type="paragraph" w:customStyle="1" w:styleId="97">
    <w:name w:val="标准书脚_偶数页"/>
    <w:qFormat/>
    <w:uiPriority w:val="99"/>
    <w:pPr>
      <w:spacing w:before="120"/>
    </w:pPr>
    <w:rPr>
      <w:rFonts w:ascii="Times New Roman" w:hAnsi="Times New Roman" w:eastAsia="宋体" w:cs="Times New Roman"/>
      <w:sz w:val="18"/>
      <w:lang w:val="en-US" w:eastAsia="zh-CN" w:bidi="ar-SA"/>
    </w:rPr>
  </w:style>
  <w:style w:type="paragraph" w:customStyle="1" w:styleId="98">
    <w:name w:val="五级无标题条"/>
    <w:basedOn w:val="1"/>
    <w:qFormat/>
    <w:uiPriority w:val="99"/>
    <w:pPr>
      <w:tabs>
        <w:tab w:val="left" w:pos="360"/>
      </w:tabs>
      <w:adjustRightInd/>
      <w:spacing w:line="240" w:lineRule="auto"/>
      <w:ind w:left="360" w:hanging="360"/>
      <w:textAlignment w:val="auto"/>
    </w:pPr>
  </w:style>
  <w:style w:type="paragraph" w:customStyle="1" w:styleId="99">
    <w:name w:val="样式 标题 1 + 居中 段前: 0 磅 段后: 0 磅 行距: 固定值 30 磅"/>
    <w:basedOn w:val="3"/>
    <w:qFormat/>
    <w:uiPriority w:val="99"/>
    <w:pPr>
      <w:spacing w:line="600" w:lineRule="exact"/>
    </w:pPr>
    <w:rPr>
      <w:rFonts w:cs="宋体"/>
      <w:szCs w:val="20"/>
    </w:rPr>
  </w:style>
  <w:style w:type="paragraph" w:customStyle="1" w:styleId="100">
    <w:name w:val="四级无标题条"/>
    <w:basedOn w:val="1"/>
    <w:qFormat/>
    <w:uiPriority w:val="99"/>
    <w:pPr>
      <w:tabs>
        <w:tab w:val="left" w:pos="360"/>
      </w:tabs>
      <w:adjustRightInd/>
      <w:spacing w:line="240" w:lineRule="auto"/>
      <w:ind w:left="360" w:hanging="360"/>
      <w:textAlignment w:val="auto"/>
    </w:pPr>
  </w:style>
  <w:style w:type="paragraph" w:customStyle="1" w:styleId="101">
    <w:name w:val="标准书眉一"/>
    <w:qFormat/>
    <w:uiPriority w:val="99"/>
    <w:pPr>
      <w:jc w:val="both"/>
    </w:pPr>
    <w:rPr>
      <w:rFonts w:ascii="Times New Roman" w:hAnsi="Times New Roman" w:eastAsia="宋体" w:cs="Times New Roman"/>
      <w:lang w:val="en-US" w:eastAsia="zh-CN" w:bidi="ar-SA"/>
    </w:rPr>
  </w:style>
  <w:style w:type="paragraph" w:customStyle="1" w:styleId="102">
    <w:name w:val="正文表标题"/>
    <w:next w:val="80"/>
    <w:qFormat/>
    <w:uiPriority w:val="99"/>
    <w:pPr>
      <w:numPr>
        <w:ilvl w:val="0"/>
        <w:numId w:val="4"/>
      </w:numPr>
      <w:jc w:val="center"/>
    </w:pPr>
    <w:rPr>
      <w:rFonts w:ascii="黑体" w:hAnsi="Times New Roman" w:eastAsia="黑体" w:cs="Times New Roman"/>
      <w:sz w:val="21"/>
      <w:lang w:val="en-US" w:eastAsia="zh-CN" w:bidi="ar-SA"/>
    </w:rPr>
  </w:style>
  <w:style w:type="paragraph" w:customStyle="1" w:styleId="103">
    <w:name w:val="标准书眉_偶数页"/>
    <w:basedOn w:val="104"/>
    <w:next w:val="1"/>
    <w:qFormat/>
    <w:uiPriority w:val="99"/>
    <w:pPr>
      <w:tabs>
        <w:tab w:val="center" w:pos="4154"/>
        <w:tab w:val="right" w:pos="8306"/>
      </w:tabs>
      <w:jc w:val="left"/>
    </w:pPr>
  </w:style>
  <w:style w:type="paragraph" w:customStyle="1" w:styleId="104">
    <w:name w:val="标准书眉_奇数页"/>
    <w:next w:val="1"/>
    <w:qFormat/>
    <w:uiPriority w:val="99"/>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05">
    <w:name w:val="font5"/>
    <w:basedOn w:val="1"/>
    <w:qFormat/>
    <w:uiPriority w:val="99"/>
    <w:pPr>
      <w:widowControl/>
      <w:numPr>
        <w:ilvl w:val="0"/>
        <w:numId w:val="5"/>
      </w:numPr>
      <w:spacing w:before="100" w:beforeAutospacing="1" w:after="100" w:afterAutospacing="1"/>
      <w:jc w:val="left"/>
    </w:pPr>
    <w:rPr>
      <w:rFonts w:ascii="宋体" w:hAnsi="宋体" w:cs="Arial Unicode MS"/>
      <w:kern w:val="0"/>
      <w:sz w:val="20"/>
      <w:szCs w:val="20"/>
    </w:rPr>
  </w:style>
  <w:style w:type="paragraph" w:customStyle="1" w:styleId="106">
    <w:name w:val="发布部门"/>
    <w:next w:val="80"/>
    <w:qFormat/>
    <w:uiPriority w:val="99"/>
    <w:pPr>
      <w:framePr w:w="7433" w:h="585"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107">
    <w:name w:val="附录五级条标题"/>
    <w:basedOn w:val="94"/>
    <w:next w:val="80"/>
    <w:qFormat/>
    <w:uiPriority w:val="99"/>
  </w:style>
  <w:style w:type="paragraph" w:customStyle="1" w:styleId="108">
    <w:name w:val="正文段"/>
    <w:basedOn w:val="1"/>
    <w:qFormat/>
    <w:uiPriority w:val="99"/>
    <w:pPr>
      <w:widowControl/>
      <w:snapToGrid w:val="0"/>
      <w:spacing w:afterLines="50"/>
      <w:ind w:firstLine="200" w:firstLineChars="200"/>
    </w:pPr>
    <w:rPr>
      <w:kern w:val="0"/>
      <w:sz w:val="24"/>
      <w:szCs w:val="20"/>
    </w:rPr>
  </w:style>
  <w:style w:type="paragraph" w:customStyle="1" w:styleId="109">
    <w:name w:val="其他标准称谓"/>
    <w:qFormat/>
    <w:uiPriority w:val="99"/>
    <w:pPr>
      <w:spacing w:line="240" w:lineRule="atLeast"/>
      <w:jc w:val="distribute"/>
    </w:pPr>
    <w:rPr>
      <w:rFonts w:ascii="黑体" w:hAnsi="宋体" w:eastAsia="黑体" w:cs="Times New Roman"/>
      <w:sz w:val="52"/>
      <w:lang w:val="en-US" w:eastAsia="zh-CN" w:bidi="ar-SA"/>
    </w:rPr>
  </w:style>
  <w:style w:type="paragraph" w:customStyle="1" w:styleId="110">
    <w:name w:val="bb"/>
    <w:basedOn w:val="1"/>
    <w:qFormat/>
    <w:uiPriority w:val="99"/>
    <w:pPr>
      <w:widowControl/>
      <w:spacing w:before="100" w:beforeAutospacing="1" w:after="100" w:afterAutospacing="1"/>
      <w:jc w:val="left"/>
    </w:pPr>
    <w:rPr>
      <w:rFonts w:ascii="宋体" w:hAnsi="宋体"/>
      <w:kern w:val="0"/>
      <w:sz w:val="24"/>
    </w:rPr>
  </w:style>
  <w:style w:type="paragraph" w:customStyle="1" w:styleId="111">
    <w:name w:val="样式 标题 2 + 非加粗 首行缩进:  2 字符"/>
    <w:basedOn w:val="4"/>
    <w:qFormat/>
    <w:uiPriority w:val="99"/>
    <w:pPr>
      <w:spacing w:line="600" w:lineRule="exact"/>
      <w:ind w:firstLine="640" w:firstLineChars="200"/>
      <w:jc w:val="left"/>
    </w:pPr>
    <w:rPr>
      <w:rFonts w:cs="宋体"/>
      <w:b w:val="0"/>
      <w:bCs w:val="0"/>
      <w:szCs w:val="20"/>
    </w:rPr>
  </w:style>
  <w:style w:type="paragraph" w:customStyle="1" w:styleId="112">
    <w:name w:val="附录表标题"/>
    <w:next w:val="80"/>
    <w:qFormat/>
    <w:uiPriority w:val="99"/>
    <w:pPr>
      <w:jc w:val="center"/>
    </w:pPr>
    <w:rPr>
      <w:rFonts w:ascii="黑体" w:hAnsi="Times New Roman" w:eastAsia="黑体" w:cs="Times New Roman"/>
      <w:kern w:val="21"/>
      <w:sz w:val="21"/>
      <w:lang w:val="en-US" w:eastAsia="zh-CN" w:bidi="ar-SA"/>
    </w:rPr>
  </w:style>
  <w:style w:type="paragraph" w:customStyle="1" w:styleId="113">
    <w:name w:val="注："/>
    <w:next w:val="80"/>
    <w:qFormat/>
    <w:uiPriority w:val="99"/>
    <w:pPr>
      <w:widowControl w:val="0"/>
      <w:numPr>
        <w:ilvl w:val="0"/>
        <w:numId w:val="6"/>
      </w:numPr>
      <w:autoSpaceDE w:val="0"/>
      <w:autoSpaceDN w:val="0"/>
      <w:jc w:val="both"/>
    </w:pPr>
    <w:rPr>
      <w:rFonts w:ascii="宋体" w:hAnsi="Times New Roman" w:eastAsia="宋体" w:cs="Times New Roman"/>
      <w:sz w:val="18"/>
      <w:lang w:val="en-US" w:eastAsia="zh-CN" w:bidi="ar-SA"/>
    </w:rPr>
  </w:style>
  <w:style w:type="paragraph" w:customStyle="1" w:styleId="114">
    <w:name w:val="实施日期"/>
    <w:basedOn w:val="115"/>
    <w:qFormat/>
    <w:uiPriority w:val="99"/>
    <w:pPr>
      <w:framePr w:hSpace="0" w:xAlign="right"/>
      <w:jc w:val="right"/>
    </w:pPr>
  </w:style>
  <w:style w:type="paragraph" w:customStyle="1" w:styleId="115">
    <w:name w:val="发布日期"/>
    <w:qFormat/>
    <w:uiPriority w:val="99"/>
    <w:pPr>
      <w:framePr w:w="4000" w:h="473"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16">
    <w:name w:val="_Style 86"/>
    <w:semiHidden/>
    <w:qFormat/>
    <w:uiPriority w:val="99"/>
    <w:rPr>
      <w:rFonts w:ascii="Times New Roman" w:hAnsi="Times New Roman" w:eastAsia="宋体" w:cs="Times New Roman"/>
      <w:kern w:val="2"/>
      <w:sz w:val="21"/>
      <w:szCs w:val="24"/>
      <w:lang w:val="en-US" w:eastAsia="zh-CN" w:bidi="ar-SA"/>
    </w:rPr>
  </w:style>
  <w:style w:type="paragraph" w:customStyle="1" w:styleId="117">
    <w:name w:val="Char Char Char Char Char Char Char Char Char Char Char Char"/>
    <w:basedOn w:val="1"/>
    <w:qFormat/>
    <w:uiPriority w:val="99"/>
    <w:pPr>
      <w:widowControl/>
      <w:spacing w:after="160" w:line="240" w:lineRule="exact"/>
      <w:jc w:val="left"/>
    </w:pPr>
  </w:style>
  <w:style w:type="paragraph" w:customStyle="1" w:styleId="118">
    <w:name w:val="附录标识"/>
    <w:basedOn w:val="92"/>
    <w:qFormat/>
    <w:uiPriority w:val="99"/>
    <w:pPr>
      <w:numPr>
        <w:ilvl w:val="0"/>
        <w:numId w:val="1"/>
      </w:numPr>
      <w:tabs>
        <w:tab w:val="left" w:pos="6405"/>
      </w:tabs>
      <w:spacing w:after="200"/>
    </w:pPr>
    <w:rPr>
      <w:sz w:val="21"/>
    </w:rPr>
  </w:style>
  <w:style w:type="paragraph" w:customStyle="1" w:styleId="119">
    <w:name w:val="标准书脚_奇数页"/>
    <w:qFormat/>
    <w:uiPriority w:val="99"/>
    <w:pPr>
      <w:spacing w:before="120"/>
      <w:jc w:val="right"/>
    </w:pPr>
    <w:rPr>
      <w:rFonts w:ascii="Times New Roman" w:hAnsi="Times New Roman" w:eastAsia="宋体" w:cs="Times New Roman"/>
      <w:sz w:val="18"/>
      <w:lang w:val="en-US" w:eastAsia="zh-CN" w:bidi="ar-SA"/>
    </w:rPr>
  </w:style>
  <w:style w:type="paragraph" w:customStyle="1" w:styleId="120">
    <w:name w:val="封面正文"/>
    <w:qFormat/>
    <w:uiPriority w:val="99"/>
    <w:pPr>
      <w:jc w:val="both"/>
    </w:pPr>
    <w:rPr>
      <w:rFonts w:ascii="Times New Roman" w:hAnsi="Times New Roman" w:eastAsia="宋体" w:cs="Times New Roman"/>
      <w:lang w:val="en-US" w:eastAsia="zh-CN" w:bidi="ar-SA"/>
    </w:rPr>
  </w:style>
  <w:style w:type="paragraph" w:customStyle="1" w:styleId="121">
    <w:name w:val="正文图标题"/>
    <w:next w:val="80"/>
    <w:qFormat/>
    <w:uiPriority w:val="99"/>
    <w:pPr>
      <w:numPr>
        <w:ilvl w:val="0"/>
        <w:numId w:val="7"/>
      </w:numPr>
      <w:jc w:val="center"/>
    </w:pPr>
    <w:rPr>
      <w:rFonts w:ascii="黑体" w:hAnsi="Times New Roman" w:eastAsia="黑体" w:cs="Times New Roman"/>
      <w:sz w:val="21"/>
      <w:lang w:val="en-US" w:eastAsia="zh-CN" w:bidi="ar-SA"/>
    </w:rPr>
  </w:style>
  <w:style w:type="paragraph" w:customStyle="1" w:styleId="122">
    <w:name w:val="Formatvorlage layout_standard + 10 pt"/>
    <w:basedOn w:val="83"/>
    <w:qFormat/>
    <w:uiPriority w:val="99"/>
    <w:rPr>
      <w:bCs/>
      <w:sz w:val="22"/>
    </w:rPr>
  </w:style>
  <w:style w:type="paragraph" w:customStyle="1" w:styleId="123">
    <w:name w:val="二级无标题条"/>
    <w:basedOn w:val="1"/>
    <w:qFormat/>
    <w:uiPriority w:val="99"/>
    <w:pPr>
      <w:tabs>
        <w:tab w:val="left" w:pos="360"/>
      </w:tabs>
      <w:adjustRightInd/>
      <w:spacing w:line="240" w:lineRule="auto"/>
      <w:ind w:left="360" w:hanging="360"/>
      <w:textAlignment w:val="auto"/>
    </w:pPr>
  </w:style>
  <w:style w:type="paragraph" w:customStyle="1" w:styleId="124">
    <w:name w:val="参考文献、索引标题"/>
    <w:basedOn w:val="92"/>
    <w:next w:val="1"/>
    <w:qFormat/>
    <w:uiPriority w:val="99"/>
    <w:pPr>
      <w:numPr>
        <w:numId w:val="0"/>
      </w:numPr>
      <w:spacing w:after="200"/>
    </w:pPr>
    <w:rPr>
      <w:sz w:val="21"/>
    </w:rPr>
  </w:style>
  <w:style w:type="paragraph" w:customStyle="1" w:styleId="125">
    <w:name w:val="Style16"/>
    <w:basedOn w:val="1"/>
    <w:qFormat/>
    <w:uiPriority w:val="99"/>
    <w:pPr>
      <w:spacing w:line="630" w:lineRule="exact"/>
      <w:ind w:firstLine="643"/>
      <w:textAlignment w:val="auto"/>
    </w:pPr>
    <w:rPr>
      <w:rFonts w:ascii="宋体"/>
      <w:kern w:val="0"/>
      <w:sz w:val="24"/>
    </w:rPr>
  </w:style>
  <w:style w:type="paragraph" w:customStyle="1" w:styleId="126">
    <w:name w:val="图表脚注"/>
    <w:next w:val="80"/>
    <w:qFormat/>
    <w:uiPriority w:val="99"/>
    <w:pPr>
      <w:ind w:left="200" w:leftChars="200" w:hanging="100" w:hangingChars="100"/>
      <w:jc w:val="both"/>
    </w:pPr>
    <w:rPr>
      <w:rFonts w:ascii="宋体" w:hAnsi="Times New Roman" w:eastAsia="宋体" w:cs="Times New Roman"/>
      <w:sz w:val="18"/>
      <w:lang w:val="en-US" w:eastAsia="zh-CN" w:bidi="ar-SA"/>
    </w:rPr>
  </w:style>
  <w:style w:type="paragraph" w:customStyle="1" w:styleId="127">
    <w:name w:val="文献分类号"/>
    <w:qFormat/>
    <w:uiPriority w:val="99"/>
    <w:pPr>
      <w:framePr w:hSpace="180" w:vSpace="180" w:wrap="around" w:vAnchor="margin" w:hAnchor="margin" w:y="1" w:anchorLock="1"/>
      <w:widowControl w:val="0"/>
    </w:pPr>
    <w:rPr>
      <w:rFonts w:ascii="Times New Roman" w:hAnsi="Times New Roman" w:eastAsia="黑体" w:cs="Times New Roman"/>
      <w:sz w:val="21"/>
      <w:lang w:val="en-US" w:eastAsia="zh-CN" w:bidi="ar-SA"/>
    </w:rPr>
  </w:style>
  <w:style w:type="paragraph" w:customStyle="1" w:styleId="128">
    <w:name w:val="附录图标题"/>
    <w:next w:val="80"/>
    <w:qFormat/>
    <w:uiPriority w:val="99"/>
    <w:pPr>
      <w:jc w:val="center"/>
    </w:pPr>
    <w:rPr>
      <w:rFonts w:ascii="黑体" w:hAnsi="Times New Roman" w:eastAsia="黑体" w:cs="Times New Roman"/>
      <w:sz w:val="21"/>
      <w:lang w:val="en-US" w:eastAsia="zh-CN" w:bidi="ar-SA"/>
    </w:rPr>
  </w:style>
  <w:style w:type="paragraph" w:customStyle="1" w:styleId="129">
    <w:name w:val="目次、标准名称标题"/>
    <w:basedOn w:val="92"/>
    <w:next w:val="80"/>
    <w:qFormat/>
    <w:uiPriority w:val="99"/>
    <w:pPr>
      <w:numPr>
        <w:numId w:val="0"/>
      </w:numPr>
      <w:spacing w:line="460" w:lineRule="exact"/>
    </w:pPr>
  </w:style>
  <w:style w:type="paragraph" w:customStyle="1" w:styleId="130">
    <w:name w:val="五级条标题"/>
    <w:basedOn w:val="86"/>
    <w:next w:val="80"/>
    <w:qFormat/>
    <w:uiPriority w:val="99"/>
    <w:pPr>
      <w:numPr>
        <w:ilvl w:val="6"/>
      </w:numPr>
      <w:outlineLvl w:val="6"/>
    </w:pPr>
  </w:style>
  <w:style w:type="paragraph" w:customStyle="1" w:styleId="131">
    <w:name w:val="_Style 101"/>
    <w:basedOn w:val="1"/>
    <w:qFormat/>
    <w:uiPriority w:val="99"/>
    <w:pPr>
      <w:ind w:firstLine="420" w:firstLineChars="200"/>
    </w:pPr>
    <w:rPr>
      <w:rFonts w:ascii="Calibri" w:hAnsi="Calibri"/>
      <w:szCs w:val="22"/>
    </w:rPr>
  </w:style>
  <w:style w:type="paragraph" w:customStyle="1" w:styleId="132">
    <w:name w:val="示例"/>
    <w:next w:val="80"/>
    <w:qFormat/>
    <w:uiPriority w:val="99"/>
    <w:pPr>
      <w:numPr>
        <w:ilvl w:val="0"/>
        <w:numId w:val="8"/>
      </w:numPr>
      <w:tabs>
        <w:tab w:val="left" w:pos="816"/>
        <w:tab w:val="left" w:pos="1120"/>
      </w:tabs>
      <w:ind w:firstLine="419" w:firstLineChars="233"/>
      <w:jc w:val="both"/>
    </w:pPr>
    <w:rPr>
      <w:rFonts w:ascii="宋体" w:hAnsi="Times New Roman" w:eastAsia="宋体" w:cs="Times New Roman"/>
      <w:sz w:val="18"/>
      <w:lang w:val="en-US" w:eastAsia="zh-CN" w:bidi="ar-SA"/>
    </w:rPr>
  </w:style>
  <w:style w:type="paragraph" w:customStyle="1" w:styleId="133">
    <w:name w:val="表右齐"/>
    <w:basedOn w:val="1"/>
    <w:qFormat/>
    <w:uiPriority w:val="99"/>
    <w:pPr>
      <w:autoSpaceDE w:val="0"/>
      <w:autoSpaceDN w:val="0"/>
      <w:ind w:left="720" w:right="332"/>
      <w:jc w:val="right"/>
    </w:pPr>
    <w:rPr>
      <w:rFonts w:hAnsi="Arial"/>
      <w:kern w:val="0"/>
      <w:szCs w:val="20"/>
    </w:rPr>
  </w:style>
  <w:style w:type="paragraph" w:customStyle="1" w:styleId="134">
    <w:name w:val="layout_Position"/>
    <w:basedOn w:val="1"/>
    <w:qFormat/>
    <w:uiPriority w:val="99"/>
    <w:pPr>
      <w:widowControl/>
      <w:jc w:val="left"/>
    </w:pPr>
    <w:rPr>
      <w:rFonts w:ascii="Arial" w:hAnsi="Arial"/>
      <w:kern w:val="0"/>
      <w:sz w:val="22"/>
      <w:szCs w:val="20"/>
      <w:lang w:val="en-GB" w:eastAsia="de-DE"/>
    </w:rPr>
  </w:style>
  <w:style w:type="paragraph" w:customStyle="1" w:styleId="135">
    <w:name w:val="目次、索引正文"/>
    <w:qFormat/>
    <w:uiPriority w:val="99"/>
    <w:pPr>
      <w:spacing w:line="320" w:lineRule="exact"/>
      <w:jc w:val="both"/>
    </w:pPr>
    <w:rPr>
      <w:rFonts w:ascii="宋体" w:hAnsi="Times New Roman" w:eastAsia="宋体" w:cs="Times New Roman"/>
      <w:sz w:val="21"/>
      <w:lang w:val="en-US" w:eastAsia="zh-CN" w:bidi="ar-SA"/>
    </w:rPr>
  </w:style>
  <w:style w:type="paragraph" w:customStyle="1" w:styleId="136">
    <w:name w:val="封面一致性程度标识"/>
    <w:qFormat/>
    <w:uiPriority w:val="99"/>
    <w:pPr>
      <w:spacing w:before="440" w:line="400" w:lineRule="exact"/>
      <w:jc w:val="center"/>
    </w:pPr>
    <w:rPr>
      <w:rFonts w:ascii="宋体" w:hAnsi="Times New Roman" w:eastAsia="宋体" w:cs="Times New Roman"/>
      <w:sz w:val="28"/>
      <w:lang w:val="en-US" w:eastAsia="zh-CN" w:bidi="ar-SA"/>
    </w:rPr>
  </w:style>
  <w:style w:type="paragraph" w:customStyle="1" w:styleId="137">
    <w:name w:val="Char1"/>
    <w:basedOn w:val="1"/>
    <w:qFormat/>
    <w:uiPriority w:val="99"/>
    <w:pPr>
      <w:adjustRightInd/>
      <w:spacing w:line="240" w:lineRule="auto"/>
      <w:textAlignment w:val="auto"/>
    </w:pPr>
    <w:rPr>
      <w:szCs w:val="21"/>
    </w:rPr>
  </w:style>
  <w:style w:type="paragraph" w:customStyle="1" w:styleId="138">
    <w:name w:val="Char Char Char Char Char Char Char"/>
    <w:basedOn w:val="1"/>
    <w:qFormat/>
    <w:uiPriority w:val="99"/>
    <w:pPr>
      <w:adjustRightInd/>
      <w:spacing w:line="240" w:lineRule="auto"/>
      <w:textAlignment w:val="auto"/>
    </w:pPr>
  </w:style>
  <w:style w:type="paragraph" w:customStyle="1" w:styleId="139">
    <w:name w:val="表格文字"/>
    <w:qFormat/>
    <w:uiPriority w:val="99"/>
    <w:pPr>
      <w:jc w:val="center"/>
    </w:pPr>
    <w:rPr>
      <w:rFonts w:ascii="Times New Roman" w:hAnsi="Times New Roman" w:eastAsia="宋体" w:cs="Times New Roman"/>
      <w:kern w:val="2"/>
      <w:sz w:val="21"/>
      <w:szCs w:val="21"/>
      <w:lang w:val="en-US" w:eastAsia="zh-CN" w:bidi="ar-SA"/>
    </w:rPr>
  </w:style>
  <w:style w:type="paragraph" w:customStyle="1" w:styleId="140">
    <w:name w:val="字母编号列项（一级）"/>
    <w:qFormat/>
    <w:uiPriority w:val="99"/>
    <w:pPr>
      <w:ind w:left="200" w:leftChars="200" w:hanging="420" w:hangingChars="200"/>
      <w:jc w:val="both"/>
    </w:pPr>
    <w:rPr>
      <w:rFonts w:ascii="宋体" w:hAnsi="Times New Roman" w:eastAsia="宋体" w:cs="Times New Roman"/>
      <w:sz w:val="21"/>
      <w:lang w:val="en-US" w:eastAsia="zh-CN" w:bidi="ar-SA"/>
    </w:rPr>
  </w:style>
  <w:style w:type="paragraph" w:customStyle="1" w:styleId="141">
    <w:name w:val="条文脚注"/>
    <w:basedOn w:val="27"/>
    <w:qFormat/>
    <w:uiPriority w:val="99"/>
    <w:pPr>
      <w:adjustRightInd/>
      <w:spacing w:line="240" w:lineRule="auto"/>
      <w:ind w:left="200" w:leftChars="200" w:hanging="360" w:hangingChars="200"/>
      <w:jc w:val="both"/>
      <w:textAlignment w:val="auto"/>
    </w:pPr>
    <w:rPr>
      <w:rFonts w:ascii="宋体" w:hAnsi="宋体"/>
    </w:rPr>
  </w:style>
  <w:style w:type="paragraph" w:customStyle="1" w:styleId="142">
    <w:name w:val="Char Char Char"/>
    <w:basedOn w:val="1"/>
    <w:qFormat/>
    <w:uiPriority w:val="99"/>
    <w:pPr>
      <w:adjustRightInd/>
      <w:spacing w:line="240" w:lineRule="auto"/>
      <w:textAlignment w:val="auto"/>
    </w:pPr>
    <w:rPr>
      <w:szCs w:val="20"/>
    </w:rPr>
  </w:style>
  <w:style w:type="paragraph" w:customStyle="1" w:styleId="143">
    <w:name w:val="Char Char Char Char Char Char Char1"/>
    <w:basedOn w:val="1"/>
    <w:qFormat/>
    <w:uiPriority w:val="99"/>
  </w:style>
  <w:style w:type="paragraph" w:customStyle="1" w:styleId="144">
    <w:name w:val="封面标准文稿编辑信息"/>
    <w:qFormat/>
    <w:uiPriority w:val="99"/>
    <w:pPr>
      <w:spacing w:before="180" w:line="180" w:lineRule="exact"/>
      <w:jc w:val="center"/>
    </w:pPr>
    <w:rPr>
      <w:rFonts w:ascii="宋体" w:hAnsi="Times New Roman" w:eastAsia="宋体" w:cs="Times New Roman"/>
      <w:sz w:val="21"/>
      <w:lang w:val="en-US" w:eastAsia="zh-CN" w:bidi="ar-SA"/>
    </w:rPr>
  </w:style>
  <w:style w:type="paragraph" w:customStyle="1" w:styleId="145">
    <w:name w:val="列项·"/>
    <w:qFormat/>
    <w:uiPriority w:val="99"/>
    <w:pPr>
      <w:numPr>
        <w:ilvl w:val="0"/>
        <w:numId w:val="9"/>
      </w:numPr>
      <w:tabs>
        <w:tab w:val="left" w:pos="840"/>
        <w:tab w:val="left" w:pos="1140"/>
      </w:tabs>
      <w:ind w:left="200" w:leftChars="200" w:hanging="420" w:hangingChars="200"/>
      <w:jc w:val="both"/>
    </w:pPr>
    <w:rPr>
      <w:rFonts w:ascii="宋体" w:hAnsi="Times New Roman" w:eastAsia="宋体" w:cs="Times New Roman"/>
      <w:sz w:val="21"/>
      <w:lang w:val="en-US" w:eastAsia="zh-CN" w:bidi="ar-SA"/>
    </w:rPr>
  </w:style>
  <w:style w:type="paragraph" w:customStyle="1" w:styleId="146">
    <w:name w:val="注×："/>
    <w:qFormat/>
    <w:uiPriority w:val="99"/>
    <w:pPr>
      <w:widowControl w:val="0"/>
      <w:numPr>
        <w:ilvl w:val="0"/>
        <w:numId w:val="10"/>
      </w:numPr>
      <w:tabs>
        <w:tab w:val="left" w:pos="630"/>
        <w:tab w:val="left" w:pos="900"/>
      </w:tabs>
      <w:autoSpaceDE w:val="0"/>
      <w:autoSpaceDN w:val="0"/>
      <w:jc w:val="both"/>
    </w:pPr>
    <w:rPr>
      <w:rFonts w:ascii="宋体" w:hAnsi="Times New Roman" w:eastAsia="宋体" w:cs="Times New Roman"/>
      <w:sz w:val="18"/>
      <w:lang w:val="en-US" w:eastAsia="zh-CN" w:bidi="ar-SA"/>
    </w:rPr>
  </w:style>
  <w:style w:type="paragraph" w:customStyle="1" w:styleId="147">
    <w:name w:val="其他发布部门"/>
    <w:basedOn w:val="106"/>
    <w:qFormat/>
    <w:uiPriority w:val="99"/>
    <w:pPr>
      <w:spacing w:line="240" w:lineRule="atLeast"/>
    </w:pPr>
    <w:rPr>
      <w:rFonts w:ascii="黑体" w:eastAsia="黑体"/>
      <w:b w:val="0"/>
    </w:rPr>
  </w:style>
  <w:style w:type="paragraph" w:customStyle="1" w:styleId="148">
    <w:name w:val="标准称谓"/>
    <w:next w:val="1"/>
    <w:qFormat/>
    <w:uiPriority w:val="99"/>
    <w:pPr>
      <w:framePr w:w="9638" w:h="754" w:hSpace="180" w:vSpace="180" w:wrap="around" w:vAnchor="page" w:hAnchor="margin" w:xAlign="center" w:y="2128" w:anchorLock="1"/>
      <w:widowControl w:val="0"/>
      <w:kinsoku w:val="0"/>
      <w:overflowPunct w:val="0"/>
      <w:autoSpaceDE w:val="0"/>
      <w:autoSpaceDN w:val="0"/>
      <w:spacing w:line="240" w:lineRule="atLeast"/>
      <w:jc w:val="distribute"/>
    </w:pPr>
    <w:rPr>
      <w:rFonts w:ascii="宋体" w:hAnsi="Times New Roman" w:eastAsia="宋体" w:cs="Times New Roman"/>
      <w:b/>
      <w:bCs/>
      <w:spacing w:val="20"/>
      <w:w w:val="148"/>
      <w:sz w:val="52"/>
      <w:lang w:val="en-US" w:eastAsia="zh-CN" w:bidi="ar-SA"/>
    </w:rPr>
  </w:style>
  <w:style w:type="paragraph" w:customStyle="1" w:styleId="149">
    <w:name w:val="一级无标题条"/>
    <w:basedOn w:val="1"/>
    <w:qFormat/>
    <w:uiPriority w:val="99"/>
    <w:pPr>
      <w:tabs>
        <w:tab w:val="left" w:pos="360"/>
      </w:tabs>
      <w:adjustRightInd/>
      <w:spacing w:line="240" w:lineRule="auto"/>
      <w:ind w:left="360" w:hanging="360"/>
      <w:textAlignment w:val="auto"/>
    </w:pPr>
  </w:style>
  <w:style w:type="paragraph" w:customStyle="1" w:styleId="150">
    <w:name w:val="数字编号列项（二级）"/>
    <w:qFormat/>
    <w:uiPriority w:val="99"/>
    <w:pPr>
      <w:ind w:left="400" w:leftChars="400" w:hanging="420" w:hangingChars="200"/>
      <w:jc w:val="both"/>
    </w:pPr>
    <w:rPr>
      <w:rFonts w:ascii="宋体" w:hAnsi="Times New Roman" w:eastAsia="宋体" w:cs="Times New Roman"/>
      <w:sz w:val="21"/>
      <w:lang w:val="en-US" w:eastAsia="zh-CN" w:bidi="ar-SA"/>
    </w:rPr>
  </w:style>
  <w:style w:type="paragraph" w:customStyle="1" w:styleId="151">
    <w:name w:val="图表 标题"/>
    <w:basedOn w:val="1"/>
    <w:link w:val="201"/>
    <w:qFormat/>
    <w:uiPriority w:val="99"/>
    <w:pPr>
      <w:autoSpaceDN w:val="0"/>
      <w:adjustRightInd/>
      <w:spacing w:line="360" w:lineRule="auto"/>
      <w:jc w:val="center"/>
      <w:textAlignment w:val="auto"/>
    </w:pPr>
    <w:rPr>
      <w:sz w:val="24"/>
      <w:szCs w:val="20"/>
    </w:rPr>
  </w:style>
  <w:style w:type="paragraph" w:customStyle="1" w:styleId="152">
    <w:name w:val="默认段落字体 Para Char Char Char Char Char Char Char Char Char1 Char Char Char Char"/>
    <w:basedOn w:val="1"/>
    <w:qFormat/>
    <w:uiPriority w:val="99"/>
    <w:rPr>
      <w:rFonts w:ascii="Tahoma" w:hAnsi="Tahoma"/>
      <w:sz w:val="24"/>
      <w:szCs w:val="20"/>
    </w:rPr>
  </w:style>
  <w:style w:type="paragraph" w:customStyle="1" w:styleId="153">
    <w:name w:val="封面标准英文名称"/>
    <w:qFormat/>
    <w:uiPriority w:val="99"/>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154">
    <w:name w:val="三级无标题条"/>
    <w:basedOn w:val="1"/>
    <w:qFormat/>
    <w:uiPriority w:val="99"/>
    <w:pPr>
      <w:tabs>
        <w:tab w:val="left" w:pos="360"/>
      </w:tabs>
      <w:adjustRightInd/>
      <w:spacing w:line="240" w:lineRule="auto"/>
      <w:ind w:left="360" w:hanging="360"/>
      <w:textAlignment w:val="auto"/>
    </w:pPr>
  </w:style>
  <w:style w:type="paragraph" w:customStyle="1" w:styleId="155">
    <w:name w:val="Char Char Char Char"/>
    <w:basedOn w:val="1"/>
    <w:qFormat/>
    <w:uiPriority w:val="99"/>
    <w:pPr>
      <w:widowControl/>
      <w:adjustRightInd/>
      <w:spacing w:after="160" w:line="240" w:lineRule="exact"/>
      <w:jc w:val="left"/>
      <w:textAlignment w:val="auto"/>
    </w:pPr>
  </w:style>
  <w:style w:type="paragraph" w:customStyle="1" w:styleId="156">
    <w:name w:val="标准标志"/>
    <w:next w:val="1"/>
    <w:qFormat/>
    <w:uiPriority w:val="99"/>
    <w:pPr>
      <w:framePr w:w="2268" w:h="1392" w:wrap="around" w:vAnchor="margin" w:hAnchor="margin" w:x="6748" w:y="171" w:anchorLock="1"/>
      <w:shd w:val="solid" w:color="FFFFFF" w:fill="FFFFFF"/>
      <w:spacing w:line="240" w:lineRule="atLeast"/>
      <w:jc w:val="right"/>
    </w:pPr>
    <w:rPr>
      <w:rFonts w:ascii="Times New Roman" w:hAnsi="Times New Roman" w:eastAsia="宋体" w:cs="Times New Roman"/>
      <w:b/>
      <w:w w:val="130"/>
      <w:sz w:val="96"/>
      <w:lang w:val="en-US" w:eastAsia="zh-CN" w:bidi="ar-SA"/>
    </w:rPr>
  </w:style>
  <w:style w:type="paragraph" w:customStyle="1" w:styleId="157">
    <w:name w:val="Char Char Char Char Char Char Char Char Char Char Char Char1"/>
    <w:basedOn w:val="1"/>
    <w:qFormat/>
    <w:uiPriority w:val="99"/>
    <w:pPr>
      <w:widowControl/>
      <w:adjustRightInd/>
      <w:spacing w:after="160" w:line="240" w:lineRule="exact"/>
      <w:jc w:val="left"/>
      <w:textAlignment w:val="auto"/>
    </w:pPr>
  </w:style>
  <w:style w:type="paragraph" w:customStyle="1" w:styleId="158">
    <w:name w:val="列出段落1"/>
    <w:basedOn w:val="1"/>
    <w:qFormat/>
    <w:uiPriority w:val="99"/>
    <w:pPr>
      <w:ind w:firstLine="420" w:firstLineChars="200"/>
    </w:pPr>
    <w:rPr>
      <w:rFonts w:ascii="Calibri" w:hAnsi="Calibri"/>
      <w:szCs w:val="22"/>
    </w:rPr>
  </w:style>
  <w:style w:type="character" w:customStyle="1" w:styleId="159">
    <w:name w:val="Font Style71"/>
    <w:qFormat/>
    <w:uiPriority w:val="99"/>
    <w:rPr>
      <w:rFonts w:ascii="宋体" w:eastAsia="宋体"/>
      <w:b/>
      <w:spacing w:val="20"/>
      <w:sz w:val="28"/>
    </w:rPr>
  </w:style>
  <w:style w:type="character" w:customStyle="1" w:styleId="160">
    <w:name w:val="批注文字 Char2"/>
    <w:basedOn w:val="36"/>
    <w:semiHidden/>
    <w:qFormat/>
    <w:uiPriority w:val="99"/>
    <w:rPr>
      <w:rFonts w:cs="Times New Roman"/>
      <w:kern w:val="2"/>
      <w:sz w:val="24"/>
      <w:szCs w:val="24"/>
    </w:rPr>
  </w:style>
  <w:style w:type="character" w:customStyle="1" w:styleId="161">
    <w:name w:val="纯文本 Char2"/>
    <w:basedOn w:val="36"/>
    <w:semiHidden/>
    <w:qFormat/>
    <w:uiPriority w:val="99"/>
    <w:rPr>
      <w:rFonts w:ascii="宋体" w:hAnsi="Courier New" w:cs="Courier New"/>
      <w:kern w:val="2"/>
      <w:sz w:val="21"/>
      <w:szCs w:val="21"/>
    </w:rPr>
  </w:style>
  <w:style w:type="character" w:customStyle="1" w:styleId="162">
    <w:name w:val="发布"/>
    <w:basedOn w:val="36"/>
    <w:qFormat/>
    <w:uiPriority w:val="99"/>
    <w:rPr>
      <w:rFonts w:ascii="黑体" w:hAnsi="黑体" w:eastAsia="黑体" w:cs="Times New Roman"/>
      <w:spacing w:val="22"/>
      <w:w w:val="100"/>
      <w:position w:val="3"/>
      <w:sz w:val="28"/>
    </w:rPr>
  </w:style>
  <w:style w:type="character" w:customStyle="1" w:styleId="163">
    <w:name w:val="纯文本 Char1"/>
    <w:qFormat/>
    <w:uiPriority w:val="99"/>
    <w:rPr>
      <w:rFonts w:ascii="宋体" w:hAnsi="Courier New" w:eastAsia="宋体"/>
      <w:kern w:val="2"/>
      <w:sz w:val="21"/>
      <w:lang w:val="en-US" w:eastAsia="zh-CN"/>
    </w:rPr>
  </w:style>
  <w:style w:type="character" w:customStyle="1" w:styleId="164">
    <w:name w:val="HTML 地址 Char"/>
    <w:basedOn w:val="36"/>
    <w:link w:val="18"/>
    <w:semiHidden/>
    <w:qFormat/>
    <w:locked/>
    <w:uiPriority w:val="99"/>
    <w:rPr>
      <w:rFonts w:cs="Times New Roman"/>
      <w:i/>
      <w:iCs/>
      <w:kern w:val="2"/>
      <w:sz w:val="24"/>
      <w:szCs w:val="24"/>
    </w:rPr>
  </w:style>
  <w:style w:type="character" w:customStyle="1" w:styleId="165">
    <w:name w:val="Char Char2"/>
    <w:basedOn w:val="36"/>
    <w:qFormat/>
    <w:locked/>
    <w:uiPriority w:val="99"/>
    <w:rPr>
      <w:rFonts w:ascii="Courier New" w:hAnsi="Courier New" w:eastAsia="宋体" w:cs="Courier New"/>
      <w:kern w:val="2"/>
      <w:lang w:val="en-US" w:eastAsia="zh-CN" w:bidi="ar-SA"/>
    </w:rPr>
  </w:style>
  <w:style w:type="character" w:customStyle="1" w:styleId="166">
    <w:name w:val="批注主题 Char1"/>
    <w:basedOn w:val="160"/>
    <w:semiHidden/>
    <w:qFormat/>
    <w:uiPriority w:val="99"/>
    <w:rPr>
      <w:rFonts w:cs="Times New Roman"/>
      <w:b/>
      <w:bCs/>
      <w:kern w:val="2"/>
      <w:sz w:val="24"/>
      <w:szCs w:val="24"/>
    </w:rPr>
  </w:style>
  <w:style w:type="character" w:customStyle="1" w:styleId="167">
    <w:name w:val="Char Char11"/>
    <w:basedOn w:val="36"/>
    <w:qFormat/>
    <w:locked/>
    <w:uiPriority w:val="99"/>
    <w:rPr>
      <w:rFonts w:ascii="宋体" w:hAnsi="宋体" w:eastAsia="宋体" w:cs="Times New Roman"/>
      <w:kern w:val="2"/>
      <w:sz w:val="24"/>
      <w:szCs w:val="24"/>
      <w:lang w:val="en-US" w:eastAsia="zh-CN" w:bidi="ar-SA"/>
    </w:rPr>
  </w:style>
  <w:style w:type="character" w:customStyle="1" w:styleId="168">
    <w:name w:val="页脚 Char1"/>
    <w:basedOn w:val="36"/>
    <w:semiHidden/>
    <w:qFormat/>
    <w:uiPriority w:val="99"/>
    <w:rPr>
      <w:rFonts w:cs="Times New Roman"/>
      <w:kern w:val="2"/>
      <w:sz w:val="18"/>
      <w:szCs w:val="18"/>
    </w:rPr>
  </w:style>
  <w:style w:type="character" w:customStyle="1" w:styleId="169">
    <w:name w:val="正文文本 Char1"/>
    <w:basedOn w:val="36"/>
    <w:semiHidden/>
    <w:qFormat/>
    <w:uiPriority w:val="99"/>
    <w:rPr>
      <w:rFonts w:cs="Times New Roman"/>
      <w:kern w:val="2"/>
      <w:sz w:val="24"/>
      <w:szCs w:val="24"/>
    </w:rPr>
  </w:style>
  <w:style w:type="character" w:customStyle="1" w:styleId="170">
    <w:name w:val="Char Char20"/>
    <w:basedOn w:val="36"/>
    <w:qFormat/>
    <w:locked/>
    <w:uiPriority w:val="99"/>
    <w:rPr>
      <w:rFonts w:ascii="Arial" w:hAnsi="Arial" w:eastAsia="黑体" w:cs="Times New Roman"/>
      <w:b/>
      <w:bCs/>
      <w:kern w:val="2"/>
      <w:sz w:val="32"/>
      <w:szCs w:val="32"/>
      <w:lang w:val="en-US" w:eastAsia="zh-CN" w:bidi="ar-SA"/>
    </w:rPr>
  </w:style>
  <w:style w:type="character" w:customStyle="1" w:styleId="171">
    <w:name w:val="Char Char8"/>
    <w:qFormat/>
    <w:locked/>
    <w:uiPriority w:val="99"/>
    <w:rPr>
      <w:rFonts w:ascii="宋体" w:hAnsi="Courier New" w:eastAsia="宋体"/>
      <w:spacing w:val="-4"/>
      <w:kern w:val="2"/>
      <w:sz w:val="18"/>
      <w:lang w:val="en-US" w:eastAsia="zh-CN"/>
    </w:rPr>
  </w:style>
  <w:style w:type="character" w:customStyle="1" w:styleId="172">
    <w:name w:val="fo Char"/>
    <w:qFormat/>
    <w:uiPriority w:val="99"/>
    <w:rPr>
      <w:sz w:val="18"/>
    </w:rPr>
  </w:style>
  <w:style w:type="character" w:customStyle="1" w:styleId="173">
    <w:name w:val="Char Char19"/>
    <w:basedOn w:val="36"/>
    <w:qFormat/>
    <w:locked/>
    <w:uiPriority w:val="99"/>
    <w:rPr>
      <w:rFonts w:eastAsia="宋体" w:cs="Times New Roman"/>
      <w:b/>
      <w:bCs/>
      <w:kern w:val="2"/>
      <w:sz w:val="32"/>
      <w:szCs w:val="32"/>
      <w:lang w:val="en-US" w:eastAsia="zh-CN" w:bidi="ar-SA"/>
    </w:rPr>
  </w:style>
  <w:style w:type="character" w:customStyle="1" w:styleId="174">
    <w:name w:val="HTML 预设格式 Char1"/>
    <w:basedOn w:val="36"/>
    <w:semiHidden/>
    <w:qFormat/>
    <w:uiPriority w:val="99"/>
    <w:rPr>
      <w:rFonts w:ascii="Courier New" w:hAnsi="Courier New" w:cs="Courier New"/>
      <w:kern w:val="2"/>
    </w:rPr>
  </w:style>
  <w:style w:type="character" w:customStyle="1" w:styleId="175">
    <w:name w:val="页眉 Char1"/>
    <w:basedOn w:val="36"/>
    <w:semiHidden/>
    <w:qFormat/>
    <w:uiPriority w:val="99"/>
    <w:rPr>
      <w:rFonts w:cs="Times New Roman"/>
      <w:kern w:val="2"/>
      <w:sz w:val="18"/>
      <w:szCs w:val="18"/>
    </w:rPr>
  </w:style>
  <w:style w:type="character" w:customStyle="1" w:styleId="176">
    <w:name w:val="标题1"/>
    <w:basedOn w:val="36"/>
    <w:qFormat/>
    <w:uiPriority w:val="99"/>
    <w:rPr>
      <w:rFonts w:cs="Times New Roman"/>
    </w:rPr>
  </w:style>
  <w:style w:type="character" w:customStyle="1" w:styleId="177">
    <w:name w:val="Font Style73"/>
    <w:qFormat/>
    <w:uiPriority w:val="99"/>
    <w:rPr>
      <w:rFonts w:ascii="宋体" w:eastAsia="宋体"/>
      <w:b/>
      <w:spacing w:val="10"/>
      <w:sz w:val="28"/>
    </w:rPr>
  </w:style>
  <w:style w:type="character" w:customStyle="1" w:styleId="178">
    <w:name w:val="批注框文本 Char1"/>
    <w:basedOn w:val="36"/>
    <w:semiHidden/>
    <w:qFormat/>
    <w:uiPriority w:val="99"/>
    <w:rPr>
      <w:rFonts w:cs="Times New Roman"/>
      <w:kern w:val="2"/>
      <w:sz w:val="18"/>
      <w:szCs w:val="18"/>
    </w:rPr>
  </w:style>
  <w:style w:type="character" w:customStyle="1" w:styleId="179">
    <w:name w:val="日期 Char1"/>
    <w:basedOn w:val="36"/>
    <w:semiHidden/>
    <w:qFormat/>
    <w:uiPriority w:val="99"/>
    <w:rPr>
      <w:rFonts w:cs="Times New Roman"/>
      <w:kern w:val="2"/>
      <w:sz w:val="24"/>
      <w:szCs w:val="24"/>
    </w:rPr>
  </w:style>
  <w:style w:type="character" w:customStyle="1" w:styleId="180">
    <w:name w:val="Char Char17"/>
    <w:basedOn w:val="36"/>
    <w:qFormat/>
    <w:locked/>
    <w:uiPriority w:val="99"/>
    <w:rPr>
      <w:rFonts w:eastAsia="宋体" w:cs="Times New Roman"/>
      <w:b/>
      <w:bCs/>
      <w:kern w:val="2"/>
      <w:sz w:val="28"/>
      <w:szCs w:val="28"/>
      <w:lang w:val="en-US" w:eastAsia="zh-CN" w:bidi="ar-SA"/>
    </w:rPr>
  </w:style>
  <w:style w:type="character" w:customStyle="1" w:styleId="181">
    <w:name w:val="正文文本 2 Char1"/>
    <w:basedOn w:val="36"/>
    <w:semiHidden/>
    <w:qFormat/>
    <w:uiPriority w:val="99"/>
    <w:rPr>
      <w:rFonts w:cs="Times New Roman"/>
      <w:kern w:val="2"/>
      <w:sz w:val="24"/>
      <w:szCs w:val="24"/>
    </w:rPr>
  </w:style>
  <w:style w:type="character" w:customStyle="1" w:styleId="182">
    <w:name w:val="正文文本 3 Char1"/>
    <w:basedOn w:val="36"/>
    <w:semiHidden/>
    <w:qFormat/>
    <w:uiPriority w:val="99"/>
    <w:rPr>
      <w:rFonts w:cs="Times New Roman"/>
      <w:kern w:val="2"/>
      <w:sz w:val="16"/>
      <w:szCs w:val="16"/>
    </w:rPr>
  </w:style>
  <w:style w:type="character" w:customStyle="1" w:styleId="183">
    <w:name w:val="apple-style-span"/>
    <w:basedOn w:val="36"/>
    <w:qFormat/>
    <w:uiPriority w:val="99"/>
    <w:rPr>
      <w:rFonts w:cs="Times New Roman"/>
    </w:rPr>
  </w:style>
  <w:style w:type="character" w:customStyle="1" w:styleId="184">
    <w:name w:val="正文文本缩进 Char1"/>
    <w:basedOn w:val="36"/>
    <w:semiHidden/>
    <w:qFormat/>
    <w:uiPriority w:val="99"/>
    <w:rPr>
      <w:rFonts w:cs="Times New Roman"/>
      <w:kern w:val="2"/>
      <w:sz w:val="24"/>
      <w:szCs w:val="24"/>
    </w:rPr>
  </w:style>
  <w:style w:type="character" w:customStyle="1" w:styleId="185">
    <w:name w:val="普通文字 Char Char1"/>
    <w:qFormat/>
    <w:uiPriority w:val="99"/>
    <w:rPr>
      <w:rFonts w:ascii="宋体" w:hAnsi="Courier New" w:eastAsia="宋体"/>
      <w:kern w:val="2"/>
      <w:sz w:val="21"/>
      <w:lang w:val="en-US" w:eastAsia="zh-CN"/>
    </w:rPr>
  </w:style>
  <w:style w:type="character" w:customStyle="1" w:styleId="186">
    <w:name w:val="Char Char18"/>
    <w:basedOn w:val="36"/>
    <w:qFormat/>
    <w:locked/>
    <w:uiPriority w:val="99"/>
    <w:rPr>
      <w:rFonts w:ascii="Arial" w:eastAsia="黑体" w:cs="Times New Roman"/>
      <w:sz w:val="28"/>
      <w:lang w:val="en-US" w:eastAsia="zh-CN" w:bidi="ar-SA"/>
    </w:rPr>
  </w:style>
  <w:style w:type="character" w:customStyle="1" w:styleId="187">
    <w:name w:val="标题 Char"/>
    <w:basedOn w:val="36"/>
    <w:link w:val="32"/>
    <w:qFormat/>
    <w:locked/>
    <w:uiPriority w:val="99"/>
    <w:rPr>
      <w:rFonts w:ascii="Cambria" w:hAnsi="Cambria" w:cs="Times New Roman"/>
      <w:b/>
      <w:bCs/>
      <w:kern w:val="2"/>
      <w:sz w:val="32"/>
      <w:szCs w:val="32"/>
    </w:rPr>
  </w:style>
  <w:style w:type="character" w:customStyle="1" w:styleId="188">
    <w:name w:val="Char Char12"/>
    <w:basedOn w:val="36"/>
    <w:qFormat/>
    <w:locked/>
    <w:uiPriority w:val="99"/>
    <w:rPr>
      <w:rFonts w:ascii="宋体" w:hAnsi="宋体" w:eastAsia="宋体" w:cs="Times New Roman"/>
      <w:kern w:val="2"/>
      <w:sz w:val="18"/>
      <w:szCs w:val="18"/>
      <w:lang w:val="en-US" w:eastAsia="zh-CN" w:bidi="ar-SA"/>
    </w:rPr>
  </w:style>
  <w:style w:type="character" w:customStyle="1" w:styleId="189">
    <w:name w:val="正文文本缩进 2 Char1"/>
    <w:basedOn w:val="36"/>
    <w:semiHidden/>
    <w:qFormat/>
    <w:uiPriority w:val="99"/>
    <w:rPr>
      <w:rFonts w:cs="Times New Roman"/>
      <w:kern w:val="2"/>
      <w:sz w:val="24"/>
      <w:szCs w:val="24"/>
    </w:rPr>
  </w:style>
  <w:style w:type="character" w:customStyle="1" w:styleId="190">
    <w:name w:val="Char Char6"/>
    <w:basedOn w:val="36"/>
    <w:qFormat/>
    <w:locked/>
    <w:uiPriority w:val="99"/>
    <w:rPr>
      <w:rFonts w:ascii="宋体" w:hAnsi="宋体" w:eastAsia="宋体" w:cs="Times New Roman"/>
      <w:kern w:val="2"/>
      <w:sz w:val="18"/>
      <w:szCs w:val="18"/>
      <w:lang w:val="en-US" w:eastAsia="zh-CN" w:bidi="ar-SA"/>
    </w:rPr>
  </w:style>
  <w:style w:type="character" w:customStyle="1" w:styleId="191">
    <w:name w:val="h Char"/>
    <w:qFormat/>
    <w:uiPriority w:val="99"/>
    <w:rPr>
      <w:rFonts w:ascii="Times New Roman" w:hAnsi="Times New Roman"/>
      <w:kern w:val="2"/>
      <w:sz w:val="18"/>
    </w:rPr>
  </w:style>
  <w:style w:type="character" w:customStyle="1" w:styleId="192">
    <w:name w:val="Char Char21"/>
    <w:basedOn w:val="36"/>
    <w:qFormat/>
    <w:locked/>
    <w:uiPriority w:val="99"/>
    <w:rPr>
      <w:rFonts w:eastAsia="宋体" w:cs="Times New Roman"/>
      <w:b/>
      <w:bCs/>
      <w:kern w:val="44"/>
      <w:sz w:val="44"/>
      <w:szCs w:val="44"/>
      <w:lang w:val="en-US" w:eastAsia="zh-CN" w:bidi="ar-SA"/>
    </w:rPr>
  </w:style>
  <w:style w:type="character" w:customStyle="1" w:styleId="193">
    <w:name w:val="脚注文本 Char1"/>
    <w:basedOn w:val="36"/>
    <w:semiHidden/>
    <w:qFormat/>
    <w:uiPriority w:val="99"/>
    <w:rPr>
      <w:rFonts w:cs="Times New Roman"/>
      <w:kern w:val="2"/>
      <w:sz w:val="18"/>
      <w:szCs w:val="18"/>
    </w:rPr>
  </w:style>
  <w:style w:type="character" w:customStyle="1" w:styleId="194">
    <w:name w:val="Char Char7"/>
    <w:basedOn w:val="36"/>
    <w:qFormat/>
    <w:locked/>
    <w:uiPriority w:val="99"/>
    <w:rPr>
      <w:rFonts w:ascii="宋体" w:hAnsi="宋体" w:eastAsia="宋体" w:cs="Times New Roman"/>
      <w:kern w:val="2"/>
      <w:sz w:val="24"/>
      <w:szCs w:val="24"/>
      <w:lang w:val="en-US" w:eastAsia="zh-CN" w:bidi="ar-SA"/>
    </w:rPr>
  </w:style>
  <w:style w:type="character" w:customStyle="1" w:styleId="195">
    <w:name w:val="textcontents"/>
    <w:basedOn w:val="36"/>
    <w:qFormat/>
    <w:uiPriority w:val="99"/>
    <w:rPr>
      <w:rFonts w:cs="Times New Roman"/>
    </w:rPr>
  </w:style>
  <w:style w:type="character" w:customStyle="1" w:styleId="196">
    <w:name w:val="Char Char10"/>
    <w:basedOn w:val="36"/>
    <w:qFormat/>
    <w:locked/>
    <w:uiPriority w:val="99"/>
    <w:rPr>
      <w:rFonts w:ascii="宋体" w:hAnsi="宋体" w:eastAsia="宋体" w:cs="Times New Roman"/>
      <w:kern w:val="2"/>
      <w:sz w:val="24"/>
      <w:szCs w:val="24"/>
      <w:lang w:val="en-US" w:eastAsia="zh-CN" w:bidi="ar-SA"/>
    </w:rPr>
  </w:style>
  <w:style w:type="character" w:customStyle="1" w:styleId="197">
    <w:name w:val="文档结构图 Char1"/>
    <w:basedOn w:val="36"/>
    <w:semiHidden/>
    <w:qFormat/>
    <w:uiPriority w:val="99"/>
    <w:rPr>
      <w:rFonts w:ascii="宋体" w:cs="Times New Roman"/>
      <w:kern w:val="2"/>
      <w:sz w:val="18"/>
      <w:szCs w:val="18"/>
    </w:rPr>
  </w:style>
  <w:style w:type="character" w:customStyle="1" w:styleId="198">
    <w:name w:val="副标题 Char1"/>
    <w:basedOn w:val="36"/>
    <w:qFormat/>
    <w:uiPriority w:val="99"/>
    <w:rPr>
      <w:rFonts w:ascii="Cambria" w:hAnsi="Cambria" w:cs="Times New Roman"/>
      <w:b/>
      <w:bCs/>
      <w:kern w:val="28"/>
      <w:sz w:val="32"/>
      <w:szCs w:val="32"/>
    </w:rPr>
  </w:style>
  <w:style w:type="character" w:customStyle="1" w:styleId="199">
    <w:name w:val="op-map-singlepoint-info-right"/>
    <w:basedOn w:val="36"/>
    <w:qFormat/>
    <w:uiPriority w:val="99"/>
    <w:rPr>
      <w:rFonts w:cs="Times New Roman"/>
    </w:rPr>
  </w:style>
  <w:style w:type="character" w:customStyle="1" w:styleId="200">
    <w:name w:val="批注文字 Char1"/>
    <w:semiHidden/>
    <w:qFormat/>
    <w:locked/>
    <w:uiPriority w:val="99"/>
    <w:rPr>
      <w:kern w:val="2"/>
      <w:sz w:val="24"/>
    </w:rPr>
  </w:style>
  <w:style w:type="character" w:customStyle="1" w:styleId="201">
    <w:name w:val="图表 标题 Char"/>
    <w:link w:val="151"/>
    <w:qFormat/>
    <w:locked/>
    <w:uiPriority w:val="99"/>
    <w:rPr>
      <w:rFonts w:eastAsia="宋体"/>
      <w:kern w:val="2"/>
      <w:sz w:val="24"/>
      <w:lang w:val="en-US" w:eastAsia="zh-CN"/>
    </w:rPr>
  </w:style>
  <w:style w:type="character" w:customStyle="1" w:styleId="202">
    <w:name w:val="NormalCharacter"/>
    <w:qFormat/>
    <w:uiPriority w:val="0"/>
  </w:style>
  <w:style w:type="character" w:customStyle="1" w:styleId="203">
    <w:name w:val="font11"/>
    <w:basedOn w:val="36"/>
    <w:qFormat/>
    <w:uiPriority w:val="0"/>
    <w:rPr>
      <w:rFonts w:hint="eastAsia" w:ascii="宋体" w:hAnsi="宋体" w:eastAsia="宋体" w:cs="宋体"/>
      <w:color w:val="000000"/>
      <w:sz w:val="21"/>
      <w:szCs w:val="21"/>
      <w:u w:val="none"/>
    </w:rPr>
  </w:style>
  <w:style w:type="paragraph" w:customStyle="1" w:styleId="204">
    <w:name w:val="_Style 2"/>
    <w:basedOn w:val="1"/>
    <w:qFormat/>
    <w:uiPriority w:val="0"/>
    <w:pPr>
      <w:ind w:firstLine="420" w:firstLineChars="200"/>
    </w:pPr>
    <w:rPr>
      <w:sz w:val="28"/>
      <w:szCs w:val="28"/>
    </w:rPr>
  </w:style>
  <w:style w:type="paragraph" w:styleId="205">
    <w:name w:val="List Paragraph"/>
    <w:basedOn w:val="1"/>
    <w:qFormat/>
    <w:uiPriority w:val="99"/>
    <w:pPr>
      <w:ind w:firstLine="420" w:firstLineChars="200"/>
    </w:pPr>
  </w:style>
  <w:style w:type="paragraph" w:customStyle="1" w:styleId="206">
    <w:name w:val="Null"/>
    <w:qFormat/>
    <w:uiPriority w:val="0"/>
    <w:pPr>
      <w:jc w:val="both"/>
      <w:textAlignment w:val="baseline"/>
    </w:pPr>
    <w:rPr>
      <w:rFonts w:ascii="Calibri" w:hAnsi="Calibri" w:eastAsia="宋体" w:cs="Times New Roman"/>
      <w:kern w:val="2"/>
      <w:sz w:val="21"/>
      <w:szCs w:val="22"/>
      <w:lang w:val="en-US" w:eastAsia="zh-CN" w:bidi="ar-SA"/>
    </w:rPr>
  </w:style>
  <w:style w:type="paragraph" w:customStyle="1" w:styleId="207">
    <w:name w:val="NormalIndent"/>
    <w:basedOn w:val="1"/>
    <w:qFormat/>
    <w:uiPriority w:val="0"/>
    <w:pPr>
      <w:widowControl/>
      <w:adjustRightInd/>
      <w:spacing w:line="240" w:lineRule="auto"/>
      <w:ind w:firstLine="420"/>
    </w:pPr>
    <w:rPr>
      <w:szCs w:val="20"/>
    </w:rPr>
  </w:style>
  <w:style w:type="table" w:customStyle="1" w:styleId="208">
    <w:name w:val="网格型1"/>
    <w:basedOn w:val="34"/>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09">
    <w:name w:val="Table Paragraph"/>
    <w:basedOn w:val="1"/>
    <w:qFormat/>
    <w:uiPriority w:val="1"/>
    <w:pPr>
      <w:textAlignment w:val="auto"/>
    </w:pPr>
    <w:rPr>
      <w:rFonts w:ascii="宋体" w:hAnsi="宋体" w:cs="宋体"/>
      <w:lang w:val="zh-CN" w:bidi="zh-CN"/>
    </w:rPr>
  </w:style>
  <w:style w:type="character" w:customStyle="1" w:styleId="210">
    <w:name w:val="font21"/>
    <w:basedOn w:val="36"/>
    <w:qFormat/>
    <w:uiPriority w:val="0"/>
    <w:rPr>
      <w:rFonts w:hint="eastAsia" w:ascii="宋体" w:hAnsi="宋体" w:eastAsia="宋体" w:cs="宋体"/>
      <w:color w:val="000000"/>
      <w:sz w:val="20"/>
      <w:szCs w:val="20"/>
      <w:u w:val="none"/>
    </w:rPr>
  </w:style>
  <w:style w:type="paragraph" w:customStyle="1" w:styleId="211">
    <w:name w:val="无间隔1"/>
    <w:qFormat/>
    <w:uiPriority w:val="0"/>
    <w:rPr>
      <w:rFonts w:ascii="Tahoma" w:hAnsi="Tahoma" w:eastAsia="微软雅黑" w:cs="Tahoma"/>
      <w:color w:val="000000"/>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64</Pages>
  <Words>6954</Words>
  <Characters>39643</Characters>
  <Lines>330</Lines>
  <Paragraphs>93</Paragraphs>
  <TotalTime>5</TotalTime>
  <ScaleCrop>false</ScaleCrop>
  <LinksUpToDate>false</LinksUpToDate>
  <CharactersWithSpaces>46504</CharactersWithSpaces>
  <Application>WPS Office_11.3.0.8775_F1E327BC-269C-435d-A152-05C5408002CA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2020-12-03T00:49:00Z</dcterms:created>
  <dc:creator>丁琳</dc:creator>
  <cp:lastModifiedBy>A</cp:lastModifiedBy>
  <cp:lastPrinted>2020-12-29T08:23:45Z</cp:lastPrinted>
  <dcterms:modified xsi:type="dcterms:W3CDTF">2020-12-29T08:25:53Z</dcterms:modified>
  <dc:title>南财采管〔2012〕3号</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